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4628A" w14:textId="77777777" w:rsidR="00640825" w:rsidRPr="00351A46" w:rsidRDefault="00640825" w:rsidP="00187D1C">
      <w:pPr>
        <w:jc w:val="center"/>
        <w:rPr>
          <w:b/>
          <w:sz w:val="40"/>
          <w:szCs w:val="40"/>
          <w:lang w:val="en-AU"/>
        </w:rPr>
      </w:pPr>
      <w:bookmarkStart w:id="0" w:name="_GoBack"/>
      <w:bookmarkEnd w:id="0"/>
    </w:p>
    <w:p w14:paraId="5DA50B0B" w14:textId="77777777" w:rsidR="00640825" w:rsidRPr="00351A46" w:rsidRDefault="00640825" w:rsidP="00187D1C">
      <w:pPr>
        <w:jc w:val="center"/>
        <w:rPr>
          <w:b/>
          <w:sz w:val="40"/>
          <w:szCs w:val="40"/>
          <w:lang w:val="en-AU"/>
        </w:rPr>
      </w:pPr>
    </w:p>
    <w:p w14:paraId="1FA586B4" w14:textId="77777777" w:rsidR="00640825" w:rsidRPr="00351A46" w:rsidRDefault="00640825" w:rsidP="00187D1C">
      <w:pPr>
        <w:jc w:val="center"/>
        <w:rPr>
          <w:b/>
          <w:sz w:val="40"/>
          <w:szCs w:val="40"/>
          <w:lang w:val="en-AU"/>
        </w:rPr>
      </w:pPr>
    </w:p>
    <w:p w14:paraId="2C2D7BD6" w14:textId="77777777" w:rsidR="00640825" w:rsidRPr="00351A46" w:rsidRDefault="00640825" w:rsidP="00187D1C">
      <w:pPr>
        <w:jc w:val="center"/>
        <w:rPr>
          <w:b/>
          <w:sz w:val="40"/>
          <w:szCs w:val="40"/>
          <w:lang w:val="en-AU"/>
        </w:rPr>
      </w:pPr>
    </w:p>
    <w:p w14:paraId="67F48F6A" w14:textId="77777777" w:rsidR="00640825" w:rsidRPr="00351A46" w:rsidRDefault="00640825" w:rsidP="00187D1C">
      <w:pPr>
        <w:jc w:val="center"/>
        <w:rPr>
          <w:b/>
          <w:sz w:val="40"/>
          <w:szCs w:val="40"/>
          <w:lang w:val="en-AU"/>
        </w:rPr>
      </w:pPr>
    </w:p>
    <w:p w14:paraId="2C2ECB12" w14:textId="77777777" w:rsidR="00640825" w:rsidRPr="00351A46" w:rsidRDefault="00640825" w:rsidP="00187D1C">
      <w:pPr>
        <w:jc w:val="center"/>
        <w:rPr>
          <w:b/>
          <w:sz w:val="40"/>
          <w:szCs w:val="40"/>
          <w:lang w:val="en-AU"/>
        </w:rPr>
      </w:pPr>
    </w:p>
    <w:p w14:paraId="1A314B28" w14:textId="77777777" w:rsidR="00B04944" w:rsidRPr="00351A46" w:rsidRDefault="00640825" w:rsidP="00187D1C">
      <w:pPr>
        <w:jc w:val="center"/>
        <w:rPr>
          <w:b/>
          <w:sz w:val="40"/>
          <w:szCs w:val="40"/>
          <w:lang w:val="en-AU"/>
        </w:rPr>
      </w:pPr>
      <w:r w:rsidRPr="00351A46">
        <w:rPr>
          <w:b/>
          <w:sz w:val="40"/>
          <w:szCs w:val="40"/>
          <w:lang w:val="en-AU"/>
        </w:rPr>
        <w:t>Knowledge Sector Initiative Phase 2</w:t>
      </w:r>
    </w:p>
    <w:p w14:paraId="701CFA4C" w14:textId="67C3562D" w:rsidR="00640825" w:rsidRPr="00351A46" w:rsidRDefault="008C3312" w:rsidP="00187D1C">
      <w:pPr>
        <w:jc w:val="center"/>
        <w:rPr>
          <w:b/>
          <w:sz w:val="40"/>
          <w:szCs w:val="40"/>
          <w:lang w:val="en-AU"/>
        </w:rPr>
      </w:pPr>
      <w:r w:rsidRPr="00351A46">
        <w:rPr>
          <w:b/>
          <w:sz w:val="40"/>
          <w:szCs w:val="40"/>
          <w:lang w:val="en-AU"/>
        </w:rPr>
        <w:t>Program</w:t>
      </w:r>
      <w:r w:rsidR="00640825" w:rsidRPr="00351A46">
        <w:rPr>
          <w:b/>
          <w:sz w:val="40"/>
          <w:szCs w:val="40"/>
          <w:lang w:val="en-AU"/>
        </w:rPr>
        <w:t xml:space="preserve"> Implementation Strategy</w:t>
      </w:r>
    </w:p>
    <w:p w14:paraId="22BB1B5D" w14:textId="77AB16FE" w:rsidR="00640825" w:rsidRPr="00351A46" w:rsidRDefault="00102EC1" w:rsidP="00187D1C">
      <w:pPr>
        <w:jc w:val="center"/>
        <w:rPr>
          <w:sz w:val="40"/>
          <w:szCs w:val="40"/>
          <w:lang w:val="en-AU"/>
        </w:rPr>
      </w:pPr>
      <w:r w:rsidRPr="00351A46">
        <w:rPr>
          <w:sz w:val="40"/>
          <w:szCs w:val="40"/>
          <w:lang w:val="en-AU"/>
        </w:rPr>
        <w:t>1</w:t>
      </w:r>
      <w:r w:rsidR="009A4AAF">
        <w:rPr>
          <w:sz w:val="40"/>
          <w:szCs w:val="40"/>
          <w:lang w:val="en-AU"/>
        </w:rPr>
        <w:t>8</w:t>
      </w:r>
      <w:r w:rsidR="00CF6807" w:rsidRPr="00351A46">
        <w:rPr>
          <w:sz w:val="40"/>
          <w:szCs w:val="40"/>
          <w:lang w:val="en-AU"/>
        </w:rPr>
        <w:t xml:space="preserve"> May</w:t>
      </w:r>
      <w:r w:rsidR="00640825" w:rsidRPr="00351A46">
        <w:rPr>
          <w:sz w:val="40"/>
          <w:szCs w:val="40"/>
          <w:lang w:val="en-AU"/>
        </w:rPr>
        <w:t xml:space="preserve"> 2018</w:t>
      </w:r>
    </w:p>
    <w:p w14:paraId="7F158C08" w14:textId="77777777" w:rsidR="00640825" w:rsidRPr="00351A46" w:rsidRDefault="00640825" w:rsidP="00187D1C">
      <w:pPr>
        <w:rPr>
          <w:sz w:val="40"/>
          <w:szCs w:val="40"/>
          <w:lang w:val="en-AU"/>
        </w:rPr>
      </w:pPr>
      <w:r w:rsidRPr="00351A46">
        <w:rPr>
          <w:sz w:val="40"/>
          <w:szCs w:val="40"/>
          <w:lang w:val="en-AU"/>
        </w:rPr>
        <w:br w:type="page"/>
      </w:r>
    </w:p>
    <w:sdt>
      <w:sdtPr>
        <w:rPr>
          <w:rFonts w:asciiTheme="minorHAnsi" w:eastAsiaTheme="minorHAnsi" w:hAnsiTheme="minorHAnsi" w:cstheme="minorBidi"/>
          <w:color w:val="auto"/>
          <w:sz w:val="22"/>
          <w:szCs w:val="22"/>
          <w:lang w:val="en-AU"/>
        </w:rPr>
        <w:id w:val="-1441592336"/>
        <w:docPartObj>
          <w:docPartGallery w:val="Table of Contents"/>
          <w:docPartUnique/>
        </w:docPartObj>
      </w:sdtPr>
      <w:sdtEndPr>
        <w:rPr>
          <w:b/>
          <w:bCs/>
        </w:rPr>
      </w:sdtEndPr>
      <w:sdtContent>
        <w:p w14:paraId="28F747C3" w14:textId="2298A1CD" w:rsidR="00FD639B" w:rsidRPr="002D3D6C" w:rsidRDefault="00FD639B" w:rsidP="00187D1C">
          <w:pPr>
            <w:pStyle w:val="TOCHeading"/>
            <w:rPr>
              <w:lang w:val="en-AU"/>
            </w:rPr>
          </w:pPr>
          <w:r w:rsidRPr="00351A46">
            <w:rPr>
              <w:lang w:val="en-AU"/>
            </w:rPr>
            <w:t>Table of Contents</w:t>
          </w:r>
        </w:p>
        <w:p w14:paraId="7837EE36" w14:textId="4030D2F6" w:rsidR="007710F9" w:rsidRDefault="00FD639B">
          <w:pPr>
            <w:pStyle w:val="TOC1"/>
            <w:tabs>
              <w:tab w:val="left" w:pos="440"/>
              <w:tab w:val="right" w:leader="dot" w:pos="9010"/>
            </w:tabs>
            <w:rPr>
              <w:rFonts w:eastAsiaTheme="minorEastAsia"/>
              <w:noProof/>
            </w:rPr>
          </w:pPr>
          <w:r w:rsidRPr="009E1C17">
            <w:rPr>
              <w:lang w:val="en-AU"/>
            </w:rPr>
            <w:fldChar w:fldCharType="begin"/>
          </w:r>
          <w:r w:rsidRPr="00351A46">
            <w:rPr>
              <w:lang w:val="en-AU"/>
            </w:rPr>
            <w:instrText xml:space="preserve"> TOC \o "1-3" \h \z \u </w:instrText>
          </w:r>
          <w:r w:rsidRPr="009E1C17">
            <w:rPr>
              <w:lang w:val="en-AU"/>
            </w:rPr>
            <w:fldChar w:fldCharType="separate"/>
          </w:r>
          <w:hyperlink w:anchor="_Toc514418225" w:history="1">
            <w:r w:rsidR="007710F9" w:rsidRPr="003A494F">
              <w:rPr>
                <w:rStyle w:val="Hyperlink"/>
                <w:noProof/>
                <w:lang w:val="en-AU"/>
              </w:rPr>
              <w:t>1.</w:t>
            </w:r>
            <w:r w:rsidR="007710F9">
              <w:rPr>
                <w:rFonts w:eastAsiaTheme="minorEastAsia"/>
                <w:noProof/>
              </w:rPr>
              <w:tab/>
            </w:r>
            <w:r w:rsidR="007710F9" w:rsidRPr="003A494F">
              <w:rPr>
                <w:rStyle w:val="Hyperlink"/>
                <w:noProof/>
                <w:lang w:val="en-AU"/>
              </w:rPr>
              <w:t>Introduction</w:t>
            </w:r>
            <w:r w:rsidR="007710F9">
              <w:rPr>
                <w:noProof/>
                <w:webHidden/>
              </w:rPr>
              <w:tab/>
            </w:r>
            <w:r w:rsidR="007710F9">
              <w:rPr>
                <w:noProof/>
                <w:webHidden/>
              </w:rPr>
              <w:fldChar w:fldCharType="begin"/>
            </w:r>
            <w:r w:rsidR="007710F9">
              <w:rPr>
                <w:noProof/>
                <w:webHidden/>
              </w:rPr>
              <w:instrText xml:space="preserve"> PAGEREF _Toc514418225 \h </w:instrText>
            </w:r>
            <w:r w:rsidR="007710F9">
              <w:rPr>
                <w:noProof/>
                <w:webHidden/>
              </w:rPr>
            </w:r>
            <w:r w:rsidR="007710F9">
              <w:rPr>
                <w:noProof/>
                <w:webHidden/>
              </w:rPr>
              <w:fldChar w:fldCharType="separate"/>
            </w:r>
            <w:r w:rsidR="007710F9">
              <w:rPr>
                <w:noProof/>
                <w:webHidden/>
              </w:rPr>
              <w:t>3</w:t>
            </w:r>
            <w:r w:rsidR="007710F9">
              <w:rPr>
                <w:noProof/>
                <w:webHidden/>
              </w:rPr>
              <w:fldChar w:fldCharType="end"/>
            </w:r>
          </w:hyperlink>
        </w:p>
        <w:p w14:paraId="14BA8881" w14:textId="0E047D59" w:rsidR="007710F9" w:rsidRDefault="004D3A39">
          <w:pPr>
            <w:pStyle w:val="TOC2"/>
            <w:tabs>
              <w:tab w:val="right" w:leader="dot" w:pos="9010"/>
            </w:tabs>
            <w:rPr>
              <w:rFonts w:eastAsiaTheme="minorEastAsia"/>
              <w:noProof/>
            </w:rPr>
          </w:pPr>
          <w:hyperlink w:anchor="_Toc514418226" w:history="1">
            <w:r w:rsidR="007710F9" w:rsidRPr="003A494F">
              <w:rPr>
                <w:rStyle w:val="Hyperlink"/>
                <w:noProof/>
                <w:lang w:val="en-AU"/>
              </w:rPr>
              <w:t>Purpose</w:t>
            </w:r>
            <w:r w:rsidR="007710F9">
              <w:rPr>
                <w:noProof/>
                <w:webHidden/>
              </w:rPr>
              <w:tab/>
            </w:r>
            <w:r w:rsidR="007710F9">
              <w:rPr>
                <w:noProof/>
                <w:webHidden/>
              </w:rPr>
              <w:fldChar w:fldCharType="begin"/>
            </w:r>
            <w:r w:rsidR="007710F9">
              <w:rPr>
                <w:noProof/>
                <w:webHidden/>
              </w:rPr>
              <w:instrText xml:space="preserve"> PAGEREF _Toc514418226 \h </w:instrText>
            </w:r>
            <w:r w:rsidR="007710F9">
              <w:rPr>
                <w:noProof/>
                <w:webHidden/>
              </w:rPr>
            </w:r>
            <w:r w:rsidR="007710F9">
              <w:rPr>
                <w:noProof/>
                <w:webHidden/>
              </w:rPr>
              <w:fldChar w:fldCharType="separate"/>
            </w:r>
            <w:r w:rsidR="007710F9">
              <w:rPr>
                <w:noProof/>
                <w:webHidden/>
              </w:rPr>
              <w:t>3</w:t>
            </w:r>
            <w:r w:rsidR="007710F9">
              <w:rPr>
                <w:noProof/>
                <w:webHidden/>
              </w:rPr>
              <w:fldChar w:fldCharType="end"/>
            </w:r>
          </w:hyperlink>
        </w:p>
        <w:p w14:paraId="53136C24" w14:textId="3E757FCF" w:rsidR="007710F9" w:rsidRDefault="004D3A39">
          <w:pPr>
            <w:pStyle w:val="TOC2"/>
            <w:tabs>
              <w:tab w:val="right" w:leader="dot" w:pos="9010"/>
            </w:tabs>
            <w:rPr>
              <w:rFonts w:eastAsiaTheme="minorEastAsia"/>
              <w:noProof/>
            </w:rPr>
          </w:pPr>
          <w:hyperlink w:anchor="_Toc514418227" w:history="1">
            <w:r w:rsidR="007710F9" w:rsidRPr="003A494F">
              <w:rPr>
                <w:rStyle w:val="Hyperlink"/>
                <w:noProof/>
                <w:lang w:val="en-AU"/>
              </w:rPr>
              <w:t>Structure</w:t>
            </w:r>
            <w:r w:rsidR="007710F9">
              <w:rPr>
                <w:noProof/>
                <w:webHidden/>
              </w:rPr>
              <w:tab/>
            </w:r>
            <w:r w:rsidR="007710F9">
              <w:rPr>
                <w:noProof/>
                <w:webHidden/>
              </w:rPr>
              <w:fldChar w:fldCharType="begin"/>
            </w:r>
            <w:r w:rsidR="007710F9">
              <w:rPr>
                <w:noProof/>
                <w:webHidden/>
              </w:rPr>
              <w:instrText xml:space="preserve"> PAGEREF _Toc514418227 \h </w:instrText>
            </w:r>
            <w:r w:rsidR="007710F9">
              <w:rPr>
                <w:noProof/>
                <w:webHidden/>
              </w:rPr>
            </w:r>
            <w:r w:rsidR="007710F9">
              <w:rPr>
                <w:noProof/>
                <w:webHidden/>
              </w:rPr>
              <w:fldChar w:fldCharType="separate"/>
            </w:r>
            <w:r w:rsidR="007710F9">
              <w:rPr>
                <w:noProof/>
                <w:webHidden/>
              </w:rPr>
              <w:t>3</w:t>
            </w:r>
            <w:r w:rsidR="007710F9">
              <w:rPr>
                <w:noProof/>
                <w:webHidden/>
              </w:rPr>
              <w:fldChar w:fldCharType="end"/>
            </w:r>
          </w:hyperlink>
        </w:p>
        <w:p w14:paraId="2B289285" w14:textId="514DF625" w:rsidR="007710F9" w:rsidRDefault="004D3A39">
          <w:pPr>
            <w:pStyle w:val="TOC1"/>
            <w:tabs>
              <w:tab w:val="left" w:pos="440"/>
              <w:tab w:val="right" w:leader="dot" w:pos="9010"/>
            </w:tabs>
            <w:rPr>
              <w:rFonts w:eastAsiaTheme="minorEastAsia"/>
              <w:noProof/>
            </w:rPr>
          </w:pPr>
          <w:hyperlink w:anchor="_Toc514418228" w:history="1">
            <w:r w:rsidR="007710F9" w:rsidRPr="003A494F">
              <w:rPr>
                <w:rStyle w:val="Hyperlink"/>
                <w:noProof/>
                <w:lang w:val="en-AU"/>
              </w:rPr>
              <w:t>2.</w:t>
            </w:r>
            <w:r w:rsidR="007710F9">
              <w:rPr>
                <w:rFonts w:eastAsiaTheme="minorEastAsia"/>
                <w:noProof/>
              </w:rPr>
              <w:tab/>
            </w:r>
            <w:r w:rsidR="007710F9" w:rsidRPr="003A494F">
              <w:rPr>
                <w:rStyle w:val="Hyperlink"/>
                <w:noProof/>
                <w:lang w:val="en-AU"/>
              </w:rPr>
              <w:t>Context</w:t>
            </w:r>
            <w:r w:rsidR="007710F9">
              <w:rPr>
                <w:noProof/>
                <w:webHidden/>
              </w:rPr>
              <w:tab/>
            </w:r>
            <w:r w:rsidR="007710F9">
              <w:rPr>
                <w:noProof/>
                <w:webHidden/>
              </w:rPr>
              <w:fldChar w:fldCharType="begin"/>
            </w:r>
            <w:r w:rsidR="007710F9">
              <w:rPr>
                <w:noProof/>
                <w:webHidden/>
              </w:rPr>
              <w:instrText xml:space="preserve"> PAGEREF _Toc514418228 \h </w:instrText>
            </w:r>
            <w:r w:rsidR="007710F9">
              <w:rPr>
                <w:noProof/>
                <w:webHidden/>
              </w:rPr>
            </w:r>
            <w:r w:rsidR="007710F9">
              <w:rPr>
                <w:noProof/>
                <w:webHidden/>
              </w:rPr>
              <w:fldChar w:fldCharType="separate"/>
            </w:r>
            <w:r w:rsidR="007710F9">
              <w:rPr>
                <w:noProof/>
                <w:webHidden/>
              </w:rPr>
              <w:t>3</w:t>
            </w:r>
            <w:r w:rsidR="007710F9">
              <w:rPr>
                <w:noProof/>
                <w:webHidden/>
              </w:rPr>
              <w:fldChar w:fldCharType="end"/>
            </w:r>
          </w:hyperlink>
        </w:p>
        <w:p w14:paraId="4E89D24E" w14:textId="7CFEA7C5" w:rsidR="007710F9" w:rsidRDefault="004D3A39">
          <w:pPr>
            <w:pStyle w:val="TOC2"/>
            <w:tabs>
              <w:tab w:val="right" w:leader="dot" w:pos="9010"/>
            </w:tabs>
            <w:rPr>
              <w:rFonts w:eastAsiaTheme="minorEastAsia"/>
              <w:noProof/>
            </w:rPr>
          </w:pPr>
          <w:hyperlink w:anchor="_Toc514418229" w:history="1">
            <w:r w:rsidR="007710F9" w:rsidRPr="003A494F">
              <w:rPr>
                <w:rStyle w:val="Hyperlink"/>
                <w:noProof/>
                <w:lang w:val="en-AU"/>
              </w:rPr>
              <w:t>Looking Ahead: Overview of the Context</w:t>
            </w:r>
            <w:r w:rsidR="007710F9">
              <w:rPr>
                <w:noProof/>
                <w:webHidden/>
              </w:rPr>
              <w:tab/>
            </w:r>
            <w:r w:rsidR="007710F9">
              <w:rPr>
                <w:noProof/>
                <w:webHidden/>
              </w:rPr>
              <w:fldChar w:fldCharType="begin"/>
            </w:r>
            <w:r w:rsidR="007710F9">
              <w:rPr>
                <w:noProof/>
                <w:webHidden/>
              </w:rPr>
              <w:instrText xml:space="preserve"> PAGEREF _Toc514418229 \h </w:instrText>
            </w:r>
            <w:r w:rsidR="007710F9">
              <w:rPr>
                <w:noProof/>
                <w:webHidden/>
              </w:rPr>
            </w:r>
            <w:r w:rsidR="007710F9">
              <w:rPr>
                <w:noProof/>
                <w:webHidden/>
              </w:rPr>
              <w:fldChar w:fldCharType="separate"/>
            </w:r>
            <w:r w:rsidR="007710F9">
              <w:rPr>
                <w:noProof/>
                <w:webHidden/>
              </w:rPr>
              <w:t>3</w:t>
            </w:r>
            <w:r w:rsidR="007710F9">
              <w:rPr>
                <w:noProof/>
                <w:webHidden/>
              </w:rPr>
              <w:fldChar w:fldCharType="end"/>
            </w:r>
          </w:hyperlink>
        </w:p>
        <w:p w14:paraId="1855D9F2" w14:textId="1D13A07C" w:rsidR="007710F9" w:rsidRDefault="004D3A39">
          <w:pPr>
            <w:pStyle w:val="TOC2"/>
            <w:tabs>
              <w:tab w:val="right" w:leader="dot" w:pos="9010"/>
            </w:tabs>
            <w:rPr>
              <w:rFonts w:eastAsiaTheme="minorEastAsia"/>
              <w:noProof/>
            </w:rPr>
          </w:pPr>
          <w:hyperlink w:anchor="_Toc514418230" w:history="1">
            <w:r w:rsidR="007710F9" w:rsidRPr="003A494F">
              <w:rPr>
                <w:rStyle w:val="Hyperlink"/>
                <w:noProof/>
                <w:lang w:val="en-AU"/>
              </w:rPr>
              <w:t>Alignment with Government of Indonesia and Government of Australia Priorities</w:t>
            </w:r>
            <w:r w:rsidR="007710F9">
              <w:rPr>
                <w:noProof/>
                <w:webHidden/>
              </w:rPr>
              <w:tab/>
            </w:r>
            <w:r w:rsidR="007710F9">
              <w:rPr>
                <w:noProof/>
                <w:webHidden/>
              </w:rPr>
              <w:fldChar w:fldCharType="begin"/>
            </w:r>
            <w:r w:rsidR="007710F9">
              <w:rPr>
                <w:noProof/>
                <w:webHidden/>
              </w:rPr>
              <w:instrText xml:space="preserve"> PAGEREF _Toc514418230 \h </w:instrText>
            </w:r>
            <w:r w:rsidR="007710F9">
              <w:rPr>
                <w:noProof/>
                <w:webHidden/>
              </w:rPr>
            </w:r>
            <w:r w:rsidR="007710F9">
              <w:rPr>
                <w:noProof/>
                <w:webHidden/>
              </w:rPr>
              <w:fldChar w:fldCharType="separate"/>
            </w:r>
            <w:r w:rsidR="007710F9">
              <w:rPr>
                <w:noProof/>
                <w:webHidden/>
              </w:rPr>
              <w:t>4</w:t>
            </w:r>
            <w:r w:rsidR="007710F9">
              <w:rPr>
                <w:noProof/>
                <w:webHidden/>
              </w:rPr>
              <w:fldChar w:fldCharType="end"/>
            </w:r>
          </w:hyperlink>
        </w:p>
        <w:p w14:paraId="3096EA10" w14:textId="44BA9BCA" w:rsidR="007710F9" w:rsidRDefault="004D3A39">
          <w:pPr>
            <w:pStyle w:val="TOC2"/>
            <w:tabs>
              <w:tab w:val="right" w:leader="dot" w:pos="9010"/>
            </w:tabs>
            <w:rPr>
              <w:rFonts w:eastAsiaTheme="minorEastAsia"/>
              <w:noProof/>
            </w:rPr>
          </w:pPr>
          <w:hyperlink w:anchor="_Toc514418231" w:history="1">
            <w:r w:rsidR="007710F9" w:rsidRPr="003A494F">
              <w:rPr>
                <w:rStyle w:val="Hyperlink"/>
                <w:noProof/>
                <w:lang w:val="en-AU"/>
              </w:rPr>
              <w:t>Links with DFAT and other Donor Programs</w:t>
            </w:r>
            <w:r w:rsidR="007710F9">
              <w:rPr>
                <w:noProof/>
                <w:webHidden/>
              </w:rPr>
              <w:tab/>
            </w:r>
            <w:r w:rsidR="007710F9">
              <w:rPr>
                <w:noProof/>
                <w:webHidden/>
              </w:rPr>
              <w:fldChar w:fldCharType="begin"/>
            </w:r>
            <w:r w:rsidR="007710F9">
              <w:rPr>
                <w:noProof/>
                <w:webHidden/>
              </w:rPr>
              <w:instrText xml:space="preserve"> PAGEREF _Toc514418231 \h </w:instrText>
            </w:r>
            <w:r w:rsidR="007710F9">
              <w:rPr>
                <w:noProof/>
                <w:webHidden/>
              </w:rPr>
            </w:r>
            <w:r w:rsidR="007710F9">
              <w:rPr>
                <w:noProof/>
                <w:webHidden/>
              </w:rPr>
              <w:fldChar w:fldCharType="separate"/>
            </w:r>
            <w:r w:rsidR="007710F9">
              <w:rPr>
                <w:noProof/>
                <w:webHidden/>
              </w:rPr>
              <w:t>5</w:t>
            </w:r>
            <w:r w:rsidR="007710F9">
              <w:rPr>
                <w:noProof/>
                <w:webHidden/>
              </w:rPr>
              <w:fldChar w:fldCharType="end"/>
            </w:r>
          </w:hyperlink>
        </w:p>
        <w:p w14:paraId="289E36CA" w14:textId="35F67C08" w:rsidR="007710F9" w:rsidRDefault="004D3A39">
          <w:pPr>
            <w:pStyle w:val="TOC1"/>
            <w:tabs>
              <w:tab w:val="left" w:pos="440"/>
              <w:tab w:val="right" w:leader="dot" w:pos="9010"/>
            </w:tabs>
            <w:rPr>
              <w:rFonts w:eastAsiaTheme="minorEastAsia"/>
              <w:noProof/>
            </w:rPr>
          </w:pPr>
          <w:hyperlink w:anchor="_Toc514418232" w:history="1">
            <w:r w:rsidR="007710F9" w:rsidRPr="003A494F">
              <w:rPr>
                <w:rStyle w:val="Hyperlink"/>
                <w:noProof/>
                <w:lang w:val="en-AU"/>
              </w:rPr>
              <w:t>3.</w:t>
            </w:r>
            <w:r w:rsidR="007710F9">
              <w:rPr>
                <w:rFonts w:eastAsiaTheme="minorEastAsia"/>
                <w:noProof/>
              </w:rPr>
              <w:tab/>
            </w:r>
            <w:r w:rsidR="007710F9" w:rsidRPr="003A494F">
              <w:rPr>
                <w:rStyle w:val="Hyperlink"/>
                <w:noProof/>
                <w:lang w:val="en-AU"/>
              </w:rPr>
              <w:t>Strategic Approach</w:t>
            </w:r>
            <w:r w:rsidR="007710F9">
              <w:rPr>
                <w:noProof/>
                <w:webHidden/>
              </w:rPr>
              <w:tab/>
            </w:r>
            <w:r w:rsidR="007710F9">
              <w:rPr>
                <w:noProof/>
                <w:webHidden/>
              </w:rPr>
              <w:fldChar w:fldCharType="begin"/>
            </w:r>
            <w:r w:rsidR="007710F9">
              <w:rPr>
                <w:noProof/>
                <w:webHidden/>
              </w:rPr>
              <w:instrText xml:space="preserve"> PAGEREF _Toc514418232 \h </w:instrText>
            </w:r>
            <w:r w:rsidR="007710F9">
              <w:rPr>
                <w:noProof/>
                <w:webHidden/>
              </w:rPr>
            </w:r>
            <w:r w:rsidR="007710F9">
              <w:rPr>
                <w:noProof/>
                <w:webHidden/>
              </w:rPr>
              <w:fldChar w:fldCharType="separate"/>
            </w:r>
            <w:r w:rsidR="007710F9">
              <w:rPr>
                <w:noProof/>
                <w:webHidden/>
              </w:rPr>
              <w:t>5</w:t>
            </w:r>
            <w:r w:rsidR="007710F9">
              <w:rPr>
                <w:noProof/>
                <w:webHidden/>
              </w:rPr>
              <w:fldChar w:fldCharType="end"/>
            </w:r>
          </w:hyperlink>
        </w:p>
        <w:p w14:paraId="58A8A817" w14:textId="5D4BBD97" w:rsidR="007710F9" w:rsidRDefault="004D3A39">
          <w:pPr>
            <w:pStyle w:val="TOC2"/>
            <w:tabs>
              <w:tab w:val="right" w:leader="dot" w:pos="9010"/>
            </w:tabs>
            <w:rPr>
              <w:rFonts w:eastAsiaTheme="minorEastAsia"/>
              <w:noProof/>
            </w:rPr>
          </w:pPr>
          <w:hyperlink w:anchor="_Toc514418233" w:history="1">
            <w:r w:rsidR="007710F9" w:rsidRPr="003A494F">
              <w:rPr>
                <w:rStyle w:val="Hyperlink"/>
                <w:noProof/>
                <w:lang w:val="en-AU"/>
              </w:rPr>
              <w:t>Key Principles of Implementation</w:t>
            </w:r>
            <w:r w:rsidR="007710F9">
              <w:rPr>
                <w:noProof/>
                <w:webHidden/>
              </w:rPr>
              <w:tab/>
            </w:r>
            <w:r w:rsidR="007710F9">
              <w:rPr>
                <w:noProof/>
                <w:webHidden/>
              </w:rPr>
              <w:fldChar w:fldCharType="begin"/>
            </w:r>
            <w:r w:rsidR="007710F9">
              <w:rPr>
                <w:noProof/>
                <w:webHidden/>
              </w:rPr>
              <w:instrText xml:space="preserve"> PAGEREF _Toc514418233 \h </w:instrText>
            </w:r>
            <w:r w:rsidR="007710F9">
              <w:rPr>
                <w:noProof/>
                <w:webHidden/>
              </w:rPr>
            </w:r>
            <w:r w:rsidR="007710F9">
              <w:rPr>
                <w:noProof/>
                <w:webHidden/>
              </w:rPr>
              <w:fldChar w:fldCharType="separate"/>
            </w:r>
            <w:r w:rsidR="007710F9">
              <w:rPr>
                <w:noProof/>
                <w:webHidden/>
              </w:rPr>
              <w:t>6</w:t>
            </w:r>
            <w:r w:rsidR="007710F9">
              <w:rPr>
                <w:noProof/>
                <w:webHidden/>
              </w:rPr>
              <w:fldChar w:fldCharType="end"/>
            </w:r>
          </w:hyperlink>
        </w:p>
        <w:p w14:paraId="594569D9" w14:textId="315D2973" w:rsidR="007710F9" w:rsidRDefault="004D3A39">
          <w:pPr>
            <w:pStyle w:val="TOC2"/>
            <w:tabs>
              <w:tab w:val="right" w:leader="dot" w:pos="9010"/>
            </w:tabs>
            <w:rPr>
              <w:rFonts w:eastAsiaTheme="minorEastAsia"/>
              <w:noProof/>
            </w:rPr>
          </w:pPr>
          <w:hyperlink w:anchor="_Toc514418234" w:history="1">
            <w:r w:rsidR="007710F9" w:rsidRPr="003A494F">
              <w:rPr>
                <w:rStyle w:val="Hyperlink"/>
                <w:noProof/>
                <w:lang w:val="en-AU"/>
              </w:rPr>
              <w:t>KSI’s Catalytic Role</w:t>
            </w:r>
            <w:r w:rsidR="007710F9">
              <w:rPr>
                <w:noProof/>
                <w:webHidden/>
              </w:rPr>
              <w:tab/>
            </w:r>
            <w:r w:rsidR="007710F9">
              <w:rPr>
                <w:noProof/>
                <w:webHidden/>
              </w:rPr>
              <w:fldChar w:fldCharType="begin"/>
            </w:r>
            <w:r w:rsidR="007710F9">
              <w:rPr>
                <w:noProof/>
                <w:webHidden/>
              </w:rPr>
              <w:instrText xml:space="preserve"> PAGEREF _Toc514418234 \h </w:instrText>
            </w:r>
            <w:r w:rsidR="007710F9">
              <w:rPr>
                <w:noProof/>
                <w:webHidden/>
              </w:rPr>
            </w:r>
            <w:r w:rsidR="007710F9">
              <w:rPr>
                <w:noProof/>
                <w:webHidden/>
              </w:rPr>
              <w:fldChar w:fldCharType="separate"/>
            </w:r>
            <w:r w:rsidR="007710F9">
              <w:rPr>
                <w:noProof/>
                <w:webHidden/>
              </w:rPr>
              <w:t>7</w:t>
            </w:r>
            <w:r w:rsidR="007710F9">
              <w:rPr>
                <w:noProof/>
                <w:webHidden/>
              </w:rPr>
              <w:fldChar w:fldCharType="end"/>
            </w:r>
          </w:hyperlink>
        </w:p>
        <w:p w14:paraId="56FA8E76" w14:textId="01D6DFAB" w:rsidR="007710F9" w:rsidRDefault="004D3A39">
          <w:pPr>
            <w:pStyle w:val="TOC2"/>
            <w:tabs>
              <w:tab w:val="right" w:leader="dot" w:pos="9010"/>
            </w:tabs>
            <w:rPr>
              <w:rFonts w:eastAsiaTheme="minorEastAsia"/>
              <w:noProof/>
            </w:rPr>
          </w:pPr>
          <w:hyperlink w:anchor="_Toc514418235" w:history="1">
            <w:r w:rsidR="007710F9" w:rsidRPr="003A494F">
              <w:rPr>
                <w:rStyle w:val="Hyperlink"/>
                <w:noProof/>
                <w:lang w:val="en-AU"/>
              </w:rPr>
              <w:t>Adaptive Management</w:t>
            </w:r>
            <w:r w:rsidR="007710F9">
              <w:rPr>
                <w:noProof/>
                <w:webHidden/>
              </w:rPr>
              <w:tab/>
            </w:r>
            <w:r w:rsidR="007710F9">
              <w:rPr>
                <w:noProof/>
                <w:webHidden/>
              </w:rPr>
              <w:fldChar w:fldCharType="begin"/>
            </w:r>
            <w:r w:rsidR="007710F9">
              <w:rPr>
                <w:noProof/>
                <w:webHidden/>
              </w:rPr>
              <w:instrText xml:space="preserve"> PAGEREF _Toc514418235 \h </w:instrText>
            </w:r>
            <w:r w:rsidR="007710F9">
              <w:rPr>
                <w:noProof/>
                <w:webHidden/>
              </w:rPr>
            </w:r>
            <w:r w:rsidR="007710F9">
              <w:rPr>
                <w:noProof/>
                <w:webHidden/>
              </w:rPr>
              <w:fldChar w:fldCharType="separate"/>
            </w:r>
            <w:r w:rsidR="007710F9">
              <w:rPr>
                <w:noProof/>
                <w:webHidden/>
              </w:rPr>
              <w:t>8</w:t>
            </w:r>
            <w:r w:rsidR="007710F9">
              <w:rPr>
                <w:noProof/>
                <w:webHidden/>
              </w:rPr>
              <w:fldChar w:fldCharType="end"/>
            </w:r>
          </w:hyperlink>
        </w:p>
        <w:p w14:paraId="65381C88" w14:textId="28C36C64" w:rsidR="007710F9" w:rsidRDefault="004D3A39">
          <w:pPr>
            <w:pStyle w:val="TOC1"/>
            <w:tabs>
              <w:tab w:val="left" w:pos="440"/>
              <w:tab w:val="right" w:leader="dot" w:pos="9010"/>
            </w:tabs>
            <w:rPr>
              <w:rFonts w:eastAsiaTheme="minorEastAsia"/>
              <w:noProof/>
            </w:rPr>
          </w:pPr>
          <w:hyperlink w:anchor="_Toc514418236" w:history="1">
            <w:r w:rsidR="007710F9" w:rsidRPr="003A494F">
              <w:rPr>
                <w:rStyle w:val="Hyperlink"/>
                <w:noProof/>
                <w:lang w:val="en-AU"/>
              </w:rPr>
              <w:t>4.</w:t>
            </w:r>
            <w:r w:rsidR="007710F9">
              <w:rPr>
                <w:rFonts w:eastAsiaTheme="minorEastAsia"/>
                <w:noProof/>
              </w:rPr>
              <w:tab/>
            </w:r>
            <w:r w:rsidR="007710F9" w:rsidRPr="003A494F">
              <w:rPr>
                <w:rStyle w:val="Hyperlink"/>
                <w:noProof/>
                <w:lang w:val="en-AU"/>
              </w:rPr>
              <w:t>Program Governance and Decision-Making Framework</w:t>
            </w:r>
            <w:r w:rsidR="007710F9">
              <w:rPr>
                <w:noProof/>
                <w:webHidden/>
              </w:rPr>
              <w:tab/>
            </w:r>
            <w:r w:rsidR="007710F9">
              <w:rPr>
                <w:noProof/>
                <w:webHidden/>
              </w:rPr>
              <w:fldChar w:fldCharType="begin"/>
            </w:r>
            <w:r w:rsidR="007710F9">
              <w:rPr>
                <w:noProof/>
                <w:webHidden/>
              </w:rPr>
              <w:instrText xml:space="preserve"> PAGEREF _Toc514418236 \h </w:instrText>
            </w:r>
            <w:r w:rsidR="007710F9">
              <w:rPr>
                <w:noProof/>
                <w:webHidden/>
              </w:rPr>
            </w:r>
            <w:r w:rsidR="007710F9">
              <w:rPr>
                <w:noProof/>
                <w:webHidden/>
              </w:rPr>
              <w:fldChar w:fldCharType="separate"/>
            </w:r>
            <w:r w:rsidR="007710F9">
              <w:rPr>
                <w:noProof/>
                <w:webHidden/>
              </w:rPr>
              <w:t>9</w:t>
            </w:r>
            <w:r w:rsidR="007710F9">
              <w:rPr>
                <w:noProof/>
                <w:webHidden/>
              </w:rPr>
              <w:fldChar w:fldCharType="end"/>
            </w:r>
          </w:hyperlink>
        </w:p>
        <w:p w14:paraId="34AB7B2D" w14:textId="6EEA90F2" w:rsidR="007710F9" w:rsidRDefault="004D3A39">
          <w:pPr>
            <w:pStyle w:val="TOC2"/>
            <w:tabs>
              <w:tab w:val="right" w:leader="dot" w:pos="9010"/>
            </w:tabs>
            <w:rPr>
              <w:rFonts w:eastAsiaTheme="minorEastAsia"/>
              <w:noProof/>
            </w:rPr>
          </w:pPr>
          <w:hyperlink w:anchor="_Toc514418237" w:history="1">
            <w:r w:rsidR="007710F9" w:rsidRPr="003A494F">
              <w:rPr>
                <w:rStyle w:val="Hyperlink"/>
                <w:noProof/>
                <w:lang w:val="en-AU"/>
              </w:rPr>
              <w:t>Decision-Making Criteria</w:t>
            </w:r>
            <w:r w:rsidR="007710F9">
              <w:rPr>
                <w:noProof/>
                <w:webHidden/>
              </w:rPr>
              <w:tab/>
            </w:r>
            <w:r w:rsidR="007710F9">
              <w:rPr>
                <w:noProof/>
                <w:webHidden/>
              </w:rPr>
              <w:fldChar w:fldCharType="begin"/>
            </w:r>
            <w:r w:rsidR="007710F9">
              <w:rPr>
                <w:noProof/>
                <w:webHidden/>
              </w:rPr>
              <w:instrText xml:space="preserve"> PAGEREF _Toc514418237 \h </w:instrText>
            </w:r>
            <w:r w:rsidR="007710F9">
              <w:rPr>
                <w:noProof/>
                <w:webHidden/>
              </w:rPr>
            </w:r>
            <w:r w:rsidR="007710F9">
              <w:rPr>
                <w:noProof/>
                <w:webHidden/>
              </w:rPr>
              <w:fldChar w:fldCharType="separate"/>
            </w:r>
            <w:r w:rsidR="007710F9">
              <w:rPr>
                <w:noProof/>
                <w:webHidden/>
              </w:rPr>
              <w:t>9</w:t>
            </w:r>
            <w:r w:rsidR="007710F9">
              <w:rPr>
                <w:noProof/>
                <w:webHidden/>
              </w:rPr>
              <w:fldChar w:fldCharType="end"/>
            </w:r>
          </w:hyperlink>
        </w:p>
        <w:p w14:paraId="31A14B29" w14:textId="5192FDB3" w:rsidR="007710F9" w:rsidRDefault="004D3A39">
          <w:pPr>
            <w:pStyle w:val="TOC3"/>
            <w:tabs>
              <w:tab w:val="right" w:leader="dot" w:pos="9010"/>
            </w:tabs>
            <w:rPr>
              <w:rFonts w:eastAsiaTheme="minorEastAsia"/>
              <w:noProof/>
            </w:rPr>
          </w:pPr>
          <w:hyperlink w:anchor="_Toc514418238" w:history="1">
            <w:r w:rsidR="007710F9" w:rsidRPr="003A494F">
              <w:rPr>
                <w:rStyle w:val="Hyperlink"/>
                <w:noProof/>
                <w:lang w:val="en-AU"/>
              </w:rPr>
              <w:t>Criteria for New Key Initiatives</w:t>
            </w:r>
            <w:r w:rsidR="007710F9">
              <w:rPr>
                <w:noProof/>
                <w:webHidden/>
              </w:rPr>
              <w:tab/>
            </w:r>
            <w:r w:rsidR="007710F9">
              <w:rPr>
                <w:noProof/>
                <w:webHidden/>
              </w:rPr>
              <w:fldChar w:fldCharType="begin"/>
            </w:r>
            <w:r w:rsidR="007710F9">
              <w:rPr>
                <w:noProof/>
                <w:webHidden/>
              </w:rPr>
              <w:instrText xml:space="preserve"> PAGEREF _Toc514418238 \h </w:instrText>
            </w:r>
            <w:r w:rsidR="007710F9">
              <w:rPr>
                <w:noProof/>
                <w:webHidden/>
              </w:rPr>
            </w:r>
            <w:r w:rsidR="007710F9">
              <w:rPr>
                <w:noProof/>
                <w:webHidden/>
              </w:rPr>
              <w:fldChar w:fldCharType="separate"/>
            </w:r>
            <w:r w:rsidR="007710F9">
              <w:rPr>
                <w:noProof/>
                <w:webHidden/>
              </w:rPr>
              <w:t>9</w:t>
            </w:r>
            <w:r w:rsidR="007710F9">
              <w:rPr>
                <w:noProof/>
                <w:webHidden/>
              </w:rPr>
              <w:fldChar w:fldCharType="end"/>
            </w:r>
          </w:hyperlink>
        </w:p>
        <w:p w14:paraId="13CD2742" w14:textId="33BB0B25" w:rsidR="007710F9" w:rsidRDefault="004D3A39">
          <w:pPr>
            <w:pStyle w:val="TOC3"/>
            <w:tabs>
              <w:tab w:val="right" w:leader="dot" w:pos="9010"/>
            </w:tabs>
            <w:rPr>
              <w:rFonts w:eastAsiaTheme="minorEastAsia"/>
              <w:noProof/>
            </w:rPr>
          </w:pPr>
          <w:hyperlink w:anchor="_Toc514418239" w:history="1">
            <w:r w:rsidR="007710F9" w:rsidRPr="003A494F">
              <w:rPr>
                <w:rStyle w:val="Hyperlink"/>
                <w:noProof/>
                <w:lang w:val="en-AU"/>
              </w:rPr>
              <w:t>Criteria for Exiting Activities or Key Initiatives</w:t>
            </w:r>
            <w:r w:rsidR="007710F9">
              <w:rPr>
                <w:noProof/>
                <w:webHidden/>
              </w:rPr>
              <w:tab/>
            </w:r>
            <w:r w:rsidR="007710F9">
              <w:rPr>
                <w:noProof/>
                <w:webHidden/>
              </w:rPr>
              <w:fldChar w:fldCharType="begin"/>
            </w:r>
            <w:r w:rsidR="007710F9">
              <w:rPr>
                <w:noProof/>
                <w:webHidden/>
              </w:rPr>
              <w:instrText xml:space="preserve"> PAGEREF _Toc514418239 \h </w:instrText>
            </w:r>
            <w:r w:rsidR="007710F9">
              <w:rPr>
                <w:noProof/>
                <w:webHidden/>
              </w:rPr>
            </w:r>
            <w:r w:rsidR="007710F9">
              <w:rPr>
                <w:noProof/>
                <w:webHidden/>
              </w:rPr>
              <w:fldChar w:fldCharType="separate"/>
            </w:r>
            <w:r w:rsidR="007710F9">
              <w:rPr>
                <w:noProof/>
                <w:webHidden/>
              </w:rPr>
              <w:t>9</w:t>
            </w:r>
            <w:r w:rsidR="007710F9">
              <w:rPr>
                <w:noProof/>
                <w:webHidden/>
              </w:rPr>
              <w:fldChar w:fldCharType="end"/>
            </w:r>
          </w:hyperlink>
        </w:p>
        <w:p w14:paraId="4067CDC4" w14:textId="6FB49EA1" w:rsidR="007710F9" w:rsidRDefault="004D3A39">
          <w:pPr>
            <w:pStyle w:val="TOC2"/>
            <w:tabs>
              <w:tab w:val="right" w:leader="dot" w:pos="9010"/>
            </w:tabs>
            <w:rPr>
              <w:rFonts w:eastAsiaTheme="minorEastAsia"/>
              <w:noProof/>
            </w:rPr>
          </w:pPr>
          <w:hyperlink w:anchor="_Toc514418240" w:history="1">
            <w:r w:rsidR="007710F9" w:rsidRPr="003A494F">
              <w:rPr>
                <w:rStyle w:val="Hyperlink"/>
                <w:noProof/>
                <w:lang w:val="en-AU"/>
              </w:rPr>
              <w:t>Governance Arrangements and Decision-Making Framework</w:t>
            </w:r>
            <w:r w:rsidR="007710F9">
              <w:rPr>
                <w:noProof/>
                <w:webHidden/>
              </w:rPr>
              <w:tab/>
            </w:r>
            <w:r w:rsidR="007710F9">
              <w:rPr>
                <w:noProof/>
                <w:webHidden/>
              </w:rPr>
              <w:fldChar w:fldCharType="begin"/>
            </w:r>
            <w:r w:rsidR="007710F9">
              <w:rPr>
                <w:noProof/>
                <w:webHidden/>
              </w:rPr>
              <w:instrText xml:space="preserve"> PAGEREF _Toc514418240 \h </w:instrText>
            </w:r>
            <w:r w:rsidR="007710F9">
              <w:rPr>
                <w:noProof/>
                <w:webHidden/>
              </w:rPr>
            </w:r>
            <w:r w:rsidR="007710F9">
              <w:rPr>
                <w:noProof/>
                <w:webHidden/>
              </w:rPr>
              <w:fldChar w:fldCharType="separate"/>
            </w:r>
            <w:r w:rsidR="007710F9">
              <w:rPr>
                <w:noProof/>
                <w:webHidden/>
              </w:rPr>
              <w:t>10</w:t>
            </w:r>
            <w:r w:rsidR="007710F9">
              <w:rPr>
                <w:noProof/>
                <w:webHidden/>
              </w:rPr>
              <w:fldChar w:fldCharType="end"/>
            </w:r>
          </w:hyperlink>
        </w:p>
        <w:p w14:paraId="694DBA48" w14:textId="08D74205" w:rsidR="007710F9" w:rsidRDefault="004D3A39">
          <w:pPr>
            <w:pStyle w:val="TOC1"/>
            <w:tabs>
              <w:tab w:val="left" w:pos="440"/>
              <w:tab w:val="right" w:leader="dot" w:pos="9010"/>
            </w:tabs>
            <w:rPr>
              <w:rFonts w:eastAsiaTheme="minorEastAsia"/>
              <w:noProof/>
            </w:rPr>
          </w:pPr>
          <w:hyperlink w:anchor="_Toc514418241" w:history="1">
            <w:r w:rsidR="007710F9" w:rsidRPr="003A494F">
              <w:rPr>
                <w:rStyle w:val="Hyperlink"/>
                <w:noProof/>
                <w:lang w:val="en-AU"/>
              </w:rPr>
              <w:t>5.</w:t>
            </w:r>
            <w:r w:rsidR="007710F9">
              <w:rPr>
                <w:rFonts w:eastAsiaTheme="minorEastAsia"/>
                <w:noProof/>
              </w:rPr>
              <w:tab/>
            </w:r>
            <w:r w:rsidR="007710F9" w:rsidRPr="003A494F">
              <w:rPr>
                <w:rStyle w:val="Hyperlink"/>
                <w:noProof/>
                <w:lang w:val="en-AU"/>
              </w:rPr>
              <w:t>Overview of KSI Phase 2</w:t>
            </w:r>
            <w:r w:rsidR="007710F9">
              <w:rPr>
                <w:noProof/>
                <w:webHidden/>
              </w:rPr>
              <w:tab/>
            </w:r>
            <w:r w:rsidR="007710F9">
              <w:rPr>
                <w:noProof/>
                <w:webHidden/>
              </w:rPr>
              <w:fldChar w:fldCharType="begin"/>
            </w:r>
            <w:r w:rsidR="007710F9">
              <w:rPr>
                <w:noProof/>
                <w:webHidden/>
              </w:rPr>
              <w:instrText xml:space="preserve"> PAGEREF _Toc514418241 \h </w:instrText>
            </w:r>
            <w:r w:rsidR="007710F9">
              <w:rPr>
                <w:noProof/>
                <w:webHidden/>
              </w:rPr>
            </w:r>
            <w:r w:rsidR="007710F9">
              <w:rPr>
                <w:noProof/>
                <w:webHidden/>
              </w:rPr>
              <w:fldChar w:fldCharType="separate"/>
            </w:r>
            <w:r w:rsidR="007710F9">
              <w:rPr>
                <w:noProof/>
                <w:webHidden/>
              </w:rPr>
              <w:t>12</w:t>
            </w:r>
            <w:r w:rsidR="007710F9">
              <w:rPr>
                <w:noProof/>
                <w:webHidden/>
              </w:rPr>
              <w:fldChar w:fldCharType="end"/>
            </w:r>
          </w:hyperlink>
        </w:p>
        <w:p w14:paraId="65F05371" w14:textId="7776EAC5" w:rsidR="007710F9" w:rsidRDefault="004D3A39">
          <w:pPr>
            <w:pStyle w:val="TOC2"/>
            <w:tabs>
              <w:tab w:val="right" w:leader="dot" w:pos="9010"/>
            </w:tabs>
            <w:rPr>
              <w:rFonts w:eastAsiaTheme="minorEastAsia"/>
              <w:noProof/>
            </w:rPr>
          </w:pPr>
          <w:hyperlink w:anchor="_Toc514418242" w:history="1">
            <w:r w:rsidR="007710F9" w:rsidRPr="003A494F">
              <w:rPr>
                <w:rStyle w:val="Hyperlink"/>
                <w:noProof/>
                <w:lang w:val="en-AU"/>
              </w:rPr>
              <w:t>Goal</w:t>
            </w:r>
            <w:r w:rsidR="007710F9">
              <w:rPr>
                <w:noProof/>
                <w:webHidden/>
              </w:rPr>
              <w:tab/>
            </w:r>
            <w:r w:rsidR="007710F9">
              <w:rPr>
                <w:noProof/>
                <w:webHidden/>
              </w:rPr>
              <w:fldChar w:fldCharType="begin"/>
            </w:r>
            <w:r w:rsidR="007710F9">
              <w:rPr>
                <w:noProof/>
                <w:webHidden/>
              </w:rPr>
              <w:instrText xml:space="preserve"> PAGEREF _Toc514418242 \h </w:instrText>
            </w:r>
            <w:r w:rsidR="007710F9">
              <w:rPr>
                <w:noProof/>
                <w:webHidden/>
              </w:rPr>
            </w:r>
            <w:r w:rsidR="007710F9">
              <w:rPr>
                <w:noProof/>
                <w:webHidden/>
              </w:rPr>
              <w:fldChar w:fldCharType="separate"/>
            </w:r>
            <w:r w:rsidR="007710F9">
              <w:rPr>
                <w:noProof/>
                <w:webHidden/>
              </w:rPr>
              <w:t>13</w:t>
            </w:r>
            <w:r w:rsidR="007710F9">
              <w:rPr>
                <w:noProof/>
                <w:webHidden/>
              </w:rPr>
              <w:fldChar w:fldCharType="end"/>
            </w:r>
          </w:hyperlink>
        </w:p>
        <w:p w14:paraId="4FBDF67C" w14:textId="5A2A48B1" w:rsidR="007710F9" w:rsidRDefault="004D3A39">
          <w:pPr>
            <w:pStyle w:val="TOC2"/>
            <w:tabs>
              <w:tab w:val="right" w:leader="dot" w:pos="9010"/>
            </w:tabs>
            <w:rPr>
              <w:rFonts w:eastAsiaTheme="minorEastAsia"/>
              <w:noProof/>
            </w:rPr>
          </w:pPr>
          <w:hyperlink w:anchor="_Toc514418243" w:history="1">
            <w:r w:rsidR="007710F9" w:rsidRPr="003A494F">
              <w:rPr>
                <w:rStyle w:val="Hyperlink"/>
                <w:noProof/>
                <w:lang w:val="en-AU"/>
              </w:rPr>
              <w:t>Focus Areas</w:t>
            </w:r>
            <w:r w:rsidR="007710F9">
              <w:rPr>
                <w:noProof/>
                <w:webHidden/>
              </w:rPr>
              <w:tab/>
            </w:r>
            <w:r w:rsidR="007710F9">
              <w:rPr>
                <w:noProof/>
                <w:webHidden/>
              </w:rPr>
              <w:fldChar w:fldCharType="begin"/>
            </w:r>
            <w:r w:rsidR="007710F9">
              <w:rPr>
                <w:noProof/>
                <w:webHidden/>
              </w:rPr>
              <w:instrText xml:space="preserve"> PAGEREF _Toc514418243 \h </w:instrText>
            </w:r>
            <w:r w:rsidR="007710F9">
              <w:rPr>
                <w:noProof/>
                <w:webHidden/>
              </w:rPr>
            </w:r>
            <w:r w:rsidR="007710F9">
              <w:rPr>
                <w:noProof/>
                <w:webHidden/>
              </w:rPr>
              <w:fldChar w:fldCharType="separate"/>
            </w:r>
            <w:r w:rsidR="007710F9">
              <w:rPr>
                <w:noProof/>
                <w:webHidden/>
              </w:rPr>
              <w:t>13</w:t>
            </w:r>
            <w:r w:rsidR="007710F9">
              <w:rPr>
                <w:noProof/>
                <w:webHidden/>
              </w:rPr>
              <w:fldChar w:fldCharType="end"/>
            </w:r>
          </w:hyperlink>
        </w:p>
        <w:p w14:paraId="45A5C41F" w14:textId="6BBB158B" w:rsidR="007710F9" w:rsidRDefault="004D3A39">
          <w:pPr>
            <w:pStyle w:val="TOC3"/>
            <w:tabs>
              <w:tab w:val="right" w:leader="dot" w:pos="9010"/>
            </w:tabs>
            <w:rPr>
              <w:rFonts w:eastAsiaTheme="minorEastAsia"/>
              <w:noProof/>
            </w:rPr>
          </w:pPr>
          <w:hyperlink w:anchor="_Toc514418244" w:history="1">
            <w:r w:rsidR="007710F9" w:rsidRPr="003A494F">
              <w:rPr>
                <w:rStyle w:val="Hyperlink"/>
                <w:noProof/>
                <w:lang w:val="en-AU"/>
              </w:rPr>
              <w:t>Focus Area 1: Better quality and more effective communication of policy research</w:t>
            </w:r>
            <w:r w:rsidR="007710F9">
              <w:rPr>
                <w:noProof/>
                <w:webHidden/>
              </w:rPr>
              <w:tab/>
            </w:r>
            <w:r w:rsidR="007710F9">
              <w:rPr>
                <w:noProof/>
                <w:webHidden/>
              </w:rPr>
              <w:fldChar w:fldCharType="begin"/>
            </w:r>
            <w:r w:rsidR="007710F9">
              <w:rPr>
                <w:noProof/>
                <w:webHidden/>
              </w:rPr>
              <w:instrText xml:space="preserve"> PAGEREF _Toc514418244 \h </w:instrText>
            </w:r>
            <w:r w:rsidR="007710F9">
              <w:rPr>
                <w:noProof/>
                <w:webHidden/>
              </w:rPr>
            </w:r>
            <w:r w:rsidR="007710F9">
              <w:rPr>
                <w:noProof/>
                <w:webHidden/>
              </w:rPr>
              <w:fldChar w:fldCharType="separate"/>
            </w:r>
            <w:r w:rsidR="007710F9">
              <w:rPr>
                <w:noProof/>
                <w:webHidden/>
              </w:rPr>
              <w:t>13</w:t>
            </w:r>
            <w:r w:rsidR="007710F9">
              <w:rPr>
                <w:noProof/>
                <w:webHidden/>
              </w:rPr>
              <w:fldChar w:fldCharType="end"/>
            </w:r>
          </w:hyperlink>
        </w:p>
        <w:p w14:paraId="0361A146" w14:textId="40D4E046" w:rsidR="007710F9" w:rsidRDefault="004D3A39">
          <w:pPr>
            <w:pStyle w:val="TOC3"/>
            <w:tabs>
              <w:tab w:val="right" w:leader="dot" w:pos="9010"/>
            </w:tabs>
            <w:rPr>
              <w:rFonts w:eastAsiaTheme="minorEastAsia"/>
              <w:noProof/>
            </w:rPr>
          </w:pPr>
          <w:hyperlink w:anchor="_Toc514418245" w:history="1">
            <w:r w:rsidR="007710F9" w:rsidRPr="003A494F">
              <w:rPr>
                <w:rStyle w:val="Hyperlink"/>
                <w:noProof/>
                <w:lang w:val="en-AU"/>
              </w:rPr>
              <w:t>Focus Area 2: More and better spending on policy research</w:t>
            </w:r>
            <w:r w:rsidR="007710F9">
              <w:rPr>
                <w:noProof/>
                <w:webHidden/>
              </w:rPr>
              <w:tab/>
            </w:r>
            <w:r w:rsidR="007710F9">
              <w:rPr>
                <w:noProof/>
                <w:webHidden/>
              </w:rPr>
              <w:fldChar w:fldCharType="begin"/>
            </w:r>
            <w:r w:rsidR="007710F9">
              <w:rPr>
                <w:noProof/>
                <w:webHidden/>
              </w:rPr>
              <w:instrText xml:space="preserve"> PAGEREF _Toc514418245 \h </w:instrText>
            </w:r>
            <w:r w:rsidR="007710F9">
              <w:rPr>
                <w:noProof/>
                <w:webHidden/>
              </w:rPr>
            </w:r>
            <w:r w:rsidR="007710F9">
              <w:rPr>
                <w:noProof/>
                <w:webHidden/>
              </w:rPr>
              <w:fldChar w:fldCharType="separate"/>
            </w:r>
            <w:r w:rsidR="007710F9">
              <w:rPr>
                <w:noProof/>
                <w:webHidden/>
              </w:rPr>
              <w:t>14</w:t>
            </w:r>
            <w:r w:rsidR="007710F9">
              <w:rPr>
                <w:noProof/>
                <w:webHidden/>
              </w:rPr>
              <w:fldChar w:fldCharType="end"/>
            </w:r>
          </w:hyperlink>
        </w:p>
        <w:p w14:paraId="53749CE5" w14:textId="264E8C25" w:rsidR="007710F9" w:rsidRDefault="004D3A39">
          <w:pPr>
            <w:pStyle w:val="TOC3"/>
            <w:tabs>
              <w:tab w:val="right" w:leader="dot" w:pos="9010"/>
            </w:tabs>
            <w:rPr>
              <w:rFonts w:eastAsiaTheme="minorEastAsia"/>
              <w:noProof/>
            </w:rPr>
          </w:pPr>
          <w:hyperlink w:anchor="_Toc514418246" w:history="1">
            <w:r w:rsidR="007710F9" w:rsidRPr="003A494F">
              <w:rPr>
                <w:rStyle w:val="Hyperlink"/>
                <w:noProof/>
                <w:lang w:val="en-AU"/>
              </w:rPr>
              <w:t>Focus Area 3: Data and information is better managed, available and accessible</w:t>
            </w:r>
            <w:r w:rsidR="007710F9">
              <w:rPr>
                <w:noProof/>
                <w:webHidden/>
              </w:rPr>
              <w:tab/>
            </w:r>
            <w:r w:rsidR="007710F9">
              <w:rPr>
                <w:noProof/>
                <w:webHidden/>
              </w:rPr>
              <w:fldChar w:fldCharType="begin"/>
            </w:r>
            <w:r w:rsidR="007710F9">
              <w:rPr>
                <w:noProof/>
                <w:webHidden/>
              </w:rPr>
              <w:instrText xml:space="preserve"> PAGEREF _Toc514418246 \h </w:instrText>
            </w:r>
            <w:r w:rsidR="007710F9">
              <w:rPr>
                <w:noProof/>
                <w:webHidden/>
              </w:rPr>
            </w:r>
            <w:r w:rsidR="007710F9">
              <w:rPr>
                <w:noProof/>
                <w:webHidden/>
              </w:rPr>
              <w:fldChar w:fldCharType="separate"/>
            </w:r>
            <w:r w:rsidR="007710F9">
              <w:rPr>
                <w:noProof/>
                <w:webHidden/>
              </w:rPr>
              <w:t>14</w:t>
            </w:r>
            <w:r w:rsidR="007710F9">
              <w:rPr>
                <w:noProof/>
                <w:webHidden/>
              </w:rPr>
              <w:fldChar w:fldCharType="end"/>
            </w:r>
          </w:hyperlink>
        </w:p>
        <w:p w14:paraId="3BB3EC50" w14:textId="24701703" w:rsidR="007710F9" w:rsidRDefault="004D3A39">
          <w:pPr>
            <w:pStyle w:val="TOC2"/>
            <w:tabs>
              <w:tab w:val="right" w:leader="dot" w:pos="9010"/>
            </w:tabs>
            <w:rPr>
              <w:rFonts w:eastAsiaTheme="minorEastAsia"/>
              <w:noProof/>
            </w:rPr>
          </w:pPr>
          <w:hyperlink w:anchor="_Toc514418247" w:history="1">
            <w:r w:rsidR="007710F9" w:rsidRPr="003A494F">
              <w:rPr>
                <w:rStyle w:val="Hyperlink"/>
                <w:noProof/>
                <w:lang w:val="en-AU"/>
              </w:rPr>
              <w:t>End of Program Outcomes and Key Initiatives</w:t>
            </w:r>
            <w:r w:rsidR="007710F9">
              <w:rPr>
                <w:noProof/>
                <w:webHidden/>
              </w:rPr>
              <w:tab/>
            </w:r>
            <w:r w:rsidR="007710F9">
              <w:rPr>
                <w:noProof/>
                <w:webHidden/>
              </w:rPr>
              <w:fldChar w:fldCharType="begin"/>
            </w:r>
            <w:r w:rsidR="007710F9">
              <w:rPr>
                <w:noProof/>
                <w:webHidden/>
              </w:rPr>
              <w:instrText xml:space="preserve"> PAGEREF _Toc514418247 \h </w:instrText>
            </w:r>
            <w:r w:rsidR="007710F9">
              <w:rPr>
                <w:noProof/>
                <w:webHidden/>
              </w:rPr>
            </w:r>
            <w:r w:rsidR="007710F9">
              <w:rPr>
                <w:noProof/>
                <w:webHidden/>
              </w:rPr>
              <w:fldChar w:fldCharType="separate"/>
            </w:r>
            <w:r w:rsidR="007710F9">
              <w:rPr>
                <w:noProof/>
                <w:webHidden/>
              </w:rPr>
              <w:t>14</w:t>
            </w:r>
            <w:r w:rsidR="007710F9">
              <w:rPr>
                <w:noProof/>
                <w:webHidden/>
              </w:rPr>
              <w:fldChar w:fldCharType="end"/>
            </w:r>
          </w:hyperlink>
        </w:p>
        <w:p w14:paraId="007D7ADB" w14:textId="34730C4F" w:rsidR="007710F9" w:rsidRDefault="004D3A39">
          <w:pPr>
            <w:pStyle w:val="TOC2"/>
            <w:tabs>
              <w:tab w:val="right" w:leader="dot" w:pos="9010"/>
            </w:tabs>
            <w:rPr>
              <w:rFonts w:eastAsiaTheme="minorEastAsia"/>
              <w:noProof/>
            </w:rPr>
          </w:pPr>
          <w:hyperlink w:anchor="_Toc514418248" w:history="1">
            <w:r w:rsidR="007710F9" w:rsidRPr="003A494F">
              <w:rPr>
                <w:rStyle w:val="Hyperlink"/>
                <w:noProof/>
                <w:lang w:val="en-AU"/>
              </w:rPr>
              <w:t>Cross-Cutting Strategies</w:t>
            </w:r>
            <w:r w:rsidR="007710F9">
              <w:rPr>
                <w:noProof/>
                <w:webHidden/>
              </w:rPr>
              <w:tab/>
            </w:r>
            <w:r w:rsidR="007710F9">
              <w:rPr>
                <w:noProof/>
                <w:webHidden/>
              </w:rPr>
              <w:fldChar w:fldCharType="begin"/>
            </w:r>
            <w:r w:rsidR="007710F9">
              <w:rPr>
                <w:noProof/>
                <w:webHidden/>
              </w:rPr>
              <w:instrText xml:space="preserve"> PAGEREF _Toc514418248 \h </w:instrText>
            </w:r>
            <w:r w:rsidR="007710F9">
              <w:rPr>
                <w:noProof/>
                <w:webHidden/>
              </w:rPr>
            </w:r>
            <w:r w:rsidR="007710F9">
              <w:rPr>
                <w:noProof/>
                <w:webHidden/>
              </w:rPr>
              <w:fldChar w:fldCharType="separate"/>
            </w:r>
            <w:r w:rsidR="007710F9">
              <w:rPr>
                <w:noProof/>
                <w:webHidden/>
              </w:rPr>
              <w:t>36</w:t>
            </w:r>
            <w:r w:rsidR="007710F9">
              <w:rPr>
                <w:noProof/>
                <w:webHidden/>
              </w:rPr>
              <w:fldChar w:fldCharType="end"/>
            </w:r>
          </w:hyperlink>
        </w:p>
        <w:p w14:paraId="68DEC31A" w14:textId="34C2FFAE" w:rsidR="007710F9" w:rsidRDefault="004D3A39">
          <w:pPr>
            <w:pStyle w:val="TOC3"/>
            <w:tabs>
              <w:tab w:val="right" w:leader="dot" w:pos="9010"/>
            </w:tabs>
            <w:rPr>
              <w:rFonts w:eastAsiaTheme="minorEastAsia"/>
              <w:noProof/>
            </w:rPr>
          </w:pPr>
          <w:hyperlink w:anchor="_Toc514418249" w:history="1">
            <w:r w:rsidR="007710F9" w:rsidRPr="003A494F">
              <w:rPr>
                <w:rStyle w:val="Hyperlink"/>
                <w:noProof/>
                <w:lang w:val="en-AU"/>
              </w:rPr>
              <w:t>GESI Strategy</w:t>
            </w:r>
            <w:r w:rsidR="007710F9">
              <w:rPr>
                <w:noProof/>
                <w:webHidden/>
              </w:rPr>
              <w:tab/>
            </w:r>
            <w:r w:rsidR="007710F9">
              <w:rPr>
                <w:noProof/>
                <w:webHidden/>
              </w:rPr>
              <w:fldChar w:fldCharType="begin"/>
            </w:r>
            <w:r w:rsidR="007710F9">
              <w:rPr>
                <w:noProof/>
                <w:webHidden/>
              </w:rPr>
              <w:instrText xml:space="preserve"> PAGEREF _Toc514418249 \h </w:instrText>
            </w:r>
            <w:r w:rsidR="007710F9">
              <w:rPr>
                <w:noProof/>
                <w:webHidden/>
              </w:rPr>
            </w:r>
            <w:r w:rsidR="007710F9">
              <w:rPr>
                <w:noProof/>
                <w:webHidden/>
              </w:rPr>
              <w:fldChar w:fldCharType="separate"/>
            </w:r>
            <w:r w:rsidR="007710F9">
              <w:rPr>
                <w:noProof/>
                <w:webHidden/>
              </w:rPr>
              <w:t>37</w:t>
            </w:r>
            <w:r w:rsidR="007710F9">
              <w:rPr>
                <w:noProof/>
                <w:webHidden/>
              </w:rPr>
              <w:fldChar w:fldCharType="end"/>
            </w:r>
          </w:hyperlink>
        </w:p>
        <w:p w14:paraId="44EFA858" w14:textId="009DDA8A" w:rsidR="007710F9" w:rsidRDefault="004D3A39">
          <w:pPr>
            <w:pStyle w:val="TOC3"/>
            <w:tabs>
              <w:tab w:val="right" w:leader="dot" w:pos="9010"/>
            </w:tabs>
            <w:rPr>
              <w:rFonts w:eastAsiaTheme="minorEastAsia"/>
              <w:noProof/>
            </w:rPr>
          </w:pPr>
          <w:hyperlink w:anchor="_Toc514418250" w:history="1">
            <w:r w:rsidR="007710F9" w:rsidRPr="003A494F">
              <w:rPr>
                <w:rStyle w:val="Hyperlink"/>
                <w:noProof/>
                <w:lang w:val="en-AU"/>
              </w:rPr>
              <w:t>Sub-National Work</w:t>
            </w:r>
            <w:r w:rsidR="007710F9">
              <w:rPr>
                <w:noProof/>
                <w:webHidden/>
              </w:rPr>
              <w:tab/>
            </w:r>
            <w:r w:rsidR="007710F9">
              <w:rPr>
                <w:noProof/>
                <w:webHidden/>
              </w:rPr>
              <w:fldChar w:fldCharType="begin"/>
            </w:r>
            <w:r w:rsidR="007710F9">
              <w:rPr>
                <w:noProof/>
                <w:webHidden/>
              </w:rPr>
              <w:instrText xml:space="preserve"> PAGEREF _Toc514418250 \h </w:instrText>
            </w:r>
            <w:r w:rsidR="007710F9">
              <w:rPr>
                <w:noProof/>
                <w:webHidden/>
              </w:rPr>
            </w:r>
            <w:r w:rsidR="007710F9">
              <w:rPr>
                <w:noProof/>
                <w:webHidden/>
              </w:rPr>
              <w:fldChar w:fldCharType="separate"/>
            </w:r>
            <w:r w:rsidR="007710F9">
              <w:rPr>
                <w:noProof/>
                <w:webHidden/>
              </w:rPr>
              <w:t>38</w:t>
            </w:r>
            <w:r w:rsidR="007710F9">
              <w:rPr>
                <w:noProof/>
                <w:webHidden/>
              </w:rPr>
              <w:fldChar w:fldCharType="end"/>
            </w:r>
          </w:hyperlink>
        </w:p>
        <w:p w14:paraId="391A0C7D" w14:textId="46344747" w:rsidR="007710F9" w:rsidRDefault="004D3A39">
          <w:pPr>
            <w:pStyle w:val="TOC3"/>
            <w:tabs>
              <w:tab w:val="right" w:leader="dot" w:pos="9010"/>
            </w:tabs>
            <w:rPr>
              <w:rFonts w:eastAsiaTheme="minorEastAsia"/>
              <w:noProof/>
            </w:rPr>
          </w:pPr>
          <w:hyperlink w:anchor="_Toc514418251" w:history="1">
            <w:r w:rsidR="007710F9" w:rsidRPr="003A494F">
              <w:rPr>
                <w:rStyle w:val="Hyperlink"/>
                <w:noProof/>
                <w:lang w:val="en-AU"/>
              </w:rPr>
              <w:t>Engaging Media</w:t>
            </w:r>
            <w:r w:rsidR="007710F9">
              <w:rPr>
                <w:noProof/>
                <w:webHidden/>
              </w:rPr>
              <w:tab/>
            </w:r>
            <w:r w:rsidR="007710F9">
              <w:rPr>
                <w:noProof/>
                <w:webHidden/>
              </w:rPr>
              <w:fldChar w:fldCharType="begin"/>
            </w:r>
            <w:r w:rsidR="007710F9">
              <w:rPr>
                <w:noProof/>
                <w:webHidden/>
              </w:rPr>
              <w:instrText xml:space="preserve"> PAGEREF _Toc514418251 \h </w:instrText>
            </w:r>
            <w:r w:rsidR="007710F9">
              <w:rPr>
                <w:noProof/>
                <w:webHidden/>
              </w:rPr>
            </w:r>
            <w:r w:rsidR="007710F9">
              <w:rPr>
                <w:noProof/>
                <w:webHidden/>
              </w:rPr>
              <w:fldChar w:fldCharType="separate"/>
            </w:r>
            <w:r w:rsidR="007710F9">
              <w:rPr>
                <w:noProof/>
                <w:webHidden/>
              </w:rPr>
              <w:t>39</w:t>
            </w:r>
            <w:r w:rsidR="007710F9">
              <w:rPr>
                <w:noProof/>
                <w:webHidden/>
              </w:rPr>
              <w:fldChar w:fldCharType="end"/>
            </w:r>
          </w:hyperlink>
        </w:p>
        <w:p w14:paraId="375DED0E" w14:textId="326E67FC" w:rsidR="007710F9" w:rsidRDefault="004D3A39">
          <w:pPr>
            <w:pStyle w:val="TOC1"/>
            <w:tabs>
              <w:tab w:val="right" w:leader="dot" w:pos="9010"/>
            </w:tabs>
            <w:rPr>
              <w:rFonts w:eastAsiaTheme="minorEastAsia"/>
              <w:noProof/>
            </w:rPr>
          </w:pPr>
          <w:hyperlink w:anchor="_Toc514418252" w:history="1">
            <w:r w:rsidR="007710F9" w:rsidRPr="003A494F">
              <w:rPr>
                <w:rStyle w:val="Hyperlink"/>
                <w:noProof/>
                <w:lang w:val="en-AU"/>
              </w:rPr>
              <w:t>Annex 1: Definitions of Key Terms</w:t>
            </w:r>
            <w:r w:rsidR="007710F9">
              <w:rPr>
                <w:noProof/>
                <w:webHidden/>
              </w:rPr>
              <w:tab/>
            </w:r>
            <w:r w:rsidR="007710F9">
              <w:rPr>
                <w:noProof/>
                <w:webHidden/>
              </w:rPr>
              <w:fldChar w:fldCharType="begin"/>
            </w:r>
            <w:r w:rsidR="007710F9">
              <w:rPr>
                <w:noProof/>
                <w:webHidden/>
              </w:rPr>
              <w:instrText xml:space="preserve"> PAGEREF _Toc514418252 \h </w:instrText>
            </w:r>
            <w:r w:rsidR="007710F9">
              <w:rPr>
                <w:noProof/>
                <w:webHidden/>
              </w:rPr>
            </w:r>
            <w:r w:rsidR="007710F9">
              <w:rPr>
                <w:noProof/>
                <w:webHidden/>
              </w:rPr>
              <w:fldChar w:fldCharType="separate"/>
            </w:r>
            <w:r w:rsidR="007710F9">
              <w:rPr>
                <w:noProof/>
                <w:webHidden/>
              </w:rPr>
              <w:t>40</w:t>
            </w:r>
            <w:r w:rsidR="007710F9">
              <w:rPr>
                <w:noProof/>
                <w:webHidden/>
              </w:rPr>
              <w:fldChar w:fldCharType="end"/>
            </w:r>
          </w:hyperlink>
        </w:p>
        <w:p w14:paraId="295BFD2A" w14:textId="5F8D7AAE" w:rsidR="007710F9" w:rsidRDefault="004D3A39">
          <w:pPr>
            <w:pStyle w:val="TOC1"/>
            <w:tabs>
              <w:tab w:val="right" w:leader="dot" w:pos="9010"/>
            </w:tabs>
            <w:rPr>
              <w:rFonts w:eastAsiaTheme="minorEastAsia"/>
              <w:noProof/>
            </w:rPr>
          </w:pPr>
          <w:hyperlink w:anchor="_Toc514418253" w:history="1">
            <w:r w:rsidR="007710F9" w:rsidRPr="003A494F">
              <w:rPr>
                <w:rStyle w:val="Hyperlink"/>
                <w:noProof/>
                <w:lang w:val="en-AU"/>
              </w:rPr>
              <w:t>Annex 2: KSI Program Governance Structure</w:t>
            </w:r>
            <w:r w:rsidR="007710F9">
              <w:rPr>
                <w:noProof/>
                <w:webHidden/>
              </w:rPr>
              <w:tab/>
            </w:r>
            <w:r w:rsidR="007710F9">
              <w:rPr>
                <w:noProof/>
                <w:webHidden/>
              </w:rPr>
              <w:fldChar w:fldCharType="begin"/>
            </w:r>
            <w:r w:rsidR="007710F9">
              <w:rPr>
                <w:noProof/>
                <w:webHidden/>
              </w:rPr>
              <w:instrText xml:space="preserve"> PAGEREF _Toc514418253 \h </w:instrText>
            </w:r>
            <w:r w:rsidR="007710F9">
              <w:rPr>
                <w:noProof/>
                <w:webHidden/>
              </w:rPr>
            </w:r>
            <w:r w:rsidR="007710F9">
              <w:rPr>
                <w:noProof/>
                <w:webHidden/>
              </w:rPr>
              <w:fldChar w:fldCharType="separate"/>
            </w:r>
            <w:r w:rsidR="007710F9">
              <w:rPr>
                <w:noProof/>
                <w:webHidden/>
              </w:rPr>
              <w:t>41</w:t>
            </w:r>
            <w:r w:rsidR="007710F9">
              <w:rPr>
                <w:noProof/>
                <w:webHidden/>
              </w:rPr>
              <w:fldChar w:fldCharType="end"/>
            </w:r>
          </w:hyperlink>
        </w:p>
        <w:p w14:paraId="490C0E3F" w14:textId="40B49E5A" w:rsidR="007710F9" w:rsidRDefault="004D3A39">
          <w:pPr>
            <w:pStyle w:val="TOC1"/>
            <w:tabs>
              <w:tab w:val="right" w:leader="dot" w:pos="9010"/>
            </w:tabs>
            <w:rPr>
              <w:rFonts w:eastAsiaTheme="minorEastAsia"/>
              <w:noProof/>
            </w:rPr>
          </w:pPr>
          <w:hyperlink w:anchor="_Toc514418254" w:history="1">
            <w:r w:rsidR="007710F9" w:rsidRPr="003A494F">
              <w:rPr>
                <w:rStyle w:val="Hyperlink"/>
                <w:noProof/>
                <w:lang w:val="en-AU"/>
              </w:rPr>
              <w:t>Annex 3: Outline for Key Initiative Paper</w:t>
            </w:r>
            <w:r w:rsidR="007710F9">
              <w:rPr>
                <w:noProof/>
                <w:webHidden/>
              </w:rPr>
              <w:tab/>
            </w:r>
            <w:r w:rsidR="007710F9">
              <w:rPr>
                <w:noProof/>
                <w:webHidden/>
              </w:rPr>
              <w:fldChar w:fldCharType="begin"/>
            </w:r>
            <w:r w:rsidR="007710F9">
              <w:rPr>
                <w:noProof/>
                <w:webHidden/>
              </w:rPr>
              <w:instrText xml:space="preserve"> PAGEREF _Toc514418254 \h </w:instrText>
            </w:r>
            <w:r w:rsidR="007710F9">
              <w:rPr>
                <w:noProof/>
                <w:webHidden/>
              </w:rPr>
            </w:r>
            <w:r w:rsidR="007710F9">
              <w:rPr>
                <w:noProof/>
                <w:webHidden/>
              </w:rPr>
              <w:fldChar w:fldCharType="separate"/>
            </w:r>
            <w:r w:rsidR="007710F9">
              <w:rPr>
                <w:noProof/>
                <w:webHidden/>
              </w:rPr>
              <w:t>43</w:t>
            </w:r>
            <w:r w:rsidR="007710F9">
              <w:rPr>
                <w:noProof/>
                <w:webHidden/>
              </w:rPr>
              <w:fldChar w:fldCharType="end"/>
            </w:r>
          </w:hyperlink>
        </w:p>
        <w:p w14:paraId="6E8B667E" w14:textId="34E7D057" w:rsidR="007710F9" w:rsidRDefault="004D3A39">
          <w:pPr>
            <w:pStyle w:val="TOC1"/>
            <w:tabs>
              <w:tab w:val="right" w:leader="dot" w:pos="9010"/>
            </w:tabs>
            <w:rPr>
              <w:rFonts w:eastAsiaTheme="minorEastAsia"/>
              <w:noProof/>
            </w:rPr>
          </w:pPr>
          <w:hyperlink w:anchor="_Toc514418255" w:history="1">
            <w:r w:rsidR="007710F9" w:rsidRPr="003A494F">
              <w:rPr>
                <w:rStyle w:val="Hyperlink"/>
                <w:noProof/>
                <w:lang w:val="en-AU"/>
              </w:rPr>
              <w:t>Annex 4: Budget Overview</w:t>
            </w:r>
            <w:r w:rsidR="007710F9">
              <w:rPr>
                <w:noProof/>
                <w:webHidden/>
              </w:rPr>
              <w:tab/>
            </w:r>
            <w:r w:rsidR="007710F9">
              <w:rPr>
                <w:noProof/>
                <w:webHidden/>
              </w:rPr>
              <w:fldChar w:fldCharType="begin"/>
            </w:r>
            <w:r w:rsidR="007710F9">
              <w:rPr>
                <w:noProof/>
                <w:webHidden/>
              </w:rPr>
              <w:instrText xml:space="preserve"> PAGEREF _Toc514418255 \h </w:instrText>
            </w:r>
            <w:r w:rsidR="007710F9">
              <w:rPr>
                <w:noProof/>
                <w:webHidden/>
              </w:rPr>
            </w:r>
            <w:r w:rsidR="007710F9">
              <w:rPr>
                <w:noProof/>
                <w:webHidden/>
              </w:rPr>
              <w:fldChar w:fldCharType="separate"/>
            </w:r>
            <w:r w:rsidR="007710F9">
              <w:rPr>
                <w:noProof/>
                <w:webHidden/>
              </w:rPr>
              <w:t>45</w:t>
            </w:r>
            <w:r w:rsidR="007710F9">
              <w:rPr>
                <w:noProof/>
                <w:webHidden/>
              </w:rPr>
              <w:fldChar w:fldCharType="end"/>
            </w:r>
          </w:hyperlink>
        </w:p>
        <w:p w14:paraId="3188BA77" w14:textId="1B6B235A" w:rsidR="00FD639B" w:rsidRPr="00351A46" w:rsidRDefault="00FD639B">
          <w:pPr>
            <w:rPr>
              <w:lang w:val="en-AU"/>
            </w:rPr>
          </w:pPr>
          <w:r w:rsidRPr="009E1C17">
            <w:rPr>
              <w:b/>
              <w:bCs/>
              <w:lang w:val="en-AU"/>
            </w:rPr>
            <w:fldChar w:fldCharType="end"/>
          </w:r>
        </w:p>
      </w:sdtContent>
    </w:sdt>
    <w:p w14:paraId="30A20505" w14:textId="5F1800C7" w:rsidR="00D56BA9" w:rsidRPr="00351A46" w:rsidRDefault="00D56BA9">
      <w:pPr>
        <w:tabs>
          <w:tab w:val="right" w:pos="9020"/>
        </w:tabs>
        <w:jc w:val="right"/>
        <w:rPr>
          <w:b/>
          <w:sz w:val="28"/>
          <w:szCs w:val="28"/>
          <w:lang w:val="en-AU"/>
        </w:rPr>
      </w:pPr>
    </w:p>
    <w:p w14:paraId="36E2C3A9" w14:textId="38A69074" w:rsidR="00640825" w:rsidRPr="00351A46" w:rsidRDefault="00640825">
      <w:pPr>
        <w:tabs>
          <w:tab w:val="right" w:pos="9020"/>
        </w:tabs>
        <w:rPr>
          <w:b/>
          <w:sz w:val="28"/>
          <w:szCs w:val="28"/>
          <w:lang w:val="en-AU"/>
        </w:rPr>
      </w:pPr>
      <w:r w:rsidRPr="00351A46">
        <w:rPr>
          <w:sz w:val="28"/>
          <w:szCs w:val="28"/>
          <w:lang w:val="en-AU"/>
        </w:rPr>
        <w:br w:type="page"/>
      </w:r>
    </w:p>
    <w:p w14:paraId="52A7547A" w14:textId="77777777" w:rsidR="00640825" w:rsidRPr="00351A46" w:rsidRDefault="00640825" w:rsidP="002D3D6C">
      <w:pPr>
        <w:pStyle w:val="Heading1"/>
        <w:numPr>
          <w:ilvl w:val="0"/>
          <w:numId w:val="1"/>
        </w:numPr>
        <w:spacing w:before="0"/>
        <w:ind w:left="357" w:hanging="357"/>
        <w:rPr>
          <w:lang w:val="en-AU"/>
        </w:rPr>
      </w:pPr>
      <w:bookmarkStart w:id="1" w:name="_Toc514418225"/>
      <w:r w:rsidRPr="00351A46">
        <w:rPr>
          <w:lang w:val="en-AU"/>
        </w:rPr>
        <w:lastRenderedPageBreak/>
        <w:t>Introduction</w:t>
      </w:r>
      <w:bookmarkEnd w:id="1"/>
    </w:p>
    <w:p w14:paraId="2BBD3806" w14:textId="77777777" w:rsidR="00F912D4" w:rsidRPr="002D3D6C" w:rsidRDefault="00F912D4" w:rsidP="002D3D6C">
      <w:pPr>
        <w:spacing w:after="0"/>
        <w:jc w:val="both"/>
        <w:rPr>
          <w:sz w:val="10"/>
          <w:lang w:val="en-AU"/>
        </w:rPr>
      </w:pPr>
    </w:p>
    <w:p w14:paraId="7860A6FB" w14:textId="5391327A" w:rsidR="00640825" w:rsidRPr="00351A46" w:rsidRDefault="00D35700">
      <w:pPr>
        <w:jc w:val="both"/>
        <w:rPr>
          <w:lang w:val="en-AU"/>
        </w:rPr>
      </w:pPr>
      <w:r w:rsidRPr="00351A46">
        <w:rPr>
          <w:lang w:val="en-AU"/>
        </w:rPr>
        <w:t>Th</w:t>
      </w:r>
      <w:r w:rsidR="00D0604A" w:rsidRPr="00351A46">
        <w:rPr>
          <w:lang w:val="en-AU"/>
        </w:rPr>
        <w:t>is</w:t>
      </w:r>
      <w:r w:rsidRPr="00351A46">
        <w:rPr>
          <w:lang w:val="en-AU"/>
        </w:rPr>
        <w:t xml:space="preserve"> </w:t>
      </w:r>
      <w:r w:rsidR="008C3312" w:rsidRPr="00351A46">
        <w:rPr>
          <w:lang w:val="en-AU"/>
        </w:rPr>
        <w:t>program</w:t>
      </w:r>
      <w:r w:rsidR="00197DFD" w:rsidRPr="00351A46">
        <w:rPr>
          <w:lang w:val="en-AU"/>
        </w:rPr>
        <w:t xml:space="preserve"> implementation strategy</w:t>
      </w:r>
      <w:r w:rsidRPr="00351A46">
        <w:rPr>
          <w:lang w:val="en-AU"/>
        </w:rPr>
        <w:t xml:space="preserve"> outlines in further detail the general directions and principles of engagement provided by the</w:t>
      </w:r>
      <w:r w:rsidR="002A2056" w:rsidRPr="00351A46">
        <w:rPr>
          <w:lang w:val="en-AU"/>
        </w:rPr>
        <w:t xml:space="preserve"> KSI </w:t>
      </w:r>
      <w:r w:rsidR="00FB6B1F" w:rsidRPr="00351A46">
        <w:rPr>
          <w:lang w:val="en-AU"/>
        </w:rPr>
        <w:t>Guiding Strategy</w:t>
      </w:r>
      <w:r w:rsidR="00202517" w:rsidRPr="00351A46">
        <w:rPr>
          <w:lang w:val="en-AU"/>
        </w:rPr>
        <w:t xml:space="preserve"> </w:t>
      </w:r>
      <w:r w:rsidR="00067B83" w:rsidRPr="00351A46">
        <w:rPr>
          <w:lang w:val="en-AU"/>
        </w:rPr>
        <w:t>for Phase 2</w:t>
      </w:r>
      <w:r w:rsidRPr="00351A46">
        <w:rPr>
          <w:lang w:val="en-AU"/>
        </w:rPr>
        <w:t xml:space="preserve">. It is based on consultations and engagement with KSI stakeholders </w:t>
      </w:r>
      <w:r w:rsidR="007056CB" w:rsidRPr="00351A46">
        <w:rPr>
          <w:lang w:val="en-AU"/>
        </w:rPr>
        <w:t>using</w:t>
      </w:r>
      <w:r w:rsidRPr="00351A46">
        <w:rPr>
          <w:lang w:val="en-AU"/>
        </w:rPr>
        <w:t xml:space="preserve"> the </w:t>
      </w:r>
      <w:r w:rsidR="00FB6B1F" w:rsidRPr="00351A46">
        <w:rPr>
          <w:lang w:val="en-AU"/>
        </w:rPr>
        <w:t>Guiding Strategy</w:t>
      </w:r>
      <w:r w:rsidRPr="00351A46">
        <w:rPr>
          <w:lang w:val="en-AU"/>
        </w:rPr>
        <w:t xml:space="preserve"> as the main point of </w:t>
      </w:r>
      <w:r w:rsidR="00AD26B3" w:rsidRPr="00351A46">
        <w:rPr>
          <w:lang w:val="en-AU"/>
        </w:rPr>
        <w:t>reference</w:t>
      </w:r>
      <w:r w:rsidR="00A002AB" w:rsidRPr="00351A46">
        <w:rPr>
          <w:lang w:val="en-AU"/>
        </w:rPr>
        <w:t>,</w:t>
      </w:r>
      <w:r w:rsidR="00AD26B3" w:rsidRPr="00351A46">
        <w:rPr>
          <w:lang w:val="en-AU"/>
        </w:rPr>
        <w:t xml:space="preserve"> and</w:t>
      </w:r>
      <w:r w:rsidRPr="00351A46">
        <w:rPr>
          <w:lang w:val="en-AU"/>
        </w:rPr>
        <w:t xml:space="preserve"> outlines how KSI will </w:t>
      </w:r>
      <w:r w:rsidR="00D0604A" w:rsidRPr="00351A46">
        <w:rPr>
          <w:lang w:val="en-AU"/>
        </w:rPr>
        <w:t>operationali</w:t>
      </w:r>
      <w:r w:rsidR="002D3D6C">
        <w:rPr>
          <w:lang w:val="en-AU"/>
        </w:rPr>
        <w:t>s</w:t>
      </w:r>
      <w:r w:rsidR="00D0604A" w:rsidRPr="00351A46">
        <w:rPr>
          <w:lang w:val="en-AU"/>
        </w:rPr>
        <w:t>e</w:t>
      </w:r>
      <w:r w:rsidRPr="00351A46">
        <w:rPr>
          <w:lang w:val="en-AU"/>
        </w:rPr>
        <w:t xml:space="preserve"> the </w:t>
      </w:r>
      <w:r w:rsidR="00FB6B1F" w:rsidRPr="00351A46">
        <w:rPr>
          <w:lang w:val="en-AU"/>
        </w:rPr>
        <w:t>Guiding Strategy</w:t>
      </w:r>
      <w:r w:rsidR="00D0604A" w:rsidRPr="00351A46">
        <w:rPr>
          <w:lang w:val="en-AU"/>
        </w:rPr>
        <w:t xml:space="preserve"> </w:t>
      </w:r>
      <w:r w:rsidRPr="00351A46">
        <w:rPr>
          <w:lang w:val="en-AU"/>
        </w:rPr>
        <w:t xml:space="preserve">through the emerging theory of change and </w:t>
      </w:r>
      <w:r w:rsidR="00FB5515" w:rsidRPr="00351A46">
        <w:rPr>
          <w:lang w:val="en-AU"/>
        </w:rPr>
        <w:t xml:space="preserve">end of </w:t>
      </w:r>
      <w:r w:rsidR="008C3312" w:rsidRPr="00351A46">
        <w:rPr>
          <w:lang w:val="en-AU"/>
        </w:rPr>
        <w:t>program</w:t>
      </w:r>
      <w:r w:rsidR="00FB5515" w:rsidRPr="00351A46">
        <w:rPr>
          <w:lang w:val="en-AU"/>
        </w:rPr>
        <w:t xml:space="preserve"> outcomes </w:t>
      </w:r>
      <w:r w:rsidRPr="00351A46">
        <w:rPr>
          <w:lang w:val="en-AU"/>
        </w:rPr>
        <w:t xml:space="preserve">(EOPOs). </w:t>
      </w:r>
      <w:r w:rsidR="006243F7" w:rsidRPr="00351A46">
        <w:rPr>
          <w:lang w:val="en-AU"/>
        </w:rPr>
        <w:t xml:space="preserve">This program implementation strategy also incorporates feedback from KSI’s Program </w:t>
      </w:r>
      <w:r w:rsidR="000651ED" w:rsidRPr="00351A46">
        <w:rPr>
          <w:lang w:val="en-AU"/>
        </w:rPr>
        <w:t>Steering Committee</w:t>
      </w:r>
      <w:r w:rsidR="006A14A9">
        <w:rPr>
          <w:lang w:val="en-AU"/>
        </w:rPr>
        <w:t xml:space="preserve"> (PSC)</w:t>
      </w:r>
      <w:r w:rsidR="000651ED" w:rsidRPr="00351A46">
        <w:rPr>
          <w:lang w:val="en-AU"/>
        </w:rPr>
        <w:t xml:space="preserve"> and Program Technical </w:t>
      </w:r>
      <w:r w:rsidR="006A14A9">
        <w:rPr>
          <w:lang w:val="en-AU"/>
        </w:rPr>
        <w:t>Secretariat (PTS)</w:t>
      </w:r>
      <w:r w:rsidR="006A14A9" w:rsidRPr="00351A46">
        <w:rPr>
          <w:lang w:val="en-AU"/>
        </w:rPr>
        <w:t xml:space="preserve"> </w:t>
      </w:r>
      <w:r w:rsidR="000651ED" w:rsidRPr="00351A46">
        <w:rPr>
          <w:lang w:val="en-AU"/>
        </w:rPr>
        <w:t>meetings in March 2018.</w:t>
      </w:r>
    </w:p>
    <w:p w14:paraId="3D94EC7A" w14:textId="3277E217" w:rsidR="0030526A" w:rsidRPr="00351A46" w:rsidRDefault="00D35700">
      <w:pPr>
        <w:jc w:val="both"/>
        <w:rPr>
          <w:lang w:val="en-AU"/>
        </w:rPr>
      </w:pPr>
      <w:r w:rsidRPr="00351A46">
        <w:rPr>
          <w:lang w:val="en-AU"/>
        </w:rPr>
        <w:t xml:space="preserve">Importantly, the </w:t>
      </w:r>
      <w:r w:rsidR="008C3312" w:rsidRPr="00351A46">
        <w:rPr>
          <w:lang w:val="en-AU"/>
        </w:rPr>
        <w:t>program</w:t>
      </w:r>
      <w:r w:rsidR="00197DFD" w:rsidRPr="00351A46">
        <w:rPr>
          <w:lang w:val="en-AU"/>
        </w:rPr>
        <w:t xml:space="preserve"> implementation strategy </w:t>
      </w:r>
      <w:r w:rsidRPr="00351A46">
        <w:rPr>
          <w:lang w:val="en-AU"/>
        </w:rPr>
        <w:t xml:space="preserve">covers how KSI </w:t>
      </w:r>
      <w:r w:rsidR="00FA3ACA" w:rsidRPr="00351A46">
        <w:rPr>
          <w:lang w:val="en-AU"/>
        </w:rPr>
        <w:t xml:space="preserve">Phase 2 </w:t>
      </w:r>
      <w:r w:rsidRPr="00351A46">
        <w:rPr>
          <w:lang w:val="en-AU"/>
        </w:rPr>
        <w:t xml:space="preserve">will function as a catalytic </w:t>
      </w:r>
      <w:r w:rsidR="008C3312" w:rsidRPr="00351A46">
        <w:rPr>
          <w:lang w:val="en-AU"/>
        </w:rPr>
        <w:t>program</w:t>
      </w:r>
      <w:r w:rsidR="00D0604A" w:rsidRPr="00351A46">
        <w:rPr>
          <w:lang w:val="en-AU"/>
        </w:rPr>
        <w:t xml:space="preserve"> that </w:t>
      </w:r>
      <w:r w:rsidRPr="00351A46">
        <w:rPr>
          <w:lang w:val="en-AU"/>
        </w:rPr>
        <w:t xml:space="preserve">combines facility and programmatic funding approaches in an adaptive and iterative manner throughout the life of the </w:t>
      </w:r>
      <w:r w:rsidR="008C3312" w:rsidRPr="00351A46">
        <w:rPr>
          <w:lang w:val="en-AU"/>
        </w:rPr>
        <w:t>program</w:t>
      </w:r>
      <w:r w:rsidRPr="00351A46">
        <w:rPr>
          <w:lang w:val="en-AU"/>
        </w:rPr>
        <w:t xml:space="preserve">. As outlined in the </w:t>
      </w:r>
      <w:r w:rsidR="00FB6B1F" w:rsidRPr="00351A46">
        <w:rPr>
          <w:lang w:val="en-AU"/>
        </w:rPr>
        <w:t>Guiding Strategy</w:t>
      </w:r>
      <w:r w:rsidRPr="00351A46">
        <w:rPr>
          <w:lang w:val="en-AU"/>
        </w:rPr>
        <w:t>, the approach builds on achievements, knowledge and relationships gained in Phase 1, and looks towards leveraging these assets to achieve significant changes and reforms in Indonesia’s knowledge sector</w:t>
      </w:r>
      <w:r w:rsidR="00D0604A" w:rsidRPr="00351A46">
        <w:rPr>
          <w:lang w:val="en-AU"/>
        </w:rPr>
        <w:t xml:space="preserve">. </w:t>
      </w:r>
    </w:p>
    <w:p w14:paraId="3700D4F0" w14:textId="77777777" w:rsidR="00640825" w:rsidRPr="00351A46" w:rsidRDefault="001D007D">
      <w:pPr>
        <w:pStyle w:val="Heading2"/>
        <w:rPr>
          <w:lang w:val="en-AU"/>
        </w:rPr>
      </w:pPr>
      <w:bookmarkStart w:id="2" w:name="_Toc514418226"/>
      <w:r w:rsidRPr="00351A46">
        <w:rPr>
          <w:lang w:val="en-AU"/>
        </w:rPr>
        <w:t>Purpose</w:t>
      </w:r>
      <w:bookmarkEnd w:id="2"/>
    </w:p>
    <w:p w14:paraId="219A5D7C" w14:textId="77777777" w:rsidR="00F912D4" w:rsidRPr="002D3D6C" w:rsidRDefault="00F912D4" w:rsidP="002D3D6C">
      <w:pPr>
        <w:spacing w:after="0"/>
        <w:jc w:val="both"/>
        <w:rPr>
          <w:sz w:val="12"/>
          <w:lang w:val="en-AU"/>
        </w:rPr>
      </w:pPr>
    </w:p>
    <w:p w14:paraId="249F53AB" w14:textId="41C34719" w:rsidR="002A2056" w:rsidRPr="00351A46" w:rsidRDefault="002A2056">
      <w:pPr>
        <w:jc w:val="both"/>
        <w:rPr>
          <w:lang w:val="en-AU"/>
        </w:rPr>
      </w:pPr>
      <w:r w:rsidRPr="00351A46">
        <w:rPr>
          <w:lang w:val="en-AU"/>
        </w:rPr>
        <w:t xml:space="preserve">The </w:t>
      </w:r>
      <w:r w:rsidR="008C3312" w:rsidRPr="00351A46">
        <w:rPr>
          <w:lang w:val="en-AU"/>
        </w:rPr>
        <w:t>program</w:t>
      </w:r>
      <w:r w:rsidR="00197DFD" w:rsidRPr="00351A46">
        <w:rPr>
          <w:lang w:val="en-AU"/>
        </w:rPr>
        <w:t xml:space="preserve"> implementation strategy </w:t>
      </w:r>
      <w:r w:rsidRPr="00351A46">
        <w:rPr>
          <w:lang w:val="en-AU"/>
        </w:rPr>
        <w:t>serves a number of purposes:</w:t>
      </w:r>
    </w:p>
    <w:p w14:paraId="35F5D481" w14:textId="7CD3B783" w:rsidR="001D007D" w:rsidRPr="00351A46" w:rsidRDefault="00D35700">
      <w:pPr>
        <w:pStyle w:val="ListParagraph"/>
        <w:numPr>
          <w:ilvl w:val="0"/>
          <w:numId w:val="13"/>
        </w:numPr>
        <w:jc w:val="both"/>
        <w:rPr>
          <w:lang w:val="en-AU"/>
        </w:rPr>
      </w:pPr>
      <w:r w:rsidRPr="00351A46">
        <w:rPr>
          <w:lang w:val="en-AU"/>
        </w:rPr>
        <w:t>Provides guidance and direction for the team and key stakeholders</w:t>
      </w:r>
    </w:p>
    <w:p w14:paraId="32E6201F" w14:textId="3B0C410F" w:rsidR="00D35700" w:rsidRPr="00351A46" w:rsidRDefault="00D35700">
      <w:pPr>
        <w:pStyle w:val="ListParagraph"/>
        <w:numPr>
          <w:ilvl w:val="0"/>
          <w:numId w:val="13"/>
        </w:numPr>
        <w:jc w:val="both"/>
        <w:rPr>
          <w:lang w:val="en-AU"/>
        </w:rPr>
      </w:pPr>
      <w:r w:rsidRPr="00351A46">
        <w:rPr>
          <w:lang w:val="en-AU"/>
        </w:rPr>
        <w:t>Explains why we are doing what we are doing, and what our intended</w:t>
      </w:r>
      <w:r w:rsidR="002A2056" w:rsidRPr="00351A46">
        <w:rPr>
          <w:lang w:val="en-AU"/>
        </w:rPr>
        <w:t xml:space="preserve"> outcomes</w:t>
      </w:r>
      <w:r w:rsidRPr="00351A46">
        <w:rPr>
          <w:lang w:val="en-AU"/>
        </w:rPr>
        <w:t xml:space="preserve"> will be</w:t>
      </w:r>
    </w:p>
    <w:p w14:paraId="416B1523" w14:textId="6BF04AEA" w:rsidR="00D35700" w:rsidRPr="00351A46" w:rsidRDefault="007A551A">
      <w:pPr>
        <w:pStyle w:val="ListParagraph"/>
        <w:numPr>
          <w:ilvl w:val="0"/>
          <w:numId w:val="13"/>
        </w:numPr>
        <w:jc w:val="both"/>
        <w:rPr>
          <w:lang w:val="en-AU"/>
        </w:rPr>
      </w:pPr>
      <w:r w:rsidRPr="00351A46">
        <w:rPr>
          <w:lang w:val="en-AU"/>
        </w:rPr>
        <w:t>Provides boundaries for what KSI can support</w:t>
      </w:r>
    </w:p>
    <w:p w14:paraId="4416AB51" w14:textId="3E867BD0" w:rsidR="00D35700" w:rsidRPr="00351A46" w:rsidRDefault="00D35700">
      <w:pPr>
        <w:pStyle w:val="ListParagraph"/>
        <w:numPr>
          <w:ilvl w:val="0"/>
          <w:numId w:val="13"/>
        </w:numPr>
        <w:jc w:val="both"/>
        <w:rPr>
          <w:lang w:val="en-AU"/>
        </w:rPr>
      </w:pPr>
      <w:r w:rsidRPr="00351A46">
        <w:rPr>
          <w:lang w:val="en-AU"/>
        </w:rPr>
        <w:t>Provides a point of reference when we are reviewing our progress and deci</w:t>
      </w:r>
      <w:r w:rsidR="00FB6B1F" w:rsidRPr="00351A46">
        <w:rPr>
          <w:lang w:val="en-AU"/>
        </w:rPr>
        <w:t>ding</w:t>
      </w:r>
      <w:r w:rsidRPr="00351A46">
        <w:rPr>
          <w:lang w:val="en-AU"/>
        </w:rPr>
        <w:t xml:space="preserve"> whether to continue or </w:t>
      </w:r>
      <w:r w:rsidR="00197DFD" w:rsidRPr="00351A46">
        <w:rPr>
          <w:lang w:val="en-AU"/>
        </w:rPr>
        <w:t xml:space="preserve">discontinue </w:t>
      </w:r>
      <w:r w:rsidRPr="00351A46">
        <w:rPr>
          <w:lang w:val="en-AU"/>
        </w:rPr>
        <w:t>certain activities depending on the momentum and political economy</w:t>
      </w:r>
    </w:p>
    <w:p w14:paraId="34B726D5" w14:textId="0183393C" w:rsidR="000E2085" w:rsidRPr="00351A46" w:rsidRDefault="000E2085">
      <w:pPr>
        <w:pStyle w:val="ListParagraph"/>
        <w:numPr>
          <w:ilvl w:val="0"/>
          <w:numId w:val="13"/>
        </w:numPr>
        <w:jc w:val="both"/>
        <w:rPr>
          <w:lang w:val="en-AU"/>
        </w:rPr>
      </w:pPr>
      <w:r w:rsidRPr="00351A46">
        <w:rPr>
          <w:lang w:val="en-AU"/>
        </w:rPr>
        <w:t xml:space="preserve">Clarifies the team’s approach </w:t>
      </w:r>
      <w:r w:rsidR="00202517" w:rsidRPr="00351A46">
        <w:rPr>
          <w:lang w:val="en-AU"/>
        </w:rPr>
        <w:t xml:space="preserve">to </w:t>
      </w:r>
      <w:r w:rsidRPr="00351A46">
        <w:rPr>
          <w:lang w:val="en-AU"/>
        </w:rPr>
        <w:t>engaging and supporting partners to achiev</w:t>
      </w:r>
      <w:r w:rsidR="00197DFD" w:rsidRPr="00351A46">
        <w:rPr>
          <w:lang w:val="en-AU"/>
        </w:rPr>
        <w:t>e</w:t>
      </w:r>
      <w:r w:rsidRPr="00351A46">
        <w:rPr>
          <w:lang w:val="en-AU"/>
        </w:rPr>
        <w:t xml:space="preserve"> results.</w:t>
      </w:r>
    </w:p>
    <w:p w14:paraId="71597C23" w14:textId="77777777" w:rsidR="00D35700" w:rsidRPr="00351A46" w:rsidRDefault="00D35700">
      <w:pPr>
        <w:pStyle w:val="ListParagraph"/>
        <w:spacing w:after="0"/>
        <w:contextualSpacing w:val="0"/>
        <w:rPr>
          <w:lang w:val="en-AU"/>
        </w:rPr>
      </w:pPr>
    </w:p>
    <w:p w14:paraId="10FC44DA" w14:textId="77777777" w:rsidR="001D007D" w:rsidRPr="00351A46" w:rsidRDefault="001D007D" w:rsidP="002D3D6C">
      <w:pPr>
        <w:pStyle w:val="Heading2"/>
        <w:spacing w:before="0"/>
        <w:rPr>
          <w:lang w:val="en-AU"/>
        </w:rPr>
      </w:pPr>
      <w:bookmarkStart w:id="3" w:name="_Toc514418227"/>
      <w:r w:rsidRPr="00351A46">
        <w:rPr>
          <w:lang w:val="en-AU"/>
        </w:rPr>
        <w:t>Structure</w:t>
      </w:r>
      <w:bookmarkEnd w:id="3"/>
    </w:p>
    <w:p w14:paraId="1AED52E6" w14:textId="09F73166" w:rsidR="00F912D4" w:rsidRPr="002D3D6C" w:rsidRDefault="00F912D4" w:rsidP="002D3D6C">
      <w:pPr>
        <w:spacing w:after="0"/>
        <w:rPr>
          <w:sz w:val="12"/>
          <w:lang w:val="en-AU"/>
        </w:rPr>
      </w:pPr>
    </w:p>
    <w:p w14:paraId="5770C439" w14:textId="1D92030B" w:rsidR="00F777C9" w:rsidRPr="00351A46" w:rsidRDefault="00A26BCC">
      <w:pPr>
        <w:rPr>
          <w:lang w:val="en-AU"/>
        </w:rPr>
      </w:pPr>
      <w:r w:rsidRPr="00351A46">
        <w:rPr>
          <w:lang w:val="en-AU"/>
        </w:rPr>
        <w:t xml:space="preserve">The </w:t>
      </w:r>
      <w:r w:rsidR="00CE6959" w:rsidRPr="00351A46">
        <w:rPr>
          <w:lang w:val="en-AU"/>
        </w:rPr>
        <w:t>program implementation strategy</w:t>
      </w:r>
      <w:r w:rsidRPr="00351A46">
        <w:rPr>
          <w:lang w:val="en-AU"/>
        </w:rPr>
        <w:t xml:space="preserve"> is structured as follows:</w:t>
      </w:r>
    </w:p>
    <w:p w14:paraId="39DDCC27" w14:textId="3D6A5259" w:rsidR="00A26BCC" w:rsidRPr="00351A46" w:rsidRDefault="00A26BCC">
      <w:pPr>
        <w:pStyle w:val="ListParagraph"/>
        <w:numPr>
          <w:ilvl w:val="0"/>
          <w:numId w:val="21"/>
        </w:numPr>
        <w:rPr>
          <w:lang w:val="en-AU"/>
        </w:rPr>
      </w:pPr>
      <w:r w:rsidRPr="00351A46">
        <w:rPr>
          <w:lang w:val="en-AU"/>
        </w:rPr>
        <w:t xml:space="preserve">Part 2 – provides an overview of the context within which KSI </w:t>
      </w:r>
      <w:r w:rsidR="00CE6959" w:rsidRPr="00351A46">
        <w:rPr>
          <w:lang w:val="en-AU"/>
        </w:rPr>
        <w:t xml:space="preserve">Phase 2 operates, </w:t>
      </w:r>
      <w:r w:rsidR="00CF6637" w:rsidRPr="00351A46">
        <w:rPr>
          <w:lang w:val="en-AU"/>
        </w:rPr>
        <w:t xml:space="preserve">how KSI </w:t>
      </w:r>
      <w:r w:rsidRPr="00351A46">
        <w:rPr>
          <w:lang w:val="en-AU"/>
        </w:rPr>
        <w:t>aligns with Government of Indonesia and Government of Australia priorities</w:t>
      </w:r>
      <w:r w:rsidR="00CE6959" w:rsidRPr="00351A46">
        <w:rPr>
          <w:lang w:val="en-AU"/>
        </w:rPr>
        <w:t xml:space="preserve"> and links with other programs</w:t>
      </w:r>
    </w:p>
    <w:p w14:paraId="345A2EF8" w14:textId="298BEBA1" w:rsidR="00CE6959" w:rsidRPr="00351A46" w:rsidRDefault="00A26BCC">
      <w:pPr>
        <w:pStyle w:val="ListParagraph"/>
        <w:numPr>
          <w:ilvl w:val="0"/>
          <w:numId w:val="21"/>
        </w:numPr>
        <w:rPr>
          <w:lang w:val="en-AU"/>
        </w:rPr>
      </w:pPr>
      <w:r w:rsidRPr="00351A46">
        <w:rPr>
          <w:lang w:val="en-AU"/>
        </w:rPr>
        <w:t>Part 3 – outlines KSI’s strategic approach, including implementation principles</w:t>
      </w:r>
      <w:r w:rsidR="00A002AB" w:rsidRPr="00351A46">
        <w:rPr>
          <w:lang w:val="en-AU"/>
        </w:rPr>
        <w:t>,</w:t>
      </w:r>
      <w:r w:rsidRPr="00351A46">
        <w:rPr>
          <w:lang w:val="en-AU"/>
        </w:rPr>
        <w:t xml:space="preserve"> </w:t>
      </w:r>
      <w:r w:rsidR="00CE6959" w:rsidRPr="00351A46">
        <w:rPr>
          <w:lang w:val="en-AU"/>
        </w:rPr>
        <w:t>playing a catalytic role</w:t>
      </w:r>
      <w:r w:rsidR="00A002AB" w:rsidRPr="00351A46">
        <w:rPr>
          <w:lang w:val="en-AU"/>
        </w:rPr>
        <w:t>,</w:t>
      </w:r>
      <w:r w:rsidR="00CE6959" w:rsidRPr="00351A46">
        <w:rPr>
          <w:lang w:val="en-AU"/>
        </w:rPr>
        <w:t xml:space="preserve"> and its approach to adaptive management</w:t>
      </w:r>
    </w:p>
    <w:p w14:paraId="0A6C118D" w14:textId="322830B4" w:rsidR="00A26BCC" w:rsidRPr="00351A46" w:rsidRDefault="00CE6959">
      <w:pPr>
        <w:pStyle w:val="ListParagraph"/>
        <w:numPr>
          <w:ilvl w:val="0"/>
          <w:numId w:val="21"/>
        </w:numPr>
        <w:rPr>
          <w:lang w:val="en-AU"/>
        </w:rPr>
      </w:pPr>
      <w:r w:rsidRPr="00351A46">
        <w:rPr>
          <w:lang w:val="en-AU"/>
        </w:rPr>
        <w:t>Part 4 – provides an overview of KSI Phase 2 governance arrangements</w:t>
      </w:r>
      <w:r w:rsidR="007368DB" w:rsidRPr="00351A46">
        <w:rPr>
          <w:lang w:val="en-AU"/>
        </w:rPr>
        <w:t>,</w:t>
      </w:r>
      <w:r w:rsidRPr="00351A46">
        <w:rPr>
          <w:lang w:val="en-AU"/>
        </w:rPr>
        <w:t xml:space="preserve"> decision-making criteria and framework for entering or exiting new activities or key initiatives </w:t>
      </w:r>
    </w:p>
    <w:p w14:paraId="25C43063" w14:textId="542DF562" w:rsidR="00A26BCC" w:rsidRPr="00351A46" w:rsidRDefault="00A26BCC">
      <w:pPr>
        <w:pStyle w:val="ListParagraph"/>
        <w:numPr>
          <w:ilvl w:val="0"/>
          <w:numId w:val="21"/>
        </w:numPr>
        <w:rPr>
          <w:lang w:val="en-AU"/>
        </w:rPr>
      </w:pPr>
      <w:r w:rsidRPr="00351A46">
        <w:rPr>
          <w:lang w:val="en-AU"/>
        </w:rPr>
        <w:t xml:space="preserve">Part </w:t>
      </w:r>
      <w:r w:rsidR="000011FE" w:rsidRPr="00351A46">
        <w:rPr>
          <w:lang w:val="en-AU"/>
        </w:rPr>
        <w:t>5</w:t>
      </w:r>
      <w:r w:rsidRPr="00351A46">
        <w:rPr>
          <w:lang w:val="en-AU"/>
        </w:rPr>
        <w:t xml:space="preserve"> – provides an overview and description of KSI</w:t>
      </w:r>
      <w:r w:rsidR="00CF6637" w:rsidRPr="00351A46">
        <w:rPr>
          <w:lang w:val="en-AU"/>
        </w:rPr>
        <w:t xml:space="preserve"> Phase 2</w:t>
      </w:r>
      <w:r w:rsidRPr="00351A46">
        <w:rPr>
          <w:lang w:val="en-AU"/>
        </w:rPr>
        <w:t xml:space="preserve"> focus areas, </w:t>
      </w:r>
      <w:r w:rsidR="00197DFD" w:rsidRPr="00351A46">
        <w:rPr>
          <w:lang w:val="en-AU"/>
        </w:rPr>
        <w:t xml:space="preserve">EOPOs </w:t>
      </w:r>
      <w:r w:rsidRPr="00351A46">
        <w:rPr>
          <w:lang w:val="en-AU"/>
        </w:rPr>
        <w:t xml:space="preserve">and </w:t>
      </w:r>
      <w:r w:rsidR="00197DFD" w:rsidRPr="00351A46">
        <w:rPr>
          <w:lang w:val="en-AU"/>
        </w:rPr>
        <w:t>key initiatives</w:t>
      </w:r>
      <w:r w:rsidRPr="00351A46">
        <w:rPr>
          <w:lang w:val="en-AU"/>
        </w:rPr>
        <w:t>, as well as its cross-cutting strategies</w:t>
      </w:r>
      <w:r w:rsidR="00202517" w:rsidRPr="00351A46">
        <w:rPr>
          <w:lang w:val="en-AU"/>
        </w:rPr>
        <w:t>.</w:t>
      </w:r>
    </w:p>
    <w:p w14:paraId="38EA15AB" w14:textId="64D46C5A" w:rsidR="001D007D" w:rsidRPr="00351A46" w:rsidRDefault="00C8189A" w:rsidP="002D3D6C">
      <w:pPr>
        <w:pStyle w:val="Heading1"/>
        <w:numPr>
          <w:ilvl w:val="0"/>
          <w:numId w:val="1"/>
        </w:numPr>
        <w:spacing w:before="0"/>
        <w:ind w:left="357" w:hanging="357"/>
        <w:rPr>
          <w:lang w:val="en-AU"/>
        </w:rPr>
      </w:pPr>
      <w:bookmarkStart w:id="4" w:name="_Toc514418228"/>
      <w:r w:rsidRPr="00351A46">
        <w:rPr>
          <w:lang w:val="en-AU"/>
        </w:rPr>
        <w:t>Context</w:t>
      </w:r>
      <w:bookmarkEnd w:id="4"/>
    </w:p>
    <w:p w14:paraId="045162F4" w14:textId="77777777" w:rsidR="00C8189A" w:rsidRPr="002D3D6C" w:rsidRDefault="00C8189A" w:rsidP="002D3D6C">
      <w:pPr>
        <w:keepNext/>
        <w:spacing w:after="0"/>
        <w:rPr>
          <w:sz w:val="10"/>
          <w:lang w:val="en-AU"/>
        </w:rPr>
      </w:pPr>
    </w:p>
    <w:p w14:paraId="074E1CFD" w14:textId="25225B06" w:rsidR="007C3990" w:rsidRPr="00351A46" w:rsidRDefault="001D007D" w:rsidP="002D3D6C">
      <w:pPr>
        <w:pStyle w:val="Heading2"/>
        <w:spacing w:before="0"/>
        <w:rPr>
          <w:lang w:val="en-AU"/>
        </w:rPr>
      </w:pPr>
      <w:bookmarkStart w:id="5" w:name="_Toc514418229"/>
      <w:r w:rsidRPr="00351A46">
        <w:rPr>
          <w:lang w:val="en-AU"/>
        </w:rPr>
        <w:t xml:space="preserve">Looking </w:t>
      </w:r>
      <w:r w:rsidR="00D0604A" w:rsidRPr="00351A46">
        <w:rPr>
          <w:lang w:val="en-AU"/>
        </w:rPr>
        <w:t>A</w:t>
      </w:r>
      <w:r w:rsidRPr="00351A46">
        <w:rPr>
          <w:lang w:val="en-AU"/>
        </w:rPr>
        <w:t>head</w:t>
      </w:r>
      <w:r w:rsidR="00D0604A" w:rsidRPr="00351A46">
        <w:rPr>
          <w:lang w:val="en-AU"/>
        </w:rPr>
        <w:t>: Overview of the Context</w:t>
      </w:r>
      <w:bookmarkEnd w:id="5"/>
    </w:p>
    <w:p w14:paraId="1A393A0A" w14:textId="21FFC21A" w:rsidR="00F912D4" w:rsidRPr="002D3D6C" w:rsidRDefault="00F912D4" w:rsidP="002D3D6C">
      <w:pPr>
        <w:spacing w:after="0"/>
        <w:jc w:val="both"/>
        <w:rPr>
          <w:sz w:val="10"/>
          <w:lang w:val="en-AU"/>
        </w:rPr>
      </w:pPr>
    </w:p>
    <w:p w14:paraId="2C3B7F11" w14:textId="70E83CA1" w:rsidR="00787E11" w:rsidRPr="00351A46" w:rsidRDefault="000E2085">
      <w:pPr>
        <w:jc w:val="both"/>
        <w:rPr>
          <w:lang w:val="en-AU"/>
        </w:rPr>
      </w:pPr>
      <w:r w:rsidRPr="00351A46">
        <w:rPr>
          <w:lang w:val="en-AU"/>
        </w:rPr>
        <w:t xml:space="preserve">The </w:t>
      </w:r>
      <w:r w:rsidR="00FB6B1F" w:rsidRPr="00351A46">
        <w:rPr>
          <w:lang w:val="en-AU"/>
        </w:rPr>
        <w:t>Guiding Strategy</w:t>
      </w:r>
      <w:r w:rsidR="00D0604A" w:rsidRPr="00351A46">
        <w:rPr>
          <w:lang w:val="en-AU"/>
        </w:rPr>
        <w:t xml:space="preserve"> </w:t>
      </w:r>
      <w:r w:rsidR="001A553C" w:rsidRPr="00351A46">
        <w:rPr>
          <w:lang w:val="en-AU"/>
        </w:rPr>
        <w:t xml:space="preserve">provides the rationale for investing in the knowledge sector, especially </w:t>
      </w:r>
      <w:r w:rsidRPr="00351A46">
        <w:rPr>
          <w:lang w:val="en-AU"/>
        </w:rPr>
        <w:t>the potential high return</w:t>
      </w:r>
      <w:r w:rsidR="0011473F" w:rsidRPr="00351A46">
        <w:rPr>
          <w:lang w:val="en-AU"/>
        </w:rPr>
        <w:t xml:space="preserve">s on </w:t>
      </w:r>
      <w:r w:rsidR="00E941A1" w:rsidRPr="00351A46">
        <w:rPr>
          <w:lang w:val="en-AU"/>
        </w:rPr>
        <w:t>investment and</w:t>
      </w:r>
      <w:r w:rsidRPr="00351A46">
        <w:rPr>
          <w:lang w:val="en-AU"/>
        </w:rPr>
        <w:t xml:space="preserve"> </w:t>
      </w:r>
      <w:r w:rsidR="001A553C" w:rsidRPr="00351A46">
        <w:rPr>
          <w:lang w:val="en-AU"/>
        </w:rPr>
        <w:t xml:space="preserve">how this support </w:t>
      </w:r>
      <w:r w:rsidR="0011473F" w:rsidRPr="00351A46">
        <w:rPr>
          <w:lang w:val="en-AU"/>
        </w:rPr>
        <w:t>can bolster other Government of Australia support for Indonesia</w:t>
      </w:r>
      <w:r w:rsidR="00E941A1" w:rsidRPr="00351A46">
        <w:rPr>
          <w:lang w:val="en-AU"/>
        </w:rPr>
        <w:t>.</w:t>
      </w:r>
      <w:r w:rsidRPr="00351A46">
        <w:rPr>
          <w:lang w:val="en-AU"/>
        </w:rPr>
        <w:t xml:space="preserve"> </w:t>
      </w:r>
      <w:r w:rsidR="0064494D" w:rsidRPr="00351A46">
        <w:rPr>
          <w:lang w:val="en-AU"/>
        </w:rPr>
        <w:t xml:space="preserve">While considerable barriers to evidence-informed </w:t>
      </w:r>
      <w:r w:rsidR="0085747B" w:rsidRPr="00351A46">
        <w:rPr>
          <w:lang w:val="en-AU"/>
        </w:rPr>
        <w:t>policymak</w:t>
      </w:r>
      <w:r w:rsidR="00426305" w:rsidRPr="00351A46">
        <w:rPr>
          <w:lang w:val="en-AU"/>
        </w:rPr>
        <w:t>ing remain,</w:t>
      </w:r>
      <w:r w:rsidR="00FC7D62" w:rsidRPr="00351A46">
        <w:rPr>
          <w:lang w:val="en-AU"/>
        </w:rPr>
        <w:t xml:space="preserve"> </w:t>
      </w:r>
      <w:r w:rsidR="00E941A1" w:rsidRPr="00351A46">
        <w:rPr>
          <w:lang w:val="en-AU"/>
        </w:rPr>
        <w:t>there has</w:t>
      </w:r>
      <w:r w:rsidR="00242C10" w:rsidRPr="00351A46">
        <w:rPr>
          <w:lang w:val="en-AU"/>
        </w:rPr>
        <w:t xml:space="preserve"> been positive momentum</w:t>
      </w:r>
      <w:r w:rsidR="00580CA5" w:rsidRPr="00351A46">
        <w:rPr>
          <w:lang w:val="en-AU"/>
        </w:rPr>
        <w:t xml:space="preserve">. </w:t>
      </w:r>
      <w:r w:rsidR="003B6F64" w:rsidRPr="00351A46">
        <w:rPr>
          <w:lang w:val="en-AU"/>
        </w:rPr>
        <w:t>Recent developments include a</w:t>
      </w:r>
      <w:r w:rsidR="0005354B" w:rsidRPr="00351A46">
        <w:rPr>
          <w:lang w:val="en-AU"/>
        </w:rPr>
        <w:t xml:space="preserve"> new law on science and technology</w:t>
      </w:r>
      <w:r w:rsidR="002A0EBC" w:rsidRPr="00351A46">
        <w:rPr>
          <w:lang w:val="en-AU"/>
        </w:rPr>
        <w:t>,</w:t>
      </w:r>
      <w:r w:rsidR="00580CA5" w:rsidRPr="00351A46">
        <w:rPr>
          <w:lang w:val="en-AU"/>
        </w:rPr>
        <w:t xml:space="preserve"> </w:t>
      </w:r>
      <w:r w:rsidR="003B6F64" w:rsidRPr="00351A46">
        <w:rPr>
          <w:lang w:val="en-AU"/>
        </w:rPr>
        <w:t xml:space="preserve">which </w:t>
      </w:r>
      <w:r w:rsidR="00580CA5" w:rsidRPr="00351A46">
        <w:rPr>
          <w:lang w:val="en-AU"/>
        </w:rPr>
        <w:t xml:space="preserve">has been drafted and is </w:t>
      </w:r>
      <w:r w:rsidR="0005354B" w:rsidRPr="00351A46">
        <w:rPr>
          <w:lang w:val="en-AU"/>
        </w:rPr>
        <w:t>currently under parliamentary review</w:t>
      </w:r>
      <w:r w:rsidR="00D0604A" w:rsidRPr="00351A46">
        <w:rPr>
          <w:lang w:val="en-AU"/>
        </w:rPr>
        <w:t xml:space="preserve">. </w:t>
      </w:r>
      <w:r w:rsidR="00580CA5" w:rsidRPr="00351A46">
        <w:rPr>
          <w:lang w:val="en-AU"/>
        </w:rPr>
        <w:t xml:space="preserve">There have been </w:t>
      </w:r>
      <w:r w:rsidR="00EC4F0F" w:rsidRPr="00351A46">
        <w:rPr>
          <w:lang w:val="en-AU"/>
        </w:rPr>
        <w:t xml:space="preserve">discussions on </w:t>
      </w:r>
      <w:r w:rsidR="002A0EBC" w:rsidRPr="00351A46">
        <w:rPr>
          <w:lang w:val="en-AU"/>
        </w:rPr>
        <w:t xml:space="preserve">the </w:t>
      </w:r>
      <w:r w:rsidR="00597B37" w:rsidRPr="00351A46">
        <w:rPr>
          <w:lang w:val="en-AU"/>
        </w:rPr>
        <w:t>development of a new overarching national research body</w:t>
      </w:r>
      <w:r w:rsidR="00580CA5" w:rsidRPr="00351A46">
        <w:rPr>
          <w:lang w:val="en-AU"/>
        </w:rPr>
        <w:t xml:space="preserve">. </w:t>
      </w:r>
      <w:r w:rsidR="00787E11" w:rsidRPr="00351A46">
        <w:rPr>
          <w:lang w:val="en-AU"/>
        </w:rPr>
        <w:t xml:space="preserve">President Jokowi recently approved changes </w:t>
      </w:r>
      <w:r w:rsidR="007368DB" w:rsidRPr="00351A46">
        <w:rPr>
          <w:lang w:val="en-AU"/>
        </w:rPr>
        <w:t xml:space="preserve">to </w:t>
      </w:r>
      <w:r w:rsidR="00787E11" w:rsidRPr="00351A46">
        <w:rPr>
          <w:lang w:val="en-AU"/>
        </w:rPr>
        <w:t>the procurement law</w:t>
      </w:r>
      <w:r w:rsidR="007368DB" w:rsidRPr="00351A46">
        <w:rPr>
          <w:lang w:val="en-AU"/>
        </w:rPr>
        <w:t>,</w:t>
      </w:r>
      <w:r w:rsidR="00787E11" w:rsidRPr="00351A46">
        <w:rPr>
          <w:lang w:val="en-AU"/>
        </w:rPr>
        <w:t xml:space="preserve"> impacting on contracting research institutions.</w:t>
      </w:r>
    </w:p>
    <w:p w14:paraId="534348A9" w14:textId="4FF38896" w:rsidR="00B64FFD" w:rsidRPr="00351A46" w:rsidRDefault="00787E11">
      <w:pPr>
        <w:jc w:val="both"/>
        <w:rPr>
          <w:lang w:val="en-AU"/>
        </w:rPr>
      </w:pPr>
      <w:r w:rsidRPr="00351A46">
        <w:rPr>
          <w:lang w:val="en-AU"/>
        </w:rPr>
        <w:t>Recently</w:t>
      </w:r>
      <w:r w:rsidR="00A002AB" w:rsidRPr="00351A46">
        <w:rPr>
          <w:lang w:val="en-AU"/>
        </w:rPr>
        <w:t>,</w:t>
      </w:r>
      <w:r w:rsidRPr="00351A46">
        <w:rPr>
          <w:lang w:val="en-AU"/>
        </w:rPr>
        <w:t xml:space="preserve"> there has been a greater push for more effective spending on research and the use of research. President Jokowi questioned the effectiveness of research undertaken by ministries and national institutions, highlighting the need to demonstrate the impact of research funded by government.</w:t>
      </w:r>
      <w:r w:rsidRPr="00351A46">
        <w:rPr>
          <w:rStyle w:val="FootnoteReference"/>
          <w:lang w:val="en-AU"/>
        </w:rPr>
        <w:footnoteReference w:id="1"/>
      </w:r>
      <w:r w:rsidRPr="00351A46">
        <w:rPr>
          <w:lang w:val="en-AU"/>
        </w:rPr>
        <w:t xml:space="preserve"> </w:t>
      </w:r>
      <w:r w:rsidR="003E6C56" w:rsidRPr="00351A46">
        <w:rPr>
          <w:lang w:val="en-AU"/>
        </w:rPr>
        <w:t>I</w:t>
      </w:r>
      <w:r w:rsidRPr="00351A46">
        <w:rPr>
          <w:lang w:val="en-AU"/>
        </w:rPr>
        <w:t xml:space="preserve">n a recent address (9 May 2018) to the </w:t>
      </w:r>
      <w:r w:rsidR="003E6C56" w:rsidRPr="00351A46">
        <w:rPr>
          <w:lang w:val="en-AU"/>
        </w:rPr>
        <w:t xml:space="preserve">National </w:t>
      </w:r>
      <w:r w:rsidRPr="00351A46">
        <w:rPr>
          <w:lang w:val="en-AU"/>
        </w:rPr>
        <w:t xml:space="preserve">Agency for the Assessment and Application of Technology, </w:t>
      </w:r>
      <w:r w:rsidR="003E6C56" w:rsidRPr="00351A46">
        <w:rPr>
          <w:lang w:val="en-AU"/>
        </w:rPr>
        <w:t>Megawati Soekarnoputri, chairperson of the incumbent dominant political party (</w:t>
      </w:r>
      <w:r w:rsidR="003E6C56" w:rsidRPr="001C1496">
        <w:rPr>
          <w:i/>
          <w:lang w:val="en-AU"/>
        </w:rPr>
        <w:t>Partai Demokrasi Indonesia Perjuangan</w:t>
      </w:r>
      <w:r w:rsidR="003E6C56" w:rsidRPr="00351A46">
        <w:rPr>
          <w:lang w:val="en-AU"/>
        </w:rPr>
        <w:t xml:space="preserve">) </w:t>
      </w:r>
      <w:r w:rsidRPr="00351A46">
        <w:rPr>
          <w:lang w:val="en-AU"/>
        </w:rPr>
        <w:t xml:space="preserve">stated </w:t>
      </w:r>
      <w:r w:rsidR="003E6C56" w:rsidRPr="00351A46">
        <w:rPr>
          <w:lang w:val="en-AU"/>
        </w:rPr>
        <w:t xml:space="preserve">that </w:t>
      </w:r>
      <w:r w:rsidRPr="00351A46">
        <w:rPr>
          <w:lang w:val="en-AU"/>
        </w:rPr>
        <w:t>research must be the basis of development, not just “input”, and that this should be a key feature of the draft law currently under deliberation on Indonesia’s national science and technology system.</w:t>
      </w:r>
      <w:r w:rsidRPr="00351A46">
        <w:rPr>
          <w:rStyle w:val="FootnoteReference"/>
          <w:lang w:val="en-AU"/>
        </w:rPr>
        <w:footnoteReference w:id="2"/>
      </w:r>
    </w:p>
    <w:p w14:paraId="1B935139" w14:textId="28E9FD00" w:rsidR="009133B8" w:rsidRPr="00351A46" w:rsidRDefault="00242C10">
      <w:pPr>
        <w:jc w:val="both"/>
        <w:rPr>
          <w:lang w:val="en-AU"/>
        </w:rPr>
      </w:pPr>
      <w:r w:rsidRPr="00351A46">
        <w:rPr>
          <w:lang w:val="en-AU"/>
        </w:rPr>
        <w:t xml:space="preserve">There has been increasing demand from </w:t>
      </w:r>
      <w:r w:rsidR="002A0EBC" w:rsidRPr="00351A46">
        <w:rPr>
          <w:lang w:val="en-AU"/>
        </w:rPr>
        <w:t>m</w:t>
      </w:r>
      <w:r w:rsidRPr="00351A46">
        <w:rPr>
          <w:lang w:val="en-AU"/>
        </w:rPr>
        <w:t>inistries for policy analysts</w:t>
      </w:r>
      <w:r w:rsidR="002A0EBC" w:rsidRPr="00351A46">
        <w:rPr>
          <w:lang w:val="en-AU"/>
        </w:rPr>
        <w:t>,</w:t>
      </w:r>
      <w:r w:rsidRPr="00351A46">
        <w:rPr>
          <w:lang w:val="en-AU"/>
        </w:rPr>
        <w:t xml:space="preserve"> </w:t>
      </w:r>
      <w:r w:rsidR="00787E11" w:rsidRPr="00351A46">
        <w:rPr>
          <w:lang w:val="en-AU"/>
        </w:rPr>
        <w:t xml:space="preserve">highlighting the need for improved capacity to source and synthesise research inputs for improved policies. The </w:t>
      </w:r>
      <w:r w:rsidR="00C211AE" w:rsidRPr="00351A46">
        <w:rPr>
          <w:lang w:val="en-AU"/>
        </w:rPr>
        <w:t>Ministry of Administrative and Bureaucratic Reform (</w:t>
      </w:r>
      <w:r w:rsidRPr="001C1496">
        <w:rPr>
          <w:i/>
          <w:lang w:val="en-AU"/>
        </w:rPr>
        <w:t>Kemenpan RB</w:t>
      </w:r>
      <w:r w:rsidR="00C211AE" w:rsidRPr="00351A46">
        <w:rPr>
          <w:lang w:val="en-AU"/>
        </w:rPr>
        <w:t>)</w:t>
      </w:r>
      <w:r w:rsidRPr="00351A46">
        <w:rPr>
          <w:lang w:val="en-AU"/>
        </w:rPr>
        <w:t xml:space="preserve"> is currently reviewing the role of</w:t>
      </w:r>
      <w:r w:rsidR="00E941A1" w:rsidRPr="00351A46">
        <w:rPr>
          <w:lang w:val="en-AU"/>
        </w:rPr>
        <w:t xml:space="preserve"> </w:t>
      </w:r>
      <w:r w:rsidR="00C211AE" w:rsidRPr="00351A46">
        <w:rPr>
          <w:lang w:val="en-AU"/>
        </w:rPr>
        <w:t>government research units (</w:t>
      </w:r>
      <w:r w:rsidR="006A14A9">
        <w:rPr>
          <w:i/>
          <w:lang w:val="en-AU"/>
        </w:rPr>
        <w:t>Balitbang</w:t>
      </w:r>
      <w:r w:rsidR="00C211AE" w:rsidRPr="00351A46">
        <w:rPr>
          <w:lang w:val="en-AU"/>
        </w:rPr>
        <w:t>)</w:t>
      </w:r>
      <w:r w:rsidR="002A0EBC" w:rsidRPr="00351A46">
        <w:rPr>
          <w:lang w:val="en-AU"/>
        </w:rPr>
        <w:t xml:space="preserve">. This </w:t>
      </w:r>
      <w:r w:rsidRPr="00351A46">
        <w:rPr>
          <w:lang w:val="en-AU"/>
        </w:rPr>
        <w:t>may result in changes that give policy analysts a stronger role in government.</w:t>
      </w:r>
      <w:r w:rsidR="00955146" w:rsidRPr="00351A46">
        <w:rPr>
          <w:lang w:val="en-AU"/>
        </w:rPr>
        <w:t xml:space="preserve"> </w:t>
      </w:r>
    </w:p>
    <w:p w14:paraId="11397658" w14:textId="199AE009" w:rsidR="00CC1FC3" w:rsidRPr="00351A46" w:rsidRDefault="00FC3CDC">
      <w:pPr>
        <w:jc w:val="both"/>
        <w:rPr>
          <w:lang w:val="en-AU"/>
        </w:rPr>
      </w:pPr>
      <w:r w:rsidRPr="00351A46">
        <w:rPr>
          <w:lang w:val="en-AU"/>
        </w:rPr>
        <w:t xml:space="preserve">As Indonesia becomes more democratic and </w:t>
      </w:r>
      <w:r w:rsidR="00CC1FC3" w:rsidRPr="00351A46">
        <w:rPr>
          <w:lang w:val="en-AU"/>
        </w:rPr>
        <w:t xml:space="preserve">more dependent upon revenue gained from taxes, there is greater public pressure on </w:t>
      </w:r>
      <w:r w:rsidR="003E6C56" w:rsidRPr="00351A46">
        <w:rPr>
          <w:lang w:val="en-AU"/>
        </w:rPr>
        <w:t xml:space="preserve">the </w:t>
      </w:r>
      <w:r w:rsidR="00CC1FC3" w:rsidRPr="00351A46">
        <w:rPr>
          <w:lang w:val="en-AU"/>
        </w:rPr>
        <w:t>government to demonstrate</w:t>
      </w:r>
      <w:r w:rsidR="003E6C56" w:rsidRPr="00351A46">
        <w:rPr>
          <w:lang w:val="en-AU"/>
        </w:rPr>
        <w:t xml:space="preserve"> the</w:t>
      </w:r>
      <w:r w:rsidR="00CC1FC3" w:rsidRPr="00351A46">
        <w:rPr>
          <w:lang w:val="en-AU"/>
        </w:rPr>
        <w:t xml:space="preserve"> effectiveness of government spending and the impact of policies. </w:t>
      </w:r>
      <w:r w:rsidR="00D94FDA" w:rsidRPr="00351A46">
        <w:rPr>
          <w:rFonts w:ascii="Calibri" w:hAnsi="Calibri" w:cs="Calibri"/>
          <w:lang w:val="en-AU"/>
        </w:rPr>
        <w:t xml:space="preserve">Research, data and evidence, accessible to the public, </w:t>
      </w:r>
      <w:r w:rsidR="003E6C56" w:rsidRPr="00351A46">
        <w:rPr>
          <w:rFonts w:ascii="Calibri" w:hAnsi="Calibri" w:cs="Calibri"/>
          <w:lang w:val="en-AU"/>
        </w:rPr>
        <w:t xml:space="preserve">are </w:t>
      </w:r>
      <w:r w:rsidR="00D94FDA" w:rsidRPr="00351A46">
        <w:rPr>
          <w:rFonts w:ascii="Calibri" w:hAnsi="Calibri" w:cs="Calibri"/>
          <w:lang w:val="en-AU"/>
        </w:rPr>
        <w:t>important for “citizens to make accurate judgements as to whether to trust, justify, or legitimize the political system and the authorities that manage it”</w:t>
      </w:r>
      <w:r w:rsidR="00D94FDA" w:rsidRPr="001C1496">
        <w:rPr>
          <w:rStyle w:val="a1"/>
          <w:rFonts w:ascii="Calibri" w:hAnsi="Calibri" w:cs="Calibri"/>
          <w:color w:val="000000"/>
          <w:lang w:val="en-AU"/>
        </w:rPr>
        <w:t xml:space="preserve"> (Zeineddine B. &amp; Pratto 2014)</w:t>
      </w:r>
      <w:r w:rsidR="00D94FDA" w:rsidRPr="00351A46">
        <w:rPr>
          <w:rFonts w:ascii="Calibri" w:hAnsi="Calibri" w:cs="Calibri"/>
          <w:lang w:val="en-AU"/>
        </w:rPr>
        <w:t xml:space="preserve">. </w:t>
      </w:r>
      <w:r w:rsidR="00D94FDA" w:rsidRPr="00351A46">
        <w:rPr>
          <w:lang w:val="en-AU"/>
        </w:rPr>
        <w:t xml:space="preserve">Without </w:t>
      </w:r>
      <w:r w:rsidR="00CC1FC3" w:rsidRPr="00351A46">
        <w:rPr>
          <w:lang w:val="en-AU"/>
        </w:rPr>
        <w:t xml:space="preserve">this, public dissatisfaction and mistrust of government can increase, undermining government legitimacy. This dissatisfaction can take many different forms, including the rise of radicalisation and extremism. </w:t>
      </w:r>
      <w:r w:rsidR="00CC1FC3" w:rsidRPr="00351A46">
        <w:rPr>
          <w:rFonts w:ascii="Calibri" w:hAnsi="Calibri" w:cs="Calibri"/>
          <w:lang w:val="en-AU"/>
        </w:rPr>
        <w:t>This emphasizes the underlying importance of improving Indonesia’s knowledge systems and transparent use of evidence.</w:t>
      </w:r>
    </w:p>
    <w:p w14:paraId="3E37FC78" w14:textId="57C33A2D" w:rsidR="00C8189A" w:rsidRPr="00351A46" w:rsidRDefault="00C8189A">
      <w:pPr>
        <w:pStyle w:val="Heading2"/>
        <w:rPr>
          <w:lang w:val="en-AU"/>
        </w:rPr>
      </w:pPr>
      <w:bookmarkStart w:id="6" w:name="_Toc514418230"/>
      <w:r w:rsidRPr="00351A46">
        <w:rPr>
          <w:lang w:val="en-AU"/>
        </w:rPr>
        <w:t xml:space="preserve">Alignment with Government of Indonesia and Government of Australia </w:t>
      </w:r>
      <w:r w:rsidR="00D0604A" w:rsidRPr="00351A46">
        <w:rPr>
          <w:lang w:val="en-AU"/>
        </w:rPr>
        <w:t>P</w:t>
      </w:r>
      <w:r w:rsidRPr="00351A46">
        <w:rPr>
          <w:lang w:val="en-AU"/>
        </w:rPr>
        <w:t>riorities</w:t>
      </w:r>
      <w:bookmarkEnd w:id="6"/>
    </w:p>
    <w:p w14:paraId="62474EDD" w14:textId="2DF0BA42" w:rsidR="00F912D4" w:rsidRPr="001C1496" w:rsidRDefault="00F912D4" w:rsidP="001C1496">
      <w:pPr>
        <w:spacing w:after="0" w:line="240" w:lineRule="auto"/>
        <w:jc w:val="both"/>
        <w:rPr>
          <w:sz w:val="12"/>
          <w:lang w:val="en-AU"/>
        </w:rPr>
      </w:pPr>
    </w:p>
    <w:p w14:paraId="28A1D7DC" w14:textId="7DD5ECCE" w:rsidR="00217DCF" w:rsidRDefault="00D12172" w:rsidP="001C1496">
      <w:pPr>
        <w:spacing w:after="0" w:line="240" w:lineRule="auto"/>
        <w:jc w:val="both"/>
        <w:rPr>
          <w:rFonts w:eastAsia="Cambria" w:cstheme="minorHAnsi"/>
          <w:color w:val="000000"/>
          <w:lang w:val="en-AU"/>
        </w:rPr>
      </w:pPr>
      <w:r w:rsidRPr="00351A46">
        <w:rPr>
          <w:rFonts w:eastAsia="Cambria" w:cstheme="minorHAnsi"/>
          <w:color w:val="000000"/>
          <w:lang w:val="en-AU"/>
        </w:rPr>
        <w:t xml:space="preserve">The </w:t>
      </w:r>
      <w:r w:rsidR="006A14A9" w:rsidRPr="00351A46">
        <w:rPr>
          <w:rFonts w:eastAsia="Cambria" w:cstheme="minorHAnsi"/>
          <w:color w:val="000000"/>
          <w:lang w:val="en-AU"/>
        </w:rPr>
        <w:t xml:space="preserve">governments </w:t>
      </w:r>
      <w:r w:rsidRPr="00351A46">
        <w:rPr>
          <w:rFonts w:eastAsia="Cambria" w:cstheme="minorHAnsi"/>
          <w:color w:val="000000"/>
          <w:lang w:val="en-AU"/>
        </w:rPr>
        <w:t>of</w:t>
      </w:r>
      <w:r w:rsidR="00B84F0E" w:rsidRPr="00351A46">
        <w:rPr>
          <w:rFonts w:eastAsia="Cambria" w:cstheme="minorHAnsi"/>
          <w:color w:val="000000"/>
          <w:lang w:val="en-AU"/>
        </w:rPr>
        <w:t xml:space="preserve"> Indonesia and Australia</w:t>
      </w:r>
      <w:r w:rsidRPr="00351A46">
        <w:rPr>
          <w:rFonts w:eastAsia="Cambria" w:cstheme="minorHAnsi"/>
          <w:color w:val="000000"/>
          <w:lang w:val="en-AU"/>
        </w:rPr>
        <w:t xml:space="preserve"> both</w:t>
      </w:r>
      <w:r w:rsidR="00B84F0E" w:rsidRPr="00351A46">
        <w:rPr>
          <w:rFonts w:eastAsia="Cambria" w:cstheme="minorHAnsi"/>
          <w:color w:val="000000"/>
          <w:lang w:val="en-AU"/>
        </w:rPr>
        <w:t xml:space="preserve"> have an interest in helping Indonesia to transition from a lower-middle</w:t>
      </w:r>
      <w:r w:rsidR="003E6C56" w:rsidRPr="00351A46">
        <w:rPr>
          <w:rFonts w:eastAsia="Cambria" w:cstheme="minorHAnsi"/>
          <w:color w:val="000000"/>
          <w:lang w:val="en-AU"/>
        </w:rPr>
        <w:t xml:space="preserve"> country</w:t>
      </w:r>
      <w:r w:rsidR="00B84F0E" w:rsidRPr="00351A46">
        <w:rPr>
          <w:rFonts w:eastAsia="Cambria" w:cstheme="minorHAnsi"/>
          <w:color w:val="000000"/>
          <w:lang w:val="en-AU"/>
        </w:rPr>
        <w:t xml:space="preserve"> to </w:t>
      </w:r>
      <w:r w:rsidR="008226C8" w:rsidRPr="00351A46">
        <w:rPr>
          <w:rFonts w:eastAsia="Cambria" w:cstheme="minorHAnsi"/>
          <w:color w:val="000000"/>
          <w:lang w:val="en-AU"/>
        </w:rPr>
        <w:t>a higher-middle</w:t>
      </w:r>
      <w:r w:rsidR="003E6C56" w:rsidRPr="00351A46">
        <w:rPr>
          <w:rFonts w:eastAsia="Cambria" w:cstheme="minorHAnsi"/>
          <w:color w:val="000000"/>
          <w:lang w:val="en-AU"/>
        </w:rPr>
        <w:t>-</w:t>
      </w:r>
      <w:r w:rsidR="008226C8" w:rsidRPr="00351A46">
        <w:rPr>
          <w:rFonts w:eastAsia="Cambria" w:cstheme="minorHAnsi"/>
          <w:color w:val="000000"/>
          <w:lang w:val="en-AU"/>
        </w:rPr>
        <w:t>income country, which in turn promotes prosperity, security and stability in the region</w:t>
      </w:r>
      <w:r w:rsidR="003D64D7" w:rsidRPr="00351A46">
        <w:rPr>
          <w:rFonts w:eastAsia="Cambria" w:cstheme="minorHAnsi"/>
          <w:color w:val="000000"/>
          <w:lang w:val="en-AU"/>
        </w:rPr>
        <w:t xml:space="preserve">. This requires effective public policy </w:t>
      </w:r>
      <w:r w:rsidR="00B84F0E" w:rsidRPr="00351A46">
        <w:rPr>
          <w:rFonts w:eastAsia="Cambria" w:cstheme="minorHAnsi"/>
          <w:color w:val="000000"/>
          <w:lang w:val="en-AU"/>
        </w:rPr>
        <w:t>to promote economic growth</w:t>
      </w:r>
      <w:r w:rsidR="00B72B16" w:rsidRPr="00351A46">
        <w:rPr>
          <w:rFonts w:eastAsia="Cambria" w:cstheme="minorHAnsi"/>
          <w:color w:val="000000"/>
          <w:lang w:val="en-AU"/>
        </w:rPr>
        <w:t xml:space="preserve"> and reduce poverty. </w:t>
      </w:r>
      <w:r w:rsidR="00B84F0E" w:rsidRPr="00351A46">
        <w:rPr>
          <w:rFonts w:eastAsia="Cambria" w:cstheme="minorHAnsi"/>
          <w:color w:val="000000"/>
          <w:lang w:val="en-AU"/>
        </w:rPr>
        <w:t xml:space="preserve">To develop effective public policies, </w:t>
      </w:r>
      <w:r w:rsidR="00B72B16" w:rsidRPr="00351A46">
        <w:rPr>
          <w:rFonts w:eastAsia="Cambria" w:cstheme="minorHAnsi"/>
          <w:color w:val="000000"/>
          <w:lang w:val="en-AU"/>
        </w:rPr>
        <w:t xml:space="preserve">Indonesian policymakers need to access and use a range of evidence to inform </w:t>
      </w:r>
      <w:r w:rsidR="00BD6394" w:rsidRPr="00351A46">
        <w:rPr>
          <w:rFonts w:eastAsia="Cambria" w:cstheme="minorHAnsi"/>
          <w:color w:val="000000"/>
          <w:lang w:val="en-AU"/>
        </w:rPr>
        <w:t xml:space="preserve">policy. </w:t>
      </w:r>
      <w:r w:rsidR="003A360E" w:rsidRPr="00351A46">
        <w:rPr>
          <w:rFonts w:eastAsia="Cambria" w:cstheme="minorHAnsi"/>
          <w:color w:val="000000"/>
          <w:lang w:val="en-AU"/>
        </w:rPr>
        <w:t xml:space="preserve">KSI supports this need by putting in place the building blocks </w:t>
      </w:r>
      <w:r w:rsidR="003E6C56" w:rsidRPr="00351A46">
        <w:rPr>
          <w:rFonts w:eastAsia="Cambria" w:cstheme="minorHAnsi"/>
          <w:color w:val="000000"/>
          <w:lang w:val="en-AU"/>
        </w:rPr>
        <w:t xml:space="preserve">required </w:t>
      </w:r>
      <w:r w:rsidR="003A360E" w:rsidRPr="00351A46">
        <w:rPr>
          <w:rFonts w:eastAsia="Cambria" w:cstheme="minorHAnsi"/>
          <w:color w:val="000000"/>
          <w:lang w:val="en-AU"/>
        </w:rPr>
        <w:t>for a vibrant knowledge sector.</w:t>
      </w:r>
    </w:p>
    <w:p w14:paraId="56107F72" w14:textId="3D05F557" w:rsidR="00BD6394" w:rsidRPr="00351A46" w:rsidRDefault="003A360E" w:rsidP="001C1496">
      <w:pPr>
        <w:spacing w:after="0" w:line="240" w:lineRule="auto"/>
        <w:jc w:val="both"/>
        <w:rPr>
          <w:rFonts w:eastAsia="Cambria" w:cstheme="minorHAnsi"/>
          <w:color w:val="000000"/>
          <w:lang w:val="en-AU"/>
        </w:rPr>
      </w:pPr>
      <w:r w:rsidRPr="00351A46">
        <w:rPr>
          <w:rFonts w:eastAsia="Cambria" w:cstheme="minorHAnsi"/>
          <w:color w:val="000000"/>
          <w:lang w:val="en-AU"/>
        </w:rPr>
        <w:t xml:space="preserve"> </w:t>
      </w:r>
    </w:p>
    <w:p w14:paraId="14B92CC6" w14:textId="2539F65B" w:rsidR="00750C42" w:rsidRPr="00351A46" w:rsidRDefault="00D12172">
      <w:pPr>
        <w:spacing w:after="120" w:line="240" w:lineRule="auto"/>
        <w:jc w:val="both"/>
        <w:rPr>
          <w:rFonts w:eastAsia="Cambria" w:cstheme="minorHAnsi"/>
          <w:color w:val="000000"/>
          <w:lang w:val="en-AU"/>
        </w:rPr>
      </w:pPr>
      <w:r w:rsidRPr="00351A46">
        <w:rPr>
          <w:rFonts w:eastAsia="Cambria" w:cstheme="minorHAnsi"/>
          <w:color w:val="000000"/>
          <w:lang w:val="en-AU"/>
        </w:rPr>
        <w:t>More effective public policy</w:t>
      </w:r>
      <w:r w:rsidR="003E6C56" w:rsidRPr="00351A46">
        <w:rPr>
          <w:rFonts w:eastAsia="Cambria" w:cstheme="minorHAnsi"/>
          <w:color w:val="000000"/>
          <w:lang w:val="en-AU"/>
        </w:rPr>
        <w:t>,</w:t>
      </w:r>
      <w:r w:rsidRPr="00351A46">
        <w:rPr>
          <w:rFonts w:eastAsia="Cambria" w:cstheme="minorHAnsi"/>
          <w:color w:val="000000"/>
          <w:lang w:val="en-AU"/>
        </w:rPr>
        <w:t xml:space="preserve"> informed by quality, timely and relevant evidence is critical for Indonesia to achieve its long-term vision for the country’s development, as set out in Indonesia 2045 and the Sustainable Development Goals. </w:t>
      </w:r>
      <w:r w:rsidR="00902EBC" w:rsidRPr="00351A46">
        <w:rPr>
          <w:rFonts w:eastAsia="Cambria" w:cstheme="minorHAnsi"/>
          <w:color w:val="000000"/>
          <w:lang w:val="en-AU"/>
        </w:rPr>
        <w:t xml:space="preserve">As directed by the KSI Steering Committee, KSI’s support for policy research will </w:t>
      </w:r>
      <w:r w:rsidRPr="00351A46">
        <w:rPr>
          <w:rFonts w:eastAsia="Cambria" w:cstheme="minorHAnsi"/>
          <w:color w:val="000000"/>
          <w:lang w:val="en-AU"/>
        </w:rPr>
        <w:t xml:space="preserve">help inform development of Indonesia’s </w:t>
      </w:r>
      <w:r w:rsidR="005F5593" w:rsidRPr="00351A46">
        <w:rPr>
          <w:rFonts w:eastAsia="Cambria" w:cstheme="minorHAnsi"/>
          <w:color w:val="000000"/>
          <w:lang w:val="en-AU"/>
        </w:rPr>
        <w:t>upcoming</w:t>
      </w:r>
      <w:r w:rsidRPr="00351A46">
        <w:rPr>
          <w:rFonts w:eastAsia="Cambria" w:cstheme="minorHAnsi"/>
          <w:color w:val="000000"/>
          <w:lang w:val="en-AU"/>
        </w:rPr>
        <w:t xml:space="preserve"> visioning processes, including </w:t>
      </w:r>
      <w:r w:rsidR="005F5593" w:rsidRPr="00351A46">
        <w:rPr>
          <w:rFonts w:eastAsia="Cambria" w:cstheme="minorHAnsi"/>
          <w:color w:val="000000"/>
          <w:lang w:val="en-AU"/>
        </w:rPr>
        <w:t xml:space="preserve">the </w:t>
      </w:r>
      <w:r w:rsidR="002E739E" w:rsidRPr="00351A46">
        <w:rPr>
          <w:rFonts w:eastAsia="Cambria" w:cstheme="minorHAnsi"/>
          <w:color w:val="000000"/>
          <w:lang w:val="en-AU"/>
        </w:rPr>
        <w:t>Medium-Term</w:t>
      </w:r>
      <w:r w:rsidR="005F5593" w:rsidRPr="00351A46">
        <w:rPr>
          <w:rFonts w:eastAsia="Cambria" w:cstheme="minorHAnsi"/>
          <w:color w:val="000000"/>
          <w:lang w:val="en-AU"/>
        </w:rPr>
        <w:t xml:space="preserve"> Development Plan </w:t>
      </w:r>
      <w:r w:rsidR="003C03E9" w:rsidRPr="00351A46">
        <w:rPr>
          <w:rFonts w:eastAsia="Cambria" w:cstheme="minorHAnsi"/>
          <w:color w:val="000000"/>
          <w:lang w:val="en-AU"/>
        </w:rPr>
        <w:t xml:space="preserve">(RPJMN) </w:t>
      </w:r>
      <w:r w:rsidR="005F5593" w:rsidRPr="00351A46">
        <w:rPr>
          <w:rFonts w:eastAsia="Cambria" w:cstheme="minorHAnsi"/>
          <w:color w:val="000000"/>
          <w:lang w:val="en-AU"/>
        </w:rPr>
        <w:t xml:space="preserve">for </w:t>
      </w:r>
      <w:r w:rsidR="003C03E9" w:rsidRPr="00351A46">
        <w:rPr>
          <w:rFonts w:eastAsia="Cambria" w:cstheme="minorHAnsi"/>
          <w:color w:val="000000"/>
          <w:lang w:val="en-AU"/>
        </w:rPr>
        <w:t xml:space="preserve">2020-2024 </w:t>
      </w:r>
      <w:r w:rsidR="00D031AF" w:rsidRPr="00351A46">
        <w:rPr>
          <w:rFonts w:eastAsia="Cambria" w:cstheme="minorHAnsi"/>
          <w:color w:val="000000"/>
          <w:lang w:val="en-AU"/>
        </w:rPr>
        <w:t>and the</w:t>
      </w:r>
      <w:r w:rsidR="00902EBC" w:rsidRPr="00351A46">
        <w:rPr>
          <w:rFonts w:eastAsia="Cambria" w:cstheme="minorHAnsi"/>
          <w:color w:val="000000"/>
          <w:lang w:val="en-AU"/>
        </w:rPr>
        <w:t xml:space="preserve"> next </w:t>
      </w:r>
      <w:r w:rsidR="009023A9" w:rsidRPr="00351A46">
        <w:rPr>
          <w:rFonts w:eastAsia="Cambria" w:cstheme="minorHAnsi"/>
          <w:color w:val="000000"/>
          <w:lang w:val="en-AU"/>
        </w:rPr>
        <w:t>20-year</w:t>
      </w:r>
      <w:r w:rsidR="000614B7" w:rsidRPr="00351A46">
        <w:rPr>
          <w:rFonts w:eastAsia="Cambria" w:cstheme="minorHAnsi"/>
          <w:color w:val="000000"/>
          <w:lang w:val="en-AU"/>
        </w:rPr>
        <w:t xml:space="preserve"> </w:t>
      </w:r>
      <w:r w:rsidR="003C03E9" w:rsidRPr="00351A46">
        <w:rPr>
          <w:rFonts w:eastAsia="Cambria" w:cstheme="minorHAnsi"/>
          <w:color w:val="000000"/>
          <w:lang w:val="en-AU"/>
        </w:rPr>
        <w:t xml:space="preserve">Long-Term Development Plan (RPJP) </w:t>
      </w:r>
      <w:r w:rsidR="000614B7" w:rsidRPr="00351A46">
        <w:rPr>
          <w:rFonts w:eastAsia="Cambria" w:cstheme="minorHAnsi"/>
          <w:color w:val="000000"/>
          <w:lang w:val="en-AU"/>
        </w:rPr>
        <w:t xml:space="preserve">commencing in </w:t>
      </w:r>
      <w:r w:rsidR="000E56BC" w:rsidRPr="00351A46">
        <w:rPr>
          <w:rFonts w:eastAsia="Cambria" w:cstheme="minorHAnsi"/>
          <w:color w:val="000000"/>
          <w:lang w:val="en-AU"/>
        </w:rPr>
        <w:t>2022</w:t>
      </w:r>
      <w:r w:rsidR="00902EBC" w:rsidRPr="00351A46">
        <w:rPr>
          <w:rFonts w:eastAsia="Cambria" w:cstheme="minorHAnsi"/>
          <w:color w:val="000000"/>
          <w:lang w:val="en-AU"/>
        </w:rPr>
        <w:t>.</w:t>
      </w:r>
      <w:r w:rsidR="001D26E1" w:rsidRPr="00351A46">
        <w:rPr>
          <w:rFonts w:eastAsia="Cambria" w:cstheme="minorHAnsi"/>
          <w:color w:val="000000"/>
          <w:lang w:val="en-AU"/>
        </w:rPr>
        <w:t xml:space="preserve"> </w:t>
      </w:r>
    </w:p>
    <w:p w14:paraId="07734C4A" w14:textId="0DE2E0E4" w:rsidR="00690F97" w:rsidRPr="00351A46" w:rsidRDefault="0085095D">
      <w:pPr>
        <w:spacing w:after="120" w:line="240" w:lineRule="auto"/>
        <w:jc w:val="both"/>
        <w:rPr>
          <w:rFonts w:eastAsia="Cambria" w:cstheme="minorHAnsi"/>
          <w:color w:val="000000"/>
          <w:lang w:val="en-AU"/>
        </w:rPr>
      </w:pPr>
      <w:r w:rsidRPr="00351A46">
        <w:rPr>
          <w:rFonts w:eastAsia="Cambria" w:cstheme="minorHAnsi"/>
          <w:color w:val="000000"/>
          <w:lang w:val="en-AU"/>
        </w:rPr>
        <w:t>K</w:t>
      </w:r>
      <w:r w:rsidR="00750C42" w:rsidRPr="00351A46">
        <w:rPr>
          <w:rFonts w:eastAsia="Cambria" w:cstheme="minorHAnsi"/>
          <w:color w:val="000000"/>
          <w:lang w:val="en-AU"/>
        </w:rPr>
        <w:t>ey aspect</w:t>
      </w:r>
      <w:r w:rsidR="00C44F36" w:rsidRPr="00351A46">
        <w:rPr>
          <w:rFonts w:eastAsia="Cambria" w:cstheme="minorHAnsi"/>
          <w:color w:val="000000"/>
          <w:lang w:val="en-AU"/>
        </w:rPr>
        <w:t>s</w:t>
      </w:r>
      <w:r w:rsidR="00750C42" w:rsidRPr="00351A46">
        <w:rPr>
          <w:rFonts w:eastAsia="Cambria" w:cstheme="minorHAnsi"/>
          <w:color w:val="000000"/>
          <w:lang w:val="en-AU"/>
        </w:rPr>
        <w:t xml:space="preserve"> of KSI’s support align with </w:t>
      </w:r>
      <w:r w:rsidRPr="00351A46">
        <w:rPr>
          <w:rFonts w:eastAsia="Cambria" w:cstheme="minorHAnsi"/>
          <w:color w:val="000000"/>
          <w:lang w:val="en-AU"/>
        </w:rPr>
        <w:t xml:space="preserve">other </w:t>
      </w:r>
      <w:r w:rsidR="00750C42" w:rsidRPr="00351A46">
        <w:rPr>
          <w:rFonts w:eastAsia="Cambria" w:cstheme="minorHAnsi"/>
          <w:color w:val="000000"/>
          <w:lang w:val="en-AU"/>
        </w:rPr>
        <w:t xml:space="preserve">specific </w:t>
      </w:r>
      <w:r w:rsidR="001B7ECE" w:rsidRPr="00351A46">
        <w:rPr>
          <w:rFonts w:eastAsia="Cambria" w:cstheme="minorHAnsi"/>
          <w:color w:val="000000"/>
          <w:lang w:val="en-AU"/>
        </w:rPr>
        <w:t>Government of Indonesia</w:t>
      </w:r>
      <w:r w:rsidR="00750C42" w:rsidRPr="00351A46">
        <w:rPr>
          <w:rFonts w:eastAsia="Cambria" w:cstheme="minorHAnsi"/>
          <w:color w:val="000000"/>
          <w:lang w:val="en-AU"/>
        </w:rPr>
        <w:t xml:space="preserve"> priorities. </w:t>
      </w:r>
      <w:r w:rsidR="0075295D" w:rsidRPr="00351A46">
        <w:rPr>
          <w:rFonts w:eastAsia="Cambria" w:cstheme="minorHAnsi"/>
          <w:color w:val="000000"/>
          <w:lang w:val="en-AU"/>
        </w:rPr>
        <w:t xml:space="preserve">KSI is supporting better practices for commissioning and using research to inform </w:t>
      </w:r>
      <w:r w:rsidRPr="00351A46">
        <w:rPr>
          <w:rFonts w:eastAsia="Cambria" w:cstheme="minorHAnsi"/>
          <w:color w:val="000000"/>
          <w:lang w:val="en-AU"/>
        </w:rPr>
        <w:t>development planning</w:t>
      </w:r>
      <w:r w:rsidR="0075295D" w:rsidRPr="00351A46">
        <w:rPr>
          <w:rFonts w:eastAsia="Cambria" w:cstheme="minorHAnsi"/>
          <w:color w:val="000000"/>
          <w:lang w:val="en-AU"/>
        </w:rPr>
        <w:t xml:space="preserve">. Its support for </w:t>
      </w:r>
      <w:r w:rsidR="00F33BCB" w:rsidRPr="00351A46">
        <w:rPr>
          <w:rFonts w:eastAsia="Cambria" w:cstheme="minorHAnsi"/>
          <w:color w:val="000000"/>
          <w:lang w:val="en-AU"/>
        </w:rPr>
        <w:t>policy analysts</w:t>
      </w:r>
      <w:r w:rsidR="00750C42" w:rsidRPr="00351A46">
        <w:rPr>
          <w:rFonts w:eastAsia="Cambria" w:cstheme="minorHAnsi"/>
          <w:color w:val="000000"/>
          <w:lang w:val="en-AU"/>
        </w:rPr>
        <w:t xml:space="preserve"> aligns with the RPJMN priority of increasing </w:t>
      </w:r>
      <w:r w:rsidR="00C510D0" w:rsidRPr="00351A46">
        <w:rPr>
          <w:rFonts w:eastAsia="Cambria" w:cstheme="minorHAnsi"/>
          <w:color w:val="000000"/>
          <w:lang w:val="en-AU"/>
        </w:rPr>
        <w:t>t</w:t>
      </w:r>
      <w:r w:rsidR="00750C42" w:rsidRPr="00351A46">
        <w:rPr>
          <w:rFonts w:eastAsia="Cambria" w:cstheme="minorHAnsi"/>
          <w:color w:val="000000"/>
          <w:lang w:val="en-AU"/>
        </w:rPr>
        <w:t xml:space="preserve">he level of professionalism and capacity of the Indonesian bureaucracy. </w:t>
      </w:r>
      <w:r w:rsidRPr="00351A46">
        <w:rPr>
          <w:rFonts w:eastAsia="Cambria" w:cstheme="minorHAnsi"/>
          <w:color w:val="000000"/>
          <w:lang w:val="en-AU"/>
        </w:rPr>
        <w:t xml:space="preserve">Synchronising planning and budgeting has been a major issue at the national level for almost two decades. </w:t>
      </w:r>
      <w:r w:rsidR="00CE2154" w:rsidRPr="00351A46">
        <w:rPr>
          <w:rFonts w:eastAsia="Cambria" w:cstheme="minorHAnsi"/>
          <w:color w:val="000000"/>
          <w:lang w:val="en-AU"/>
        </w:rPr>
        <w:t xml:space="preserve">KSI’s support for developing a </w:t>
      </w:r>
      <w:r w:rsidR="00A875A3" w:rsidRPr="00351A46">
        <w:rPr>
          <w:rFonts w:eastAsia="Cambria" w:cstheme="minorHAnsi"/>
          <w:color w:val="000000"/>
          <w:lang w:val="en-AU"/>
        </w:rPr>
        <w:t xml:space="preserve">single online system for planning and budgeting (KRISNA) </w:t>
      </w:r>
      <w:r w:rsidRPr="00351A46">
        <w:rPr>
          <w:rFonts w:eastAsia="Cambria" w:cstheme="minorHAnsi"/>
          <w:color w:val="000000"/>
          <w:lang w:val="en-AU"/>
        </w:rPr>
        <w:t>addresses this issue</w:t>
      </w:r>
      <w:r w:rsidR="001B7ECE" w:rsidRPr="00351A46">
        <w:rPr>
          <w:rFonts w:eastAsia="Cambria" w:cstheme="minorHAnsi"/>
          <w:color w:val="000000"/>
          <w:lang w:val="en-AU"/>
        </w:rPr>
        <w:t>,</w:t>
      </w:r>
      <w:r w:rsidRPr="00351A46">
        <w:rPr>
          <w:rFonts w:eastAsia="Cambria" w:cstheme="minorHAnsi"/>
          <w:color w:val="000000"/>
          <w:lang w:val="en-AU"/>
        </w:rPr>
        <w:t xml:space="preserve"> while directly </w:t>
      </w:r>
      <w:r w:rsidR="00CE2154" w:rsidRPr="00351A46">
        <w:rPr>
          <w:rFonts w:eastAsia="Cambria" w:cstheme="minorHAnsi"/>
          <w:color w:val="000000"/>
          <w:lang w:val="en-AU"/>
        </w:rPr>
        <w:t>respo</w:t>
      </w:r>
      <w:r w:rsidRPr="00351A46">
        <w:rPr>
          <w:rFonts w:eastAsia="Cambria" w:cstheme="minorHAnsi"/>
          <w:color w:val="000000"/>
          <w:lang w:val="en-AU"/>
        </w:rPr>
        <w:t>nding</w:t>
      </w:r>
      <w:r w:rsidR="00CE2154" w:rsidRPr="00351A46">
        <w:rPr>
          <w:rFonts w:eastAsia="Cambria" w:cstheme="minorHAnsi"/>
          <w:color w:val="000000"/>
          <w:lang w:val="en-AU"/>
        </w:rPr>
        <w:t xml:space="preserve"> to President Jokowi’s call to better track progress on national development priorities and ensure budget is allocated to ministries based on the programs they implement (“money follows program”) rather than their functions (“money follows function”). </w:t>
      </w:r>
    </w:p>
    <w:p w14:paraId="4FFA4219" w14:textId="5DC26D89" w:rsidR="00F317E5" w:rsidRPr="001C1496" w:rsidRDefault="003F251E">
      <w:pPr>
        <w:spacing w:after="120" w:line="240" w:lineRule="auto"/>
        <w:jc w:val="both"/>
        <w:rPr>
          <w:lang w:val="en-AU"/>
        </w:rPr>
      </w:pPr>
      <w:r w:rsidRPr="00351A46">
        <w:rPr>
          <w:rFonts w:eastAsia="Cambria" w:cstheme="minorHAnsi"/>
          <w:color w:val="000000"/>
          <w:lang w:val="en-AU"/>
        </w:rPr>
        <w:t xml:space="preserve">KSI </w:t>
      </w:r>
      <w:r w:rsidR="00824CB0" w:rsidRPr="00351A46">
        <w:rPr>
          <w:rFonts w:eastAsia="Cambria" w:cstheme="minorHAnsi"/>
          <w:color w:val="000000"/>
          <w:lang w:val="en-AU"/>
        </w:rPr>
        <w:t xml:space="preserve">aligns with </w:t>
      </w:r>
      <w:r w:rsidR="00384646" w:rsidRPr="00351A46">
        <w:rPr>
          <w:rFonts w:eastAsia="Cambria" w:cstheme="minorHAnsi"/>
          <w:color w:val="000000"/>
          <w:lang w:val="en-AU"/>
        </w:rPr>
        <w:t>Australia’s</w:t>
      </w:r>
      <w:r w:rsidR="00824CB0" w:rsidRPr="00351A46">
        <w:rPr>
          <w:rFonts w:eastAsia="Cambria" w:cstheme="minorHAnsi"/>
          <w:color w:val="000000"/>
          <w:lang w:val="en-AU"/>
        </w:rPr>
        <w:t xml:space="preserve"> </w:t>
      </w:r>
      <w:r w:rsidR="00690F97" w:rsidRPr="00351A46">
        <w:rPr>
          <w:rFonts w:eastAsia="Cambria" w:cstheme="minorHAnsi"/>
          <w:color w:val="000000"/>
          <w:lang w:val="en-AU"/>
        </w:rPr>
        <w:t>aid policy</w:t>
      </w:r>
      <w:r w:rsidR="00E07F34" w:rsidRPr="00351A46">
        <w:rPr>
          <w:rFonts w:eastAsia="Cambria" w:cstheme="minorHAnsi"/>
          <w:color w:val="000000"/>
          <w:lang w:val="en-AU"/>
        </w:rPr>
        <w:t>, which</w:t>
      </w:r>
      <w:r w:rsidR="00690F97" w:rsidRPr="00351A46">
        <w:rPr>
          <w:rFonts w:eastAsia="Cambria" w:cstheme="minorHAnsi"/>
          <w:color w:val="000000"/>
          <w:lang w:val="en-AU"/>
        </w:rPr>
        <w:t xml:space="preserve"> calls for a change in the way aid is delivered. Aid in Indonesia is only a small proportion of Indonesia’s n</w:t>
      </w:r>
      <w:r w:rsidRPr="00351A46">
        <w:rPr>
          <w:rFonts w:eastAsia="Cambria" w:cstheme="minorHAnsi"/>
          <w:color w:val="000000"/>
          <w:lang w:val="en-AU"/>
        </w:rPr>
        <w:t xml:space="preserve">ational budget. This means </w:t>
      </w:r>
      <w:r w:rsidR="00690F97" w:rsidRPr="00351A46">
        <w:rPr>
          <w:rFonts w:eastAsia="Cambria" w:cstheme="minorHAnsi"/>
          <w:color w:val="000000"/>
          <w:lang w:val="en-AU"/>
        </w:rPr>
        <w:t>KSI needs to act as a catalyst</w:t>
      </w:r>
      <w:r w:rsidR="004A475D" w:rsidRPr="00351A46">
        <w:rPr>
          <w:rFonts w:eastAsia="Cambria" w:cstheme="minorHAnsi"/>
          <w:color w:val="000000"/>
          <w:lang w:val="en-AU"/>
        </w:rPr>
        <w:t xml:space="preserve"> for change, including by leveraging domestic resources. To this end, KSI’s investments will seek to leverage domestic funding and resources, particularly </w:t>
      </w:r>
      <w:r w:rsidR="0085095D" w:rsidRPr="00351A46">
        <w:rPr>
          <w:rFonts w:eastAsia="Cambria" w:cstheme="minorHAnsi"/>
          <w:color w:val="000000"/>
          <w:lang w:val="en-AU"/>
        </w:rPr>
        <w:t xml:space="preserve">from </w:t>
      </w:r>
      <w:r w:rsidR="006B6F67" w:rsidRPr="00351A46">
        <w:rPr>
          <w:rFonts w:eastAsia="Cambria" w:cstheme="minorHAnsi"/>
          <w:color w:val="000000"/>
          <w:lang w:val="en-AU"/>
        </w:rPr>
        <w:t xml:space="preserve">the </w:t>
      </w:r>
      <w:r w:rsidR="001B7ECE" w:rsidRPr="00351A46">
        <w:rPr>
          <w:rFonts w:eastAsia="Cambria" w:cstheme="minorHAnsi"/>
          <w:color w:val="000000"/>
          <w:lang w:val="en-AU"/>
        </w:rPr>
        <w:t>Government of Indonesia</w:t>
      </w:r>
      <w:r w:rsidR="001C1496">
        <w:rPr>
          <w:rFonts w:eastAsia="Cambria" w:cstheme="minorHAnsi"/>
          <w:color w:val="000000"/>
          <w:lang w:val="en-AU"/>
        </w:rPr>
        <w:t xml:space="preserve"> and the private sector. This</w:t>
      </w:r>
      <w:r w:rsidR="0085095D" w:rsidRPr="00351A46">
        <w:rPr>
          <w:rFonts w:eastAsia="Cambria" w:cstheme="minorHAnsi"/>
          <w:color w:val="000000"/>
          <w:lang w:val="en-AU"/>
        </w:rPr>
        <w:t xml:space="preserve"> includes work at sub</w:t>
      </w:r>
      <w:r w:rsidR="006B6F67" w:rsidRPr="00351A46">
        <w:rPr>
          <w:rFonts w:eastAsia="Cambria" w:cstheme="minorHAnsi"/>
          <w:color w:val="000000"/>
          <w:lang w:val="en-AU"/>
        </w:rPr>
        <w:t>-</w:t>
      </w:r>
      <w:r w:rsidR="0085095D" w:rsidRPr="00351A46">
        <w:rPr>
          <w:rFonts w:eastAsia="Cambria" w:cstheme="minorHAnsi"/>
          <w:color w:val="000000"/>
          <w:lang w:val="en-AU"/>
        </w:rPr>
        <w:t>national levels with local governments who have funds but are desperate for expert advice.</w:t>
      </w:r>
      <w:r w:rsidR="004A475D" w:rsidRPr="00351A46">
        <w:rPr>
          <w:rFonts w:eastAsia="Cambria" w:cstheme="minorHAnsi"/>
          <w:color w:val="000000"/>
          <w:lang w:val="en-AU"/>
        </w:rPr>
        <w:t xml:space="preserve"> Australia’s aid policy </w:t>
      </w:r>
      <w:r w:rsidR="0070369A" w:rsidRPr="00351A46">
        <w:rPr>
          <w:rFonts w:eastAsia="Cambria" w:cstheme="minorHAnsi"/>
          <w:color w:val="000000"/>
          <w:lang w:val="en-AU"/>
        </w:rPr>
        <w:t>states that aid should</w:t>
      </w:r>
      <w:r w:rsidR="004A475D" w:rsidRPr="00351A46">
        <w:rPr>
          <w:rFonts w:eastAsia="Cambria" w:cstheme="minorHAnsi"/>
          <w:color w:val="000000"/>
          <w:lang w:val="en-AU"/>
        </w:rPr>
        <w:t xml:space="preserve"> </w:t>
      </w:r>
      <w:r w:rsidR="00690F97" w:rsidRPr="00351A46">
        <w:rPr>
          <w:rFonts w:eastAsia="Cambria" w:cstheme="minorHAnsi"/>
          <w:color w:val="000000"/>
          <w:lang w:val="en-AU"/>
        </w:rPr>
        <w:t xml:space="preserve">be delivered in a way that reinforces the responsibility of partner governments to plan and fund their own economic development and poverty reduction strategies. KSI does this by </w:t>
      </w:r>
      <w:r w:rsidR="00690F97" w:rsidRPr="001C1496">
        <w:rPr>
          <w:lang w:val="en-AU"/>
        </w:rPr>
        <w:t>creating</w:t>
      </w:r>
      <w:r w:rsidR="00D317B2" w:rsidRPr="001C1496">
        <w:rPr>
          <w:lang w:val="en-AU"/>
        </w:rPr>
        <w:t xml:space="preserve"> the conditions necessary for Indonesian policymakers to </w:t>
      </w:r>
      <w:r w:rsidR="00690F97" w:rsidRPr="001C1496">
        <w:rPr>
          <w:lang w:val="en-AU"/>
        </w:rPr>
        <w:t xml:space="preserve">access and </w:t>
      </w:r>
      <w:r w:rsidR="00D317B2" w:rsidRPr="001C1496">
        <w:rPr>
          <w:lang w:val="en-AU"/>
        </w:rPr>
        <w:t xml:space="preserve">use evidence to make informed choices about how best to spend its development budget. </w:t>
      </w:r>
    </w:p>
    <w:p w14:paraId="3A7D5C95" w14:textId="6169F4F1" w:rsidR="00D317B2" w:rsidRPr="001C1496" w:rsidRDefault="00D317B2">
      <w:pPr>
        <w:spacing w:after="120" w:line="240" w:lineRule="auto"/>
        <w:jc w:val="both"/>
        <w:rPr>
          <w:lang w:val="en-AU"/>
        </w:rPr>
      </w:pPr>
      <w:r w:rsidRPr="001C1496">
        <w:rPr>
          <w:lang w:val="en-AU"/>
        </w:rPr>
        <w:t>Over time, a stronger knowle</w:t>
      </w:r>
      <w:r w:rsidR="0070369A" w:rsidRPr="001C1496">
        <w:rPr>
          <w:lang w:val="en-AU"/>
        </w:rPr>
        <w:t>dge sector will enhance Australia</w:t>
      </w:r>
      <w:r w:rsidRPr="001C1496">
        <w:rPr>
          <w:lang w:val="en-AU"/>
        </w:rPr>
        <w:t xml:space="preserve">’s </w:t>
      </w:r>
      <w:r w:rsidR="0070369A" w:rsidRPr="001C1496">
        <w:rPr>
          <w:lang w:val="en-AU"/>
        </w:rPr>
        <w:t xml:space="preserve">other </w:t>
      </w:r>
      <w:r w:rsidRPr="001C1496">
        <w:rPr>
          <w:lang w:val="en-AU"/>
        </w:rPr>
        <w:t>investments in evidence-informed policymaking in priority sectors outlined in</w:t>
      </w:r>
      <w:r w:rsidR="004E5022" w:rsidRPr="00351A46">
        <w:rPr>
          <w:lang w:val="en-AU"/>
        </w:rPr>
        <w:t xml:space="preserve"> its Department of Foreign Affairs and Trade (</w:t>
      </w:r>
      <w:r w:rsidRPr="001C1496">
        <w:rPr>
          <w:lang w:val="en-AU"/>
        </w:rPr>
        <w:t>DFAT</w:t>
      </w:r>
      <w:r w:rsidR="004E5022" w:rsidRPr="00351A46">
        <w:rPr>
          <w:lang w:val="en-AU"/>
        </w:rPr>
        <w:t xml:space="preserve">) </w:t>
      </w:r>
      <w:r w:rsidRPr="001C1496">
        <w:rPr>
          <w:lang w:val="en-AU"/>
        </w:rPr>
        <w:t xml:space="preserve">Aid Investment Plan for Indonesia. </w:t>
      </w:r>
      <w:r w:rsidR="008626FA" w:rsidRPr="001C1496">
        <w:rPr>
          <w:lang w:val="en-AU"/>
        </w:rPr>
        <w:t xml:space="preserve">KSI plays an important role in </w:t>
      </w:r>
      <w:r w:rsidR="0070369A" w:rsidRPr="001C1496">
        <w:rPr>
          <w:lang w:val="en-AU"/>
        </w:rPr>
        <w:t>promoting people-to-people</w:t>
      </w:r>
      <w:r w:rsidR="007D2763" w:rsidRPr="001C1496">
        <w:rPr>
          <w:lang w:val="en-AU"/>
        </w:rPr>
        <w:t xml:space="preserve"> </w:t>
      </w:r>
      <w:r w:rsidR="00864002" w:rsidRPr="00351A46">
        <w:rPr>
          <w:lang w:val="en-AU"/>
        </w:rPr>
        <w:t>links</w:t>
      </w:r>
      <w:r w:rsidR="007D2763" w:rsidRPr="001C1496">
        <w:rPr>
          <w:lang w:val="en-AU"/>
        </w:rPr>
        <w:t>, through providing</w:t>
      </w:r>
      <w:r w:rsidR="0070369A" w:rsidRPr="001C1496">
        <w:rPr>
          <w:lang w:val="en-AU"/>
        </w:rPr>
        <w:t xml:space="preserve"> access to its broad </w:t>
      </w:r>
      <w:r w:rsidR="00EA0F31" w:rsidRPr="001C1496">
        <w:rPr>
          <w:lang w:val="en-AU"/>
        </w:rPr>
        <w:t xml:space="preserve">networks and promoting </w:t>
      </w:r>
      <w:r w:rsidR="0070369A" w:rsidRPr="001C1496">
        <w:rPr>
          <w:lang w:val="en-AU"/>
        </w:rPr>
        <w:t>connections with</w:t>
      </w:r>
      <w:r w:rsidR="008626FA" w:rsidRPr="001C1496">
        <w:rPr>
          <w:lang w:val="en-AU"/>
        </w:rPr>
        <w:t xml:space="preserve"> </w:t>
      </w:r>
      <w:r w:rsidR="00825AAB" w:rsidRPr="001C1496">
        <w:rPr>
          <w:lang w:val="en-AU"/>
        </w:rPr>
        <w:t>Australian universities</w:t>
      </w:r>
      <w:r w:rsidR="0070369A" w:rsidRPr="001C1496">
        <w:rPr>
          <w:lang w:val="en-AU"/>
        </w:rPr>
        <w:t>.</w:t>
      </w:r>
      <w:r w:rsidR="001D26E1" w:rsidRPr="00351A46">
        <w:rPr>
          <w:lang w:val="en-AU"/>
        </w:rPr>
        <w:t xml:space="preserve"> </w:t>
      </w:r>
    </w:p>
    <w:p w14:paraId="7440BDFC" w14:textId="081987AE" w:rsidR="00C84CB0" w:rsidRPr="00351A46" w:rsidRDefault="00C84CB0">
      <w:pPr>
        <w:pStyle w:val="Heading2"/>
        <w:rPr>
          <w:lang w:val="en-AU"/>
        </w:rPr>
      </w:pPr>
      <w:bookmarkStart w:id="7" w:name="_Toc514418231"/>
      <w:r w:rsidRPr="00351A46">
        <w:rPr>
          <w:lang w:val="en-AU"/>
        </w:rPr>
        <w:t xml:space="preserve">Links with DFAT and </w:t>
      </w:r>
      <w:r w:rsidR="007368DB" w:rsidRPr="00351A46">
        <w:rPr>
          <w:lang w:val="en-AU"/>
        </w:rPr>
        <w:t>other Donor Programs</w:t>
      </w:r>
      <w:bookmarkEnd w:id="7"/>
    </w:p>
    <w:p w14:paraId="7CA1905D" w14:textId="0E1CA009" w:rsidR="00F912D4" w:rsidRPr="001C1496" w:rsidRDefault="00F912D4" w:rsidP="001C1496">
      <w:pPr>
        <w:spacing w:after="0"/>
        <w:rPr>
          <w:sz w:val="12"/>
          <w:lang w:val="en-AU"/>
        </w:rPr>
      </w:pPr>
    </w:p>
    <w:p w14:paraId="796F03E7" w14:textId="7D3BAE88" w:rsidR="00B36553" w:rsidRPr="00351A46" w:rsidRDefault="002D6AE0" w:rsidP="001C1496">
      <w:pPr>
        <w:spacing w:after="80"/>
        <w:rPr>
          <w:lang w:val="en-AU"/>
        </w:rPr>
      </w:pPr>
      <w:r w:rsidRPr="00351A46">
        <w:rPr>
          <w:lang w:val="en-AU"/>
        </w:rPr>
        <w:t xml:space="preserve">KSI has numerous </w:t>
      </w:r>
      <w:r w:rsidR="00864002" w:rsidRPr="00351A46">
        <w:rPr>
          <w:lang w:val="en-AU"/>
        </w:rPr>
        <w:t>links</w:t>
      </w:r>
      <w:r w:rsidRPr="00351A46">
        <w:rPr>
          <w:lang w:val="en-AU"/>
        </w:rPr>
        <w:t xml:space="preserve"> with other development investments in Indonesia. </w:t>
      </w:r>
      <w:r w:rsidR="006B2592" w:rsidRPr="00351A46">
        <w:rPr>
          <w:lang w:val="en-AU"/>
        </w:rPr>
        <w:t>Its</w:t>
      </w:r>
      <w:r w:rsidRPr="00351A46">
        <w:rPr>
          <w:lang w:val="en-AU"/>
        </w:rPr>
        <w:t xml:space="preserve"> Indonesia Development Forum </w:t>
      </w:r>
      <w:r w:rsidR="004E5022" w:rsidRPr="00351A46">
        <w:rPr>
          <w:lang w:val="en-AU"/>
        </w:rPr>
        <w:t xml:space="preserve">(IDF) </w:t>
      </w:r>
      <w:r w:rsidRPr="00351A46">
        <w:rPr>
          <w:lang w:val="en-AU"/>
        </w:rPr>
        <w:t xml:space="preserve">will provide an opportunity for a wide range of DFAT and other donor programs to participate, learn and share their experiences to help inform </w:t>
      </w:r>
      <w:r w:rsidR="001B7ECE" w:rsidRPr="00351A46">
        <w:rPr>
          <w:lang w:val="en-AU"/>
        </w:rPr>
        <w:t>Government of Indonesia</w:t>
      </w:r>
      <w:r w:rsidRPr="00351A46">
        <w:rPr>
          <w:lang w:val="en-AU"/>
        </w:rPr>
        <w:t xml:space="preserve"> policy</w:t>
      </w:r>
      <w:r w:rsidR="004D1145" w:rsidRPr="00351A46">
        <w:rPr>
          <w:lang w:val="en-AU"/>
        </w:rPr>
        <w:t>, as well as profile the breadth of Australia’s overall support as a committed development partner</w:t>
      </w:r>
      <w:r w:rsidR="004E5022" w:rsidRPr="00351A46">
        <w:rPr>
          <w:lang w:val="en-AU"/>
        </w:rPr>
        <w:t xml:space="preserve">. It </w:t>
      </w:r>
      <w:r w:rsidR="004D1145" w:rsidRPr="00351A46">
        <w:rPr>
          <w:lang w:val="en-AU"/>
        </w:rPr>
        <w:t>underpins the intent of Australia as a serious economic partner</w:t>
      </w:r>
      <w:r w:rsidRPr="00351A46">
        <w:rPr>
          <w:lang w:val="en-AU"/>
        </w:rPr>
        <w:t xml:space="preserve">. </w:t>
      </w:r>
      <w:r w:rsidR="00284178" w:rsidRPr="00351A46">
        <w:rPr>
          <w:lang w:val="en-AU"/>
        </w:rPr>
        <w:t>KSI’s support for the passage of new procurement regulations</w:t>
      </w:r>
      <w:r w:rsidR="004E5022" w:rsidRPr="00351A46">
        <w:rPr>
          <w:lang w:val="en-AU"/>
        </w:rPr>
        <w:t xml:space="preserve"> that</w:t>
      </w:r>
      <w:r w:rsidR="00284178" w:rsidRPr="00351A46">
        <w:rPr>
          <w:lang w:val="en-AU"/>
        </w:rPr>
        <w:t xml:space="preserve"> enabl</w:t>
      </w:r>
      <w:r w:rsidR="004E5022" w:rsidRPr="00351A46">
        <w:rPr>
          <w:lang w:val="en-AU"/>
        </w:rPr>
        <w:t>e the</w:t>
      </w:r>
      <w:r w:rsidR="00284178" w:rsidRPr="00351A46">
        <w:rPr>
          <w:lang w:val="en-AU"/>
        </w:rPr>
        <w:t xml:space="preserve"> government to contract universities, research organisations and civil society organisations to provide research will boost efforts of other programs seeking to promote evidence-informed policymaking. KSI’s investment in p</w:t>
      </w:r>
      <w:r w:rsidRPr="00351A46">
        <w:rPr>
          <w:lang w:val="en-AU"/>
        </w:rPr>
        <w:t>olicy research institut</w:t>
      </w:r>
      <w:r w:rsidR="008D4E96">
        <w:rPr>
          <w:lang w:val="en-AU"/>
        </w:rPr>
        <w:t>es</w:t>
      </w:r>
      <w:r w:rsidRPr="00351A46">
        <w:rPr>
          <w:lang w:val="en-AU"/>
        </w:rPr>
        <w:t xml:space="preserve"> </w:t>
      </w:r>
      <w:r w:rsidR="008D4E96">
        <w:rPr>
          <w:lang w:val="en-AU"/>
        </w:rPr>
        <w:t xml:space="preserve">(PRI) </w:t>
      </w:r>
      <w:r w:rsidRPr="00351A46">
        <w:rPr>
          <w:lang w:val="en-AU"/>
        </w:rPr>
        <w:t xml:space="preserve">has boosted their organisational and policy research capacity and confidence, which is benefiting other programs and institutions who use their services. </w:t>
      </w:r>
      <w:r w:rsidR="006B3AF5" w:rsidRPr="00351A46">
        <w:rPr>
          <w:lang w:val="en-AU"/>
        </w:rPr>
        <w:t>The UK’s Department for International Development (</w:t>
      </w:r>
      <w:r w:rsidRPr="00351A46">
        <w:rPr>
          <w:lang w:val="en-AU"/>
        </w:rPr>
        <w:t>DFID</w:t>
      </w:r>
      <w:r w:rsidR="006B3AF5" w:rsidRPr="00351A46">
        <w:rPr>
          <w:lang w:val="en-AU"/>
        </w:rPr>
        <w:t xml:space="preserve">) </w:t>
      </w:r>
      <w:r w:rsidRPr="00351A46">
        <w:rPr>
          <w:lang w:val="en-AU"/>
        </w:rPr>
        <w:t xml:space="preserve">Newton Fund is leveraging KSI’s investment in building </w:t>
      </w:r>
      <w:r w:rsidR="003E4C8C" w:rsidRPr="00351A46">
        <w:rPr>
          <w:lang w:val="en-AU"/>
        </w:rPr>
        <w:t>the capacity of the Indonesia Science Fund (</w:t>
      </w:r>
      <w:r w:rsidRPr="00351A46">
        <w:rPr>
          <w:lang w:val="en-AU"/>
        </w:rPr>
        <w:t>DIPI</w:t>
      </w:r>
      <w:r w:rsidR="003E4C8C" w:rsidRPr="00351A46">
        <w:rPr>
          <w:lang w:val="en-AU"/>
        </w:rPr>
        <w:t>)</w:t>
      </w:r>
      <w:r w:rsidRPr="00351A46">
        <w:rPr>
          <w:lang w:val="en-AU"/>
        </w:rPr>
        <w:t xml:space="preserve"> and complementing this work with </w:t>
      </w:r>
      <w:r w:rsidR="006B3AF5" w:rsidRPr="00351A46">
        <w:rPr>
          <w:lang w:val="en-AU"/>
        </w:rPr>
        <w:t xml:space="preserve">its </w:t>
      </w:r>
      <w:r w:rsidRPr="00351A46">
        <w:rPr>
          <w:lang w:val="en-AU"/>
        </w:rPr>
        <w:t xml:space="preserve">own technical assistance and networks. At the same time, KSI is leveraging the Newton Fund’s investment in research to help build the credibility of DIPI. </w:t>
      </w:r>
      <w:r w:rsidR="00077F19" w:rsidRPr="00351A46">
        <w:rPr>
          <w:lang w:val="en-AU"/>
        </w:rPr>
        <w:t xml:space="preserve">KSI is collaborating with </w:t>
      </w:r>
      <w:r w:rsidR="00B36553" w:rsidRPr="00351A46">
        <w:rPr>
          <w:lang w:val="en-AU"/>
        </w:rPr>
        <w:t xml:space="preserve">other DFAT programs through its work on </w:t>
      </w:r>
      <w:r w:rsidR="006A14A9">
        <w:rPr>
          <w:lang w:val="en-AU"/>
        </w:rPr>
        <w:t xml:space="preserve">the </w:t>
      </w:r>
      <w:r w:rsidR="00B36553" w:rsidRPr="00351A46">
        <w:rPr>
          <w:lang w:val="en-AU"/>
        </w:rPr>
        <w:t>KRISNA</w:t>
      </w:r>
      <w:r w:rsidR="006A14A9">
        <w:rPr>
          <w:lang w:val="en-AU"/>
        </w:rPr>
        <w:t xml:space="preserve"> </w:t>
      </w:r>
      <w:r w:rsidR="00B36553" w:rsidRPr="00351A46">
        <w:rPr>
          <w:lang w:val="en-AU"/>
        </w:rPr>
        <w:t>online e-planning and budgeting system.</w:t>
      </w:r>
      <w:r w:rsidR="001D26E1" w:rsidRPr="00351A46">
        <w:rPr>
          <w:lang w:val="en-AU"/>
        </w:rPr>
        <w:t xml:space="preserve"> </w:t>
      </w:r>
      <w:r w:rsidR="002B5F33" w:rsidRPr="001C1496">
        <w:rPr>
          <w:lang w:val="en-AU"/>
        </w:rPr>
        <w:t>KSI is working with Kompak on the use of KRISNA for local government planning and budgeting of Special Funding Allocations (</w:t>
      </w:r>
      <w:r w:rsidR="002B5F33" w:rsidRPr="001C1496">
        <w:rPr>
          <w:i/>
          <w:lang w:val="en-AU"/>
        </w:rPr>
        <w:t>Dana Alokasi Khusus – DAK</w:t>
      </w:r>
      <w:r w:rsidR="002B5F33" w:rsidRPr="001C1496">
        <w:rPr>
          <w:lang w:val="en-AU"/>
        </w:rPr>
        <w:t>). It is also collaborating with Prospera on integrating Indonesia’s mid-term spending framework (KPJM) into KRISNA.</w:t>
      </w:r>
      <w:r w:rsidR="001D26E1" w:rsidRPr="00351A46">
        <w:rPr>
          <w:lang w:val="en-AU"/>
        </w:rPr>
        <w:t xml:space="preserve"> </w:t>
      </w:r>
      <w:r w:rsidR="002B5F33" w:rsidRPr="00351A46">
        <w:rPr>
          <w:lang w:val="en-AU"/>
        </w:rPr>
        <w:t xml:space="preserve">KSI </w:t>
      </w:r>
      <w:r w:rsidR="003E4C8C" w:rsidRPr="00351A46">
        <w:rPr>
          <w:lang w:val="en-AU"/>
        </w:rPr>
        <w:t>is providing tools and guidance to other DFAT programs to improve the effectiveness of DFAT funding for</w:t>
      </w:r>
      <w:r w:rsidR="00FB74B7" w:rsidRPr="00FB74B7">
        <w:rPr>
          <w:rFonts w:eastAsia="Calibri" w:cstheme="minorHAnsi"/>
          <w:lang w:val="en-AU"/>
        </w:rPr>
        <w:t xml:space="preserve"> </w:t>
      </w:r>
      <w:r w:rsidR="00FB74B7" w:rsidRPr="00FB74B7">
        <w:rPr>
          <w:lang w:val="en-AU"/>
        </w:rPr>
        <w:t>the Ministry of National Planning/National Development Planning Agency (</w:t>
      </w:r>
      <w:r w:rsidR="00FB74B7" w:rsidRPr="001C1496">
        <w:rPr>
          <w:i/>
          <w:lang w:val="en-AU"/>
        </w:rPr>
        <w:t>Bappenas</w:t>
      </w:r>
      <w:r w:rsidR="00FB74B7" w:rsidRPr="00FB74B7">
        <w:rPr>
          <w:lang w:val="en-AU"/>
        </w:rPr>
        <w:t>)</w:t>
      </w:r>
      <w:r w:rsidR="003E4C8C" w:rsidRPr="00351A46">
        <w:rPr>
          <w:lang w:val="en-AU"/>
        </w:rPr>
        <w:t xml:space="preserve"> studies to inform the RPJMN.</w:t>
      </w:r>
      <w:r w:rsidR="001D26E1" w:rsidRPr="00351A46">
        <w:rPr>
          <w:lang w:val="en-AU"/>
        </w:rPr>
        <w:t xml:space="preserve"> </w:t>
      </w:r>
    </w:p>
    <w:p w14:paraId="6874A138" w14:textId="5E51D4A0" w:rsidR="001D007D" w:rsidRPr="00351A46" w:rsidRDefault="009C0C7A" w:rsidP="001C1496">
      <w:pPr>
        <w:pStyle w:val="Heading1"/>
        <w:numPr>
          <w:ilvl w:val="0"/>
          <w:numId w:val="1"/>
        </w:numPr>
        <w:spacing w:before="0"/>
        <w:ind w:left="357" w:hanging="357"/>
        <w:rPr>
          <w:lang w:val="en-AU"/>
        </w:rPr>
      </w:pPr>
      <w:bookmarkStart w:id="8" w:name="_Toc514418232"/>
      <w:r w:rsidRPr="00351A46">
        <w:rPr>
          <w:lang w:val="en-AU"/>
        </w:rPr>
        <w:t xml:space="preserve">Strategic </w:t>
      </w:r>
      <w:r w:rsidR="00D0604A" w:rsidRPr="00351A46">
        <w:rPr>
          <w:lang w:val="en-AU"/>
        </w:rPr>
        <w:t>A</w:t>
      </w:r>
      <w:r w:rsidRPr="00351A46">
        <w:rPr>
          <w:lang w:val="en-AU"/>
        </w:rPr>
        <w:t>pproach</w:t>
      </w:r>
      <w:bookmarkEnd w:id="8"/>
      <w:r w:rsidRPr="00351A46">
        <w:rPr>
          <w:lang w:val="en-AU"/>
        </w:rPr>
        <w:t xml:space="preserve"> </w:t>
      </w:r>
    </w:p>
    <w:p w14:paraId="5C45014C" w14:textId="572AE204" w:rsidR="00F912D4" w:rsidRPr="001C1496" w:rsidRDefault="00F912D4" w:rsidP="001C1496">
      <w:pPr>
        <w:spacing w:after="0"/>
        <w:jc w:val="both"/>
        <w:rPr>
          <w:sz w:val="12"/>
          <w:lang w:val="en-AU"/>
        </w:rPr>
      </w:pPr>
    </w:p>
    <w:p w14:paraId="56A2D645" w14:textId="00B49C1A" w:rsidR="001058FB" w:rsidRPr="00351A46" w:rsidRDefault="001058FB">
      <w:pPr>
        <w:jc w:val="both"/>
        <w:rPr>
          <w:lang w:val="en-AU"/>
        </w:rPr>
      </w:pPr>
      <w:r w:rsidRPr="00351A46">
        <w:rPr>
          <w:lang w:val="en-AU"/>
        </w:rPr>
        <w:t xml:space="preserve">Bearing in mind KSI is just one small player with limited resources, it can make a difference by focusing </w:t>
      </w:r>
      <w:r w:rsidR="006B3AF5" w:rsidRPr="00351A46">
        <w:rPr>
          <w:lang w:val="en-AU"/>
        </w:rPr>
        <w:t>on</w:t>
      </w:r>
      <w:r w:rsidRPr="00351A46">
        <w:rPr>
          <w:lang w:val="en-AU"/>
        </w:rPr>
        <w:t xml:space="preserve"> pockets of reform and playing a catalytic role. KSI will work with research providers and </w:t>
      </w:r>
      <w:r w:rsidR="006B3AF5" w:rsidRPr="00351A46">
        <w:rPr>
          <w:lang w:val="en-AU"/>
        </w:rPr>
        <w:t xml:space="preserve">the </w:t>
      </w:r>
      <w:r w:rsidRPr="00351A46">
        <w:rPr>
          <w:lang w:val="en-AU"/>
        </w:rPr>
        <w:t>government to improve the policy relevance and quality of research, increase research funding, promote better quality spending on research</w:t>
      </w:r>
      <w:r w:rsidR="006A14A9">
        <w:rPr>
          <w:lang w:val="en-AU"/>
        </w:rPr>
        <w:t>,</w:t>
      </w:r>
      <w:r w:rsidRPr="00351A46">
        <w:rPr>
          <w:lang w:val="en-AU"/>
        </w:rPr>
        <w:t xml:space="preserve"> and better data availability and accessibility. KSI will continue to progress work on underlying systemic issues in the knowledge sector and support, learn from</w:t>
      </w:r>
      <w:r w:rsidR="000959D4" w:rsidRPr="00351A46">
        <w:rPr>
          <w:lang w:val="en-AU"/>
        </w:rPr>
        <w:t>,</w:t>
      </w:r>
      <w:r w:rsidRPr="00351A46">
        <w:rPr>
          <w:lang w:val="en-AU"/>
        </w:rPr>
        <w:t xml:space="preserve"> and promote examples of positive deviance. </w:t>
      </w:r>
    </w:p>
    <w:p w14:paraId="039DAB0F" w14:textId="62A988CF" w:rsidR="00B545A2" w:rsidRPr="00351A46" w:rsidRDefault="001058FB">
      <w:pPr>
        <w:jc w:val="both"/>
        <w:rPr>
          <w:lang w:val="en-AU"/>
        </w:rPr>
      </w:pPr>
      <w:r w:rsidRPr="00351A46">
        <w:rPr>
          <w:lang w:val="en-AU"/>
        </w:rPr>
        <w:t xml:space="preserve">KSI will </w:t>
      </w:r>
      <w:r w:rsidR="001572CC" w:rsidRPr="00351A46">
        <w:rPr>
          <w:lang w:val="en-AU"/>
        </w:rPr>
        <w:t xml:space="preserve">support stakeholders to work on key issues they have an interest in addressing. </w:t>
      </w:r>
      <w:r w:rsidRPr="00351A46">
        <w:rPr>
          <w:lang w:val="en-AU"/>
        </w:rPr>
        <w:t xml:space="preserve">KSI will identify information gaps and produce knowledge to deepen understanding of these issues. It will also facilitate dialogue and collaboration between stakeholders in addressing policy problems. This will take advantage of developments in KSI’s operating context, including critical junctures such as the lead up to the presidential elections. </w:t>
      </w:r>
    </w:p>
    <w:p w14:paraId="59518A82" w14:textId="5A8D30F2" w:rsidR="00C10E77" w:rsidRDefault="007C7785">
      <w:pPr>
        <w:pStyle w:val="Heading2"/>
        <w:rPr>
          <w:lang w:val="en-AU"/>
        </w:rPr>
      </w:pPr>
      <w:bookmarkStart w:id="9" w:name="_Toc514418233"/>
      <w:r w:rsidRPr="00351A46">
        <w:rPr>
          <w:lang w:val="en-AU"/>
        </w:rPr>
        <w:t xml:space="preserve">Key </w:t>
      </w:r>
      <w:r w:rsidR="00D0604A" w:rsidRPr="00351A46">
        <w:rPr>
          <w:lang w:val="en-AU"/>
        </w:rPr>
        <w:t>P</w:t>
      </w:r>
      <w:r w:rsidRPr="00351A46">
        <w:rPr>
          <w:lang w:val="en-AU"/>
        </w:rPr>
        <w:t xml:space="preserve">rinciples of </w:t>
      </w:r>
      <w:r w:rsidR="00D0604A" w:rsidRPr="00351A46">
        <w:rPr>
          <w:lang w:val="en-AU"/>
        </w:rPr>
        <w:t>I</w:t>
      </w:r>
      <w:r w:rsidRPr="00351A46">
        <w:rPr>
          <w:lang w:val="en-AU"/>
        </w:rPr>
        <w:t>mplementation</w:t>
      </w:r>
      <w:bookmarkEnd w:id="9"/>
    </w:p>
    <w:p w14:paraId="50B350B6" w14:textId="77777777" w:rsidR="00F912D4" w:rsidRPr="001C1496" w:rsidRDefault="00F912D4" w:rsidP="001C1496">
      <w:pPr>
        <w:spacing w:after="0"/>
        <w:rPr>
          <w:sz w:val="8"/>
        </w:rPr>
      </w:pPr>
    </w:p>
    <w:p w14:paraId="283B85AE" w14:textId="600D1AB8" w:rsidR="00C10E77" w:rsidRPr="00351A46" w:rsidRDefault="00261051">
      <w:pPr>
        <w:jc w:val="both"/>
        <w:rPr>
          <w:lang w:val="en-AU"/>
        </w:rPr>
      </w:pPr>
      <w:r w:rsidRPr="00351A46">
        <w:rPr>
          <w:lang w:val="en-AU"/>
        </w:rPr>
        <w:t xml:space="preserve">Implementation of </w:t>
      </w:r>
      <w:r w:rsidR="00204F96" w:rsidRPr="00351A46">
        <w:rPr>
          <w:lang w:val="en-AU"/>
        </w:rPr>
        <w:t>KSI Phase 2</w:t>
      </w:r>
      <w:r w:rsidR="00C10E77" w:rsidRPr="00351A46">
        <w:rPr>
          <w:lang w:val="en-AU"/>
        </w:rPr>
        <w:t xml:space="preserve"> </w:t>
      </w:r>
      <w:r w:rsidRPr="00351A46">
        <w:rPr>
          <w:lang w:val="en-AU"/>
        </w:rPr>
        <w:t>will be informed by the following key principles:</w:t>
      </w:r>
    </w:p>
    <w:p w14:paraId="0E841FA2" w14:textId="3EAE5C39" w:rsidR="000C4BD6" w:rsidRPr="00351A46" w:rsidRDefault="00C10E77">
      <w:pPr>
        <w:pStyle w:val="ListParagraph"/>
        <w:numPr>
          <w:ilvl w:val="0"/>
          <w:numId w:val="7"/>
        </w:numPr>
        <w:spacing w:before="120" w:after="0"/>
        <w:contextualSpacing w:val="0"/>
        <w:jc w:val="both"/>
        <w:rPr>
          <w:lang w:val="en-AU"/>
        </w:rPr>
      </w:pPr>
      <w:r w:rsidRPr="00351A46">
        <w:rPr>
          <w:i/>
          <w:lang w:val="en-AU"/>
        </w:rPr>
        <w:t xml:space="preserve">Collective action </w:t>
      </w:r>
      <w:r w:rsidRPr="00351A46">
        <w:rPr>
          <w:i/>
          <w:lang w:val="en-AU"/>
        </w:rPr>
        <w:softHyphen/>
      </w:r>
      <w:r w:rsidRPr="00351A46">
        <w:rPr>
          <w:lang w:val="en-AU"/>
        </w:rPr>
        <w:t>–</w:t>
      </w:r>
      <w:r w:rsidR="005503C2" w:rsidRPr="00351A46">
        <w:rPr>
          <w:lang w:val="en-AU"/>
        </w:rPr>
        <w:t xml:space="preserve"> </w:t>
      </w:r>
      <w:r w:rsidR="006A14A9" w:rsidRPr="00351A46">
        <w:rPr>
          <w:lang w:val="en-AU"/>
        </w:rPr>
        <w:t xml:space="preserve">Development </w:t>
      </w:r>
      <w:r w:rsidR="006E4348" w:rsidRPr="00351A46">
        <w:rPr>
          <w:lang w:val="en-AU"/>
        </w:rPr>
        <w:t xml:space="preserve">problems in the </w:t>
      </w:r>
      <w:r w:rsidR="00FB6B1F" w:rsidRPr="00351A46">
        <w:rPr>
          <w:lang w:val="en-AU"/>
        </w:rPr>
        <w:t xml:space="preserve">knowledge sector </w:t>
      </w:r>
      <w:r w:rsidR="006E4348" w:rsidRPr="00351A46">
        <w:rPr>
          <w:lang w:val="en-AU"/>
        </w:rPr>
        <w:t>are essentially collective action problems, whereby stakeholders lack the incentives to collaborate, even though this would lead to better outcomes for all.</w:t>
      </w:r>
      <w:r w:rsidR="005503C2" w:rsidRPr="00351A46">
        <w:rPr>
          <w:lang w:val="en-AU"/>
        </w:rPr>
        <w:t xml:space="preserve"> Overcoming collective action problems requires stakeholders </w:t>
      </w:r>
      <w:r w:rsidR="006E4348" w:rsidRPr="00351A46">
        <w:rPr>
          <w:lang w:val="en-AU"/>
        </w:rPr>
        <w:t>from government, research providers, the private sector and others to</w:t>
      </w:r>
      <w:r w:rsidR="005503C2" w:rsidRPr="00351A46">
        <w:rPr>
          <w:lang w:val="en-AU"/>
        </w:rPr>
        <w:t xml:space="preserve"> find ways to act collectively in their own best interests. </w:t>
      </w:r>
      <w:r w:rsidR="006A1460" w:rsidRPr="00351A46">
        <w:rPr>
          <w:lang w:val="en-AU"/>
        </w:rPr>
        <w:t>Consequently, KSI’s approach is to identify key stakeholders with an interest in a</w:t>
      </w:r>
      <w:r w:rsidR="002A0EBC" w:rsidRPr="00351A46">
        <w:rPr>
          <w:lang w:val="en-AU"/>
        </w:rPr>
        <w:t xml:space="preserve">n </w:t>
      </w:r>
      <w:r w:rsidR="006A1460" w:rsidRPr="00351A46">
        <w:rPr>
          <w:lang w:val="en-AU"/>
        </w:rPr>
        <w:t xml:space="preserve">issue and facilitate </w:t>
      </w:r>
      <w:r w:rsidR="00B84DAD" w:rsidRPr="00351A46">
        <w:rPr>
          <w:lang w:val="en-AU"/>
        </w:rPr>
        <w:t>collaboration</w:t>
      </w:r>
      <w:r w:rsidR="006A1460" w:rsidRPr="00351A46">
        <w:rPr>
          <w:lang w:val="en-AU"/>
        </w:rPr>
        <w:t xml:space="preserve"> to solve issues affecting the knowledge sector. </w:t>
      </w:r>
    </w:p>
    <w:p w14:paraId="7DBE3EE6" w14:textId="32F343A5" w:rsidR="00C10E77" w:rsidRPr="00351A46" w:rsidRDefault="00C10E77">
      <w:pPr>
        <w:pStyle w:val="ListParagraph"/>
        <w:numPr>
          <w:ilvl w:val="0"/>
          <w:numId w:val="7"/>
        </w:numPr>
        <w:spacing w:before="120" w:after="0"/>
        <w:contextualSpacing w:val="0"/>
        <w:jc w:val="both"/>
        <w:rPr>
          <w:lang w:val="en-AU"/>
        </w:rPr>
      </w:pPr>
      <w:r w:rsidRPr="00351A46">
        <w:rPr>
          <w:i/>
          <w:lang w:val="en-AU"/>
        </w:rPr>
        <w:t xml:space="preserve">Addressing underlying incentives, not just capacity </w:t>
      </w:r>
      <w:r w:rsidRPr="00351A46">
        <w:rPr>
          <w:lang w:val="en-AU"/>
        </w:rPr>
        <w:t xml:space="preserve">– </w:t>
      </w:r>
      <w:r w:rsidR="006A14A9" w:rsidRPr="00351A46">
        <w:rPr>
          <w:lang w:val="en-AU"/>
        </w:rPr>
        <w:t xml:space="preserve">While </w:t>
      </w:r>
      <w:r w:rsidR="003F558E" w:rsidRPr="00351A46">
        <w:rPr>
          <w:lang w:val="en-AU"/>
        </w:rPr>
        <w:t xml:space="preserve">insufficient capacity is often an issue, the </w:t>
      </w:r>
      <w:r w:rsidR="00830263" w:rsidRPr="00351A46">
        <w:rPr>
          <w:lang w:val="en-AU"/>
        </w:rPr>
        <w:t xml:space="preserve">most significant barriers in the knowledge sector relate to </w:t>
      </w:r>
      <w:r w:rsidR="003F558E" w:rsidRPr="00351A46">
        <w:rPr>
          <w:lang w:val="en-AU"/>
        </w:rPr>
        <w:t xml:space="preserve">insufficient incentives to produce </w:t>
      </w:r>
      <w:r w:rsidR="007570CB" w:rsidRPr="00351A46">
        <w:rPr>
          <w:lang w:val="en-AU"/>
        </w:rPr>
        <w:t>policy-relevant</w:t>
      </w:r>
      <w:r w:rsidR="002A0EBC" w:rsidRPr="00351A46">
        <w:rPr>
          <w:lang w:val="en-AU"/>
        </w:rPr>
        <w:t>,</w:t>
      </w:r>
      <w:r w:rsidR="007570CB" w:rsidRPr="00351A46">
        <w:rPr>
          <w:lang w:val="en-AU"/>
        </w:rPr>
        <w:t xml:space="preserve"> </w:t>
      </w:r>
      <w:r w:rsidR="003F558E" w:rsidRPr="00351A46">
        <w:rPr>
          <w:lang w:val="en-AU"/>
        </w:rPr>
        <w:t xml:space="preserve">quality research and to use this research to inform policy. </w:t>
      </w:r>
      <w:r w:rsidR="006A1460" w:rsidRPr="00351A46">
        <w:rPr>
          <w:lang w:val="en-AU"/>
        </w:rPr>
        <w:t xml:space="preserve">Government stakeholders are not held to account for developing evidence-based policy and as such they do not demand quality research from research providers, creating little incentive for </w:t>
      </w:r>
      <w:r w:rsidR="002A0EBC" w:rsidRPr="00351A46">
        <w:rPr>
          <w:lang w:val="en-AU"/>
        </w:rPr>
        <w:t xml:space="preserve">its </w:t>
      </w:r>
      <w:r w:rsidR="006A1460" w:rsidRPr="00351A46">
        <w:rPr>
          <w:lang w:val="en-AU"/>
        </w:rPr>
        <w:t xml:space="preserve">production. </w:t>
      </w:r>
      <w:r w:rsidR="000B610A" w:rsidRPr="00351A46">
        <w:rPr>
          <w:lang w:val="en-AU"/>
        </w:rPr>
        <w:t>However, there are sometimes other interests or motivations at play</w:t>
      </w:r>
      <w:r w:rsidR="002A0EBC" w:rsidRPr="00351A46">
        <w:rPr>
          <w:lang w:val="en-AU"/>
        </w:rPr>
        <w:t>,</w:t>
      </w:r>
      <w:r w:rsidR="000B610A" w:rsidRPr="00351A46">
        <w:rPr>
          <w:lang w:val="en-AU"/>
        </w:rPr>
        <w:t xml:space="preserve"> or pockets of demand for reform </w:t>
      </w:r>
      <w:r w:rsidR="002A0EBC" w:rsidRPr="00351A46">
        <w:rPr>
          <w:lang w:val="en-AU"/>
        </w:rPr>
        <w:t xml:space="preserve">that </w:t>
      </w:r>
      <w:r w:rsidR="000B610A" w:rsidRPr="00351A46">
        <w:rPr>
          <w:lang w:val="en-AU"/>
        </w:rPr>
        <w:t>can provide an opening to address issues. KSI’s approach is to understand the underlying incentives and political economy and use this understanding to identify potential opportunities to strengthen incentives. KSI will address capacity as well, but only where this complements work on incentives</w:t>
      </w:r>
      <w:r w:rsidR="00D0604A" w:rsidRPr="00351A46">
        <w:rPr>
          <w:lang w:val="en-AU"/>
        </w:rPr>
        <w:t xml:space="preserve">. </w:t>
      </w:r>
    </w:p>
    <w:p w14:paraId="067FEE7A" w14:textId="02919AAC" w:rsidR="00C10E77" w:rsidRPr="00351A46" w:rsidRDefault="00C10E77">
      <w:pPr>
        <w:pStyle w:val="ListParagraph"/>
        <w:numPr>
          <w:ilvl w:val="0"/>
          <w:numId w:val="7"/>
        </w:numPr>
        <w:spacing w:before="120" w:after="0"/>
        <w:contextualSpacing w:val="0"/>
        <w:jc w:val="both"/>
        <w:rPr>
          <w:lang w:val="en-AU"/>
        </w:rPr>
      </w:pPr>
      <w:r w:rsidRPr="00351A46">
        <w:rPr>
          <w:i/>
          <w:lang w:val="en-AU"/>
        </w:rPr>
        <w:t>Backing locally</w:t>
      </w:r>
      <w:r w:rsidR="00AA02A8" w:rsidRPr="00351A46">
        <w:rPr>
          <w:lang w:val="en-AU"/>
        </w:rPr>
        <w:t xml:space="preserve"> </w:t>
      </w:r>
      <w:r w:rsidRPr="00351A46">
        <w:rPr>
          <w:i/>
          <w:lang w:val="en-AU"/>
        </w:rPr>
        <w:t xml:space="preserve">led efforts </w:t>
      </w:r>
      <w:r w:rsidR="002E486D" w:rsidRPr="00351A46">
        <w:rPr>
          <w:i/>
          <w:lang w:val="en-AU"/>
        </w:rPr>
        <w:t>–</w:t>
      </w:r>
      <w:r w:rsidR="00DD3291" w:rsidRPr="00351A46">
        <w:rPr>
          <w:i/>
          <w:lang w:val="en-AU"/>
        </w:rPr>
        <w:t xml:space="preserve"> </w:t>
      </w:r>
      <w:r w:rsidR="006A14A9" w:rsidRPr="00351A46">
        <w:rPr>
          <w:lang w:val="en-AU"/>
        </w:rPr>
        <w:t xml:space="preserve">For </w:t>
      </w:r>
      <w:r w:rsidR="00DD3291" w:rsidRPr="00351A46">
        <w:rPr>
          <w:lang w:val="en-AU"/>
        </w:rPr>
        <w:t xml:space="preserve">solutions to </w:t>
      </w:r>
      <w:r w:rsidR="00E000BE" w:rsidRPr="00351A46">
        <w:rPr>
          <w:lang w:val="en-AU"/>
        </w:rPr>
        <w:t>succeed, they need to be locally</w:t>
      </w:r>
      <w:r w:rsidR="009F3092" w:rsidRPr="00351A46">
        <w:rPr>
          <w:rStyle w:val="FootnoteReference"/>
          <w:lang w:val="en-AU"/>
        </w:rPr>
        <w:footnoteReference w:id="3"/>
      </w:r>
      <w:r w:rsidR="00AA02A8" w:rsidRPr="00351A46">
        <w:rPr>
          <w:lang w:val="en-AU"/>
        </w:rPr>
        <w:t xml:space="preserve"> </w:t>
      </w:r>
      <w:r w:rsidR="00E000BE" w:rsidRPr="00351A46">
        <w:rPr>
          <w:lang w:val="en-AU"/>
        </w:rPr>
        <w:t>owned and led.</w:t>
      </w:r>
      <w:r w:rsidR="004D1145" w:rsidRPr="00351A46">
        <w:rPr>
          <w:lang w:val="en-AU"/>
        </w:rPr>
        <w:t xml:space="preserve"> I</w:t>
      </w:r>
      <w:r w:rsidR="00E000BE" w:rsidRPr="00351A46">
        <w:rPr>
          <w:lang w:val="en-AU"/>
        </w:rPr>
        <w:t xml:space="preserve">ssues need to have </w:t>
      </w:r>
      <w:r w:rsidR="00087605" w:rsidRPr="00351A46">
        <w:rPr>
          <w:lang w:val="en-AU"/>
        </w:rPr>
        <w:t>salience</w:t>
      </w:r>
      <w:r w:rsidR="00E000BE" w:rsidRPr="00351A46">
        <w:rPr>
          <w:lang w:val="en-AU"/>
        </w:rPr>
        <w:t xml:space="preserve"> for local actors</w:t>
      </w:r>
      <w:r w:rsidR="00EE4F68" w:rsidRPr="00351A46">
        <w:rPr>
          <w:lang w:val="en-AU"/>
        </w:rPr>
        <w:t xml:space="preserve"> </w:t>
      </w:r>
      <w:r w:rsidR="00AA02A8" w:rsidRPr="00351A46">
        <w:rPr>
          <w:lang w:val="en-AU"/>
        </w:rPr>
        <w:t>who</w:t>
      </w:r>
      <w:r w:rsidR="004D1145" w:rsidRPr="00351A46">
        <w:rPr>
          <w:lang w:val="en-AU"/>
        </w:rPr>
        <w:t xml:space="preserve"> require the</w:t>
      </w:r>
      <w:r w:rsidR="00E000BE" w:rsidRPr="00351A46">
        <w:rPr>
          <w:lang w:val="en-AU"/>
        </w:rPr>
        <w:t xml:space="preserve"> space to drive the process and develop locally</w:t>
      </w:r>
      <w:r w:rsidR="00AA02A8" w:rsidRPr="00351A46">
        <w:rPr>
          <w:lang w:val="en-AU"/>
        </w:rPr>
        <w:t xml:space="preserve"> </w:t>
      </w:r>
      <w:r w:rsidR="00E000BE" w:rsidRPr="00351A46">
        <w:rPr>
          <w:lang w:val="en-AU"/>
        </w:rPr>
        <w:t xml:space="preserve">relevant solutions. </w:t>
      </w:r>
      <w:r w:rsidR="00E60728" w:rsidRPr="00351A46">
        <w:rPr>
          <w:lang w:val="en-AU"/>
        </w:rPr>
        <w:t>KSI’s approach is to facilitate stakeholders to</w:t>
      </w:r>
      <w:r w:rsidR="00E000BE" w:rsidRPr="00351A46">
        <w:rPr>
          <w:lang w:val="en-AU"/>
        </w:rPr>
        <w:t xml:space="preserve"> come together to</w:t>
      </w:r>
      <w:r w:rsidR="00E60728" w:rsidRPr="00351A46">
        <w:rPr>
          <w:lang w:val="en-AU"/>
        </w:rPr>
        <w:t xml:space="preserve"> reflect on </w:t>
      </w:r>
      <w:r w:rsidR="002A2BFA" w:rsidRPr="00351A46">
        <w:rPr>
          <w:lang w:val="en-AU"/>
        </w:rPr>
        <w:t>issues and</w:t>
      </w:r>
      <w:r w:rsidR="00AA02A8" w:rsidRPr="00351A46">
        <w:rPr>
          <w:lang w:val="en-AU"/>
        </w:rPr>
        <w:t xml:space="preserve"> </w:t>
      </w:r>
      <w:r w:rsidR="00E60728" w:rsidRPr="00351A46">
        <w:rPr>
          <w:lang w:val="en-AU"/>
        </w:rPr>
        <w:t xml:space="preserve">develop and test solutions to issues in the </w:t>
      </w:r>
      <w:r w:rsidR="00AA02A8" w:rsidRPr="00351A46">
        <w:rPr>
          <w:lang w:val="en-AU"/>
        </w:rPr>
        <w:t>knowledge sector</w:t>
      </w:r>
      <w:r w:rsidR="00E60728" w:rsidRPr="00351A46">
        <w:rPr>
          <w:lang w:val="en-AU"/>
        </w:rPr>
        <w:t xml:space="preserve">. At the same time, KSI will play a critical friend role by </w:t>
      </w:r>
      <w:r w:rsidR="007842C6" w:rsidRPr="00351A46">
        <w:rPr>
          <w:lang w:val="en-AU"/>
        </w:rPr>
        <w:t>providing new ideas (e</w:t>
      </w:r>
      <w:r w:rsidR="00AA02A8" w:rsidRPr="00351A46">
        <w:rPr>
          <w:lang w:val="en-AU"/>
        </w:rPr>
        <w:t>.</w:t>
      </w:r>
      <w:r w:rsidR="007842C6" w:rsidRPr="00351A46">
        <w:rPr>
          <w:lang w:val="en-AU"/>
        </w:rPr>
        <w:t>g</w:t>
      </w:r>
      <w:r w:rsidR="00AA02A8" w:rsidRPr="00351A46">
        <w:rPr>
          <w:lang w:val="en-AU"/>
        </w:rPr>
        <w:t>.</w:t>
      </w:r>
      <w:r w:rsidR="007842C6" w:rsidRPr="00351A46">
        <w:rPr>
          <w:lang w:val="en-AU"/>
        </w:rPr>
        <w:t xml:space="preserve"> international experience) that could be adapted to the local context</w:t>
      </w:r>
      <w:r w:rsidR="00AA02A8" w:rsidRPr="00351A46">
        <w:rPr>
          <w:lang w:val="en-AU"/>
        </w:rPr>
        <w:t>,</w:t>
      </w:r>
      <w:r w:rsidR="007842C6" w:rsidRPr="00351A46">
        <w:rPr>
          <w:lang w:val="en-AU"/>
        </w:rPr>
        <w:t xml:space="preserve"> and </w:t>
      </w:r>
      <w:r w:rsidR="00AA02A8" w:rsidRPr="00351A46">
        <w:rPr>
          <w:lang w:val="en-AU"/>
        </w:rPr>
        <w:t xml:space="preserve">by </w:t>
      </w:r>
      <w:r w:rsidR="007842C6" w:rsidRPr="00351A46">
        <w:rPr>
          <w:lang w:val="en-AU"/>
        </w:rPr>
        <w:t xml:space="preserve">testing stakeholder ideas. </w:t>
      </w:r>
      <w:r w:rsidR="006D30B8" w:rsidRPr="00351A46">
        <w:rPr>
          <w:lang w:val="en-AU"/>
        </w:rPr>
        <w:t>If possible, KSI should build upon, embed and scale</w:t>
      </w:r>
      <w:r w:rsidR="00EE4F68" w:rsidRPr="00351A46">
        <w:rPr>
          <w:lang w:val="en-AU"/>
        </w:rPr>
        <w:t xml:space="preserve"> </w:t>
      </w:r>
      <w:r w:rsidR="006D30B8" w:rsidRPr="00351A46">
        <w:rPr>
          <w:lang w:val="en-AU"/>
        </w:rPr>
        <w:t xml:space="preserve">up local initiatives </w:t>
      </w:r>
      <w:r w:rsidR="00EE4F68" w:rsidRPr="00351A46">
        <w:rPr>
          <w:lang w:val="en-AU"/>
        </w:rPr>
        <w:t xml:space="preserve">that </w:t>
      </w:r>
      <w:r w:rsidR="006D30B8" w:rsidRPr="00351A46">
        <w:rPr>
          <w:lang w:val="en-AU"/>
        </w:rPr>
        <w:t xml:space="preserve">are already working. </w:t>
      </w:r>
      <w:r w:rsidR="00860D5A" w:rsidRPr="00351A46">
        <w:rPr>
          <w:lang w:val="en-AU"/>
        </w:rPr>
        <w:t xml:space="preserve">In some cases, KSI may demonstrate new ideas, but it is important that these are tested and adapted to the local context. </w:t>
      </w:r>
    </w:p>
    <w:p w14:paraId="74EC679A" w14:textId="64EA55A9" w:rsidR="002E486D" w:rsidRPr="00351A46" w:rsidRDefault="002E486D">
      <w:pPr>
        <w:pStyle w:val="ListParagraph"/>
        <w:numPr>
          <w:ilvl w:val="0"/>
          <w:numId w:val="7"/>
        </w:numPr>
        <w:spacing w:before="120" w:after="0"/>
        <w:contextualSpacing w:val="0"/>
        <w:jc w:val="both"/>
        <w:rPr>
          <w:lang w:val="en-AU"/>
        </w:rPr>
      </w:pPr>
      <w:r w:rsidRPr="007C10BC">
        <w:rPr>
          <w:i/>
          <w:lang w:val="en-AU"/>
        </w:rPr>
        <w:t xml:space="preserve">Strategic selection of partners </w:t>
      </w:r>
      <w:r w:rsidR="008A6B52" w:rsidRPr="007C10BC">
        <w:rPr>
          <w:lang w:val="en-AU"/>
        </w:rPr>
        <w:t>–</w:t>
      </w:r>
      <w:r w:rsidRPr="007C10BC">
        <w:rPr>
          <w:lang w:val="en-AU"/>
        </w:rPr>
        <w:t xml:space="preserve"> </w:t>
      </w:r>
      <w:r w:rsidR="008A6B52" w:rsidRPr="007C10BC">
        <w:rPr>
          <w:lang w:val="en-AU"/>
        </w:rPr>
        <w:t xml:space="preserve">KSI’s </w:t>
      </w:r>
      <w:r w:rsidR="00145575" w:rsidRPr="007C10BC">
        <w:rPr>
          <w:lang w:val="en-AU"/>
        </w:rPr>
        <w:t xml:space="preserve">general </w:t>
      </w:r>
      <w:r w:rsidR="008A6B52" w:rsidRPr="007C10BC">
        <w:rPr>
          <w:lang w:val="en-AU"/>
        </w:rPr>
        <w:t>approach will be to identify stakeholders with</w:t>
      </w:r>
      <w:r w:rsidR="008A6B52" w:rsidRPr="00351A46">
        <w:rPr>
          <w:lang w:val="en-AU"/>
        </w:rPr>
        <w:t xml:space="preserve"> the interest and power</w:t>
      </w:r>
      <w:r w:rsidR="002A2BFA" w:rsidRPr="00351A46">
        <w:rPr>
          <w:lang w:val="en-AU"/>
        </w:rPr>
        <w:t xml:space="preserve"> to affect change and facilitate</w:t>
      </w:r>
      <w:r w:rsidR="008A6B52" w:rsidRPr="00351A46">
        <w:rPr>
          <w:lang w:val="en-AU"/>
        </w:rPr>
        <w:t xml:space="preserve"> </w:t>
      </w:r>
      <w:r w:rsidR="00B84DAD" w:rsidRPr="00351A46">
        <w:rPr>
          <w:lang w:val="en-AU"/>
        </w:rPr>
        <w:t>collaboration</w:t>
      </w:r>
      <w:r w:rsidR="008A6B52" w:rsidRPr="00351A46">
        <w:rPr>
          <w:lang w:val="en-AU"/>
        </w:rPr>
        <w:t xml:space="preserve"> to address issues in the knowledge sector. </w:t>
      </w:r>
      <w:r w:rsidR="00145575" w:rsidRPr="00351A46">
        <w:rPr>
          <w:lang w:val="en-AU"/>
        </w:rPr>
        <w:t>At th</w:t>
      </w:r>
      <w:r w:rsidR="002A2BFA" w:rsidRPr="00351A46">
        <w:rPr>
          <w:lang w:val="en-AU"/>
        </w:rPr>
        <w:t>e same time, KSI will engage</w:t>
      </w:r>
      <w:r w:rsidR="00145575" w:rsidRPr="00351A46">
        <w:rPr>
          <w:lang w:val="en-AU"/>
        </w:rPr>
        <w:t xml:space="preserve"> stakeholders who are not normally part of these deliberations, in order to introduce different perspectives and ideas. </w:t>
      </w:r>
    </w:p>
    <w:p w14:paraId="2C4F825F" w14:textId="08BFE89C" w:rsidR="0042246F" w:rsidRPr="00351A46" w:rsidRDefault="00586281">
      <w:pPr>
        <w:pStyle w:val="ListParagraph"/>
        <w:numPr>
          <w:ilvl w:val="0"/>
          <w:numId w:val="7"/>
        </w:numPr>
        <w:spacing w:before="120" w:after="0"/>
        <w:contextualSpacing w:val="0"/>
        <w:jc w:val="both"/>
        <w:rPr>
          <w:lang w:val="en-AU"/>
        </w:rPr>
      </w:pPr>
      <w:r w:rsidRPr="00351A46">
        <w:rPr>
          <w:i/>
          <w:lang w:val="en-AU"/>
        </w:rPr>
        <w:t xml:space="preserve">Promoting systemic change </w:t>
      </w:r>
      <w:r w:rsidR="006D1BA0" w:rsidRPr="00351A46">
        <w:rPr>
          <w:lang w:val="en-AU"/>
        </w:rPr>
        <w:t>–</w:t>
      </w:r>
      <w:r w:rsidRPr="00351A46">
        <w:rPr>
          <w:lang w:val="en-AU"/>
        </w:rPr>
        <w:t xml:space="preserve"> </w:t>
      </w:r>
      <w:r w:rsidR="006D1BA0" w:rsidRPr="00351A46">
        <w:rPr>
          <w:lang w:val="en-AU"/>
        </w:rPr>
        <w:t xml:space="preserve">KSI will have greater impact if it addresses broader systemic issues </w:t>
      </w:r>
      <w:r w:rsidR="00811729" w:rsidRPr="00351A46">
        <w:rPr>
          <w:lang w:val="en-AU"/>
        </w:rPr>
        <w:t>underpinning the production and use of knowledge for policy</w:t>
      </w:r>
      <w:r w:rsidR="0042246F" w:rsidRPr="00351A46">
        <w:rPr>
          <w:lang w:val="en-AU"/>
        </w:rPr>
        <w:t xml:space="preserve">. KSI’s approach will be to address key policies, regulations and mechanisms affecting the knowledge sector as a whole, while at the same time building better practices within key organisations as a demonstrative effect for others. </w:t>
      </w:r>
    </w:p>
    <w:p w14:paraId="454B6344" w14:textId="0FA2385F" w:rsidR="00680904" w:rsidRPr="00351A46" w:rsidRDefault="00C14574">
      <w:pPr>
        <w:pStyle w:val="ListParagraph"/>
        <w:numPr>
          <w:ilvl w:val="0"/>
          <w:numId w:val="7"/>
        </w:numPr>
        <w:spacing w:before="120" w:after="0"/>
        <w:contextualSpacing w:val="0"/>
        <w:jc w:val="both"/>
        <w:rPr>
          <w:lang w:val="en-AU"/>
        </w:rPr>
      </w:pPr>
      <w:r w:rsidRPr="00351A46">
        <w:rPr>
          <w:i/>
          <w:lang w:val="en-AU"/>
        </w:rPr>
        <w:t>Strategic risk</w:t>
      </w:r>
      <w:r w:rsidR="006D410B" w:rsidRPr="00351A46">
        <w:rPr>
          <w:i/>
          <w:lang w:val="en-AU"/>
        </w:rPr>
        <w:t xml:space="preserve"> </w:t>
      </w:r>
      <w:r w:rsidRPr="00351A46">
        <w:rPr>
          <w:i/>
          <w:lang w:val="en-AU"/>
        </w:rPr>
        <w:t xml:space="preserve">taking – </w:t>
      </w:r>
      <w:r w:rsidRPr="00351A46">
        <w:rPr>
          <w:lang w:val="en-AU"/>
        </w:rPr>
        <w:t xml:space="preserve">KSI works in a dynamic, complex and unpredictable environment. In such an environment it is important to try a range of different initiatives, some of which will work and others which will not. KSI needs to take risks to try new things where there are windows of opportunity, but closely monitor these and be willing and able to adapt by either scaling up successful initiatives or making timely decisions to withdraw support if prospects for success are poor. </w:t>
      </w:r>
    </w:p>
    <w:p w14:paraId="206E330B" w14:textId="54458AB2" w:rsidR="00F912D4" w:rsidRDefault="002E486D">
      <w:pPr>
        <w:pStyle w:val="ListParagraph"/>
        <w:numPr>
          <w:ilvl w:val="0"/>
          <w:numId w:val="7"/>
        </w:numPr>
        <w:spacing w:before="120" w:after="0"/>
        <w:contextualSpacing w:val="0"/>
        <w:jc w:val="both"/>
        <w:rPr>
          <w:lang w:val="en-AU"/>
        </w:rPr>
      </w:pPr>
      <w:r w:rsidRPr="00351A46">
        <w:rPr>
          <w:i/>
          <w:lang w:val="en-AU"/>
        </w:rPr>
        <w:t xml:space="preserve">Change requires long-term horizons and happens incrementally – </w:t>
      </w:r>
      <w:r w:rsidR="006D410B" w:rsidRPr="00351A46">
        <w:rPr>
          <w:lang w:val="en-AU"/>
        </w:rPr>
        <w:t>A</w:t>
      </w:r>
      <w:r w:rsidR="00140DDE" w:rsidRPr="00351A46">
        <w:rPr>
          <w:lang w:val="en-AU"/>
        </w:rPr>
        <w:t xml:space="preserve">chieving change in the </w:t>
      </w:r>
      <w:r w:rsidR="00AA02A8" w:rsidRPr="00351A46">
        <w:rPr>
          <w:lang w:val="en-AU"/>
        </w:rPr>
        <w:t xml:space="preserve">knowledge sector </w:t>
      </w:r>
      <w:r w:rsidR="00140DDE" w:rsidRPr="00351A46">
        <w:rPr>
          <w:lang w:val="en-AU"/>
        </w:rPr>
        <w:t>is complex and difficult. It is important to be realistic about what KSI can influence and accept that change will be incremental and require</w:t>
      </w:r>
      <w:r w:rsidR="00FB6B1F" w:rsidRPr="00351A46">
        <w:rPr>
          <w:lang w:val="en-AU"/>
        </w:rPr>
        <w:t>s</w:t>
      </w:r>
      <w:r w:rsidR="00140DDE" w:rsidRPr="00351A46">
        <w:rPr>
          <w:lang w:val="en-AU"/>
        </w:rPr>
        <w:t xml:space="preserve"> time.</w:t>
      </w:r>
    </w:p>
    <w:p w14:paraId="01494112" w14:textId="4874F66D" w:rsidR="00C10E77" w:rsidRPr="001C1496" w:rsidRDefault="00C10E77" w:rsidP="001C1496">
      <w:pPr>
        <w:pStyle w:val="ListParagraph"/>
        <w:spacing w:after="0"/>
        <w:contextualSpacing w:val="0"/>
        <w:jc w:val="both"/>
        <w:rPr>
          <w:sz w:val="16"/>
          <w:lang w:val="en-AU"/>
        </w:rPr>
      </w:pPr>
    </w:p>
    <w:p w14:paraId="4DC0B3D8" w14:textId="0BD48365" w:rsidR="006701A3" w:rsidRPr="00351A46" w:rsidRDefault="00A147C7" w:rsidP="001C1496">
      <w:pPr>
        <w:pStyle w:val="Heading2"/>
        <w:spacing w:before="0"/>
        <w:rPr>
          <w:lang w:val="en-AU"/>
        </w:rPr>
      </w:pPr>
      <w:bookmarkStart w:id="10" w:name="_Toc514418234"/>
      <w:r w:rsidRPr="00351A46">
        <w:rPr>
          <w:lang w:val="en-AU"/>
        </w:rPr>
        <w:t xml:space="preserve">KSI’s </w:t>
      </w:r>
      <w:r w:rsidR="00D0604A" w:rsidRPr="00351A46">
        <w:rPr>
          <w:lang w:val="en-AU"/>
        </w:rPr>
        <w:t>Catalytic Role</w:t>
      </w:r>
      <w:bookmarkEnd w:id="10"/>
    </w:p>
    <w:p w14:paraId="09B962C8" w14:textId="77777777" w:rsidR="00F912D4" w:rsidRPr="001C1496" w:rsidRDefault="00F912D4" w:rsidP="001C1496">
      <w:pPr>
        <w:spacing w:after="0"/>
        <w:jc w:val="both"/>
        <w:rPr>
          <w:sz w:val="10"/>
          <w:lang w:val="en-AU"/>
        </w:rPr>
      </w:pPr>
    </w:p>
    <w:p w14:paraId="74C03F9B" w14:textId="2D7C8763" w:rsidR="00A147C7" w:rsidRPr="00351A46" w:rsidRDefault="008D79B2">
      <w:pPr>
        <w:jc w:val="both"/>
        <w:rPr>
          <w:lang w:val="en-AU"/>
        </w:rPr>
      </w:pPr>
      <w:r w:rsidRPr="00351A46">
        <w:rPr>
          <w:lang w:val="en-AU"/>
        </w:rPr>
        <w:t xml:space="preserve">As stated previously, </w:t>
      </w:r>
      <w:r w:rsidR="006701A3" w:rsidRPr="00351A46">
        <w:rPr>
          <w:lang w:val="en-AU"/>
        </w:rPr>
        <w:t xml:space="preserve">KSI is only one small player in the </w:t>
      </w:r>
      <w:r w:rsidR="00AA02A8" w:rsidRPr="00351A46">
        <w:rPr>
          <w:lang w:val="en-AU"/>
        </w:rPr>
        <w:t>knowledge sector</w:t>
      </w:r>
      <w:r w:rsidR="006701A3" w:rsidRPr="00351A46">
        <w:rPr>
          <w:lang w:val="en-AU"/>
        </w:rPr>
        <w:t xml:space="preserve">, with limited resources. </w:t>
      </w:r>
      <w:r w:rsidR="00943458" w:rsidRPr="00351A46">
        <w:rPr>
          <w:lang w:val="en-AU"/>
        </w:rPr>
        <w:t>To</w:t>
      </w:r>
      <w:r w:rsidR="006701A3" w:rsidRPr="00351A46">
        <w:rPr>
          <w:lang w:val="en-AU"/>
        </w:rPr>
        <w:t xml:space="preserve"> affect change in such a complex environment, it is important for KSI to leverage and catalyse Indonesia’s own substantial assets and resources. KSI will be a catalyst in a number of different ways:</w:t>
      </w:r>
    </w:p>
    <w:p w14:paraId="0E550ADB" w14:textId="2AF55FCA" w:rsidR="006701A3" w:rsidRPr="00351A46" w:rsidRDefault="006701A3">
      <w:pPr>
        <w:numPr>
          <w:ilvl w:val="0"/>
          <w:numId w:val="8"/>
        </w:numPr>
        <w:jc w:val="both"/>
        <w:rPr>
          <w:lang w:val="en-AU"/>
        </w:rPr>
      </w:pPr>
      <w:r w:rsidRPr="00351A46">
        <w:rPr>
          <w:i/>
          <w:lang w:val="en-AU"/>
        </w:rPr>
        <w:t>Initiator</w:t>
      </w:r>
      <w:r w:rsidR="00731CE4" w:rsidRPr="00351A46">
        <w:rPr>
          <w:i/>
          <w:lang w:val="en-AU"/>
        </w:rPr>
        <w:t>:</w:t>
      </w:r>
      <w:r w:rsidR="00731CE4" w:rsidRPr="00351A46">
        <w:rPr>
          <w:lang w:val="en-AU"/>
        </w:rPr>
        <w:t xml:space="preserve"> </w:t>
      </w:r>
      <w:r w:rsidRPr="00351A46">
        <w:rPr>
          <w:lang w:val="en-AU"/>
        </w:rPr>
        <w:t xml:space="preserve">Getting new ideas on the agenda, including through policy dialogue, </w:t>
      </w:r>
      <w:r w:rsidR="008263CD" w:rsidRPr="00351A46">
        <w:rPr>
          <w:lang w:val="en-AU"/>
        </w:rPr>
        <w:t xml:space="preserve">funding studies to generate debate and discussion, </w:t>
      </w:r>
      <w:r w:rsidRPr="00351A46">
        <w:rPr>
          <w:lang w:val="en-AU"/>
        </w:rPr>
        <w:t>identifying and promoting examples of positive deviance</w:t>
      </w:r>
      <w:r w:rsidR="006D410B" w:rsidRPr="00351A46">
        <w:rPr>
          <w:lang w:val="en-AU"/>
        </w:rPr>
        <w:t>,</w:t>
      </w:r>
      <w:r w:rsidRPr="00351A46">
        <w:rPr>
          <w:lang w:val="en-AU"/>
        </w:rPr>
        <w:t xml:space="preserve"> and demonstrating and testing new ideas through pilots. </w:t>
      </w:r>
    </w:p>
    <w:p w14:paraId="6F8E3C9C" w14:textId="26FFFB8E" w:rsidR="00731CE4" w:rsidRPr="00351A46" w:rsidRDefault="00731CE4">
      <w:pPr>
        <w:numPr>
          <w:ilvl w:val="0"/>
          <w:numId w:val="8"/>
        </w:numPr>
        <w:jc w:val="both"/>
        <w:rPr>
          <w:lang w:val="en-AU"/>
        </w:rPr>
      </w:pPr>
      <w:r w:rsidRPr="00351A46">
        <w:rPr>
          <w:i/>
          <w:lang w:val="en-AU"/>
        </w:rPr>
        <w:t>Connector</w:t>
      </w:r>
      <w:r w:rsidR="006701A3" w:rsidRPr="00351A46">
        <w:rPr>
          <w:lang w:val="en-AU"/>
        </w:rPr>
        <w:t xml:space="preserve"> </w:t>
      </w:r>
      <w:r w:rsidR="006701A3" w:rsidRPr="00351A46">
        <w:rPr>
          <w:i/>
          <w:lang w:val="en-AU"/>
        </w:rPr>
        <w:t>and aligner</w:t>
      </w:r>
      <w:r w:rsidRPr="00351A46">
        <w:rPr>
          <w:lang w:val="en-AU"/>
        </w:rPr>
        <w:t xml:space="preserve">: </w:t>
      </w:r>
      <w:r w:rsidR="006701A3" w:rsidRPr="00351A46">
        <w:rPr>
          <w:lang w:val="en-AU"/>
        </w:rPr>
        <w:t>B</w:t>
      </w:r>
      <w:r w:rsidRPr="00351A46">
        <w:rPr>
          <w:lang w:val="en-AU"/>
        </w:rPr>
        <w:t xml:space="preserve">ringing together interested stakeholders </w:t>
      </w:r>
      <w:r w:rsidR="006701A3" w:rsidRPr="00351A46">
        <w:rPr>
          <w:lang w:val="en-AU"/>
        </w:rPr>
        <w:t xml:space="preserve">around key issues, </w:t>
      </w:r>
      <w:r w:rsidR="00E73FE8" w:rsidRPr="00351A46">
        <w:rPr>
          <w:lang w:val="en-AU"/>
        </w:rPr>
        <w:t xml:space="preserve">encouraging or helping </w:t>
      </w:r>
      <w:r w:rsidR="006701A3" w:rsidRPr="00351A46">
        <w:rPr>
          <w:lang w:val="en-AU"/>
        </w:rPr>
        <w:t>them to develop a shared agenda</w:t>
      </w:r>
      <w:r w:rsidR="00FB6B1F" w:rsidRPr="00351A46">
        <w:rPr>
          <w:lang w:val="en-AU"/>
        </w:rPr>
        <w:t>,</w:t>
      </w:r>
      <w:r w:rsidR="006701A3" w:rsidRPr="00351A46">
        <w:rPr>
          <w:lang w:val="en-AU"/>
        </w:rPr>
        <w:t xml:space="preserve"> to</w:t>
      </w:r>
      <w:r w:rsidR="008263CD" w:rsidRPr="00351A46">
        <w:rPr>
          <w:lang w:val="en-AU"/>
        </w:rPr>
        <w:t xml:space="preserve"> share knowledge and </w:t>
      </w:r>
      <w:r w:rsidR="00FB6B1F" w:rsidRPr="00351A46">
        <w:rPr>
          <w:lang w:val="en-AU"/>
        </w:rPr>
        <w:t xml:space="preserve">to </w:t>
      </w:r>
      <w:r w:rsidR="008263CD" w:rsidRPr="00351A46">
        <w:rPr>
          <w:lang w:val="en-AU"/>
        </w:rPr>
        <w:t xml:space="preserve">collaborate in pursuit of this agenda. </w:t>
      </w:r>
      <w:r w:rsidR="006701A3" w:rsidRPr="00351A46">
        <w:rPr>
          <w:lang w:val="en-AU"/>
        </w:rPr>
        <w:t xml:space="preserve">This includes </w:t>
      </w:r>
      <w:r w:rsidR="00B84DAD" w:rsidRPr="00351A46">
        <w:rPr>
          <w:lang w:val="en-AU"/>
        </w:rPr>
        <w:t>building an un</w:t>
      </w:r>
      <w:r w:rsidR="006701A3" w:rsidRPr="00351A46">
        <w:rPr>
          <w:lang w:val="en-AU"/>
        </w:rPr>
        <w:t xml:space="preserve">derstanding </w:t>
      </w:r>
      <w:r w:rsidR="00B84DAD" w:rsidRPr="00351A46">
        <w:rPr>
          <w:lang w:val="en-AU"/>
        </w:rPr>
        <w:t xml:space="preserve">of </w:t>
      </w:r>
      <w:r w:rsidR="006701A3" w:rsidRPr="00351A46">
        <w:rPr>
          <w:lang w:val="en-AU"/>
        </w:rPr>
        <w:t>the political economy and sta</w:t>
      </w:r>
      <w:r w:rsidR="008263CD" w:rsidRPr="00351A46">
        <w:rPr>
          <w:lang w:val="en-AU"/>
        </w:rPr>
        <w:t>keholder interests and incentive</w:t>
      </w:r>
      <w:r w:rsidR="006701A3" w:rsidRPr="00351A46">
        <w:rPr>
          <w:lang w:val="en-AU"/>
        </w:rPr>
        <w:t xml:space="preserve">s, </w:t>
      </w:r>
      <w:r w:rsidR="006D410B" w:rsidRPr="00351A46">
        <w:rPr>
          <w:lang w:val="en-AU"/>
        </w:rPr>
        <w:t xml:space="preserve">and </w:t>
      </w:r>
      <w:r w:rsidR="006701A3" w:rsidRPr="00351A46">
        <w:rPr>
          <w:lang w:val="en-AU"/>
        </w:rPr>
        <w:t>using this understanding to identify the right stakeholders to bring together, convening workshops and other forums</w:t>
      </w:r>
      <w:r w:rsidR="008263CD" w:rsidRPr="00351A46">
        <w:rPr>
          <w:lang w:val="en-AU"/>
        </w:rPr>
        <w:t xml:space="preserve"> (funding and logistics), and funding studies to inform agenda</w:t>
      </w:r>
      <w:r w:rsidR="006D410B" w:rsidRPr="00351A46">
        <w:rPr>
          <w:lang w:val="en-AU"/>
        </w:rPr>
        <w:t xml:space="preserve"> </w:t>
      </w:r>
      <w:r w:rsidR="008263CD" w:rsidRPr="00351A46">
        <w:rPr>
          <w:lang w:val="en-AU"/>
        </w:rPr>
        <w:t>setting</w:t>
      </w:r>
      <w:r w:rsidR="00D0604A" w:rsidRPr="00351A46">
        <w:rPr>
          <w:lang w:val="en-AU"/>
        </w:rPr>
        <w:t xml:space="preserve">. </w:t>
      </w:r>
    </w:p>
    <w:p w14:paraId="3EB830B2" w14:textId="5CB1EE46" w:rsidR="00731CE4" w:rsidRPr="00351A46" w:rsidRDefault="00731CE4">
      <w:pPr>
        <w:numPr>
          <w:ilvl w:val="0"/>
          <w:numId w:val="8"/>
        </w:numPr>
        <w:jc w:val="both"/>
        <w:rPr>
          <w:lang w:val="en-AU"/>
        </w:rPr>
      </w:pPr>
      <w:r w:rsidRPr="00351A46">
        <w:rPr>
          <w:i/>
          <w:lang w:val="en-AU"/>
        </w:rPr>
        <w:t>Critical friend:</w:t>
      </w:r>
      <w:r w:rsidRPr="00351A46">
        <w:rPr>
          <w:lang w:val="en-AU"/>
        </w:rPr>
        <w:t xml:space="preserve"> Providing in</w:t>
      </w:r>
      <w:r w:rsidR="003B2747" w:rsidRPr="00351A46">
        <w:rPr>
          <w:lang w:val="en-AU"/>
        </w:rPr>
        <w:t>put to strengthen</w:t>
      </w:r>
      <w:r w:rsidR="00AF27AF" w:rsidRPr="00351A46">
        <w:rPr>
          <w:lang w:val="en-AU"/>
        </w:rPr>
        <w:t>,</w:t>
      </w:r>
      <w:r w:rsidR="00FE6F41" w:rsidRPr="00351A46">
        <w:rPr>
          <w:lang w:val="en-AU"/>
        </w:rPr>
        <w:t xml:space="preserve"> develop and implement</w:t>
      </w:r>
      <w:r w:rsidR="003B2747" w:rsidRPr="00351A46">
        <w:rPr>
          <w:lang w:val="en-AU"/>
        </w:rPr>
        <w:t xml:space="preserve"> local solutions through sharing knowledge (e</w:t>
      </w:r>
      <w:r w:rsidR="006E15BB" w:rsidRPr="00351A46">
        <w:rPr>
          <w:lang w:val="en-AU"/>
        </w:rPr>
        <w:t>.</w:t>
      </w:r>
      <w:r w:rsidR="003B2747" w:rsidRPr="00351A46">
        <w:rPr>
          <w:lang w:val="en-AU"/>
        </w:rPr>
        <w:t>g</w:t>
      </w:r>
      <w:r w:rsidR="006E15BB" w:rsidRPr="00351A46">
        <w:rPr>
          <w:lang w:val="en-AU"/>
        </w:rPr>
        <w:t>.</w:t>
      </w:r>
      <w:r w:rsidR="003B2747" w:rsidRPr="00351A46">
        <w:rPr>
          <w:lang w:val="en-AU"/>
        </w:rPr>
        <w:t xml:space="preserve"> international experience, funding studies), testing ideas and encouraging stakeholders to reflect on and address emerging strategic issues. </w:t>
      </w:r>
    </w:p>
    <w:p w14:paraId="3B30F89A" w14:textId="090A7F4B" w:rsidR="00DA788B" w:rsidRPr="00351A46" w:rsidRDefault="00731CE4">
      <w:pPr>
        <w:numPr>
          <w:ilvl w:val="0"/>
          <w:numId w:val="8"/>
        </w:numPr>
        <w:jc w:val="both"/>
        <w:rPr>
          <w:lang w:val="en-AU"/>
        </w:rPr>
      </w:pPr>
      <w:r w:rsidRPr="00351A46">
        <w:rPr>
          <w:i/>
          <w:lang w:val="en-AU"/>
        </w:rPr>
        <w:t>Accelerator:</w:t>
      </w:r>
      <w:r w:rsidR="00DA788B" w:rsidRPr="00351A46">
        <w:rPr>
          <w:lang w:val="en-AU"/>
        </w:rPr>
        <w:t xml:space="preserve"> Supporting stakeholders to speed up i</w:t>
      </w:r>
      <w:r w:rsidR="00725A05" w:rsidRPr="00351A46">
        <w:rPr>
          <w:lang w:val="en-AU"/>
        </w:rPr>
        <w:t xml:space="preserve">mplementation of existing ideas. For example, KSI may fund implementation </w:t>
      </w:r>
      <w:r w:rsidR="00DA788B" w:rsidRPr="00351A46">
        <w:rPr>
          <w:lang w:val="en-AU"/>
        </w:rPr>
        <w:t xml:space="preserve">where government </w:t>
      </w:r>
      <w:r w:rsidR="00E941A1" w:rsidRPr="00351A46">
        <w:rPr>
          <w:lang w:val="en-AU"/>
        </w:rPr>
        <w:t>budget is</w:t>
      </w:r>
      <w:r w:rsidR="00FE6F41" w:rsidRPr="00351A46">
        <w:rPr>
          <w:lang w:val="en-AU"/>
        </w:rPr>
        <w:t xml:space="preserve"> </w:t>
      </w:r>
      <w:r w:rsidR="00DA788B" w:rsidRPr="00351A46">
        <w:rPr>
          <w:lang w:val="en-AU"/>
        </w:rPr>
        <w:t>not available due to various plannin</w:t>
      </w:r>
      <w:r w:rsidR="00725A05" w:rsidRPr="00351A46">
        <w:rPr>
          <w:lang w:val="en-AU"/>
        </w:rPr>
        <w:t xml:space="preserve">g and regulatory restrictions, however it will be important </w:t>
      </w:r>
      <w:r w:rsidR="006D410B" w:rsidRPr="00351A46">
        <w:rPr>
          <w:lang w:val="en-AU"/>
        </w:rPr>
        <w:t xml:space="preserve">to ensure that </w:t>
      </w:r>
      <w:r w:rsidR="00725A05" w:rsidRPr="00351A46">
        <w:rPr>
          <w:lang w:val="en-AU"/>
        </w:rPr>
        <w:t xml:space="preserve">KSI does not end up substituting </w:t>
      </w:r>
      <w:r w:rsidR="001B7ECE" w:rsidRPr="00351A46">
        <w:rPr>
          <w:lang w:val="en-AU"/>
        </w:rPr>
        <w:t>Government of Indonesia</w:t>
      </w:r>
      <w:r w:rsidR="00725A05" w:rsidRPr="00351A46">
        <w:rPr>
          <w:lang w:val="en-AU"/>
        </w:rPr>
        <w:t xml:space="preserve"> funding </w:t>
      </w:r>
      <w:r w:rsidR="006D410B" w:rsidRPr="00351A46">
        <w:rPr>
          <w:lang w:val="en-AU"/>
        </w:rPr>
        <w:t xml:space="preserve">for </w:t>
      </w:r>
      <w:r w:rsidR="00725A05" w:rsidRPr="00351A46">
        <w:rPr>
          <w:lang w:val="en-AU"/>
        </w:rPr>
        <w:t>government initiatives. KSI may also play an accelerator role by providing</w:t>
      </w:r>
      <w:r w:rsidR="00DA788B" w:rsidRPr="00351A46">
        <w:rPr>
          <w:lang w:val="en-AU"/>
        </w:rPr>
        <w:t xml:space="preserve"> strategic advice or evidence to su</w:t>
      </w:r>
      <w:r w:rsidR="00562D4A" w:rsidRPr="00351A46">
        <w:rPr>
          <w:lang w:val="en-AU"/>
        </w:rPr>
        <w:t xml:space="preserve">pport leaders to make </w:t>
      </w:r>
      <w:r w:rsidR="00142860" w:rsidRPr="00351A46">
        <w:rPr>
          <w:lang w:val="en-AU"/>
        </w:rPr>
        <w:t>decisions</w:t>
      </w:r>
      <w:r w:rsidR="006D410B" w:rsidRPr="00351A46">
        <w:rPr>
          <w:lang w:val="en-AU"/>
        </w:rPr>
        <w:t>,</w:t>
      </w:r>
      <w:r w:rsidR="00142860" w:rsidRPr="00351A46">
        <w:rPr>
          <w:lang w:val="en-AU"/>
        </w:rPr>
        <w:t xml:space="preserve"> or</w:t>
      </w:r>
      <w:r w:rsidR="00562D4A" w:rsidRPr="00351A46">
        <w:rPr>
          <w:lang w:val="en-AU"/>
        </w:rPr>
        <w:t xml:space="preserve"> connecting key stakeholders to enable progress on the issue.</w:t>
      </w:r>
    </w:p>
    <w:p w14:paraId="60BE00EA" w14:textId="0FE87D67" w:rsidR="00731CE4" w:rsidRPr="00351A46" w:rsidRDefault="00731CE4">
      <w:pPr>
        <w:numPr>
          <w:ilvl w:val="0"/>
          <w:numId w:val="8"/>
        </w:numPr>
        <w:jc w:val="both"/>
        <w:rPr>
          <w:lang w:val="en-AU"/>
        </w:rPr>
      </w:pPr>
      <w:r w:rsidRPr="00351A46">
        <w:rPr>
          <w:i/>
          <w:lang w:val="en-AU"/>
        </w:rPr>
        <w:t>Amplifier:</w:t>
      </w:r>
      <w:r w:rsidRPr="00351A46">
        <w:rPr>
          <w:lang w:val="en-AU"/>
        </w:rPr>
        <w:t xml:space="preserve"> </w:t>
      </w:r>
      <w:r w:rsidR="0091511A" w:rsidRPr="00351A46">
        <w:rPr>
          <w:lang w:val="en-AU"/>
        </w:rPr>
        <w:t>B</w:t>
      </w:r>
      <w:r w:rsidRPr="00351A46">
        <w:rPr>
          <w:lang w:val="en-AU"/>
        </w:rPr>
        <w:t xml:space="preserve">roadcasting information to raise awareness, build support and momentum, </w:t>
      </w:r>
      <w:r w:rsidR="0091511A" w:rsidRPr="00351A46">
        <w:rPr>
          <w:lang w:val="en-AU"/>
        </w:rPr>
        <w:t xml:space="preserve">and </w:t>
      </w:r>
      <w:r w:rsidRPr="00351A46">
        <w:rPr>
          <w:lang w:val="en-AU"/>
        </w:rPr>
        <w:t>encourage replication</w:t>
      </w:r>
      <w:r w:rsidR="0091511A" w:rsidRPr="00351A46">
        <w:rPr>
          <w:lang w:val="en-AU"/>
        </w:rPr>
        <w:t xml:space="preserve"> of good practices. This includes using media and communications, and funding and disseminating studies.</w:t>
      </w:r>
    </w:p>
    <w:p w14:paraId="23951D6A" w14:textId="4C27DE52" w:rsidR="00A2021B" w:rsidRPr="00351A46" w:rsidRDefault="0091511A">
      <w:pPr>
        <w:numPr>
          <w:ilvl w:val="0"/>
          <w:numId w:val="8"/>
        </w:numPr>
        <w:jc w:val="both"/>
        <w:rPr>
          <w:lang w:val="en-AU"/>
        </w:rPr>
      </w:pPr>
      <w:r w:rsidRPr="00351A46">
        <w:rPr>
          <w:i/>
          <w:lang w:val="en-AU"/>
        </w:rPr>
        <w:t>Embed:</w:t>
      </w:r>
      <w:r w:rsidRPr="00351A46">
        <w:rPr>
          <w:lang w:val="en-AU"/>
        </w:rPr>
        <w:t xml:space="preserve"> Support on</w:t>
      </w:r>
      <w:r w:rsidR="006D410B" w:rsidRPr="00351A46">
        <w:rPr>
          <w:lang w:val="en-AU"/>
        </w:rPr>
        <w:t>-</w:t>
      </w:r>
      <w:r w:rsidRPr="00351A46">
        <w:rPr>
          <w:lang w:val="en-AU"/>
        </w:rPr>
        <w:t xml:space="preserve">going sustainability of solutions </w:t>
      </w:r>
      <w:r w:rsidR="006D410B" w:rsidRPr="00351A46">
        <w:rPr>
          <w:lang w:val="en-AU"/>
        </w:rPr>
        <w:t xml:space="preserve">by </w:t>
      </w:r>
      <w:r w:rsidR="00EA423D" w:rsidRPr="00351A46">
        <w:rPr>
          <w:lang w:val="en-AU"/>
        </w:rPr>
        <w:t xml:space="preserve">ensuring </w:t>
      </w:r>
      <w:r w:rsidR="006D410B" w:rsidRPr="00351A46">
        <w:rPr>
          <w:lang w:val="en-AU"/>
        </w:rPr>
        <w:t xml:space="preserve">that </w:t>
      </w:r>
      <w:r w:rsidR="00EA423D" w:rsidRPr="00351A46">
        <w:rPr>
          <w:lang w:val="en-AU"/>
        </w:rPr>
        <w:t>ideas are locally</w:t>
      </w:r>
      <w:r w:rsidR="006D410B" w:rsidRPr="00351A46">
        <w:rPr>
          <w:lang w:val="en-AU"/>
        </w:rPr>
        <w:t xml:space="preserve"> </w:t>
      </w:r>
      <w:r w:rsidR="00EA423D" w:rsidRPr="00351A46">
        <w:rPr>
          <w:lang w:val="en-AU"/>
        </w:rPr>
        <w:t>led,</w:t>
      </w:r>
      <w:r w:rsidR="00485BB2" w:rsidRPr="00351A46">
        <w:rPr>
          <w:lang w:val="en-AU"/>
        </w:rPr>
        <w:t xml:space="preserve"> </w:t>
      </w:r>
      <w:r w:rsidR="002F143B" w:rsidRPr="00351A46">
        <w:rPr>
          <w:lang w:val="en-AU"/>
        </w:rPr>
        <w:t xml:space="preserve">build on existing local initiatives which are working, </w:t>
      </w:r>
      <w:r w:rsidRPr="00351A46">
        <w:rPr>
          <w:lang w:val="en-AU"/>
        </w:rPr>
        <w:t>ensur</w:t>
      </w:r>
      <w:r w:rsidR="006D410B" w:rsidRPr="00351A46">
        <w:rPr>
          <w:lang w:val="en-AU"/>
        </w:rPr>
        <w:t>e</w:t>
      </w:r>
      <w:r w:rsidRPr="00351A46">
        <w:rPr>
          <w:lang w:val="en-AU"/>
        </w:rPr>
        <w:t xml:space="preserve"> solutions are appropriate to the local context and </w:t>
      </w:r>
      <w:r w:rsidR="006E15BB" w:rsidRPr="00351A46">
        <w:rPr>
          <w:lang w:val="en-AU"/>
        </w:rPr>
        <w:t xml:space="preserve">are </w:t>
      </w:r>
      <w:r w:rsidR="0070123B" w:rsidRPr="00351A46">
        <w:rPr>
          <w:lang w:val="en-AU"/>
        </w:rPr>
        <w:t xml:space="preserve">within local capacity to implement, and </w:t>
      </w:r>
      <w:r w:rsidRPr="00351A46">
        <w:rPr>
          <w:lang w:val="en-AU"/>
        </w:rPr>
        <w:t>facilitat</w:t>
      </w:r>
      <w:r w:rsidR="006D410B" w:rsidRPr="00351A46">
        <w:rPr>
          <w:lang w:val="en-AU"/>
        </w:rPr>
        <w:t xml:space="preserve">e </w:t>
      </w:r>
      <w:r w:rsidRPr="00351A46">
        <w:rPr>
          <w:lang w:val="en-AU"/>
        </w:rPr>
        <w:t xml:space="preserve">local stakeholders to take ownership and responsibility for implementing </w:t>
      </w:r>
      <w:r w:rsidR="0070123B" w:rsidRPr="00351A46">
        <w:rPr>
          <w:lang w:val="en-AU"/>
        </w:rPr>
        <w:t>solutions over the longer</w:t>
      </w:r>
      <w:r w:rsidR="006E15BB" w:rsidRPr="00351A46">
        <w:rPr>
          <w:lang w:val="en-AU"/>
        </w:rPr>
        <w:t xml:space="preserve"> </w:t>
      </w:r>
      <w:r w:rsidR="0070123B" w:rsidRPr="00351A46">
        <w:rPr>
          <w:lang w:val="en-AU"/>
        </w:rPr>
        <w:t xml:space="preserve">term. </w:t>
      </w:r>
    </w:p>
    <w:p w14:paraId="174FEBEF" w14:textId="36556410" w:rsidR="00A147C7" w:rsidRPr="00351A46" w:rsidRDefault="00A147C7">
      <w:pPr>
        <w:pStyle w:val="Heading2"/>
        <w:rPr>
          <w:lang w:val="en-AU"/>
        </w:rPr>
      </w:pPr>
      <w:bookmarkStart w:id="11" w:name="_Toc514418235"/>
      <w:bookmarkStart w:id="12" w:name="_Hlk513648334"/>
      <w:r w:rsidRPr="00351A46">
        <w:rPr>
          <w:lang w:val="en-AU"/>
        </w:rPr>
        <w:t xml:space="preserve">Adaptive </w:t>
      </w:r>
      <w:r w:rsidR="00D0604A" w:rsidRPr="00351A46">
        <w:rPr>
          <w:lang w:val="en-AU"/>
        </w:rPr>
        <w:t>Management</w:t>
      </w:r>
      <w:bookmarkEnd w:id="11"/>
    </w:p>
    <w:p w14:paraId="38D8A097" w14:textId="77777777" w:rsidR="00F912D4" w:rsidRPr="001C1496" w:rsidRDefault="00F912D4" w:rsidP="001C1496">
      <w:pPr>
        <w:spacing w:after="0"/>
        <w:jc w:val="both"/>
        <w:rPr>
          <w:sz w:val="10"/>
          <w:lang w:val="en-AU"/>
        </w:rPr>
      </w:pPr>
    </w:p>
    <w:p w14:paraId="701AEADD" w14:textId="5786F4C5" w:rsidR="0086160A" w:rsidRPr="00351A46" w:rsidRDefault="0086160A">
      <w:pPr>
        <w:jc w:val="both"/>
        <w:rPr>
          <w:lang w:val="en-AU"/>
        </w:rPr>
      </w:pPr>
      <w:r w:rsidRPr="00351A46">
        <w:rPr>
          <w:lang w:val="en-AU"/>
        </w:rPr>
        <w:t xml:space="preserve">Change in the knowledge sector happens in complex and unpredictable ways and the broader context is constantly in flux. </w:t>
      </w:r>
      <w:r w:rsidR="006E15BB" w:rsidRPr="00351A46">
        <w:rPr>
          <w:lang w:val="en-AU"/>
        </w:rPr>
        <w:t>Therefore</w:t>
      </w:r>
      <w:r w:rsidRPr="00351A46">
        <w:rPr>
          <w:lang w:val="en-AU"/>
        </w:rPr>
        <w:t xml:space="preserve">, it is important that KSI </w:t>
      </w:r>
      <w:r w:rsidR="00EA4775" w:rsidRPr="00351A46">
        <w:rPr>
          <w:lang w:val="en-AU"/>
        </w:rPr>
        <w:t>can</w:t>
      </w:r>
      <w:r w:rsidRPr="00351A46">
        <w:rPr>
          <w:lang w:val="en-AU"/>
        </w:rPr>
        <w:t xml:space="preserve"> operate in a flexible and adaptive manner. KSI will implement an adaptive management approach by:</w:t>
      </w:r>
    </w:p>
    <w:p w14:paraId="66F7FED7" w14:textId="41A58B2B" w:rsidR="005C2362" w:rsidRPr="00351A46" w:rsidRDefault="006174AF">
      <w:pPr>
        <w:pStyle w:val="ListParagraph"/>
        <w:numPr>
          <w:ilvl w:val="0"/>
          <w:numId w:val="6"/>
        </w:numPr>
        <w:spacing w:before="120" w:after="0"/>
        <w:contextualSpacing w:val="0"/>
        <w:jc w:val="both"/>
        <w:rPr>
          <w:lang w:val="en-AU"/>
        </w:rPr>
      </w:pPr>
      <w:r w:rsidRPr="001C1496">
        <w:rPr>
          <w:i/>
          <w:lang w:val="en-AU"/>
        </w:rPr>
        <w:t>Integrating monitoring, evaluation and learning</w:t>
      </w:r>
      <w:r w:rsidR="006A14A9">
        <w:rPr>
          <w:lang w:val="en-AU"/>
        </w:rPr>
        <w:t xml:space="preserve"> –</w:t>
      </w:r>
      <w:r w:rsidR="001D26E1" w:rsidRPr="00351A46">
        <w:rPr>
          <w:lang w:val="en-AU"/>
        </w:rPr>
        <w:t xml:space="preserve"> </w:t>
      </w:r>
      <w:r w:rsidRPr="001C1496">
        <w:rPr>
          <w:lang w:val="en-AU"/>
        </w:rPr>
        <w:t>KSI will operationali</w:t>
      </w:r>
      <w:r w:rsidR="001C1496">
        <w:rPr>
          <w:lang w:val="en-AU"/>
        </w:rPr>
        <w:t>s</w:t>
      </w:r>
      <w:r w:rsidRPr="001C1496">
        <w:rPr>
          <w:lang w:val="en-AU"/>
        </w:rPr>
        <w:t>e adaptive management by integrating it within its Monitoring</w:t>
      </w:r>
      <w:r w:rsidR="00351A46" w:rsidRPr="00351A46">
        <w:rPr>
          <w:lang w:val="en-AU"/>
        </w:rPr>
        <w:t>,</w:t>
      </w:r>
      <w:r w:rsidRPr="001C1496">
        <w:rPr>
          <w:lang w:val="en-AU"/>
        </w:rPr>
        <w:t xml:space="preserve"> Evaluation</w:t>
      </w:r>
      <w:r w:rsidR="00351A46" w:rsidRPr="00351A46">
        <w:rPr>
          <w:lang w:val="en-AU"/>
        </w:rPr>
        <w:t>,</w:t>
      </w:r>
      <w:r w:rsidRPr="001C1496">
        <w:rPr>
          <w:lang w:val="en-AU"/>
        </w:rPr>
        <w:t xml:space="preserve"> Reflection</w:t>
      </w:r>
      <w:r w:rsidR="00351A46" w:rsidRPr="00351A46">
        <w:rPr>
          <w:lang w:val="en-AU"/>
        </w:rPr>
        <w:t>,</w:t>
      </w:r>
      <w:r w:rsidRPr="001C1496">
        <w:rPr>
          <w:lang w:val="en-AU"/>
        </w:rPr>
        <w:t xml:space="preserve"> Learning and Adaptation (MERLA) system. </w:t>
      </w:r>
      <w:r w:rsidR="007F635F" w:rsidRPr="001C1496">
        <w:rPr>
          <w:lang w:val="en-AU"/>
        </w:rPr>
        <w:t xml:space="preserve">The MERLA system will provide </w:t>
      </w:r>
      <w:r w:rsidR="00456865" w:rsidRPr="001C1496">
        <w:rPr>
          <w:lang w:val="en-AU"/>
        </w:rPr>
        <w:t xml:space="preserve">regular </w:t>
      </w:r>
      <w:r w:rsidR="007F635F" w:rsidRPr="001C1496">
        <w:rPr>
          <w:lang w:val="en-AU"/>
        </w:rPr>
        <w:t xml:space="preserve">information on </w:t>
      </w:r>
      <w:r w:rsidR="005C2362" w:rsidRPr="001C1496">
        <w:rPr>
          <w:lang w:val="en-AU"/>
        </w:rPr>
        <w:t xml:space="preserve">the </w:t>
      </w:r>
      <w:r w:rsidR="000929DB" w:rsidRPr="001C1496">
        <w:rPr>
          <w:lang w:val="en-AU"/>
        </w:rPr>
        <w:t>external context, political economy an</w:t>
      </w:r>
      <w:r w:rsidR="005C2362" w:rsidRPr="001C1496">
        <w:rPr>
          <w:lang w:val="en-AU"/>
        </w:rPr>
        <w:t xml:space="preserve">d </w:t>
      </w:r>
      <w:r w:rsidR="002C2279" w:rsidRPr="001C1496">
        <w:rPr>
          <w:lang w:val="en-AU"/>
        </w:rPr>
        <w:t>progress towards outcomes</w:t>
      </w:r>
      <w:r w:rsidR="007F635F" w:rsidRPr="001C1496">
        <w:rPr>
          <w:lang w:val="en-AU"/>
        </w:rPr>
        <w:t xml:space="preserve"> that will inform </w:t>
      </w:r>
      <w:r w:rsidR="00524271" w:rsidRPr="001C1496">
        <w:rPr>
          <w:lang w:val="en-AU"/>
        </w:rPr>
        <w:t>monthly reflection sessions with each team, as well as formal six-monthly</w:t>
      </w:r>
      <w:r w:rsidR="00456865" w:rsidRPr="001C1496">
        <w:rPr>
          <w:lang w:val="en-AU"/>
        </w:rPr>
        <w:t xml:space="preserve"> </w:t>
      </w:r>
      <w:r w:rsidR="00351A46" w:rsidRPr="00351A46">
        <w:rPr>
          <w:lang w:val="en-AU"/>
        </w:rPr>
        <w:t>learning weeks</w:t>
      </w:r>
      <w:r w:rsidR="005C2362" w:rsidRPr="001C1496">
        <w:rPr>
          <w:lang w:val="en-AU"/>
        </w:rPr>
        <w:t xml:space="preserve">. These </w:t>
      </w:r>
      <w:r w:rsidR="00DF5C76" w:rsidRPr="001C1496">
        <w:rPr>
          <w:lang w:val="en-AU"/>
        </w:rPr>
        <w:t>reflection sessions</w:t>
      </w:r>
      <w:r w:rsidR="005C2362" w:rsidRPr="001C1496">
        <w:rPr>
          <w:lang w:val="en-AU"/>
        </w:rPr>
        <w:t xml:space="preserve"> will enable double-loop learning by facilitating teams to reflect not only on KSI’s progress towards outcomes, but also whether the assumptions underlying the theory of chang</w:t>
      </w:r>
      <w:r w:rsidR="00E20446" w:rsidRPr="001C1496">
        <w:rPr>
          <w:lang w:val="en-AU"/>
        </w:rPr>
        <w:t>e continue to hold true or not</w:t>
      </w:r>
      <w:r w:rsidR="00351A46">
        <w:rPr>
          <w:lang w:val="en-AU"/>
        </w:rPr>
        <w:t>,</w:t>
      </w:r>
      <w:r w:rsidR="00E20446" w:rsidRPr="001C1496">
        <w:rPr>
          <w:lang w:val="en-AU"/>
        </w:rPr>
        <w:t xml:space="preserve"> and KSI’s role in contributing to the change. </w:t>
      </w:r>
      <w:r w:rsidR="00AF1CE8" w:rsidRPr="001C1496">
        <w:rPr>
          <w:lang w:val="en-AU"/>
        </w:rPr>
        <w:t xml:space="preserve">This will include reflection on emerging opportunities and risks due to changes in the context and political economy. </w:t>
      </w:r>
      <w:r w:rsidR="001A6140" w:rsidRPr="001C1496">
        <w:rPr>
          <w:lang w:val="en-AU"/>
        </w:rPr>
        <w:t>Learning from these sessions</w:t>
      </w:r>
      <w:r w:rsidR="00E20446" w:rsidRPr="001C1496">
        <w:rPr>
          <w:lang w:val="en-AU"/>
        </w:rPr>
        <w:t xml:space="preserve"> will be used to adapt the </w:t>
      </w:r>
      <w:r w:rsidR="00CA49BB" w:rsidRPr="001C1496">
        <w:rPr>
          <w:lang w:val="en-AU"/>
        </w:rPr>
        <w:t xml:space="preserve">program strategy and implementation. </w:t>
      </w:r>
      <w:r w:rsidR="006739F6" w:rsidRPr="001C1496">
        <w:rPr>
          <w:lang w:val="en-AU"/>
        </w:rPr>
        <w:t xml:space="preserve">Regular reflection sessions will also help to facilitate a culture of </w:t>
      </w:r>
      <w:r w:rsidR="008476DB" w:rsidRPr="001C1496">
        <w:rPr>
          <w:lang w:val="en-AU"/>
        </w:rPr>
        <w:t xml:space="preserve">critical thinking, </w:t>
      </w:r>
      <w:r w:rsidR="006739F6" w:rsidRPr="001C1496">
        <w:rPr>
          <w:lang w:val="en-AU"/>
        </w:rPr>
        <w:t>l</w:t>
      </w:r>
      <w:r w:rsidR="008476DB" w:rsidRPr="001C1496">
        <w:rPr>
          <w:lang w:val="en-AU"/>
        </w:rPr>
        <w:t xml:space="preserve">earning and adaptation with KSI’s team. </w:t>
      </w:r>
      <w:r w:rsidR="00037C2D" w:rsidRPr="001C1496">
        <w:rPr>
          <w:lang w:val="en-AU"/>
        </w:rPr>
        <w:t xml:space="preserve">The MERLA Plan has also been specifically </w:t>
      </w:r>
      <w:r w:rsidR="000929DB" w:rsidRPr="001C1496">
        <w:rPr>
          <w:lang w:val="en-AU"/>
        </w:rPr>
        <w:t xml:space="preserve">designed to intentionally monitor and evaluate KSI’s adaptive management approach. </w:t>
      </w:r>
      <w:r w:rsidR="00C831AD" w:rsidRPr="001C1496">
        <w:rPr>
          <w:lang w:val="en-AU"/>
        </w:rPr>
        <w:t xml:space="preserve">Further details on KSI’s MERLA approach are outlined in its MERLA Plan. </w:t>
      </w:r>
    </w:p>
    <w:p w14:paraId="7966072E" w14:textId="450D6432" w:rsidR="00E6042B" w:rsidRPr="00351A46" w:rsidRDefault="00067EC7">
      <w:pPr>
        <w:pStyle w:val="ListParagraph"/>
        <w:numPr>
          <w:ilvl w:val="0"/>
          <w:numId w:val="6"/>
        </w:numPr>
        <w:spacing w:before="120" w:after="0"/>
        <w:contextualSpacing w:val="0"/>
        <w:jc w:val="both"/>
        <w:rPr>
          <w:lang w:val="en-AU"/>
        </w:rPr>
      </w:pPr>
      <w:bookmarkStart w:id="13" w:name="_Hlk509562597"/>
      <w:r w:rsidRPr="00351A46">
        <w:rPr>
          <w:rFonts w:eastAsia="Times New Roman"/>
          <w:i/>
          <w:iCs/>
          <w:lang w:val="en-AU"/>
        </w:rPr>
        <w:t>F</w:t>
      </w:r>
      <w:r w:rsidR="00E6042B" w:rsidRPr="00351A46">
        <w:rPr>
          <w:rFonts w:eastAsia="Times New Roman"/>
          <w:i/>
          <w:iCs/>
          <w:lang w:val="en-AU"/>
        </w:rPr>
        <w:t xml:space="preserve">lexibility in </w:t>
      </w:r>
      <w:r w:rsidR="008C3312" w:rsidRPr="00351A46">
        <w:rPr>
          <w:rFonts w:eastAsia="Times New Roman"/>
          <w:i/>
          <w:iCs/>
          <w:lang w:val="en-AU"/>
        </w:rPr>
        <w:t>program</w:t>
      </w:r>
      <w:r w:rsidR="00D0604A" w:rsidRPr="00351A46">
        <w:rPr>
          <w:rFonts w:eastAsia="Times New Roman"/>
          <w:i/>
          <w:iCs/>
          <w:lang w:val="en-AU"/>
        </w:rPr>
        <w:t xml:space="preserve"> </w:t>
      </w:r>
      <w:r w:rsidR="00E6042B" w:rsidRPr="00351A46">
        <w:rPr>
          <w:rFonts w:eastAsia="Times New Roman"/>
          <w:i/>
          <w:iCs/>
          <w:lang w:val="en-AU"/>
        </w:rPr>
        <w:t xml:space="preserve">structures and </w:t>
      </w:r>
      <w:r w:rsidRPr="00351A46">
        <w:rPr>
          <w:rFonts w:eastAsia="Times New Roman"/>
          <w:i/>
          <w:iCs/>
          <w:lang w:val="en-AU"/>
        </w:rPr>
        <w:t>process</w:t>
      </w:r>
      <w:r w:rsidR="00E6042B" w:rsidRPr="00351A46">
        <w:rPr>
          <w:rFonts w:eastAsia="Times New Roman"/>
          <w:i/>
          <w:iCs/>
          <w:lang w:val="en-AU"/>
        </w:rPr>
        <w:t xml:space="preserve"> to</w:t>
      </w:r>
      <w:r w:rsidRPr="00351A46">
        <w:rPr>
          <w:rFonts w:eastAsia="Times New Roman"/>
          <w:i/>
          <w:iCs/>
          <w:lang w:val="en-AU"/>
        </w:rPr>
        <w:t xml:space="preserve"> enable</w:t>
      </w:r>
      <w:r w:rsidR="00E6042B" w:rsidRPr="00351A46">
        <w:rPr>
          <w:rFonts w:eastAsia="Times New Roman"/>
          <w:i/>
          <w:iCs/>
          <w:lang w:val="en-AU"/>
        </w:rPr>
        <w:t xml:space="preserve"> adapt</w:t>
      </w:r>
      <w:r w:rsidRPr="00351A46">
        <w:rPr>
          <w:rFonts w:eastAsia="Times New Roman"/>
          <w:i/>
          <w:iCs/>
          <w:lang w:val="en-AU"/>
        </w:rPr>
        <w:t>ation</w:t>
      </w:r>
      <w:r w:rsidR="00F26F26" w:rsidRPr="00351A46">
        <w:rPr>
          <w:rFonts w:eastAsia="Times New Roman"/>
          <w:i/>
          <w:iCs/>
          <w:lang w:val="en-AU"/>
        </w:rPr>
        <w:t xml:space="preserve"> </w:t>
      </w:r>
      <w:r w:rsidR="00E6042B" w:rsidRPr="00351A46">
        <w:rPr>
          <w:rFonts w:eastAsia="Times New Roman"/>
          <w:i/>
          <w:iCs/>
          <w:lang w:val="en-AU"/>
        </w:rPr>
        <w:t xml:space="preserve">– </w:t>
      </w:r>
      <w:r w:rsidR="00C652EF" w:rsidRPr="00351A46">
        <w:rPr>
          <w:rFonts w:eastAsia="Times New Roman"/>
          <w:iCs/>
          <w:lang w:val="en-AU"/>
        </w:rPr>
        <w:t xml:space="preserve">KSI’s team is structured </w:t>
      </w:r>
      <w:r w:rsidR="00A2647F" w:rsidRPr="00351A46">
        <w:rPr>
          <w:rFonts w:eastAsia="Times New Roman"/>
          <w:iCs/>
          <w:lang w:val="en-AU"/>
        </w:rPr>
        <w:t xml:space="preserve">around </w:t>
      </w:r>
      <w:r w:rsidR="00550053" w:rsidRPr="00351A46">
        <w:rPr>
          <w:rFonts w:eastAsia="Times New Roman"/>
          <w:iCs/>
          <w:lang w:val="en-AU"/>
        </w:rPr>
        <w:t xml:space="preserve">generalist </w:t>
      </w:r>
      <w:r w:rsidR="00A2647F" w:rsidRPr="00351A46">
        <w:rPr>
          <w:rFonts w:eastAsia="Times New Roman"/>
          <w:iCs/>
          <w:lang w:val="en-AU"/>
        </w:rPr>
        <w:t xml:space="preserve">core functions rather than technical areas, which means </w:t>
      </w:r>
      <w:r w:rsidR="00550053" w:rsidRPr="00351A46">
        <w:rPr>
          <w:rFonts w:eastAsia="Times New Roman"/>
          <w:iCs/>
          <w:lang w:val="en-AU"/>
        </w:rPr>
        <w:t>staff can work on any emerging issue and bring in technical expertise as needed (e</w:t>
      </w:r>
      <w:r w:rsidR="00D605CC" w:rsidRPr="00351A46">
        <w:rPr>
          <w:rFonts w:eastAsia="Times New Roman"/>
          <w:iCs/>
          <w:lang w:val="en-AU"/>
        </w:rPr>
        <w:t>.</w:t>
      </w:r>
      <w:r w:rsidR="00550053" w:rsidRPr="00351A46">
        <w:rPr>
          <w:rFonts w:eastAsia="Times New Roman"/>
          <w:iCs/>
          <w:lang w:val="en-AU"/>
        </w:rPr>
        <w:t>g</w:t>
      </w:r>
      <w:r w:rsidR="00D605CC" w:rsidRPr="00351A46">
        <w:rPr>
          <w:rFonts w:eastAsia="Times New Roman"/>
          <w:iCs/>
          <w:lang w:val="en-AU"/>
        </w:rPr>
        <w:t>.</w:t>
      </w:r>
      <w:r w:rsidR="00550053" w:rsidRPr="00351A46">
        <w:rPr>
          <w:rFonts w:eastAsia="Times New Roman"/>
          <w:iCs/>
          <w:lang w:val="en-AU"/>
        </w:rPr>
        <w:t xml:space="preserve"> through local</w:t>
      </w:r>
      <w:r w:rsidR="00905716" w:rsidRPr="00351A46">
        <w:rPr>
          <w:rFonts w:eastAsia="Times New Roman"/>
          <w:iCs/>
          <w:lang w:val="en-AU"/>
        </w:rPr>
        <w:t xml:space="preserve"> or international consultants and</w:t>
      </w:r>
      <w:r w:rsidR="00550053" w:rsidRPr="00351A46">
        <w:rPr>
          <w:rFonts w:eastAsia="Times New Roman"/>
          <w:iCs/>
          <w:lang w:val="en-AU"/>
        </w:rPr>
        <w:t xml:space="preserve"> international partners). </w:t>
      </w:r>
      <w:r w:rsidR="00DF4A17" w:rsidRPr="00351A46">
        <w:rPr>
          <w:rFonts w:eastAsia="Times New Roman"/>
          <w:iCs/>
          <w:lang w:val="en-AU"/>
        </w:rPr>
        <w:t>Work</w:t>
      </w:r>
      <w:r w:rsidR="00C652EF" w:rsidRPr="00351A46">
        <w:rPr>
          <w:rFonts w:eastAsia="Times New Roman"/>
          <w:iCs/>
          <w:lang w:val="en-AU"/>
        </w:rPr>
        <w:t xml:space="preserve"> planning on an annual basis allows </w:t>
      </w:r>
      <w:r w:rsidR="000906E3">
        <w:rPr>
          <w:rFonts w:eastAsia="Times New Roman"/>
          <w:iCs/>
          <w:lang w:val="en-AU"/>
        </w:rPr>
        <w:t xml:space="preserve">for </w:t>
      </w:r>
      <w:r w:rsidR="00C652EF" w:rsidRPr="00351A46">
        <w:rPr>
          <w:rFonts w:eastAsia="Times New Roman"/>
          <w:iCs/>
          <w:lang w:val="en-AU"/>
        </w:rPr>
        <w:t>reflection o</w:t>
      </w:r>
      <w:r w:rsidR="00D605CC" w:rsidRPr="00351A46">
        <w:rPr>
          <w:rFonts w:eastAsia="Times New Roman"/>
          <w:iCs/>
          <w:lang w:val="en-AU"/>
        </w:rPr>
        <w:t>f</w:t>
      </w:r>
      <w:r w:rsidR="00C652EF" w:rsidRPr="00351A46">
        <w:rPr>
          <w:rFonts w:eastAsia="Times New Roman"/>
          <w:iCs/>
          <w:lang w:val="en-AU"/>
        </w:rPr>
        <w:t xml:space="preserve"> the previous year’s progress and adapt</w:t>
      </w:r>
      <w:r w:rsidR="00D605CC" w:rsidRPr="00351A46">
        <w:rPr>
          <w:rFonts w:eastAsia="Times New Roman"/>
          <w:iCs/>
          <w:lang w:val="en-AU"/>
        </w:rPr>
        <w:t>ation of</w:t>
      </w:r>
      <w:r w:rsidR="00C652EF" w:rsidRPr="00351A46">
        <w:rPr>
          <w:rFonts w:eastAsia="Times New Roman"/>
          <w:iCs/>
          <w:lang w:val="en-AU"/>
        </w:rPr>
        <w:t xml:space="preserve"> the approach for the following year. There is a level of budget flexibility, with KSI’s contract with DFAT allowing </w:t>
      </w:r>
      <w:r w:rsidR="000906E3">
        <w:rPr>
          <w:rFonts w:eastAsia="Times New Roman"/>
          <w:iCs/>
          <w:lang w:val="en-AU"/>
        </w:rPr>
        <w:t xml:space="preserve">for </w:t>
      </w:r>
      <w:r w:rsidR="00C652EF" w:rsidRPr="00351A46">
        <w:rPr>
          <w:rFonts w:eastAsia="Times New Roman"/>
          <w:iCs/>
          <w:lang w:val="en-AU"/>
        </w:rPr>
        <w:t xml:space="preserve">some movement of funding between </w:t>
      </w:r>
      <w:r w:rsidR="00137C7E" w:rsidRPr="00351A46">
        <w:rPr>
          <w:rFonts w:eastAsia="Times New Roman"/>
          <w:iCs/>
          <w:lang w:val="en-AU"/>
        </w:rPr>
        <w:t xml:space="preserve">contractual </w:t>
      </w:r>
      <w:r w:rsidR="00C652EF" w:rsidRPr="00351A46">
        <w:rPr>
          <w:rFonts w:eastAsia="Times New Roman"/>
          <w:iCs/>
          <w:lang w:val="en-AU"/>
        </w:rPr>
        <w:t>line items.</w:t>
      </w:r>
      <w:r w:rsidR="00A2647F" w:rsidRPr="00351A46">
        <w:rPr>
          <w:rFonts w:eastAsia="Times New Roman"/>
          <w:iCs/>
          <w:lang w:val="en-AU"/>
        </w:rPr>
        <w:t xml:space="preserve"> </w:t>
      </w:r>
      <w:r w:rsidR="003921F7" w:rsidRPr="00351A46">
        <w:rPr>
          <w:rFonts w:eastAsia="Times New Roman"/>
          <w:lang w:val="en-AU"/>
        </w:rPr>
        <w:t xml:space="preserve">The </w:t>
      </w:r>
      <w:r w:rsidR="00316B5F" w:rsidRPr="00351A46">
        <w:rPr>
          <w:lang w:val="en-AU"/>
        </w:rPr>
        <w:t>MERLA Plan</w:t>
      </w:r>
      <w:r w:rsidR="003921F7" w:rsidRPr="00351A46">
        <w:rPr>
          <w:rFonts w:eastAsia="Times New Roman"/>
          <w:lang w:val="en-AU"/>
        </w:rPr>
        <w:t xml:space="preserve"> will also have some flexibility by not locking in intermediate outcomes, </w:t>
      </w:r>
      <w:r w:rsidR="003921F7" w:rsidRPr="00351A46">
        <w:rPr>
          <w:lang w:val="en-AU"/>
        </w:rPr>
        <w:t>including only a selection of key indicators per EOPO</w:t>
      </w:r>
      <w:r w:rsidR="00D605CC" w:rsidRPr="00351A46">
        <w:rPr>
          <w:lang w:val="en-AU"/>
        </w:rPr>
        <w:t>,</w:t>
      </w:r>
      <w:r w:rsidR="003921F7" w:rsidRPr="00351A46">
        <w:rPr>
          <w:lang w:val="en-AU"/>
        </w:rPr>
        <w:t xml:space="preserve"> and allowing for updates every year.</w:t>
      </w:r>
      <w:r w:rsidR="001D26E1" w:rsidRPr="00351A46">
        <w:rPr>
          <w:lang w:val="en-AU"/>
        </w:rPr>
        <w:t xml:space="preserve"> </w:t>
      </w:r>
    </w:p>
    <w:p w14:paraId="7269DAC7" w14:textId="57A487E1" w:rsidR="002C497A" w:rsidRPr="00351A46" w:rsidRDefault="002C497A">
      <w:pPr>
        <w:pStyle w:val="ListParagraph"/>
        <w:numPr>
          <w:ilvl w:val="0"/>
          <w:numId w:val="6"/>
        </w:numPr>
        <w:spacing w:before="120" w:after="0"/>
        <w:contextualSpacing w:val="0"/>
        <w:jc w:val="both"/>
        <w:rPr>
          <w:lang w:val="en-AU"/>
        </w:rPr>
      </w:pPr>
      <w:r w:rsidRPr="007C10BC">
        <w:rPr>
          <w:rFonts w:eastAsia="Times New Roman"/>
          <w:i/>
          <w:iCs/>
          <w:lang w:val="en-AU"/>
        </w:rPr>
        <w:t xml:space="preserve">Emerging priorities fund </w:t>
      </w:r>
      <w:r w:rsidRPr="007C10BC">
        <w:rPr>
          <w:rFonts w:eastAsia="Times New Roman"/>
          <w:iCs/>
          <w:lang w:val="en-AU"/>
        </w:rPr>
        <w:t xml:space="preserve">– </w:t>
      </w:r>
      <w:r w:rsidR="006A14A9" w:rsidRPr="007C10BC">
        <w:rPr>
          <w:rFonts w:eastAsia="Times New Roman"/>
          <w:iCs/>
          <w:lang w:val="en-AU"/>
        </w:rPr>
        <w:t xml:space="preserve">Linked </w:t>
      </w:r>
      <w:r w:rsidR="00672706" w:rsidRPr="007C10BC">
        <w:rPr>
          <w:rFonts w:eastAsia="Times New Roman"/>
          <w:iCs/>
          <w:lang w:val="en-AU"/>
        </w:rPr>
        <w:t xml:space="preserve">to the </w:t>
      </w:r>
      <w:r w:rsidR="006A14A9">
        <w:rPr>
          <w:rFonts w:eastAsia="Times New Roman"/>
          <w:iCs/>
          <w:lang w:val="en-AU"/>
        </w:rPr>
        <w:t xml:space="preserve">previous </w:t>
      </w:r>
      <w:r w:rsidR="00672706" w:rsidRPr="007C10BC">
        <w:rPr>
          <w:rFonts w:eastAsia="Times New Roman"/>
          <w:iCs/>
          <w:lang w:val="en-AU"/>
        </w:rPr>
        <w:t>point,</w:t>
      </w:r>
      <w:r w:rsidR="00672706" w:rsidRPr="007C10BC">
        <w:rPr>
          <w:rFonts w:eastAsia="Times New Roman"/>
          <w:i/>
          <w:iCs/>
          <w:lang w:val="en-AU"/>
        </w:rPr>
        <w:t xml:space="preserve"> </w:t>
      </w:r>
      <w:r w:rsidRPr="007C10BC">
        <w:rPr>
          <w:rFonts w:eastAsia="Times New Roman"/>
          <w:iCs/>
          <w:lang w:val="en-AU"/>
        </w:rPr>
        <w:t xml:space="preserve">KSI will have a </w:t>
      </w:r>
      <w:r w:rsidR="00B600FC" w:rsidRPr="007C10BC">
        <w:rPr>
          <w:rFonts w:eastAsia="Times New Roman"/>
          <w:iCs/>
          <w:lang w:val="en-AU"/>
        </w:rPr>
        <w:t xml:space="preserve">small </w:t>
      </w:r>
      <w:r w:rsidRPr="007C10BC">
        <w:rPr>
          <w:rFonts w:eastAsia="Times New Roman"/>
          <w:iCs/>
          <w:lang w:val="en-AU"/>
        </w:rPr>
        <w:t>flexible allocation</w:t>
      </w:r>
      <w:r w:rsidR="00905716" w:rsidRPr="00351A46">
        <w:rPr>
          <w:rFonts w:eastAsia="Times New Roman"/>
          <w:iCs/>
          <w:lang w:val="en-AU"/>
        </w:rPr>
        <w:t xml:space="preserve"> of funding for</w:t>
      </w:r>
      <w:r w:rsidR="00672706" w:rsidRPr="00351A46">
        <w:rPr>
          <w:rFonts w:eastAsia="Times New Roman"/>
          <w:iCs/>
          <w:lang w:val="en-AU"/>
        </w:rPr>
        <w:t xml:space="preserve"> </w:t>
      </w:r>
      <w:r w:rsidR="00B600FC" w:rsidRPr="00351A46">
        <w:rPr>
          <w:rFonts w:eastAsia="Times New Roman"/>
          <w:iCs/>
          <w:lang w:val="en-AU"/>
        </w:rPr>
        <w:t xml:space="preserve">emerging priorities that fall outside of existing key initiatives. </w:t>
      </w:r>
      <w:r w:rsidR="00245BE0" w:rsidRPr="00351A46">
        <w:rPr>
          <w:rFonts w:eastAsia="Times New Roman"/>
          <w:iCs/>
          <w:lang w:val="en-AU"/>
        </w:rPr>
        <w:t>This</w:t>
      </w:r>
      <w:r w:rsidR="00B600FC" w:rsidRPr="00351A46">
        <w:rPr>
          <w:rFonts w:eastAsia="Times New Roman"/>
          <w:iCs/>
          <w:lang w:val="en-AU"/>
        </w:rPr>
        <w:t xml:space="preserve"> fund can be used to</w:t>
      </w:r>
      <w:r w:rsidR="007C10BC">
        <w:rPr>
          <w:rFonts w:eastAsia="Times New Roman"/>
          <w:iCs/>
          <w:lang w:val="en-AU"/>
        </w:rPr>
        <w:t>:</w:t>
      </w:r>
      <w:r w:rsidRPr="00351A46">
        <w:rPr>
          <w:rFonts w:eastAsia="Times New Roman"/>
          <w:iCs/>
          <w:lang w:val="en-AU"/>
        </w:rPr>
        <w:t xml:space="preserve"> </w:t>
      </w:r>
      <w:r w:rsidR="00B600FC" w:rsidRPr="00351A46">
        <w:rPr>
          <w:rFonts w:eastAsia="Times New Roman"/>
          <w:iCs/>
          <w:lang w:val="en-AU"/>
        </w:rPr>
        <w:t xml:space="preserve">1) </w:t>
      </w:r>
      <w:r w:rsidRPr="00351A46">
        <w:rPr>
          <w:rFonts w:eastAsia="Times New Roman"/>
          <w:iCs/>
          <w:lang w:val="en-AU"/>
        </w:rPr>
        <w:t xml:space="preserve">respond </w:t>
      </w:r>
      <w:r w:rsidR="00B600FC" w:rsidRPr="00351A46">
        <w:rPr>
          <w:rFonts w:eastAsia="Times New Roman"/>
          <w:iCs/>
          <w:lang w:val="en-AU"/>
        </w:rPr>
        <w:t xml:space="preserve">quickly </w:t>
      </w:r>
      <w:r w:rsidRPr="00351A46">
        <w:rPr>
          <w:rFonts w:eastAsia="Times New Roman"/>
          <w:iCs/>
          <w:lang w:val="en-AU"/>
        </w:rPr>
        <w:t>to emerging issues or opportunities</w:t>
      </w:r>
      <w:r w:rsidR="00B600FC" w:rsidRPr="00351A46">
        <w:rPr>
          <w:rFonts w:eastAsia="Times New Roman"/>
          <w:iCs/>
          <w:lang w:val="en-AU"/>
        </w:rPr>
        <w:t xml:space="preserve">; 2) scope out potential new key initiatives that may be needed; and 3) respond to key political priorities. </w:t>
      </w:r>
      <w:r w:rsidRPr="00351A46">
        <w:rPr>
          <w:rFonts w:eastAsia="Times New Roman"/>
          <w:iCs/>
          <w:lang w:val="en-AU"/>
        </w:rPr>
        <w:t>These activities must meet the following criteria:</w:t>
      </w:r>
    </w:p>
    <w:p w14:paraId="74DD9D1B" w14:textId="77777777" w:rsidR="002C497A" w:rsidRPr="00351A46" w:rsidRDefault="002C497A">
      <w:pPr>
        <w:pStyle w:val="ListParagraph"/>
        <w:numPr>
          <w:ilvl w:val="1"/>
          <w:numId w:val="6"/>
        </w:numPr>
        <w:spacing w:before="120"/>
        <w:contextualSpacing w:val="0"/>
        <w:rPr>
          <w:lang w:val="en-AU"/>
        </w:rPr>
      </w:pPr>
      <w:r w:rsidRPr="00351A46">
        <w:rPr>
          <w:lang w:val="en-AU"/>
        </w:rPr>
        <w:t>Contribute to the EOPOs and focus areas</w:t>
      </w:r>
    </w:p>
    <w:p w14:paraId="74E0FAC8" w14:textId="77777777" w:rsidR="002C497A" w:rsidRPr="00351A46" w:rsidRDefault="002C497A">
      <w:pPr>
        <w:pStyle w:val="ListParagraph"/>
        <w:numPr>
          <w:ilvl w:val="1"/>
          <w:numId w:val="6"/>
        </w:numPr>
        <w:spacing w:before="120"/>
        <w:contextualSpacing w:val="0"/>
        <w:rPr>
          <w:lang w:val="en-AU"/>
        </w:rPr>
      </w:pPr>
      <w:r w:rsidRPr="00351A46">
        <w:rPr>
          <w:lang w:val="en-AU"/>
        </w:rPr>
        <w:t xml:space="preserve">Have the potential to allow KSI to play a catalytic role and promote systemic change </w:t>
      </w:r>
    </w:p>
    <w:p w14:paraId="7601D319" w14:textId="77777777" w:rsidR="002C497A" w:rsidRPr="00351A46" w:rsidRDefault="002C497A">
      <w:pPr>
        <w:pStyle w:val="ListParagraph"/>
        <w:numPr>
          <w:ilvl w:val="1"/>
          <w:numId w:val="6"/>
        </w:numPr>
        <w:spacing w:before="120"/>
        <w:contextualSpacing w:val="0"/>
        <w:rPr>
          <w:lang w:val="en-AU"/>
        </w:rPr>
      </w:pPr>
      <w:r w:rsidRPr="00351A46">
        <w:rPr>
          <w:lang w:val="en-AU"/>
        </w:rPr>
        <w:t>Can be completed in less than one year</w:t>
      </w:r>
    </w:p>
    <w:p w14:paraId="6D0F0F8B" w14:textId="765296FC" w:rsidR="002C497A" w:rsidRPr="00351A46" w:rsidRDefault="002C497A">
      <w:pPr>
        <w:pStyle w:val="ListParagraph"/>
        <w:numPr>
          <w:ilvl w:val="1"/>
          <w:numId w:val="6"/>
        </w:numPr>
        <w:spacing w:before="120"/>
        <w:contextualSpacing w:val="0"/>
        <w:jc w:val="both"/>
        <w:rPr>
          <w:lang w:val="en-AU"/>
        </w:rPr>
      </w:pPr>
      <w:r w:rsidRPr="00351A46">
        <w:rPr>
          <w:lang w:val="en-AU"/>
        </w:rPr>
        <w:t>Are supported by members of the relevant working group (</w:t>
      </w:r>
      <w:r w:rsidRPr="001C1496">
        <w:rPr>
          <w:i/>
          <w:lang w:val="en-AU"/>
        </w:rPr>
        <w:t>Pokja</w:t>
      </w:r>
      <w:r w:rsidRPr="00351A46">
        <w:rPr>
          <w:lang w:val="en-AU"/>
        </w:rPr>
        <w:t xml:space="preserve">) and approved by the </w:t>
      </w:r>
      <w:r w:rsidR="000C6990" w:rsidRPr="00351A46">
        <w:rPr>
          <w:lang w:val="en-AU"/>
        </w:rPr>
        <w:t>PTS.</w:t>
      </w:r>
      <w:r w:rsidRPr="00351A46">
        <w:rPr>
          <w:lang w:val="en-AU"/>
        </w:rPr>
        <w:t xml:space="preserve"> </w:t>
      </w:r>
    </w:p>
    <w:bookmarkEnd w:id="13"/>
    <w:p w14:paraId="1EB791CA" w14:textId="1C0CD47C" w:rsidR="001C1496" w:rsidRPr="001C1496" w:rsidRDefault="00A56A59" w:rsidP="001C1496">
      <w:pPr>
        <w:pStyle w:val="ListParagraph"/>
        <w:numPr>
          <w:ilvl w:val="0"/>
          <w:numId w:val="6"/>
        </w:numPr>
        <w:spacing w:before="120" w:after="0"/>
        <w:contextualSpacing w:val="0"/>
        <w:rPr>
          <w:rFonts w:eastAsia="Times New Roman"/>
          <w:lang w:val="en-AU"/>
        </w:rPr>
      </w:pPr>
      <w:r w:rsidRPr="00165B6E">
        <w:rPr>
          <w:rFonts w:eastAsia="Times New Roman"/>
          <w:i/>
          <w:lang w:val="en-AU"/>
        </w:rPr>
        <w:t xml:space="preserve">Relationship management </w:t>
      </w:r>
      <w:r w:rsidR="008D77E8" w:rsidRPr="00165B6E">
        <w:rPr>
          <w:rFonts w:eastAsia="Times New Roman"/>
          <w:i/>
          <w:lang w:val="en-AU"/>
        </w:rPr>
        <w:t>–</w:t>
      </w:r>
      <w:r w:rsidRPr="00165B6E">
        <w:rPr>
          <w:rFonts w:eastAsia="Times New Roman"/>
          <w:i/>
          <w:lang w:val="en-AU"/>
        </w:rPr>
        <w:t xml:space="preserve"> </w:t>
      </w:r>
      <w:r w:rsidR="006A14A9" w:rsidRPr="00165B6E">
        <w:rPr>
          <w:rFonts w:eastAsia="Times New Roman"/>
          <w:lang w:val="en-AU"/>
        </w:rPr>
        <w:t xml:space="preserve">Being </w:t>
      </w:r>
      <w:r w:rsidR="008D77E8" w:rsidRPr="00165B6E">
        <w:rPr>
          <w:rFonts w:eastAsia="Times New Roman"/>
          <w:lang w:val="en-AU"/>
        </w:rPr>
        <w:t xml:space="preserve">adaptive will sometimes require </w:t>
      </w:r>
      <w:r w:rsidR="00165B6E" w:rsidRPr="001C1496">
        <w:rPr>
          <w:rFonts w:eastAsia="Times New Roman"/>
          <w:lang w:val="en-AU"/>
        </w:rPr>
        <w:t>deciding</w:t>
      </w:r>
      <w:r w:rsidR="00165B6E" w:rsidRPr="00165B6E">
        <w:rPr>
          <w:rFonts w:eastAsia="Times New Roman"/>
          <w:lang w:val="en-AU"/>
        </w:rPr>
        <w:t xml:space="preserve"> </w:t>
      </w:r>
      <w:r w:rsidR="008D77E8" w:rsidRPr="00165B6E">
        <w:rPr>
          <w:rFonts w:eastAsia="Times New Roman"/>
          <w:lang w:val="en-AU"/>
        </w:rPr>
        <w:t>to withdraw</w:t>
      </w:r>
      <w:r w:rsidR="008D77E8" w:rsidRPr="00351A46">
        <w:rPr>
          <w:rFonts w:eastAsia="Times New Roman"/>
          <w:lang w:val="en-AU"/>
        </w:rPr>
        <w:t xml:space="preserve"> from activities </w:t>
      </w:r>
      <w:r w:rsidR="00905716" w:rsidRPr="00351A46">
        <w:rPr>
          <w:rFonts w:eastAsia="Times New Roman"/>
          <w:lang w:val="en-AU"/>
        </w:rPr>
        <w:t xml:space="preserve">that </w:t>
      </w:r>
      <w:r w:rsidR="00C96C28" w:rsidRPr="00351A46">
        <w:rPr>
          <w:rFonts w:eastAsia="Times New Roman"/>
          <w:lang w:val="en-AU"/>
        </w:rPr>
        <w:t>prov</w:t>
      </w:r>
      <w:r w:rsidR="00165B6E">
        <w:rPr>
          <w:rFonts w:eastAsia="Times New Roman"/>
          <w:lang w:val="en-AU"/>
        </w:rPr>
        <w:t>e</w:t>
      </w:r>
      <w:r w:rsidR="00C96C28" w:rsidRPr="00351A46">
        <w:rPr>
          <w:rFonts w:eastAsia="Times New Roman"/>
          <w:lang w:val="en-AU"/>
        </w:rPr>
        <w:t xml:space="preserve"> to h</w:t>
      </w:r>
      <w:r w:rsidR="008D77E8" w:rsidRPr="00351A46">
        <w:rPr>
          <w:rFonts w:eastAsia="Times New Roman"/>
          <w:lang w:val="en-AU"/>
        </w:rPr>
        <w:t>ave poor prospects for success. In such cases, it will be important to carefully manage relationships with key stakeholders</w:t>
      </w:r>
      <w:r w:rsidR="00905716" w:rsidRPr="00351A46">
        <w:rPr>
          <w:rFonts w:eastAsia="Times New Roman"/>
          <w:lang w:val="en-AU"/>
        </w:rPr>
        <w:t xml:space="preserve"> involved</w:t>
      </w:r>
      <w:r w:rsidR="008D77E8" w:rsidRPr="00351A46">
        <w:rPr>
          <w:rFonts w:eastAsia="Times New Roman"/>
          <w:lang w:val="en-AU"/>
        </w:rPr>
        <w:t>. KSI will do this by being transparent at the outset about how it may make decisions to w</w:t>
      </w:r>
      <w:r w:rsidR="000F66BD" w:rsidRPr="00351A46">
        <w:rPr>
          <w:rFonts w:eastAsia="Times New Roman"/>
          <w:lang w:val="en-AU"/>
        </w:rPr>
        <w:t>ithdraw support and by ensuring th</w:t>
      </w:r>
      <w:r w:rsidR="00165B6E">
        <w:rPr>
          <w:rFonts w:eastAsia="Times New Roman"/>
          <w:lang w:val="en-AU"/>
        </w:rPr>
        <w:t>ese</w:t>
      </w:r>
      <w:r w:rsidR="000F66BD" w:rsidRPr="00351A46">
        <w:rPr>
          <w:rFonts w:eastAsia="Times New Roman"/>
          <w:lang w:val="en-AU"/>
        </w:rPr>
        <w:t xml:space="preserve"> decision</w:t>
      </w:r>
      <w:r w:rsidR="00165B6E">
        <w:rPr>
          <w:rFonts w:eastAsia="Times New Roman"/>
          <w:lang w:val="en-AU"/>
        </w:rPr>
        <w:t>s</w:t>
      </w:r>
      <w:r w:rsidR="000F66BD" w:rsidRPr="00351A46">
        <w:rPr>
          <w:rFonts w:eastAsia="Times New Roman"/>
          <w:lang w:val="en-AU"/>
        </w:rPr>
        <w:t xml:space="preserve"> </w:t>
      </w:r>
      <w:r w:rsidR="00165B6E">
        <w:rPr>
          <w:rFonts w:eastAsia="Times New Roman"/>
          <w:lang w:val="en-AU"/>
        </w:rPr>
        <w:t>are</w:t>
      </w:r>
      <w:r w:rsidR="00165B6E" w:rsidRPr="00351A46">
        <w:rPr>
          <w:rFonts w:eastAsia="Times New Roman"/>
          <w:lang w:val="en-AU"/>
        </w:rPr>
        <w:t xml:space="preserve"> </w:t>
      </w:r>
      <w:r w:rsidR="000F66BD" w:rsidRPr="00351A46">
        <w:rPr>
          <w:rFonts w:eastAsia="Times New Roman"/>
          <w:lang w:val="en-AU"/>
        </w:rPr>
        <w:t xml:space="preserve">made jointly with key stakeholders </w:t>
      </w:r>
      <w:r w:rsidR="00C96C28" w:rsidRPr="00351A46">
        <w:rPr>
          <w:rFonts w:eastAsia="Times New Roman"/>
          <w:lang w:val="en-AU"/>
        </w:rPr>
        <w:t xml:space="preserve">as part of KSI’s governance arrangements, applying clear </w:t>
      </w:r>
      <w:r w:rsidR="000F66BD" w:rsidRPr="00351A46">
        <w:rPr>
          <w:rFonts w:eastAsia="Times New Roman"/>
          <w:lang w:val="en-AU"/>
        </w:rPr>
        <w:t xml:space="preserve">decision-making criteria. </w:t>
      </w:r>
      <w:r w:rsidR="00165B6E">
        <w:rPr>
          <w:rFonts w:eastAsia="Times New Roman"/>
          <w:lang w:val="en-AU"/>
        </w:rPr>
        <w:t>Applying this approach</w:t>
      </w:r>
      <w:r w:rsidR="00165B6E" w:rsidRPr="00351A46">
        <w:rPr>
          <w:rFonts w:eastAsia="Times New Roman"/>
          <w:lang w:val="en-AU"/>
        </w:rPr>
        <w:t xml:space="preserve"> </w:t>
      </w:r>
      <w:r w:rsidR="000F66BD" w:rsidRPr="00351A46">
        <w:rPr>
          <w:rFonts w:eastAsia="Times New Roman"/>
          <w:lang w:val="en-AU"/>
        </w:rPr>
        <w:t>will require commitment from all key parties, especially KSI</w:t>
      </w:r>
      <w:r w:rsidR="00905716" w:rsidRPr="00351A46">
        <w:rPr>
          <w:rFonts w:eastAsia="Times New Roman"/>
          <w:lang w:val="en-AU"/>
        </w:rPr>
        <w:t>, DFAT and Bappenas</w:t>
      </w:r>
      <w:r w:rsidR="00165B6E">
        <w:rPr>
          <w:rFonts w:eastAsia="Times New Roman"/>
          <w:lang w:val="en-AU"/>
        </w:rPr>
        <w:t>.</w:t>
      </w:r>
      <w:bookmarkEnd w:id="12"/>
      <w:r w:rsidR="001C1496">
        <w:rPr>
          <w:rFonts w:eastAsia="Times New Roman"/>
          <w:lang w:val="en-AU"/>
        </w:rPr>
        <w:br/>
      </w:r>
    </w:p>
    <w:p w14:paraId="425F3D94" w14:textId="5651E47E" w:rsidR="004876B0" w:rsidRPr="00351A46" w:rsidRDefault="004876B0" w:rsidP="001C1496">
      <w:pPr>
        <w:pStyle w:val="Heading1"/>
        <w:numPr>
          <w:ilvl w:val="0"/>
          <w:numId w:val="1"/>
        </w:numPr>
        <w:spacing w:before="0"/>
        <w:ind w:left="357" w:hanging="357"/>
        <w:rPr>
          <w:lang w:val="en-AU"/>
        </w:rPr>
      </w:pPr>
      <w:bookmarkStart w:id="14" w:name="_Toc514418236"/>
      <w:r w:rsidRPr="00351A46">
        <w:rPr>
          <w:lang w:val="en-AU"/>
        </w:rPr>
        <w:t>Program Governance and Decision-Making Framework</w:t>
      </w:r>
      <w:bookmarkEnd w:id="14"/>
    </w:p>
    <w:p w14:paraId="2B65B722" w14:textId="738760EA" w:rsidR="004F0C39" w:rsidRDefault="001C1496">
      <w:pPr>
        <w:pStyle w:val="Heading2"/>
        <w:rPr>
          <w:lang w:val="en-AU"/>
        </w:rPr>
      </w:pPr>
      <w:r>
        <w:rPr>
          <w:lang w:val="en-AU"/>
        </w:rPr>
        <w:br/>
      </w:r>
      <w:bookmarkStart w:id="15" w:name="_Toc514418237"/>
      <w:r w:rsidR="002C497A" w:rsidRPr="00351A46">
        <w:rPr>
          <w:lang w:val="en-AU"/>
        </w:rPr>
        <w:t>Decision-Making Criteria</w:t>
      </w:r>
      <w:bookmarkEnd w:id="15"/>
    </w:p>
    <w:p w14:paraId="4731E49A" w14:textId="77777777" w:rsidR="00F912D4" w:rsidRPr="001C1496" w:rsidRDefault="00F912D4" w:rsidP="001C1496">
      <w:pPr>
        <w:spacing w:after="0"/>
        <w:rPr>
          <w:sz w:val="12"/>
          <w:lang w:val="en-AU"/>
        </w:rPr>
      </w:pPr>
    </w:p>
    <w:p w14:paraId="5319037F" w14:textId="028564A3" w:rsidR="00765F7B" w:rsidRPr="00351A46" w:rsidRDefault="00765F7B" w:rsidP="001C1496">
      <w:pPr>
        <w:rPr>
          <w:lang w:val="en-AU"/>
        </w:rPr>
      </w:pPr>
      <w:r w:rsidRPr="00351A46">
        <w:rPr>
          <w:lang w:val="en-AU"/>
        </w:rPr>
        <w:t>As a flexible and adaptive program, KSI may support new key initiatives during</w:t>
      </w:r>
      <w:r w:rsidR="001803AC" w:rsidRPr="00351A46">
        <w:rPr>
          <w:lang w:val="en-AU"/>
        </w:rPr>
        <w:t xml:space="preserve"> Phase 2. However, it will </w:t>
      </w:r>
      <w:r w:rsidRPr="00351A46">
        <w:rPr>
          <w:lang w:val="en-AU"/>
        </w:rPr>
        <w:t xml:space="preserve">be important to balance new opportunities with the reality of KSI’s existing financial and human resources. </w:t>
      </w:r>
      <w:r w:rsidR="00AE0702" w:rsidRPr="00351A46">
        <w:rPr>
          <w:lang w:val="en-AU"/>
        </w:rPr>
        <w:t xml:space="preserve">KSI will </w:t>
      </w:r>
      <w:r w:rsidR="004B600A" w:rsidRPr="00351A46">
        <w:rPr>
          <w:lang w:val="en-AU"/>
        </w:rPr>
        <w:t xml:space="preserve">seek to </w:t>
      </w:r>
      <w:r w:rsidR="00AE0702" w:rsidRPr="00351A46">
        <w:rPr>
          <w:lang w:val="en-AU"/>
        </w:rPr>
        <w:t xml:space="preserve">apply the rule of ‘one thing in, one thing out’ – meaning any decision to include a new key initiative must be </w:t>
      </w:r>
      <w:r w:rsidR="00F332B1" w:rsidRPr="00351A46">
        <w:rPr>
          <w:lang w:val="en-AU"/>
        </w:rPr>
        <w:t>accompanied by a decision to withdraw</w:t>
      </w:r>
      <w:r w:rsidR="00AE0702" w:rsidRPr="00351A46">
        <w:rPr>
          <w:lang w:val="en-AU"/>
        </w:rPr>
        <w:t xml:space="preserve"> support from ano</w:t>
      </w:r>
      <w:r w:rsidR="00A937F9" w:rsidRPr="00351A46">
        <w:rPr>
          <w:lang w:val="en-AU"/>
        </w:rPr>
        <w:t>ther key initiative or activity, unless additional resources are available to undertake large new initiatives without dropping existing commitments.</w:t>
      </w:r>
      <w:r w:rsidR="00AE0702" w:rsidRPr="00351A46">
        <w:rPr>
          <w:lang w:val="en-AU"/>
        </w:rPr>
        <w:t xml:space="preserve"> </w:t>
      </w:r>
    </w:p>
    <w:p w14:paraId="0D0D4D7A" w14:textId="36029517" w:rsidR="00854415" w:rsidRDefault="004747A0">
      <w:pPr>
        <w:pStyle w:val="Heading3"/>
        <w:rPr>
          <w:lang w:val="en-AU"/>
        </w:rPr>
      </w:pPr>
      <w:bookmarkStart w:id="16" w:name="_Toc514418238"/>
      <w:r w:rsidRPr="00381388">
        <w:rPr>
          <w:lang w:val="en-AU"/>
        </w:rPr>
        <w:t xml:space="preserve">Criteria for </w:t>
      </w:r>
      <w:r w:rsidR="006A14A9" w:rsidRPr="00381388">
        <w:rPr>
          <w:lang w:val="en-AU"/>
        </w:rPr>
        <w:t>New Key Initiatives</w:t>
      </w:r>
      <w:bookmarkEnd w:id="16"/>
    </w:p>
    <w:p w14:paraId="14C3F004" w14:textId="77777777" w:rsidR="00F912D4" w:rsidRPr="001C1496" w:rsidRDefault="00F912D4" w:rsidP="001C1496">
      <w:pPr>
        <w:spacing w:after="0"/>
        <w:rPr>
          <w:sz w:val="10"/>
        </w:rPr>
      </w:pPr>
    </w:p>
    <w:p w14:paraId="009266AB" w14:textId="0B79584F" w:rsidR="0070199D" w:rsidRPr="00351A46" w:rsidRDefault="0070199D">
      <w:pPr>
        <w:jc w:val="both"/>
        <w:rPr>
          <w:b/>
          <w:lang w:val="en-AU"/>
        </w:rPr>
      </w:pPr>
      <w:r w:rsidRPr="00351A46">
        <w:rPr>
          <w:lang w:val="en-AU"/>
        </w:rPr>
        <w:t>To inform its selection of which new key initiatives to support, KSI will use the following decision-making criteria:</w:t>
      </w:r>
    </w:p>
    <w:p w14:paraId="11CD6648" w14:textId="77777777" w:rsidR="002C497A" w:rsidRPr="00351A46" w:rsidRDefault="002C497A">
      <w:pPr>
        <w:pStyle w:val="ListParagraph"/>
        <w:numPr>
          <w:ilvl w:val="0"/>
          <w:numId w:val="9"/>
        </w:numPr>
        <w:spacing w:before="120"/>
        <w:contextualSpacing w:val="0"/>
        <w:jc w:val="both"/>
        <w:rPr>
          <w:lang w:val="en-AU"/>
        </w:rPr>
      </w:pPr>
      <w:r w:rsidRPr="00351A46">
        <w:rPr>
          <w:lang w:val="en-AU"/>
        </w:rPr>
        <w:t>Is necessary (though not necessarily sufficient) to achieve the EOPOs and is relevant to the focus areas.</w:t>
      </w:r>
    </w:p>
    <w:p w14:paraId="0FD987AA" w14:textId="77777777" w:rsidR="002C497A" w:rsidRPr="00351A46" w:rsidRDefault="002C497A">
      <w:pPr>
        <w:pStyle w:val="ListParagraph"/>
        <w:numPr>
          <w:ilvl w:val="0"/>
          <w:numId w:val="9"/>
        </w:numPr>
        <w:spacing w:before="120"/>
        <w:contextualSpacing w:val="0"/>
        <w:jc w:val="both"/>
        <w:rPr>
          <w:lang w:val="en-AU"/>
        </w:rPr>
      </w:pPr>
      <w:r w:rsidRPr="00351A46">
        <w:rPr>
          <w:lang w:val="en-AU"/>
        </w:rPr>
        <w:t>Allows KSI to play a catalytic role (see above) and promote systemic change across the knowledge sector. This means KSI does not fund research, hold events, train people or provide technical assistance unless this is catalysing local actors to drive change and is contributing to systemic changes.</w:t>
      </w:r>
    </w:p>
    <w:p w14:paraId="27363E61" w14:textId="77777777" w:rsidR="002C497A" w:rsidRPr="00351A46" w:rsidRDefault="002C497A">
      <w:pPr>
        <w:pStyle w:val="ListParagraph"/>
        <w:numPr>
          <w:ilvl w:val="0"/>
          <w:numId w:val="9"/>
        </w:numPr>
        <w:spacing w:before="120"/>
        <w:contextualSpacing w:val="0"/>
        <w:jc w:val="both"/>
        <w:rPr>
          <w:lang w:val="en-AU"/>
        </w:rPr>
      </w:pPr>
      <w:r w:rsidRPr="00351A46">
        <w:rPr>
          <w:lang w:val="en-AU"/>
        </w:rPr>
        <w:t>Must be feasible in terms of a clear likelihood of contributing to change, considering:</w:t>
      </w:r>
    </w:p>
    <w:p w14:paraId="6703DCDD" w14:textId="77777777" w:rsidR="002C497A" w:rsidRPr="00351A46" w:rsidRDefault="002C497A">
      <w:pPr>
        <w:pStyle w:val="ListParagraph"/>
        <w:numPr>
          <w:ilvl w:val="1"/>
          <w:numId w:val="9"/>
        </w:numPr>
        <w:spacing w:before="120"/>
        <w:contextualSpacing w:val="0"/>
        <w:jc w:val="both"/>
        <w:rPr>
          <w:lang w:val="en-AU"/>
        </w:rPr>
      </w:pPr>
      <w:r w:rsidRPr="00351A46">
        <w:rPr>
          <w:lang w:val="en-AU"/>
        </w:rPr>
        <w:t>Stakeholder and political feasibility – stakeholder interests, power and ability</w:t>
      </w:r>
    </w:p>
    <w:p w14:paraId="1A3CEB05" w14:textId="77777777" w:rsidR="002C497A" w:rsidRPr="00351A46" w:rsidRDefault="002C497A">
      <w:pPr>
        <w:pStyle w:val="ListParagraph"/>
        <w:numPr>
          <w:ilvl w:val="1"/>
          <w:numId w:val="9"/>
        </w:numPr>
        <w:spacing w:before="120"/>
        <w:contextualSpacing w:val="0"/>
        <w:jc w:val="both"/>
        <w:rPr>
          <w:lang w:val="en-AU"/>
        </w:rPr>
      </w:pPr>
      <w:r w:rsidRPr="00351A46">
        <w:rPr>
          <w:lang w:val="en-AU"/>
        </w:rPr>
        <w:t>Regulatory feasibility – formal laws, regulations and policies</w:t>
      </w:r>
    </w:p>
    <w:p w14:paraId="2E10E566" w14:textId="77777777" w:rsidR="002C497A" w:rsidRPr="00351A46" w:rsidRDefault="002C497A">
      <w:pPr>
        <w:pStyle w:val="ListParagraph"/>
        <w:numPr>
          <w:ilvl w:val="1"/>
          <w:numId w:val="9"/>
        </w:numPr>
        <w:spacing w:before="120"/>
        <w:contextualSpacing w:val="0"/>
        <w:jc w:val="both"/>
        <w:rPr>
          <w:lang w:val="en-AU"/>
        </w:rPr>
      </w:pPr>
      <w:r w:rsidRPr="00351A46">
        <w:rPr>
          <w:lang w:val="en-AU"/>
        </w:rPr>
        <w:t xml:space="preserve">Systemic feasibility – motivations and incentives, informal norms and culture. </w:t>
      </w:r>
    </w:p>
    <w:p w14:paraId="593D57F0" w14:textId="5C8C3166" w:rsidR="002C497A" w:rsidRPr="00351A46" w:rsidRDefault="002C497A">
      <w:pPr>
        <w:pStyle w:val="ListParagraph"/>
        <w:numPr>
          <w:ilvl w:val="0"/>
          <w:numId w:val="9"/>
        </w:numPr>
        <w:spacing w:before="120"/>
        <w:contextualSpacing w:val="0"/>
        <w:jc w:val="both"/>
        <w:rPr>
          <w:lang w:val="en-AU"/>
        </w:rPr>
      </w:pPr>
      <w:r w:rsidRPr="00351A46">
        <w:rPr>
          <w:lang w:val="en-AU"/>
        </w:rPr>
        <w:t>Builds upon KSI experience and assets.</w:t>
      </w:r>
    </w:p>
    <w:p w14:paraId="64642B4F" w14:textId="227C4A7A" w:rsidR="00854415" w:rsidRPr="00351A46" w:rsidRDefault="004747A0">
      <w:pPr>
        <w:pStyle w:val="Heading3"/>
        <w:rPr>
          <w:lang w:val="en-AU"/>
        </w:rPr>
      </w:pPr>
      <w:bookmarkStart w:id="17" w:name="_Toc514418239"/>
      <w:r w:rsidRPr="00351A46">
        <w:rPr>
          <w:lang w:val="en-AU"/>
        </w:rPr>
        <w:t xml:space="preserve">Criteria for </w:t>
      </w:r>
      <w:r w:rsidR="006A14A9" w:rsidRPr="00351A46">
        <w:rPr>
          <w:lang w:val="en-AU"/>
        </w:rPr>
        <w:t xml:space="preserve">Exiting Activities </w:t>
      </w:r>
      <w:r w:rsidR="006A14A9">
        <w:rPr>
          <w:lang w:val="en-AU"/>
        </w:rPr>
        <w:t>or</w:t>
      </w:r>
      <w:r w:rsidR="006A14A9" w:rsidRPr="00351A46">
        <w:rPr>
          <w:lang w:val="en-AU"/>
        </w:rPr>
        <w:t xml:space="preserve"> Key Initiatives</w:t>
      </w:r>
      <w:bookmarkEnd w:id="17"/>
    </w:p>
    <w:p w14:paraId="15A32802" w14:textId="1E8D2D51" w:rsidR="0070199D" w:rsidRPr="00351A46" w:rsidRDefault="0070199D">
      <w:pPr>
        <w:spacing w:before="120"/>
        <w:jc w:val="both"/>
        <w:rPr>
          <w:lang w:val="en-AU"/>
        </w:rPr>
      </w:pPr>
      <w:r w:rsidRPr="00351A46">
        <w:rPr>
          <w:lang w:val="en-AU"/>
        </w:rPr>
        <w:t>There is a possibility that some key initiatives or activities supported by KSI will not work or will end up having poor prospects for success. KSI has limited resources and it is important these are used to pursue the best possible opportunities. For this reason, KSI will sometimes need to withdraw from existing activities or key initiatives. To do so, KSI will use the following decision-making criteria:</w:t>
      </w:r>
    </w:p>
    <w:p w14:paraId="69CB3A13" w14:textId="49514475" w:rsidR="00F51ACC" w:rsidRPr="00351A46" w:rsidRDefault="00F51ACC">
      <w:pPr>
        <w:pStyle w:val="ListParagraph"/>
        <w:numPr>
          <w:ilvl w:val="0"/>
          <w:numId w:val="32"/>
        </w:numPr>
        <w:spacing w:before="120"/>
        <w:contextualSpacing w:val="0"/>
        <w:jc w:val="both"/>
        <w:rPr>
          <w:lang w:val="en-AU"/>
        </w:rPr>
      </w:pPr>
      <w:r w:rsidRPr="00351A46">
        <w:rPr>
          <w:lang w:val="en-AU"/>
        </w:rPr>
        <w:t xml:space="preserve">Given changes in context, the area of support is no </w:t>
      </w:r>
      <w:r w:rsidR="00F0677B" w:rsidRPr="00351A46">
        <w:rPr>
          <w:lang w:val="en-AU"/>
        </w:rPr>
        <w:t>longer necessary to achieve</w:t>
      </w:r>
      <w:r w:rsidRPr="00351A46">
        <w:rPr>
          <w:lang w:val="en-AU"/>
        </w:rPr>
        <w:t xml:space="preserve"> the EOPOs. </w:t>
      </w:r>
    </w:p>
    <w:p w14:paraId="1B334623" w14:textId="39370C58" w:rsidR="00C936EE" w:rsidRPr="00351A46" w:rsidRDefault="00D2274D">
      <w:pPr>
        <w:pStyle w:val="ListParagraph"/>
        <w:numPr>
          <w:ilvl w:val="0"/>
          <w:numId w:val="31"/>
        </w:numPr>
        <w:spacing w:before="120"/>
        <w:contextualSpacing w:val="0"/>
        <w:jc w:val="both"/>
        <w:rPr>
          <w:lang w:val="en-AU"/>
        </w:rPr>
      </w:pPr>
      <w:r w:rsidRPr="00351A46">
        <w:rPr>
          <w:lang w:val="en-AU"/>
        </w:rPr>
        <w:t>Prospects for success are poor, for example because it is no longer:</w:t>
      </w:r>
    </w:p>
    <w:p w14:paraId="53404C4A" w14:textId="548C0844" w:rsidR="00D2274D" w:rsidRPr="00351A46" w:rsidRDefault="00D2274D">
      <w:pPr>
        <w:pStyle w:val="ListParagraph"/>
        <w:numPr>
          <w:ilvl w:val="1"/>
          <w:numId w:val="31"/>
        </w:numPr>
        <w:spacing w:before="120"/>
        <w:contextualSpacing w:val="0"/>
        <w:jc w:val="both"/>
        <w:rPr>
          <w:lang w:val="en-AU"/>
        </w:rPr>
      </w:pPr>
      <w:r w:rsidRPr="00351A46">
        <w:rPr>
          <w:lang w:val="en-AU"/>
        </w:rPr>
        <w:t>Politically feasible –</w:t>
      </w:r>
      <w:r w:rsidR="003D68EE" w:rsidRPr="00351A46">
        <w:rPr>
          <w:lang w:val="en-AU"/>
        </w:rPr>
        <w:t xml:space="preserve"> the alignment of stakeholder interests, power and ability is no longer providing sufficient openings for change. This may become apparent, for example, if stakeholders are no longer collaborating, key champions do</w:t>
      </w:r>
      <w:r w:rsidR="004707A9">
        <w:rPr>
          <w:lang w:val="en-AU"/>
        </w:rPr>
        <w:t xml:space="preserve"> not</w:t>
      </w:r>
      <w:r w:rsidR="003D68EE" w:rsidRPr="00351A46">
        <w:rPr>
          <w:lang w:val="en-AU"/>
        </w:rPr>
        <w:t xml:space="preserve"> appear to have the power or relationships to affect change, or stakeholders who originally committed to the </w:t>
      </w:r>
      <w:r w:rsidR="00C44500" w:rsidRPr="00351A46">
        <w:rPr>
          <w:lang w:val="en-AU"/>
        </w:rPr>
        <w:t>initiative are not showing signs of ownership (e</w:t>
      </w:r>
      <w:r w:rsidR="004707A9">
        <w:rPr>
          <w:lang w:val="en-AU"/>
        </w:rPr>
        <w:t>.</w:t>
      </w:r>
      <w:r w:rsidR="00C44500" w:rsidRPr="00351A46">
        <w:rPr>
          <w:lang w:val="en-AU"/>
        </w:rPr>
        <w:t>g</w:t>
      </w:r>
      <w:r w:rsidR="004707A9">
        <w:rPr>
          <w:lang w:val="en-AU"/>
        </w:rPr>
        <w:t>.</w:t>
      </w:r>
      <w:r w:rsidR="00C44500" w:rsidRPr="00351A46">
        <w:rPr>
          <w:lang w:val="en-AU"/>
        </w:rPr>
        <w:t xml:space="preserve"> driving the work, committing resources). </w:t>
      </w:r>
    </w:p>
    <w:p w14:paraId="3D2A9586" w14:textId="1B0765AF" w:rsidR="00FF1DC6" w:rsidRPr="00351A46" w:rsidRDefault="00D2274D">
      <w:pPr>
        <w:pStyle w:val="ListParagraph"/>
        <w:numPr>
          <w:ilvl w:val="1"/>
          <w:numId w:val="31"/>
        </w:numPr>
        <w:spacing w:before="120"/>
        <w:contextualSpacing w:val="0"/>
        <w:jc w:val="both"/>
        <w:rPr>
          <w:lang w:val="en-AU"/>
        </w:rPr>
      </w:pPr>
      <w:r w:rsidRPr="00351A46">
        <w:rPr>
          <w:lang w:val="en-AU"/>
        </w:rPr>
        <w:t>Legally feasible – because policies, laws or regulations have passed which prevent the change from occurring</w:t>
      </w:r>
      <w:r w:rsidR="008919A6" w:rsidRPr="00351A46">
        <w:rPr>
          <w:lang w:val="en-AU"/>
        </w:rPr>
        <w:t>.</w:t>
      </w:r>
    </w:p>
    <w:p w14:paraId="05D4A925" w14:textId="3CFAAB56" w:rsidR="008919A6" w:rsidRPr="00351A46" w:rsidRDefault="008919A6" w:rsidP="001C1496">
      <w:pPr>
        <w:pStyle w:val="ListParagraph"/>
        <w:numPr>
          <w:ilvl w:val="0"/>
          <w:numId w:val="31"/>
        </w:numPr>
        <w:spacing w:before="120" w:after="0"/>
        <w:ind w:left="714" w:hanging="357"/>
        <w:contextualSpacing w:val="0"/>
        <w:jc w:val="both"/>
        <w:rPr>
          <w:lang w:val="en-AU"/>
        </w:rPr>
      </w:pPr>
      <w:r w:rsidRPr="00351A46">
        <w:rPr>
          <w:lang w:val="en-AU"/>
        </w:rPr>
        <w:t>It is no longer feasible for KSI to support, given the human and financial resources available.</w:t>
      </w:r>
    </w:p>
    <w:p w14:paraId="2A18E0C2" w14:textId="77777777" w:rsidR="004818DF" w:rsidRPr="001C1496" w:rsidRDefault="004818DF" w:rsidP="001C1496">
      <w:pPr>
        <w:spacing w:after="0"/>
        <w:rPr>
          <w:sz w:val="10"/>
          <w:lang w:val="en-AU"/>
        </w:rPr>
      </w:pPr>
    </w:p>
    <w:p w14:paraId="14D19DB9" w14:textId="60D20803" w:rsidR="002C497A" w:rsidRPr="00351A46" w:rsidRDefault="002C497A">
      <w:pPr>
        <w:pStyle w:val="Heading2"/>
        <w:rPr>
          <w:lang w:val="en-AU"/>
        </w:rPr>
      </w:pPr>
      <w:bookmarkStart w:id="18" w:name="_Toc514418240"/>
      <w:r w:rsidRPr="00351A46">
        <w:rPr>
          <w:lang w:val="en-AU"/>
        </w:rPr>
        <w:t>Governance Arrangements</w:t>
      </w:r>
      <w:r w:rsidR="007C3998" w:rsidRPr="00351A46">
        <w:rPr>
          <w:lang w:val="en-AU"/>
        </w:rPr>
        <w:t xml:space="preserve"> and Decision-</w:t>
      </w:r>
      <w:r w:rsidR="007368DB" w:rsidRPr="00351A46">
        <w:rPr>
          <w:lang w:val="en-AU"/>
        </w:rPr>
        <w:t>Making Framework</w:t>
      </w:r>
      <w:bookmarkEnd w:id="18"/>
    </w:p>
    <w:p w14:paraId="489C772E" w14:textId="77777777" w:rsidR="002C497A" w:rsidRPr="001C1496" w:rsidRDefault="002C497A">
      <w:pPr>
        <w:spacing w:after="0" w:line="240" w:lineRule="auto"/>
        <w:rPr>
          <w:sz w:val="12"/>
          <w:lang w:val="en-AU"/>
        </w:rPr>
      </w:pPr>
    </w:p>
    <w:p w14:paraId="359509A9" w14:textId="77777777" w:rsidR="002C497A" w:rsidRPr="00351A46" w:rsidRDefault="002C497A">
      <w:pPr>
        <w:jc w:val="both"/>
        <w:rPr>
          <w:lang w:val="en-AU"/>
        </w:rPr>
      </w:pPr>
      <w:r w:rsidRPr="00351A46">
        <w:rPr>
          <w:lang w:val="en-AU"/>
        </w:rPr>
        <w:t>KSI is governed by a two-tiered governance structure (see diagram at Annex 2).</w:t>
      </w:r>
    </w:p>
    <w:p w14:paraId="31A06C17" w14:textId="34974370" w:rsidR="002C497A" w:rsidRPr="00351A46" w:rsidRDefault="002C497A">
      <w:pPr>
        <w:jc w:val="both"/>
        <w:rPr>
          <w:lang w:val="en-AU"/>
        </w:rPr>
      </w:pPr>
      <w:r w:rsidRPr="00351A46">
        <w:rPr>
          <w:lang w:val="en-AU"/>
        </w:rPr>
        <w:t>The</w:t>
      </w:r>
      <w:r w:rsidRPr="00351A46">
        <w:rPr>
          <w:b/>
          <w:lang w:val="en-AU"/>
        </w:rPr>
        <w:t xml:space="preserve"> Program Steering Committee: </w:t>
      </w:r>
      <w:r w:rsidRPr="00351A46">
        <w:rPr>
          <w:lang w:val="en-AU"/>
        </w:rPr>
        <w:t xml:space="preserve">PSC is the highest decision-making process or mechanism for KSI. It is co-chaired by DFAT (at Minister-Counsellor level) and </w:t>
      </w:r>
      <w:r w:rsidRPr="00351A46">
        <w:rPr>
          <w:iCs/>
          <w:lang w:val="en-AU"/>
        </w:rPr>
        <w:t xml:space="preserve">Bappenas (at Echelon 1 level) and the members consist of </w:t>
      </w:r>
      <w:r w:rsidRPr="00351A46">
        <w:rPr>
          <w:lang w:val="en-AU"/>
        </w:rPr>
        <w:t>Echelon 1 representatives from Bappenas and</w:t>
      </w:r>
      <w:r w:rsidR="00217DCF">
        <w:rPr>
          <w:lang w:val="en-AU"/>
        </w:rPr>
        <w:t xml:space="preserve"> relevant</w:t>
      </w:r>
      <w:r w:rsidRPr="00351A46">
        <w:rPr>
          <w:lang w:val="en-AU"/>
        </w:rPr>
        <w:t xml:space="preserve"> line ministries</w:t>
      </w:r>
      <w:r w:rsidR="00217DCF">
        <w:rPr>
          <w:lang w:val="en-AU"/>
        </w:rPr>
        <w:t xml:space="preserve"> and agencies</w:t>
      </w:r>
      <w:r w:rsidRPr="00351A46">
        <w:rPr>
          <w:lang w:val="en-AU"/>
        </w:rPr>
        <w:t xml:space="preserve">. PSC collectively provides strategic direction; endorses program implementation strategies; approves the annual work plan, progress report and other strategic documents; and endorses the coordinators and vice-coordinators of KSI’s four working groups or </w:t>
      </w:r>
      <w:r w:rsidRPr="00351A46">
        <w:rPr>
          <w:i/>
          <w:lang w:val="en-AU"/>
        </w:rPr>
        <w:t>Kelompok Kerja</w:t>
      </w:r>
      <w:r w:rsidRPr="00351A46">
        <w:rPr>
          <w:lang w:val="en-AU"/>
        </w:rPr>
        <w:t xml:space="preserve"> (Pokja). The PSC members meet at least once per year and, when necessary, out-of-session meetings will be held. </w:t>
      </w:r>
    </w:p>
    <w:p w14:paraId="725F8412" w14:textId="23BAF3F6" w:rsidR="002C497A" w:rsidRPr="00351A46" w:rsidRDefault="002C497A">
      <w:pPr>
        <w:jc w:val="both"/>
        <w:rPr>
          <w:lang w:val="en-AU"/>
        </w:rPr>
      </w:pPr>
      <w:r w:rsidRPr="00351A46">
        <w:rPr>
          <w:lang w:val="en-AU"/>
        </w:rPr>
        <w:t xml:space="preserve">The </w:t>
      </w:r>
      <w:r w:rsidRPr="00351A46">
        <w:rPr>
          <w:b/>
          <w:lang w:val="en-AU"/>
        </w:rPr>
        <w:t>Program Technical Secretariat</w:t>
      </w:r>
      <w:r w:rsidR="006A14A9">
        <w:rPr>
          <w:b/>
          <w:lang w:val="en-AU"/>
        </w:rPr>
        <w:t xml:space="preserve">: </w:t>
      </w:r>
      <w:r w:rsidRPr="00351A46">
        <w:rPr>
          <w:lang w:val="en-AU"/>
        </w:rPr>
        <w:t xml:space="preserve">PTS is the technical advisory body for KSI. It is co-chaired by </w:t>
      </w:r>
      <w:r w:rsidRPr="00351A46">
        <w:rPr>
          <w:iCs/>
          <w:lang w:val="en-AU"/>
        </w:rPr>
        <w:t>Bappenas</w:t>
      </w:r>
      <w:r w:rsidRPr="00351A46">
        <w:rPr>
          <w:lang w:val="en-AU"/>
        </w:rPr>
        <w:t xml:space="preserve"> (at Echelon 2 level) and DFAT (at Counsellor level). Members consist of Echelon 3 levels of relevant Bappenas directorates, </w:t>
      </w:r>
      <w:r w:rsidR="00217DCF">
        <w:rPr>
          <w:lang w:val="en-AU"/>
        </w:rPr>
        <w:t xml:space="preserve">relevant </w:t>
      </w:r>
      <w:r w:rsidRPr="00351A46">
        <w:rPr>
          <w:lang w:val="en-AU"/>
        </w:rPr>
        <w:t>line ministries</w:t>
      </w:r>
      <w:r w:rsidR="00217DCF">
        <w:rPr>
          <w:lang w:val="en-AU"/>
        </w:rPr>
        <w:t xml:space="preserve"> and agencies</w:t>
      </w:r>
      <w:r w:rsidRPr="00351A46">
        <w:rPr>
          <w:lang w:val="en-AU"/>
        </w:rPr>
        <w:t xml:space="preserve"> and representatives of KSI key partners. The PTS collectively provides inputs for the annual work plan and recommendations to PSC for approval; </w:t>
      </w:r>
      <w:r w:rsidR="008D4E96">
        <w:rPr>
          <w:lang w:val="en-AU"/>
        </w:rPr>
        <w:t xml:space="preserve">provides </w:t>
      </w:r>
      <w:r w:rsidRPr="00351A46">
        <w:rPr>
          <w:lang w:val="en-AU"/>
        </w:rPr>
        <w:t xml:space="preserve">technical oversight for KSI key initiative implementation; and endorses emerging priorities that are not listed in the approved annual work plan. It meets at least twice per year and, when necessary, out-of-session meetings will be held. </w:t>
      </w:r>
    </w:p>
    <w:p w14:paraId="3C0F1F99" w14:textId="37335D18" w:rsidR="00540CD6" w:rsidRPr="00351A46" w:rsidRDefault="002C497A">
      <w:pPr>
        <w:jc w:val="both"/>
        <w:rPr>
          <w:lang w:val="en-AU"/>
        </w:rPr>
      </w:pPr>
      <w:r w:rsidRPr="00351A46">
        <w:rPr>
          <w:lang w:val="en-AU"/>
        </w:rPr>
        <w:t xml:space="preserve">To support the PTS in providing technical oversight for KSI, the PTS is supported by four </w:t>
      </w:r>
      <w:r w:rsidR="008D4E96" w:rsidRPr="00351A46">
        <w:rPr>
          <w:lang w:val="en-AU"/>
        </w:rPr>
        <w:t>working gr</w:t>
      </w:r>
      <w:r w:rsidR="00E75FBE" w:rsidRPr="00351A46">
        <w:rPr>
          <w:lang w:val="en-AU"/>
        </w:rPr>
        <w:t>oups (</w:t>
      </w:r>
      <w:r w:rsidRPr="001C1496">
        <w:rPr>
          <w:lang w:val="en-AU"/>
        </w:rPr>
        <w:t>Pokja</w:t>
      </w:r>
      <w:r w:rsidR="00E75FBE" w:rsidRPr="00351A46">
        <w:rPr>
          <w:lang w:val="en-AU"/>
        </w:rPr>
        <w:t>)</w:t>
      </w:r>
      <w:r w:rsidRPr="00351A46">
        <w:rPr>
          <w:lang w:val="en-AU"/>
        </w:rPr>
        <w:t xml:space="preserve">. The coordinators and vice-coordinators of </w:t>
      </w:r>
      <w:r w:rsidRPr="001C1496">
        <w:rPr>
          <w:lang w:val="en-AU"/>
        </w:rPr>
        <w:t>Pokja</w:t>
      </w:r>
      <w:r w:rsidRPr="00351A46">
        <w:rPr>
          <w:lang w:val="en-AU"/>
        </w:rPr>
        <w:t xml:space="preserve"> are members of the PTS. </w:t>
      </w:r>
      <w:r w:rsidRPr="001C1496">
        <w:rPr>
          <w:lang w:val="en-AU"/>
        </w:rPr>
        <w:t>Pokj</w:t>
      </w:r>
      <w:r w:rsidRPr="00381388">
        <w:rPr>
          <w:lang w:val="en-AU"/>
        </w:rPr>
        <w:t>a</w:t>
      </w:r>
      <w:r w:rsidRPr="00351A46">
        <w:rPr>
          <w:lang w:val="en-AU"/>
        </w:rPr>
        <w:t xml:space="preserve"> members consist of key staff from relevant Bappenas and line ministries</w:t>
      </w:r>
      <w:r w:rsidR="00217DCF">
        <w:rPr>
          <w:lang w:val="en-AU"/>
        </w:rPr>
        <w:t xml:space="preserve"> and agencies</w:t>
      </w:r>
      <w:r w:rsidRPr="00351A46">
        <w:rPr>
          <w:lang w:val="en-AU"/>
        </w:rPr>
        <w:t xml:space="preserve">, as well as representatives of KSI’s key partners, including PRIs. The </w:t>
      </w:r>
      <w:r w:rsidRPr="001C1496">
        <w:rPr>
          <w:lang w:val="en-AU"/>
        </w:rPr>
        <w:t>Pokja</w:t>
      </w:r>
      <w:r w:rsidRPr="00381388">
        <w:rPr>
          <w:lang w:val="en-AU"/>
        </w:rPr>
        <w:t>s</w:t>
      </w:r>
      <w:r w:rsidRPr="00351A46">
        <w:rPr>
          <w:lang w:val="en-AU"/>
        </w:rPr>
        <w:t xml:space="preserve"> address emerging issues or challenges relevant to program implementation</w:t>
      </w:r>
      <w:r w:rsidR="008D4E96">
        <w:rPr>
          <w:lang w:val="en-AU"/>
        </w:rPr>
        <w:t>,</w:t>
      </w:r>
      <w:r w:rsidRPr="00351A46">
        <w:rPr>
          <w:lang w:val="en-AU"/>
        </w:rPr>
        <w:t xml:space="preserve"> support KSI program accountability (BAST)</w:t>
      </w:r>
      <w:r w:rsidR="008D4E96">
        <w:rPr>
          <w:lang w:val="en-AU"/>
        </w:rPr>
        <w:t>,</w:t>
      </w:r>
      <w:r w:rsidRPr="00351A46">
        <w:rPr>
          <w:lang w:val="en-AU"/>
        </w:rPr>
        <w:t xml:space="preserve"> and facilitate </w:t>
      </w:r>
      <w:r w:rsidR="00E20C47" w:rsidRPr="00351A46">
        <w:rPr>
          <w:lang w:val="en-AU"/>
        </w:rPr>
        <w:t>collaboration and coordination</w:t>
      </w:r>
      <w:r w:rsidRPr="00351A46">
        <w:rPr>
          <w:lang w:val="en-AU"/>
        </w:rPr>
        <w:t xml:space="preserve"> among KSI partners, both government and non-government stakeholders. </w:t>
      </w:r>
      <w:r w:rsidRPr="001C1496">
        <w:rPr>
          <w:lang w:val="en-AU"/>
        </w:rPr>
        <w:t>Pokja</w:t>
      </w:r>
      <w:r w:rsidRPr="00381388">
        <w:rPr>
          <w:lang w:val="en-AU"/>
        </w:rPr>
        <w:t>s meet at least quarterly.</w:t>
      </w:r>
      <w:r w:rsidR="00F03D5E" w:rsidRPr="00354BC0">
        <w:rPr>
          <w:lang w:val="en-AU"/>
        </w:rPr>
        <w:t xml:space="preserve"> Work with new ministries, agencies and regions, if and when required</w:t>
      </w:r>
      <w:r w:rsidR="00F03D5E" w:rsidRPr="009E1C17">
        <w:rPr>
          <w:lang w:val="en-AU"/>
        </w:rPr>
        <w:t xml:space="preserve">, will incorporate representatives from these institutions in the </w:t>
      </w:r>
      <w:r w:rsidR="00F03D5E" w:rsidRPr="001C1496">
        <w:rPr>
          <w:lang w:val="en-AU"/>
        </w:rPr>
        <w:t>Pokja</w:t>
      </w:r>
      <w:r w:rsidR="00F03D5E" w:rsidRPr="00381388">
        <w:rPr>
          <w:lang w:val="en-AU"/>
        </w:rPr>
        <w:t xml:space="preserve">s. In addition to each </w:t>
      </w:r>
      <w:r w:rsidR="00F03D5E" w:rsidRPr="001C1496">
        <w:rPr>
          <w:lang w:val="en-AU"/>
        </w:rPr>
        <w:t>Pokja</w:t>
      </w:r>
      <w:r w:rsidR="00F03D5E" w:rsidRPr="00381388">
        <w:rPr>
          <w:lang w:val="en-AU"/>
        </w:rPr>
        <w:t xml:space="preserve">, </w:t>
      </w:r>
      <w:r w:rsidR="008F3CF8" w:rsidRPr="00381388">
        <w:rPr>
          <w:lang w:val="en-AU"/>
        </w:rPr>
        <w:t xml:space="preserve">there will </w:t>
      </w:r>
      <w:r w:rsidR="008F3CF8" w:rsidRPr="009E1C17">
        <w:rPr>
          <w:lang w:val="en-AU"/>
        </w:rPr>
        <w:t xml:space="preserve">be clusters of interested stakeholders collaborating </w:t>
      </w:r>
      <w:r w:rsidR="00F03D5E" w:rsidRPr="009E1C17">
        <w:rPr>
          <w:lang w:val="en-AU"/>
        </w:rPr>
        <w:t>more intensively to progres</w:t>
      </w:r>
      <w:r w:rsidR="00F03D5E" w:rsidRPr="00351A46">
        <w:rPr>
          <w:lang w:val="en-AU"/>
        </w:rPr>
        <w:t xml:space="preserve">s </w:t>
      </w:r>
      <w:r w:rsidR="008D4E96" w:rsidRPr="00351A46">
        <w:rPr>
          <w:lang w:val="en-AU"/>
        </w:rPr>
        <w:t xml:space="preserve">key initiatives </w:t>
      </w:r>
      <w:r w:rsidR="00F03D5E" w:rsidRPr="00351A46">
        <w:rPr>
          <w:lang w:val="en-AU"/>
        </w:rPr>
        <w:t xml:space="preserve">or activities. </w:t>
      </w:r>
    </w:p>
    <w:p w14:paraId="4B531DB1" w14:textId="599BFCDF" w:rsidR="00540CD6" w:rsidRPr="00351A46" w:rsidRDefault="00540CD6">
      <w:pPr>
        <w:jc w:val="both"/>
        <w:rPr>
          <w:lang w:val="en-AU"/>
        </w:rPr>
      </w:pPr>
      <w:r w:rsidRPr="00351A46">
        <w:rPr>
          <w:lang w:val="en-AU"/>
        </w:rPr>
        <w:t xml:space="preserve">Outlined below is the process for making decisions to change program direction at different levels of the program structure. This helps provide clarity and accountability for how decisions are made. Whether these decisions need to be elevated to the PSC or PTS for approval will depend upon </w:t>
      </w:r>
      <w:r w:rsidR="00CC254A">
        <w:rPr>
          <w:lang w:val="en-AU"/>
        </w:rPr>
        <w:t xml:space="preserve">the </w:t>
      </w:r>
      <w:r w:rsidRPr="00351A46">
        <w:rPr>
          <w:lang w:val="en-AU"/>
        </w:rPr>
        <w:t xml:space="preserve">level </w:t>
      </w:r>
      <w:r w:rsidR="00CC254A">
        <w:rPr>
          <w:lang w:val="en-AU"/>
        </w:rPr>
        <w:t xml:space="preserve">at which </w:t>
      </w:r>
      <w:r w:rsidRPr="00351A46">
        <w:rPr>
          <w:lang w:val="en-AU"/>
        </w:rPr>
        <w:t>the change is being sought.</w:t>
      </w:r>
      <w:r w:rsidR="001D26E1" w:rsidRPr="00351A46">
        <w:rPr>
          <w:lang w:val="en-AU"/>
        </w:rPr>
        <w:t xml:space="preserve"> </w:t>
      </w:r>
    </w:p>
    <w:p w14:paraId="553EFC58" w14:textId="0D1A9A16" w:rsidR="00854415" w:rsidRPr="00351A46" w:rsidRDefault="00854415">
      <w:pPr>
        <w:pStyle w:val="ListParagraph"/>
        <w:numPr>
          <w:ilvl w:val="0"/>
          <w:numId w:val="20"/>
        </w:numPr>
        <w:spacing w:before="120"/>
        <w:contextualSpacing w:val="0"/>
        <w:jc w:val="both"/>
        <w:rPr>
          <w:lang w:val="en-AU"/>
        </w:rPr>
      </w:pPr>
      <w:r w:rsidRPr="00351A46">
        <w:rPr>
          <w:b/>
          <w:i/>
          <w:lang w:val="en-AU"/>
        </w:rPr>
        <w:t>Goal</w:t>
      </w:r>
      <w:r w:rsidRPr="00351A46">
        <w:rPr>
          <w:lang w:val="en-AU"/>
        </w:rPr>
        <w:t xml:space="preserve">, </w:t>
      </w:r>
      <w:r w:rsidR="00DE3DF1" w:rsidRPr="00351A46">
        <w:rPr>
          <w:b/>
          <w:i/>
          <w:lang w:val="en-AU"/>
        </w:rPr>
        <w:t>focus areas and EOPOs:</w:t>
      </w:r>
      <w:r w:rsidRPr="00351A46">
        <w:rPr>
          <w:b/>
          <w:i/>
          <w:lang w:val="en-AU"/>
        </w:rPr>
        <w:t xml:space="preserve"> </w:t>
      </w:r>
      <w:r w:rsidR="000F39A0">
        <w:rPr>
          <w:lang w:val="en-AU"/>
        </w:rPr>
        <w:t>T</w:t>
      </w:r>
      <w:r w:rsidRPr="00351A46">
        <w:rPr>
          <w:lang w:val="en-AU"/>
        </w:rPr>
        <w:t xml:space="preserve">hese are relatively fixed and unlikely to change during KSI Phase 2. However, should a change at this level be required, this would need approval from the </w:t>
      </w:r>
      <w:r w:rsidR="009509BA" w:rsidRPr="00351A46">
        <w:rPr>
          <w:lang w:val="en-AU"/>
        </w:rPr>
        <w:t>PTS and PSC</w:t>
      </w:r>
      <w:r w:rsidRPr="00351A46">
        <w:rPr>
          <w:lang w:val="en-AU"/>
        </w:rPr>
        <w:t>.</w:t>
      </w:r>
      <w:r w:rsidR="001D26E1" w:rsidRPr="00351A46">
        <w:rPr>
          <w:lang w:val="en-AU"/>
        </w:rPr>
        <w:t xml:space="preserve"> </w:t>
      </w:r>
    </w:p>
    <w:p w14:paraId="6C6390C9" w14:textId="21609129" w:rsidR="00854415" w:rsidRPr="00351A46" w:rsidRDefault="00854415">
      <w:pPr>
        <w:pStyle w:val="ListParagraph"/>
        <w:numPr>
          <w:ilvl w:val="0"/>
          <w:numId w:val="20"/>
        </w:numPr>
        <w:spacing w:before="120"/>
        <w:contextualSpacing w:val="0"/>
        <w:jc w:val="both"/>
        <w:rPr>
          <w:lang w:val="en-AU"/>
        </w:rPr>
      </w:pPr>
      <w:r w:rsidRPr="00351A46">
        <w:rPr>
          <w:b/>
          <w:i/>
          <w:lang w:val="en-AU"/>
        </w:rPr>
        <w:t>Key initiatives:</w:t>
      </w:r>
      <w:r w:rsidRPr="00351A46">
        <w:rPr>
          <w:lang w:val="en-AU"/>
        </w:rPr>
        <w:t xml:space="preserve"> </w:t>
      </w:r>
      <w:r w:rsidR="007C3998" w:rsidRPr="00351A46">
        <w:rPr>
          <w:lang w:val="en-AU"/>
        </w:rPr>
        <w:t xml:space="preserve">Ideas for new activities or </w:t>
      </w:r>
      <w:r w:rsidR="000F39A0" w:rsidRPr="00351A46">
        <w:rPr>
          <w:lang w:val="en-AU"/>
        </w:rPr>
        <w:t>key ini</w:t>
      </w:r>
      <w:r w:rsidR="007C3998" w:rsidRPr="00351A46">
        <w:rPr>
          <w:lang w:val="en-AU"/>
        </w:rPr>
        <w:t xml:space="preserve">tiatives must first be discussed and agreed by KSI’s </w:t>
      </w:r>
      <w:r w:rsidR="000F39A0" w:rsidRPr="00351A46">
        <w:rPr>
          <w:lang w:val="en-AU"/>
        </w:rPr>
        <w:t xml:space="preserve">senior leadership team </w:t>
      </w:r>
      <w:r w:rsidR="007C3998" w:rsidRPr="00351A46">
        <w:rPr>
          <w:lang w:val="en-AU"/>
        </w:rPr>
        <w:t xml:space="preserve">to ensure alignment with </w:t>
      </w:r>
      <w:r w:rsidR="000F39A0">
        <w:rPr>
          <w:lang w:val="en-AU"/>
        </w:rPr>
        <w:t>the</w:t>
      </w:r>
      <w:r w:rsidR="000F39A0" w:rsidRPr="00351A46">
        <w:rPr>
          <w:lang w:val="en-AU"/>
        </w:rPr>
        <w:t xml:space="preserve"> </w:t>
      </w:r>
      <w:r w:rsidR="007C3998" w:rsidRPr="00351A46">
        <w:rPr>
          <w:lang w:val="en-AU"/>
        </w:rPr>
        <w:t>EOPOs and to judge prospects for success, prior to being elevated if needed to PTS or PSC for approval.</w:t>
      </w:r>
      <w:r w:rsidR="001D26E1" w:rsidRPr="00351A46">
        <w:rPr>
          <w:lang w:val="en-AU"/>
        </w:rPr>
        <w:t xml:space="preserve"> </w:t>
      </w:r>
      <w:r w:rsidRPr="00351A46">
        <w:rPr>
          <w:lang w:val="en-AU"/>
        </w:rPr>
        <w:t xml:space="preserve">All proposals for new key initiatives must apply the decision-making criteria above and prepare a key initiative paper using the outline in Annex 3. </w:t>
      </w:r>
    </w:p>
    <w:p w14:paraId="42B66089" w14:textId="30CF7DA9" w:rsidR="00854415" w:rsidRPr="00351A46" w:rsidRDefault="00854415">
      <w:pPr>
        <w:pStyle w:val="ListParagraph"/>
        <w:numPr>
          <w:ilvl w:val="0"/>
          <w:numId w:val="20"/>
        </w:numPr>
        <w:spacing w:before="120"/>
        <w:contextualSpacing w:val="0"/>
        <w:jc w:val="both"/>
        <w:rPr>
          <w:lang w:val="en-AU"/>
        </w:rPr>
      </w:pPr>
      <w:r w:rsidRPr="00351A46">
        <w:rPr>
          <w:b/>
          <w:i/>
          <w:lang w:val="en-AU"/>
        </w:rPr>
        <w:t xml:space="preserve">Activities: </w:t>
      </w:r>
      <w:r w:rsidRPr="00351A46">
        <w:rPr>
          <w:lang w:val="en-AU"/>
        </w:rPr>
        <w:t>Activities for each key initiative are included in the annual work plan, which</w:t>
      </w:r>
      <w:r w:rsidRPr="00351A46">
        <w:rPr>
          <w:spacing w:val="-11"/>
          <w:lang w:val="en-AU"/>
        </w:rPr>
        <w:t xml:space="preserve"> </w:t>
      </w:r>
      <w:r w:rsidRPr="00351A46">
        <w:rPr>
          <w:lang w:val="en-AU"/>
        </w:rPr>
        <w:t>is</w:t>
      </w:r>
      <w:r w:rsidRPr="00351A46">
        <w:rPr>
          <w:spacing w:val="-12"/>
          <w:lang w:val="en-AU"/>
        </w:rPr>
        <w:t xml:space="preserve"> </w:t>
      </w:r>
      <w:r w:rsidRPr="00351A46">
        <w:rPr>
          <w:lang w:val="en-AU"/>
        </w:rPr>
        <w:t>endorsed</w:t>
      </w:r>
      <w:r w:rsidRPr="00351A46">
        <w:rPr>
          <w:spacing w:val="-13"/>
          <w:lang w:val="en-AU"/>
        </w:rPr>
        <w:t xml:space="preserve"> </w:t>
      </w:r>
      <w:r w:rsidRPr="00351A46">
        <w:rPr>
          <w:lang w:val="en-AU"/>
        </w:rPr>
        <w:t>by</w:t>
      </w:r>
      <w:r w:rsidRPr="00351A46">
        <w:rPr>
          <w:spacing w:val="-13"/>
          <w:lang w:val="en-AU"/>
        </w:rPr>
        <w:t xml:space="preserve"> </w:t>
      </w:r>
      <w:r w:rsidRPr="00351A46">
        <w:rPr>
          <w:lang w:val="en-AU"/>
        </w:rPr>
        <w:t>the</w:t>
      </w:r>
      <w:r w:rsidRPr="00351A46">
        <w:rPr>
          <w:spacing w:val="-13"/>
          <w:lang w:val="en-AU"/>
        </w:rPr>
        <w:t xml:space="preserve"> </w:t>
      </w:r>
      <w:r w:rsidRPr="00351A46">
        <w:rPr>
          <w:lang w:val="en-AU"/>
        </w:rPr>
        <w:t>PTS</w:t>
      </w:r>
      <w:r w:rsidRPr="00351A46">
        <w:rPr>
          <w:spacing w:val="-13"/>
          <w:lang w:val="en-AU"/>
        </w:rPr>
        <w:t xml:space="preserve"> </w:t>
      </w:r>
      <w:r w:rsidRPr="00351A46">
        <w:rPr>
          <w:lang w:val="en-AU"/>
        </w:rPr>
        <w:t>and</w:t>
      </w:r>
      <w:r w:rsidRPr="00351A46">
        <w:rPr>
          <w:spacing w:val="-9"/>
          <w:lang w:val="en-AU"/>
        </w:rPr>
        <w:t xml:space="preserve"> the PSC</w:t>
      </w:r>
      <w:r w:rsidRPr="00351A46">
        <w:rPr>
          <w:lang w:val="en-AU"/>
        </w:rPr>
        <w:t>. To</w:t>
      </w:r>
      <w:r w:rsidRPr="00351A46">
        <w:rPr>
          <w:spacing w:val="-14"/>
          <w:lang w:val="en-AU"/>
        </w:rPr>
        <w:t xml:space="preserve"> </w:t>
      </w:r>
      <w:r w:rsidRPr="00351A46">
        <w:rPr>
          <w:lang w:val="en-AU"/>
        </w:rPr>
        <w:t>respond</w:t>
      </w:r>
      <w:r w:rsidRPr="00351A46">
        <w:rPr>
          <w:spacing w:val="-14"/>
          <w:lang w:val="en-AU"/>
        </w:rPr>
        <w:t xml:space="preserve"> </w:t>
      </w:r>
      <w:r w:rsidRPr="00351A46">
        <w:rPr>
          <w:lang w:val="en-AU"/>
        </w:rPr>
        <w:t>quickly</w:t>
      </w:r>
      <w:r w:rsidRPr="00351A46">
        <w:rPr>
          <w:spacing w:val="-13"/>
          <w:lang w:val="en-AU"/>
        </w:rPr>
        <w:t xml:space="preserve"> </w:t>
      </w:r>
      <w:r w:rsidRPr="00351A46">
        <w:rPr>
          <w:lang w:val="en-AU"/>
        </w:rPr>
        <w:t>to</w:t>
      </w:r>
      <w:r w:rsidRPr="00351A46">
        <w:rPr>
          <w:spacing w:val="-14"/>
          <w:lang w:val="en-AU"/>
        </w:rPr>
        <w:t xml:space="preserve"> </w:t>
      </w:r>
      <w:r w:rsidRPr="00351A46">
        <w:rPr>
          <w:lang w:val="en-AU"/>
        </w:rPr>
        <w:t>changing</w:t>
      </w:r>
      <w:r w:rsidRPr="00351A46">
        <w:rPr>
          <w:spacing w:val="-12"/>
          <w:lang w:val="en-AU"/>
        </w:rPr>
        <w:t xml:space="preserve"> </w:t>
      </w:r>
      <w:r w:rsidRPr="00351A46">
        <w:rPr>
          <w:lang w:val="en-AU"/>
        </w:rPr>
        <w:t>needs</w:t>
      </w:r>
      <w:r w:rsidRPr="00351A46">
        <w:rPr>
          <w:spacing w:val="-11"/>
          <w:lang w:val="en-AU"/>
        </w:rPr>
        <w:t xml:space="preserve"> </w:t>
      </w:r>
      <w:r w:rsidRPr="00351A46">
        <w:rPr>
          <w:lang w:val="en-AU"/>
        </w:rPr>
        <w:t>and</w:t>
      </w:r>
      <w:r w:rsidRPr="00351A46">
        <w:rPr>
          <w:spacing w:val="-11"/>
          <w:lang w:val="en-AU"/>
        </w:rPr>
        <w:t xml:space="preserve"> </w:t>
      </w:r>
      <w:r w:rsidRPr="00351A46">
        <w:rPr>
          <w:lang w:val="en-AU"/>
        </w:rPr>
        <w:t>adapt</w:t>
      </w:r>
      <w:r w:rsidRPr="00351A46">
        <w:rPr>
          <w:spacing w:val="-14"/>
          <w:lang w:val="en-AU"/>
        </w:rPr>
        <w:t xml:space="preserve"> </w:t>
      </w:r>
      <w:r w:rsidRPr="00351A46">
        <w:rPr>
          <w:lang w:val="en-AU"/>
        </w:rPr>
        <w:t>to</w:t>
      </w:r>
      <w:r w:rsidRPr="00351A46">
        <w:rPr>
          <w:spacing w:val="-12"/>
          <w:lang w:val="en-AU"/>
        </w:rPr>
        <w:t xml:space="preserve"> </w:t>
      </w:r>
      <w:r w:rsidRPr="00351A46">
        <w:rPr>
          <w:lang w:val="en-AU"/>
        </w:rPr>
        <w:t>learning</w:t>
      </w:r>
      <w:r w:rsidRPr="00351A46">
        <w:rPr>
          <w:spacing w:val="-15"/>
          <w:lang w:val="en-AU"/>
        </w:rPr>
        <w:t xml:space="preserve"> </w:t>
      </w:r>
      <w:r w:rsidRPr="00351A46">
        <w:rPr>
          <w:lang w:val="en-AU"/>
        </w:rPr>
        <w:t>emerging from program implementation through an iterative approach, the KSI program team may make changes to activities (including amending, cancelling and scaling up activities). Proposals</w:t>
      </w:r>
      <w:r w:rsidRPr="00351A46">
        <w:rPr>
          <w:spacing w:val="-10"/>
          <w:lang w:val="en-AU"/>
        </w:rPr>
        <w:t xml:space="preserve"> </w:t>
      </w:r>
      <w:r w:rsidRPr="00351A46">
        <w:rPr>
          <w:lang w:val="en-AU"/>
        </w:rPr>
        <w:t>for</w:t>
      </w:r>
      <w:r w:rsidRPr="00351A46">
        <w:rPr>
          <w:spacing w:val="-9"/>
          <w:lang w:val="en-AU"/>
        </w:rPr>
        <w:t xml:space="preserve"> </w:t>
      </w:r>
      <w:r w:rsidRPr="00351A46">
        <w:rPr>
          <w:lang w:val="en-AU"/>
        </w:rPr>
        <w:t>new</w:t>
      </w:r>
      <w:r w:rsidRPr="00351A46">
        <w:rPr>
          <w:spacing w:val="-8"/>
          <w:lang w:val="en-AU"/>
        </w:rPr>
        <w:t xml:space="preserve"> </w:t>
      </w:r>
      <w:r w:rsidRPr="00351A46">
        <w:rPr>
          <w:lang w:val="en-AU"/>
        </w:rPr>
        <w:t>activities</w:t>
      </w:r>
      <w:r w:rsidRPr="00351A46">
        <w:rPr>
          <w:spacing w:val="-7"/>
          <w:lang w:val="en-AU"/>
        </w:rPr>
        <w:t xml:space="preserve"> </w:t>
      </w:r>
      <w:r w:rsidRPr="00351A46">
        <w:rPr>
          <w:lang w:val="en-AU"/>
        </w:rPr>
        <w:t>must</w:t>
      </w:r>
      <w:r w:rsidRPr="00351A46">
        <w:rPr>
          <w:spacing w:val="-9"/>
          <w:lang w:val="en-AU"/>
        </w:rPr>
        <w:t xml:space="preserve"> </w:t>
      </w:r>
      <w:r w:rsidRPr="00351A46">
        <w:rPr>
          <w:lang w:val="en-AU"/>
        </w:rPr>
        <w:t>fit</w:t>
      </w:r>
      <w:r w:rsidRPr="00351A46">
        <w:rPr>
          <w:spacing w:val="-6"/>
          <w:lang w:val="en-AU"/>
        </w:rPr>
        <w:t xml:space="preserve"> </w:t>
      </w:r>
      <w:r w:rsidRPr="00351A46">
        <w:rPr>
          <w:lang w:val="en-AU"/>
        </w:rPr>
        <w:t>within</w:t>
      </w:r>
      <w:r w:rsidRPr="00351A46">
        <w:rPr>
          <w:spacing w:val="-8"/>
          <w:lang w:val="en-AU"/>
        </w:rPr>
        <w:t xml:space="preserve"> </w:t>
      </w:r>
      <w:r w:rsidRPr="00351A46">
        <w:rPr>
          <w:lang w:val="en-AU"/>
        </w:rPr>
        <w:t>one</w:t>
      </w:r>
      <w:r w:rsidRPr="00351A46">
        <w:rPr>
          <w:spacing w:val="-9"/>
          <w:lang w:val="en-AU"/>
        </w:rPr>
        <w:t xml:space="preserve"> </w:t>
      </w:r>
      <w:r w:rsidRPr="00351A46">
        <w:rPr>
          <w:lang w:val="en-AU"/>
        </w:rPr>
        <w:t>of</w:t>
      </w:r>
      <w:r w:rsidRPr="00351A46">
        <w:rPr>
          <w:spacing w:val="-9"/>
          <w:lang w:val="en-AU"/>
        </w:rPr>
        <w:t xml:space="preserve"> </w:t>
      </w:r>
      <w:r w:rsidRPr="00351A46">
        <w:rPr>
          <w:lang w:val="en-AU"/>
        </w:rPr>
        <w:t>the</w:t>
      </w:r>
      <w:r w:rsidRPr="00351A46">
        <w:rPr>
          <w:spacing w:val="-8"/>
          <w:lang w:val="en-AU"/>
        </w:rPr>
        <w:t xml:space="preserve"> </w:t>
      </w:r>
      <w:r w:rsidRPr="00351A46">
        <w:rPr>
          <w:lang w:val="en-AU"/>
        </w:rPr>
        <w:t>key initiatives</w:t>
      </w:r>
      <w:r w:rsidRPr="00351A46">
        <w:rPr>
          <w:spacing w:val="-7"/>
          <w:lang w:val="en-AU"/>
        </w:rPr>
        <w:t xml:space="preserve"> </w:t>
      </w:r>
      <w:r w:rsidRPr="00351A46">
        <w:rPr>
          <w:lang w:val="en-AU"/>
        </w:rPr>
        <w:t>and</w:t>
      </w:r>
      <w:r w:rsidRPr="00351A46">
        <w:rPr>
          <w:spacing w:val="-8"/>
          <w:lang w:val="en-AU"/>
        </w:rPr>
        <w:t xml:space="preserve"> </w:t>
      </w:r>
      <w:r w:rsidRPr="00351A46">
        <w:rPr>
          <w:lang w:val="en-AU"/>
        </w:rPr>
        <w:t>contribute</w:t>
      </w:r>
      <w:r w:rsidRPr="00351A46">
        <w:rPr>
          <w:spacing w:val="-9"/>
          <w:lang w:val="en-AU"/>
        </w:rPr>
        <w:t xml:space="preserve"> </w:t>
      </w:r>
      <w:r w:rsidRPr="00351A46">
        <w:rPr>
          <w:lang w:val="en-AU"/>
        </w:rPr>
        <w:t>to</w:t>
      </w:r>
      <w:r w:rsidRPr="00351A46">
        <w:rPr>
          <w:spacing w:val="-9"/>
          <w:lang w:val="en-AU"/>
        </w:rPr>
        <w:t xml:space="preserve"> </w:t>
      </w:r>
      <w:r w:rsidRPr="00351A46">
        <w:rPr>
          <w:lang w:val="en-AU"/>
        </w:rPr>
        <w:t xml:space="preserve">the achievement of the relevant EOPO. </w:t>
      </w:r>
      <w:r w:rsidR="00677CCE" w:rsidRPr="00351A46">
        <w:rPr>
          <w:lang w:val="en-AU"/>
        </w:rPr>
        <w:t>The KSI team itself can make changes to activities where this requires budgetary changes of less than AUD 100,000.</w:t>
      </w:r>
      <w:r w:rsidR="001D26E1" w:rsidRPr="00351A46">
        <w:rPr>
          <w:lang w:val="en-AU"/>
        </w:rPr>
        <w:t xml:space="preserve"> </w:t>
      </w:r>
      <w:r w:rsidRPr="00351A46">
        <w:rPr>
          <w:lang w:val="en-AU"/>
        </w:rPr>
        <w:t xml:space="preserve">Where new activities are valued at more than AUD 100,000, or where the value of changes to existing activities results in a change in budget allocation of more than AUD 100,000, then approval from the co-chairs of the PTS is needed. Where proposed activities are substantial, a new key initiative may be needed, following the process outlined above for proposing new key initiatives. </w:t>
      </w:r>
    </w:p>
    <w:p w14:paraId="7EEB7BBF" w14:textId="231496C3" w:rsidR="0030526A" w:rsidRPr="00351A46" w:rsidRDefault="0030526A">
      <w:pPr>
        <w:jc w:val="both"/>
        <w:rPr>
          <w:lang w:val="en-AU"/>
        </w:rPr>
        <w:sectPr w:rsidR="0030526A" w:rsidRPr="00351A46" w:rsidSect="00E21200">
          <w:headerReference w:type="even" r:id="rId8"/>
          <w:headerReference w:type="default" r:id="rId9"/>
          <w:footerReference w:type="even" r:id="rId10"/>
          <w:footerReference w:type="default" r:id="rId11"/>
          <w:headerReference w:type="first" r:id="rId12"/>
          <w:footerReference w:type="first" r:id="rId13"/>
          <w:pgSz w:w="11900" w:h="16850"/>
          <w:pgMar w:top="1440" w:right="1440" w:bottom="1440" w:left="1440" w:header="0" w:footer="0" w:gutter="0"/>
          <w:cols w:space="720"/>
          <w:docGrid w:linePitch="299"/>
        </w:sectPr>
      </w:pPr>
    </w:p>
    <w:p w14:paraId="395F11DD" w14:textId="22B117D1" w:rsidR="00A147C7" w:rsidRPr="00351A46" w:rsidRDefault="00A147C7">
      <w:pPr>
        <w:pStyle w:val="Heading1"/>
        <w:numPr>
          <w:ilvl w:val="0"/>
          <w:numId w:val="1"/>
        </w:numPr>
        <w:tabs>
          <w:tab w:val="left" w:pos="540"/>
        </w:tabs>
        <w:ind w:hanging="720"/>
        <w:rPr>
          <w:lang w:val="en-AU"/>
        </w:rPr>
      </w:pPr>
      <w:bookmarkStart w:id="19" w:name="_Toc514418241"/>
      <w:r w:rsidRPr="00351A46">
        <w:rPr>
          <w:lang w:val="en-AU"/>
        </w:rPr>
        <w:t>Overview of KSI Phase 2</w:t>
      </w:r>
      <w:bookmarkEnd w:id="19"/>
    </w:p>
    <w:p w14:paraId="58CD5ED9" w14:textId="77777777" w:rsidR="00F912D4" w:rsidRPr="001C1496" w:rsidRDefault="00F912D4" w:rsidP="001C1496">
      <w:pPr>
        <w:spacing w:after="0"/>
        <w:rPr>
          <w:sz w:val="16"/>
          <w:lang w:val="en-AU"/>
        </w:rPr>
      </w:pPr>
    </w:p>
    <w:p w14:paraId="090DD65B" w14:textId="4AEF37E6" w:rsidR="0030526A" w:rsidRPr="00351A46" w:rsidRDefault="00B62454">
      <w:pPr>
        <w:spacing w:after="240"/>
        <w:rPr>
          <w:lang w:val="en-AU"/>
        </w:rPr>
      </w:pPr>
      <w:r w:rsidRPr="00351A46">
        <w:rPr>
          <w:lang w:val="en-AU"/>
        </w:rPr>
        <w:t xml:space="preserve">This section provides a summary of KSI’s goal, </w:t>
      </w:r>
      <w:r w:rsidR="00E5110F" w:rsidRPr="00351A46">
        <w:rPr>
          <w:lang w:val="en-AU"/>
        </w:rPr>
        <w:t xml:space="preserve">EOPOs </w:t>
      </w:r>
      <w:r w:rsidRPr="00351A46">
        <w:rPr>
          <w:lang w:val="en-AU"/>
        </w:rPr>
        <w:t xml:space="preserve">and </w:t>
      </w:r>
      <w:r w:rsidR="00E5110F" w:rsidRPr="00351A46">
        <w:rPr>
          <w:lang w:val="en-AU"/>
        </w:rPr>
        <w:t>key initiative</w:t>
      </w:r>
      <w:r w:rsidRPr="00351A46">
        <w:rPr>
          <w:lang w:val="en-AU"/>
        </w:rPr>
        <w:t xml:space="preserve">s. The diagram below provides an overview of </w:t>
      </w:r>
      <w:r w:rsidR="00FB6B1F" w:rsidRPr="00351A46">
        <w:rPr>
          <w:lang w:val="en-AU"/>
        </w:rPr>
        <w:t xml:space="preserve">the </w:t>
      </w:r>
      <w:r w:rsidRPr="00351A46">
        <w:rPr>
          <w:lang w:val="en-AU"/>
        </w:rPr>
        <w:t xml:space="preserve">KSI Phase </w:t>
      </w:r>
      <w:r w:rsidR="00FB6B1F" w:rsidRPr="00351A46">
        <w:rPr>
          <w:lang w:val="en-AU"/>
        </w:rPr>
        <w:t>2</w:t>
      </w:r>
      <w:r w:rsidRPr="00351A46">
        <w:rPr>
          <w:lang w:val="en-AU"/>
        </w:rPr>
        <w:t xml:space="preserve"> </w:t>
      </w:r>
      <w:r w:rsidR="00AA269A" w:rsidRPr="00351A46">
        <w:rPr>
          <w:lang w:val="en-AU"/>
        </w:rPr>
        <w:t>theory of change</w:t>
      </w:r>
      <w:r w:rsidR="00D0604A" w:rsidRPr="00351A46">
        <w:rPr>
          <w:lang w:val="en-AU"/>
        </w:rPr>
        <w:t xml:space="preserve">. </w:t>
      </w:r>
      <w:r w:rsidR="00CC3EAC" w:rsidRPr="00351A46">
        <w:rPr>
          <w:lang w:val="en-AU"/>
        </w:rPr>
        <w:t>Definitions for terms in this diagram are included in Annex 1</w:t>
      </w:r>
      <w:r w:rsidR="00D0604A" w:rsidRPr="00351A46">
        <w:rPr>
          <w:lang w:val="en-AU"/>
        </w:rPr>
        <w:t xml:space="preserve">. </w:t>
      </w:r>
      <w:r w:rsidR="00CC3EAC" w:rsidRPr="00351A46">
        <w:rPr>
          <w:lang w:val="en-AU"/>
        </w:rPr>
        <w:t>A budget overview for KS</w:t>
      </w:r>
      <w:r w:rsidR="00912ED5" w:rsidRPr="00351A46">
        <w:rPr>
          <w:lang w:val="en-AU"/>
        </w:rPr>
        <w:t>I Phase 2 is provided in Annex 4</w:t>
      </w:r>
      <w:r w:rsidR="00CC3EAC" w:rsidRPr="00351A46">
        <w:rPr>
          <w:lang w:val="en-AU"/>
        </w:rPr>
        <w:t>.</w:t>
      </w:r>
    </w:p>
    <w:p w14:paraId="49C167DD" w14:textId="13B978B8" w:rsidR="00C24031" w:rsidRPr="001C1496" w:rsidRDefault="004818DF">
      <w:pPr>
        <w:spacing w:after="240"/>
        <w:jc w:val="center"/>
        <w:rPr>
          <w:lang w:val="en-AU"/>
        </w:rPr>
      </w:pPr>
      <w:r w:rsidRPr="004707A9">
        <w:rPr>
          <w:noProof/>
          <w:lang w:val="en-AU" w:eastAsia="en-AU"/>
        </w:rPr>
        <w:drawing>
          <wp:inline distT="0" distB="0" distL="0" distR="0" wp14:anchorId="4D58DD7F" wp14:editId="3FD92ACF">
            <wp:extent cx="9236710" cy="51955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I ToC diagram - for PIS - v4.jpg"/>
                    <pic:cNvPicPr/>
                  </pic:nvPicPr>
                  <pic:blipFill>
                    <a:blip r:embed="rId14"/>
                    <a:stretch>
                      <a:fillRect/>
                    </a:stretch>
                  </pic:blipFill>
                  <pic:spPr>
                    <a:xfrm>
                      <a:off x="0" y="0"/>
                      <a:ext cx="9236710" cy="5195570"/>
                    </a:xfrm>
                    <a:prstGeom prst="rect">
                      <a:avLst/>
                    </a:prstGeom>
                  </pic:spPr>
                </pic:pic>
              </a:graphicData>
            </a:graphic>
          </wp:inline>
        </w:drawing>
      </w:r>
    </w:p>
    <w:p w14:paraId="317D7B6B" w14:textId="6E9DD766" w:rsidR="00D4508D" w:rsidRPr="00351A46" w:rsidRDefault="00D4508D">
      <w:pPr>
        <w:spacing w:after="240"/>
        <w:jc w:val="center"/>
        <w:rPr>
          <w:lang w:val="en-AU"/>
        </w:rPr>
        <w:sectPr w:rsidR="00D4508D" w:rsidRPr="00351A46" w:rsidSect="0030526A">
          <w:pgSz w:w="16850" w:h="11900" w:orient="landscape"/>
          <w:pgMar w:top="1008" w:right="1152" w:bottom="1008" w:left="1152" w:header="0" w:footer="0" w:gutter="0"/>
          <w:cols w:space="720"/>
          <w:docGrid w:linePitch="299"/>
        </w:sectPr>
      </w:pPr>
    </w:p>
    <w:p w14:paraId="361121F5" w14:textId="7855ACF2" w:rsidR="00A147C7" w:rsidRPr="00351A46" w:rsidRDefault="00C24031">
      <w:pPr>
        <w:pStyle w:val="Heading2"/>
        <w:rPr>
          <w:lang w:val="en-AU"/>
        </w:rPr>
      </w:pPr>
      <w:bookmarkStart w:id="20" w:name="_Toc514418242"/>
      <w:r w:rsidRPr="00351A46">
        <w:rPr>
          <w:lang w:val="en-AU"/>
        </w:rPr>
        <w:t>G</w:t>
      </w:r>
      <w:r w:rsidR="00A147C7" w:rsidRPr="00351A46">
        <w:rPr>
          <w:lang w:val="en-AU"/>
        </w:rPr>
        <w:t>oal</w:t>
      </w:r>
      <w:bookmarkEnd w:id="20"/>
    </w:p>
    <w:p w14:paraId="4288229D" w14:textId="77777777" w:rsidR="00F912D4" w:rsidRPr="001C1496" w:rsidRDefault="00F912D4" w:rsidP="001C1496">
      <w:pPr>
        <w:spacing w:after="0"/>
        <w:jc w:val="both"/>
        <w:rPr>
          <w:sz w:val="10"/>
          <w:lang w:val="en-AU"/>
        </w:rPr>
      </w:pPr>
    </w:p>
    <w:p w14:paraId="4A50739E" w14:textId="2753DEC7" w:rsidR="000664D7" w:rsidRPr="00351A46" w:rsidRDefault="000664D7">
      <w:pPr>
        <w:jc w:val="both"/>
        <w:rPr>
          <w:lang w:val="en-AU"/>
        </w:rPr>
      </w:pPr>
      <w:r w:rsidRPr="00351A46">
        <w:rPr>
          <w:lang w:val="en-AU"/>
        </w:rPr>
        <w:t xml:space="preserve">KSI’s goal is: </w:t>
      </w:r>
      <w:r w:rsidRPr="00351A46">
        <w:rPr>
          <w:i/>
          <w:lang w:val="en-AU"/>
        </w:rPr>
        <w:t xml:space="preserve">To support Indonesian knowledge sector institutions and systems to generate better quality research and increase the application of evidence in policymaking, thereby contributing to more inclusive and equitable economic growth for Indonesia. </w:t>
      </w:r>
    </w:p>
    <w:p w14:paraId="2B965B22" w14:textId="58E336FF" w:rsidR="00B62454" w:rsidRPr="00351A46" w:rsidRDefault="000664D7">
      <w:pPr>
        <w:jc w:val="both"/>
        <w:rPr>
          <w:i/>
          <w:lang w:val="en-AU"/>
        </w:rPr>
      </w:pPr>
      <w:r w:rsidRPr="00351A46">
        <w:rPr>
          <w:lang w:val="en-AU"/>
        </w:rPr>
        <w:t xml:space="preserve">This goal has been summarised in </w:t>
      </w:r>
      <w:r w:rsidR="008C3312" w:rsidRPr="00351A46">
        <w:rPr>
          <w:lang w:val="en-AU"/>
        </w:rPr>
        <w:t>program</w:t>
      </w:r>
      <w:r w:rsidR="00D0604A" w:rsidRPr="00351A46">
        <w:rPr>
          <w:lang w:val="en-AU"/>
        </w:rPr>
        <w:t xml:space="preserve"> </w:t>
      </w:r>
      <w:r w:rsidRPr="00351A46">
        <w:rPr>
          <w:lang w:val="en-AU"/>
        </w:rPr>
        <w:t xml:space="preserve">diagrams as </w:t>
      </w:r>
      <w:r w:rsidRPr="00351A46">
        <w:rPr>
          <w:i/>
          <w:lang w:val="en-AU"/>
        </w:rPr>
        <w:t>Better use of quality evidence in development policymaking.</w:t>
      </w:r>
    </w:p>
    <w:p w14:paraId="6FAF9DBC" w14:textId="77777777" w:rsidR="00A147C7" w:rsidRPr="00351A46" w:rsidRDefault="00A147C7">
      <w:pPr>
        <w:pStyle w:val="Heading2"/>
        <w:rPr>
          <w:lang w:val="en-AU"/>
        </w:rPr>
      </w:pPr>
      <w:bookmarkStart w:id="21" w:name="_Toc514418243"/>
      <w:r w:rsidRPr="00351A46">
        <w:rPr>
          <w:lang w:val="en-AU"/>
        </w:rPr>
        <w:t>Focus Areas</w:t>
      </w:r>
      <w:bookmarkEnd w:id="21"/>
    </w:p>
    <w:p w14:paraId="2DD0535B" w14:textId="57964EAF" w:rsidR="00F912D4" w:rsidRPr="001C1496" w:rsidRDefault="00F912D4" w:rsidP="001C1496">
      <w:pPr>
        <w:spacing w:after="0"/>
        <w:jc w:val="both"/>
        <w:rPr>
          <w:sz w:val="10"/>
          <w:lang w:val="en-AU"/>
        </w:rPr>
      </w:pPr>
    </w:p>
    <w:p w14:paraId="3F4319DA" w14:textId="2C1A96DD" w:rsidR="0072494D" w:rsidRPr="00351A46" w:rsidRDefault="003F0669">
      <w:pPr>
        <w:jc w:val="both"/>
        <w:rPr>
          <w:lang w:val="en-AU"/>
        </w:rPr>
      </w:pPr>
      <w:r w:rsidRPr="00351A46">
        <w:rPr>
          <w:lang w:val="en-AU"/>
        </w:rPr>
        <w:t>The</w:t>
      </w:r>
      <w:r w:rsidR="0072494D" w:rsidRPr="00351A46">
        <w:rPr>
          <w:lang w:val="en-AU"/>
        </w:rPr>
        <w:t xml:space="preserve"> </w:t>
      </w:r>
      <w:r w:rsidR="00BB5B65" w:rsidRPr="00351A46">
        <w:rPr>
          <w:lang w:val="en-AU"/>
        </w:rPr>
        <w:t>focus areas</w:t>
      </w:r>
      <w:r w:rsidR="0072494D" w:rsidRPr="00351A46">
        <w:rPr>
          <w:lang w:val="en-AU"/>
        </w:rPr>
        <w:t xml:space="preserve"> set out the boundaries for KSI Phase 2 and identify changes in the knowledge sector </w:t>
      </w:r>
      <w:r w:rsidRPr="00351A46">
        <w:rPr>
          <w:lang w:val="en-AU"/>
        </w:rPr>
        <w:t xml:space="preserve">that </w:t>
      </w:r>
      <w:r w:rsidR="0072494D" w:rsidRPr="00351A46">
        <w:rPr>
          <w:lang w:val="en-AU"/>
        </w:rPr>
        <w:t xml:space="preserve">the </w:t>
      </w:r>
      <w:r w:rsidR="008C3312" w:rsidRPr="00351A46">
        <w:rPr>
          <w:lang w:val="en-AU"/>
        </w:rPr>
        <w:t>program</w:t>
      </w:r>
      <w:r w:rsidR="00D0604A" w:rsidRPr="00351A46">
        <w:rPr>
          <w:lang w:val="en-AU"/>
        </w:rPr>
        <w:t xml:space="preserve"> </w:t>
      </w:r>
      <w:r w:rsidR="0072494D" w:rsidRPr="00351A46">
        <w:rPr>
          <w:lang w:val="en-AU"/>
        </w:rPr>
        <w:t xml:space="preserve">aims to influence. It is not intended that KSI will achieve everything under a focus area, but all KSI’s work should be relevant to these focus areas. The purpose of this section is to provide a brief overview of each </w:t>
      </w:r>
      <w:r w:rsidR="00BB5B65" w:rsidRPr="00351A46">
        <w:rPr>
          <w:lang w:val="en-AU"/>
        </w:rPr>
        <w:t>focus area</w:t>
      </w:r>
      <w:r w:rsidR="0072494D" w:rsidRPr="00351A46">
        <w:rPr>
          <w:lang w:val="en-AU"/>
        </w:rPr>
        <w:t>.</w:t>
      </w:r>
    </w:p>
    <w:p w14:paraId="0C43910C" w14:textId="407FDDCE" w:rsidR="0020579B" w:rsidRPr="00351A46" w:rsidRDefault="0020579B">
      <w:pPr>
        <w:jc w:val="both"/>
        <w:rPr>
          <w:lang w:val="en-AU"/>
        </w:rPr>
      </w:pPr>
      <w:r w:rsidRPr="00351A46">
        <w:rPr>
          <w:lang w:val="en-AU"/>
        </w:rPr>
        <w:t xml:space="preserve">These </w:t>
      </w:r>
      <w:r w:rsidR="00BB5B65" w:rsidRPr="00351A46">
        <w:rPr>
          <w:lang w:val="en-AU"/>
        </w:rPr>
        <w:t>focus areas</w:t>
      </w:r>
      <w:r w:rsidRPr="00351A46">
        <w:rPr>
          <w:lang w:val="en-AU"/>
        </w:rPr>
        <w:t xml:space="preserve"> originate from the six barriers identi</w:t>
      </w:r>
      <w:r w:rsidR="00D30915" w:rsidRPr="00351A46">
        <w:rPr>
          <w:lang w:val="en-AU"/>
        </w:rPr>
        <w:t xml:space="preserve">fied in the </w:t>
      </w:r>
      <w:r w:rsidR="00FB6B1F" w:rsidRPr="00351A46">
        <w:rPr>
          <w:lang w:val="en-AU"/>
        </w:rPr>
        <w:t>Guiding Strategy</w:t>
      </w:r>
      <w:r w:rsidR="00D96785" w:rsidRPr="00351A46">
        <w:rPr>
          <w:lang w:val="en-AU"/>
        </w:rPr>
        <w:t>,</w:t>
      </w:r>
      <w:r w:rsidR="00D0604A" w:rsidRPr="00351A46">
        <w:rPr>
          <w:lang w:val="en-AU"/>
        </w:rPr>
        <w:t xml:space="preserve"> </w:t>
      </w:r>
      <w:r w:rsidR="00D30915" w:rsidRPr="00351A46">
        <w:rPr>
          <w:lang w:val="en-AU"/>
        </w:rPr>
        <w:t>as follows</w:t>
      </w:r>
      <w:r w:rsidRPr="00351A46">
        <w:rPr>
          <w:lang w:val="en-AU"/>
        </w:rPr>
        <w:t>:</w:t>
      </w:r>
    </w:p>
    <w:p w14:paraId="17202C77" w14:textId="3C5579F9" w:rsidR="0020579B" w:rsidRPr="00351A46" w:rsidRDefault="0020579B">
      <w:pPr>
        <w:numPr>
          <w:ilvl w:val="1"/>
          <w:numId w:val="5"/>
        </w:numPr>
        <w:jc w:val="both"/>
        <w:rPr>
          <w:lang w:val="en-AU"/>
        </w:rPr>
      </w:pPr>
      <w:r w:rsidRPr="00351A46">
        <w:rPr>
          <w:lang w:val="en-AU"/>
        </w:rPr>
        <w:t>Low quality of research and analysis</w:t>
      </w:r>
    </w:p>
    <w:p w14:paraId="4856800F" w14:textId="36351C99" w:rsidR="0020579B" w:rsidRPr="00351A46" w:rsidRDefault="0020579B">
      <w:pPr>
        <w:numPr>
          <w:ilvl w:val="1"/>
          <w:numId w:val="5"/>
        </w:numPr>
        <w:jc w:val="both"/>
        <w:rPr>
          <w:lang w:val="en-AU"/>
        </w:rPr>
      </w:pPr>
      <w:r w:rsidRPr="00351A46">
        <w:rPr>
          <w:lang w:val="en-AU"/>
        </w:rPr>
        <w:t>Insufficient funding for and low quality of expenditure on research</w:t>
      </w:r>
    </w:p>
    <w:p w14:paraId="397BAD72" w14:textId="2E96FCF0" w:rsidR="0020579B" w:rsidRPr="00351A46" w:rsidRDefault="0020579B">
      <w:pPr>
        <w:numPr>
          <w:ilvl w:val="1"/>
          <w:numId w:val="5"/>
        </w:numPr>
        <w:jc w:val="both"/>
        <w:rPr>
          <w:lang w:val="en-AU"/>
        </w:rPr>
      </w:pPr>
      <w:r w:rsidRPr="00351A46">
        <w:rPr>
          <w:lang w:val="en-AU"/>
        </w:rPr>
        <w:t>Inadequate rules and regulations for producing, accessing and using research</w:t>
      </w:r>
    </w:p>
    <w:p w14:paraId="58B9BAC4" w14:textId="7172577B" w:rsidR="0020579B" w:rsidRPr="00351A46" w:rsidRDefault="0020579B">
      <w:pPr>
        <w:numPr>
          <w:ilvl w:val="1"/>
          <w:numId w:val="5"/>
        </w:numPr>
        <w:jc w:val="both"/>
        <w:rPr>
          <w:lang w:val="en-AU"/>
        </w:rPr>
      </w:pPr>
      <w:r w:rsidRPr="00351A46">
        <w:rPr>
          <w:lang w:val="en-AU"/>
        </w:rPr>
        <w:t>Inadequate availability and accessibility of data</w:t>
      </w:r>
    </w:p>
    <w:p w14:paraId="683ECE90" w14:textId="4A92F0C9" w:rsidR="0020579B" w:rsidRPr="00351A46" w:rsidRDefault="0020579B">
      <w:pPr>
        <w:numPr>
          <w:ilvl w:val="1"/>
          <w:numId w:val="5"/>
        </w:numPr>
        <w:jc w:val="both"/>
        <w:rPr>
          <w:lang w:val="en-AU"/>
        </w:rPr>
      </w:pPr>
      <w:r w:rsidRPr="00351A46">
        <w:rPr>
          <w:lang w:val="en-AU"/>
        </w:rPr>
        <w:t xml:space="preserve">Limited interaction between producers and users of knowledge in the </w:t>
      </w:r>
      <w:r w:rsidR="0085747B" w:rsidRPr="00351A46">
        <w:rPr>
          <w:lang w:val="en-AU"/>
        </w:rPr>
        <w:t>policymak</w:t>
      </w:r>
      <w:r w:rsidRPr="00351A46">
        <w:rPr>
          <w:lang w:val="en-AU"/>
        </w:rPr>
        <w:t>ing process</w:t>
      </w:r>
    </w:p>
    <w:p w14:paraId="4C875097" w14:textId="022C2677" w:rsidR="0020579B" w:rsidRPr="00351A46" w:rsidRDefault="0020579B">
      <w:pPr>
        <w:numPr>
          <w:ilvl w:val="1"/>
          <w:numId w:val="5"/>
        </w:numPr>
        <w:jc w:val="both"/>
        <w:rPr>
          <w:lang w:val="en-AU"/>
        </w:rPr>
      </w:pPr>
      <w:r w:rsidRPr="00351A46">
        <w:rPr>
          <w:lang w:val="en-AU"/>
        </w:rPr>
        <w:t>Low capacity to demand and use evidenc</w:t>
      </w:r>
      <w:r w:rsidR="000C2166" w:rsidRPr="00351A46">
        <w:rPr>
          <w:lang w:val="en-AU"/>
        </w:rPr>
        <w:t xml:space="preserve">e on the part of </w:t>
      </w:r>
      <w:r w:rsidR="0085747B" w:rsidRPr="00351A46">
        <w:rPr>
          <w:lang w:val="en-AU"/>
        </w:rPr>
        <w:t>policymak</w:t>
      </w:r>
      <w:r w:rsidR="000C2166" w:rsidRPr="00351A46">
        <w:rPr>
          <w:lang w:val="en-AU"/>
        </w:rPr>
        <w:t>ers</w:t>
      </w:r>
    </w:p>
    <w:p w14:paraId="671B8458" w14:textId="72CC55BB" w:rsidR="0072494D" w:rsidRPr="00351A46" w:rsidRDefault="0072494D">
      <w:pPr>
        <w:pStyle w:val="Heading3"/>
        <w:rPr>
          <w:lang w:val="en-AU"/>
        </w:rPr>
      </w:pPr>
      <w:bookmarkStart w:id="22" w:name="_Toc514418244"/>
      <w:r w:rsidRPr="00351A46">
        <w:rPr>
          <w:lang w:val="en-AU"/>
        </w:rPr>
        <w:t xml:space="preserve">Focus Area 1: </w:t>
      </w:r>
      <w:r w:rsidR="00DA4C03" w:rsidRPr="00351A46">
        <w:rPr>
          <w:lang w:val="en-AU"/>
        </w:rPr>
        <w:t>Better quality and more effective communication of policy research</w:t>
      </w:r>
      <w:bookmarkEnd w:id="22"/>
      <w:r w:rsidR="00DA4C03" w:rsidRPr="00351A46">
        <w:rPr>
          <w:lang w:val="en-AU"/>
        </w:rPr>
        <w:t xml:space="preserve"> </w:t>
      </w:r>
    </w:p>
    <w:p w14:paraId="45C4B7B1" w14:textId="3FA4E7FA" w:rsidR="00F912D4" w:rsidRPr="001C1496" w:rsidRDefault="00F912D4" w:rsidP="001C1496">
      <w:pPr>
        <w:tabs>
          <w:tab w:val="left" w:pos="2940"/>
        </w:tabs>
        <w:spacing w:after="0"/>
        <w:jc w:val="both"/>
        <w:rPr>
          <w:sz w:val="10"/>
          <w:lang w:val="en-AU"/>
        </w:rPr>
      </w:pPr>
    </w:p>
    <w:p w14:paraId="25B10A19" w14:textId="77D8FC19" w:rsidR="0072494D" w:rsidRPr="00351A46" w:rsidRDefault="0072494D" w:rsidP="001C1496">
      <w:pPr>
        <w:tabs>
          <w:tab w:val="left" w:pos="2940"/>
        </w:tabs>
        <w:jc w:val="both"/>
        <w:rPr>
          <w:lang w:val="en-AU"/>
        </w:rPr>
      </w:pPr>
      <w:r w:rsidRPr="00351A46">
        <w:rPr>
          <w:lang w:val="en-AU"/>
        </w:rPr>
        <w:t xml:space="preserve">This focus area </w:t>
      </w:r>
      <w:r w:rsidR="00E941A1" w:rsidRPr="00351A46">
        <w:rPr>
          <w:lang w:val="en-AU"/>
        </w:rPr>
        <w:t>is concerned</w:t>
      </w:r>
      <w:r w:rsidRPr="00351A46">
        <w:rPr>
          <w:lang w:val="en-AU"/>
        </w:rPr>
        <w:t xml:space="preserve"> with improving the quality of research conducted by </w:t>
      </w:r>
      <w:r w:rsidR="00346129" w:rsidRPr="00351A46">
        <w:rPr>
          <w:spacing w:val="-14"/>
          <w:lang w:val="en-AU"/>
        </w:rPr>
        <w:t xml:space="preserve">PRIs </w:t>
      </w:r>
      <w:r w:rsidRPr="00351A46">
        <w:rPr>
          <w:lang w:val="en-AU"/>
        </w:rPr>
        <w:t>and</w:t>
      </w:r>
      <w:r w:rsidRPr="00351A46">
        <w:rPr>
          <w:spacing w:val="-11"/>
          <w:lang w:val="en-AU"/>
        </w:rPr>
        <w:t xml:space="preserve"> </w:t>
      </w:r>
      <w:r w:rsidRPr="00351A46">
        <w:rPr>
          <w:lang w:val="en-AU"/>
        </w:rPr>
        <w:t>universities,</w:t>
      </w:r>
      <w:r w:rsidRPr="00351A46">
        <w:rPr>
          <w:spacing w:val="-12"/>
          <w:lang w:val="en-AU"/>
        </w:rPr>
        <w:t xml:space="preserve"> </w:t>
      </w:r>
      <w:r w:rsidRPr="00351A46">
        <w:rPr>
          <w:lang w:val="en-AU"/>
        </w:rPr>
        <w:t>the</w:t>
      </w:r>
      <w:r w:rsidRPr="00351A46">
        <w:rPr>
          <w:spacing w:val="-11"/>
          <w:lang w:val="en-AU"/>
        </w:rPr>
        <w:t xml:space="preserve"> </w:t>
      </w:r>
      <w:r w:rsidRPr="00351A46">
        <w:rPr>
          <w:lang w:val="en-AU"/>
        </w:rPr>
        <w:t>relevance</w:t>
      </w:r>
      <w:r w:rsidRPr="00351A46">
        <w:rPr>
          <w:spacing w:val="-11"/>
          <w:lang w:val="en-AU"/>
        </w:rPr>
        <w:t xml:space="preserve"> </w:t>
      </w:r>
      <w:r w:rsidRPr="00351A46">
        <w:rPr>
          <w:lang w:val="en-AU"/>
        </w:rPr>
        <w:t>of</w:t>
      </w:r>
      <w:r w:rsidRPr="00351A46">
        <w:rPr>
          <w:spacing w:val="-13"/>
          <w:lang w:val="en-AU"/>
        </w:rPr>
        <w:t xml:space="preserve"> </w:t>
      </w:r>
      <w:r w:rsidRPr="00351A46">
        <w:rPr>
          <w:lang w:val="en-AU"/>
        </w:rPr>
        <w:t>this</w:t>
      </w:r>
      <w:r w:rsidRPr="00351A46">
        <w:rPr>
          <w:spacing w:val="-12"/>
          <w:lang w:val="en-AU"/>
        </w:rPr>
        <w:t xml:space="preserve"> </w:t>
      </w:r>
      <w:r w:rsidRPr="00351A46">
        <w:rPr>
          <w:lang w:val="en-AU"/>
        </w:rPr>
        <w:t>research</w:t>
      </w:r>
      <w:r w:rsidRPr="00351A46">
        <w:rPr>
          <w:spacing w:val="-11"/>
          <w:lang w:val="en-AU"/>
        </w:rPr>
        <w:t xml:space="preserve"> </w:t>
      </w:r>
      <w:r w:rsidRPr="00351A46">
        <w:rPr>
          <w:lang w:val="en-AU"/>
        </w:rPr>
        <w:t>to</w:t>
      </w:r>
      <w:r w:rsidRPr="00351A46">
        <w:rPr>
          <w:spacing w:val="-14"/>
          <w:lang w:val="en-AU"/>
        </w:rPr>
        <w:t xml:space="preserve"> </w:t>
      </w:r>
      <w:r w:rsidRPr="00351A46">
        <w:rPr>
          <w:lang w:val="en-AU"/>
        </w:rPr>
        <w:t>policy</w:t>
      </w:r>
      <w:r w:rsidR="00D96785" w:rsidRPr="00351A46">
        <w:rPr>
          <w:lang w:val="en-AU"/>
        </w:rPr>
        <w:t>,</w:t>
      </w:r>
      <w:r w:rsidRPr="00351A46">
        <w:rPr>
          <w:spacing w:val="-13"/>
          <w:lang w:val="en-AU"/>
        </w:rPr>
        <w:t xml:space="preserve"> </w:t>
      </w:r>
      <w:r w:rsidRPr="00351A46">
        <w:rPr>
          <w:lang w:val="en-AU"/>
        </w:rPr>
        <w:t>and</w:t>
      </w:r>
      <w:r w:rsidRPr="00351A46">
        <w:rPr>
          <w:spacing w:val="-5"/>
          <w:lang w:val="en-AU"/>
        </w:rPr>
        <w:t xml:space="preserve"> </w:t>
      </w:r>
      <w:r w:rsidRPr="00351A46">
        <w:rPr>
          <w:lang w:val="en-AU"/>
        </w:rPr>
        <w:t>its</w:t>
      </w:r>
      <w:r w:rsidRPr="00351A46">
        <w:rPr>
          <w:spacing w:val="-12"/>
          <w:lang w:val="en-AU"/>
        </w:rPr>
        <w:t xml:space="preserve"> </w:t>
      </w:r>
      <w:r w:rsidRPr="00351A46">
        <w:rPr>
          <w:lang w:val="en-AU"/>
        </w:rPr>
        <w:t>effective communication to policymakers</w:t>
      </w:r>
      <w:r w:rsidR="005E5E55" w:rsidRPr="00351A46">
        <w:rPr>
          <w:lang w:val="en-AU"/>
        </w:rPr>
        <w:t xml:space="preserve"> and other key policy actors. </w:t>
      </w:r>
    </w:p>
    <w:p w14:paraId="13DD2AAA" w14:textId="77777777" w:rsidR="0072494D" w:rsidRPr="00351A46" w:rsidRDefault="0072494D">
      <w:pPr>
        <w:jc w:val="both"/>
        <w:rPr>
          <w:lang w:val="en-AU"/>
        </w:rPr>
      </w:pPr>
      <w:r w:rsidRPr="00351A46">
        <w:rPr>
          <w:lang w:val="en-AU"/>
        </w:rPr>
        <w:t>For the purposes of KSI Phase 2, quality research is defined as being:</w:t>
      </w:r>
    </w:p>
    <w:p w14:paraId="26BA7D79" w14:textId="0B1526E6" w:rsidR="0072494D" w:rsidRPr="00351A46" w:rsidRDefault="0072494D">
      <w:pPr>
        <w:pStyle w:val="ListParagraph"/>
        <w:numPr>
          <w:ilvl w:val="0"/>
          <w:numId w:val="3"/>
        </w:numPr>
        <w:jc w:val="both"/>
        <w:rPr>
          <w:lang w:val="en-AU"/>
        </w:rPr>
      </w:pPr>
      <w:r w:rsidRPr="00351A46">
        <w:rPr>
          <w:lang w:val="en-AU"/>
        </w:rPr>
        <w:t>Credible (i</w:t>
      </w:r>
      <w:r w:rsidR="00D96785" w:rsidRPr="00351A46">
        <w:rPr>
          <w:lang w:val="en-AU"/>
        </w:rPr>
        <w:t>.</w:t>
      </w:r>
      <w:r w:rsidRPr="00351A46">
        <w:rPr>
          <w:lang w:val="en-AU"/>
        </w:rPr>
        <w:t>e</w:t>
      </w:r>
      <w:r w:rsidR="00D96785" w:rsidRPr="00351A46">
        <w:rPr>
          <w:lang w:val="en-AU"/>
        </w:rPr>
        <w:t>.</w:t>
      </w:r>
      <w:r w:rsidRPr="00351A46">
        <w:rPr>
          <w:lang w:val="en-AU"/>
        </w:rPr>
        <w:t xml:space="preserve"> peer reviewed, rigorous, consistent,</w:t>
      </w:r>
      <w:r w:rsidRPr="00351A46">
        <w:rPr>
          <w:spacing w:val="-11"/>
          <w:lang w:val="en-AU"/>
        </w:rPr>
        <w:t xml:space="preserve"> </w:t>
      </w:r>
      <w:r w:rsidRPr="00351A46">
        <w:rPr>
          <w:lang w:val="en-AU"/>
        </w:rPr>
        <w:t>coherent)</w:t>
      </w:r>
    </w:p>
    <w:p w14:paraId="5B6C49E5" w14:textId="6F5AAA22" w:rsidR="0072494D" w:rsidRPr="00351A46" w:rsidRDefault="004B09E9">
      <w:pPr>
        <w:pStyle w:val="ListParagraph"/>
        <w:numPr>
          <w:ilvl w:val="0"/>
          <w:numId w:val="3"/>
        </w:numPr>
        <w:jc w:val="both"/>
        <w:rPr>
          <w:lang w:val="en-AU"/>
        </w:rPr>
      </w:pPr>
      <w:r w:rsidRPr="00351A46">
        <w:rPr>
          <w:lang w:val="en-AU"/>
        </w:rPr>
        <w:t>Policy-relevant</w:t>
      </w:r>
    </w:p>
    <w:p w14:paraId="645BC635" w14:textId="039115E2" w:rsidR="0072494D" w:rsidRPr="00351A46" w:rsidRDefault="0072494D">
      <w:pPr>
        <w:pStyle w:val="ListParagraph"/>
        <w:numPr>
          <w:ilvl w:val="0"/>
          <w:numId w:val="3"/>
        </w:numPr>
        <w:jc w:val="both"/>
        <w:rPr>
          <w:lang w:val="en-AU"/>
        </w:rPr>
      </w:pPr>
      <w:r w:rsidRPr="00351A46">
        <w:rPr>
          <w:lang w:val="en-AU"/>
        </w:rPr>
        <w:t>Accessible, timely and appropriate for the intended audience</w:t>
      </w:r>
    </w:p>
    <w:p w14:paraId="2FCFCE4D" w14:textId="3AB4CF7E" w:rsidR="0072494D" w:rsidRPr="00351A46" w:rsidRDefault="0072494D">
      <w:pPr>
        <w:pStyle w:val="ListParagraph"/>
        <w:numPr>
          <w:ilvl w:val="0"/>
          <w:numId w:val="3"/>
        </w:numPr>
        <w:jc w:val="both"/>
        <w:rPr>
          <w:lang w:val="en-AU"/>
        </w:rPr>
      </w:pPr>
      <w:r w:rsidRPr="00351A46">
        <w:rPr>
          <w:lang w:val="en-AU"/>
        </w:rPr>
        <w:t>Sensitive to gender equality and social inclusion (GESI)</w:t>
      </w:r>
      <w:r w:rsidR="009C7455" w:rsidRPr="009C7455">
        <w:rPr>
          <w:lang w:val="en-AU"/>
        </w:rPr>
        <w:t xml:space="preserve"> </w:t>
      </w:r>
      <w:r w:rsidR="009C7455" w:rsidRPr="00351A46">
        <w:rPr>
          <w:lang w:val="en-AU"/>
        </w:rPr>
        <w:t>issues</w:t>
      </w:r>
      <w:r w:rsidRPr="00351A46">
        <w:rPr>
          <w:lang w:val="en-AU"/>
        </w:rPr>
        <w:t>.</w:t>
      </w:r>
    </w:p>
    <w:p w14:paraId="522A1ACA" w14:textId="4588EE17" w:rsidR="0072494D" w:rsidRPr="00351A46" w:rsidRDefault="0072494D">
      <w:pPr>
        <w:jc w:val="both"/>
        <w:rPr>
          <w:lang w:val="en-AU"/>
        </w:rPr>
      </w:pPr>
      <w:r w:rsidRPr="00351A46">
        <w:rPr>
          <w:lang w:val="en-AU"/>
        </w:rPr>
        <w:t>It</w:t>
      </w:r>
      <w:r w:rsidRPr="00351A46">
        <w:rPr>
          <w:spacing w:val="-12"/>
          <w:lang w:val="en-AU"/>
        </w:rPr>
        <w:t xml:space="preserve"> </w:t>
      </w:r>
      <w:r w:rsidRPr="00351A46">
        <w:rPr>
          <w:lang w:val="en-AU"/>
        </w:rPr>
        <w:t>will</w:t>
      </w:r>
      <w:r w:rsidRPr="00351A46">
        <w:rPr>
          <w:spacing w:val="-12"/>
          <w:lang w:val="en-AU"/>
        </w:rPr>
        <w:t xml:space="preserve"> </w:t>
      </w:r>
      <w:r w:rsidRPr="00351A46">
        <w:rPr>
          <w:lang w:val="en-AU"/>
        </w:rPr>
        <w:t>be</w:t>
      </w:r>
      <w:r w:rsidRPr="00351A46">
        <w:rPr>
          <w:spacing w:val="-11"/>
          <w:lang w:val="en-AU"/>
        </w:rPr>
        <w:t xml:space="preserve"> </w:t>
      </w:r>
      <w:r w:rsidRPr="00351A46">
        <w:rPr>
          <w:lang w:val="en-AU"/>
        </w:rPr>
        <w:t>important</w:t>
      </w:r>
      <w:r w:rsidRPr="00351A46">
        <w:rPr>
          <w:spacing w:val="-11"/>
          <w:lang w:val="en-AU"/>
        </w:rPr>
        <w:t xml:space="preserve"> </w:t>
      </w:r>
      <w:r w:rsidRPr="00351A46">
        <w:rPr>
          <w:lang w:val="en-AU"/>
        </w:rPr>
        <w:t>for</w:t>
      </w:r>
      <w:r w:rsidRPr="00351A46">
        <w:rPr>
          <w:spacing w:val="-12"/>
          <w:lang w:val="en-AU"/>
        </w:rPr>
        <w:t xml:space="preserve"> </w:t>
      </w:r>
      <w:r w:rsidRPr="00351A46">
        <w:rPr>
          <w:lang w:val="en-AU"/>
        </w:rPr>
        <w:t>KSI,</w:t>
      </w:r>
      <w:r w:rsidRPr="00351A46">
        <w:rPr>
          <w:spacing w:val="-13"/>
          <w:lang w:val="en-AU"/>
        </w:rPr>
        <w:t xml:space="preserve"> </w:t>
      </w:r>
      <w:r w:rsidRPr="00351A46">
        <w:rPr>
          <w:lang w:val="en-AU"/>
        </w:rPr>
        <w:t>shareholders</w:t>
      </w:r>
      <w:r w:rsidRPr="00351A46">
        <w:rPr>
          <w:spacing w:val="-15"/>
          <w:lang w:val="en-AU"/>
        </w:rPr>
        <w:t xml:space="preserve"> </w:t>
      </w:r>
      <w:r w:rsidRPr="00351A46">
        <w:rPr>
          <w:lang w:val="en-AU"/>
        </w:rPr>
        <w:t>and</w:t>
      </w:r>
      <w:r w:rsidRPr="00351A46">
        <w:rPr>
          <w:spacing w:val="-11"/>
          <w:lang w:val="en-AU"/>
        </w:rPr>
        <w:t xml:space="preserve"> </w:t>
      </w:r>
      <w:r w:rsidRPr="00351A46">
        <w:rPr>
          <w:lang w:val="en-AU"/>
        </w:rPr>
        <w:t>stakeholders</w:t>
      </w:r>
      <w:r w:rsidRPr="00351A46">
        <w:rPr>
          <w:spacing w:val="-12"/>
          <w:lang w:val="en-AU"/>
        </w:rPr>
        <w:t xml:space="preserve"> </w:t>
      </w:r>
      <w:r w:rsidRPr="00351A46">
        <w:rPr>
          <w:lang w:val="en-AU"/>
        </w:rPr>
        <w:t>to</w:t>
      </w:r>
      <w:r w:rsidRPr="00351A46">
        <w:rPr>
          <w:spacing w:val="-14"/>
          <w:lang w:val="en-AU"/>
        </w:rPr>
        <w:t xml:space="preserve"> </w:t>
      </w:r>
      <w:r w:rsidRPr="00351A46">
        <w:rPr>
          <w:lang w:val="en-AU"/>
        </w:rPr>
        <w:t>have</w:t>
      </w:r>
      <w:r w:rsidRPr="00351A46">
        <w:rPr>
          <w:spacing w:val="-14"/>
          <w:lang w:val="en-AU"/>
        </w:rPr>
        <w:t xml:space="preserve"> </w:t>
      </w:r>
      <w:r w:rsidR="006D410B" w:rsidRPr="00351A46">
        <w:rPr>
          <w:lang w:val="en-AU"/>
        </w:rPr>
        <w:t>on-going</w:t>
      </w:r>
      <w:r w:rsidRPr="00351A46">
        <w:rPr>
          <w:spacing w:val="-15"/>
          <w:lang w:val="en-AU"/>
        </w:rPr>
        <w:t xml:space="preserve"> </w:t>
      </w:r>
      <w:r w:rsidRPr="00351A46">
        <w:rPr>
          <w:lang w:val="en-AU"/>
        </w:rPr>
        <w:t>discussions</w:t>
      </w:r>
      <w:r w:rsidRPr="00351A46">
        <w:rPr>
          <w:spacing w:val="-15"/>
          <w:lang w:val="en-AU"/>
        </w:rPr>
        <w:t xml:space="preserve"> </w:t>
      </w:r>
      <w:r w:rsidRPr="00351A46">
        <w:rPr>
          <w:lang w:val="en-AU"/>
        </w:rPr>
        <w:t>to</w:t>
      </w:r>
      <w:r w:rsidRPr="00351A46">
        <w:rPr>
          <w:spacing w:val="-14"/>
          <w:lang w:val="en-AU"/>
        </w:rPr>
        <w:t xml:space="preserve"> </w:t>
      </w:r>
      <w:r w:rsidRPr="00351A46">
        <w:rPr>
          <w:lang w:val="en-AU"/>
        </w:rPr>
        <w:t>develop a shared understanding of the definition of quality policy research. Over time this may lead to a refinement or evolution of the definition</w:t>
      </w:r>
      <w:r w:rsidRPr="00351A46">
        <w:rPr>
          <w:spacing w:val="-6"/>
          <w:lang w:val="en-AU"/>
        </w:rPr>
        <w:t xml:space="preserve"> </w:t>
      </w:r>
      <w:r w:rsidRPr="00351A46">
        <w:rPr>
          <w:lang w:val="en-AU"/>
        </w:rPr>
        <w:t>above.</w:t>
      </w:r>
    </w:p>
    <w:p w14:paraId="3452A7C7" w14:textId="77777777" w:rsidR="0072494D" w:rsidRPr="00351A46" w:rsidRDefault="0072494D">
      <w:pPr>
        <w:jc w:val="both"/>
        <w:rPr>
          <w:lang w:val="en-AU"/>
        </w:rPr>
      </w:pPr>
      <w:r w:rsidRPr="00351A46">
        <w:rPr>
          <w:lang w:val="en-AU"/>
        </w:rPr>
        <w:t>Effective communication of policy research includes:</w:t>
      </w:r>
    </w:p>
    <w:p w14:paraId="61FB4273" w14:textId="6004389A" w:rsidR="0072494D" w:rsidRPr="00351A46" w:rsidRDefault="0072494D">
      <w:pPr>
        <w:pStyle w:val="ListParagraph"/>
        <w:numPr>
          <w:ilvl w:val="0"/>
          <w:numId w:val="4"/>
        </w:numPr>
        <w:jc w:val="both"/>
        <w:rPr>
          <w:lang w:val="en-AU"/>
        </w:rPr>
      </w:pPr>
      <w:r w:rsidRPr="00351A46">
        <w:rPr>
          <w:lang w:val="en-AU"/>
        </w:rPr>
        <w:t xml:space="preserve">Communication style meets </w:t>
      </w:r>
      <w:r w:rsidR="0018468B" w:rsidRPr="00351A46">
        <w:rPr>
          <w:lang w:val="en-AU"/>
        </w:rPr>
        <w:t xml:space="preserve">the </w:t>
      </w:r>
      <w:r w:rsidRPr="00351A46">
        <w:rPr>
          <w:lang w:val="en-AU"/>
        </w:rPr>
        <w:t>needs of the intended</w:t>
      </w:r>
      <w:r w:rsidRPr="00351A46">
        <w:rPr>
          <w:spacing w:val="-2"/>
          <w:lang w:val="en-AU"/>
        </w:rPr>
        <w:t xml:space="preserve"> </w:t>
      </w:r>
      <w:r w:rsidRPr="00351A46">
        <w:rPr>
          <w:lang w:val="en-AU"/>
        </w:rPr>
        <w:t>audience</w:t>
      </w:r>
    </w:p>
    <w:p w14:paraId="7F3128B7" w14:textId="1CFC4BDB" w:rsidR="0072494D" w:rsidRPr="00351A46" w:rsidRDefault="0072494D">
      <w:pPr>
        <w:pStyle w:val="ListParagraph"/>
        <w:numPr>
          <w:ilvl w:val="0"/>
          <w:numId w:val="4"/>
        </w:numPr>
        <w:jc w:val="both"/>
        <w:rPr>
          <w:lang w:val="en-AU"/>
        </w:rPr>
      </w:pPr>
      <w:r w:rsidRPr="00351A46">
        <w:rPr>
          <w:lang w:val="en-AU"/>
        </w:rPr>
        <w:t>Shorter, more targeted documents synthesising research</w:t>
      </w:r>
      <w:r w:rsidRPr="00351A46">
        <w:rPr>
          <w:spacing w:val="-1"/>
          <w:lang w:val="en-AU"/>
        </w:rPr>
        <w:t xml:space="preserve"> </w:t>
      </w:r>
      <w:r w:rsidRPr="00351A46">
        <w:rPr>
          <w:lang w:val="en-AU"/>
        </w:rPr>
        <w:t>findings</w:t>
      </w:r>
    </w:p>
    <w:p w14:paraId="1BF3E6C0" w14:textId="529E70E4" w:rsidR="0072494D" w:rsidRPr="00351A46" w:rsidRDefault="0072494D">
      <w:pPr>
        <w:pStyle w:val="ListParagraph"/>
        <w:numPr>
          <w:ilvl w:val="0"/>
          <w:numId w:val="4"/>
        </w:numPr>
        <w:jc w:val="both"/>
        <w:rPr>
          <w:lang w:val="en-AU"/>
        </w:rPr>
      </w:pPr>
      <w:r w:rsidRPr="00351A46">
        <w:rPr>
          <w:lang w:val="en-AU"/>
        </w:rPr>
        <w:t>Providing actionable policy</w:t>
      </w:r>
      <w:r w:rsidRPr="00351A46">
        <w:rPr>
          <w:spacing w:val="-2"/>
          <w:lang w:val="en-AU"/>
        </w:rPr>
        <w:t xml:space="preserve"> </w:t>
      </w:r>
      <w:r w:rsidRPr="00351A46">
        <w:rPr>
          <w:lang w:val="en-AU"/>
        </w:rPr>
        <w:t>recommendations</w:t>
      </w:r>
      <w:r w:rsidR="0018468B" w:rsidRPr="00351A46">
        <w:rPr>
          <w:lang w:val="en-AU"/>
        </w:rPr>
        <w:t>.</w:t>
      </w:r>
    </w:p>
    <w:p w14:paraId="3E6FCD7C" w14:textId="7354F977" w:rsidR="0072494D" w:rsidRPr="00351A46" w:rsidRDefault="0072494D">
      <w:pPr>
        <w:pStyle w:val="Heading3"/>
        <w:rPr>
          <w:lang w:val="en-AU"/>
        </w:rPr>
      </w:pPr>
      <w:bookmarkStart w:id="23" w:name="_Toc514418245"/>
      <w:r w:rsidRPr="00351A46">
        <w:rPr>
          <w:lang w:val="en-AU"/>
        </w:rPr>
        <w:t xml:space="preserve">Focus Area 2: </w:t>
      </w:r>
      <w:r w:rsidR="003468BE" w:rsidRPr="00351A46">
        <w:rPr>
          <w:lang w:val="en-AU"/>
        </w:rPr>
        <w:t>More and better spending on policy research</w:t>
      </w:r>
      <w:bookmarkEnd w:id="23"/>
      <w:r w:rsidR="001D26E1" w:rsidRPr="00351A46">
        <w:rPr>
          <w:lang w:val="en-AU"/>
        </w:rPr>
        <w:t xml:space="preserve"> </w:t>
      </w:r>
    </w:p>
    <w:p w14:paraId="622ADF31" w14:textId="77777777" w:rsidR="0072494D" w:rsidRPr="001C1496" w:rsidRDefault="0072494D" w:rsidP="001C1496">
      <w:pPr>
        <w:pStyle w:val="BodyText"/>
        <w:keepNext/>
        <w:rPr>
          <w:b/>
          <w:sz w:val="12"/>
          <w:lang w:val="en-AU"/>
        </w:rPr>
      </w:pPr>
    </w:p>
    <w:p w14:paraId="21C15024" w14:textId="5F7F708C" w:rsidR="0072494D" w:rsidRPr="00351A46" w:rsidRDefault="0072494D" w:rsidP="001C1496">
      <w:pPr>
        <w:keepNext/>
        <w:jc w:val="both"/>
        <w:rPr>
          <w:lang w:val="en-AU"/>
        </w:rPr>
      </w:pPr>
      <w:r w:rsidRPr="00351A46">
        <w:rPr>
          <w:lang w:val="en-AU"/>
        </w:rPr>
        <w:t>This focus area is concerned with increasing the amount of government and private sector funding</w:t>
      </w:r>
      <w:r w:rsidRPr="00351A46">
        <w:rPr>
          <w:spacing w:val="-14"/>
          <w:lang w:val="en-AU"/>
        </w:rPr>
        <w:t xml:space="preserve"> </w:t>
      </w:r>
      <w:r w:rsidRPr="00351A46">
        <w:rPr>
          <w:lang w:val="en-AU"/>
        </w:rPr>
        <w:t>for</w:t>
      </w:r>
      <w:r w:rsidRPr="00351A46">
        <w:rPr>
          <w:spacing w:val="-14"/>
          <w:lang w:val="en-AU"/>
        </w:rPr>
        <w:t xml:space="preserve"> </w:t>
      </w:r>
      <w:r w:rsidRPr="00351A46">
        <w:rPr>
          <w:lang w:val="en-AU"/>
        </w:rPr>
        <w:t>policy</w:t>
      </w:r>
      <w:r w:rsidRPr="00351A46">
        <w:rPr>
          <w:spacing w:val="-13"/>
          <w:lang w:val="en-AU"/>
        </w:rPr>
        <w:t xml:space="preserve"> </w:t>
      </w:r>
      <w:r w:rsidRPr="00351A46">
        <w:rPr>
          <w:lang w:val="en-AU"/>
        </w:rPr>
        <w:t>research</w:t>
      </w:r>
      <w:r w:rsidRPr="00351A46">
        <w:rPr>
          <w:spacing w:val="-12"/>
          <w:lang w:val="en-AU"/>
        </w:rPr>
        <w:t xml:space="preserve"> </w:t>
      </w:r>
      <w:r w:rsidRPr="00351A46">
        <w:rPr>
          <w:lang w:val="en-AU"/>
        </w:rPr>
        <w:t>and</w:t>
      </w:r>
      <w:r w:rsidRPr="00351A46">
        <w:rPr>
          <w:spacing w:val="-14"/>
          <w:lang w:val="en-AU"/>
        </w:rPr>
        <w:t xml:space="preserve"> </w:t>
      </w:r>
      <w:r w:rsidRPr="00351A46">
        <w:rPr>
          <w:lang w:val="en-AU"/>
        </w:rPr>
        <w:t>more</w:t>
      </w:r>
      <w:r w:rsidRPr="00351A46">
        <w:rPr>
          <w:spacing w:val="-14"/>
          <w:lang w:val="en-AU"/>
        </w:rPr>
        <w:t xml:space="preserve"> </w:t>
      </w:r>
      <w:r w:rsidRPr="00351A46">
        <w:rPr>
          <w:lang w:val="en-AU"/>
        </w:rPr>
        <w:t>efficient</w:t>
      </w:r>
      <w:r w:rsidRPr="00351A46">
        <w:rPr>
          <w:spacing w:val="-11"/>
          <w:lang w:val="en-AU"/>
        </w:rPr>
        <w:t xml:space="preserve"> </w:t>
      </w:r>
      <w:r w:rsidRPr="00351A46">
        <w:rPr>
          <w:lang w:val="en-AU"/>
        </w:rPr>
        <w:t>and</w:t>
      </w:r>
      <w:r w:rsidRPr="00351A46">
        <w:rPr>
          <w:spacing w:val="-15"/>
          <w:lang w:val="en-AU"/>
        </w:rPr>
        <w:t xml:space="preserve"> </w:t>
      </w:r>
      <w:r w:rsidRPr="00351A46">
        <w:rPr>
          <w:lang w:val="en-AU"/>
        </w:rPr>
        <w:t>effective</w:t>
      </w:r>
      <w:r w:rsidRPr="00351A46">
        <w:rPr>
          <w:spacing w:val="-12"/>
          <w:lang w:val="en-AU"/>
        </w:rPr>
        <w:t xml:space="preserve"> </w:t>
      </w:r>
      <w:r w:rsidRPr="00351A46">
        <w:rPr>
          <w:lang w:val="en-AU"/>
        </w:rPr>
        <w:t>spending</w:t>
      </w:r>
      <w:r w:rsidRPr="00351A46">
        <w:rPr>
          <w:spacing w:val="-14"/>
          <w:lang w:val="en-AU"/>
        </w:rPr>
        <w:t xml:space="preserve"> </w:t>
      </w:r>
      <w:r w:rsidRPr="00351A46">
        <w:rPr>
          <w:lang w:val="en-AU"/>
        </w:rPr>
        <w:t>on</w:t>
      </w:r>
      <w:r w:rsidRPr="00351A46">
        <w:rPr>
          <w:spacing w:val="-13"/>
          <w:lang w:val="en-AU"/>
        </w:rPr>
        <w:t xml:space="preserve"> </w:t>
      </w:r>
      <w:r w:rsidRPr="00351A46">
        <w:rPr>
          <w:lang w:val="en-AU"/>
        </w:rPr>
        <w:t>policy</w:t>
      </w:r>
      <w:r w:rsidRPr="00351A46">
        <w:rPr>
          <w:spacing w:val="-12"/>
          <w:lang w:val="en-AU"/>
        </w:rPr>
        <w:t xml:space="preserve"> </w:t>
      </w:r>
      <w:r w:rsidRPr="00351A46">
        <w:rPr>
          <w:lang w:val="en-AU"/>
        </w:rPr>
        <w:t>research</w:t>
      </w:r>
      <w:r w:rsidRPr="00351A46">
        <w:rPr>
          <w:spacing w:val="-14"/>
          <w:lang w:val="en-AU"/>
        </w:rPr>
        <w:t xml:space="preserve"> </w:t>
      </w:r>
      <w:r w:rsidRPr="00351A46">
        <w:rPr>
          <w:lang w:val="en-AU"/>
        </w:rPr>
        <w:t>to</w:t>
      </w:r>
      <w:r w:rsidRPr="00351A46">
        <w:rPr>
          <w:spacing w:val="-14"/>
          <w:lang w:val="en-AU"/>
        </w:rPr>
        <w:t xml:space="preserve"> </w:t>
      </w:r>
      <w:r w:rsidRPr="00351A46">
        <w:rPr>
          <w:lang w:val="en-AU"/>
        </w:rPr>
        <w:t>ensure better quality research. This could include, for example, reducing the administrative burden around research grant requirements, improving procurement processes</w:t>
      </w:r>
      <w:r w:rsidR="0018468B" w:rsidRPr="00351A46">
        <w:rPr>
          <w:lang w:val="en-AU"/>
        </w:rPr>
        <w:t>,</w:t>
      </w:r>
      <w:r w:rsidRPr="00351A46">
        <w:rPr>
          <w:lang w:val="en-AU"/>
        </w:rPr>
        <w:t xml:space="preserve"> or improving research agenda-setting and planning</w:t>
      </w:r>
      <w:r w:rsidRPr="00351A46">
        <w:rPr>
          <w:spacing w:val="-3"/>
          <w:lang w:val="en-AU"/>
        </w:rPr>
        <w:t xml:space="preserve"> </w:t>
      </w:r>
      <w:r w:rsidRPr="00351A46">
        <w:rPr>
          <w:lang w:val="en-AU"/>
        </w:rPr>
        <w:t>processes.</w:t>
      </w:r>
    </w:p>
    <w:p w14:paraId="102C39CA" w14:textId="1C2FDC78" w:rsidR="0072494D" w:rsidRPr="00351A46" w:rsidRDefault="003468BE">
      <w:pPr>
        <w:pStyle w:val="Heading3"/>
        <w:rPr>
          <w:lang w:val="en-AU"/>
        </w:rPr>
      </w:pPr>
      <w:bookmarkStart w:id="24" w:name="_Toc514418246"/>
      <w:r w:rsidRPr="00351A46">
        <w:rPr>
          <w:lang w:val="en-AU"/>
        </w:rPr>
        <w:t>Focus Area 3: Data and information is better managed, available and accessible</w:t>
      </w:r>
      <w:bookmarkEnd w:id="24"/>
      <w:r w:rsidRPr="00351A46">
        <w:rPr>
          <w:lang w:val="en-AU"/>
        </w:rPr>
        <w:t xml:space="preserve"> </w:t>
      </w:r>
    </w:p>
    <w:p w14:paraId="0BB1C384" w14:textId="77777777" w:rsidR="0072494D" w:rsidRPr="001C1496" w:rsidRDefault="0072494D">
      <w:pPr>
        <w:pStyle w:val="BodyText"/>
        <w:spacing w:before="3"/>
        <w:rPr>
          <w:b/>
          <w:sz w:val="12"/>
          <w:lang w:val="en-AU"/>
        </w:rPr>
      </w:pPr>
    </w:p>
    <w:p w14:paraId="38AC7E2C" w14:textId="5BB5DC41" w:rsidR="00D64B76" w:rsidRPr="00351A46" w:rsidRDefault="0072494D">
      <w:pPr>
        <w:jc w:val="both"/>
        <w:rPr>
          <w:lang w:val="en-AU"/>
        </w:rPr>
      </w:pPr>
      <w:r w:rsidRPr="00351A46">
        <w:rPr>
          <w:lang w:val="en-AU"/>
        </w:rPr>
        <w:t>This</w:t>
      </w:r>
      <w:r w:rsidRPr="00351A46">
        <w:rPr>
          <w:spacing w:val="-7"/>
          <w:lang w:val="en-AU"/>
        </w:rPr>
        <w:t xml:space="preserve"> </w:t>
      </w:r>
      <w:r w:rsidRPr="00351A46">
        <w:rPr>
          <w:lang w:val="en-AU"/>
        </w:rPr>
        <w:t>focus</w:t>
      </w:r>
      <w:r w:rsidRPr="00351A46">
        <w:rPr>
          <w:spacing w:val="-8"/>
          <w:lang w:val="en-AU"/>
        </w:rPr>
        <w:t xml:space="preserve"> </w:t>
      </w:r>
      <w:r w:rsidRPr="00351A46">
        <w:rPr>
          <w:lang w:val="en-AU"/>
        </w:rPr>
        <w:t>area</w:t>
      </w:r>
      <w:r w:rsidRPr="00351A46">
        <w:rPr>
          <w:spacing w:val="-7"/>
          <w:lang w:val="en-AU"/>
        </w:rPr>
        <w:t xml:space="preserve"> </w:t>
      </w:r>
      <w:r w:rsidRPr="00351A46">
        <w:rPr>
          <w:lang w:val="en-AU"/>
        </w:rPr>
        <w:t>is</w:t>
      </w:r>
      <w:r w:rsidRPr="00351A46">
        <w:rPr>
          <w:spacing w:val="-5"/>
          <w:lang w:val="en-AU"/>
        </w:rPr>
        <w:t xml:space="preserve"> </w:t>
      </w:r>
      <w:r w:rsidRPr="00351A46">
        <w:rPr>
          <w:lang w:val="en-AU"/>
        </w:rPr>
        <w:t>concerned</w:t>
      </w:r>
      <w:r w:rsidRPr="00351A46">
        <w:rPr>
          <w:spacing w:val="-6"/>
          <w:lang w:val="en-AU"/>
        </w:rPr>
        <w:t xml:space="preserve"> </w:t>
      </w:r>
      <w:r w:rsidRPr="00351A46">
        <w:rPr>
          <w:lang w:val="en-AU"/>
        </w:rPr>
        <w:t>with</w:t>
      </w:r>
      <w:r w:rsidRPr="00351A46">
        <w:rPr>
          <w:spacing w:val="-6"/>
          <w:lang w:val="en-AU"/>
        </w:rPr>
        <w:t xml:space="preserve"> </w:t>
      </w:r>
      <w:r w:rsidRPr="00351A46">
        <w:rPr>
          <w:lang w:val="en-AU"/>
        </w:rPr>
        <w:t>ensuring</w:t>
      </w:r>
      <w:r w:rsidRPr="00351A46">
        <w:rPr>
          <w:spacing w:val="-8"/>
          <w:lang w:val="en-AU"/>
        </w:rPr>
        <w:t xml:space="preserve"> </w:t>
      </w:r>
      <w:r w:rsidR="009C7455">
        <w:rPr>
          <w:spacing w:val="-8"/>
          <w:lang w:val="en-AU"/>
        </w:rPr>
        <w:t xml:space="preserve">that </w:t>
      </w:r>
      <w:r w:rsidRPr="00351A46">
        <w:rPr>
          <w:lang w:val="en-AU"/>
        </w:rPr>
        <w:t>quality</w:t>
      </w:r>
      <w:r w:rsidRPr="00351A46">
        <w:rPr>
          <w:spacing w:val="-6"/>
          <w:lang w:val="en-AU"/>
        </w:rPr>
        <w:t xml:space="preserve"> </w:t>
      </w:r>
      <w:r w:rsidRPr="00351A46">
        <w:rPr>
          <w:lang w:val="en-AU"/>
        </w:rPr>
        <w:t>data</w:t>
      </w:r>
      <w:r w:rsidRPr="00351A46">
        <w:rPr>
          <w:spacing w:val="-7"/>
          <w:lang w:val="en-AU"/>
        </w:rPr>
        <w:t xml:space="preserve"> </w:t>
      </w:r>
      <w:r w:rsidRPr="00351A46">
        <w:rPr>
          <w:lang w:val="en-AU"/>
        </w:rPr>
        <w:t>and</w:t>
      </w:r>
      <w:r w:rsidRPr="00351A46">
        <w:rPr>
          <w:spacing w:val="-6"/>
          <w:lang w:val="en-AU"/>
        </w:rPr>
        <w:t xml:space="preserve"> </w:t>
      </w:r>
      <w:r w:rsidRPr="00351A46">
        <w:rPr>
          <w:lang w:val="en-AU"/>
        </w:rPr>
        <w:t>information</w:t>
      </w:r>
      <w:r w:rsidRPr="00351A46">
        <w:rPr>
          <w:spacing w:val="-5"/>
          <w:lang w:val="en-AU"/>
        </w:rPr>
        <w:t xml:space="preserve"> </w:t>
      </w:r>
      <w:r w:rsidRPr="00351A46">
        <w:rPr>
          <w:lang w:val="en-AU"/>
        </w:rPr>
        <w:t>is</w:t>
      </w:r>
      <w:r w:rsidRPr="00351A46">
        <w:rPr>
          <w:spacing w:val="-7"/>
          <w:lang w:val="en-AU"/>
        </w:rPr>
        <w:t xml:space="preserve"> </w:t>
      </w:r>
      <w:r w:rsidRPr="00351A46">
        <w:rPr>
          <w:lang w:val="en-AU"/>
        </w:rPr>
        <w:t>available</w:t>
      </w:r>
      <w:r w:rsidRPr="00351A46">
        <w:rPr>
          <w:spacing w:val="-7"/>
          <w:lang w:val="en-AU"/>
        </w:rPr>
        <w:t xml:space="preserve"> </w:t>
      </w:r>
      <w:r w:rsidRPr="00351A46">
        <w:rPr>
          <w:lang w:val="en-AU"/>
        </w:rPr>
        <w:t>(or</w:t>
      </w:r>
      <w:r w:rsidRPr="00351A46">
        <w:rPr>
          <w:spacing w:val="-7"/>
          <w:lang w:val="en-AU"/>
        </w:rPr>
        <w:t xml:space="preserve"> </w:t>
      </w:r>
      <w:r w:rsidRPr="00351A46">
        <w:rPr>
          <w:lang w:val="en-AU"/>
        </w:rPr>
        <w:t>able</w:t>
      </w:r>
      <w:r w:rsidRPr="00351A46">
        <w:rPr>
          <w:spacing w:val="-7"/>
          <w:lang w:val="en-AU"/>
        </w:rPr>
        <w:t xml:space="preserve"> </w:t>
      </w:r>
      <w:r w:rsidRPr="00351A46">
        <w:rPr>
          <w:lang w:val="en-AU"/>
        </w:rPr>
        <w:t>to</w:t>
      </w:r>
      <w:r w:rsidRPr="00351A46">
        <w:rPr>
          <w:spacing w:val="-9"/>
          <w:lang w:val="en-AU"/>
        </w:rPr>
        <w:t xml:space="preserve"> </w:t>
      </w:r>
      <w:r w:rsidRPr="00351A46">
        <w:rPr>
          <w:lang w:val="en-AU"/>
        </w:rPr>
        <w:t>be procured) and easily accessible (in accessible formats, searchable) by researchers and policymakers, when needed. This includes reducing inconsistent or conflicting</w:t>
      </w:r>
      <w:r w:rsidRPr="00351A46">
        <w:rPr>
          <w:spacing w:val="-15"/>
          <w:lang w:val="en-AU"/>
        </w:rPr>
        <w:t xml:space="preserve"> </w:t>
      </w:r>
      <w:r w:rsidRPr="00351A46">
        <w:rPr>
          <w:lang w:val="en-AU"/>
        </w:rPr>
        <w:t>data.</w:t>
      </w:r>
    </w:p>
    <w:p w14:paraId="3C2B579B" w14:textId="694D0859" w:rsidR="00346AA3" w:rsidRPr="00351A46" w:rsidRDefault="00FB5515">
      <w:pPr>
        <w:pStyle w:val="Heading2"/>
        <w:rPr>
          <w:lang w:val="en-AU"/>
        </w:rPr>
      </w:pPr>
      <w:bookmarkStart w:id="25" w:name="_Toc514418247"/>
      <w:r w:rsidRPr="00351A46">
        <w:rPr>
          <w:lang w:val="en-AU"/>
        </w:rPr>
        <w:t xml:space="preserve">End of </w:t>
      </w:r>
      <w:r w:rsidR="008C3312" w:rsidRPr="00351A46">
        <w:rPr>
          <w:lang w:val="en-AU"/>
        </w:rPr>
        <w:t>Program</w:t>
      </w:r>
      <w:r w:rsidR="00D0604A" w:rsidRPr="00351A46">
        <w:rPr>
          <w:lang w:val="en-AU"/>
        </w:rPr>
        <w:t xml:space="preserve"> </w:t>
      </w:r>
      <w:r w:rsidR="00A147C7" w:rsidRPr="00351A46">
        <w:rPr>
          <w:lang w:val="en-AU"/>
        </w:rPr>
        <w:t>Outcomes</w:t>
      </w:r>
      <w:r w:rsidR="00D64B76" w:rsidRPr="00351A46">
        <w:rPr>
          <w:lang w:val="en-AU"/>
        </w:rPr>
        <w:t xml:space="preserve"> and Key Initiatives</w:t>
      </w:r>
      <w:bookmarkEnd w:id="25"/>
      <w:r w:rsidR="00D64B76" w:rsidRPr="00351A46">
        <w:rPr>
          <w:lang w:val="en-AU"/>
        </w:rPr>
        <w:t xml:space="preserve"> </w:t>
      </w:r>
    </w:p>
    <w:p w14:paraId="1FDC04C2" w14:textId="2A60D79E" w:rsidR="00D64B76" w:rsidRPr="00351A46" w:rsidRDefault="00D64B76" w:rsidP="001C1496">
      <w:pPr>
        <w:spacing w:before="120" w:after="0"/>
        <w:jc w:val="both"/>
        <w:rPr>
          <w:lang w:val="en-AU"/>
        </w:rPr>
      </w:pPr>
      <w:r w:rsidRPr="00351A46">
        <w:rPr>
          <w:lang w:val="en-AU"/>
        </w:rPr>
        <w:t xml:space="preserve">This section provides a summary of each </w:t>
      </w:r>
      <w:r w:rsidR="00000E28" w:rsidRPr="00351A46">
        <w:rPr>
          <w:lang w:val="en-AU"/>
        </w:rPr>
        <w:t xml:space="preserve">EOPO </w:t>
      </w:r>
      <w:r w:rsidRPr="00351A46">
        <w:rPr>
          <w:lang w:val="en-AU"/>
        </w:rPr>
        <w:t xml:space="preserve">for KSI Phase 2 and the </w:t>
      </w:r>
      <w:r w:rsidR="00E5110F" w:rsidRPr="00351A46">
        <w:rPr>
          <w:lang w:val="en-AU"/>
        </w:rPr>
        <w:t>key initiative</w:t>
      </w:r>
      <w:r w:rsidRPr="00351A46">
        <w:rPr>
          <w:lang w:val="en-AU"/>
        </w:rPr>
        <w:t xml:space="preserve">s </w:t>
      </w:r>
      <w:r w:rsidR="0018468B" w:rsidRPr="00351A46">
        <w:rPr>
          <w:lang w:val="en-AU"/>
        </w:rPr>
        <w:t xml:space="preserve">that </w:t>
      </w:r>
      <w:r w:rsidRPr="00351A46">
        <w:rPr>
          <w:lang w:val="en-AU"/>
        </w:rPr>
        <w:t>contribute to these.</w:t>
      </w:r>
      <w:r w:rsidR="00D01B03" w:rsidRPr="00351A46">
        <w:rPr>
          <w:lang w:val="en-AU"/>
        </w:rPr>
        <w:t xml:space="preserve"> </w:t>
      </w:r>
      <w:r w:rsidR="00102E5C" w:rsidRPr="00351A46">
        <w:rPr>
          <w:lang w:val="en-AU"/>
        </w:rPr>
        <w:t xml:space="preserve">Cross-cutting activities are considered where relevant. </w:t>
      </w:r>
      <w:r w:rsidR="00D01B03" w:rsidRPr="00351A46">
        <w:rPr>
          <w:lang w:val="en-AU"/>
        </w:rPr>
        <w:t xml:space="preserve">A table on each EOPO is included to provide more detail on the theory of change underpinning each </w:t>
      </w:r>
      <w:r w:rsidR="00346129" w:rsidRPr="00351A46">
        <w:rPr>
          <w:lang w:val="en-AU"/>
        </w:rPr>
        <w:t xml:space="preserve">one </w:t>
      </w:r>
      <w:r w:rsidR="00D01B03" w:rsidRPr="00351A46">
        <w:rPr>
          <w:lang w:val="en-AU"/>
        </w:rPr>
        <w:t xml:space="preserve">and its contributing </w:t>
      </w:r>
      <w:r w:rsidR="00E5110F" w:rsidRPr="00351A46">
        <w:rPr>
          <w:lang w:val="en-AU"/>
        </w:rPr>
        <w:t>key initiative</w:t>
      </w:r>
      <w:r w:rsidR="00D01B03" w:rsidRPr="00351A46">
        <w:rPr>
          <w:lang w:val="en-AU"/>
        </w:rPr>
        <w:t>s</w:t>
      </w:r>
      <w:r w:rsidR="00D0604A" w:rsidRPr="00351A46">
        <w:rPr>
          <w:lang w:val="en-AU"/>
        </w:rPr>
        <w:t xml:space="preserve">. </w:t>
      </w:r>
    </w:p>
    <w:p w14:paraId="3F2C9580" w14:textId="77777777" w:rsidR="00595921" w:rsidRPr="001C1496" w:rsidRDefault="00595921">
      <w:pPr>
        <w:spacing w:after="0"/>
        <w:jc w:val="both"/>
        <w:rPr>
          <w:sz w:val="12"/>
          <w:lang w:val="en-AU"/>
        </w:rPr>
      </w:pPr>
    </w:p>
    <w:p w14:paraId="65CC9944" w14:textId="3DE98000" w:rsidR="00346AA3" w:rsidRDefault="00346AA3">
      <w:pPr>
        <w:pStyle w:val="Heading4"/>
        <w:spacing w:before="0"/>
        <w:rPr>
          <w:sz w:val="16"/>
          <w:lang w:val="en-AU"/>
        </w:rPr>
      </w:pPr>
      <w:r w:rsidRPr="00351A46">
        <w:rPr>
          <w:lang w:val="en-AU"/>
        </w:rPr>
        <w:t xml:space="preserve">EOPO 1: </w:t>
      </w:r>
      <w:r w:rsidR="001C436B" w:rsidRPr="00351A46">
        <w:rPr>
          <w:lang w:val="en-AU"/>
        </w:rPr>
        <w:t>Better funding mechanisms, underpinned by clear and coordinated agendas for quality policy research</w:t>
      </w:r>
    </w:p>
    <w:p w14:paraId="74A4EBDC" w14:textId="77777777" w:rsidR="00187D1C" w:rsidRPr="001C1496" w:rsidRDefault="00187D1C" w:rsidP="001C1496">
      <w:pPr>
        <w:spacing w:after="0"/>
        <w:rPr>
          <w:sz w:val="12"/>
        </w:rPr>
      </w:pPr>
    </w:p>
    <w:p w14:paraId="03E257A4" w14:textId="5BC8ED37" w:rsidR="00346AA3" w:rsidRPr="00351A46" w:rsidRDefault="00346AA3" w:rsidP="001C1496">
      <w:pPr>
        <w:jc w:val="both"/>
        <w:rPr>
          <w:lang w:val="en-AU"/>
        </w:rPr>
      </w:pPr>
      <w:r w:rsidRPr="00351A46">
        <w:rPr>
          <w:lang w:val="en-AU"/>
        </w:rPr>
        <w:t>Indonesian government stakeholders recognise that research and innovation are critical in driving the nation’s growth and competitiveness. However, Indonesia’s funding and regulatory environment does not support this. Indonesia needs a national vision for its research</w:t>
      </w:r>
      <w:r w:rsidR="00346129" w:rsidRPr="00351A46">
        <w:rPr>
          <w:lang w:val="en-AU"/>
        </w:rPr>
        <w:t>-</w:t>
      </w:r>
      <w:r w:rsidRPr="00351A46">
        <w:rPr>
          <w:lang w:val="en-AU"/>
        </w:rPr>
        <w:t>to</w:t>
      </w:r>
      <w:r w:rsidR="00346129" w:rsidRPr="00351A46">
        <w:rPr>
          <w:lang w:val="en-AU"/>
        </w:rPr>
        <w:t>-</w:t>
      </w:r>
      <w:r w:rsidRPr="00351A46">
        <w:rPr>
          <w:lang w:val="en-AU"/>
        </w:rPr>
        <w:t xml:space="preserve">policy system, including clearer roles and responsibilities of agencies in the </w:t>
      </w:r>
      <w:r w:rsidR="0018468B" w:rsidRPr="00351A46">
        <w:rPr>
          <w:lang w:val="en-AU"/>
        </w:rPr>
        <w:t>knowledge sector</w:t>
      </w:r>
      <w:r w:rsidRPr="00351A46">
        <w:rPr>
          <w:lang w:val="en-AU"/>
        </w:rPr>
        <w:t xml:space="preserve">. Indonesia has a </w:t>
      </w:r>
      <w:r w:rsidR="0018468B" w:rsidRPr="00351A46">
        <w:rPr>
          <w:lang w:val="en-AU"/>
        </w:rPr>
        <w:t xml:space="preserve">national research agenda </w:t>
      </w:r>
      <w:r w:rsidRPr="00351A46">
        <w:rPr>
          <w:lang w:val="en-AU"/>
        </w:rPr>
        <w:t>(</w:t>
      </w:r>
      <w:r w:rsidRPr="001C1496">
        <w:rPr>
          <w:i/>
          <w:lang w:val="en-AU"/>
        </w:rPr>
        <w:t>Agenda Riset Nasional</w:t>
      </w:r>
      <w:r w:rsidRPr="00351A46">
        <w:rPr>
          <w:lang w:val="en-AU"/>
        </w:rPr>
        <w:t xml:space="preserve">, ARN), but this is not linked to funding. At the national level, research funding is distributed across 81 government agencies, which set their own priorities. Poor coordination between these agencies means that research is often duplicated, and findings are not shared with other agencies. There is also a lack of clarity on the roles and functions of Indonesia’s national scientific and research funding agencies. </w:t>
      </w:r>
    </w:p>
    <w:p w14:paraId="0F34CED9" w14:textId="01DAC175" w:rsidR="00346AA3" w:rsidRPr="00351A46" w:rsidRDefault="00346AA3">
      <w:pPr>
        <w:jc w:val="both"/>
        <w:rPr>
          <w:lang w:val="en-AU"/>
        </w:rPr>
      </w:pPr>
      <w:r w:rsidRPr="00351A46">
        <w:rPr>
          <w:lang w:val="en-AU"/>
        </w:rPr>
        <w:t>Gross expenditure on research and development (GERD) is low in comparison to other middle-income countries.</w:t>
      </w:r>
      <w:r w:rsidRPr="00351A46">
        <w:rPr>
          <w:sz w:val="20"/>
          <w:vertAlign w:val="superscript"/>
          <w:lang w:val="en-AU"/>
        </w:rPr>
        <w:footnoteReference w:id="4"/>
      </w:r>
      <w:r w:rsidRPr="00351A46">
        <w:rPr>
          <w:lang w:val="en-AU"/>
        </w:rPr>
        <w:t xml:space="preserve"> The Indonesian </w:t>
      </w:r>
      <w:r w:rsidR="0018468B" w:rsidRPr="00351A46">
        <w:rPr>
          <w:lang w:val="en-AU"/>
        </w:rPr>
        <w:t>G</w:t>
      </w:r>
      <w:r w:rsidRPr="00351A46">
        <w:rPr>
          <w:lang w:val="en-AU"/>
        </w:rPr>
        <w:t>overnment contributes to</w:t>
      </w:r>
      <w:r w:rsidR="00A06BD0" w:rsidRPr="00351A46">
        <w:rPr>
          <w:lang w:val="en-AU"/>
        </w:rPr>
        <w:t xml:space="preserve"> </w:t>
      </w:r>
      <w:r w:rsidR="00FF429E" w:rsidRPr="00351A46">
        <w:rPr>
          <w:lang w:val="en-AU"/>
        </w:rPr>
        <w:t>most of the funding for research in Indonesia (84</w:t>
      </w:r>
      <w:r w:rsidR="001D26E1" w:rsidRPr="00351A46">
        <w:rPr>
          <w:lang w:val="en-AU"/>
        </w:rPr>
        <w:t xml:space="preserve"> percent</w:t>
      </w:r>
      <w:r w:rsidR="00FF429E" w:rsidRPr="00351A46">
        <w:rPr>
          <w:lang w:val="en-AU"/>
        </w:rPr>
        <w:t xml:space="preserve"> of all research in 2016</w:t>
      </w:r>
      <w:r w:rsidR="00001185" w:rsidRPr="00351A46">
        <w:rPr>
          <w:lang w:val="en-AU"/>
        </w:rPr>
        <w:t>).</w:t>
      </w:r>
      <w:r w:rsidR="00FF429E" w:rsidRPr="00351A46">
        <w:rPr>
          <w:rStyle w:val="FootnoteReference"/>
          <w:lang w:val="en-AU"/>
        </w:rPr>
        <w:footnoteReference w:id="5"/>
      </w:r>
      <w:r w:rsidRPr="00351A46">
        <w:rPr>
          <w:lang w:val="en-AU"/>
        </w:rPr>
        <w:t xml:space="preserve"> Existing funding mechanisms do not encourage quality policy research. Apart from </w:t>
      </w:r>
      <w:r w:rsidR="00420140" w:rsidRPr="00351A46">
        <w:rPr>
          <w:lang w:val="en-AU"/>
        </w:rPr>
        <w:t>the Indonesian Science Fund (</w:t>
      </w:r>
      <w:r w:rsidRPr="00351A46">
        <w:rPr>
          <w:lang w:val="en-AU"/>
        </w:rPr>
        <w:t>DIPI</w:t>
      </w:r>
      <w:r w:rsidR="00420140" w:rsidRPr="00351A46">
        <w:rPr>
          <w:lang w:val="en-AU"/>
        </w:rPr>
        <w:t>)</w:t>
      </w:r>
      <w:r w:rsidRPr="00351A46">
        <w:rPr>
          <w:lang w:val="en-AU"/>
        </w:rPr>
        <w:t xml:space="preserve"> (which focuses on basic research and faces a range of challenges), there are no funding mechanisms for policy research </w:t>
      </w:r>
      <w:r w:rsidR="0018468B" w:rsidRPr="00351A46">
        <w:rPr>
          <w:lang w:val="en-AU"/>
        </w:rPr>
        <w:t xml:space="preserve">that </w:t>
      </w:r>
      <w:r w:rsidRPr="00351A46">
        <w:rPr>
          <w:lang w:val="en-AU"/>
        </w:rPr>
        <w:t xml:space="preserve">provide multi-year research grants, underpinned by a merit-based peer review process for selecting applicants. </w:t>
      </w:r>
      <w:r w:rsidR="0018468B" w:rsidRPr="00351A46">
        <w:rPr>
          <w:lang w:val="en-AU"/>
        </w:rPr>
        <w:t>The r</w:t>
      </w:r>
      <w:r w:rsidRPr="00351A46">
        <w:rPr>
          <w:lang w:val="en-AU"/>
        </w:rPr>
        <w:t xml:space="preserve">ecent passage of </w:t>
      </w:r>
      <w:r w:rsidR="00BF2B3B" w:rsidRPr="00351A46">
        <w:rPr>
          <w:lang w:val="en-AU"/>
        </w:rPr>
        <w:t xml:space="preserve">Presidential Regulation </w:t>
      </w:r>
      <w:r w:rsidR="00834596" w:rsidRPr="00351A46">
        <w:rPr>
          <w:lang w:val="en-AU"/>
        </w:rPr>
        <w:t>16 2018</w:t>
      </w:r>
      <w:r w:rsidR="00F9220F" w:rsidRPr="00351A46">
        <w:rPr>
          <w:lang w:val="en-AU"/>
        </w:rPr>
        <w:t xml:space="preserve"> on Procurement</w:t>
      </w:r>
      <w:r w:rsidR="00834596" w:rsidRPr="00351A46">
        <w:rPr>
          <w:lang w:val="en-AU"/>
        </w:rPr>
        <w:t xml:space="preserve"> </w:t>
      </w:r>
      <w:r w:rsidR="00BF2B3B" w:rsidRPr="00351A46">
        <w:rPr>
          <w:lang w:val="en-AU"/>
        </w:rPr>
        <w:t>(</w:t>
      </w:r>
      <w:r w:rsidRPr="00351A46">
        <w:rPr>
          <w:i/>
          <w:lang w:val="en-AU"/>
        </w:rPr>
        <w:t>Perpres</w:t>
      </w:r>
      <w:r w:rsidRPr="00351A46">
        <w:rPr>
          <w:lang w:val="en-AU"/>
        </w:rPr>
        <w:t xml:space="preserve"> </w:t>
      </w:r>
      <w:r w:rsidR="00834596" w:rsidRPr="00351A46">
        <w:rPr>
          <w:lang w:val="en-AU"/>
        </w:rPr>
        <w:t>16</w:t>
      </w:r>
      <w:r w:rsidR="006514D7" w:rsidRPr="00351A46">
        <w:rPr>
          <w:lang w:val="en-AU"/>
        </w:rPr>
        <w:t>/2018</w:t>
      </w:r>
      <w:r w:rsidR="00BF2B3B" w:rsidRPr="00351A46">
        <w:rPr>
          <w:lang w:val="en-AU"/>
        </w:rPr>
        <w:t>)</w:t>
      </w:r>
      <w:r w:rsidR="0018468B" w:rsidRPr="00351A46">
        <w:rPr>
          <w:lang w:val="en-AU"/>
        </w:rPr>
        <w:t>,</w:t>
      </w:r>
      <w:r w:rsidRPr="00351A46">
        <w:rPr>
          <w:lang w:val="en-AU"/>
        </w:rPr>
        <w:t xml:space="preserve"> enabling</w:t>
      </w:r>
      <w:r w:rsidR="0018468B" w:rsidRPr="00351A46">
        <w:rPr>
          <w:lang w:val="en-AU"/>
        </w:rPr>
        <w:t xml:space="preserve"> the</w:t>
      </w:r>
      <w:r w:rsidRPr="00351A46">
        <w:rPr>
          <w:lang w:val="en-AU"/>
        </w:rPr>
        <w:t xml:space="preserve"> government to procure non-government research institutions</w:t>
      </w:r>
      <w:r w:rsidR="0018468B" w:rsidRPr="00351A46">
        <w:rPr>
          <w:lang w:val="en-AU"/>
        </w:rPr>
        <w:t>,</w:t>
      </w:r>
      <w:r w:rsidRPr="00351A46">
        <w:rPr>
          <w:lang w:val="en-AU"/>
        </w:rPr>
        <w:t xml:space="preserve"> provides a good opportunity to increase and improve funding for policy research. </w:t>
      </w:r>
    </w:p>
    <w:p w14:paraId="77F01C64" w14:textId="38640E90" w:rsidR="00346AA3" w:rsidRPr="00351A46" w:rsidRDefault="00346AA3">
      <w:pPr>
        <w:spacing w:after="0" w:line="240" w:lineRule="auto"/>
        <w:jc w:val="both"/>
        <w:rPr>
          <w:lang w:val="en-AU"/>
        </w:rPr>
      </w:pPr>
      <w:r w:rsidRPr="00351A46">
        <w:rPr>
          <w:lang w:val="en-AU"/>
        </w:rPr>
        <w:t>Indonesia’s privat</w:t>
      </w:r>
      <w:r w:rsidR="00C211AE" w:rsidRPr="00351A46">
        <w:rPr>
          <w:lang w:val="en-AU"/>
        </w:rPr>
        <w:t xml:space="preserve">e sector contributes just over </w:t>
      </w:r>
      <w:r w:rsidR="00060A88" w:rsidRPr="00351A46">
        <w:rPr>
          <w:lang w:val="en-AU"/>
        </w:rPr>
        <w:t>13</w:t>
      </w:r>
      <w:r w:rsidRPr="00351A46">
        <w:rPr>
          <w:lang w:val="en-AU"/>
        </w:rPr>
        <w:t xml:space="preserve"> percent of all funding for research and development.</w:t>
      </w:r>
      <w:r w:rsidRPr="00351A46">
        <w:rPr>
          <w:vertAlign w:val="superscript"/>
          <w:lang w:val="en-AU"/>
        </w:rPr>
        <w:footnoteReference w:id="6"/>
      </w:r>
      <w:r w:rsidRPr="00351A46">
        <w:rPr>
          <w:lang w:val="en-AU"/>
        </w:rPr>
        <w:t xml:space="preserve"> However, a recent study commissioned by KSI identified significant potential for Indonesia’s private sector and philanthropic organisations to invest in research.</w:t>
      </w:r>
      <w:r w:rsidRPr="00351A46">
        <w:rPr>
          <w:vertAlign w:val="superscript"/>
          <w:lang w:val="en-AU"/>
        </w:rPr>
        <w:footnoteReference w:id="7"/>
      </w:r>
      <w:r w:rsidRPr="00351A46">
        <w:rPr>
          <w:lang w:val="en-AU"/>
        </w:rPr>
        <w:t xml:space="preserve"> Tax breaks are available for the private sector to invest in research, but these are poorly understood and implemented. If private sector funding for research is to contribute to better </w:t>
      </w:r>
      <w:r w:rsidR="0085747B" w:rsidRPr="00351A46">
        <w:rPr>
          <w:lang w:val="en-AU"/>
        </w:rPr>
        <w:t>policymak</w:t>
      </w:r>
      <w:r w:rsidRPr="00351A46">
        <w:rPr>
          <w:lang w:val="en-AU"/>
        </w:rPr>
        <w:t xml:space="preserve">ing, it needs to be linked to government research agendas rather than discrete business interests of private sector organisations. However, there are </w:t>
      </w:r>
      <w:r w:rsidR="0018468B" w:rsidRPr="00351A46">
        <w:rPr>
          <w:lang w:val="en-AU"/>
        </w:rPr>
        <w:t xml:space="preserve">some </w:t>
      </w:r>
      <w:r w:rsidRPr="00351A46">
        <w:rPr>
          <w:lang w:val="en-AU"/>
        </w:rPr>
        <w:t xml:space="preserve">examples within Indonesia of collaborative policy research models with funding contributions from </w:t>
      </w:r>
      <w:r w:rsidR="0018468B" w:rsidRPr="00351A46">
        <w:rPr>
          <w:lang w:val="en-AU"/>
        </w:rPr>
        <w:t xml:space="preserve">the </w:t>
      </w:r>
      <w:r w:rsidRPr="00351A46">
        <w:rPr>
          <w:lang w:val="en-AU"/>
        </w:rPr>
        <w:t>private sector and government linked to government research agendas.</w:t>
      </w:r>
    </w:p>
    <w:p w14:paraId="517E260F" w14:textId="77777777" w:rsidR="00346AA3" w:rsidRPr="001C1496" w:rsidRDefault="00346AA3">
      <w:pPr>
        <w:spacing w:after="0" w:line="240" w:lineRule="auto"/>
        <w:jc w:val="both"/>
        <w:rPr>
          <w:rFonts w:eastAsia="Calibri" w:cstheme="minorHAnsi"/>
          <w:sz w:val="16"/>
          <w:lang w:val="en-AU"/>
        </w:rPr>
      </w:pPr>
    </w:p>
    <w:p w14:paraId="6F86DF7E" w14:textId="77777777" w:rsidR="00346AA3" w:rsidRPr="00351A46" w:rsidRDefault="00346AA3">
      <w:pPr>
        <w:jc w:val="both"/>
        <w:rPr>
          <w:lang w:val="en-AU"/>
        </w:rPr>
      </w:pPr>
      <w:r w:rsidRPr="00381388">
        <w:rPr>
          <w:lang w:val="en-AU"/>
        </w:rPr>
        <w:t>KSI will pursue the following key strategies to contribute to EOPO 1:</w:t>
      </w:r>
    </w:p>
    <w:p w14:paraId="314A3C2C" w14:textId="08732E0A" w:rsidR="00472D9B" w:rsidRPr="00351A46" w:rsidRDefault="00063BDC">
      <w:pPr>
        <w:numPr>
          <w:ilvl w:val="0"/>
          <w:numId w:val="10"/>
        </w:numPr>
        <w:spacing w:before="120"/>
        <w:contextualSpacing/>
        <w:jc w:val="both"/>
        <w:rPr>
          <w:lang w:val="en-AU"/>
        </w:rPr>
      </w:pPr>
      <w:r w:rsidRPr="00351A46">
        <w:rPr>
          <w:lang w:val="en-AU"/>
        </w:rPr>
        <w:t>Clarify</w:t>
      </w:r>
      <w:r w:rsidR="00346AA3" w:rsidRPr="00351A46">
        <w:rPr>
          <w:lang w:val="en-AU"/>
        </w:rPr>
        <w:t xml:space="preserve"> roles and responsibilities for </w:t>
      </w:r>
      <w:r w:rsidR="00472D9B" w:rsidRPr="00351A46">
        <w:rPr>
          <w:lang w:val="en-AU"/>
        </w:rPr>
        <w:t xml:space="preserve">policy </w:t>
      </w:r>
      <w:r w:rsidR="00346AA3" w:rsidRPr="00351A46">
        <w:rPr>
          <w:lang w:val="en-AU"/>
        </w:rPr>
        <w:t xml:space="preserve">research agenda setting and </w:t>
      </w:r>
      <w:r w:rsidR="007741A2" w:rsidRPr="00351A46">
        <w:rPr>
          <w:lang w:val="en-AU"/>
        </w:rPr>
        <w:t>funding</w:t>
      </w:r>
    </w:p>
    <w:p w14:paraId="249A5B48" w14:textId="45B9F70C" w:rsidR="002713BF" w:rsidRPr="00351A46" w:rsidRDefault="00063BDC">
      <w:pPr>
        <w:numPr>
          <w:ilvl w:val="0"/>
          <w:numId w:val="10"/>
        </w:numPr>
        <w:spacing w:before="120"/>
        <w:contextualSpacing/>
        <w:jc w:val="both"/>
        <w:rPr>
          <w:lang w:val="en-AU"/>
        </w:rPr>
      </w:pPr>
      <w:r w:rsidRPr="00351A46">
        <w:rPr>
          <w:lang w:val="en-AU"/>
        </w:rPr>
        <w:t>Strengthen</w:t>
      </w:r>
      <w:r w:rsidR="002713BF" w:rsidRPr="00351A46">
        <w:rPr>
          <w:lang w:val="en-AU"/>
        </w:rPr>
        <w:t xml:space="preserve"> government and private sector</w:t>
      </w:r>
      <w:r w:rsidR="00472D9B" w:rsidRPr="00351A46">
        <w:rPr>
          <w:lang w:val="en-AU"/>
        </w:rPr>
        <w:t xml:space="preserve"> </w:t>
      </w:r>
      <w:r w:rsidR="002713BF" w:rsidRPr="00351A46">
        <w:rPr>
          <w:lang w:val="en-AU"/>
        </w:rPr>
        <w:t>funding mechanisms for policy research</w:t>
      </w:r>
    </w:p>
    <w:p w14:paraId="2438E102" w14:textId="4679BD9E" w:rsidR="00346AA3" w:rsidRPr="00351A46" w:rsidRDefault="00063BDC">
      <w:pPr>
        <w:numPr>
          <w:ilvl w:val="0"/>
          <w:numId w:val="10"/>
        </w:numPr>
        <w:spacing w:before="120"/>
        <w:contextualSpacing/>
        <w:jc w:val="both"/>
        <w:rPr>
          <w:lang w:val="en-AU"/>
        </w:rPr>
      </w:pPr>
      <w:r w:rsidRPr="00351A46">
        <w:rPr>
          <w:lang w:val="en-AU"/>
        </w:rPr>
        <w:t>Strengthen</w:t>
      </w:r>
      <w:r w:rsidR="002713BF" w:rsidRPr="00351A46">
        <w:rPr>
          <w:lang w:val="en-AU"/>
        </w:rPr>
        <w:t xml:space="preserve"> practices in selected </w:t>
      </w:r>
      <w:r w:rsidR="003A7A23" w:rsidRPr="00351A46">
        <w:rPr>
          <w:lang w:val="en-AU"/>
        </w:rPr>
        <w:t xml:space="preserve">directorates </w:t>
      </w:r>
      <w:r w:rsidR="002713BF" w:rsidRPr="00351A46">
        <w:rPr>
          <w:lang w:val="en-AU"/>
        </w:rPr>
        <w:t xml:space="preserve">or agencies for </w:t>
      </w:r>
      <w:r w:rsidR="00472D9B" w:rsidRPr="00351A46">
        <w:rPr>
          <w:lang w:val="en-AU"/>
        </w:rPr>
        <w:t xml:space="preserve">setting research agendas, commissioning and managing research. </w:t>
      </w:r>
    </w:p>
    <w:p w14:paraId="6C8E63A4" w14:textId="77777777" w:rsidR="00595921" w:rsidRPr="001C1496" w:rsidRDefault="00595921">
      <w:pPr>
        <w:spacing w:before="120"/>
        <w:contextualSpacing/>
        <w:jc w:val="both"/>
        <w:rPr>
          <w:sz w:val="16"/>
          <w:lang w:val="en-AU"/>
        </w:rPr>
      </w:pPr>
    </w:p>
    <w:p w14:paraId="7D0FF599" w14:textId="7503DA9E" w:rsidR="00020E92" w:rsidRPr="00351A46" w:rsidRDefault="00346AA3">
      <w:pPr>
        <w:jc w:val="both"/>
        <w:rPr>
          <w:rFonts w:eastAsia="Calibri" w:cstheme="minorHAnsi"/>
          <w:lang w:val="en-AU"/>
        </w:rPr>
      </w:pPr>
      <w:r w:rsidRPr="00351A46">
        <w:rPr>
          <w:rFonts w:eastAsia="Calibri" w:cstheme="minorHAnsi"/>
          <w:lang w:val="en-AU"/>
        </w:rPr>
        <w:t xml:space="preserve">EOPO 1 contributes to Focus Area 1 (quality of policy research) and Focus Area 2 (more and better funding for policy research). Clearer research agendas are an important means of agreeing and communicating government research priorities, allowing researchers to produce more relevant research. </w:t>
      </w:r>
      <w:r w:rsidR="0018468B" w:rsidRPr="00351A46">
        <w:rPr>
          <w:rFonts w:eastAsia="Calibri" w:cstheme="minorHAnsi"/>
          <w:lang w:val="en-AU"/>
        </w:rPr>
        <w:t xml:space="preserve">This </w:t>
      </w:r>
      <w:r w:rsidRPr="00351A46">
        <w:rPr>
          <w:rFonts w:eastAsia="Calibri" w:cstheme="minorHAnsi"/>
          <w:lang w:val="en-AU"/>
        </w:rPr>
        <w:t>can also lead to more efficient research spending by reducing overlapping research within and between ministries. Funding mechanisms can attract more research funding and</w:t>
      </w:r>
      <w:r w:rsidR="0018468B" w:rsidRPr="00351A46">
        <w:rPr>
          <w:rFonts w:eastAsia="Calibri" w:cstheme="minorHAnsi"/>
          <w:lang w:val="en-AU"/>
        </w:rPr>
        <w:t>,</w:t>
      </w:r>
      <w:r w:rsidRPr="00351A46">
        <w:rPr>
          <w:rFonts w:eastAsia="Calibri" w:cstheme="minorHAnsi"/>
          <w:lang w:val="en-AU"/>
        </w:rPr>
        <w:t xml:space="preserve"> if well set</w:t>
      </w:r>
      <w:r w:rsidR="0018468B" w:rsidRPr="00351A46">
        <w:rPr>
          <w:rFonts w:eastAsia="Calibri" w:cstheme="minorHAnsi"/>
          <w:lang w:val="en-AU"/>
        </w:rPr>
        <w:t xml:space="preserve"> </w:t>
      </w:r>
      <w:r w:rsidRPr="00351A46">
        <w:rPr>
          <w:rFonts w:eastAsia="Calibri" w:cstheme="minorHAnsi"/>
          <w:lang w:val="en-AU"/>
        </w:rPr>
        <w:t>up and managed</w:t>
      </w:r>
      <w:r w:rsidR="0018468B" w:rsidRPr="00351A46">
        <w:rPr>
          <w:rFonts w:eastAsia="Calibri" w:cstheme="minorHAnsi"/>
          <w:lang w:val="en-AU"/>
        </w:rPr>
        <w:t>,</w:t>
      </w:r>
      <w:r w:rsidRPr="00351A46">
        <w:rPr>
          <w:rFonts w:eastAsia="Calibri" w:cstheme="minorHAnsi"/>
          <w:lang w:val="en-AU"/>
        </w:rPr>
        <w:t xml:space="preserve"> can enable better quality research and more efficient spending. </w:t>
      </w:r>
    </w:p>
    <w:p w14:paraId="1DFB3D85" w14:textId="19BD2FC1" w:rsidR="00346AA3" w:rsidRPr="00351A46" w:rsidRDefault="00346AA3">
      <w:pPr>
        <w:jc w:val="both"/>
        <w:rPr>
          <w:rFonts w:eastAsia="Calibri" w:cstheme="minorHAnsi"/>
          <w:lang w:val="en-AU"/>
        </w:rPr>
      </w:pPr>
      <w:r w:rsidRPr="00351A46">
        <w:rPr>
          <w:rFonts w:eastAsia="Calibri" w:cstheme="minorHAnsi"/>
          <w:lang w:val="en-AU"/>
        </w:rPr>
        <w:t xml:space="preserve">KSI will support three </w:t>
      </w:r>
      <w:r w:rsidR="00E5110F" w:rsidRPr="00351A46">
        <w:rPr>
          <w:rFonts w:eastAsia="Calibri" w:cstheme="minorHAnsi"/>
          <w:lang w:val="en-AU"/>
        </w:rPr>
        <w:t>key initiative</w:t>
      </w:r>
      <w:r w:rsidRPr="00351A46">
        <w:rPr>
          <w:rFonts w:eastAsia="Calibri" w:cstheme="minorHAnsi"/>
          <w:lang w:val="en-AU"/>
        </w:rPr>
        <w:t>s to contribute to EOPO 1:</w:t>
      </w:r>
    </w:p>
    <w:p w14:paraId="548A783F" w14:textId="5022FDCB" w:rsidR="00954E00" w:rsidRPr="00351A46" w:rsidRDefault="00856ABC">
      <w:pPr>
        <w:spacing w:before="120" w:after="0"/>
        <w:jc w:val="both"/>
        <w:rPr>
          <w:rFonts w:eastAsia="Calibri" w:cstheme="minorHAnsi"/>
          <w:i/>
          <w:lang w:val="en-AU"/>
        </w:rPr>
      </w:pPr>
      <w:r w:rsidRPr="00351A46">
        <w:rPr>
          <w:rFonts w:eastAsia="Calibri" w:cstheme="minorHAnsi"/>
          <w:i/>
          <w:lang w:val="en-AU"/>
        </w:rPr>
        <w:t xml:space="preserve">Key Initiative 1: </w:t>
      </w:r>
      <w:r w:rsidR="00073C3C" w:rsidRPr="00351A46">
        <w:rPr>
          <w:rFonts w:eastAsia="Calibri" w:cstheme="minorHAnsi"/>
          <w:i/>
          <w:lang w:val="en-AU"/>
        </w:rPr>
        <w:t>S</w:t>
      </w:r>
      <w:r w:rsidR="008A2D13" w:rsidRPr="00351A46">
        <w:rPr>
          <w:rFonts w:eastAsia="Calibri" w:cstheme="minorHAnsi"/>
          <w:i/>
          <w:lang w:val="en-AU"/>
        </w:rPr>
        <w:t xml:space="preserve">hared agenda on </w:t>
      </w:r>
      <w:r w:rsidR="00346AA3" w:rsidRPr="00351A46">
        <w:rPr>
          <w:rFonts w:eastAsia="Calibri" w:cstheme="minorHAnsi"/>
          <w:i/>
          <w:lang w:val="en-AU"/>
        </w:rPr>
        <w:t>research to policy</w:t>
      </w:r>
    </w:p>
    <w:p w14:paraId="63A215D8" w14:textId="1F6BE457" w:rsidR="00954E00" w:rsidRPr="00351A46" w:rsidRDefault="00954E00">
      <w:pPr>
        <w:spacing w:before="120" w:after="0"/>
        <w:jc w:val="both"/>
        <w:rPr>
          <w:rFonts w:eastAsia="Calibri" w:cstheme="minorHAnsi"/>
          <w:lang w:val="en-AU"/>
        </w:rPr>
      </w:pPr>
      <w:r w:rsidRPr="00351A46">
        <w:rPr>
          <w:rFonts w:eastAsia="Calibri" w:cstheme="minorHAnsi"/>
          <w:lang w:val="en-AU"/>
        </w:rPr>
        <w:t xml:space="preserve">This </w:t>
      </w:r>
      <w:r w:rsidR="003A7A23" w:rsidRPr="00351A46">
        <w:rPr>
          <w:rFonts w:eastAsia="Calibri" w:cstheme="minorHAnsi"/>
          <w:lang w:val="en-AU"/>
        </w:rPr>
        <w:t xml:space="preserve">key initiative </w:t>
      </w:r>
      <w:r w:rsidRPr="00351A46">
        <w:rPr>
          <w:rFonts w:eastAsia="Calibri" w:cstheme="minorHAnsi"/>
          <w:lang w:val="en-AU"/>
        </w:rPr>
        <w:t>seeks to:</w:t>
      </w:r>
    </w:p>
    <w:p w14:paraId="284513BB" w14:textId="0A4750CB" w:rsidR="00954E00" w:rsidRPr="00351A46" w:rsidRDefault="003A7A23">
      <w:pPr>
        <w:pStyle w:val="ListParagraph"/>
        <w:numPr>
          <w:ilvl w:val="0"/>
          <w:numId w:val="26"/>
        </w:numPr>
        <w:spacing w:before="120" w:after="0"/>
        <w:jc w:val="both"/>
        <w:rPr>
          <w:rFonts w:eastAsia="Calibri" w:cstheme="minorHAnsi"/>
          <w:lang w:val="en-AU"/>
        </w:rPr>
      </w:pPr>
      <w:r>
        <w:rPr>
          <w:rFonts w:eastAsia="Calibri" w:cstheme="minorHAnsi"/>
          <w:lang w:val="en-AU"/>
        </w:rPr>
        <w:t>R</w:t>
      </w:r>
      <w:r w:rsidR="00954E00" w:rsidRPr="00351A46">
        <w:rPr>
          <w:rFonts w:eastAsia="Calibri" w:cstheme="minorHAnsi"/>
          <w:lang w:val="en-AU"/>
        </w:rPr>
        <w:t>aise awareness among key stakeholders of the importance of research for policy</w:t>
      </w:r>
    </w:p>
    <w:p w14:paraId="14545B26" w14:textId="7C425D56" w:rsidR="00954E00" w:rsidRPr="00351A46" w:rsidRDefault="003A7A23">
      <w:pPr>
        <w:pStyle w:val="ListParagraph"/>
        <w:numPr>
          <w:ilvl w:val="0"/>
          <w:numId w:val="26"/>
        </w:numPr>
        <w:spacing w:before="120" w:after="0"/>
        <w:jc w:val="both"/>
        <w:rPr>
          <w:rFonts w:eastAsia="Calibri" w:cstheme="minorHAnsi"/>
          <w:lang w:val="en-AU"/>
        </w:rPr>
      </w:pPr>
      <w:r>
        <w:rPr>
          <w:rFonts w:eastAsia="Calibri" w:cstheme="minorHAnsi"/>
          <w:lang w:val="en-AU"/>
        </w:rPr>
        <w:t>S</w:t>
      </w:r>
      <w:r w:rsidR="00954E00" w:rsidRPr="00351A46">
        <w:rPr>
          <w:rFonts w:eastAsia="Calibri" w:cstheme="minorHAnsi"/>
          <w:lang w:val="en-AU"/>
        </w:rPr>
        <w:t>upport stakeholders to clarify roles and responsibilities for key actors in the knowledge sector, including for agenda-setting and funding for policy research</w:t>
      </w:r>
    </w:p>
    <w:p w14:paraId="7A9D0BCB" w14:textId="3D8DFCA4" w:rsidR="00954E00" w:rsidRPr="00351A46" w:rsidRDefault="003A7A23">
      <w:pPr>
        <w:pStyle w:val="ListParagraph"/>
        <w:numPr>
          <w:ilvl w:val="0"/>
          <w:numId w:val="26"/>
        </w:numPr>
        <w:spacing w:before="120" w:after="0"/>
        <w:jc w:val="both"/>
        <w:rPr>
          <w:rFonts w:eastAsia="Calibri" w:cstheme="minorHAnsi"/>
          <w:lang w:val="en-AU"/>
        </w:rPr>
      </w:pPr>
      <w:r>
        <w:rPr>
          <w:rFonts w:eastAsia="Calibri" w:cstheme="minorHAnsi"/>
          <w:lang w:val="en-AU"/>
        </w:rPr>
        <w:t>I</w:t>
      </w:r>
      <w:r w:rsidR="00954E00" w:rsidRPr="00351A46">
        <w:rPr>
          <w:rFonts w:eastAsia="Calibri" w:cstheme="minorHAnsi"/>
          <w:lang w:val="en-AU"/>
        </w:rPr>
        <w:t>dentify and support opportunities to strengthen funding mechanisms for quality policy research (which over time may lead to greater funding for policy research)</w:t>
      </w:r>
      <w:r w:rsidR="008B1833" w:rsidRPr="00351A46">
        <w:rPr>
          <w:rFonts w:eastAsia="Calibri" w:cstheme="minorHAnsi"/>
          <w:lang w:val="en-AU"/>
        </w:rPr>
        <w:t>.</w:t>
      </w:r>
    </w:p>
    <w:p w14:paraId="64B871D3" w14:textId="56997DFE" w:rsidR="000C6C6A" w:rsidRPr="00351A46" w:rsidRDefault="003C1AC9">
      <w:pPr>
        <w:spacing w:before="120" w:after="0"/>
        <w:jc w:val="both"/>
        <w:rPr>
          <w:rFonts w:eastAsia="Calibri" w:cstheme="minorHAnsi"/>
          <w:lang w:val="en-AU"/>
        </w:rPr>
      </w:pPr>
      <w:r w:rsidRPr="00351A46">
        <w:rPr>
          <w:rFonts w:eastAsia="Calibri" w:cstheme="minorHAnsi"/>
          <w:lang w:val="en-AU"/>
        </w:rPr>
        <w:t>KSI seeks to do this by engagin</w:t>
      </w:r>
      <w:r w:rsidR="001F455F" w:rsidRPr="00351A46">
        <w:rPr>
          <w:rFonts w:eastAsia="Calibri" w:cstheme="minorHAnsi"/>
          <w:lang w:val="en-AU"/>
        </w:rPr>
        <w:t xml:space="preserve">g in recent government reform efforts </w:t>
      </w:r>
      <w:r w:rsidR="000C6C6A" w:rsidRPr="00351A46">
        <w:rPr>
          <w:rFonts w:eastAsia="Calibri" w:cstheme="minorHAnsi"/>
          <w:lang w:val="en-AU"/>
        </w:rPr>
        <w:t xml:space="preserve">affecting the knowledge sector. These various reform efforts are not coordinated or linked to a common vision of the research-to-policy process in Indonesia. This work will be iterative and exploratory, responding to opportunities </w:t>
      </w:r>
      <w:r w:rsidR="00AE12F3" w:rsidRPr="00351A46">
        <w:rPr>
          <w:rFonts w:eastAsia="Calibri" w:cstheme="minorHAnsi"/>
          <w:lang w:val="en-AU"/>
        </w:rPr>
        <w:t xml:space="preserve">in the rapidly changing context. </w:t>
      </w:r>
      <w:r w:rsidR="000C6C6A" w:rsidRPr="00351A46">
        <w:rPr>
          <w:rFonts w:eastAsia="Calibri" w:cstheme="minorHAnsi"/>
          <w:lang w:val="en-AU"/>
        </w:rPr>
        <w:t>KSI will convene and facilitate key stakeholders to raise awareness of the importance of research</w:t>
      </w:r>
      <w:r w:rsidR="003A7A23">
        <w:rPr>
          <w:rFonts w:eastAsia="Calibri" w:cstheme="minorHAnsi"/>
          <w:lang w:val="en-AU"/>
        </w:rPr>
        <w:t xml:space="preserve"> </w:t>
      </w:r>
      <w:r w:rsidR="000C6C6A" w:rsidRPr="00351A46">
        <w:rPr>
          <w:rFonts w:eastAsia="Calibri" w:cstheme="minorHAnsi"/>
          <w:lang w:val="en-AU"/>
        </w:rPr>
        <w:t>to</w:t>
      </w:r>
      <w:r w:rsidR="003A7A23">
        <w:rPr>
          <w:rFonts w:eastAsia="Calibri" w:cstheme="minorHAnsi"/>
          <w:lang w:val="en-AU"/>
        </w:rPr>
        <w:t xml:space="preserve"> </w:t>
      </w:r>
      <w:r w:rsidR="000C6C6A" w:rsidRPr="00351A46">
        <w:rPr>
          <w:rFonts w:eastAsia="Calibri" w:cstheme="minorHAnsi"/>
          <w:lang w:val="en-AU"/>
        </w:rPr>
        <w:t xml:space="preserve">policy and </w:t>
      </w:r>
      <w:r w:rsidR="006D5554" w:rsidRPr="00351A46">
        <w:rPr>
          <w:rFonts w:eastAsia="Calibri" w:cstheme="minorHAnsi"/>
          <w:lang w:val="en-AU"/>
        </w:rPr>
        <w:t>to increasingly work towards a common vision</w:t>
      </w:r>
      <w:r w:rsidR="000C6C6A" w:rsidRPr="00351A46">
        <w:rPr>
          <w:rFonts w:eastAsia="Calibri" w:cstheme="minorHAnsi"/>
          <w:lang w:val="en-AU"/>
        </w:rPr>
        <w:t xml:space="preserve">, to clarify roles and responsibilities and to consider </w:t>
      </w:r>
      <w:r w:rsidR="00864002" w:rsidRPr="00351A46">
        <w:rPr>
          <w:rFonts w:eastAsia="Calibri" w:cstheme="minorHAnsi"/>
          <w:lang w:val="en-AU"/>
        </w:rPr>
        <w:t>links</w:t>
      </w:r>
      <w:r w:rsidR="001945F8" w:rsidRPr="00351A46">
        <w:rPr>
          <w:rFonts w:eastAsia="Calibri" w:cstheme="minorHAnsi"/>
          <w:lang w:val="en-AU"/>
        </w:rPr>
        <w:t xml:space="preserve"> between separate reform efforts and the ramifications of decisions on the broader knowledge sector. </w:t>
      </w:r>
      <w:r w:rsidR="004109FA" w:rsidRPr="00351A46">
        <w:rPr>
          <w:rFonts w:eastAsia="Calibri" w:cstheme="minorHAnsi"/>
          <w:lang w:val="en-AU"/>
        </w:rPr>
        <w:t xml:space="preserve">KSI will play a critical friend role by offering suggestions </w:t>
      </w:r>
      <w:r w:rsidR="00880970" w:rsidRPr="00351A46">
        <w:rPr>
          <w:rFonts w:eastAsia="Calibri" w:cstheme="minorHAnsi"/>
          <w:lang w:val="en-AU"/>
        </w:rPr>
        <w:t xml:space="preserve">and sharing other experiences (including international experience). </w:t>
      </w:r>
      <w:r w:rsidR="000C6C6A" w:rsidRPr="00351A46">
        <w:rPr>
          <w:rFonts w:eastAsia="Calibri" w:cstheme="minorHAnsi"/>
          <w:lang w:val="en-AU"/>
        </w:rPr>
        <w:t>Through engagement in t</w:t>
      </w:r>
      <w:r w:rsidR="00AE12F3" w:rsidRPr="00351A46">
        <w:rPr>
          <w:rFonts w:eastAsia="Calibri" w:cstheme="minorHAnsi"/>
          <w:lang w:val="en-AU"/>
        </w:rPr>
        <w:t xml:space="preserve">hese reform processes, KSI </w:t>
      </w:r>
      <w:r w:rsidR="000C6C6A" w:rsidRPr="00351A46">
        <w:rPr>
          <w:rFonts w:eastAsia="Calibri" w:cstheme="minorHAnsi"/>
          <w:lang w:val="en-AU"/>
        </w:rPr>
        <w:t xml:space="preserve">seeks to identify </w:t>
      </w:r>
      <w:r w:rsidR="00993A1F" w:rsidRPr="00351A46">
        <w:rPr>
          <w:rFonts w:eastAsia="Calibri" w:cstheme="minorHAnsi"/>
          <w:lang w:val="en-AU"/>
        </w:rPr>
        <w:t xml:space="preserve">concrete </w:t>
      </w:r>
      <w:r w:rsidR="000C6C6A" w:rsidRPr="00351A46">
        <w:rPr>
          <w:rFonts w:eastAsia="Calibri" w:cstheme="minorHAnsi"/>
          <w:lang w:val="en-AU"/>
        </w:rPr>
        <w:t xml:space="preserve">opportunities to strengthen funding mechanisms for policy research and </w:t>
      </w:r>
      <w:r w:rsidR="00990011" w:rsidRPr="00351A46">
        <w:rPr>
          <w:rFonts w:eastAsia="Calibri" w:cstheme="minorHAnsi"/>
          <w:lang w:val="en-AU"/>
        </w:rPr>
        <w:t>how these link to research agendas</w:t>
      </w:r>
      <w:r w:rsidR="000C6C6A" w:rsidRPr="00351A46">
        <w:rPr>
          <w:rFonts w:eastAsia="Calibri" w:cstheme="minorHAnsi"/>
          <w:lang w:val="en-AU"/>
        </w:rPr>
        <w:t xml:space="preserve">. </w:t>
      </w:r>
      <w:r w:rsidR="00AE12F3" w:rsidRPr="00351A46">
        <w:rPr>
          <w:rFonts w:eastAsia="Calibri" w:cstheme="minorHAnsi"/>
          <w:lang w:val="en-AU"/>
        </w:rPr>
        <w:t xml:space="preserve">However, it may take time to identify these concrete initiatives. </w:t>
      </w:r>
      <w:r w:rsidR="000C6C6A" w:rsidRPr="00351A46">
        <w:rPr>
          <w:rFonts w:eastAsia="Calibri" w:cstheme="minorHAnsi"/>
          <w:lang w:val="en-AU"/>
        </w:rPr>
        <w:t>KSI is</w:t>
      </w:r>
      <w:r w:rsidR="00932EAA" w:rsidRPr="00351A46">
        <w:rPr>
          <w:rFonts w:eastAsia="Calibri" w:cstheme="minorHAnsi"/>
          <w:lang w:val="en-AU"/>
        </w:rPr>
        <w:t xml:space="preserve"> uniquely positioned</w:t>
      </w:r>
      <w:r w:rsidR="000E6592" w:rsidRPr="00351A46">
        <w:rPr>
          <w:rFonts w:eastAsia="Calibri" w:cstheme="minorHAnsi"/>
          <w:lang w:val="en-AU"/>
        </w:rPr>
        <w:t xml:space="preserve"> to play this</w:t>
      </w:r>
      <w:r w:rsidR="000C6C6A" w:rsidRPr="00351A46">
        <w:rPr>
          <w:rFonts w:eastAsia="Calibri" w:cstheme="minorHAnsi"/>
          <w:lang w:val="en-AU"/>
        </w:rPr>
        <w:t xml:space="preserve"> role, as a neutral actor with relationships with many of these stakeholders. </w:t>
      </w:r>
    </w:p>
    <w:p w14:paraId="2969626C" w14:textId="77777777" w:rsidR="007710F9" w:rsidRDefault="007710F9">
      <w:pPr>
        <w:spacing w:before="120" w:after="0"/>
        <w:jc w:val="both"/>
        <w:rPr>
          <w:rFonts w:eastAsia="Calibri" w:cstheme="minorHAnsi"/>
          <w:lang w:val="en-AU"/>
        </w:rPr>
      </w:pPr>
    </w:p>
    <w:p w14:paraId="37330361" w14:textId="3C3070EF" w:rsidR="00C529E1" w:rsidRPr="00351A46" w:rsidRDefault="00C529E1">
      <w:pPr>
        <w:spacing w:before="120" w:after="0"/>
        <w:jc w:val="both"/>
        <w:rPr>
          <w:rFonts w:eastAsia="Calibri" w:cstheme="minorHAnsi"/>
          <w:lang w:val="en-AU"/>
        </w:rPr>
      </w:pPr>
      <w:r w:rsidRPr="00351A46">
        <w:rPr>
          <w:rFonts w:eastAsia="Calibri" w:cstheme="minorHAnsi"/>
          <w:lang w:val="en-AU"/>
        </w:rPr>
        <w:t xml:space="preserve">The current reform efforts KSI will engage in are: </w:t>
      </w:r>
    </w:p>
    <w:p w14:paraId="2B58E7F0" w14:textId="5E08ED7C" w:rsidR="00F05A20" w:rsidRPr="00351A46" w:rsidRDefault="001F455F">
      <w:pPr>
        <w:pStyle w:val="ListParagraph"/>
        <w:numPr>
          <w:ilvl w:val="0"/>
          <w:numId w:val="27"/>
        </w:numPr>
        <w:spacing w:before="120" w:after="0"/>
        <w:contextualSpacing w:val="0"/>
        <w:jc w:val="both"/>
        <w:rPr>
          <w:rFonts w:eastAsia="Calibri" w:cstheme="minorHAnsi"/>
          <w:lang w:val="en-AU"/>
        </w:rPr>
      </w:pPr>
      <w:r w:rsidRPr="00351A46">
        <w:rPr>
          <w:rFonts w:eastAsia="Calibri" w:cstheme="minorHAnsi"/>
          <w:u w:val="single"/>
          <w:lang w:val="en-AU"/>
        </w:rPr>
        <w:t>Review of the Law on the National Science and Technology System (</w:t>
      </w:r>
      <w:r w:rsidRPr="001C1496">
        <w:rPr>
          <w:rFonts w:eastAsia="Calibri" w:cstheme="minorHAnsi"/>
          <w:i/>
          <w:u w:val="single"/>
          <w:lang w:val="en-AU"/>
        </w:rPr>
        <w:t>UU Sisnas Iptek</w:t>
      </w:r>
      <w:r w:rsidRPr="00351A46">
        <w:rPr>
          <w:rFonts w:eastAsia="Calibri" w:cstheme="minorHAnsi"/>
          <w:u w:val="single"/>
          <w:lang w:val="en-AU"/>
        </w:rPr>
        <w:t>)</w:t>
      </w:r>
      <w:r w:rsidRPr="00351A46">
        <w:rPr>
          <w:rFonts w:eastAsia="Calibri" w:cstheme="minorHAnsi"/>
          <w:lang w:val="en-AU"/>
        </w:rPr>
        <w:t xml:space="preserve"> – </w:t>
      </w:r>
      <w:r w:rsidR="006A14A9" w:rsidRPr="00351A46">
        <w:rPr>
          <w:rFonts w:eastAsia="Calibri" w:cstheme="minorHAnsi"/>
          <w:lang w:val="en-AU"/>
        </w:rPr>
        <w:t xml:space="preserve">This </w:t>
      </w:r>
      <w:r w:rsidRPr="00351A46">
        <w:rPr>
          <w:rFonts w:eastAsia="Calibri" w:cstheme="minorHAnsi"/>
          <w:lang w:val="en-AU"/>
        </w:rPr>
        <w:t>is looking at the system from scientific research to commercialisation an</w:t>
      </w:r>
      <w:r w:rsidR="00F05A20" w:rsidRPr="00351A46">
        <w:rPr>
          <w:rFonts w:eastAsia="Calibri" w:cstheme="minorHAnsi"/>
          <w:lang w:val="en-AU"/>
        </w:rPr>
        <w:t>d the role of key stakeholders. While KSI’s focus is on research for policy, not commercialisation, there are strategic reasons for KSI to engage in the UU Sisnas Iptek process:</w:t>
      </w:r>
    </w:p>
    <w:p w14:paraId="1F7F1E5F" w14:textId="7323D3C5" w:rsidR="00F05A20" w:rsidRPr="00351A46" w:rsidRDefault="00F05A20">
      <w:pPr>
        <w:pStyle w:val="ListParagraph"/>
        <w:numPr>
          <w:ilvl w:val="0"/>
          <w:numId w:val="28"/>
        </w:numPr>
        <w:spacing w:before="120" w:after="0"/>
        <w:contextualSpacing w:val="0"/>
        <w:jc w:val="both"/>
        <w:rPr>
          <w:rFonts w:eastAsia="Calibri" w:cstheme="minorHAnsi"/>
          <w:lang w:val="en-AU"/>
        </w:rPr>
      </w:pPr>
      <w:r w:rsidRPr="00351A46">
        <w:rPr>
          <w:rFonts w:eastAsia="Calibri" w:cstheme="minorHAnsi"/>
          <w:lang w:val="en-AU"/>
        </w:rPr>
        <w:t xml:space="preserve">It provides an opportunity to clarify the role of and funding for DIPI. As part of its exit strategy, KSI will advocate for DIPI to be </w:t>
      </w:r>
      <w:r w:rsidR="004C2303" w:rsidRPr="00351A46">
        <w:rPr>
          <w:rFonts w:eastAsia="Calibri" w:cstheme="minorHAnsi"/>
          <w:lang w:val="en-AU"/>
        </w:rPr>
        <w:t>the key funding mechanism</w:t>
      </w:r>
      <w:r w:rsidRPr="00351A46">
        <w:rPr>
          <w:rFonts w:eastAsia="Calibri" w:cstheme="minorHAnsi"/>
          <w:lang w:val="en-AU"/>
        </w:rPr>
        <w:t xml:space="preserve"> for basic research and for </w:t>
      </w:r>
      <w:r w:rsidR="003A7A23">
        <w:rPr>
          <w:rFonts w:eastAsia="Calibri" w:cstheme="minorHAnsi"/>
          <w:lang w:val="en-AU"/>
        </w:rPr>
        <w:t xml:space="preserve">the </w:t>
      </w:r>
      <w:r w:rsidRPr="00351A46">
        <w:rPr>
          <w:rFonts w:eastAsia="Calibri" w:cstheme="minorHAnsi"/>
          <w:lang w:val="en-AU"/>
        </w:rPr>
        <w:t>government to take responsibility for full</w:t>
      </w:r>
      <w:r w:rsidR="00502E37" w:rsidRPr="00351A46">
        <w:rPr>
          <w:rFonts w:eastAsia="Calibri" w:cstheme="minorHAnsi"/>
          <w:lang w:val="en-AU"/>
        </w:rPr>
        <w:t>y</w:t>
      </w:r>
      <w:r w:rsidR="003A7A23">
        <w:rPr>
          <w:rFonts w:eastAsia="Calibri" w:cstheme="minorHAnsi"/>
          <w:lang w:val="en-AU"/>
        </w:rPr>
        <w:t xml:space="preserve"> </w:t>
      </w:r>
      <w:r w:rsidRPr="00351A46">
        <w:rPr>
          <w:rFonts w:eastAsia="Calibri" w:cstheme="minorHAnsi"/>
          <w:lang w:val="en-AU"/>
        </w:rPr>
        <w:t xml:space="preserve">funding DIPI. </w:t>
      </w:r>
    </w:p>
    <w:p w14:paraId="7912403C" w14:textId="40803084" w:rsidR="00F05A20" w:rsidRPr="00351A46" w:rsidRDefault="004C2303">
      <w:pPr>
        <w:pStyle w:val="ListParagraph"/>
        <w:numPr>
          <w:ilvl w:val="0"/>
          <w:numId w:val="28"/>
        </w:numPr>
        <w:spacing w:before="120" w:after="0"/>
        <w:contextualSpacing w:val="0"/>
        <w:jc w:val="both"/>
        <w:rPr>
          <w:rFonts w:eastAsia="Calibri" w:cstheme="minorHAnsi"/>
          <w:lang w:val="en-AU"/>
        </w:rPr>
      </w:pPr>
      <w:r w:rsidRPr="00351A46">
        <w:rPr>
          <w:rFonts w:eastAsia="Calibri" w:cstheme="minorHAnsi"/>
          <w:lang w:val="en-AU"/>
        </w:rPr>
        <w:t xml:space="preserve">To take advantage of discussions around the importance of research to broaden </w:t>
      </w:r>
      <w:r w:rsidR="003A7A23">
        <w:rPr>
          <w:rFonts w:eastAsia="Calibri" w:cstheme="minorHAnsi"/>
          <w:lang w:val="en-AU"/>
        </w:rPr>
        <w:t xml:space="preserve">the </w:t>
      </w:r>
      <w:r w:rsidRPr="00351A46">
        <w:rPr>
          <w:rFonts w:eastAsia="Calibri" w:cstheme="minorHAnsi"/>
          <w:lang w:val="en-AU"/>
        </w:rPr>
        <w:t>government’s perspective on how</w:t>
      </w:r>
      <w:r w:rsidR="006A14A9">
        <w:rPr>
          <w:rFonts w:eastAsia="Calibri" w:cstheme="minorHAnsi"/>
          <w:lang w:val="en-AU"/>
        </w:rPr>
        <w:t xml:space="preserve"> a</w:t>
      </w:r>
      <w:r w:rsidR="003A7A23">
        <w:rPr>
          <w:rFonts w:eastAsia="Calibri" w:cstheme="minorHAnsi"/>
          <w:lang w:val="en-AU"/>
        </w:rPr>
        <w:t xml:space="preserve"> piece of</w:t>
      </w:r>
      <w:r w:rsidRPr="00351A46">
        <w:rPr>
          <w:rFonts w:eastAsia="Calibri" w:cstheme="minorHAnsi"/>
          <w:lang w:val="en-AU"/>
        </w:rPr>
        <w:t xml:space="preserve"> research can be used – i</w:t>
      </w:r>
      <w:r w:rsidR="003A7A23">
        <w:rPr>
          <w:rFonts w:eastAsia="Calibri" w:cstheme="minorHAnsi"/>
          <w:lang w:val="en-AU"/>
        </w:rPr>
        <w:t>.</w:t>
      </w:r>
      <w:r w:rsidRPr="00351A46">
        <w:rPr>
          <w:rFonts w:eastAsia="Calibri" w:cstheme="minorHAnsi"/>
          <w:lang w:val="en-AU"/>
        </w:rPr>
        <w:t>e</w:t>
      </w:r>
      <w:r w:rsidR="003A7A23">
        <w:rPr>
          <w:rFonts w:eastAsia="Calibri" w:cstheme="minorHAnsi"/>
          <w:lang w:val="en-AU"/>
        </w:rPr>
        <w:t>.</w:t>
      </w:r>
      <w:r w:rsidRPr="00351A46">
        <w:rPr>
          <w:rFonts w:eastAsia="Calibri" w:cstheme="minorHAnsi"/>
          <w:lang w:val="en-AU"/>
        </w:rPr>
        <w:t xml:space="preserve"> it</w:t>
      </w:r>
      <w:r w:rsidR="003A7A23">
        <w:rPr>
          <w:rFonts w:eastAsia="Calibri" w:cstheme="minorHAnsi"/>
          <w:lang w:val="en-AU"/>
        </w:rPr>
        <w:t xml:space="preserve"> i</w:t>
      </w:r>
      <w:r w:rsidRPr="00351A46">
        <w:rPr>
          <w:rFonts w:eastAsia="Calibri" w:cstheme="minorHAnsi"/>
          <w:lang w:val="en-AU"/>
        </w:rPr>
        <w:t>s not just about scientific research an</w:t>
      </w:r>
      <w:r w:rsidR="00830DBA" w:rsidRPr="00351A46">
        <w:rPr>
          <w:rFonts w:eastAsia="Calibri" w:cstheme="minorHAnsi"/>
          <w:lang w:val="en-AU"/>
        </w:rPr>
        <w:t>d its use to develop</w:t>
      </w:r>
      <w:r w:rsidRPr="00351A46">
        <w:rPr>
          <w:rFonts w:eastAsia="Calibri" w:cstheme="minorHAnsi"/>
          <w:lang w:val="en-AU"/>
        </w:rPr>
        <w:t xml:space="preserve"> technologies for commercialisation. Research is also important to inform policy. KSI will </w:t>
      </w:r>
      <w:r w:rsidR="00FF6EBD" w:rsidRPr="00351A46">
        <w:rPr>
          <w:rFonts w:eastAsia="Calibri" w:cstheme="minorHAnsi"/>
          <w:lang w:val="en-AU"/>
        </w:rPr>
        <w:t xml:space="preserve">support </w:t>
      </w:r>
      <w:r w:rsidRPr="00351A46">
        <w:rPr>
          <w:rFonts w:eastAsia="Calibri" w:cstheme="minorHAnsi"/>
          <w:lang w:val="en-AU"/>
        </w:rPr>
        <w:t>engage</w:t>
      </w:r>
      <w:r w:rsidR="00FF6EBD" w:rsidRPr="00351A46">
        <w:rPr>
          <w:rFonts w:eastAsia="Calibri" w:cstheme="minorHAnsi"/>
          <w:lang w:val="en-AU"/>
        </w:rPr>
        <w:t>ment of key stakeholders</w:t>
      </w:r>
      <w:r w:rsidRPr="00351A46">
        <w:rPr>
          <w:rFonts w:eastAsia="Calibri" w:cstheme="minorHAnsi"/>
          <w:lang w:val="en-AU"/>
        </w:rPr>
        <w:t xml:space="preserve"> in these discussions </w:t>
      </w:r>
      <w:r w:rsidR="00FF6EBD" w:rsidRPr="00351A46">
        <w:rPr>
          <w:rFonts w:eastAsia="Calibri" w:cstheme="minorHAnsi"/>
          <w:lang w:val="en-AU"/>
        </w:rPr>
        <w:t xml:space="preserve">with the designated parliamentary commission </w:t>
      </w:r>
      <w:r w:rsidRPr="00351A46">
        <w:rPr>
          <w:rFonts w:eastAsia="Calibri" w:cstheme="minorHAnsi"/>
          <w:lang w:val="en-AU"/>
        </w:rPr>
        <w:t>to raise awareness and explore opportunities.</w:t>
      </w:r>
    </w:p>
    <w:p w14:paraId="70C5815F" w14:textId="0481DB5D" w:rsidR="004C2303" w:rsidRPr="00351A46" w:rsidRDefault="004C2303">
      <w:pPr>
        <w:pStyle w:val="ListParagraph"/>
        <w:numPr>
          <w:ilvl w:val="0"/>
          <w:numId w:val="28"/>
        </w:numPr>
        <w:spacing w:before="120" w:after="0"/>
        <w:contextualSpacing w:val="0"/>
        <w:jc w:val="both"/>
        <w:rPr>
          <w:rFonts w:eastAsia="Calibri" w:cstheme="minorHAnsi"/>
          <w:lang w:val="en-AU"/>
        </w:rPr>
      </w:pPr>
      <w:r w:rsidRPr="00351A46">
        <w:rPr>
          <w:rFonts w:eastAsia="Calibri" w:cstheme="minorHAnsi"/>
          <w:lang w:val="en-AU"/>
        </w:rPr>
        <w:t>UU Sisnas Iptek is opening up discussion</w:t>
      </w:r>
      <w:r w:rsidR="003A7A23">
        <w:rPr>
          <w:rFonts w:eastAsia="Calibri" w:cstheme="minorHAnsi"/>
          <w:lang w:val="en-AU"/>
        </w:rPr>
        <w:t>s</w:t>
      </w:r>
      <w:r w:rsidRPr="00351A46">
        <w:rPr>
          <w:rFonts w:eastAsia="Calibri" w:cstheme="minorHAnsi"/>
          <w:lang w:val="en-AU"/>
        </w:rPr>
        <w:t xml:space="preserve"> on the roles and functions of many key agencies in the knowledge sector. It is important to engage in these discussions to identify entry points to strengthen funding for policy research and the roles of key actors related to policy research. </w:t>
      </w:r>
    </w:p>
    <w:p w14:paraId="0AAF38EC" w14:textId="1CD27F2F" w:rsidR="0054491B" w:rsidRPr="00351A46" w:rsidRDefault="00F9220F">
      <w:pPr>
        <w:pStyle w:val="ListParagraph"/>
        <w:numPr>
          <w:ilvl w:val="0"/>
          <w:numId w:val="27"/>
        </w:numPr>
        <w:spacing w:before="120" w:after="0"/>
        <w:contextualSpacing w:val="0"/>
        <w:jc w:val="both"/>
        <w:rPr>
          <w:rFonts w:eastAsia="Calibri" w:cstheme="minorHAnsi"/>
          <w:lang w:val="en-AU"/>
        </w:rPr>
      </w:pPr>
      <w:r w:rsidRPr="00351A46">
        <w:rPr>
          <w:rFonts w:eastAsia="Calibri" w:cstheme="minorHAnsi"/>
          <w:u w:val="single"/>
          <w:lang w:val="en-AU"/>
        </w:rPr>
        <w:t>Kemenpan RB’s review of B</w:t>
      </w:r>
      <w:r w:rsidR="000A2E8E" w:rsidRPr="00351A46">
        <w:rPr>
          <w:rFonts w:eastAsia="Calibri" w:cstheme="minorHAnsi"/>
          <w:u w:val="single"/>
          <w:lang w:val="en-AU"/>
        </w:rPr>
        <w:t>alitbangs</w:t>
      </w:r>
      <w:r w:rsidR="000A2E8E" w:rsidRPr="00351A46">
        <w:rPr>
          <w:rFonts w:eastAsia="Calibri" w:cstheme="minorHAnsi"/>
          <w:lang w:val="en-AU"/>
        </w:rPr>
        <w:t xml:space="preserve"> – </w:t>
      </w:r>
      <w:r w:rsidR="006A14A9" w:rsidRPr="00351A46">
        <w:rPr>
          <w:rFonts w:eastAsia="Calibri" w:cstheme="minorHAnsi"/>
          <w:lang w:val="en-AU"/>
        </w:rPr>
        <w:t xml:space="preserve">As </w:t>
      </w:r>
      <w:r w:rsidR="000A2E8E" w:rsidRPr="00351A46">
        <w:rPr>
          <w:rFonts w:eastAsia="Calibri" w:cstheme="minorHAnsi"/>
          <w:lang w:val="en-AU"/>
        </w:rPr>
        <w:t>part of its review of the machinery of government, Keme</w:t>
      </w:r>
      <w:r w:rsidR="0063459F" w:rsidRPr="00351A46">
        <w:rPr>
          <w:rFonts w:eastAsia="Calibri" w:cstheme="minorHAnsi"/>
          <w:lang w:val="en-AU"/>
        </w:rPr>
        <w:t>n</w:t>
      </w:r>
      <w:r w:rsidR="000A2E8E" w:rsidRPr="00351A46">
        <w:rPr>
          <w:rFonts w:eastAsia="Calibri" w:cstheme="minorHAnsi"/>
          <w:lang w:val="en-AU"/>
        </w:rPr>
        <w:t>pan RB are reviewing the effectiveness of Balitbang</w:t>
      </w:r>
      <w:r w:rsidR="003A7A23">
        <w:rPr>
          <w:rFonts w:eastAsia="Calibri" w:cstheme="minorHAnsi"/>
          <w:lang w:val="en-AU"/>
        </w:rPr>
        <w:t>s</w:t>
      </w:r>
      <w:r w:rsidRPr="00351A46">
        <w:rPr>
          <w:rFonts w:eastAsia="Calibri" w:cstheme="minorHAnsi"/>
          <w:lang w:val="en-AU"/>
        </w:rPr>
        <w:t xml:space="preserve"> (government research and development units)</w:t>
      </w:r>
      <w:r w:rsidR="000A2E8E" w:rsidRPr="00351A46">
        <w:rPr>
          <w:rFonts w:eastAsia="Calibri" w:cstheme="minorHAnsi"/>
          <w:lang w:val="en-AU"/>
        </w:rPr>
        <w:t xml:space="preserve">. </w:t>
      </w:r>
      <w:r w:rsidR="00DA7E0E" w:rsidRPr="00351A46">
        <w:rPr>
          <w:rFonts w:eastAsia="Calibri" w:cstheme="minorHAnsi"/>
          <w:lang w:val="en-AU"/>
        </w:rPr>
        <w:t>Related to this review, there has been recent policy debate by Kemenpan RB around the possible establishment of a natio</w:t>
      </w:r>
      <w:r w:rsidR="0054491B" w:rsidRPr="00351A46">
        <w:rPr>
          <w:rFonts w:eastAsia="Calibri" w:cstheme="minorHAnsi"/>
          <w:lang w:val="en-AU"/>
        </w:rPr>
        <w:t>nal research body to centralise research funding. Both the review and this new body hold significant</w:t>
      </w:r>
      <w:r w:rsidR="00AB3E0A" w:rsidRPr="00351A46">
        <w:rPr>
          <w:rFonts w:eastAsia="Calibri" w:cstheme="minorHAnsi"/>
          <w:lang w:val="en-AU"/>
        </w:rPr>
        <w:t xml:space="preserve"> implications for the roles of B</w:t>
      </w:r>
      <w:r w:rsidR="0054491B" w:rsidRPr="00351A46">
        <w:rPr>
          <w:rFonts w:eastAsia="Calibri" w:cstheme="minorHAnsi"/>
          <w:lang w:val="en-AU"/>
        </w:rPr>
        <w:t>alitbang</w:t>
      </w:r>
      <w:r w:rsidR="003A7A23">
        <w:rPr>
          <w:rFonts w:eastAsia="Calibri" w:cstheme="minorHAnsi"/>
          <w:lang w:val="en-AU"/>
        </w:rPr>
        <w:t>s</w:t>
      </w:r>
      <w:r w:rsidR="0054491B" w:rsidRPr="00351A46">
        <w:rPr>
          <w:rFonts w:eastAsia="Calibri" w:cstheme="minorHAnsi"/>
          <w:lang w:val="en-AU"/>
        </w:rPr>
        <w:t xml:space="preserve">, policy analysts, LIPI, universities and </w:t>
      </w:r>
      <w:r w:rsidR="008D4E96">
        <w:rPr>
          <w:rFonts w:eastAsia="Calibri" w:cstheme="minorHAnsi"/>
          <w:lang w:val="en-AU"/>
        </w:rPr>
        <w:t>PRIs</w:t>
      </w:r>
      <w:r w:rsidR="0054491B" w:rsidRPr="00351A46">
        <w:rPr>
          <w:rFonts w:eastAsia="Calibri" w:cstheme="minorHAnsi"/>
          <w:lang w:val="en-AU"/>
        </w:rPr>
        <w:t>.</w:t>
      </w:r>
      <w:r w:rsidR="0054491B" w:rsidRPr="00351A46">
        <w:rPr>
          <w:rStyle w:val="FootnoteReference"/>
          <w:rFonts w:eastAsia="Calibri" w:cstheme="minorHAnsi"/>
          <w:lang w:val="en-AU"/>
        </w:rPr>
        <w:footnoteReference w:id="8"/>
      </w:r>
      <w:r w:rsidR="0054491B" w:rsidRPr="00351A46">
        <w:rPr>
          <w:rFonts w:eastAsia="Calibri" w:cstheme="minorHAnsi"/>
          <w:lang w:val="en-AU"/>
        </w:rPr>
        <w:t xml:space="preserve"> </w:t>
      </w:r>
      <w:r w:rsidR="002541CB" w:rsidRPr="00351A46">
        <w:rPr>
          <w:rFonts w:eastAsia="Calibri" w:cstheme="minorHAnsi"/>
          <w:lang w:val="en-AU"/>
        </w:rPr>
        <w:t>KSI is funding a</w:t>
      </w:r>
      <w:r w:rsidR="00AB3E0A" w:rsidRPr="00351A46">
        <w:rPr>
          <w:rFonts w:eastAsia="Calibri" w:cstheme="minorHAnsi"/>
          <w:lang w:val="en-AU"/>
        </w:rPr>
        <w:t xml:space="preserve"> study of the effectiveness of </w:t>
      </w:r>
      <w:r w:rsidR="002541CB" w:rsidRPr="00351A46">
        <w:rPr>
          <w:rFonts w:eastAsia="Calibri" w:cstheme="minorHAnsi"/>
          <w:lang w:val="en-AU"/>
        </w:rPr>
        <w:t>Balitbang</w:t>
      </w:r>
      <w:r w:rsidR="003A7A23">
        <w:rPr>
          <w:rFonts w:eastAsia="Calibri" w:cstheme="minorHAnsi"/>
          <w:lang w:val="en-AU"/>
        </w:rPr>
        <w:t>s</w:t>
      </w:r>
      <w:r w:rsidR="002541CB" w:rsidRPr="00351A46">
        <w:rPr>
          <w:rFonts w:eastAsia="Calibri" w:cstheme="minorHAnsi"/>
          <w:lang w:val="en-AU"/>
        </w:rPr>
        <w:t xml:space="preserve"> to provide evidence to </w:t>
      </w:r>
      <w:r w:rsidR="00AB3E0A" w:rsidRPr="00351A46">
        <w:rPr>
          <w:rFonts w:eastAsia="Calibri" w:cstheme="minorHAnsi"/>
          <w:lang w:val="en-AU"/>
        </w:rPr>
        <w:t xml:space="preserve">inform Kemenpan RB’s review of </w:t>
      </w:r>
      <w:r w:rsidR="003A7A23">
        <w:rPr>
          <w:rFonts w:eastAsia="Calibri" w:cstheme="minorHAnsi"/>
          <w:lang w:val="en-AU"/>
        </w:rPr>
        <w:t>them</w:t>
      </w:r>
      <w:r w:rsidR="002541CB" w:rsidRPr="00351A46">
        <w:rPr>
          <w:rFonts w:eastAsia="Calibri" w:cstheme="minorHAnsi"/>
          <w:lang w:val="en-AU"/>
        </w:rPr>
        <w:t xml:space="preserve">. </w:t>
      </w:r>
    </w:p>
    <w:p w14:paraId="2F84404F" w14:textId="2D8A01DB" w:rsidR="007F2C2F" w:rsidRPr="00351A46" w:rsidRDefault="00700D16">
      <w:pPr>
        <w:pStyle w:val="ListParagraph"/>
        <w:numPr>
          <w:ilvl w:val="0"/>
          <w:numId w:val="27"/>
        </w:numPr>
        <w:spacing w:before="120" w:after="0"/>
        <w:contextualSpacing w:val="0"/>
        <w:jc w:val="both"/>
        <w:rPr>
          <w:rFonts w:eastAsia="Calibri" w:cstheme="minorHAnsi"/>
          <w:lang w:val="en-AU"/>
        </w:rPr>
      </w:pPr>
      <w:r w:rsidRPr="00351A46">
        <w:rPr>
          <w:rFonts w:eastAsia="Calibri" w:cstheme="minorHAnsi"/>
          <w:u w:val="single"/>
          <w:lang w:val="en-AU"/>
        </w:rPr>
        <w:t>Ministry of Finance’s development of a sovereign wealth fund</w:t>
      </w:r>
      <w:r w:rsidRPr="00351A46">
        <w:rPr>
          <w:rFonts w:eastAsia="Calibri" w:cstheme="minorHAnsi"/>
          <w:lang w:val="en-AU"/>
        </w:rPr>
        <w:t xml:space="preserve"> – </w:t>
      </w:r>
      <w:r w:rsidR="006A14A9" w:rsidRPr="00351A46">
        <w:rPr>
          <w:rFonts w:eastAsia="Calibri" w:cstheme="minorHAnsi"/>
          <w:lang w:val="en-AU"/>
        </w:rPr>
        <w:t xml:space="preserve">The </w:t>
      </w:r>
      <w:r w:rsidR="00B31B61" w:rsidRPr="00351A46">
        <w:rPr>
          <w:rFonts w:eastAsia="Calibri" w:cstheme="minorHAnsi"/>
          <w:lang w:val="en-AU"/>
        </w:rPr>
        <w:t xml:space="preserve">Ministry of Finance is seeking to turn the existing LPDP into a sovereign wealth fund, which provides a more flexible governance arrangement. The </w:t>
      </w:r>
      <w:r w:rsidR="000E64BB">
        <w:rPr>
          <w:rFonts w:eastAsia="Calibri" w:cstheme="minorHAnsi"/>
          <w:lang w:val="en-AU"/>
        </w:rPr>
        <w:t>fund</w:t>
      </w:r>
      <w:r w:rsidR="000E64BB" w:rsidRPr="00351A46">
        <w:rPr>
          <w:rFonts w:eastAsia="Calibri" w:cstheme="minorHAnsi"/>
          <w:lang w:val="en-AU"/>
        </w:rPr>
        <w:t xml:space="preserve"> </w:t>
      </w:r>
      <w:r w:rsidR="00B31B61" w:rsidRPr="00351A46">
        <w:rPr>
          <w:rFonts w:eastAsia="Calibri" w:cstheme="minorHAnsi"/>
          <w:lang w:val="en-AU"/>
        </w:rPr>
        <w:t>will enable</w:t>
      </w:r>
      <w:r w:rsidRPr="00351A46">
        <w:rPr>
          <w:rFonts w:eastAsia="Calibri" w:cstheme="minorHAnsi"/>
          <w:lang w:val="en-AU"/>
        </w:rPr>
        <w:t xml:space="preserve"> funding of policy research. KSI will explore opportunities to strengthen the way this funding is delivered to enable quality policy research, including its links to research agendas, </w:t>
      </w:r>
      <w:r w:rsidR="003E4EA4" w:rsidRPr="00351A46">
        <w:rPr>
          <w:rFonts w:eastAsia="Calibri" w:cstheme="minorHAnsi"/>
          <w:lang w:val="en-AU"/>
        </w:rPr>
        <w:t>provision</w:t>
      </w:r>
      <w:r w:rsidR="000E64BB">
        <w:rPr>
          <w:rFonts w:eastAsia="Calibri" w:cstheme="minorHAnsi"/>
          <w:lang w:val="en-AU"/>
        </w:rPr>
        <w:t>s</w:t>
      </w:r>
      <w:r w:rsidR="003E4EA4" w:rsidRPr="00351A46">
        <w:rPr>
          <w:rFonts w:eastAsia="Calibri" w:cstheme="minorHAnsi"/>
          <w:lang w:val="en-AU"/>
        </w:rPr>
        <w:t xml:space="preserve"> for multi-year funding and </w:t>
      </w:r>
      <w:r w:rsidR="006B5EAF" w:rsidRPr="00351A46">
        <w:rPr>
          <w:rFonts w:eastAsia="Calibri" w:cstheme="minorHAnsi"/>
          <w:lang w:val="en-AU"/>
        </w:rPr>
        <w:t xml:space="preserve">merit-based peer review of research </w:t>
      </w:r>
      <w:r w:rsidR="00FF3CF5" w:rsidRPr="00351A46">
        <w:rPr>
          <w:rFonts w:eastAsia="Calibri" w:cstheme="minorHAnsi"/>
          <w:lang w:val="en-AU"/>
        </w:rPr>
        <w:t xml:space="preserve">proposals. </w:t>
      </w:r>
    </w:p>
    <w:p w14:paraId="4AA04D4E" w14:textId="475685E4" w:rsidR="00AE52FE" w:rsidRPr="00351A46" w:rsidRDefault="000C6C6A">
      <w:pPr>
        <w:pStyle w:val="ListParagraph"/>
        <w:numPr>
          <w:ilvl w:val="0"/>
          <w:numId w:val="27"/>
        </w:numPr>
        <w:spacing w:before="120" w:after="0"/>
        <w:contextualSpacing w:val="0"/>
        <w:jc w:val="both"/>
        <w:rPr>
          <w:rFonts w:eastAsia="Calibri" w:cstheme="minorHAnsi"/>
          <w:lang w:val="en-AU"/>
        </w:rPr>
      </w:pPr>
      <w:r w:rsidRPr="00381388">
        <w:rPr>
          <w:rFonts w:eastAsia="Calibri" w:cstheme="minorHAnsi"/>
          <w:u w:val="single"/>
          <w:lang w:val="en-AU"/>
        </w:rPr>
        <w:t>Procurement regulations</w:t>
      </w:r>
      <w:r w:rsidR="00517436" w:rsidRPr="00381388">
        <w:rPr>
          <w:rFonts w:eastAsia="Calibri" w:cstheme="minorHAnsi"/>
          <w:lang w:val="en-AU"/>
        </w:rPr>
        <w:t xml:space="preserve"> </w:t>
      </w:r>
      <w:r w:rsidR="007F2C2F" w:rsidRPr="00354BC0">
        <w:rPr>
          <w:rFonts w:eastAsia="Calibri" w:cstheme="minorHAnsi"/>
          <w:lang w:val="en-AU"/>
        </w:rPr>
        <w:t>–</w:t>
      </w:r>
      <w:r w:rsidR="00517436" w:rsidRPr="009E1C17">
        <w:rPr>
          <w:rFonts w:eastAsia="Calibri" w:cstheme="minorHAnsi"/>
          <w:lang w:val="en-AU"/>
        </w:rPr>
        <w:t xml:space="preserve"> </w:t>
      </w:r>
      <w:r w:rsidR="006A14A9" w:rsidRPr="009E1C17">
        <w:rPr>
          <w:rFonts w:eastAsia="Calibri" w:cstheme="minorHAnsi"/>
          <w:lang w:val="en-AU"/>
        </w:rPr>
        <w:t xml:space="preserve">The </w:t>
      </w:r>
      <w:r w:rsidR="00D9654D" w:rsidRPr="009E1C17">
        <w:rPr>
          <w:rFonts w:eastAsia="Calibri" w:cstheme="minorHAnsi"/>
          <w:lang w:val="en-AU"/>
        </w:rPr>
        <w:t xml:space="preserve">recent passage of </w:t>
      </w:r>
      <w:r w:rsidR="00D9654D" w:rsidRPr="001C1496">
        <w:rPr>
          <w:rFonts w:eastAsia="Calibri" w:cstheme="minorHAnsi"/>
          <w:lang w:val="en-AU"/>
        </w:rPr>
        <w:t>Perpres 16/2018</w:t>
      </w:r>
      <w:r w:rsidR="00D9654D" w:rsidRPr="009E1C17">
        <w:rPr>
          <w:rFonts w:eastAsia="Calibri" w:cstheme="minorHAnsi"/>
          <w:i/>
          <w:lang w:val="en-AU"/>
        </w:rPr>
        <w:t xml:space="preserve"> </w:t>
      </w:r>
      <w:r w:rsidR="002D5DB5" w:rsidRPr="009E1C17">
        <w:rPr>
          <w:rFonts w:eastAsia="Calibri" w:cstheme="minorHAnsi"/>
          <w:lang w:val="en-AU"/>
        </w:rPr>
        <w:t xml:space="preserve">on procurement </w:t>
      </w:r>
      <w:r w:rsidR="00D9654D" w:rsidRPr="009E1C17">
        <w:rPr>
          <w:rFonts w:eastAsia="Calibri" w:cstheme="minorHAnsi"/>
          <w:lang w:val="en-AU"/>
        </w:rPr>
        <w:t>allows</w:t>
      </w:r>
      <w:r w:rsidR="00D9654D" w:rsidRPr="00351A46">
        <w:rPr>
          <w:rFonts w:eastAsia="Calibri" w:cstheme="minorHAnsi"/>
          <w:lang w:val="en-AU"/>
        </w:rPr>
        <w:t xml:space="preserve"> </w:t>
      </w:r>
      <w:r w:rsidR="007E1130">
        <w:rPr>
          <w:rFonts w:eastAsia="Calibri" w:cstheme="minorHAnsi"/>
          <w:lang w:val="en-AU"/>
        </w:rPr>
        <w:t xml:space="preserve">the </w:t>
      </w:r>
      <w:r w:rsidR="00D9654D" w:rsidRPr="00351A46">
        <w:rPr>
          <w:rFonts w:eastAsia="Calibri" w:cstheme="minorHAnsi"/>
          <w:lang w:val="en-AU"/>
        </w:rPr>
        <w:t xml:space="preserve">government to directly contract non-commercial entities. This opens new sources of funding for universities and </w:t>
      </w:r>
      <w:r w:rsidR="008D4E96">
        <w:rPr>
          <w:rFonts w:eastAsia="Calibri" w:cstheme="minorHAnsi"/>
          <w:lang w:val="en-AU"/>
        </w:rPr>
        <w:t>PRIs</w:t>
      </w:r>
      <w:r w:rsidR="00D9654D" w:rsidRPr="00351A46">
        <w:rPr>
          <w:rFonts w:eastAsia="Calibri" w:cstheme="minorHAnsi"/>
          <w:lang w:val="en-AU"/>
        </w:rPr>
        <w:t xml:space="preserve">, by allowing them to tender for government contracts to provide research and other services. KSI is likely to support the drafting of implementing regulations necessary to enact the </w:t>
      </w:r>
      <w:r w:rsidR="00D9654D" w:rsidRPr="001C1496">
        <w:rPr>
          <w:rFonts w:eastAsia="Calibri" w:cstheme="minorHAnsi"/>
          <w:lang w:val="en-AU"/>
        </w:rPr>
        <w:t>Perpres</w:t>
      </w:r>
      <w:r w:rsidR="00D9654D" w:rsidRPr="00351A46">
        <w:rPr>
          <w:rFonts w:eastAsia="Calibri" w:cstheme="minorHAnsi"/>
          <w:i/>
          <w:lang w:val="en-AU"/>
        </w:rPr>
        <w:t xml:space="preserve">, </w:t>
      </w:r>
      <w:r w:rsidR="007F2C2F" w:rsidRPr="00351A46">
        <w:rPr>
          <w:lang w:val="en-AU"/>
        </w:rPr>
        <w:t>advocacy to ensure the regulations are passed, socialising the regulations</w:t>
      </w:r>
      <w:r w:rsidR="007E1130">
        <w:rPr>
          <w:lang w:val="en-AU"/>
        </w:rPr>
        <w:t>,</w:t>
      </w:r>
      <w:r w:rsidR="007F2C2F" w:rsidRPr="00351A46">
        <w:rPr>
          <w:lang w:val="en-AU"/>
        </w:rPr>
        <w:t xml:space="preserve"> and contributing to </w:t>
      </w:r>
      <w:r w:rsidR="007E1130">
        <w:rPr>
          <w:lang w:val="en-AU"/>
        </w:rPr>
        <w:t xml:space="preserve">the </w:t>
      </w:r>
      <w:r w:rsidR="007F2C2F" w:rsidRPr="00351A46">
        <w:rPr>
          <w:lang w:val="en-AU"/>
        </w:rPr>
        <w:t xml:space="preserve">development of an e-catalogue of non-government organisations. KSI </w:t>
      </w:r>
      <w:r w:rsidR="00735C90" w:rsidRPr="00351A46">
        <w:rPr>
          <w:lang w:val="en-AU"/>
        </w:rPr>
        <w:t>support</w:t>
      </w:r>
      <w:r w:rsidR="007E1130">
        <w:rPr>
          <w:lang w:val="en-AU"/>
        </w:rPr>
        <w:t>s</w:t>
      </w:r>
      <w:r w:rsidR="00735C90" w:rsidRPr="00351A46">
        <w:rPr>
          <w:lang w:val="en-AU"/>
        </w:rPr>
        <w:t xml:space="preserve"> one of the PRIs, Akatiga, to </w:t>
      </w:r>
      <w:r w:rsidR="007F2C2F" w:rsidRPr="00351A46">
        <w:rPr>
          <w:lang w:val="en-AU"/>
        </w:rPr>
        <w:t>pilot</w:t>
      </w:r>
      <w:r w:rsidR="007E1130">
        <w:rPr>
          <w:lang w:val="en-AU"/>
        </w:rPr>
        <w:t xml:space="preserve"> the</w:t>
      </w:r>
      <w:r w:rsidR="007F2C2F" w:rsidRPr="00351A46">
        <w:rPr>
          <w:lang w:val="en-AU"/>
        </w:rPr>
        <w:t xml:space="preserve"> implementation of the </w:t>
      </w:r>
      <w:r w:rsidR="00D9654D" w:rsidRPr="00351A46">
        <w:rPr>
          <w:lang w:val="en-AU"/>
        </w:rPr>
        <w:t>regulations in selected agencies</w:t>
      </w:r>
      <w:r w:rsidR="009A51C8" w:rsidRPr="00351A46">
        <w:rPr>
          <w:lang w:val="en-AU"/>
        </w:rPr>
        <w:t xml:space="preserve"> (starting in selected </w:t>
      </w:r>
      <w:r w:rsidR="007E1130">
        <w:rPr>
          <w:lang w:val="en-AU"/>
        </w:rPr>
        <w:t>d</w:t>
      </w:r>
      <w:r w:rsidR="009A51C8" w:rsidRPr="00351A46">
        <w:rPr>
          <w:lang w:val="en-AU"/>
        </w:rPr>
        <w:t>irectorates in Bappenas)</w:t>
      </w:r>
      <w:r w:rsidR="007F2C2F" w:rsidRPr="00351A46">
        <w:rPr>
          <w:lang w:val="en-AU"/>
        </w:rPr>
        <w:t>, document good examples of government and research organisations working together</w:t>
      </w:r>
      <w:r w:rsidR="007E1130">
        <w:rPr>
          <w:lang w:val="en-AU"/>
        </w:rPr>
        <w:t>,</w:t>
      </w:r>
      <w:r w:rsidR="007F2C2F" w:rsidRPr="00351A46">
        <w:rPr>
          <w:lang w:val="en-AU"/>
        </w:rPr>
        <w:t xml:space="preserve"> and</w:t>
      </w:r>
      <w:r w:rsidR="007E1130">
        <w:rPr>
          <w:lang w:val="en-AU"/>
        </w:rPr>
        <w:t xml:space="preserve"> to</w:t>
      </w:r>
      <w:r w:rsidR="007F2C2F" w:rsidRPr="00351A46">
        <w:rPr>
          <w:lang w:val="en-AU"/>
        </w:rPr>
        <w:t xml:space="preserve"> disseminate these. </w:t>
      </w:r>
    </w:p>
    <w:p w14:paraId="757D3279" w14:textId="64A469C1" w:rsidR="00AF3B8D" w:rsidRPr="00351A46" w:rsidRDefault="00313473">
      <w:pPr>
        <w:spacing w:before="120" w:after="0"/>
        <w:jc w:val="both"/>
        <w:rPr>
          <w:rFonts w:eastAsia="Calibri" w:cstheme="minorHAnsi"/>
          <w:lang w:val="en-AU"/>
        </w:rPr>
      </w:pPr>
      <w:r w:rsidRPr="00351A46">
        <w:rPr>
          <w:rFonts w:eastAsia="Calibri" w:cstheme="minorHAnsi"/>
          <w:lang w:val="en-AU"/>
        </w:rPr>
        <w:t>In the lead-up to the national election</w:t>
      </w:r>
      <w:r w:rsidR="007E1130">
        <w:rPr>
          <w:rFonts w:eastAsia="Calibri" w:cstheme="minorHAnsi"/>
          <w:lang w:val="en-AU"/>
        </w:rPr>
        <w:t>,</w:t>
      </w:r>
      <w:r w:rsidR="00EC2385" w:rsidRPr="00351A46">
        <w:rPr>
          <w:rFonts w:eastAsia="Calibri" w:cstheme="minorHAnsi"/>
          <w:lang w:val="en-AU"/>
        </w:rPr>
        <w:t xml:space="preserve"> and because of President Jokowi’s focus on the need to justify funding allocations to government agencies based on strategic needs, </w:t>
      </w:r>
      <w:r w:rsidR="00AF3B8D" w:rsidRPr="00351A46">
        <w:rPr>
          <w:rFonts w:eastAsia="Calibri" w:cstheme="minorHAnsi"/>
          <w:lang w:val="en-AU"/>
        </w:rPr>
        <w:t xml:space="preserve">each government agency is trying to </w:t>
      </w:r>
      <w:r w:rsidR="00EC2385" w:rsidRPr="00351A46">
        <w:rPr>
          <w:rFonts w:eastAsia="Calibri" w:cstheme="minorHAnsi"/>
          <w:lang w:val="en-AU"/>
        </w:rPr>
        <w:t xml:space="preserve">promote </w:t>
      </w:r>
      <w:r w:rsidR="007E1130">
        <w:rPr>
          <w:rFonts w:eastAsia="Calibri" w:cstheme="minorHAnsi"/>
          <w:lang w:val="en-AU"/>
        </w:rPr>
        <w:t>its</w:t>
      </w:r>
      <w:r w:rsidR="007E1130" w:rsidRPr="00351A46">
        <w:rPr>
          <w:rFonts w:eastAsia="Calibri" w:cstheme="minorHAnsi"/>
          <w:lang w:val="en-AU"/>
        </w:rPr>
        <w:t xml:space="preserve"> </w:t>
      </w:r>
      <w:r w:rsidR="00EC2385" w:rsidRPr="00351A46">
        <w:rPr>
          <w:rFonts w:eastAsia="Calibri" w:cstheme="minorHAnsi"/>
          <w:lang w:val="en-AU"/>
        </w:rPr>
        <w:t>relevance and importance t</w:t>
      </w:r>
      <w:r w:rsidR="00AF3B8D" w:rsidRPr="00351A46">
        <w:rPr>
          <w:rFonts w:eastAsia="Calibri" w:cstheme="minorHAnsi"/>
          <w:lang w:val="en-AU"/>
        </w:rPr>
        <w:t xml:space="preserve">o the </w:t>
      </w:r>
      <w:r w:rsidR="007E1130">
        <w:rPr>
          <w:rFonts w:eastAsia="Calibri" w:cstheme="minorHAnsi"/>
          <w:lang w:val="en-AU"/>
        </w:rPr>
        <w:t>p</w:t>
      </w:r>
      <w:r w:rsidR="00AF3B8D" w:rsidRPr="00351A46">
        <w:rPr>
          <w:rFonts w:eastAsia="Calibri" w:cstheme="minorHAnsi"/>
          <w:lang w:val="en-AU"/>
        </w:rPr>
        <w:t xml:space="preserve">resident. There is a risk that KSI </w:t>
      </w:r>
      <w:r w:rsidR="007E1130">
        <w:rPr>
          <w:rFonts w:eastAsia="Calibri" w:cstheme="minorHAnsi"/>
          <w:lang w:val="en-AU"/>
        </w:rPr>
        <w:t xml:space="preserve">could </w:t>
      </w:r>
      <w:r w:rsidR="00AF3B8D" w:rsidRPr="00351A46">
        <w:rPr>
          <w:rFonts w:eastAsia="Calibri" w:cstheme="minorHAnsi"/>
          <w:lang w:val="en-AU"/>
        </w:rPr>
        <w:t>receive requests for support to promote individual agencies in competition with each other, rather than supporting issues of strategic importance to the whole knowledge sector.</w:t>
      </w:r>
      <w:r w:rsidR="00B00B38" w:rsidRPr="00351A46">
        <w:rPr>
          <w:rFonts w:eastAsia="Calibri" w:cstheme="minorHAnsi"/>
          <w:lang w:val="en-AU"/>
        </w:rPr>
        <w:t xml:space="preserve"> KSI will manage this risk by acting as an honest broker–being a neutral middle ground, using evidence to support its policy dialogue</w:t>
      </w:r>
      <w:r w:rsidR="007E1130">
        <w:rPr>
          <w:rFonts w:eastAsia="Calibri" w:cstheme="minorHAnsi"/>
          <w:lang w:val="en-AU"/>
        </w:rPr>
        <w:t>,</w:t>
      </w:r>
      <w:r w:rsidR="00B00B38" w:rsidRPr="00351A46">
        <w:rPr>
          <w:rFonts w:eastAsia="Calibri" w:cstheme="minorHAnsi"/>
          <w:lang w:val="en-AU"/>
        </w:rPr>
        <w:t xml:space="preserve"> and promoting contestation of ideas being put forward</w:t>
      </w:r>
      <w:r w:rsidR="007E1130">
        <w:rPr>
          <w:rFonts w:eastAsia="Calibri" w:cstheme="minorHAnsi"/>
          <w:lang w:val="en-AU"/>
        </w:rPr>
        <w:t xml:space="preserve"> by</w:t>
      </w:r>
      <w:r w:rsidR="00B00B38" w:rsidRPr="00351A46">
        <w:rPr>
          <w:rFonts w:eastAsia="Calibri" w:cstheme="minorHAnsi"/>
          <w:lang w:val="en-AU"/>
        </w:rPr>
        <w:t xml:space="preserve"> convening stakeholders and bringing in alternative voices. </w:t>
      </w:r>
    </w:p>
    <w:p w14:paraId="72EB7AF0" w14:textId="501AB536" w:rsidR="00A86899" w:rsidRPr="00351A46" w:rsidRDefault="00383433">
      <w:pPr>
        <w:spacing w:before="120" w:after="0"/>
        <w:jc w:val="both"/>
        <w:rPr>
          <w:rFonts w:eastAsia="Calibri" w:cstheme="minorHAnsi"/>
          <w:lang w:val="en-AU"/>
        </w:rPr>
      </w:pPr>
      <w:r w:rsidRPr="00351A46">
        <w:rPr>
          <w:rFonts w:eastAsia="Calibri" w:cstheme="minorHAnsi"/>
          <w:i/>
          <w:lang w:val="en-AU"/>
        </w:rPr>
        <w:t xml:space="preserve">Key Initiative 2: </w:t>
      </w:r>
      <w:r w:rsidR="00346AA3" w:rsidRPr="00351A46">
        <w:rPr>
          <w:rFonts w:eastAsia="Calibri" w:cstheme="minorHAnsi"/>
          <w:i/>
          <w:lang w:val="en-AU"/>
        </w:rPr>
        <w:t>RPJMN studies</w:t>
      </w:r>
      <w:r w:rsidR="00A86899" w:rsidRPr="00351A46">
        <w:rPr>
          <w:rFonts w:eastAsia="Calibri" w:cstheme="minorHAnsi"/>
          <w:i/>
          <w:lang w:val="en-AU"/>
        </w:rPr>
        <w:t xml:space="preserve"> </w:t>
      </w:r>
    </w:p>
    <w:p w14:paraId="5A315D25" w14:textId="3F804ED1" w:rsidR="00202EF2" w:rsidRDefault="007D3EB4">
      <w:pPr>
        <w:spacing w:before="120" w:after="120"/>
        <w:jc w:val="both"/>
        <w:rPr>
          <w:rFonts w:eastAsia="Calibri" w:cstheme="minorHAnsi"/>
          <w:lang w:val="en-AU"/>
        </w:rPr>
      </w:pPr>
      <w:r w:rsidRPr="00351A46">
        <w:rPr>
          <w:rFonts w:eastAsia="Calibri" w:cstheme="minorHAnsi"/>
          <w:lang w:val="en-AU"/>
        </w:rPr>
        <w:t xml:space="preserve">One of the key strategies for achieving EOPO 1 is to identify opportunities to strengthen practices within selected </w:t>
      </w:r>
      <w:r w:rsidR="007E1130" w:rsidRPr="00351A46">
        <w:rPr>
          <w:rFonts w:eastAsia="Calibri" w:cstheme="minorHAnsi"/>
          <w:lang w:val="en-AU"/>
        </w:rPr>
        <w:t xml:space="preserve">directorates or agencies </w:t>
      </w:r>
      <w:r w:rsidRPr="00351A46">
        <w:rPr>
          <w:rFonts w:eastAsia="Calibri" w:cstheme="minorHAnsi"/>
          <w:lang w:val="en-AU"/>
        </w:rPr>
        <w:t xml:space="preserve">for </w:t>
      </w:r>
      <w:r w:rsidR="00AE52FE" w:rsidRPr="00351A46">
        <w:rPr>
          <w:rFonts w:eastAsia="Calibri" w:cstheme="minorHAnsi"/>
          <w:lang w:val="en-AU"/>
        </w:rPr>
        <w:t xml:space="preserve">setting research agendas and commissioning and managing research. </w:t>
      </w:r>
      <w:r w:rsidRPr="00351A46">
        <w:rPr>
          <w:rFonts w:eastAsia="Calibri" w:cstheme="minorHAnsi"/>
          <w:lang w:val="en-AU"/>
        </w:rPr>
        <w:t xml:space="preserve">This </w:t>
      </w:r>
      <w:r w:rsidR="007E1130" w:rsidRPr="00351A46">
        <w:rPr>
          <w:rFonts w:eastAsia="Calibri" w:cstheme="minorHAnsi"/>
          <w:lang w:val="en-AU"/>
        </w:rPr>
        <w:t xml:space="preserve">key initiative </w:t>
      </w:r>
      <w:r w:rsidRPr="00351A46">
        <w:rPr>
          <w:rFonts w:eastAsia="Calibri" w:cstheme="minorHAnsi"/>
          <w:lang w:val="en-AU"/>
        </w:rPr>
        <w:t>is one such oppo</w:t>
      </w:r>
      <w:r w:rsidR="005D7195" w:rsidRPr="00351A46">
        <w:rPr>
          <w:rFonts w:eastAsia="Calibri" w:cstheme="minorHAnsi"/>
          <w:lang w:val="en-AU"/>
        </w:rPr>
        <w:t>rtunity. I</w:t>
      </w:r>
      <w:r w:rsidRPr="00351A46">
        <w:rPr>
          <w:rFonts w:eastAsia="Calibri" w:cstheme="minorHAnsi"/>
          <w:lang w:val="en-AU"/>
        </w:rPr>
        <w:t xml:space="preserve">t </w:t>
      </w:r>
      <w:r w:rsidR="00346AA3" w:rsidRPr="00351A46">
        <w:rPr>
          <w:rFonts w:eastAsia="Calibri" w:cstheme="minorHAnsi"/>
          <w:lang w:val="en-AU"/>
        </w:rPr>
        <w:t>seeks to develop practices within</w:t>
      </w:r>
      <w:r w:rsidR="00EC12BD" w:rsidRPr="00351A46">
        <w:rPr>
          <w:rFonts w:eastAsia="Calibri" w:cstheme="minorHAnsi"/>
          <w:lang w:val="en-AU"/>
        </w:rPr>
        <w:t xml:space="preserve"> </w:t>
      </w:r>
      <w:r w:rsidR="00346AA3" w:rsidRPr="00351A46">
        <w:rPr>
          <w:rFonts w:eastAsia="Calibri" w:cstheme="minorHAnsi"/>
          <w:lang w:val="en-AU"/>
        </w:rPr>
        <w:t xml:space="preserve">Bappenas for anticipating research needs, developing </w:t>
      </w:r>
      <w:r w:rsidR="00195BAC" w:rsidRPr="00351A46">
        <w:rPr>
          <w:rFonts w:eastAsia="Calibri" w:cstheme="minorHAnsi"/>
          <w:lang w:val="en-AU"/>
        </w:rPr>
        <w:t xml:space="preserve">a </w:t>
      </w:r>
      <w:r w:rsidR="00346AA3" w:rsidRPr="00351A46">
        <w:rPr>
          <w:rFonts w:eastAsia="Calibri" w:cstheme="minorHAnsi"/>
          <w:lang w:val="en-AU"/>
        </w:rPr>
        <w:t>research agenda,</w:t>
      </w:r>
      <w:r w:rsidR="007E1130">
        <w:rPr>
          <w:rFonts w:eastAsia="Calibri" w:cstheme="minorHAnsi"/>
          <w:lang w:val="en-AU"/>
        </w:rPr>
        <w:t xml:space="preserve"> and</w:t>
      </w:r>
      <w:r w:rsidR="00346AA3" w:rsidRPr="00351A46">
        <w:rPr>
          <w:rFonts w:eastAsia="Calibri" w:cstheme="minorHAnsi"/>
          <w:lang w:val="en-AU"/>
        </w:rPr>
        <w:t xml:space="preserve"> resourcing, commissioning and using research to inform RPJMN. </w:t>
      </w:r>
      <w:r w:rsidR="00D007DD" w:rsidRPr="00351A46">
        <w:rPr>
          <w:rFonts w:eastAsia="Calibri" w:cstheme="minorHAnsi"/>
          <w:lang w:val="en-AU"/>
        </w:rPr>
        <w:t xml:space="preserve">Currently there are no set processes within Bappenas for identifying and commissioning these studies. There are issues with how research priorities </w:t>
      </w:r>
      <w:r w:rsidR="00EC12BD" w:rsidRPr="00351A46">
        <w:rPr>
          <w:rFonts w:eastAsia="Calibri" w:cstheme="minorHAnsi"/>
          <w:lang w:val="en-AU"/>
        </w:rPr>
        <w:t>are identified, including few</w:t>
      </w:r>
      <w:r w:rsidR="00D007DD" w:rsidRPr="00351A46">
        <w:rPr>
          <w:rFonts w:eastAsia="Calibri" w:cstheme="minorHAnsi"/>
          <w:lang w:val="en-AU"/>
        </w:rPr>
        <w:t xml:space="preserve"> reference</w:t>
      </w:r>
      <w:r w:rsidR="00EC12BD" w:rsidRPr="00351A46">
        <w:rPr>
          <w:rFonts w:eastAsia="Calibri" w:cstheme="minorHAnsi"/>
          <w:lang w:val="en-AU"/>
        </w:rPr>
        <w:t>s</w:t>
      </w:r>
      <w:r w:rsidR="00D007DD" w:rsidRPr="00351A46">
        <w:rPr>
          <w:rFonts w:eastAsia="Calibri" w:cstheme="minorHAnsi"/>
          <w:lang w:val="en-AU"/>
        </w:rPr>
        <w:t xml:space="preserve"> to previous studies, poor coordination across </w:t>
      </w:r>
      <w:r w:rsidR="00195BAC" w:rsidRPr="00351A46">
        <w:rPr>
          <w:rFonts w:eastAsia="Calibri" w:cstheme="minorHAnsi"/>
          <w:lang w:val="en-AU"/>
        </w:rPr>
        <w:t>d</w:t>
      </w:r>
      <w:r w:rsidR="00EC12BD" w:rsidRPr="00351A46">
        <w:rPr>
          <w:rFonts w:eastAsia="Calibri" w:cstheme="minorHAnsi"/>
          <w:lang w:val="en-AU"/>
        </w:rPr>
        <w:t xml:space="preserve">irectorates and </w:t>
      </w:r>
      <w:r w:rsidR="007E1130">
        <w:rPr>
          <w:rFonts w:eastAsia="Calibri" w:cstheme="minorHAnsi"/>
          <w:lang w:val="en-AU"/>
        </w:rPr>
        <w:t xml:space="preserve">a </w:t>
      </w:r>
      <w:r w:rsidR="00EC12BD" w:rsidRPr="00351A46">
        <w:rPr>
          <w:rFonts w:eastAsia="Calibri" w:cstheme="minorHAnsi"/>
          <w:lang w:val="en-AU"/>
        </w:rPr>
        <w:t>lack of</w:t>
      </w:r>
      <w:r w:rsidR="00D007DD" w:rsidRPr="00351A46">
        <w:rPr>
          <w:rFonts w:eastAsia="Calibri" w:cstheme="minorHAnsi"/>
          <w:lang w:val="en-AU"/>
        </w:rPr>
        <w:t xml:space="preserve"> forward planning to anticipate evidence needs. There is also a reliance on donor funding to fill evidence gaps. </w:t>
      </w:r>
      <w:r w:rsidR="00346AA3" w:rsidRPr="00351A46">
        <w:rPr>
          <w:rFonts w:eastAsia="Calibri" w:cstheme="minorHAnsi"/>
          <w:lang w:val="en-AU"/>
        </w:rPr>
        <w:t xml:space="preserve">This work will use current interest within Bappenas </w:t>
      </w:r>
      <w:r w:rsidR="007E1130">
        <w:rPr>
          <w:rFonts w:eastAsia="Calibri" w:cstheme="minorHAnsi"/>
          <w:lang w:val="en-AU"/>
        </w:rPr>
        <w:t>to</w:t>
      </w:r>
      <w:r w:rsidR="007E1130" w:rsidRPr="00351A46">
        <w:rPr>
          <w:rFonts w:eastAsia="Calibri" w:cstheme="minorHAnsi"/>
          <w:lang w:val="en-AU"/>
        </w:rPr>
        <w:t xml:space="preserve"> </w:t>
      </w:r>
      <w:r w:rsidR="00346AA3" w:rsidRPr="00351A46">
        <w:rPr>
          <w:rFonts w:eastAsia="Calibri" w:cstheme="minorHAnsi"/>
          <w:lang w:val="en-AU"/>
        </w:rPr>
        <w:t>commission</w:t>
      </w:r>
      <w:r w:rsidR="007E1130">
        <w:rPr>
          <w:rFonts w:eastAsia="Calibri" w:cstheme="minorHAnsi"/>
          <w:lang w:val="en-AU"/>
        </w:rPr>
        <w:t xml:space="preserve"> </w:t>
      </w:r>
      <w:r w:rsidR="00346AA3" w:rsidRPr="00351A46">
        <w:rPr>
          <w:rFonts w:eastAsia="Calibri" w:cstheme="minorHAnsi"/>
          <w:lang w:val="en-AU"/>
        </w:rPr>
        <w:t>studies to inform RPJMN 2020-2024 as an opening to learn and explore options for developing underlying practices over the longer</w:t>
      </w:r>
      <w:r w:rsidR="00195BAC" w:rsidRPr="00351A46">
        <w:rPr>
          <w:rFonts w:eastAsia="Calibri" w:cstheme="minorHAnsi"/>
          <w:lang w:val="en-AU"/>
        </w:rPr>
        <w:t xml:space="preserve"> </w:t>
      </w:r>
      <w:r w:rsidR="00346AA3" w:rsidRPr="00351A46">
        <w:rPr>
          <w:rFonts w:eastAsia="Calibri" w:cstheme="minorHAnsi"/>
          <w:lang w:val="en-AU"/>
        </w:rPr>
        <w:t>term.</w:t>
      </w:r>
      <w:r w:rsidR="001D26E1" w:rsidRPr="00351A46">
        <w:rPr>
          <w:rFonts w:eastAsia="Calibri" w:cstheme="minorHAnsi"/>
          <w:lang w:val="en-AU"/>
        </w:rPr>
        <w:t xml:space="preserve"> </w:t>
      </w:r>
      <w:r w:rsidR="00490EF8" w:rsidRPr="00351A46">
        <w:rPr>
          <w:rFonts w:eastAsia="Calibri" w:cstheme="minorHAnsi"/>
          <w:lang w:val="en-AU"/>
        </w:rPr>
        <w:t>There is a risk that interest in this work will die down once the RPJMN is completed. Should this happen, KSI will re-assess whether to continue supporting this work.</w:t>
      </w:r>
    </w:p>
    <w:p w14:paraId="0EAF4218" w14:textId="694824AE" w:rsidR="00B74414" w:rsidRPr="00351A46" w:rsidRDefault="00B74414">
      <w:pPr>
        <w:keepNext/>
        <w:keepLines/>
        <w:spacing w:before="200" w:after="0"/>
        <w:contextualSpacing/>
        <w:jc w:val="both"/>
        <w:outlineLvl w:val="8"/>
        <w:rPr>
          <w:rFonts w:eastAsia="Calibri" w:cstheme="minorHAnsi"/>
          <w:i/>
          <w:lang w:val="en-AU"/>
        </w:rPr>
      </w:pPr>
      <w:r w:rsidRPr="00351A46">
        <w:rPr>
          <w:rFonts w:eastAsia="Calibri" w:cstheme="minorHAnsi"/>
          <w:i/>
          <w:lang w:val="en-AU"/>
        </w:rPr>
        <w:t xml:space="preserve">Key Initiative 3: </w:t>
      </w:r>
      <w:r w:rsidR="00346AA3" w:rsidRPr="00351A46">
        <w:rPr>
          <w:rFonts w:eastAsia="Calibri" w:cstheme="minorHAnsi"/>
          <w:i/>
          <w:lang w:val="en-AU"/>
        </w:rPr>
        <w:t>Private sector en</w:t>
      </w:r>
      <w:r w:rsidRPr="00351A46">
        <w:rPr>
          <w:rFonts w:eastAsia="Calibri" w:cstheme="minorHAnsi"/>
          <w:i/>
          <w:lang w:val="en-AU"/>
        </w:rPr>
        <w:t xml:space="preserve">gagement for research funding </w:t>
      </w:r>
    </w:p>
    <w:p w14:paraId="02A89458" w14:textId="77777777" w:rsidR="00B74414" w:rsidRPr="001C1496" w:rsidRDefault="00B74414" w:rsidP="001C1496">
      <w:pPr>
        <w:spacing w:after="0"/>
        <w:rPr>
          <w:sz w:val="10"/>
          <w:lang w:val="en-AU"/>
        </w:rPr>
      </w:pPr>
    </w:p>
    <w:p w14:paraId="7BE75D09" w14:textId="5FF32DCF" w:rsidR="0042424E" w:rsidRPr="00351A46" w:rsidRDefault="00B74414">
      <w:pPr>
        <w:keepNext/>
        <w:keepLines/>
        <w:spacing w:before="200" w:after="0"/>
        <w:contextualSpacing/>
        <w:jc w:val="both"/>
        <w:outlineLvl w:val="8"/>
        <w:rPr>
          <w:rFonts w:eastAsia="Calibri" w:cstheme="minorHAnsi"/>
          <w:lang w:val="en-AU"/>
        </w:rPr>
      </w:pPr>
      <w:r w:rsidRPr="00351A46">
        <w:rPr>
          <w:rFonts w:eastAsia="Calibri" w:cstheme="minorHAnsi"/>
          <w:lang w:val="en-AU"/>
        </w:rPr>
        <w:t xml:space="preserve">This </w:t>
      </w:r>
      <w:r w:rsidR="007E1130" w:rsidRPr="00351A46">
        <w:rPr>
          <w:rFonts w:eastAsia="Calibri" w:cstheme="minorHAnsi"/>
          <w:lang w:val="en-AU"/>
        </w:rPr>
        <w:t xml:space="preserve">key initiative </w:t>
      </w:r>
      <w:r w:rsidR="00346AA3" w:rsidRPr="00351A46">
        <w:rPr>
          <w:rFonts w:eastAsia="Calibri" w:cstheme="minorHAnsi"/>
          <w:lang w:val="en-AU"/>
        </w:rPr>
        <w:t xml:space="preserve">seeks to increase private sector investment in policy research through facilitating links between the private sector and research providers, as well as exploring the establishment of collaborative models for co-funding policy research by </w:t>
      </w:r>
      <w:r w:rsidR="007E1130">
        <w:rPr>
          <w:rFonts w:eastAsia="Calibri" w:cstheme="minorHAnsi"/>
          <w:lang w:val="en-AU"/>
        </w:rPr>
        <w:t xml:space="preserve">the </w:t>
      </w:r>
      <w:r w:rsidR="00346AA3" w:rsidRPr="00351A46">
        <w:rPr>
          <w:rFonts w:eastAsia="Calibri" w:cstheme="minorHAnsi"/>
          <w:lang w:val="en-AU"/>
        </w:rPr>
        <w:t xml:space="preserve">government and the private sector. </w:t>
      </w:r>
      <w:r w:rsidR="0042424E" w:rsidRPr="00351A46">
        <w:rPr>
          <w:rFonts w:eastAsia="Calibri" w:cstheme="minorHAnsi"/>
          <w:lang w:val="en-AU"/>
        </w:rPr>
        <w:t>It will take time to see examples of collaboratio</w:t>
      </w:r>
      <w:r w:rsidR="00733790" w:rsidRPr="00351A46">
        <w:rPr>
          <w:rFonts w:eastAsia="Calibri" w:cstheme="minorHAnsi"/>
          <w:lang w:val="en-AU"/>
        </w:rPr>
        <w:t>n between the private sector,</w:t>
      </w:r>
      <w:r w:rsidR="0042424E" w:rsidRPr="00351A46">
        <w:rPr>
          <w:rFonts w:eastAsia="Calibri" w:cstheme="minorHAnsi"/>
          <w:lang w:val="en-AU"/>
        </w:rPr>
        <w:t xml:space="preserve"> research providers</w:t>
      </w:r>
      <w:r w:rsidR="00733790" w:rsidRPr="00351A46">
        <w:rPr>
          <w:rFonts w:eastAsia="Calibri" w:cstheme="minorHAnsi"/>
          <w:lang w:val="en-AU"/>
        </w:rPr>
        <w:t xml:space="preserve"> and </w:t>
      </w:r>
      <w:r w:rsidR="007E1130">
        <w:rPr>
          <w:rFonts w:eastAsia="Calibri" w:cstheme="minorHAnsi"/>
          <w:lang w:val="en-AU"/>
        </w:rPr>
        <w:t xml:space="preserve">the </w:t>
      </w:r>
      <w:r w:rsidR="00733790" w:rsidRPr="00351A46">
        <w:rPr>
          <w:rFonts w:eastAsia="Calibri" w:cstheme="minorHAnsi"/>
          <w:lang w:val="en-AU"/>
        </w:rPr>
        <w:t>government</w:t>
      </w:r>
      <w:r w:rsidR="00BC10D9" w:rsidRPr="00351A46">
        <w:rPr>
          <w:rFonts w:eastAsia="Calibri" w:cstheme="minorHAnsi"/>
          <w:lang w:val="en-AU"/>
        </w:rPr>
        <w:t xml:space="preserve">, as this </w:t>
      </w:r>
      <w:r w:rsidR="0042424E" w:rsidRPr="00351A46">
        <w:rPr>
          <w:rFonts w:eastAsia="Calibri" w:cstheme="minorHAnsi"/>
          <w:lang w:val="en-AU"/>
        </w:rPr>
        <w:t xml:space="preserve">requires intensive facilitation to </w:t>
      </w:r>
      <w:r w:rsidR="00BC10D9" w:rsidRPr="00351A46">
        <w:rPr>
          <w:rFonts w:eastAsia="Calibri" w:cstheme="minorHAnsi"/>
          <w:lang w:val="en-AU"/>
        </w:rPr>
        <w:t>scope potential models, identify interested partie</w:t>
      </w:r>
      <w:r w:rsidR="007E1130">
        <w:rPr>
          <w:rFonts w:eastAsia="Calibri" w:cstheme="minorHAnsi"/>
          <w:lang w:val="en-AU"/>
        </w:rPr>
        <w:t>s,</w:t>
      </w:r>
      <w:r w:rsidR="00BC10D9" w:rsidRPr="00351A46">
        <w:rPr>
          <w:rFonts w:eastAsia="Calibri" w:cstheme="minorHAnsi"/>
          <w:lang w:val="en-AU"/>
        </w:rPr>
        <w:t xml:space="preserve"> </w:t>
      </w:r>
      <w:r w:rsidR="0042424E" w:rsidRPr="00351A46">
        <w:rPr>
          <w:rFonts w:eastAsia="Calibri" w:cstheme="minorHAnsi"/>
          <w:lang w:val="en-AU"/>
        </w:rPr>
        <w:t xml:space="preserve">build understanding and trust between </w:t>
      </w:r>
      <w:r w:rsidR="00BC10D9" w:rsidRPr="00351A46">
        <w:rPr>
          <w:rFonts w:eastAsia="Calibri" w:cstheme="minorHAnsi"/>
          <w:lang w:val="en-AU"/>
        </w:rPr>
        <w:t>them</w:t>
      </w:r>
      <w:r w:rsidR="007E1130">
        <w:rPr>
          <w:rFonts w:eastAsia="Calibri" w:cstheme="minorHAnsi"/>
          <w:lang w:val="en-AU"/>
        </w:rPr>
        <w:t>,</w:t>
      </w:r>
      <w:r w:rsidR="00BC10D9" w:rsidRPr="00351A46">
        <w:rPr>
          <w:rFonts w:eastAsia="Calibri" w:cstheme="minorHAnsi"/>
          <w:lang w:val="en-AU"/>
        </w:rPr>
        <w:t xml:space="preserve"> and</w:t>
      </w:r>
      <w:r w:rsidR="0042424E" w:rsidRPr="00351A46">
        <w:rPr>
          <w:rFonts w:eastAsia="Calibri" w:cstheme="minorHAnsi"/>
          <w:lang w:val="en-AU"/>
        </w:rPr>
        <w:t xml:space="preserve"> ide</w:t>
      </w:r>
      <w:r w:rsidR="00733790" w:rsidRPr="00351A46">
        <w:rPr>
          <w:rFonts w:eastAsia="Calibri" w:cstheme="minorHAnsi"/>
          <w:lang w:val="en-AU"/>
        </w:rPr>
        <w:t>ntify areas of mutual interest</w:t>
      </w:r>
      <w:r w:rsidR="00BC10D9" w:rsidRPr="00351A46">
        <w:rPr>
          <w:rFonts w:eastAsia="Calibri" w:cstheme="minorHAnsi"/>
          <w:lang w:val="en-AU"/>
        </w:rPr>
        <w:t xml:space="preserve">. </w:t>
      </w:r>
      <w:r w:rsidR="00733790" w:rsidRPr="00351A46">
        <w:rPr>
          <w:rFonts w:eastAsia="Calibri" w:cstheme="minorHAnsi"/>
          <w:lang w:val="en-AU"/>
        </w:rPr>
        <w:t>T</w:t>
      </w:r>
      <w:r w:rsidR="00C32AB7" w:rsidRPr="00351A46">
        <w:rPr>
          <w:rFonts w:eastAsia="Calibri" w:cstheme="minorHAnsi"/>
          <w:lang w:val="en-AU"/>
        </w:rPr>
        <w:t>he</w:t>
      </w:r>
      <w:r w:rsidR="00733790" w:rsidRPr="00351A46">
        <w:rPr>
          <w:rFonts w:eastAsia="Calibri" w:cstheme="minorHAnsi"/>
          <w:lang w:val="en-AU"/>
        </w:rPr>
        <w:t xml:space="preserve"> emphasis will be on supporting a small number of quality </w:t>
      </w:r>
      <w:r w:rsidR="00C32AB7" w:rsidRPr="00351A46">
        <w:rPr>
          <w:rFonts w:eastAsia="Calibri" w:cstheme="minorHAnsi"/>
          <w:lang w:val="en-AU"/>
        </w:rPr>
        <w:t xml:space="preserve">examples of collaboration and learning from these processes. </w:t>
      </w:r>
    </w:p>
    <w:p w14:paraId="018C9A19" w14:textId="77777777" w:rsidR="0042424E" w:rsidRPr="001C1496" w:rsidRDefault="0042424E" w:rsidP="001C1496">
      <w:pPr>
        <w:spacing w:after="0"/>
        <w:rPr>
          <w:sz w:val="16"/>
          <w:lang w:val="en-AU"/>
        </w:rPr>
      </w:pPr>
    </w:p>
    <w:p w14:paraId="5ABF0496" w14:textId="18FCC261" w:rsidR="00443F25" w:rsidRPr="00351A46" w:rsidRDefault="007578FE">
      <w:pPr>
        <w:keepNext/>
        <w:keepLines/>
        <w:spacing w:before="200" w:after="0"/>
        <w:contextualSpacing/>
        <w:jc w:val="both"/>
        <w:outlineLvl w:val="8"/>
        <w:rPr>
          <w:rFonts w:eastAsia="Calibri" w:cstheme="minorHAnsi"/>
          <w:lang w:val="en-AU"/>
        </w:rPr>
      </w:pPr>
      <w:r w:rsidRPr="00351A46">
        <w:rPr>
          <w:rFonts w:eastAsia="Calibri" w:cstheme="minorHAnsi"/>
          <w:lang w:val="en-AU"/>
        </w:rPr>
        <w:t xml:space="preserve">This work builds on knowledge sharing and interest generated </w:t>
      </w:r>
      <w:r w:rsidR="00D37A00" w:rsidRPr="00351A46">
        <w:rPr>
          <w:rFonts w:eastAsia="Calibri" w:cstheme="minorHAnsi"/>
          <w:lang w:val="en-AU"/>
        </w:rPr>
        <w:t xml:space="preserve">during Phase 1 </w:t>
      </w:r>
      <w:r w:rsidRPr="00351A46">
        <w:rPr>
          <w:rFonts w:eastAsia="Calibri" w:cstheme="minorHAnsi"/>
          <w:lang w:val="en-AU"/>
        </w:rPr>
        <w:t>with</w:t>
      </w:r>
      <w:r w:rsidR="00A374CD" w:rsidRPr="00351A46">
        <w:rPr>
          <w:rFonts w:eastAsia="Calibri" w:cstheme="minorHAnsi"/>
          <w:lang w:val="en-AU"/>
        </w:rPr>
        <w:t xml:space="preserve"> the</w:t>
      </w:r>
      <w:r w:rsidRPr="00351A46">
        <w:rPr>
          <w:rFonts w:eastAsia="Calibri" w:cstheme="minorHAnsi"/>
          <w:lang w:val="en-AU"/>
        </w:rPr>
        <w:t xml:space="preserve"> government and private sector on the potential for private sector investment in research.</w:t>
      </w:r>
      <w:r w:rsidR="00346AA3" w:rsidRPr="00351A46">
        <w:rPr>
          <w:rFonts w:eastAsia="Calibri" w:cstheme="minorHAnsi"/>
          <w:lang w:val="en-AU"/>
        </w:rPr>
        <w:t xml:space="preserve"> It also capitalises on </w:t>
      </w:r>
      <w:r w:rsidR="00346129" w:rsidRPr="00351A46">
        <w:rPr>
          <w:rFonts w:eastAsia="Calibri" w:cstheme="minorHAnsi"/>
          <w:lang w:val="en-AU"/>
        </w:rPr>
        <w:t xml:space="preserve">the </w:t>
      </w:r>
      <w:r w:rsidR="00346AA3" w:rsidRPr="00351A46">
        <w:rPr>
          <w:rFonts w:eastAsia="Calibri" w:cstheme="minorHAnsi"/>
          <w:lang w:val="en-AU"/>
        </w:rPr>
        <w:t>experience of KSI’s international partners with collaborativ</w:t>
      </w:r>
      <w:r w:rsidR="00DC4873" w:rsidRPr="00351A46">
        <w:rPr>
          <w:rFonts w:eastAsia="Calibri" w:cstheme="minorHAnsi"/>
          <w:lang w:val="en-AU"/>
        </w:rPr>
        <w:t>e research models in Australia.</w:t>
      </w:r>
    </w:p>
    <w:p w14:paraId="19B0197E" w14:textId="77777777" w:rsidR="00187D1C" w:rsidRPr="001C1496" w:rsidRDefault="00187D1C" w:rsidP="001C1496">
      <w:pPr>
        <w:spacing w:after="0"/>
        <w:rPr>
          <w:sz w:val="16"/>
          <w:lang w:val="en-AU"/>
        </w:rPr>
      </w:pPr>
    </w:p>
    <w:p w14:paraId="01087A72" w14:textId="0F315A6F" w:rsidR="00864002" w:rsidRPr="00351A46" w:rsidRDefault="00443F25">
      <w:pPr>
        <w:keepNext/>
        <w:keepLines/>
        <w:spacing w:before="200" w:after="0"/>
        <w:contextualSpacing/>
        <w:jc w:val="both"/>
        <w:outlineLvl w:val="8"/>
        <w:rPr>
          <w:rFonts w:eastAsia="Calibri" w:cstheme="minorHAnsi"/>
          <w:lang w:val="en-AU"/>
        </w:rPr>
      </w:pPr>
      <w:r w:rsidRPr="00351A46">
        <w:rPr>
          <w:rFonts w:eastAsia="Calibri" w:cstheme="minorHAnsi"/>
          <w:lang w:val="en-AU"/>
        </w:rPr>
        <w:t xml:space="preserve">The diagram and table below provide an overview of EOPO 1 and how the </w:t>
      </w:r>
      <w:r w:rsidR="007E1130" w:rsidRPr="00351A46">
        <w:rPr>
          <w:rFonts w:eastAsia="Calibri" w:cstheme="minorHAnsi"/>
          <w:lang w:val="en-AU"/>
        </w:rPr>
        <w:t xml:space="preserve">key initiatives </w:t>
      </w:r>
      <w:r w:rsidR="00512F3D" w:rsidRPr="00351A46">
        <w:rPr>
          <w:rFonts w:eastAsia="Calibri" w:cstheme="minorHAnsi"/>
          <w:lang w:val="en-AU"/>
        </w:rPr>
        <w:t>contribute</w:t>
      </w:r>
      <w:r w:rsidRPr="00351A46">
        <w:rPr>
          <w:rFonts w:eastAsia="Calibri" w:cstheme="minorHAnsi"/>
          <w:lang w:val="en-AU"/>
        </w:rPr>
        <w:t xml:space="preserve">, as well as </w:t>
      </w:r>
      <w:r w:rsidR="00864002" w:rsidRPr="00351A46">
        <w:rPr>
          <w:rFonts w:eastAsia="Calibri" w:cstheme="minorHAnsi"/>
          <w:lang w:val="en-AU"/>
        </w:rPr>
        <w:t>links</w:t>
      </w:r>
      <w:r w:rsidRPr="00351A46">
        <w:rPr>
          <w:rFonts w:eastAsia="Calibri" w:cstheme="minorHAnsi"/>
          <w:lang w:val="en-AU"/>
        </w:rPr>
        <w:t xml:space="preserve"> to other EOPOs.</w:t>
      </w:r>
    </w:p>
    <w:p w14:paraId="4538D2C3" w14:textId="7B9C7BCB" w:rsidR="00443F25" w:rsidRPr="00351A46" w:rsidRDefault="001D26E1" w:rsidP="001C1496">
      <w:pPr>
        <w:rPr>
          <w:lang w:val="en-AU"/>
        </w:rPr>
        <w:sectPr w:rsidR="00443F25" w:rsidRPr="00351A46" w:rsidSect="00DC4873">
          <w:pgSz w:w="11900" w:h="16850"/>
          <w:pgMar w:top="1440" w:right="1440" w:bottom="1440" w:left="1440" w:header="758" w:footer="0" w:gutter="0"/>
          <w:cols w:space="720"/>
          <w:docGrid w:linePitch="299"/>
        </w:sectPr>
      </w:pPr>
      <w:r w:rsidRPr="00351A46">
        <w:rPr>
          <w:lang w:val="en-AU"/>
        </w:rPr>
        <w:t xml:space="preserve"> </w:t>
      </w:r>
    </w:p>
    <w:p w14:paraId="0862467F" w14:textId="3E530894" w:rsidR="00443F25" w:rsidRPr="00351A46" w:rsidRDefault="00073C3C" w:rsidP="001C1496">
      <w:pPr>
        <w:ind w:hanging="709"/>
        <w:rPr>
          <w:lang w:val="en-AU"/>
        </w:rPr>
        <w:sectPr w:rsidR="00443F25" w:rsidRPr="00351A46" w:rsidSect="00443F25">
          <w:pgSz w:w="16850" w:h="11900" w:orient="landscape"/>
          <w:pgMar w:top="1440" w:right="1440" w:bottom="1440" w:left="1440" w:header="758" w:footer="0" w:gutter="0"/>
          <w:cols w:space="720"/>
          <w:docGrid w:linePitch="299"/>
        </w:sectPr>
      </w:pPr>
      <w:r w:rsidRPr="00381388">
        <w:rPr>
          <w:noProof/>
          <w:lang w:val="en-AU" w:eastAsia="en-AU"/>
        </w:rPr>
        <w:drawing>
          <wp:inline distT="0" distB="0" distL="0" distR="0" wp14:anchorId="127CF347" wp14:editId="32D2EC23">
            <wp:extent cx="9745010" cy="5481481"/>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OPO 1 diagram_for PIS_v3.jpg"/>
                    <pic:cNvPicPr/>
                  </pic:nvPicPr>
                  <pic:blipFill>
                    <a:blip r:embed="rId15"/>
                    <a:stretch>
                      <a:fillRect/>
                    </a:stretch>
                  </pic:blipFill>
                  <pic:spPr>
                    <a:xfrm>
                      <a:off x="0" y="0"/>
                      <a:ext cx="9766973" cy="5493835"/>
                    </a:xfrm>
                    <a:prstGeom prst="rect">
                      <a:avLst/>
                    </a:prstGeom>
                  </pic:spPr>
                </pic:pic>
              </a:graphicData>
            </a:graphic>
          </wp:inline>
        </w:drawing>
      </w:r>
    </w:p>
    <w:tbl>
      <w:tblPr>
        <w:tblStyle w:val="TableGrid"/>
        <w:tblpPr w:leftFromText="180" w:rightFromText="180" w:vertAnchor="text" w:tblpXSpec="center" w:tblpY="1"/>
        <w:tblOverlap w:val="never"/>
        <w:tblW w:w="10490" w:type="dxa"/>
        <w:tblLook w:val="04A0" w:firstRow="1" w:lastRow="0" w:firstColumn="1" w:lastColumn="0" w:noHBand="0" w:noVBand="1"/>
      </w:tblPr>
      <w:tblGrid>
        <w:gridCol w:w="1885"/>
        <w:gridCol w:w="2250"/>
        <w:gridCol w:w="3510"/>
        <w:gridCol w:w="2845"/>
      </w:tblGrid>
      <w:tr w:rsidR="004A1B48" w:rsidRPr="00351A46" w14:paraId="10853B25" w14:textId="77777777" w:rsidTr="00444D54">
        <w:tc>
          <w:tcPr>
            <w:tcW w:w="10490" w:type="dxa"/>
            <w:gridSpan w:val="4"/>
            <w:shd w:val="clear" w:color="auto" w:fill="BDD6EE" w:themeFill="accent1" w:themeFillTint="66"/>
          </w:tcPr>
          <w:p w14:paraId="04B0DFC5" w14:textId="5A7C4097" w:rsidR="004A1B48" w:rsidRPr="00351A46" w:rsidRDefault="00FB5515" w:rsidP="00217DCF">
            <w:pPr>
              <w:keepNext/>
              <w:keepLines/>
              <w:spacing w:before="200" w:after="160" w:line="259" w:lineRule="auto"/>
              <w:contextualSpacing/>
              <w:jc w:val="center"/>
              <w:outlineLvl w:val="8"/>
              <w:rPr>
                <w:b/>
                <w:color w:val="000000" w:themeColor="text1"/>
                <w:lang w:val="en-AU"/>
              </w:rPr>
            </w:pPr>
            <w:r w:rsidRPr="00351A46">
              <w:rPr>
                <w:b/>
                <w:sz w:val="20"/>
                <w:szCs w:val="20"/>
                <w:lang w:val="en-AU"/>
              </w:rPr>
              <w:t xml:space="preserve">End of </w:t>
            </w:r>
            <w:r w:rsidR="008C3312" w:rsidRPr="00351A46">
              <w:rPr>
                <w:b/>
                <w:sz w:val="20"/>
                <w:szCs w:val="20"/>
                <w:lang w:val="en-AU"/>
              </w:rPr>
              <w:t>Program</w:t>
            </w:r>
            <w:r w:rsidR="00D0604A" w:rsidRPr="00351A46">
              <w:rPr>
                <w:b/>
                <w:sz w:val="20"/>
                <w:szCs w:val="20"/>
                <w:lang w:val="en-AU"/>
              </w:rPr>
              <w:t xml:space="preserve"> </w:t>
            </w:r>
            <w:r w:rsidR="004A1B48" w:rsidRPr="00351A46">
              <w:rPr>
                <w:b/>
                <w:sz w:val="20"/>
                <w:szCs w:val="20"/>
                <w:lang w:val="en-AU"/>
              </w:rPr>
              <w:t>Outcome 1:</w:t>
            </w:r>
            <w:r w:rsidR="001D26E1" w:rsidRPr="00351A46">
              <w:rPr>
                <w:b/>
                <w:sz w:val="20"/>
                <w:szCs w:val="20"/>
                <w:lang w:val="en-AU"/>
              </w:rPr>
              <w:t xml:space="preserve"> </w:t>
            </w:r>
            <w:r w:rsidR="00AE2C8A" w:rsidRPr="00351A46">
              <w:rPr>
                <w:b/>
                <w:lang w:val="en-AU"/>
              </w:rPr>
              <w:t>Better funding mechanisms, underpinned by clear and coordinated agendas for quality policy research</w:t>
            </w:r>
          </w:p>
        </w:tc>
      </w:tr>
      <w:tr w:rsidR="004A1B48" w:rsidRPr="00351A46" w14:paraId="3A5CD39E" w14:textId="77777777" w:rsidTr="00444D54">
        <w:tc>
          <w:tcPr>
            <w:tcW w:w="10490" w:type="dxa"/>
            <w:gridSpan w:val="4"/>
            <w:shd w:val="clear" w:color="auto" w:fill="DEEAF6" w:themeFill="accent1" w:themeFillTint="33"/>
          </w:tcPr>
          <w:p w14:paraId="623AC538" w14:textId="77777777" w:rsidR="004A1B48" w:rsidRPr="00351A46" w:rsidRDefault="004A1B48" w:rsidP="00217DCF">
            <w:pPr>
              <w:spacing w:after="160" w:line="259" w:lineRule="auto"/>
              <w:ind w:left="720"/>
              <w:contextualSpacing/>
              <w:jc w:val="center"/>
              <w:rPr>
                <w:b/>
                <w:color w:val="000000" w:themeColor="text1"/>
                <w:lang w:val="en-AU"/>
              </w:rPr>
            </w:pPr>
            <w:r w:rsidRPr="00351A46">
              <w:rPr>
                <w:b/>
                <w:color w:val="000000" w:themeColor="text1"/>
                <w:lang w:val="en-AU"/>
              </w:rPr>
              <w:t>Change expected by 2022:</w:t>
            </w:r>
          </w:p>
          <w:p w14:paraId="03ACD9D4" w14:textId="37E5F7F5" w:rsidR="004A1B48" w:rsidRPr="00351A46" w:rsidRDefault="004A1B48" w:rsidP="00217DCF">
            <w:pPr>
              <w:numPr>
                <w:ilvl w:val="0"/>
                <w:numId w:val="14"/>
              </w:numPr>
              <w:spacing w:after="160" w:line="259" w:lineRule="auto"/>
              <w:ind w:left="284" w:hanging="295"/>
              <w:contextualSpacing/>
              <w:rPr>
                <w:b/>
                <w:color w:val="000000" w:themeColor="text1"/>
                <w:sz w:val="20"/>
                <w:szCs w:val="20"/>
                <w:lang w:val="en-AU"/>
              </w:rPr>
            </w:pPr>
            <w:r w:rsidRPr="00351A46">
              <w:rPr>
                <w:color w:val="000000" w:themeColor="text1"/>
                <w:sz w:val="20"/>
                <w:szCs w:val="20"/>
                <w:lang w:val="en-AU"/>
              </w:rPr>
              <w:t xml:space="preserve">Selected </w:t>
            </w:r>
            <w:r w:rsidR="00A374CD" w:rsidRPr="00351A46">
              <w:rPr>
                <w:color w:val="000000" w:themeColor="text1"/>
                <w:sz w:val="20"/>
                <w:szCs w:val="20"/>
                <w:lang w:val="en-AU"/>
              </w:rPr>
              <w:t>d</w:t>
            </w:r>
            <w:r w:rsidRPr="00351A46">
              <w:rPr>
                <w:color w:val="000000" w:themeColor="text1"/>
                <w:sz w:val="20"/>
                <w:szCs w:val="20"/>
                <w:lang w:val="en-AU"/>
              </w:rPr>
              <w:t xml:space="preserve">irectorates or agencies have better practices for developing and implementing research agendas </w:t>
            </w:r>
          </w:p>
          <w:p w14:paraId="192D3D62" w14:textId="77777777" w:rsidR="004A1B48" w:rsidRPr="00351A46" w:rsidRDefault="004A1B48" w:rsidP="00217DCF">
            <w:pPr>
              <w:numPr>
                <w:ilvl w:val="0"/>
                <w:numId w:val="14"/>
              </w:numPr>
              <w:spacing w:after="160" w:line="259" w:lineRule="auto"/>
              <w:ind w:left="284" w:hanging="295"/>
              <w:contextualSpacing/>
              <w:rPr>
                <w:b/>
                <w:color w:val="000000" w:themeColor="text1"/>
                <w:sz w:val="20"/>
                <w:szCs w:val="20"/>
                <w:lang w:val="en-AU"/>
              </w:rPr>
            </w:pPr>
            <w:r w:rsidRPr="00351A46">
              <w:rPr>
                <w:color w:val="000000" w:themeColor="text1"/>
                <w:sz w:val="20"/>
                <w:szCs w:val="20"/>
                <w:lang w:val="en-AU"/>
              </w:rPr>
              <w:t>Funding mechanism/s in place for quality policy research linked to research agenda</w:t>
            </w:r>
          </w:p>
          <w:p w14:paraId="7798A83F" w14:textId="0C663A17" w:rsidR="004A1B48" w:rsidRPr="00351A46" w:rsidRDefault="004A1B48" w:rsidP="00217DCF">
            <w:pPr>
              <w:numPr>
                <w:ilvl w:val="0"/>
                <w:numId w:val="14"/>
              </w:numPr>
              <w:spacing w:after="160" w:line="259" w:lineRule="auto"/>
              <w:ind w:left="284" w:hanging="295"/>
              <w:contextualSpacing/>
              <w:rPr>
                <w:b/>
                <w:color w:val="000000" w:themeColor="text1"/>
                <w:sz w:val="20"/>
                <w:szCs w:val="20"/>
                <w:lang w:val="en-AU"/>
              </w:rPr>
            </w:pPr>
            <w:r w:rsidRPr="00351A46">
              <w:rPr>
                <w:color w:val="000000" w:themeColor="text1"/>
                <w:sz w:val="20"/>
                <w:szCs w:val="20"/>
                <w:lang w:val="en-AU"/>
              </w:rPr>
              <w:t>Increased private sector funding for</w:t>
            </w:r>
            <w:r w:rsidR="00B17A1F" w:rsidRPr="00351A46">
              <w:rPr>
                <w:lang w:val="en-AU"/>
              </w:rPr>
              <w:t xml:space="preserve"> </w:t>
            </w:r>
            <w:r w:rsidRPr="00351A46">
              <w:rPr>
                <w:color w:val="000000" w:themeColor="text1"/>
                <w:sz w:val="20"/>
                <w:szCs w:val="20"/>
                <w:lang w:val="en-AU"/>
              </w:rPr>
              <w:t>PRIs to do policy research</w:t>
            </w:r>
          </w:p>
          <w:p w14:paraId="367B7C50" w14:textId="48CF2DCA" w:rsidR="004A1B48" w:rsidRPr="00351A46" w:rsidRDefault="004A1B48" w:rsidP="00217DCF">
            <w:pPr>
              <w:numPr>
                <w:ilvl w:val="0"/>
                <w:numId w:val="14"/>
              </w:numPr>
              <w:spacing w:after="120" w:line="259" w:lineRule="auto"/>
              <w:ind w:left="284" w:hanging="295"/>
              <w:contextualSpacing/>
              <w:rPr>
                <w:b/>
                <w:color w:val="000000" w:themeColor="text1"/>
                <w:sz w:val="20"/>
                <w:szCs w:val="20"/>
                <w:lang w:val="en-AU"/>
              </w:rPr>
            </w:pPr>
            <w:r w:rsidRPr="00351A46">
              <w:rPr>
                <w:color w:val="000000" w:themeColor="text1"/>
                <w:sz w:val="20"/>
                <w:szCs w:val="20"/>
                <w:lang w:val="en-AU"/>
              </w:rPr>
              <w:t xml:space="preserve">Agreement on need for models of co-funding by government and </w:t>
            </w:r>
            <w:r w:rsidR="00956998" w:rsidRPr="00351A46">
              <w:rPr>
                <w:color w:val="000000" w:themeColor="text1"/>
                <w:sz w:val="20"/>
                <w:szCs w:val="20"/>
                <w:lang w:val="en-AU"/>
              </w:rPr>
              <w:t xml:space="preserve">the </w:t>
            </w:r>
            <w:r w:rsidRPr="00351A46">
              <w:rPr>
                <w:color w:val="000000" w:themeColor="text1"/>
                <w:sz w:val="20"/>
                <w:szCs w:val="20"/>
                <w:lang w:val="en-AU"/>
              </w:rPr>
              <w:t>private sector for policy research, linked to research agenda</w:t>
            </w:r>
          </w:p>
        </w:tc>
      </w:tr>
      <w:tr w:rsidR="004A1B48" w:rsidRPr="00351A46" w14:paraId="42D738BF" w14:textId="77777777" w:rsidTr="00444D54">
        <w:tc>
          <w:tcPr>
            <w:tcW w:w="10490" w:type="dxa"/>
            <w:gridSpan w:val="4"/>
            <w:shd w:val="clear" w:color="auto" w:fill="FFE599" w:themeFill="accent4" w:themeFillTint="66"/>
          </w:tcPr>
          <w:p w14:paraId="162F23FA" w14:textId="72EA1809" w:rsidR="004A1B48" w:rsidRPr="00351A46" w:rsidRDefault="00E5110F" w:rsidP="00217DCF">
            <w:pPr>
              <w:keepNext/>
              <w:keepLines/>
              <w:spacing w:before="120" w:after="120" w:line="259" w:lineRule="auto"/>
              <w:contextualSpacing/>
              <w:jc w:val="center"/>
              <w:outlineLvl w:val="8"/>
              <w:rPr>
                <w:b/>
                <w:color w:val="000000" w:themeColor="text1"/>
                <w:sz w:val="20"/>
                <w:szCs w:val="20"/>
                <w:lang w:val="en-AU" w:eastAsia="en-ID"/>
              </w:rPr>
            </w:pPr>
            <w:r w:rsidRPr="00351A46">
              <w:rPr>
                <w:b/>
                <w:color w:val="000000" w:themeColor="text1"/>
                <w:sz w:val="20"/>
                <w:szCs w:val="20"/>
                <w:lang w:val="en-AU" w:eastAsia="en-ID"/>
              </w:rPr>
              <w:t>Key initiative</w:t>
            </w:r>
            <w:r w:rsidR="004A1B48" w:rsidRPr="00351A46">
              <w:rPr>
                <w:b/>
                <w:color w:val="000000" w:themeColor="text1"/>
                <w:sz w:val="20"/>
                <w:szCs w:val="20"/>
                <w:lang w:val="en-AU" w:eastAsia="en-ID"/>
              </w:rPr>
              <w:t xml:space="preserve">: </w:t>
            </w:r>
            <w:r w:rsidR="00E536AA" w:rsidRPr="00351A46">
              <w:rPr>
                <w:b/>
                <w:color w:val="000000" w:themeColor="text1"/>
                <w:sz w:val="20"/>
                <w:szCs w:val="20"/>
                <w:lang w:val="en-AU" w:eastAsia="en-ID"/>
              </w:rPr>
              <w:t>S</w:t>
            </w:r>
            <w:r w:rsidR="009570FE" w:rsidRPr="00351A46">
              <w:rPr>
                <w:b/>
                <w:color w:val="000000" w:themeColor="text1"/>
                <w:sz w:val="20"/>
                <w:szCs w:val="20"/>
                <w:lang w:val="en-AU" w:eastAsia="en-ID"/>
              </w:rPr>
              <w:t xml:space="preserve">hared agenda on </w:t>
            </w:r>
            <w:r w:rsidR="00346129" w:rsidRPr="00351A46">
              <w:rPr>
                <w:b/>
                <w:color w:val="000000" w:themeColor="text1"/>
                <w:sz w:val="20"/>
                <w:szCs w:val="20"/>
                <w:lang w:val="en-AU" w:eastAsia="en-ID"/>
              </w:rPr>
              <w:t>r</w:t>
            </w:r>
            <w:r w:rsidR="004A1B48" w:rsidRPr="00351A46">
              <w:rPr>
                <w:b/>
                <w:color w:val="000000" w:themeColor="text1"/>
                <w:sz w:val="20"/>
                <w:szCs w:val="20"/>
                <w:lang w:val="en-AU" w:eastAsia="en-ID"/>
              </w:rPr>
              <w:t xml:space="preserve">esearch to </w:t>
            </w:r>
            <w:r w:rsidR="00346129" w:rsidRPr="00351A46">
              <w:rPr>
                <w:b/>
                <w:color w:val="000000" w:themeColor="text1"/>
                <w:sz w:val="20"/>
                <w:szCs w:val="20"/>
                <w:lang w:val="en-AU" w:eastAsia="en-ID"/>
              </w:rPr>
              <w:t>p</w:t>
            </w:r>
            <w:r w:rsidR="004A1B48" w:rsidRPr="00351A46">
              <w:rPr>
                <w:b/>
                <w:color w:val="000000" w:themeColor="text1"/>
                <w:sz w:val="20"/>
                <w:szCs w:val="20"/>
                <w:lang w:val="en-AU" w:eastAsia="en-ID"/>
              </w:rPr>
              <w:t>olicy</w:t>
            </w:r>
          </w:p>
          <w:p w14:paraId="2983DD8D" w14:textId="763BD737" w:rsidR="004A1B48" w:rsidRPr="00351A46" w:rsidRDefault="004A1B48" w:rsidP="00217DCF">
            <w:pPr>
              <w:spacing w:before="120" w:after="120" w:line="259" w:lineRule="auto"/>
              <w:contextualSpacing/>
              <w:jc w:val="center"/>
              <w:rPr>
                <w:color w:val="000000" w:themeColor="text1"/>
                <w:sz w:val="20"/>
                <w:szCs w:val="20"/>
                <w:lang w:val="en-AU" w:eastAsia="en-ID"/>
              </w:rPr>
            </w:pPr>
            <w:r w:rsidRPr="00351A46">
              <w:rPr>
                <w:color w:val="000000" w:themeColor="text1"/>
                <w:sz w:val="20"/>
                <w:szCs w:val="20"/>
                <w:lang w:val="en-AU" w:eastAsia="en-ID"/>
              </w:rPr>
              <w:t xml:space="preserve">Support key stakeholders to develop a common vision for the </w:t>
            </w:r>
            <w:r w:rsidR="0085747B" w:rsidRPr="00351A46">
              <w:rPr>
                <w:color w:val="000000" w:themeColor="text1"/>
                <w:sz w:val="20"/>
                <w:szCs w:val="20"/>
                <w:lang w:val="en-AU" w:eastAsia="en-ID"/>
              </w:rPr>
              <w:t>research-to-policy process</w:t>
            </w:r>
            <w:r w:rsidRPr="00351A46">
              <w:rPr>
                <w:color w:val="000000" w:themeColor="text1"/>
                <w:sz w:val="20"/>
                <w:szCs w:val="20"/>
                <w:lang w:val="en-AU" w:eastAsia="en-ID"/>
              </w:rPr>
              <w:t xml:space="preserve"> in Indonesia, including links to funding mechanisms. Critical first step towards effectively increasing research funding and improving how this is spent.</w:t>
            </w:r>
          </w:p>
        </w:tc>
      </w:tr>
      <w:tr w:rsidR="004A1B48" w:rsidRPr="00351A46" w14:paraId="733040F1" w14:textId="77777777" w:rsidTr="002906CE">
        <w:tc>
          <w:tcPr>
            <w:tcW w:w="1885" w:type="dxa"/>
            <w:shd w:val="clear" w:color="auto" w:fill="FFF2CC" w:themeFill="accent4" w:themeFillTint="33"/>
          </w:tcPr>
          <w:p w14:paraId="55A8DF03" w14:textId="4DB620D2" w:rsidR="004A1B48" w:rsidRPr="00351A46" w:rsidRDefault="004A1B48" w:rsidP="00217DCF">
            <w:pPr>
              <w:spacing w:before="120" w:after="120" w:line="259" w:lineRule="auto"/>
              <w:contextualSpacing/>
              <w:jc w:val="center"/>
              <w:rPr>
                <w:b/>
                <w:color w:val="000000" w:themeColor="text1"/>
                <w:sz w:val="20"/>
                <w:szCs w:val="20"/>
                <w:lang w:val="en-AU" w:eastAsia="en-ID"/>
              </w:rPr>
            </w:pPr>
            <w:r w:rsidRPr="00351A46">
              <w:rPr>
                <w:b/>
                <w:color w:val="000000" w:themeColor="text1"/>
                <w:sz w:val="20"/>
                <w:szCs w:val="20"/>
                <w:lang w:val="en-AU" w:eastAsia="en-ID"/>
              </w:rPr>
              <w:t>What needs to happen</w:t>
            </w:r>
            <w:r w:rsidR="00CA228E" w:rsidRPr="00351A46">
              <w:rPr>
                <w:b/>
                <w:color w:val="000000" w:themeColor="text1"/>
                <w:sz w:val="20"/>
                <w:szCs w:val="20"/>
                <w:lang w:val="en-AU" w:eastAsia="en-ID"/>
              </w:rPr>
              <w:t xml:space="preserve"> by 2022</w:t>
            </w:r>
          </w:p>
        </w:tc>
        <w:tc>
          <w:tcPr>
            <w:tcW w:w="2250" w:type="dxa"/>
            <w:shd w:val="clear" w:color="auto" w:fill="FFF2CC" w:themeFill="accent4" w:themeFillTint="33"/>
          </w:tcPr>
          <w:p w14:paraId="4A8057F2" w14:textId="0631A0C1" w:rsidR="004A1B48" w:rsidRPr="00351A46" w:rsidRDefault="004A1B48" w:rsidP="00217DCF">
            <w:pPr>
              <w:spacing w:before="120" w:after="120" w:line="259" w:lineRule="auto"/>
              <w:contextualSpacing/>
              <w:jc w:val="center"/>
              <w:rPr>
                <w:b/>
                <w:color w:val="000000" w:themeColor="text1"/>
                <w:sz w:val="20"/>
                <w:szCs w:val="20"/>
                <w:lang w:val="en-AU" w:eastAsia="en-ID"/>
              </w:rPr>
            </w:pPr>
            <w:r w:rsidRPr="00351A46">
              <w:rPr>
                <w:b/>
                <w:color w:val="000000" w:themeColor="text1"/>
                <w:sz w:val="20"/>
                <w:szCs w:val="20"/>
                <w:lang w:val="en-AU" w:eastAsia="en-ID"/>
              </w:rPr>
              <w:t xml:space="preserve">Critical </w:t>
            </w:r>
            <w:r w:rsidR="000238A4" w:rsidRPr="00351A46">
              <w:rPr>
                <w:b/>
                <w:color w:val="000000" w:themeColor="text1"/>
                <w:sz w:val="20"/>
                <w:szCs w:val="20"/>
                <w:lang w:val="en-AU" w:eastAsia="en-ID"/>
              </w:rPr>
              <w:t>s</w:t>
            </w:r>
            <w:r w:rsidRPr="00351A46">
              <w:rPr>
                <w:b/>
                <w:color w:val="000000" w:themeColor="text1"/>
                <w:sz w:val="20"/>
                <w:szCs w:val="20"/>
                <w:lang w:val="en-AU" w:eastAsia="en-ID"/>
              </w:rPr>
              <w:t xml:space="preserve">uccess </w:t>
            </w:r>
            <w:r w:rsidR="000238A4" w:rsidRPr="00351A46">
              <w:rPr>
                <w:b/>
                <w:color w:val="000000" w:themeColor="text1"/>
                <w:sz w:val="20"/>
                <w:szCs w:val="20"/>
                <w:lang w:val="en-AU" w:eastAsia="en-ID"/>
              </w:rPr>
              <w:t>f</w:t>
            </w:r>
            <w:r w:rsidRPr="00351A46">
              <w:rPr>
                <w:b/>
                <w:color w:val="000000" w:themeColor="text1"/>
                <w:sz w:val="20"/>
                <w:szCs w:val="20"/>
                <w:lang w:val="en-AU" w:eastAsia="en-ID"/>
              </w:rPr>
              <w:t>actors</w:t>
            </w:r>
          </w:p>
        </w:tc>
        <w:tc>
          <w:tcPr>
            <w:tcW w:w="3510" w:type="dxa"/>
            <w:shd w:val="clear" w:color="auto" w:fill="FFF2CC" w:themeFill="accent4" w:themeFillTint="33"/>
          </w:tcPr>
          <w:p w14:paraId="38BAC14C" w14:textId="77777777" w:rsidR="004A1B48" w:rsidRPr="00351A46" w:rsidRDefault="004A1B48" w:rsidP="00217DCF">
            <w:pPr>
              <w:spacing w:before="120" w:after="120" w:line="259" w:lineRule="auto"/>
              <w:contextualSpacing/>
              <w:jc w:val="center"/>
              <w:rPr>
                <w:b/>
                <w:color w:val="000000" w:themeColor="text1"/>
                <w:sz w:val="20"/>
                <w:szCs w:val="20"/>
                <w:lang w:val="en-AU" w:eastAsia="en-ID"/>
              </w:rPr>
            </w:pPr>
            <w:r w:rsidRPr="00351A46">
              <w:rPr>
                <w:b/>
                <w:color w:val="000000" w:themeColor="text1"/>
                <w:sz w:val="20"/>
                <w:szCs w:val="20"/>
                <w:lang w:val="en-AU" w:eastAsia="en-ID"/>
              </w:rPr>
              <w:t>KSI’s role</w:t>
            </w:r>
          </w:p>
        </w:tc>
        <w:tc>
          <w:tcPr>
            <w:tcW w:w="2845" w:type="dxa"/>
            <w:shd w:val="clear" w:color="auto" w:fill="FFF2CC" w:themeFill="accent4" w:themeFillTint="33"/>
          </w:tcPr>
          <w:p w14:paraId="6F96470A" w14:textId="68022D24" w:rsidR="004A1B48" w:rsidRPr="00351A46" w:rsidRDefault="00CA228E" w:rsidP="00217DCF">
            <w:pPr>
              <w:spacing w:before="120" w:after="120" w:line="259" w:lineRule="auto"/>
              <w:contextualSpacing/>
              <w:jc w:val="center"/>
              <w:rPr>
                <w:b/>
                <w:color w:val="000000" w:themeColor="text1"/>
                <w:sz w:val="20"/>
                <w:szCs w:val="20"/>
                <w:lang w:val="en-AU" w:eastAsia="en-ID"/>
              </w:rPr>
            </w:pPr>
            <w:r w:rsidRPr="00351A46">
              <w:rPr>
                <w:b/>
                <w:color w:val="000000" w:themeColor="text1"/>
                <w:sz w:val="20"/>
                <w:szCs w:val="20"/>
                <w:lang w:val="en-AU" w:eastAsia="en-ID"/>
              </w:rPr>
              <w:t>Expected outcomes</w:t>
            </w:r>
            <w:r w:rsidR="004A1B48" w:rsidRPr="00351A46">
              <w:rPr>
                <w:b/>
                <w:color w:val="000000" w:themeColor="text1"/>
                <w:sz w:val="20"/>
                <w:szCs w:val="20"/>
                <w:lang w:val="en-AU" w:eastAsia="en-ID"/>
              </w:rPr>
              <w:t xml:space="preserve"> for 2018</w:t>
            </w:r>
          </w:p>
        </w:tc>
      </w:tr>
      <w:tr w:rsidR="004A1B48" w:rsidRPr="00351A46" w14:paraId="6921DFCB" w14:textId="77777777" w:rsidTr="002906CE">
        <w:tc>
          <w:tcPr>
            <w:tcW w:w="1885" w:type="dxa"/>
            <w:shd w:val="clear" w:color="auto" w:fill="FFF2CC" w:themeFill="accent4" w:themeFillTint="33"/>
          </w:tcPr>
          <w:p w14:paraId="1D385690" w14:textId="77777777" w:rsidR="004A1B48" w:rsidRPr="00351A46" w:rsidRDefault="004A1B48" w:rsidP="00217DCF">
            <w:pPr>
              <w:spacing w:after="160" w:line="259" w:lineRule="auto"/>
              <w:contextualSpacing/>
              <w:rPr>
                <w:color w:val="000000" w:themeColor="text1"/>
                <w:sz w:val="20"/>
                <w:szCs w:val="20"/>
                <w:lang w:val="en-AU" w:eastAsia="en-ID"/>
              </w:rPr>
            </w:pPr>
            <w:r w:rsidRPr="00351A46">
              <w:rPr>
                <w:color w:val="000000" w:themeColor="text1"/>
                <w:sz w:val="20"/>
                <w:szCs w:val="20"/>
                <w:lang w:val="en-AU" w:eastAsia="en-ID"/>
              </w:rPr>
              <w:t xml:space="preserve">Clearer roles and responsibilities for setting and funding research agendas. </w:t>
            </w:r>
          </w:p>
          <w:p w14:paraId="155D9347" w14:textId="77777777" w:rsidR="004A1B48" w:rsidRPr="00381388" w:rsidRDefault="004A1B48" w:rsidP="00217DCF">
            <w:pPr>
              <w:numPr>
                <w:ilvl w:val="1"/>
                <w:numId w:val="0"/>
              </w:numPr>
              <w:spacing w:after="160" w:line="259" w:lineRule="auto"/>
              <w:contextualSpacing/>
              <w:rPr>
                <w:rFonts w:eastAsiaTheme="minorEastAsia"/>
                <w:color w:val="000000" w:themeColor="text1"/>
                <w:spacing w:val="15"/>
                <w:sz w:val="20"/>
                <w:szCs w:val="20"/>
                <w:lang w:val="en-AU" w:eastAsia="en-ID"/>
              </w:rPr>
            </w:pPr>
          </w:p>
          <w:p w14:paraId="41E7D0C7" w14:textId="77777777" w:rsidR="004A1B48" w:rsidRPr="00351A46" w:rsidRDefault="004A1B48" w:rsidP="00217DCF">
            <w:pPr>
              <w:spacing w:after="160" w:line="259" w:lineRule="auto"/>
              <w:contextualSpacing/>
              <w:rPr>
                <w:color w:val="000000" w:themeColor="text1"/>
                <w:sz w:val="20"/>
                <w:szCs w:val="20"/>
                <w:lang w:val="en-AU" w:eastAsia="en-ID"/>
              </w:rPr>
            </w:pPr>
            <w:r w:rsidRPr="00351A46">
              <w:rPr>
                <w:color w:val="000000" w:themeColor="text1"/>
                <w:sz w:val="20"/>
                <w:szCs w:val="20"/>
                <w:lang w:val="en-AU" w:eastAsia="en-ID"/>
              </w:rPr>
              <w:t xml:space="preserve">Progress towards establishing funding mechanisms for quality policy research, linked to research agenda. </w:t>
            </w:r>
          </w:p>
          <w:p w14:paraId="75412ECB" w14:textId="77777777" w:rsidR="004A1B48" w:rsidRPr="00381388" w:rsidRDefault="004A1B48" w:rsidP="00217DCF">
            <w:pPr>
              <w:numPr>
                <w:ilvl w:val="1"/>
                <w:numId w:val="0"/>
              </w:numPr>
              <w:spacing w:after="160" w:line="259" w:lineRule="auto"/>
              <w:contextualSpacing/>
              <w:rPr>
                <w:rFonts w:eastAsiaTheme="minorEastAsia"/>
                <w:color w:val="000000" w:themeColor="text1"/>
                <w:spacing w:val="15"/>
                <w:sz w:val="20"/>
                <w:szCs w:val="20"/>
                <w:lang w:val="en-AU" w:eastAsia="en-ID"/>
              </w:rPr>
            </w:pPr>
          </w:p>
          <w:p w14:paraId="60AD0D0B" w14:textId="01799594" w:rsidR="004A1B48" w:rsidRPr="00351A46" w:rsidRDefault="004A1B48" w:rsidP="00217DCF">
            <w:pPr>
              <w:spacing w:after="160" w:line="259" w:lineRule="auto"/>
              <w:contextualSpacing/>
              <w:rPr>
                <w:color w:val="000000" w:themeColor="text1"/>
                <w:sz w:val="20"/>
                <w:szCs w:val="20"/>
                <w:lang w:val="en-AU" w:eastAsia="en-ID"/>
              </w:rPr>
            </w:pPr>
            <w:r w:rsidRPr="00351A46">
              <w:rPr>
                <w:color w:val="000000" w:themeColor="text1"/>
                <w:sz w:val="20"/>
                <w:szCs w:val="20"/>
                <w:lang w:val="en-AU" w:eastAsia="en-ID"/>
              </w:rPr>
              <w:t xml:space="preserve">Passage of </w:t>
            </w:r>
            <w:r w:rsidR="00EE43AF" w:rsidRPr="001C1496">
              <w:rPr>
                <w:color w:val="000000" w:themeColor="text1"/>
                <w:sz w:val="20"/>
                <w:szCs w:val="20"/>
                <w:lang w:val="en-AU" w:eastAsia="en-ID"/>
              </w:rPr>
              <w:t>Perpres</w:t>
            </w:r>
            <w:r w:rsidR="00EE43AF" w:rsidRPr="00351A46">
              <w:rPr>
                <w:color w:val="000000" w:themeColor="text1"/>
                <w:sz w:val="20"/>
                <w:szCs w:val="20"/>
                <w:lang w:val="en-AU" w:eastAsia="en-ID"/>
              </w:rPr>
              <w:t xml:space="preserve"> 16/2018</w:t>
            </w:r>
            <w:r w:rsidRPr="00351A46">
              <w:rPr>
                <w:color w:val="000000" w:themeColor="text1"/>
                <w:sz w:val="20"/>
                <w:szCs w:val="20"/>
                <w:lang w:val="en-AU" w:eastAsia="en-ID"/>
              </w:rPr>
              <w:t xml:space="preserve"> and implementing regulations allowing government to procure PRI research</w:t>
            </w:r>
            <w:r w:rsidR="000238A4" w:rsidRPr="00351A46">
              <w:rPr>
                <w:color w:val="000000" w:themeColor="text1"/>
                <w:sz w:val="20"/>
                <w:szCs w:val="20"/>
                <w:lang w:val="en-AU" w:eastAsia="en-ID"/>
              </w:rPr>
              <w:t>.</w:t>
            </w:r>
            <w:r w:rsidRPr="00351A46">
              <w:rPr>
                <w:color w:val="000000" w:themeColor="text1"/>
                <w:sz w:val="20"/>
                <w:szCs w:val="20"/>
                <w:lang w:val="en-AU" w:eastAsia="en-ID"/>
              </w:rPr>
              <w:t xml:space="preserve"> </w:t>
            </w:r>
          </w:p>
        </w:tc>
        <w:tc>
          <w:tcPr>
            <w:tcW w:w="2250" w:type="dxa"/>
            <w:shd w:val="clear" w:color="auto" w:fill="FFF2CC" w:themeFill="accent4" w:themeFillTint="33"/>
          </w:tcPr>
          <w:p w14:paraId="69DA3D07" w14:textId="38F0BF4A" w:rsidR="004A1B48" w:rsidRPr="00351A46" w:rsidRDefault="004A1B48" w:rsidP="00217DCF">
            <w:pPr>
              <w:spacing w:after="160" w:line="259" w:lineRule="auto"/>
              <w:contextualSpacing/>
              <w:rPr>
                <w:sz w:val="20"/>
                <w:szCs w:val="20"/>
                <w:lang w:val="en-AU"/>
              </w:rPr>
            </w:pPr>
            <w:r w:rsidRPr="00351A46">
              <w:rPr>
                <w:sz w:val="20"/>
                <w:szCs w:val="20"/>
                <w:lang w:val="en-AU"/>
              </w:rPr>
              <w:t xml:space="preserve">Key stakeholders recognise need for common vision for </w:t>
            </w:r>
            <w:r w:rsidR="0085747B" w:rsidRPr="00351A46">
              <w:rPr>
                <w:sz w:val="20"/>
                <w:szCs w:val="20"/>
                <w:lang w:val="en-AU"/>
              </w:rPr>
              <w:t>research-to-policy process</w:t>
            </w:r>
            <w:r w:rsidRPr="00351A46">
              <w:rPr>
                <w:sz w:val="20"/>
                <w:szCs w:val="20"/>
                <w:lang w:val="en-AU"/>
              </w:rPr>
              <w:t xml:space="preserve"> in Indonesia, including funding mechanisms.</w:t>
            </w:r>
          </w:p>
          <w:p w14:paraId="7464342B" w14:textId="77777777" w:rsidR="004A1B48" w:rsidRPr="00381388" w:rsidRDefault="004A1B48" w:rsidP="00217DCF">
            <w:pPr>
              <w:numPr>
                <w:ilvl w:val="1"/>
                <w:numId w:val="0"/>
              </w:numPr>
              <w:spacing w:after="160" w:line="259" w:lineRule="auto"/>
              <w:contextualSpacing/>
              <w:rPr>
                <w:rFonts w:eastAsiaTheme="minorEastAsia"/>
                <w:color w:val="5A5A5A" w:themeColor="text1" w:themeTint="A5"/>
                <w:spacing w:val="15"/>
                <w:sz w:val="20"/>
                <w:szCs w:val="20"/>
                <w:lang w:val="en-AU"/>
              </w:rPr>
            </w:pPr>
          </w:p>
          <w:p w14:paraId="433254C6" w14:textId="77777777" w:rsidR="004A1B48" w:rsidRPr="00351A46" w:rsidRDefault="004A1B48" w:rsidP="00217DCF">
            <w:pPr>
              <w:spacing w:after="160" w:line="259" w:lineRule="auto"/>
              <w:contextualSpacing/>
              <w:rPr>
                <w:sz w:val="20"/>
                <w:szCs w:val="20"/>
                <w:lang w:val="en-AU"/>
              </w:rPr>
            </w:pPr>
            <w:r w:rsidRPr="00351A46">
              <w:rPr>
                <w:sz w:val="20"/>
                <w:szCs w:val="20"/>
                <w:lang w:val="en-AU"/>
              </w:rPr>
              <w:t xml:space="preserve">Alignment of key stakeholders’ interests towards this vision. </w:t>
            </w:r>
            <w:r w:rsidRPr="00351A46">
              <w:rPr>
                <w:sz w:val="20"/>
                <w:szCs w:val="20"/>
                <w:lang w:val="en-AU"/>
              </w:rPr>
              <w:br/>
            </w:r>
          </w:p>
          <w:p w14:paraId="7CEB1335" w14:textId="3E871E59" w:rsidR="004A1B48" w:rsidRPr="00351A46" w:rsidRDefault="004A1B48" w:rsidP="00217DCF">
            <w:pPr>
              <w:spacing w:after="160" w:line="259" w:lineRule="auto"/>
              <w:contextualSpacing/>
              <w:rPr>
                <w:sz w:val="20"/>
                <w:szCs w:val="20"/>
                <w:lang w:val="en-AU"/>
              </w:rPr>
            </w:pPr>
            <w:r w:rsidRPr="00351A46">
              <w:rPr>
                <w:sz w:val="20"/>
                <w:szCs w:val="20"/>
                <w:lang w:val="en-AU"/>
              </w:rPr>
              <w:t xml:space="preserve">Greater alignment between reform processes affecting the </w:t>
            </w:r>
            <w:r w:rsidR="0085747B" w:rsidRPr="00351A46">
              <w:rPr>
                <w:sz w:val="20"/>
                <w:szCs w:val="20"/>
                <w:lang w:val="en-AU"/>
              </w:rPr>
              <w:t>research-to-policy process</w:t>
            </w:r>
            <w:r w:rsidRPr="00351A46">
              <w:rPr>
                <w:sz w:val="20"/>
                <w:szCs w:val="20"/>
                <w:lang w:val="en-AU"/>
              </w:rPr>
              <w:t xml:space="preserve"> (e</w:t>
            </w:r>
            <w:r w:rsidR="000238A4" w:rsidRPr="00351A46">
              <w:rPr>
                <w:sz w:val="20"/>
                <w:szCs w:val="20"/>
                <w:lang w:val="en-AU"/>
              </w:rPr>
              <w:t>.</w:t>
            </w:r>
            <w:r w:rsidRPr="00351A46">
              <w:rPr>
                <w:sz w:val="20"/>
                <w:szCs w:val="20"/>
                <w:lang w:val="en-AU"/>
              </w:rPr>
              <w:t>g</w:t>
            </w:r>
            <w:r w:rsidR="000238A4" w:rsidRPr="00351A46">
              <w:rPr>
                <w:sz w:val="20"/>
                <w:szCs w:val="20"/>
                <w:lang w:val="en-AU"/>
              </w:rPr>
              <w:t>.</w:t>
            </w:r>
            <w:r w:rsidRPr="00351A46">
              <w:rPr>
                <w:sz w:val="20"/>
                <w:szCs w:val="20"/>
                <w:lang w:val="en-AU"/>
              </w:rPr>
              <w:t xml:space="preserve"> RUU Sikn</w:t>
            </w:r>
            <w:r w:rsidR="00CA228E" w:rsidRPr="00351A46">
              <w:rPr>
                <w:sz w:val="20"/>
                <w:szCs w:val="20"/>
                <w:lang w:val="en-AU"/>
              </w:rPr>
              <w:t xml:space="preserve">as Iptek, KemenPANRB review of </w:t>
            </w:r>
            <w:r w:rsidR="006A14A9">
              <w:rPr>
                <w:sz w:val="20"/>
                <w:szCs w:val="20"/>
                <w:lang w:val="en-AU"/>
              </w:rPr>
              <w:t>Balitbang</w:t>
            </w:r>
            <w:r w:rsidR="00584480">
              <w:rPr>
                <w:sz w:val="20"/>
                <w:szCs w:val="20"/>
                <w:lang w:val="en-AU"/>
              </w:rPr>
              <w:t>s</w:t>
            </w:r>
            <w:r w:rsidRPr="00351A46">
              <w:rPr>
                <w:sz w:val="20"/>
                <w:szCs w:val="20"/>
                <w:lang w:val="en-AU"/>
              </w:rPr>
              <w:t xml:space="preserve">, Kemenkeu’s </w:t>
            </w:r>
            <w:r w:rsidR="000238A4" w:rsidRPr="00351A46">
              <w:rPr>
                <w:sz w:val="20"/>
                <w:szCs w:val="20"/>
                <w:lang w:val="en-AU"/>
              </w:rPr>
              <w:t>s</w:t>
            </w:r>
            <w:r w:rsidRPr="00351A46">
              <w:rPr>
                <w:sz w:val="20"/>
                <w:szCs w:val="20"/>
                <w:lang w:val="en-AU"/>
              </w:rPr>
              <w:t xml:space="preserve">overeign </w:t>
            </w:r>
            <w:r w:rsidR="000238A4" w:rsidRPr="00351A46">
              <w:rPr>
                <w:sz w:val="20"/>
                <w:szCs w:val="20"/>
                <w:lang w:val="en-AU"/>
              </w:rPr>
              <w:t>w</w:t>
            </w:r>
            <w:r w:rsidRPr="00351A46">
              <w:rPr>
                <w:sz w:val="20"/>
                <w:szCs w:val="20"/>
                <w:lang w:val="en-AU"/>
              </w:rPr>
              <w:t xml:space="preserve">ealth </w:t>
            </w:r>
            <w:r w:rsidR="000238A4" w:rsidRPr="00351A46">
              <w:rPr>
                <w:sz w:val="20"/>
                <w:szCs w:val="20"/>
                <w:lang w:val="en-AU"/>
              </w:rPr>
              <w:t>f</w:t>
            </w:r>
            <w:r w:rsidRPr="00351A46">
              <w:rPr>
                <w:sz w:val="20"/>
                <w:szCs w:val="20"/>
                <w:lang w:val="en-AU"/>
              </w:rPr>
              <w:t xml:space="preserve">und, and possible new </w:t>
            </w:r>
            <w:r w:rsidR="000238A4" w:rsidRPr="00351A46">
              <w:rPr>
                <w:sz w:val="20"/>
                <w:szCs w:val="20"/>
                <w:lang w:val="en-AU"/>
              </w:rPr>
              <w:t>n</w:t>
            </w:r>
            <w:r w:rsidRPr="00351A46">
              <w:rPr>
                <w:sz w:val="20"/>
                <w:szCs w:val="20"/>
                <w:lang w:val="en-AU"/>
              </w:rPr>
              <w:t xml:space="preserve">ational </w:t>
            </w:r>
            <w:r w:rsidR="000238A4" w:rsidRPr="00351A46">
              <w:rPr>
                <w:sz w:val="20"/>
                <w:szCs w:val="20"/>
                <w:lang w:val="en-AU"/>
              </w:rPr>
              <w:t>r</w:t>
            </w:r>
            <w:r w:rsidRPr="00351A46">
              <w:rPr>
                <w:sz w:val="20"/>
                <w:szCs w:val="20"/>
                <w:lang w:val="en-AU"/>
              </w:rPr>
              <w:t xml:space="preserve">esearch </w:t>
            </w:r>
            <w:r w:rsidR="000238A4" w:rsidRPr="00351A46">
              <w:rPr>
                <w:sz w:val="20"/>
                <w:szCs w:val="20"/>
                <w:lang w:val="en-AU"/>
              </w:rPr>
              <w:t>a</w:t>
            </w:r>
            <w:r w:rsidRPr="00351A46">
              <w:rPr>
                <w:sz w:val="20"/>
                <w:szCs w:val="20"/>
                <w:lang w:val="en-AU"/>
              </w:rPr>
              <w:t xml:space="preserve">gency). </w:t>
            </w:r>
          </w:p>
          <w:p w14:paraId="614CCBF1" w14:textId="77777777" w:rsidR="004A1B48" w:rsidRPr="00381388" w:rsidRDefault="004A1B48" w:rsidP="00217DCF">
            <w:pPr>
              <w:numPr>
                <w:ilvl w:val="1"/>
                <w:numId w:val="0"/>
              </w:numPr>
              <w:spacing w:after="160" w:line="259" w:lineRule="auto"/>
              <w:contextualSpacing/>
              <w:rPr>
                <w:rFonts w:eastAsiaTheme="minorEastAsia"/>
                <w:color w:val="5A5A5A" w:themeColor="text1" w:themeTint="A5"/>
                <w:spacing w:val="15"/>
                <w:sz w:val="20"/>
                <w:szCs w:val="20"/>
                <w:lang w:val="en-AU"/>
              </w:rPr>
            </w:pPr>
          </w:p>
          <w:p w14:paraId="5A38C7C6" w14:textId="77762740" w:rsidR="004A1B48" w:rsidRPr="00351A46" w:rsidRDefault="004A1B48" w:rsidP="00217DCF">
            <w:pPr>
              <w:spacing w:after="160" w:line="259" w:lineRule="auto"/>
              <w:contextualSpacing/>
              <w:rPr>
                <w:sz w:val="20"/>
                <w:szCs w:val="20"/>
                <w:lang w:val="en-AU"/>
              </w:rPr>
            </w:pPr>
            <w:r w:rsidRPr="00351A46">
              <w:rPr>
                <w:sz w:val="20"/>
                <w:szCs w:val="20"/>
                <w:lang w:val="en-AU"/>
              </w:rPr>
              <w:t xml:space="preserve">President signs </w:t>
            </w:r>
            <w:r w:rsidR="003D3011" w:rsidRPr="001C1496">
              <w:rPr>
                <w:sz w:val="20"/>
                <w:szCs w:val="20"/>
                <w:lang w:val="en-AU"/>
              </w:rPr>
              <w:t>Perpres</w:t>
            </w:r>
            <w:r w:rsidR="003D3011" w:rsidRPr="00351A46">
              <w:rPr>
                <w:sz w:val="20"/>
                <w:szCs w:val="20"/>
                <w:lang w:val="en-AU"/>
              </w:rPr>
              <w:t xml:space="preserve"> 16/2018</w:t>
            </w:r>
            <w:r w:rsidRPr="00351A46">
              <w:rPr>
                <w:sz w:val="20"/>
                <w:szCs w:val="20"/>
                <w:lang w:val="en-AU"/>
              </w:rPr>
              <w:t>. Advocacy for passage of implementing regulations.</w:t>
            </w:r>
          </w:p>
          <w:p w14:paraId="4F54CDFF" w14:textId="77777777" w:rsidR="004A1B48" w:rsidRPr="00381388" w:rsidRDefault="004A1B48" w:rsidP="00217DCF">
            <w:pPr>
              <w:numPr>
                <w:ilvl w:val="1"/>
                <w:numId w:val="0"/>
              </w:numPr>
              <w:spacing w:after="160" w:line="259" w:lineRule="auto"/>
              <w:ind w:left="720"/>
              <w:contextualSpacing/>
              <w:rPr>
                <w:rFonts w:eastAsiaTheme="minorEastAsia"/>
                <w:color w:val="000000" w:themeColor="text1"/>
                <w:spacing w:val="15"/>
                <w:sz w:val="20"/>
                <w:szCs w:val="20"/>
                <w:lang w:val="en-AU" w:eastAsia="en-ID"/>
              </w:rPr>
            </w:pPr>
          </w:p>
        </w:tc>
        <w:tc>
          <w:tcPr>
            <w:tcW w:w="3510" w:type="dxa"/>
            <w:shd w:val="clear" w:color="auto" w:fill="FFF2CC" w:themeFill="accent4" w:themeFillTint="33"/>
          </w:tcPr>
          <w:p w14:paraId="036F8C07" w14:textId="63DBABC0" w:rsidR="004A1B48" w:rsidRPr="00351A46" w:rsidRDefault="009570FE" w:rsidP="00217DCF">
            <w:pPr>
              <w:spacing w:after="160" w:line="259" w:lineRule="auto"/>
              <w:contextualSpacing/>
              <w:rPr>
                <w:b/>
                <w:color w:val="000000" w:themeColor="text1"/>
                <w:sz w:val="20"/>
                <w:szCs w:val="20"/>
                <w:lang w:val="en-AU" w:eastAsia="en-ID"/>
              </w:rPr>
            </w:pPr>
            <w:r w:rsidRPr="00351A46">
              <w:rPr>
                <w:i/>
                <w:color w:val="000000" w:themeColor="text1"/>
                <w:sz w:val="20"/>
                <w:szCs w:val="20"/>
                <w:lang w:val="en-AU" w:eastAsia="en-ID"/>
              </w:rPr>
              <w:t>Initiate, connect, align</w:t>
            </w:r>
            <w:r w:rsidR="00584480">
              <w:rPr>
                <w:i/>
                <w:color w:val="000000" w:themeColor="text1"/>
                <w:sz w:val="20"/>
                <w:szCs w:val="20"/>
                <w:lang w:val="en-AU" w:eastAsia="en-ID"/>
              </w:rPr>
              <w:t>,</w:t>
            </w:r>
            <w:r w:rsidRPr="00351A46">
              <w:rPr>
                <w:i/>
                <w:color w:val="000000" w:themeColor="text1"/>
                <w:sz w:val="20"/>
                <w:szCs w:val="20"/>
                <w:lang w:val="en-AU" w:eastAsia="en-ID"/>
              </w:rPr>
              <w:t xml:space="preserve"> and critical friend:</w:t>
            </w:r>
            <w:r w:rsidR="00527009" w:rsidRPr="00351A46">
              <w:rPr>
                <w:i/>
                <w:color w:val="000000" w:themeColor="text1"/>
                <w:sz w:val="20"/>
                <w:szCs w:val="20"/>
                <w:lang w:val="en-AU" w:eastAsia="en-ID"/>
              </w:rPr>
              <w:t xml:space="preserve"> </w:t>
            </w:r>
            <w:r w:rsidR="00527009" w:rsidRPr="00351A46">
              <w:rPr>
                <w:color w:val="000000" w:themeColor="text1"/>
                <w:sz w:val="20"/>
                <w:szCs w:val="20"/>
                <w:lang w:val="en-AU" w:eastAsia="en-ID"/>
              </w:rPr>
              <w:t xml:space="preserve">Convene and facilitate key stakeholders to discuss and develop vision and roles for research to policy, using UU Sisnas Iptek process as entry point. Provide suggestions, share evidence and international experience. Help stakeholders see </w:t>
            </w:r>
            <w:r w:rsidR="00864002" w:rsidRPr="00351A46">
              <w:rPr>
                <w:color w:val="000000" w:themeColor="text1"/>
                <w:sz w:val="20"/>
                <w:szCs w:val="20"/>
                <w:lang w:val="en-AU" w:eastAsia="en-ID"/>
              </w:rPr>
              <w:t>links</w:t>
            </w:r>
            <w:r w:rsidR="00527009" w:rsidRPr="00351A46">
              <w:rPr>
                <w:color w:val="000000" w:themeColor="text1"/>
                <w:sz w:val="20"/>
                <w:szCs w:val="20"/>
                <w:lang w:val="en-AU" w:eastAsia="en-ID"/>
              </w:rPr>
              <w:t xml:space="preserve"> and ramifications of separate reform efforts.</w:t>
            </w:r>
            <w:r w:rsidR="001D26E1" w:rsidRPr="00351A46">
              <w:rPr>
                <w:color w:val="000000" w:themeColor="text1"/>
                <w:sz w:val="20"/>
                <w:szCs w:val="20"/>
                <w:lang w:val="en-AU" w:eastAsia="en-ID"/>
              </w:rPr>
              <w:t xml:space="preserve"> </w:t>
            </w:r>
          </w:p>
          <w:p w14:paraId="695B9A98" w14:textId="77777777" w:rsidR="004A1B48" w:rsidRPr="00381388" w:rsidRDefault="004A1B48" w:rsidP="00217DCF">
            <w:pPr>
              <w:numPr>
                <w:ilvl w:val="1"/>
                <w:numId w:val="0"/>
              </w:numPr>
              <w:spacing w:after="160" w:line="259" w:lineRule="auto"/>
              <w:contextualSpacing/>
              <w:rPr>
                <w:rFonts w:eastAsiaTheme="minorEastAsia"/>
                <w:i/>
                <w:color w:val="000000" w:themeColor="text1"/>
                <w:spacing w:val="15"/>
                <w:sz w:val="20"/>
                <w:szCs w:val="20"/>
                <w:lang w:val="en-AU" w:eastAsia="en-ID"/>
              </w:rPr>
            </w:pPr>
          </w:p>
          <w:p w14:paraId="7A469FF1" w14:textId="7889473A" w:rsidR="004A1B48" w:rsidRPr="00351A46" w:rsidRDefault="004A1B48" w:rsidP="00217DCF">
            <w:pPr>
              <w:spacing w:after="160" w:line="259" w:lineRule="auto"/>
              <w:contextualSpacing/>
              <w:rPr>
                <w:b/>
                <w:color w:val="000000" w:themeColor="text1"/>
                <w:sz w:val="20"/>
                <w:szCs w:val="20"/>
                <w:lang w:val="en-AU" w:eastAsia="en-ID"/>
              </w:rPr>
            </w:pPr>
            <w:r w:rsidRPr="00351A46">
              <w:rPr>
                <w:i/>
                <w:color w:val="000000" w:themeColor="text1"/>
                <w:sz w:val="20"/>
                <w:szCs w:val="20"/>
                <w:lang w:val="en-AU" w:eastAsia="en-ID"/>
              </w:rPr>
              <w:t>Accelerate</w:t>
            </w:r>
            <w:r w:rsidR="000238A4" w:rsidRPr="00351A46">
              <w:rPr>
                <w:i/>
                <w:color w:val="000000" w:themeColor="text1"/>
                <w:sz w:val="20"/>
                <w:szCs w:val="20"/>
                <w:lang w:val="en-AU" w:eastAsia="en-ID"/>
              </w:rPr>
              <w:t>:</w:t>
            </w:r>
            <w:r w:rsidRPr="00351A46">
              <w:rPr>
                <w:color w:val="000000" w:themeColor="text1"/>
                <w:sz w:val="20"/>
                <w:szCs w:val="20"/>
                <w:lang w:val="en-AU" w:eastAsia="en-ID"/>
              </w:rPr>
              <w:t xml:space="preserve"> Provide evidence to inform KemenPANRB’s pre-existing review of </w:t>
            </w:r>
            <w:r w:rsidR="006A14A9">
              <w:rPr>
                <w:color w:val="000000" w:themeColor="text1"/>
                <w:sz w:val="20"/>
                <w:szCs w:val="20"/>
                <w:lang w:val="en-AU" w:eastAsia="en-ID"/>
              </w:rPr>
              <w:t>Balitbang</w:t>
            </w:r>
            <w:r w:rsidR="00584480">
              <w:rPr>
                <w:color w:val="000000" w:themeColor="text1"/>
                <w:sz w:val="20"/>
                <w:szCs w:val="20"/>
                <w:lang w:val="en-AU" w:eastAsia="en-ID"/>
              </w:rPr>
              <w:t>s</w:t>
            </w:r>
            <w:r w:rsidRPr="00351A46">
              <w:rPr>
                <w:color w:val="000000" w:themeColor="text1"/>
                <w:sz w:val="20"/>
                <w:szCs w:val="20"/>
                <w:lang w:val="en-AU" w:eastAsia="en-ID"/>
              </w:rPr>
              <w:t xml:space="preserve"> by funding UI CSGAR to assess the effectiveness of </w:t>
            </w:r>
            <w:r w:rsidR="00584480">
              <w:rPr>
                <w:color w:val="000000" w:themeColor="text1"/>
                <w:sz w:val="20"/>
                <w:szCs w:val="20"/>
                <w:lang w:val="en-AU" w:eastAsia="en-ID"/>
              </w:rPr>
              <w:t>them</w:t>
            </w:r>
            <w:r w:rsidRPr="00351A46">
              <w:rPr>
                <w:color w:val="000000" w:themeColor="text1"/>
                <w:sz w:val="20"/>
                <w:szCs w:val="20"/>
                <w:lang w:val="en-AU" w:eastAsia="en-ID"/>
              </w:rPr>
              <w:t xml:space="preserve">. </w:t>
            </w:r>
          </w:p>
          <w:p w14:paraId="0272E1E2" w14:textId="77777777" w:rsidR="004A1B48" w:rsidRPr="00381388" w:rsidRDefault="004A1B48" w:rsidP="00217DCF">
            <w:pPr>
              <w:numPr>
                <w:ilvl w:val="1"/>
                <w:numId w:val="0"/>
              </w:numPr>
              <w:spacing w:after="160" w:line="259" w:lineRule="auto"/>
              <w:ind w:left="720"/>
              <w:contextualSpacing/>
              <w:rPr>
                <w:rFonts w:eastAsiaTheme="minorEastAsia"/>
                <w:i/>
                <w:color w:val="000000" w:themeColor="text1"/>
                <w:spacing w:val="15"/>
                <w:sz w:val="20"/>
                <w:szCs w:val="20"/>
                <w:lang w:val="en-AU" w:eastAsia="en-ID"/>
              </w:rPr>
            </w:pPr>
          </w:p>
          <w:p w14:paraId="0C503C00" w14:textId="66EB502B" w:rsidR="004A1B48" w:rsidRPr="00351A46" w:rsidRDefault="004A1B48" w:rsidP="00217DCF">
            <w:pPr>
              <w:spacing w:after="160" w:line="259" w:lineRule="auto"/>
              <w:contextualSpacing/>
              <w:rPr>
                <w:b/>
                <w:color w:val="000000" w:themeColor="text1"/>
                <w:sz w:val="20"/>
                <w:szCs w:val="20"/>
                <w:lang w:val="en-AU" w:eastAsia="en-ID"/>
              </w:rPr>
            </w:pPr>
            <w:r w:rsidRPr="00351A46">
              <w:rPr>
                <w:i/>
                <w:color w:val="000000" w:themeColor="text1"/>
                <w:sz w:val="20"/>
                <w:szCs w:val="20"/>
                <w:lang w:val="en-AU" w:eastAsia="en-ID"/>
              </w:rPr>
              <w:t xml:space="preserve">Build: </w:t>
            </w:r>
            <w:r w:rsidRPr="00351A46">
              <w:rPr>
                <w:color w:val="000000" w:themeColor="text1"/>
                <w:sz w:val="20"/>
                <w:szCs w:val="20"/>
                <w:lang w:val="en-AU" w:eastAsia="en-ID"/>
              </w:rPr>
              <w:t xml:space="preserve">Fund </w:t>
            </w:r>
            <w:r w:rsidR="00C74945" w:rsidRPr="00351A46">
              <w:rPr>
                <w:color w:val="000000" w:themeColor="text1"/>
                <w:sz w:val="20"/>
                <w:szCs w:val="20"/>
                <w:lang w:val="en-AU" w:eastAsia="en-ID"/>
              </w:rPr>
              <w:t>Indonesian Young Academ</w:t>
            </w:r>
            <w:r w:rsidR="00CA228E" w:rsidRPr="00351A46">
              <w:rPr>
                <w:color w:val="000000" w:themeColor="text1"/>
                <w:sz w:val="20"/>
                <w:szCs w:val="20"/>
                <w:lang w:val="en-AU" w:eastAsia="en-ID"/>
              </w:rPr>
              <w:t>y of Sciences (</w:t>
            </w:r>
            <w:r w:rsidRPr="00351A46">
              <w:rPr>
                <w:color w:val="000000" w:themeColor="text1"/>
                <w:sz w:val="20"/>
                <w:szCs w:val="20"/>
                <w:lang w:val="en-AU" w:eastAsia="en-ID"/>
              </w:rPr>
              <w:t>ALMI</w:t>
            </w:r>
            <w:r w:rsidR="00CA228E" w:rsidRPr="00351A46">
              <w:rPr>
                <w:color w:val="000000" w:themeColor="text1"/>
                <w:sz w:val="20"/>
                <w:szCs w:val="20"/>
                <w:lang w:val="en-AU" w:eastAsia="en-ID"/>
              </w:rPr>
              <w:t>)</w:t>
            </w:r>
            <w:r w:rsidRPr="00351A46">
              <w:rPr>
                <w:color w:val="000000" w:themeColor="text1"/>
                <w:sz w:val="20"/>
                <w:szCs w:val="20"/>
                <w:lang w:val="en-AU" w:eastAsia="en-ID"/>
              </w:rPr>
              <w:t xml:space="preserve"> to enable it to grow its profile and influence as</w:t>
            </w:r>
            <w:r w:rsidR="00584480">
              <w:rPr>
                <w:color w:val="000000" w:themeColor="text1"/>
                <w:sz w:val="20"/>
                <w:szCs w:val="20"/>
                <w:lang w:val="en-AU" w:eastAsia="en-ID"/>
              </w:rPr>
              <w:t xml:space="preserve"> a</w:t>
            </w:r>
            <w:r w:rsidRPr="00351A46">
              <w:rPr>
                <w:color w:val="000000" w:themeColor="text1"/>
                <w:sz w:val="20"/>
                <w:szCs w:val="20"/>
                <w:lang w:val="en-AU" w:eastAsia="en-ID"/>
              </w:rPr>
              <w:t xml:space="preserve"> key advocate for </w:t>
            </w:r>
            <w:r w:rsidR="0085747B" w:rsidRPr="00351A46">
              <w:rPr>
                <w:color w:val="000000" w:themeColor="text1"/>
                <w:sz w:val="20"/>
                <w:szCs w:val="20"/>
                <w:lang w:val="en-AU" w:eastAsia="en-ID"/>
              </w:rPr>
              <w:t>research</w:t>
            </w:r>
            <w:r w:rsidR="00584480">
              <w:rPr>
                <w:color w:val="000000" w:themeColor="text1"/>
                <w:sz w:val="20"/>
                <w:szCs w:val="20"/>
                <w:lang w:val="en-AU" w:eastAsia="en-ID"/>
              </w:rPr>
              <w:t xml:space="preserve"> </w:t>
            </w:r>
            <w:r w:rsidR="0085747B" w:rsidRPr="00351A46">
              <w:rPr>
                <w:color w:val="000000" w:themeColor="text1"/>
                <w:sz w:val="20"/>
                <w:szCs w:val="20"/>
                <w:lang w:val="en-AU" w:eastAsia="en-ID"/>
              </w:rPr>
              <w:t>to</w:t>
            </w:r>
            <w:r w:rsidR="00584480">
              <w:rPr>
                <w:color w:val="000000" w:themeColor="text1"/>
                <w:sz w:val="20"/>
                <w:szCs w:val="20"/>
                <w:lang w:val="en-AU" w:eastAsia="en-ID"/>
              </w:rPr>
              <w:t xml:space="preserve"> </w:t>
            </w:r>
            <w:r w:rsidR="0085747B" w:rsidRPr="00351A46">
              <w:rPr>
                <w:color w:val="000000" w:themeColor="text1"/>
                <w:sz w:val="20"/>
                <w:szCs w:val="20"/>
                <w:lang w:val="en-AU" w:eastAsia="en-ID"/>
              </w:rPr>
              <w:t>policy</w:t>
            </w:r>
            <w:r w:rsidR="00912DA2" w:rsidRPr="00351A46">
              <w:rPr>
                <w:color w:val="000000" w:themeColor="text1"/>
                <w:sz w:val="20"/>
                <w:szCs w:val="20"/>
                <w:lang w:val="en-AU" w:eastAsia="en-ID"/>
              </w:rPr>
              <w:t>.</w:t>
            </w:r>
          </w:p>
          <w:p w14:paraId="7D1A7582" w14:textId="77777777" w:rsidR="004A1B48" w:rsidRPr="00381388" w:rsidRDefault="004A1B48" w:rsidP="00217DCF">
            <w:pPr>
              <w:numPr>
                <w:ilvl w:val="1"/>
                <w:numId w:val="0"/>
              </w:numPr>
              <w:spacing w:after="160" w:line="259" w:lineRule="auto"/>
              <w:ind w:left="720"/>
              <w:contextualSpacing/>
              <w:rPr>
                <w:rFonts w:eastAsiaTheme="minorEastAsia"/>
                <w:i/>
                <w:color w:val="000000" w:themeColor="text1"/>
                <w:spacing w:val="15"/>
                <w:sz w:val="20"/>
                <w:szCs w:val="20"/>
                <w:lang w:val="en-AU" w:eastAsia="en-ID"/>
              </w:rPr>
            </w:pPr>
          </w:p>
          <w:p w14:paraId="7B1B052F" w14:textId="639CC4DD" w:rsidR="004A1B48" w:rsidRPr="00351A46" w:rsidRDefault="004A1B48" w:rsidP="00217DCF">
            <w:pPr>
              <w:spacing w:after="160" w:line="259" w:lineRule="auto"/>
              <w:contextualSpacing/>
              <w:rPr>
                <w:color w:val="000000" w:themeColor="text1"/>
                <w:sz w:val="20"/>
                <w:szCs w:val="20"/>
                <w:lang w:val="en-AU" w:eastAsia="en-ID"/>
              </w:rPr>
            </w:pPr>
            <w:r w:rsidRPr="00351A46">
              <w:rPr>
                <w:i/>
                <w:color w:val="000000" w:themeColor="text1"/>
                <w:sz w:val="20"/>
                <w:szCs w:val="20"/>
                <w:lang w:val="en-AU" w:eastAsia="en-ID"/>
              </w:rPr>
              <w:t>Initiate</w:t>
            </w:r>
            <w:r w:rsidR="00912DA2" w:rsidRPr="00351A46">
              <w:rPr>
                <w:i/>
                <w:color w:val="000000" w:themeColor="text1"/>
                <w:sz w:val="20"/>
                <w:szCs w:val="20"/>
                <w:lang w:val="en-AU" w:eastAsia="en-ID"/>
              </w:rPr>
              <w:t xml:space="preserve"> and critical friend</w:t>
            </w:r>
            <w:r w:rsidRPr="00351A46">
              <w:rPr>
                <w:i/>
                <w:color w:val="000000" w:themeColor="text1"/>
                <w:sz w:val="20"/>
                <w:szCs w:val="20"/>
                <w:lang w:val="en-AU" w:eastAsia="en-ID"/>
              </w:rPr>
              <w:t>:</w:t>
            </w:r>
            <w:r w:rsidRPr="00351A46">
              <w:rPr>
                <w:b/>
                <w:color w:val="000000" w:themeColor="text1"/>
                <w:sz w:val="20"/>
                <w:szCs w:val="20"/>
                <w:lang w:val="en-AU" w:eastAsia="en-ID"/>
              </w:rPr>
              <w:t xml:space="preserve"> </w:t>
            </w:r>
            <w:r w:rsidRPr="00351A46">
              <w:rPr>
                <w:color w:val="000000" w:themeColor="text1"/>
                <w:sz w:val="20"/>
                <w:szCs w:val="20"/>
                <w:lang w:val="en-AU" w:eastAsia="en-ID"/>
              </w:rPr>
              <w:t xml:space="preserve">Explore possibilities for engaging in </w:t>
            </w:r>
            <w:r w:rsidR="00346129" w:rsidRPr="00351A46">
              <w:rPr>
                <w:color w:val="000000" w:themeColor="text1"/>
                <w:sz w:val="20"/>
                <w:szCs w:val="20"/>
                <w:lang w:val="en-AU" w:eastAsia="en-ID"/>
              </w:rPr>
              <w:t xml:space="preserve">the </w:t>
            </w:r>
            <w:r w:rsidRPr="00351A46">
              <w:rPr>
                <w:color w:val="000000" w:themeColor="text1"/>
                <w:sz w:val="20"/>
                <w:szCs w:val="20"/>
                <w:lang w:val="en-AU" w:eastAsia="en-ID"/>
              </w:rPr>
              <w:t xml:space="preserve">development of </w:t>
            </w:r>
            <w:r w:rsidR="00346129" w:rsidRPr="00351A46">
              <w:rPr>
                <w:color w:val="000000" w:themeColor="text1"/>
                <w:sz w:val="20"/>
                <w:szCs w:val="20"/>
                <w:lang w:val="en-AU" w:eastAsia="en-ID"/>
              </w:rPr>
              <w:t xml:space="preserve">the </w:t>
            </w:r>
            <w:r w:rsidRPr="00351A46">
              <w:rPr>
                <w:color w:val="000000" w:themeColor="text1"/>
                <w:sz w:val="20"/>
                <w:szCs w:val="20"/>
                <w:lang w:val="en-AU" w:eastAsia="en-ID"/>
              </w:rPr>
              <w:t xml:space="preserve">sovereign wealth fund as </w:t>
            </w:r>
            <w:r w:rsidR="00346129" w:rsidRPr="00351A46">
              <w:rPr>
                <w:color w:val="000000" w:themeColor="text1"/>
                <w:sz w:val="20"/>
                <w:szCs w:val="20"/>
                <w:lang w:val="en-AU" w:eastAsia="en-ID"/>
              </w:rPr>
              <w:t xml:space="preserve">a </w:t>
            </w:r>
            <w:r w:rsidRPr="00351A46">
              <w:rPr>
                <w:color w:val="000000" w:themeColor="text1"/>
                <w:sz w:val="20"/>
                <w:szCs w:val="20"/>
                <w:lang w:val="en-AU" w:eastAsia="en-ID"/>
              </w:rPr>
              <w:t xml:space="preserve">funding mechanism for quality policy research. </w:t>
            </w:r>
            <w:r w:rsidR="00912DA2" w:rsidRPr="00351A46">
              <w:rPr>
                <w:color w:val="000000" w:themeColor="text1"/>
                <w:sz w:val="20"/>
                <w:szCs w:val="20"/>
                <w:lang w:val="en-AU" w:eastAsia="en-ID"/>
              </w:rPr>
              <w:t xml:space="preserve">Provide technical advice if needed. </w:t>
            </w:r>
            <w:r w:rsidRPr="00351A46">
              <w:rPr>
                <w:color w:val="000000" w:themeColor="text1"/>
                <w:sz w:val="20"/>
                <w:szCs w:val="20"/>
                <w:lang w:val="en-AU" w:eastAsia="en-ID"/>
              </w:rPr>
              <w:t>Advocate for inclusion of GES</w:t>
            </w:r>
            <w:r w:rsidR="002906CE" w:rsidRPr="00351A46">
              <w:rPr>
                <w:color w:val="000000" w:themeColor="text1"/>
                <w:sz w:val="20"/>
                <w:szCs w:val="20"/>
                <w:lang w:val="en-AU" w:eastAsia="en-ID"/>
              </w:rPr>
              <w:t>I and sub-national perspectives.</w:t>
            </w:r>
          </w:p>
          <w:p w14:paraId="56A2CEA3" w14:textId="77777777" w:rsidR="004A1B48" w:rsidRPr="00381388" w:rsidRDefault="004A1B48" w:rsidP="00217DCF">
            <w:pPr>
              <w:numPr>
                <w:ilvl w:val="1"/>
                <w:numId w:val="0"/>
              </w:numPr>
              <w:spacing w:after="160" w:line="259" w:lineRule="auto"/>
              <w:contextualSpacing/>
              <w:rPr>
                <w:rFonts w:eastAsiaTheme="minorEastAsia"/>
                <w:b/>
                <w:color w:val="000000" w:themeColor="text1"/>
                <w:spacing w:val="15"/>
                <w:sz w:val="20"/>
                <w:szCs w:val="20"/>
                <w:lang w:val="en-AU" w:eastAsia="en-ID"/>
              </w:rPr>
            </w:pPr>
          </w:p>
          <w:p w14:paraId="3EDE3914" w14:textId="1462E171" w:rsidR="004A1B48" w:rsidRPr="00351A46" w:rsidRDefault="004A1B48" w:rsidP="00217DCF">
            <w:pPr>
              <w:spacing w:after="160" w:line="259" w:lineRule="auto"/>
              <w:contextualSpacing/>
              <w:rPr>
                <w:b/>
                <w:color w:val="000000" w:themeColor="text1"/>
                <w:sz w:val="20"/>
                <w:szCs w:val="20"/>
                <w:lang w:val="en-AU" w:eastAsia="en-ID"/>
              </w:rPr>
            </w:pPr>
            <w:r w:rsidRPr="00351A46">
              <w:rPr>
                <w:i/>
                <w:color w:val="000000" w:themeColor="text1"/>
                <w:sz w:val="20"/>
                <w:szCs w:val="20"/>
                <w:lang w:val="en-AU" w:eastAsia="en-ID"/>
              </w:rPr>
              <w:t xml:space="preserve">Build: </w:t>
            </w:r>
            <w:r w:rsidR="00BB7221" w:rsidRPr="00351A46">
              <w:rPr>
                <w:color w:val="000000" w:themeColor="text1"/>
                <w:sz w:val="20"/>
                <w:szCs w:val="20"/>
                <w:lang w:val="en-AU" w:eastAsia="en-ID"/>
              </w:rPr>
              <w:t>Funding and technical expertise for DIPI to strengthen its organisational capability and advocate for government funding, with a view to KSI exiting support for DIPI by 2020.</w:t>
            </w:r>
          </w:p>
          <w:p w14:paraId="6E408363" w14:textId="77777777" w:rsidR="004A1B48" w:rsidRPr="00381388" w:rsidRDefault="004A1B48" w:rsidP="00217DCF">
            <w:pPr>
              <w:numPr>
                <w:ilvl w:val="1"/>
                <w:numId w:val="0"/>
              </w:numPr>
              <w:spacing w:after="160" w:line="259" w:lineRule="auto"/>
              <w:ind w:left="720"/>
              <w:contextualSpacing/>
              <w:rPr>
                <w:rFonts w:eastAsiaTheme="minorEastAsia"/>
                <w:i/>
                <w:color w:val="000000" w:themeColor="text1"/>
                <w:spacing w:val="15"/>
                <w:sz w:val="20"/>
                <w:szCs w:val="20"/>
                <w:lang w:val="en-AU" w:eastAsia="en-ID"/>
              </w:rPr>
            </w:pPr>
          </w:p>
          <w:p w14:paraId="3BFD65FA" w14:textId="66D3E794" w:rsidR="004A1B48" w:rsidRPr="00351A46" w:rsidRDefault="00912DA2" w:rsidP="00217DCF">
            <w:pPr>
              <w:spacing w:after="160" w:line="259" w:lineRule="auto"/>
              <w:contextualSpacing/>
              <w:rPr>
                <w:color w:val="000000" w:themeColor="text1"/>
                <w:sz w:val="20"/>
                <w:szCs w:val="20"/>
                <w:lang w:val="en-AU" w:eastAsia="en-ID"/>
              </w:rPr>
            </w:pPr>
            <w:r w:rsidRPr="00351A46">
              <w:rPr>
                <w:i/>
                <w:color w:val="000000" w:themeColor="text1"/>
                <w:sz w:val="20"/>
                <w:szCs w:val="20"/>
                <w:lang w:val="en-AU" w:eastAsia="en-ID"/>
              </w:rPr>
              <w:t>Amplify, accelerate and critical friend</w:t>
            </w:r>
            <w:r w:rsidR="004A1B48" w:rsidRPr="00351A46">
              <w:rPr>
                <w:i/>
                <w:color w:val="000000" w:themeColor="text1"/>
                <w:sz w:val="20"/>
                <w:szCs w:val="20"/>
                <w:lang w:val="en-AU" w:eastAsia="en-ID"/>
              </w:rPr>
              <w:t>:</w:t>
            </w:r>
            <w:r w:rsidR="004A1B48" w:rsidRPr="00351A46">
              <w:rPr>
                <w:b/>
                <w:color w:val="000000" w:themeColor="text1"/>
                <w:sz w:val="20"/>
                <w:szCs w:val="20"/>
                <w:lang w:val="en-AU" w:eastAsia="en-ID"/>
              </w:rPr>
              <w:t xml:space="preserve"> </w:t>
            </w:r>
            <w:r w:rsidR="009A51C8" w:rsidRPr="00351A46">
              <w:rPr>
                <w:color w:val="000000" w:themeColor="text1"/>
                <w:sz w:val="20"/>
                <w:szCs w:val="20"/>
                <w:lang w:val="en-AU" w:eastAsia="en-ID"/>
              </w:rPr>
              <w:t xml:space="preserve">Provide </w:t>
            </w:r>
            <w:r w:rsidR="00584480">
              <w:rPr>
                <w:color w:val="000000" w:themeColor="text1"/>
                <w:sz w:val="20"/>
                <w:szCs w:val="20"/>
                <w:lang w:val="en-AU" w:eastAsia="en-ID"/>
              </w:rPr>
              <w:t xml:space="preserve">a </w:t>
            </w:r>
            <w:r w:rsidR="009A51C8" w:rsidRPr="00351A46">
              <w:rPr>
                <w:color w:val="000000" w:themeColor="text1"/>
                <w:sz w:val="20"/>
                <w:szCs w:val="20"/>
                <w:lang w:val="en-AU" w:eastAsia="en-ID"/>
              </w:rPr>
              <w:t>range of support to accelerate implementation of procurement regulation</w:t>
            </w:r>
            <w:r w:rsidR="00584480">
              <w:rPr>
                <w:color w:val="000000" w:themeColor="text1"/>
                <w:sz w:val="20"/>
                <w:szCs w:val="20"/>
                <w:lang w:val="en-AU" w:eastAsia="en-ID"/>
              </w:rPr>
              <w:t>s</w:t>
            </w:r>
            <w:r w:rsidR="009A51C8" w:rsidRPr="00351A46">
              <w:rPr>
                <w:color w:val="000000" w:themeColor="text1"/>
                <w:sz w:val="20"/>
                <w:szCs w:val="20"/>
                <w:lang w:val="en-AU" w:eastAsia="en-ID"/>
              </w:rPr>
              <w:t xml:space="preserve">. </w:t>
            </w:r>
            <w:r w:rsidR="00DD01A9" w:rsidRPr="00351A46">
              <w:rPr>
                <w:color w:val="000000" w:themeColor="text1"/>
                <w:sz w:val="20"/>
                <w:szCs w:val="20"/>
                <w:lang w:val="en-AU" w:eastAsia="en-ID"/>
              </w:rPr>
              <w:t>Provide technical input to</w:t>
            </w:r>
            <w:r w:rsidR="00941558" w:rsidRPr="00351A46">
              <w:rPr>
                <w:color w:val="000000" w:themeColor="text1"/>
                <w:sz w:val="20"/>
                <w:szCs w:val="20"/>
                <w:lang w:val="en-AU" w:eastAsia="en-ID"/>
              </w:rPr>
              <w:t xml:space="preserve"> drafting of implementing regulations </w:t>
            </w:r>
            <w:r w:rsidR="00DD01A9" w:rsidRPr="00351A46">
              <w:rPr>
                <w:color w:val="000000" w:themeColor="text1"/>
                <w:sz w:val="20"/>
                <w:szCs w:val="20"/>
                <w:lang w:val="en-AU" w:eastAsia="en-ID"/>
              </w:rPr>
              <w:t xml:space="preserve">to ensure </w:t>
            </w:r>
            <w:r w:rsidR="00584480">
              <w:rPr>
                <w:color w:val="000000" w:themeColor="text1"/>
                <w:sz w:val="20"/>
                <w:szCs w:val="20"/>
                <w:lang w:val="en-AU" w:eastAsia="en-ID"/>
              </w:rPr>
              <w:t>they</w:t>
            </w:r>
            <w:r w:rsidR="00584480" w:rsidRPr="00351A46">
              <w:rPr>
                <w:color w:val="000000" w:themeColor="text1"/>
                <w:sz w:val="20"/>
                <w:szCs w:val="20"/>
                <w:lang w:val="en-AU" w:eastAsia="en-ID"/>
              </w:rPr>
              <w:t xml:space="preserve"> </w:t>
            </w:r>
            <w:r w:rsidR="00DD01A9" w:rsidRPr="00351A46">
              <w:rPr>
                <w:color w:val="000000" w:themeColor="text1"/>
                <w:sz w:val="20"/>
                <w:szCs w:val="20"/>
                <w:lang w:val="en-AU" w:eastAsia="en-ID"/>
              </w:rPr>
              <w:t xml:space="preserve">cover </w:t>
            </w:r>
            <w:r w:rsidR="00941558" w:rsidRPr="00351A46">
              <w:rPr>
                <w:color w:val="000000" w:themeColor="text1"/>
                <w:sz w:val="20"/>
                <w:szCs w:val="20"/>
                <w:lang w:val="en-AU" w:eastAsia="en-ID"/>
              </w:rPr>
              <w:t xml:space="preserve">research providers beyond universities. </w:t>
            </w:r>
          </w:p>
          <w:p w14:paraId="033DE8CA" w14:textId="77777777" w:rsidR="004A1B48" w:rsidRPr="00381388" w:rsidRDefault="004A1B48" w:rsidP="00217DCF">
            <w:pPr>
              <w:numPr>
                <w:ilvl w:val="1"/>
                <w:numId w:val="0"/>
              </w:numPr>
              <w:spacing w:after="160" w:line="259" w:lineRule="auto"/>
              <w:contextualSpacing/>
              <w:rPr>
                <w:rFonts w:eastAsiaTheme="minorEastAsia"/>
                <w:b/>
                <w:color w:val="000000" w:themeColor="text1"/>
                <w:spacing w:val="15"/>
                <w:sz w:val="20"/>
                <w:szCs w:val="20"/>
                <w:lang w:val="en-AU" w:eastAsia="en-ID"/>
              </w:rPr>
            </w:pPr>
          </w:p>
          <w:p w14:paraId="79182D00" w14:textId="74162964" w:rsidR="00AC383E" w:rsidRPr="00351A46" w:rsidRDefault="004A1B48" w:rsidP="00217DCF">
            <w:pPr>
              <w:spacing w:after="160" w:line="259" w:lineRule="auto"/>
              <w:contextualSpacing/>
              <w:rPr>
                <w:color w:val="000000" w:themeColor="text1"/>
                <w:sz w:val="20"/>
                <w:szCs w:val="20"/>
                <w:lang w:val="en-AU" w:eastAsia="en-ID"/>
              </w:rPr>
            </w:pPr>
            <w:r w:rsidRPr="00351A46">
              <w:rPr>
                <w:i/>
                <w:color w:val="000000" w:themeColor="text1"/>
                <w:sz w:val="20"/>
                <w:szCs w:val="20"/>
                <w:lang w:val="en-AU" w:eastAsia="en-ID"/>
              </w:rPr>
              <w:t>Amplify:</w:t>
            </w:r>
            <w:r w:rsidR="00C74945" w:rsidRPr="00351A46">
              <w:rPr>
                <w:color w:val="000000" w:themeColor="text1"/>
                <w:sz w:val="20"/>
                <w:szCs w:val="20"/>
                <w:lang w:val="en-AU" w:eastAsia="en-ID"/>
              </w:rPr>
              <w:t xml:space="preserve"> Use</w:t>
            </w:r>
            <w:r w:rsidRPr="00351A46">
              <w:rPr>
                <w:color w:val="000000" w:themeColor="text1"/>
                <w:sz w:val="20"/>
                <w:szCs w:val="20"/>
                <w:lang w:val="en-AU" w:eastAsia="en-ID"/>
              </w:rPr>
              <w:t xml:space="preserve"> media to promote increased awareness of </w:t>
            </w:r>
            <w:r w:rsidR="004A6649" w:rsidRPr="00351A46">
              <w:rPr>
                <w:color w:val="000000" w:themeColor="text1"/>
                <w:sz w:val="20"/>
                <w:szCs w:val="20"/>
                <w:lang w:val="en-AU" w:eastAsia="en-ID"/>
              </w:rPr>
              <w:t xml:space="preserve">funding issues. </w:t>
            </w:r>
          </w:p>
        </w:tc>
        <w:tc>
          <w:tcPr>
            <w:tcW w:w="2845" w:type="dxa"/>
            <w:shd w:val="clear" w:color="auto" w:fill="FFF2CC" w:themeFill="accent4" w:themeFillTint="33"/>
          </w:tcPr>
          <w:p w14:paraId="2F834BDE" w14:textId="1AB4D531" w:rsidR="004A1B48" w:rsidRPr="00351A46" w:rsidRDefault="004A1B48" w:rsidP="00217DCF">
            <w:pPr>
              <w:spacing w:after="160" w:line="259" w:lineRule="auto"/>
              <w:contextualSpacing/>
              <w:rPr>
                <w:color w:val="000000" w:themeColor="text1"/>
                <w:sz w:val="20"/>
                <w:szCs w:val="20"/>
                <w:lang w:val="en-AU" w:eastAsia="en-ID"/>
              </w:rPr>
            </w:pPr>
            <w:r w:rsidRPr="00351A46">
              <w:rPr>
                <w:color w:val="000000" w:themeColor="text1"/>
                <w:sz w:val="20"/>
                <w:szCs w:val="20"/>
                <w:lang w:val="en-AU" w:eastAsia="en-ID"/>
              </w:rPr>
              <w:t>UU Si</w:t>
            </w:r>
            <w:r w:rsidR="0063459F" w:rsidRPr="00351A46">
              <w:rPr>
                <w:color w:val="000000" w:themeColor="text1"/>
                <w:sz w:val="20"/>
                <w:szCs w:val="20"/>
                <w:lang w:val="en-AU" w:eastAsia="en-ID"/>
              </w:rPr>
              <w:t>s</w:t>
            </w:r>
            <w:r w:rsidRPr="00351A46">
              <w:rPr>
                <w:color w:val="000000" w:themeColor="text1"/>
                <w:sz w:val="20"/>
                <w:szCs w:val="20"/>
                <w:lang w:val="en-AU" w:eastAsia="en-ID"/>
              </w:rPr>
              <w:t xml:space="preserve">nas Iptek includes provisions or mention of policy research, which provides avenues to pursue greater clarity on </w:t>
            </w:r>
            <w:r w:rsidR="00584480">
              <w:rPr>
                <w:color w:val="000000" w:themeColor="text1"/>
                <w:sz w:val="20"/>
                <w:szCs w:val="20"/>
                <w:lang w:val="en-AU" w:eastAsia="en-ID"/>
              </w:rPr>
              <w:t xml:space="preserve">the </w:t>
            </w:r>
            <w:r w:rsidR="0085747B" w:rsidRPr="00351A46">
              <w:rPr>
                <w:color w:val="000000" w:themeColor="text1"/>
                <w:sz w:val="20"/>
                <w:szCs w:val="20"/>
                <w:lang w:val="en-AU" w:eastAsia="en-ID"/>
              </w:rPr>
              <w:t>research-to-policy process</w:t>
            </w:r>
            <w:r w:rsidRPr="00351A46">
              <w:rPr>
                <w:color w:val="000000" w:themeColor="text1"/>
                <w:sz w:val="20"/>
                <w:szCs w:val="20"/>
                <w:lang w:val="en-AU" w:eastAsia="en-ID"/>
              </w:rPr>
              <w:t xml:space="preserve"> with stakeholders. </w:t>
            </w:r>
          </w:p>
          <w:p w14:paraId="5B025F96" w14:textId="77777777" w:rsidR="004A1B48" w:rsidRPr="00351A46" w:rsidRDefault="004A1B48" w:rsidP="00217DCF">
            <w:pPr>
              <w:spacing w:after="160" w:line="259" w:lineRule="auto"/>
              <w:contextualSpacing/>
              <w:rPr>
                <w:color w:val="000000" w:themeColor="text1"/>
                <w:sz w:val="20"/>
                <w:szCs w:val="20"/>
                <w:lang w:val="en-AU" w:eastAsia="en-ID"/>
              </w:rPr>
            </w:pPr>
            <w:r w:rsidRPr="00351A46">
              <w:rPr>
                <w:color w:val="000000" w:themeColor="text1"/>
                <w:sz w:val="20"/>
                <w:szCs w:val="20"/>
                <w:lang w:val="en-AU" w:eastAsia="en-ID"/>
              </w:rPr>
              <w:t xml:space="preserve"> </w:t>
            </w:r>
          </w:p>
          <w:p w14:paraId="0519D277" w14:textId="612DE4AD" w:rsidR="004A1B48" w:rsidRPr="00351A46" w:rsidRDefault="004A1B48" w:rsidP="00217DCF">
            <w:pPr>
              <w:spacing w:after="160" w:line="259" w:lineRule="auto"/>
              <w:contextualSpacing/>
              <w:rPr>
                <w:color w:val="000000" w:themeColor="text1"/>
                <w:sz w:val="20"/>
                <w:szCs w:val="20"/>
                <w:lang w:val="en-AU" w:eastAsia="en-ID"/>
              </w:rPr>
            </w:pPr>
            <w:r w:rsidRPr="00351A46">
              <w:rPr>
                <w:color w:val="000000" w:themeColor="text1"/>
                <w:sz w:val="20"/>
                <w:szCs w:val="20"/>
                <w:lang w:val="en-AU" w:eastAsia="en-ID"/>
              </w:rPr>
              <w:t>Minister of KemenPANRB uses evid</w:t>
            </w:r>
            <w:r w:rsidR="00CA228E" w:rsidRPr="00351A46">
              <w:rPr>
                <w:color w:val="000000" w:themeColor="text1"/>
                <w:sz w:val="20"/>
                <w:szCs w:val="20"/>
                <w:lang w:val="en-AU" w:eastAsia="en-ID"/>
              </w:rPr>
              <w:t xml:space="preserve">ence from KSI-funded review of </w:t>
            </w:r>
            <w:r w:rsidR="006A14A9">
              <w:rPr>
                <w:color w:val="000000" w:themeColor="text1"/>
                <w:sz w:val="20"/>
                <w:szCs w:val="20"/>
                <w:lang w:val="en-AU" w:eastAsia="en-ID"/>
              </w:rPr>
              <w:t>Balitbang</w:t>
            </w:r>
            <w:r w:rsidR="00584480">
              <w:rPr>
                <w:color w:val="000000" w:themeColor="text1"/>
                <w:sz w:val="20"/>
                <w:szCs w:val="20"/>
                <w:lang w:val="en-AU" w:eastAsia="en-ID"/>
              </w:rPr>
              <w:t>s</w:t>
            </w:r>
            <w:r w:rsidRPr="00351A46">
              <w:rPr>
                <w:color w:val="000000" w:themeColor="text1"/>
                <w:sz w:val="20"/>
                <w:szCs w:val="20"/>
                <w:lang w:val="en-AU" w:eastAsia="en-ID"/>
              </w:rPr>
              <w:t xml:space="preserve"> to make d</w:t>
            </w:r>
            <w:r w:rsidR="00CA228E" w:rsidRPr="00351A46">
              <w:rPr>
                <w:color w:val="000000" w:themeColor="text1"/>
                <w:sz w:val="20"/>
                <w:szCs w:val="20"/>
                <w:lang w:val="en-AU" w:eastAsia="en-ID"/>
              </w:rPr>
              <w:t>ecision</w:t>
            </w:r>
            <w:r w:rsidR="00584480">
              <w:rPr>
                <w:color w:val="000000" w:themeColor="text1"/>
                <w:sz w:val="20"/>
                <w:szCs w:val="20"/>
                <w:lang w:val="en-AU" w:eastAsia="en-ID"/>
              </w:rPr>
              <w:t>s</w:t>
            </w:r>
            <w:r w:rsidR="00CA228E" w:rsidRPr="00351A46">
              <w:rPr>
                <w:color w:val="000000" w:themeColor="text1"/>
                <w:sz w:val="20"/>
                <w:szCs w:val="20"/>
                <w:lang w:val="en-AU" w:eastAsia="en-ID"/>
              </w:rPr>
              <w:t xml:space="preserve"> on future direction of </w:t>
            </w:r>
            <w:r w:rsidR="006A14A9">
              <w:rPr>
                <w:color w:val="000000" w:themeColor="text1"/>
                <w:sz w:val="20"/>
                <w:szCs w:val="20"/>
                <w:lang w:val="en-AU" w:eastAsia="en-ID"/>
              </w:rPr>
              <w:t>Balitbang</w:t>
            </w:r>
            <w:r w:rsidR="00584480">
              <w:rPr>
                <w:color w:val="000000" w:themeColor="text1"/>
                <w:sz w:val="20"/>
                <w:szCs w:val="20"/>
                <w:lang w:val="en-AU" w:eastAsia="en-ID"/>
              </w:rPr>
              <w:t>s</w:t>
            </w:r>
            <w:r w:rsidRPr="00351A46">
              <w:rPr>
                <w:color w:val="000000" w:themeColor="text1"/>
                <w:sz w:val="20"/>
                <w:szCs w:val="20"/>
                <w:lang w:val="en-AU" w:eastAsia="en-ID"/>
              </w:rPr>
              <w:t xml:space="preserve">. </w:t>
            </w:r>
          </w:p>
          <w:p w14:paraId="4AABD1F5" w14:textId="77777777" w:rsidR="004A1B48" w:rsidRPr="00381388" w:rsidRDefault="004A1B48" w:rsidP="00217DCF">
            <w:pPr>
              <w:numPr>
                <w:ilvl w:val="1"/>
                <w:numId w:val="0"/>
              </w:numPr>
              <w:spacing w:after="160" w:line="259" w:lineRule="auto"/>
              <w:contextualSpacing/>
              <w:rPr>
                <w:rFonts w:eastAsiaTheme="minorEastAsia"/>
                <w:color w:val="000000" w:themeColor="text1"/>
                <w:spacing w:val="15"/>
                <w:sz w:val="20"/>
                <w:szCs w:val="20"/>
                <w:lang w:val="en-AU" w:eastAsia="en-ID"/>
              </w:rPr>
            </w:pPr>
          </w:p>
          <w:p w14:paraId="3CA27CB8" w14:textId="3276ABD4" w:rsidR="004A1B48" w:rsidRPr="00351A46" w:rsidRDefault="004A1B48" w:rsidP="00217DCF">
            <w:pPr>
              <w:spacing w:after="160" w:line="259" w:lineRule="auto"/>
              <w:contextualSpacing/>
              <w:rPr>
                <w:color w:val="000000" w:themeColor="text1"/>
                <w:sz w:val="20"/>
                <w:szCs w:val="20"/>
                <w:lang w:val="en-AU" w:eastAsia="en-ID"/>
              </w:rPr>
            </w:pPr>
            <w:r w:rsidRPr="00351A46">
              <w:rPr>
                <w:color w:val="000000" w:themeColor="text1"/>
                <w:sz w:val="20"/>
                <w:szCs w:val="20"/>
                <w:lang w:val="en-AU" w:eastAsia="en-ID"/>
              </w:rPr>
              <w:t xml:space="preserve">Bappenas and Kemristekdikti take lead role in convening several ministries and agencies to take action on a specific policy issue to </w:t>
            </w:r>
            <w:r w:rsidR="000238A4" w:rsidRPr="00351A46">
              <w:rPr>
                <w:color w:val="000000" w:themeColor="text1"/>
                <w:sz w:val="20"/>
                <w:szCs w:val="20"/>
                <w:lang w:val="en-AU" w:eastAsia="en-ID"/>
              </w:rPr>
              <w:t xml:space="preserve">address </w:t>
            </w:r>
            <w:r w:rsidRPr="00351A46">
              <w:rPr>
                <w:color w:val="000000" w:themeColor="text1"/>
                <w:sz w:val="20"/>
                <w:szCs w:val="20"/>
                <w:lang w:val="en-AU" w:eastAsia="en-ID"/>
              </w:rPr>
              <w:t>bottleneck</w:t>
            </w:r>
            <w:r w:rsidR="000238A4" w:rsidRPr="00351A46">
              <w:rPr>
                <w:color w:val="000000" w:themeColor="text1"/>
                <w:sz w:val="20"/>
                <w:szCs w:val="20"/>
                <w:lang w:val="en-AU" w:eastAsia="en-ID"/>
              </w:rPr>
              <w:t>s to</w:t>
            </w:r>
            <w:r w:rsidRPr="00351A46">
              <w:rPr>
                <w:color w:val="000000" w:themeColor="text1"/>
                <w:sz w:val="20"/>
                <w:szCs w:val="20"/>
                <w:lang w:val="en-AU" w:eastAsia="en-ID"/>
              </w:rPr>
              <w:t xml:space="preserve"> commercialisation of research</w:t>
            </w:r>
            <w:r w:rsidR="000238A4" w:rsidRPr="00351A46">
              <w:rPr>
                <w:color w:val="000000" w:themeColor="text1"/>
                <w:sz w:val="20"/>
                <w:szCs w:val="20"/>
                <w:lang w:val="en-AU" w:eastAsia="en-ID"/>
              </w:rPr>
              <w:t>.</w:t>
            </w:r>
          </w:p>
          <w:p w14:paraId="40977B15" w14:textId="77777777" w:rsidR="004A1B48" w:rsidRPr="00381388" w:rsidRDefault="004A1B48" w:rsidP="00217DCF">
            <w:pPr>
              <w:numPr>
                <w:ilvl w:val="1"/>
                <w:numId w:val="0"/>
              </w:numPr>
              <w:spacing w:after="160" w:line="259" w:lineRule="auto"/>
              <w:contextualSpacing/>
              <w:rPr>
                <w:rFonts w:eastAsiaTheme="minorEastAsia"/>
                <w:color w:val="000000" w:themeColor="text1"/>
                <w:spacing w:val="15"/>
                <w:sz w:val="20"/>
                <w:szCs w:val="20"/>
                <w:lang w:val="en-AU" w:eastAsia="en-ID"/>
              </w:rPr>
            </w:pPr>
          </w:p>
          <w:p w14:paraId="0E599F1C" w14:textId="29D669F6" w:rsidR="004A1B48" w:rsidRPr="00351A46" w:rsidRDefault="004A1B48" w:rsidP="00217DCF">
            <w:pPr>
              <w:spacing w:after="160" w:line="259" w:lineRule="auto"/>
              <w:contextualSpacing/>
              <w:rPr>
                <w:color w:val="000000" w:themeColor="text1"/>
                <w:sz w:val="20"/>
                <w:szCs w:val="20"/>
                <w:lang w:val="en-AU" w:eastAsia="en-ID"/>
              </w:rPr>
            </w:pPr>
            <w:r w:rsidRPr="00351A46">
              <w:rPr>
                <w:color w:val="000000" w:themeColor="text1"/>
                <w:sz w:val="20"/>
                <w:szCs w:val="20"/>
                <w:lang w:val="en-AU" w:eastAsia="en-ID"/>
              </w:rPr>
              <w:t>Key stakeholders learn from Australian partners to encourage innovation and promote basic and applied research</w:t>
            </w:r>
            <w:r w:rsidR="00D0679C" w:rsidRPr="00351A46">
              <w:rPr>
                <w:color w:val="000000" w:themeColor="text1"/>
                <w:sz w:val="20"/>
                <w:szCs w:val="20"/>
                <w:lang w:val="en-AU" w:eastAsia="en-ID"/>
              </w:rPr>
              <w:t>,</w:t>
            </w:r>
            <w:r w:rsidRPr="00351A46">
              <w:rPr>
                <w:color w:val="000000" w:themeColor="text1"/>
                <w:sz w:val="20"/>
                <w:szCs w:val="20"/>
                <w:lang w:val="en-AU" w:eastAsia="en-ID"/>
              </w:rPr>
              <w:t xml:space="preserve"> including policy research.</w:t>
            </w:r>
          </w:p>
          <w:p w14:paraId="77072A60" w14:textId="7A43EA5E" w:rsidR="004A1B48" w:rsidRPr="00381388" w:rsidRDefault="004A1B48" w:rsidP="00217DCF">
            <w:pPr>
              <w:numPr>
                <w:ilvl w:val="1"/>
                <w:numId w:val="0"/>
              </w:numPr>
              <w:spacing w:after="160" w:line="259" w:lineRule="auto"/>
              <w:contextualSpacing/>
              <w:rPr>
                <w:rFonts w:eastAsiaTheme="minorEastAsia"/>
                <w:color w:val="000000" w:themeColor="text1"/>
                <w:spacing w:val="15"/>
                <w:sz w:val="20"/>
                <w:szCs w:val="20"/>
                <w:lang w:val="en-AU" w:eastAsia="en-ID"/>
              </w:rPr>
            </w:pPr>
          </w:p>
          <w:p w14:paraId="1A830BC4" w14:textId="40A57F33" w:rsidR="00AB2DD5" w:rsidRPr="00351A46" w:rsidRDefault="00AB2DD5" w:rsidP="00217DCF">
            <w:pPr>
              <w:numPr>
                <w:ilvl w:val="1"/>
                <w:numId w:val="0"/>
              </w:numPr>
              <w:spacing w:after="160" w:line="259" w:lineRule="auto"/>
              <w:contextualSpacing/>
              <w:rPr>
                <w:color w:val="000000" w:themeColor="text1"/>
                <w:sz w:val="20"/>
                <w:szCs w:val="20"/>
                <w:lang w:val="en-AU" w:eastAsia="en-ID"/>
              </w:rPr>
            </w:pPr>
            <w:r w:rsidRPr="00351A46">
              <w:rPr>
                <w:color w:val="000000" w:themeColor="text1"/>
                <w:sz w:val="20"/>
                <w:szCs w:val="20"/>
                <w:lang w:val="en-AU" w:eastAsia="en-ID"/>
              </w:rPr>
              <w:t>Kemenkeu</w:t>
            </w:r>
            <w:r w:rsidR="0047497A" w:rsidRPr="00351A46">
              <w:rPr>
                <w:color w:val="000000" w:themeColor="text1"/>
                <w:sz w:val="20"/>
                <w:szCs w:val="20"/>
                <w:lang w:val="en-AU" w:eastAsia="en-ID"/>
              </w:rPr>
              <w:t xml:space="preserve"> interested in strengthening</w:t>
            </w:r>
            <w:r w:rsidRPr="00351A46">
              <w:rPr>
                <w:color w:val="000000" w:themeColor="text1"/>
                <w:sz w:val="20"/>
                <w:szCs w:val="20"/>
                <w:lang w:val="en-AU" w:eastAsia="en-ID"/>
              </w:rPr>
              <w:t xml:space="preserve"> </w:t>
            </w:r>
            <w:r w:rsidR="0047497A" w:rsidRPr="00351A46">
              <w:rPr>
                <w:color w:val="000000" w:themeColor="text1"/>
                <w:sz w:val="20"/>
                <w:szCs w:val="20"/>
                <w:lang w:val="en-AU" w:eastAsia="en-ID"/>
              </w:rPr>
              <w:t>use</w:t>
            </w:r>
            <w:r w:rsidR="00584480">
              <w:rPr>
                <w:color w:val="000000" w:themeColor="text1"/>
                <w:sz w:val="20"/>
                <w:szCs w:val="20"/>
                <w:lang w:val="en-AU" w:eastAsia="en-ID"/>
              </w:rPr>
              <w:t xml:space="preserve"> of</w:t>
            </w:r>
            <w:r w:rsidR="0047497A" w:rsidRPr="00351A46">
              <w:rPr>
                <w:color w:val="000000" w:themeColor="text1"/>
                <w:sz w:val="20"/>
                <w:szCs w:val="20"/>
                <w:lang w:val="en-AU" w:eastAsia="en-ID"/>
              </w:rPr>
              <w:t xml:space="preserve"> </w:t>
            </w:r>
            <w:r w:rsidRPr="00351A46">
              <w:rPr>
                <w:color w:val="000000" w:themeColor="text1"/>
                <w:sz w:val="20"/>
                <w:szCs w:val="20"/>
                <w:lang w:val="en-AU" w:eastAsia="en-ID"/>
              </w:rPr>
              <w:t>sovereign wealth fund</w:t>
            </w:r>
            <w:r w:rsidR="0047497A" w:rsidRPr="00351A46">
              <w:rPr>
                <w:color w:val="000000" w:themeColor="text1"/>
                <w:sz w:val="20"/>
                <w:szCs w:val="20"/>
                <w:lang w:val="en-AU" w:eastAsia="en-ID"/>
              </w:rPr>
              <w:t xml:space="preserve"> to fund qu</w:t>
            </w:r>
            <w:r w:rsidRPr="00351A46">
              <w:rPr>
                <w:color w:val="000000" w:themeColor="text1"/>
                <w:sz w:val="20"/>
                <w:szCs w:val="20"/>
                <w:lang w:val="en-AU" w:eastAsia="en-ID"/>
              </w:rPr>
              <w:t>ality policy research.</w:t>
            </w:r>
          </w:p>
          <w:p w14:paraId="4473D463" w14:textId="77777777" w:rsidR="00AB2DD5" w:rsidRPr="00381388" w:rsidRDefault="00AB2DD5" w:rsidP="00217DCF">
            <w:pPr>
              <w:numPr>
                <w:ilvl w:val="1"/>
                <w:numId w:val="0"/>
              </w:numPr>
              <w:spacing w:after="160" w:line="259" w:lineRule="auto"/>
              <w:contextualSpacing/>
              <w:rPr>
                <w:rFonts w:eastAsiaTheme="minorEastAsia"/>
                <w:color w:val="000000" w:themeColor="text1"/>
                <w:spacing w:val="15"/>
                <w:sz w:val="20"/>
                <w:szCs w:val="20"/>
                <w:lang w:val="en-AU" w:eastAsia="en-ID"/>
              </w:rPr>
            </w:pPr>
          </w:p>
          <w:p w14:paraId="68F19005" w14:textId="609AA13E" w:rsidR="004A1B48" w:rsidRPr="00351A46" w:rsidRDefault="004A1B48" w:rsidP="00217DCF">
            <w:pPr>
              <w:spacing w:after="160" w:line="259" w:lineRule="auto"/>
              <w:contextualSpacing/>
              <w:rPr>
                <w:color w:val="000000" w:themeColor="text1"/>
                <w:sz w:val="20"/>
                <w:szCs w:val="20"/>
                <w:lang w:val="en-AU" w:eastAsia="en-ID"/>
              </w:rPr>
            </w:pPr>
            <w:r w:rsidRPr="00351A46">
              <w:rPr>
                <w:color w:val="000000" w:themeColor="text1"/>
                <w:sz w:val="20"/>
                <w:szCs w:val="20"/>
                <w:lang w:val="en-AU" w:eastAsia="en-ID"/>
              </w:rPr>
              <w:t xml:space="preserve">ALMI has strengthened organisational capacity and plays active role in advocating for reforms to Indonesia’s research </w:t>
            </w:r>
            <w:r w:rsidR="004B7FEE" w:rsidRPr="00351A46">
              <w:rPr>
                <w:color w:val="000000" w:themeColor="text1"/>
                <w:sz w:val="20"/>
                <w:szCs w:val="20"/>
                <w:lang w:val="en-AU" w:eastAsia="en-ID"/>
              </w:rPr>
              <w:t>environment and</w:t>
            </w:r>
            <w:r w:rsidRPr="00351A46">
              <w:rPr>
                <w:color w:val="000000" w:themeColor="text1"/>
                <w:sz w:val="20"/>
                <w:szCs w:val="20"/>
                <w:lang w:val="en-AU" w:eastAsia="en-ID"/>
              </w:rPr>
              <w:t xml:space="preserve"> promoting evidence-informed policymaking.</w:t>
            </w:r>
          </w:p>
          <w:p w14:paraId="162F066E" w14:textId="77777777" w:rsidR="004A1B48" w:rsidRPr="00381388" w:rsidRDefault="004A1B48" w:rsidP="00217DCF">
            <w:pPr>
              <w:numPr>
                <w:ilvl w:val="1"/>
                <w:numId w:val="0"/>
              </w:numPr>
              <w:spacing w:after="160" w:line="259" w:lineRule="auto"/>
              <w:ind w:left="720"/>
              <w:contextualSpacing/>
              <w:rPr>
                <w:rFonts w:eastAsiaTheme="minorEastAsia"/>
                <w:color w:val="000000" w:themeColor="text1"/>
                <w:spacing w:val="15"/>
                <w:sz w:val="20"/>
                <w:szCs w:val="20"/>
                <w:lang w:val="en-AU" w:eastAsia="en-ID"/>
              </w:rPr>
            </w:pPr>
          </w:p>
          <w:p w14:paraId="2516720B" w14:textId="644D1116" w:rsidR="004A1B48" w:rsidRPr="00351A46" w:rsidRDefault="004A1B48" w:rsidP="00217DCF">
            <w:pPr>
              <w:spacing w:after="160" w:line="259" w:lineRule="auto"/>
              <w:contextualSpacing/>
              <w:rPr>
                <w:color w:val="000000" w:themeColor="text1"/>
                <w:sz w:val="20"/>
                <w:szCs w:val="20"/>
                <w:lang w:val="en-AU" w:eastAsia="en-ID"/>
              </w:rPr>
            </w:pPr>
            <w:r w:rsidRPr="00351A46">
              <w:rPr>
                <w:color w:val="000000" w:themeColor="text1"/>
                <w:sz w:val="20"/>
                <w:szCs w:val="20"/>
                <w:lang w:val="en-AU" w:eastAsia="en-ID"/>
              </w:rPr>
              <w:t>Key stakeholders recognise need for government to fully</w:t>
            </w:r>
            <w:r w:rsidR="00D0679C" w:rsidRPr="00351A46">
              <w:rPr>
                <w:color w:val="000000" w:themeColor="text1"/>
                <w:sz w:val="20"/>
                <w:szCs w:val="20"/>
                <w:lang w:val="en-AU" w:eastAsia="en-ID"/>
              </w:rPr>
              <w:t xml:space="preserve"> </w:t>
            </w:r>
            <w:r w:rsidRPr="00351A46">
              <w:rPr>
                <w:color w:val="000000" w:themeColor="text1"/>
                <w:sz w:val="20"/>
                <w:szCs w:val="20"/>
                <w:lang w:val="en-AU" w:eastAsia="en-ID"/>
              </w:rPr>
              <w:t xml:space="preserve">fund DIPI as </w:t>
            </w:r>
            <w:r w:rsidR="00D0679C" w:rsidRPr="00351A46">
              <w:rPr>
                <w:color w:val="000000" w:themeColor="text1"/>
                <w:sz w:val="20"/>
                <w:szCs w:val="20"/>
                <w:lang w:val="en-AU" w:eastAsia="en-ID"/>
              </w:rPr>
              <w:t xml:space="preserve">a </w:t>
            </w:r>
            <w:r w:rsidRPr="00351A46">
              <w:rPr>
                <w:color w:val="000000" w:themeColor="text1"/>
                <w:sz w:val="20"/>
                <w:szCs w:val="20"/>
                <w:lang w:val="en-AU" w:eastAsia="en-ID"/>
              </w:rPr>
              <w:t>funding mechanism for basic research.</w:t>
            </w:r>
          </w:p>
        </w:tc>
      </w:tr>
      <w:tr w:rsidR="004A1B48" w:rsidRPr="00351A46" w14:paraId="56E6B68C" w14:textId="77777777" w:rsidTr="00444D54">
        <w:tc>
          <w:tcPr>
            <w:tcW w:w="10490" w:type="dxa"/>
            <w:gridSpan w:val="4"/>
            <w:shd w:val="clear" w:color="auto" w:fill="FFE599" w:themeFill="accent4" w:themeFillTint="66"/>
          </w:tcPr>
          <w:p w14:paraId="539359BE" w14:textId="4F7D359A" w:rsidR="004A1B48" w:rsidRPr="00351A46" w:rsidRDefault="00E5110F" w:rsidP="001C1496">
            <w:pPr>
              <w:keepNext/>
              <w:keepLines/>
              <w:spacing w:before="120" w:after="120"/>
              <w:contextualSpacing/>
              <w:jc w:val="center"/>
              <w:outlineLvl w:val="8"/>
              <w:rPr>
                <w:b/>
                <w:color w:val="000000" w:themeColor="text1"/>
                <w:sz w:val="20"/>
                <w:szCs w:val="20"/>
                <w:lang w:val="en-AU" w:eastAsia="en-ID"/>
              </w:rPr>
            </w:pPr>
            <w:r w:rsidRPr="00351A46">
              <w:rPr>
                <w:b/>
                <w:color w:val="000000" w:themeColor="text1"/>
                <w:sz w:val="20"/>
                <w:szCs w:val="20"/>
                <w:lang w:val="en-AU" w:eastAsia="en-ID"/>
              </w:rPr>
              <w:t>Key initiative</w:t>
            </w:r>
            <w:r w:rsidR="004A1B48" w:rsidRPr="00351A46">
              <w:rPr>
                <w:b/>
                <w:color w:val="000000" w:themeColor="text1"/>
                <w:sz w:val="20"/>
                <w:szCs w:val="20"/>
                <w:lang w:val="en-AU" w:eastAsia="en-ID"/>
              </w:rPr>
              <w:t xml:space="preserve">: RPJMN </w:t>
            </w:r>
            <w:r w:rsidR="00D0679C" w:rsidRPr="00351A46">
              <w:rPr>
                <w:b/>
                <w:color w:val="000000" w:themeColor="text1"/>
                <w:sz w:val="20"/>
                <w:szCs w:val="20"/>
                <w:lang w:val="en-AU" w:eastAsia="en-ID"/>
              </w:rPr>
              <w:t>s</w:t>
            </w:r>
            <w:r w:rsidR="004A1B48" w:rsidRPr="00351A46">
              <w:rPr>
                <w:b/>
                <w:color w:val="000000" w:themeColor="text1"/>
                <w:sz w:val="20"/>
                <w:szCs w:val="20"/>
                <w:lang w:val="en-AU" w:eastAsia="en-ID"/>
              </w:rPr>
              <w:t xml:space="preserve">tudies </w:t>
            </w:r>
            <w:r w:rsidR="007B420F" w:rsidRPr="001C1496">
              <w:rPr>
                <w:color w:val="000000" w:themeColor="text1"/>
                <w:sz w:val="20"/>
                <w:szCs w:val="20"/>
                <w:lang w:val="en-AU" w:eastAsia="en-ID"/>
              </w:rPr>
              <w:t>–</w:t>
            </w:r>
            <w:r w:rsidR="007B420F" w:rsidRPr="00351A46">
              <w:rPr>
                <w:b/>
                <w:color w:val="000000" w:themeColor="text1"/>
                <w:sz w:val="20"/>
                <w:szCs w:val="20"/>
                <w:lang w:val="en-AU" w:eastAsia="en-ID"/>
              </w:rPr>
              <w:t xml:space="preserve"> </w:t>
            </w:r>
            <w:r w:rsidR="004A1B48" w:rsidRPr="00351A46">
              <w:rPr>
                <w:color w:val="000000" w:themeColor="text1"/>
                <w:sz w:val="20"/>
                <w:szCs w:val="20"/>
                <w:lang w:val="en-AU" w:eastAsia="en-ID"/>
              </w:rPr>
              <w:t>Better practices within Bappenas for anticipating evidence needs, developing a research agenda, and resourcing, commissioning and using this research to inform RPJMN.</w:t>
            </w:r>
          </w:p>
        </w:tc>
      </w:tr>
      <w:tr w:rsidR="004A1B48" w:rsidRPr="00351A46" w14:paraId="45F34C28" w14:textId="77777777" w:rsidTr="002906CE">
        <w:tc>
          <w:tcPr>
            <w:tcW w:w="1885" w:type="dxa"/>
            <w:shd w:val="clear" w:color="auto" w:fill="FFF2CC" w:themeFill="accent4" w:themeFillTint="33"/>
          </w:tcPr>
          <w:p w14:paraId="6BF6019B" w14:textId="7B956842" w:rsidR="004A1B48" w:rsidRPr="00351A46" w:rsidRDefault="004A1B48" w:rsidP="001C1496">
            <w:pPr>
              <w:spacing w:after="160"/>
              <w:contextualSpacing/>
              <w:jc w:val="center"/>
              <w:rPr>
                <w:b/>
                <w:color w:val="000000" w:themeColor="text1"/>
                <w:sz w:val="20"/>
                <w:szCs w:val="20"/>
                <w:lang w:val="en-AU" w:eastAsia="en-ID"/>
              </w:rPr>
            </w:pPr>
            <w:r w:rsidRPr="00351A46">
              <w:rPr>
                <w:b/>
                <w:color w:val="000000" w:themeColor="text1"/>
                <w:sz w:val="20"/>
                <w:szCs w:val="20"/>
                <w:lang w:val="en-AU" w:eastAsia="en-ID"/>
              </w:rPr>
              <w:t>What needs to happen</w:t>
            </w:r>
            <w:r w:rsidR="00C74945" w:rsidRPr="00351A46">
              <w:rPr>
                <w:b/>
                <w:color w:val="000000" w:themeColor="text1"/>
                <w:sz w:val="20"/>
                <w:szCs w:val="20"/>
                <w:lang w:val="en-AU" w:eastAsia="en-ID"/>
              </w:rPr>
              <w:t xml:space="preserve"> by 2022</w:t>
            </w:r>
          </w:p>
        </w:tc>
        <w:tc>
          <w:tcPr>
            <w:tcW w:w="2250" w:type="dxa"/>
            <w:shd w:val="clear" w:color="auto" w:fill="FFF2CC" w:themeFill="accent4" w:themeFillTint="33"/>
          </w:tcPr>
          <w:p w14:paraId="57A894F6" w14:textId="6C34D130" w:rsidR="004A1B48" w:rsidRPr="00351A46" w:rsidRDefault="004A1B48" w:rsidP="001C1496">
            <w:pPr>
              <w:spacing w:after="160"/>
              <w:contextualSpacing/>
              <w:jc w:val="center"/>
              <w:rPr>
                <w:b/>
                <w:color w:val="000000" w:themeColor="text1"/>
                <w:sz w:val="20"/>
                <w:szCs w:val="20"/>
                <w:lang w:val="en-AU" w:eastAsia="en-ID"/>
              </w:rPr>
            </w:pPr>
            <w:r w:rsidRPr="00351A46">
              <w:rPr>
                <w:b/>
                <w:color w:val="000000" w:themeColor="text1"/>
                <w:sz w:val="20"/>
                <w:szCs w:val="20"/>
                <w:lang w:val="en-AU" w:eastAsia="en-ID"/>
              </w:rPr>
              <w:t xml:space="preserve">Critical </w:t>
            </w:r>
            <w:r w:rsidR="00F512AF" w:rsidRPr="00351A46">
              <w:rPr>
                <w:b/>
                <w:color w:val="000000" w:themeColor="text1"/>
                <w:sz w:val="20"/>
                <w:szCs w:val="20"/>
                <w:lang w:val="en-AU" w:eastAsia="en-ID"/>
              </w:rPr>
              <w:t>s</w:t>
            </w:r>
            <w:r w:rsidRPr="00351A46">
              <w:rPr>
                <w:b/>
                <w:color w:val="000000" w:themeColor="text1"/>
                <w:sz w:val="20"/>
                <w:szCs w:val="20"/>
                <w:lang w:val="en-AU" w:eastAsia="en-ID"/>
              </w:rPr>
              <w:t xml:space="preserve">uccess </w:t>
            </w:r>
            <w:r w:rsidR="00F512AF" w:rsidRPr="00351A46">
              <w:rPr>
                <w:b/>
                <w:color w:val="000000" w:themeColor="text1"/>
                <w:sz w:val="20"/>
                <w:szCs w:val="20"/>
                <w:lang w:val="en-AU" w:eastAsia="en-ID"/>
              </w:rPr>
              <w:t>f</w:t>
            </w:r>
            <w:r w:rsidRPr="00351A46">
              <w:rPr>
                <w:b/>
                <w:color w:val="000000" w:themeColor="text1"/>
                <w:sz w:val="20"/>
                <w:szCs w:val="20"/>
                <w:lang w:val="en-AU" w:eastAsia="en-ID"/>
              </w:rPr>
              <w:t>actors</w:t>
            </w:r>
          </w:p>
        </w:tc>
        <w:tc>
          <w:tcPr>
            <w:tcW w:w="3510" w:type="dxa"/>
            <w:shd w:val="clear" w:color="auto" w:fill="FFF2CC" w:themeFill="accent4" w:themeFillTint="33"/>
          </w:tcPr>
          <w:p w14:paraId="796792BB" w14:textId="77777777" w:rsidR="004A1B48" w:rsidRPr="00351A46" w:rsidRDefault="004A1B48" w:rsidP="001C1496">
            <w:pPr>
              <w:spacing w:after="160"/>
              <w:contextualSpacing/>
              <w:jc w:val="center"/>
              <w:rPr>
                <w:b/>
                <w:color w:val="000000" w:themeColor="text1"/>
                <w:sz w:val="20"/>
                <w:szCs w:val="20"/>
                <w:lang w:val="en-AU" w:eastAsia="en-ID"/>
              </w:rPr>
            </w:pPr>
            <w:r w:rsidRPr="00351A46">
              <w:rPr>
                <w:b/>
                <w:color w:val="000000" w:themeColor="text1"/>
                <w:sz w:val="20"/>
                <w:szCs w:val="20"/>
                <w:lang w:val="en-AU" w:eastAsia="en-ID"/>
              </w:rPr>
              <w:t>KSI’s role</w:t>
            </w:r>
          </w:p>
        </w:tc>
        <w:tc>
          <w:tcPr>
            <w:tcW w:w="2845" w:type="dxa"/>
            <w:shd w:val="clear" w:color="auto" w:fill="FFF2CC" w:themeFill="accent4" w:themeFillTint="33"/>
          </w:tcPr>
          <w:p w14:paraId="15750952" w14:textId="44CF23D8" w:rsidR="004A1B48" w:rsidRPr="00351A46" w:rsidRDefault="00C74945" w:rsidP="001C1496">
            <w:pPr>
              <w:spacing w:after="160"/>
              <w:contextualSpacing/>
              <w:jc w:val="center"/>
              <w:rPr>
                <w:b/>
                <w:color w:val="000000" w:themeColor="text1"/>
                <w:sz w:val="20"/>
                <w:szCs w:val="20"/>
                <w:lang w:val="en-AU" w:eastAsia="en-ID"/>
              </w:rPr>
            </w:pPr>
            <w:r w:rsidRPr="00351A46">
              <w:rPr>
                <w:b/>
                <w:color w:val="000000" w:themeColor="text1"/>
                <w:sz w:val="20"/>
                <w:szCs w:val="20"/>
                <w:lang w:val="en-AU" w:eastAsia="en-ID"/>
              </w:rPr>
              <w:t>Expected outcomes</w:t>
            </w:r>
            <w:r w:rsidR="004A1B48" w:rsidRPr="00351A46">
              <w:rPr>
                <w:b/>
                <w:color w:val="000000" w:themeColor="text1"/>
                <w:sz w:val="20"/>
                <w:szCs w:val="20"/>
                <w:lang w:val="en-AU" w:eastAsia="en-ID"/>
              </w:rPr>
              <w:t xml:space="preserve"> for 2018</w:t>
            </w:r>
          </w:p>
        </w:tc>
      </w:tr>
      <w:tr w:rsidR="004A1B48" w:rsidRPr="00351A46" w14:paraId="4B652A10" w14:textId="77777777" w:rsidTr="002906CE">
        <w:tc>
          <w:tcPr>
            <w:tcW w:w="1885" w:type="dxa"/>
            <w:shd w:val="clear" w:color="auto" w:fill="FFF2CC" w:themeFill="accent4" w:themeFillTint="33"/>
          </w:tcPr>
          <w:p w14:paraId="21BD6B4E" w14:textId="77777777"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 xml:space="preserve">Bappenas understands existing practices and how to strengthen them. </w:t>
            </w:r>
          </w:p>
          <w:p w14:paraId="7ACA61D4" w14:textId="77777777" w:rsidR="004A1B48" w:rsidRPr="001C1496" w:rsidRDefault="004A1B48" w:rsidP="001C1496">
            <w:pPr>
              <w:numPr>
                <w:ilvl w:val="1"/>
                <w:numId w:val="0"/>
              </w:numPr>
              <w:rPr>
                <w:rFonts w:eastAsiaTheme="minorEastAsia"/>
                <w:color w:val="000000" w:themeColor="text1"/>
                <w:spacing w:val="15"/>
                <w:sz w:val="16"/>
                <w:szCs w:val="20"/>
                <w:lang w:val="en-AU" w:eastAsia="en-ID"/>
              </w:rPr>
            </w:pPr>
          </w:p>
          <w:p w14:paraId="411801B2" w14:textId="414A210A"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 xml:space="preserve">Selected </w:t>
            </w:r>
            <w:r w:rsidR="00F512AF" w:rsidRPr="00351A46">
              <w:rPr>
                <w:color w:val="000000" w:themeColor="text1"/>
                <w:sz w:val="20"/>
                <w:szCs w:val="20"/>
                <w:lang w:val="en-AU" w:eastAsia="en-ID"/>
              </w:rPr>
              <w:t>d</w:t>
            </w:r>
            <w:r w:rsidRPr="00351A46">
              <w:rPr>
                <w:color w:val="000000" w:themeColor="text1"/>
                <w:sz w:val="20"/>
                <w:szCs w:val="20"/>
                <w:lang w:val="en-AU" w:eastAsia="en-ID"/>
              </w:rPr>
              <w:t>irectorates model better practices in developing and implementing research agenda to inform RPJMN.</w:t>
            </w:r>
          </w:p>
          <w:p w14:paraId="5105D0EC" w14:textId="77777777" w:rsidR="004A1B48" w:rsidRPr="001C1496" w:rsidRDefault="004A1B48" w:rsidP="001C1496">
            <w:pPr>
              <w:numPr>
                <w:ilvl w:val="1"/>
                <w:numId w:val="0"/>
              </w:numPr>
              <w:rPr>
                <w:rFonts w:eastAsiaTheme="minorEastAsia"/>
                <w:color w:val="000000" w:themeColor="text1"/>
                <w:spacing w:val="15"/>
                <w:sz w:val="16"/>
                <w:szCs w:val="20"/>
                <w:lang w:val="en-AU" w:eastAsia="en-ID"/>
              </w:rPr>
            </w:pPr>
          </w:p>
          <w:p w14:paraId="672CBD9B" w14:textId="53E24730"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 xml:space="preserve">Learning on better practices captured and disseminated to build interest from other </w:t>
            </w:r>
            <w:r w:rsidR="00F512AF" w:rsidRPr="00351A46">
              <w:rPr>
                <w:color w:val="000000" w:themeColor="text1"/>
                <w:sz w:val="20"/>
                <w:szCs w:val="20"/>
                <w:lang w:val="en-AU" w:eastAsia="en-ID"/>
              </w:rPr>
              <w:t>d</w:t>
            </w:r>
            <w:r w:rsidRPr="00351A46">
              <w:rPr>
                <w:color w:val="000000" w:themeColor="text1"/>
                <w:sz w:val="20"/>
                <w:szCs w:val="20"/>
                <w:lang w:val="en-AU" w:eastAsia="en-ID"/>
              </w:rPr>
              <w:t>irectorates.</w:t>
            </w:r>
          </w:p>
          <w:p w14:paraId="3A72D546" w14:textId="77777777" w:rsidR="004A1B48" w:rsidRPr="001C1496" w:rsidRDefault="004A1B48" w:rsidP="001C1496">
            <w:pPr>
              <w:numPr>
                <w:ilvl w:val="1"/>
                <w:numId w:val="0"/>
              </w:numPr>
              <w:ind w:left="720"/>
              <w:rPr>
                <w:rFonts w:eastAsiaTheme="minorEastAsia"/>
                <w:color w:val="000000" w:themeColor="text1"/>
                <w:spacing w:val="15"/>
                <w:sz w:val="16"/>
                <w:szCs w:val="20"/>
                <w:lang w:val="en-AU" w:eastAsia="en-ID"/>
              </w:rPr>
            </w:pPr>
          </w:p>
          <w:p w14:paraId="626CC2D5" w14:textId="77777777"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Research used to inform RPJMN.</w:t>
            </w:r>
          </w:p>
          <w:p w14:paraId="017B4E82" w14:textId="77777777" w:rsidR="004A1B48" w:rsidRPr="00381388" w:rsidRDefault="004A1B48" w:rsidP="001C1496">
            <w:pPr>
              <w:numPr>
                <w:ilvl w:val="1"/>
                <w:numId w:val="0"/>
              </w:numPr>
              <w:ind w:left="720"/>
              <w:rPr>
                <w:rFonts w:eastAsiaTheme="minorEastAsia"/>
                <w:color w:val="000000" w:themeColor="text1"/>
                <w:spacing w:val="15"/>
                <w:sz w:val="20"/>
                <w:szCs w:val="20"/>
                <w:lang w:val="en-AU" w:eastAsia="en-ID"/>
              </w:rPr>
            </w:pPr>
          </w:p>
        </w:tc>
        <w:tc>
          <w:tcPr>
            <w:tcW w:w="2250" w:type="dxa"/>
            <w:shd w:val="clear" w:color="auto" w:fill="FFF2CC" w:themeFill="accent4" w:themeFillTint="33"/>
          </w:tcPr>
          <w:p w14:paraId="727F7EA1" w14:textId="3E613D20" w:rsidR="004A1B48" w:rsidRPr="00351A46" w:rsidRDefault="004A1B48" w:rsidP="001C1496">
            <w:pPr>
              <w:rPr>
                <w:i/>
                <w:color w:val="000000" w:themeColor="text1"/>
                <w:sz w:val="20"/>
                <w:szCs w:val="20"/>
                <w:lang w:val="en-AU" w:eastAsia="en-ID"/>
              </w:rPr>
            </w:pPr>
            <w:r w:rsidRPr="00351A46">
              <w:rPr>
                <w:color w:val="000000" w:themeColor="text1"/>
                <w:sz w:val="20"/>
                <w:szCs w:val="20"/>
                <w:lang w:val="en-AU" w:eastAsia="en-ID"/>
              </w:rPr>
              <w:t xml:space="preserve">Bappenas leadership and selected </w:t>
            </w:r>
            <w:r w:rsidR="00F512AF" w:rsidRPr="00351A46">
              <w:rPr>
                <w:color w:val="000000" w:themeColor="text1"/>
                <w:sz w:val="20"/>
                <w:szCs w:val="20"/>
                <w:lang w:val="en-AU" w:eastAsia="en-ID"/>
              </w:rPr>
              <w:t>d</w:t>
            </w:r>
            <w:r w:rsidRPr="00351A46">
              <w:rPr>
                <w:color w:val="000000" w:themeColor="text1"/>
                <w:sz w:val="20"/>
                <w:szCs w:val="20"/>
                <w:lang w:val="en-AU" w:eastAsia="en-ID"/>
              </w:rPr>
              <w:t>irectorates are i</w:t>
            </w:r>
            <w:r w:rsidR="00C74945" w:rsidRPr="00351A46">
              <w:rPr>
                <w:color w:val="000000" w:themeColor="text1"/>
                <w:sz w:val="20"/>
                <w:szCs w:val="20"/>
                <w:lang w:val="en-AU" w:eastAsia="en-ID"/>
              </w:rPr>
              <w:t xml:space="preserve">nterested in improving </w:t>
            </w:r>
            <w:r w:rsidRPr="00351A46">
              <w:rPr>
                <w:color w:val="000000" w:themeColor="text1"/>
                <w:sz w:val="20"/>
                <w:szCs w:val="20"/>
                <w:lang w:val="en-AU" w:eastAsia="en-ID"/>
              </w:rPr>
              <w:t xml:space="preserve">practices. </w:t>
            </w:r>
          </w:p>
          <w:p w14:paraId="2029E98B" w14:textId="77777777" w:rsidR="004A1B48" w:rsidRPr="001C1496" w:rsidRDefault="004A1B48" w:rsidP="001C1496">
            <w:pPr>
              <w:numPr>
                <w:ilvl w:val="1"/>
                <w:numId w:val="0"/>
              </w:numPr>
              <w:rPr>
                <w:rFonts w:eastAsiaTheme="minorEastAsia"/>
                <w:color w:val="000000" w:themeColor="text1"/>
                <w:spacing w:val="15"/>
                <w:sz w:val="16"/>
                <w:szCs w:val="20"/>
                <w:lang w:val="en-AU" w:eastAsia="en-ID"/>
              </w:rPr>
            </w:pPr>
          </w:p>
          <w:p w14:paraId="02F12CAD" w14:textId="77777777"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Bappenas understands what knowledge already exists, so it can identify knowledge gaps.</w:t>
            </w:r>
          </w:p>
          <w:p w14:paraId="794B9EA5" w14:textId="77777777" w:rsidR="004A1B48" w:rsidRPr="001C1496" w:rsidRDefault="004A1B48" w:rsidP="001C1496">
            <w:pPr>
              <w:numPr>
                <w:ilvl w:val="1"/>
                <w:numId w:val="0"/>
              </w:numPr>
              <w:ind w:left="720"/>
              <w:rPr>
                <w:rFonts w:eastAsiaTheme="minorEastAsia"/>
                <w:color w:val="000000" w:themeColor="text1"/>
                <w:spacing w:val="15"/>
                <w:sz w:val="16"/>
                <w:szCs w:val="20"/>
                <w:lang w:val="en-AU" w:eastAsia="en-ID"/>
              </w:rPr>
            </w:pPr>
          </w:p>
          <w:p w14:paraId="651209D1" w14:textId="77777777"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 xml:space="preserve">Bappenas has access to research providers to fulfil evidence needs. </w:t>
            </w:r>
          </w:p>
          <w:p w14:paraId="000F7AA9" w14:textId="77777777" w:rsidR="004A1B48" w:rsidRPr="001C1496" w:rsidRDefault="004A1B48" w:rsidP="001C1496">
            <w:pPr>
              <w:numPr>
                <w:ilvl w:val="1"/>
                <w:numId w:val="0"/>
              </w:numPr>
              <w:ind w:left="720"/>
              <w:rPr>
                <w:rFonts w:eastAsiaTheme="minorEastAsia"/>
                <w:color w:val="000000" w:themeColor="text1"/>
                <w:spacing w:val="15"/>
                <w:sz w:val="16"/>
                <w:szCs w:val="20"/>
                <w:lang w:val="en-AU" w:eastAsia="en-ID"/>
              </w:rPr>
            </w:pPr>
          </w:p>
          <w:p w14:paraId="6CE14FCD" w14:textId="77777777"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Demand from Bappenas for quality research to inform development policies.</w:t>
            </w:r>
          </w:p>
          <w:p w14:paraId="1ABF6456" w14:textId="77777777" w:rsidR="004A1B48" w:rsidRPr="00381388" w:rsidRDefault="004A1B48" w:rsidP="001C1496">
            <w:pPr>
              <w:numPr>
                <w:ilvl w:val="1"/>
                <w:numId w:val="0"/>
              </w:numPr>
              <w:ind w:left="720"/>
              <w:rPr>
                <w:rFonts w:eastAsiaTheme="minorEastAsia"/>
                <w:color w:val="000000" w:themeColor="text1"/>
                <w:spacing w:val="15"/>
                <w:sz w:val="20"/>
                <w:szCs w:val="20"/>
                <w:lang w:val="en-AU" w:eastAsia="en-ID"/>
              </w:rPr>
            </w:pPr>
          </w:p>
          <w:p w14:paraId="3B78F7E8" w14:textId="77777777" w:rsidR="004A1B48" w:rsidRPr="00381388" w:rsidRDefault="004A1B48" w:rsidP="001C1496">
            <w:pPr>
              <w:numPr>
                <w:ilvl w:val="1"/>
                <w:numId w:val="0"/>
              </w:numPr>
              <w:ind w:left="720"/>
              <w:rPr>
                <w:rFonts w:eastAsiaTheme="minorEastAsia"/>
                <w:color w:val="000000" w:themeColor="text1"/>
                <w:spacing w:val="15"/>
                <w:sz w:val="20"/>
                <w:szCs w:val="20"/>
                <w:lang w:val="en-AU" w:eastAsia="en-ID"/>
              </w:rPr>
            </w:pPr>
          </w:p>
          <w:p w14:paraId="2ACB4FC1" w14:textId="77777777" w:rsidR="004A1B48" w:rsidRPr="00381388" w:rsidRDefault="004A1B48" w:rsidP="001C1496">
            <w:pPr>
              <w:numPr>
                <w:ilvl w:val="1"/>
                <w:numId w:val="0"/>
              </w:numPr>
              <w:ind w:left="720"/>
              <w:rPr>
                <w:rFonts w:eastAsiaTheme="minorEastAsia"/>
                <w:color w:val="000000" w:themeColor="text1"/>
                <w:spacing w:val="15"/>
                <w:sz w:val="20"/>
                <w:szCs w:val="20"/>
                <w:lang w:val="en-AU" w:eastAsia="en-ID"/>
              </w:rPr>
            </w:pPr>
          </w:p>
          <w:p w14:paraId="54BF7C19" w14:textId="77777777" w:rsidR="004A1B48" w:rsidRPr="00381388" w:rsidRDefault="004A1B48" w:rsidP="001C1496">
            <w:pPr>
              <w:numPr>
                <w:ilvl w:val="1"/>
                <w:numId w:val="0"/>
              </w:numPr>
              <w:ind w:left="720"/>
              <w:rPr>
                <w:rFonts w:eastAsiaTheme="minorEastAsia"/>
                <w:color w:val="000000" w:themeColor="text1"/>
                <w:spacing w:val="15"/>
                <w:sz w:val="20"/>
                <w:szCs w:val="20"/>
                <w:lang w:val="en-AU" w:eastAsia="en-ID"/>
              </w:rPr>
            </w:pPr>
          </w:p>
        </w:tc>
        <w:tc>
          <w:tcPr>
            <w:tcW w:w="3510" w:type="dxa"/>
            <w:shd w:val="clear" w:color="auto" w:fill="FFF2CC" w:themeFill="accent4" w:themeFillTint="33"/>
          </w:tcPr>
          <w:p w14:paraId="5108B4E1" w14:textId="408845D2" w:rsidR="004A1B48" w:rsidRPr="00351A46" w:rsidRDefault="004A1B48" w:rsidP="001C1496">
            <w:pPr>
              <w:rPr>
                <w:color w:val="000000" w:themeColor="text1"/>
                <w:sz w:val="20"/>
                <w:szCs w:val="20"/>
                <w:lang w:val="en-AU" w:eastAsia="en-ID"/>
              </w:rPr>
            </w:pPr>
            <w:r w:rsidRPr="00351A46">
              <w:rPr>
                <w:i/>
                <w:color w:val="000000" w:themeColor="text1"/>
                <w:sz w:val="20"/>
                <w:szCs w:val="20"/>
                <w:lang w:val="en-AU" w:eastAsia="en-ID"/>
              </w:rPr>
              <w:t>Initiate</w:t>
            </w:r>
            <w:r w:rsidR="001F7A12" w:rsidRPr="00351A46">
              <w:rPr>
                <w:i/>
                <w:color w:val="000000" w:themeColor="text1"/>
                <w:sz w:val="20"/>
                <w:szCs w:val="20"/>
                <w:lang w:val="en-AU" w:eastAsia="en-ID"/>
              </w:rPr>
              <w:t>, connect</w:t>
            </w:r>
            <w:r w:rsidR="00F425C0" w:rsidRPr="00351A46">
              <w:rPr>
                <w:i/>
                <w:color w:val="000000" w:themeColor="text1"/>
                <w:sz w:val="20"/>
                <w:szCs w:val="20"/>
                <w:lang w:val="en-AU" w:eastAsia="en-ID"/>
              </w:rPr>
              <w:t xml:space="preserve"> and critical friend</w:t>
            </w:r>
            <w:r w:rsidRPr="00351A46">
              <w:rPr>
                <w:i/>
                <w:color w:val="000000" w:themeColor="text1"/>
                <w:sz w:val="20"/>
                <w:szCs w:val="20"/>
                <w:lang w:val="en-AU" w:eastAsia="en-ID"/>
              </w:rPr>
              <w:t>:</w:t>
            </w:r>
            <w:r w:rsidRPr="00351A46">
              <w:rPr>
                <w:color w:val="000000" w:themeColor="text1"/>
                <w:sz w:val="20"/>
                <w:szCs w:val="20"/>
                <w:lang w:val="en-AU" w:eastAsia="en-ID"/>
              </w:rPr>
              <w:t xml:space="preserve"> Put improved practices on the agenda by funding assessments of existing practices</w:t>
            </w:r>
            <w:r w:rsidR="00584480">
              <w:rPr>
                <w:color w:val="000000" w:themeColor="text1"/>
                <w:sz w:val="20"/>
                <w:szCs w:val="20"/>
                <w:lang w:val="en-AU" w:eastAsia="en-ID"/>
              </w:rPr>
              <w:t xml:space="preserve"> and </w:t>
            </w:r>
            <w:r w:rsidRPr="00351A46">
              <w:rPr>
                <w:color w:val="000000" w:themeColor="text1"/>
                <w:sz w:val="20"/>
                <w:szCs w:val="20"/>
                <w:lang w:val="en-AU" w:eastAsia="en-ID"/>
              </w:rPr>
              <w:t xml:space="preserve">facilitating discussions with Bappenas leadership and interested </w:t>
            </w:r>
            <w:r w:rsidR="00F512AF" w:rsidRPr="00351A46">
              <w:rPr>
                <w:color w:val="000000" w:themeColor="text1"/>
                <w:sz w:val="20"/>
                <w:szCs w:val="20"/>
                <w:lang w:val="en-AU" w:eastAsia="en-ID"/>
              </w:rPr>
              <w:t>d</w:t>
            </w:r>
            <w:r w:rsidRPr="00351A46">
              <w:rPr>
                <w:color w:val="000000" w:themeColor="text1"/>
                <w:sz w:val="20"/>
                <w:szCs w:val="20"/>
                <w:lang w:val="en-AU" w:eastAsia="en-ID"/>
              </w:rPr>
              <w:t xml:space="preserve">irectorates on findings. Fund nine studies to inform RPJMN 2020-2024 </w:t>
            </w:r>
            <w:r w:rsidR="00B73FEC" w:rsidRPr="00351A46">
              <w:rPr>
                <w:color w:val="000000" w:themeColor="text1"/>
                <w:sz w:val="20"/>
                <w:szCs w:val="20"/>
                <w:lang w:val="en-AU" w:eastAsia="en-ID"/>
              </w:rPr>
              <w:t>to</w:t>
            </w:r>
            <w:r w:rsidRPr="00351A46">
              <w:rPr>
                <w:color w:val="000000" w:themeColor="text1"/>
                <w:sz w:val="20"/>
                <w:szCs w:val="20"/>
                <w:lang w:val="en-AU" w:eastAsia="en-ID"/>
              </w:rPr>
              <w:t xml:space="preserve"> learn and identify </w:t>
            </w:r>
            <w:r w:rsidR="00B73FEC" w:rsidRPr="00351A46">
              <w:rPr>
                <w:color w:val="000000" w:themeColor="text1"/>
                <w:sz w:val="20"/>
                <w:szCs w:val="20"/>
                <w:lang w:val="en-AU" w:eastAsia="en-ID"/>
              </w:rPr>
              <w:t>ways to improve.</w:t>
            </w:r>
            <w:r w:rsidR="001D26E1" w:rsidRPr="00351A46">
              <w:rPr>
                <w:color w:val="000000" w:themeColor="text1"/>
                <w:sz w:val="20"/>
                <w:szCs w:val="20"/>
                <w:lang w:val="en-AU" w:eastAsia="en-ID"/>
              </w:rPr>
              <w:t xml:space="preserve"> </w:t>
            </w:r>
          </w:p>
          <w:p w14:paraId="561007DC" w14:textId="77777777" w:rsidR="004A1B48" w:rsidRPr="001C1496" w:rsidRDefault="004A1B48" w:rsidP="001C1496">
            <w:pPr>
              <w:numPr>
                <w:ilvl w:val="1"/>
                <w:numId w:val="0"/>
              </w:numPr>
              <w:rPr>
                <w:rFonts w:eastAsiaTheme="minorEastAsia"/>
                <w:color w:val="000000" w:themeColor="text1"/>
                <w:spacing w:val="15"/>
                <w:sz w:val="16"/>
                <w:szCs w:val="20"/>
                <w:lang w:val="en-AU" w:eastAsia="en-ID"/>
              </w:rPr>
            </w:pPr>
          </w:p>
          <w:p w14:paraId="400A60E2" w14:textId="754527FA" w:rsidR="004A1B48" w:rsidRPr="00351A46" w:rsidRDefault="004A1B48" w:rsidP="001C1496">
            <w:pPr>
              <w:rPr>
                <w:color w:val="000000" w:themeColor="text1"/>
                <w:sz w:val="20"/>
                <w:szCs w:val="20"/>
                <w:lang w:val="en-AU" w:eastAsia="en-ID"/>
              </w:rPr>
            </w:pPr>
            <w:r w:rsidRPr="00351A46">
              <w:rPr>
                <w:i/>
                <w:color w:val="000000" w:themeColor="text1"/>
                <w:sz w:val="20"/>
                <w:szCs w:val="20"/>
                <w:lang w:val="en-AU" w:eastAsia="en-ID"/>
              </w:rPr>
              <w:t>Initiate</w:t>
            </w:r>
            <w:r w:rsidR="00F425C0" w:rsidRPr="00351A46">
              <w:rPr>
                <w:i/>
                <w:color w:val="000000" w:themeColor="text1"/>
                <w:sz w:val="20"/>
                <w:szCs w:val="20"/>
                <w:lang w:val="en-AU" w:eastAsia="en-ID"/>
              </w:rPr>
              <w:t xml:space="preserve"> and critical friend</w:t>
            </w:r>
            <w:r w:rsidRPr="00351A46">
              <w:rPr>
                <w:i/>
                <w:color w:val="000000" w:themeColor="text1"/>
                <w:sz w:val="20"/>
                <w:szCs w:val="20"/>
                <w:lang w:val="en-AU" w:eastAsia="en-ID"/>
              </w:rPr>
              <w:t xml:space="preserve">: </w:t>
            </w:r>
            <w:r w:rsidRPr="00351A46">
              <w:rPr>
                <w:color w:val="000000" w:themeColor="text1"/>
                <w:sz w:val="20"/>
                <w:szCs w:val="20"/>
                <w:lang w:val="en-AU" w:eastAsia="en-ID"/>
              </w:rPr>
              <w:t xml:space="preserve">Provide technical expertise to develop knowledge repositories of existing studies (including donor-funded) in selected </w:t>
            </w:r>
            <w:r w:rsidR="00F512AF" w:rsidRPr="00351A46">
              <w:rPr>
                <w:color w:val="000000" w:themeColor="text1"/>
                <w:sz w:val="20"/>
                <w:szCs w:val="20"/>
                <w:lang w:val="en-AU" w:eastAsia="en-ID"/>
              </w:rPr>
              <w:t>d</w:t>
            </w:r>
            <w:r w:rsidRPr="00351A46">
              <w:rPr>
                <w:color w:val="000000" w:themeColor="text1"/>
                <w:sz w:val="20"/>
                <w:szCs w:val="20"/>
                <w:lang w:val="en-AU" w:eastAsia="en-ID"/>
              </w:rPr>
              <w:t xml:space="preserve">irectorates. Use this process to open up dialogue on how these studies have been used in the past and identify ways to improve. </w:t>
            </w:r>
          </w:p>
          <w:p w14:paraId="69338F66" w14:textId="77777777" w:rsidR="004A1B48" w:rsidRPr="001C1496" w:rsidRDefault="004A1B48" w:rsidP="001C1496">
            <w:pPr>
              <w:numPr>
                <w:ilvl w:val="1"/>
                <w:numId w:val="0"/>
              </w:numPr>
              <w:rPr>
                <w:rFonts w:eastAsiaTheme="minorEastAsia"/>
                <w:color w:val="000000" w:themeColor="text1"/>
                <w:spacing w:val="15"/>
                <w:sz w:val="16"/>
                <w:szCs w:val="20"/>
                <w:lang w:val="en-AU" w:eastAsia="en-ID"/>
              </w:rPr>
            </w:pPr>
          </w:p>
          <w:p w14:paraId="7A1118F6" w14:textId="0B89E699" w:rsidR="004A1B48" w:rsidRPr="00351A46" w:rsidRDefault="004A1B48" w:rsidP="001C1496">
            <w:pPr>
              <w:rPr>
                <w:color w:val="000000" w:themeColor="text1"/>
                <w:sz w:val="20"/>
                <w:szCs w:val="20"/>
                <w:lang w:val="en-AU" w:eastAsia="en-ID"/>
              </w:rPr>
            </w:pPr>
            <w:r w:rsidRPr="00351A46">
              <w:rPr>
                <w:i/>
                <w:color w:val="000000" w:themeColor="text1"/>
                <w:sz w:val="20"/>
                <w:szCs w:val="20"/>
                <w:lang w:val="en-AU" w:eastAsia="en-ID"/>
              </w:rPr>
              <w:t xml:space="preserve">Connect: </w:t>
            </w:r>
            <w:r w:rsidRPr="00351A46">
              <w:rPr>
                <w:color w:val="000000" w:themeColor="text1"/>
                <w:sz w:val="20"/>
                <w:szCs w:val="20"/>
                <w:lang w:val="en-AU" w:eastAsia="en-ID"/>
              </w:rPr>
              <w:t>Facilitate lin</w:t>
            </w:r>
            <w:r w:rsidR="00F512AF" w:rsidRPr="00351A46">
              <w:rPr>
                <w:color w:val="000000" w:themeColor="text1"/>
                <w:sz w:val="20"/>
                <w:szCs w:val="20"/>
                <w:lang w:val="en-AU" w:eastAsia="en-ID"/>
              </w:rPr>
              <w:t>k</w:t>
            </w:r>
            <w:r w:rsidRPr="00351A46">
              <w:rPr>
                <w:color w:val="000000" w:themeColor="text1"/>
                <w:sz w:val="20"/>
                <w:szCs w:val="20"/>
                <w:lang w:val="en-AU" w:eastAsia="en-ID"/>
              </w:rPr>
              <w:t>s between Bappenas and PRIs to fulfil key</w:t>
            </w:r>
            <w:r w:rsidR="00B73FEC" w:rsidRPr="00351A46">
              <w:rPr>
                <w:color w:val="000000" w:themeColor="text1"/>
                <w:sz w:val="20"/>
                <w:szCs w:val="20"/>
                <w:lang w:val="en-AU" w:eastAsia="en-ID"/>
              </w:rPr>
              <w:t xml:space="preserve"> research needs. Fund</w:t>
            </w:r>
            <w:r w:rsidRPr="00351A46">
              <w:rPr>
                <w:color w:val="000000" w:themeColor="text1"/>
                <w:sz w:val="20"/>
                <w:szCs w:val="20"/>
                <w:lang w:val="en-AU" w:eastAsia="en-ID"/>
              </w:rPr>
              <w:t xml:space="preserve"> PRIs to undertake nine studies for RPJMN 2020-2024.</w:t>
            </w:r>
          </w:p>
          <w:p w14:paraId="7CF79E8F" w14:textId="77777777" w:rsidR="004A1B48" w:rsidRPr="001C1496" w:rsidRDefault="004A1B48" w:rsidP="001C1496">
            <w:pPr>
              <w:numPr>
                <w:ilvl w:val="1"/>
                <w:numId w:val="0"/>
              </w:numPr>
              <w:ind w:left="720"/>
              <w:rPr>
                <w:rFonts w:eastAsiaTheme="minorEastAsia"/>
                <w:color w:val="000000" w:themeColor="text1"/>
                <w:spacing w:val="15"/>
                <w:sz w:val="16"/>
                <w:szCs w:val="20"/>
                <w:lang w:val="en-AU" w:eastAsia="en-ID"/>
              </w:rPr>
            </w:pPr>
          </w:p>
          <w:p w14:paraId="428AC444" w14:textId="7EFF312D" w:rsidR="00F512AF" w:rsidRPr="00351A46" w:rsidRDefault="004A1B48" w:rsidP="001C1496">
            <w:pPr>
              <w:rPr>
                <w:color w:val="000000" w:themeColor="text1"/>
                <w:sz w:val="20"/>
                <w:szCs w:val="20"/>
                <w:lang w:val="en-AU" w:eastAsia="en-ID"/>
              </w:rPr>
            </w:pPr>
            <w:r w:rsidRPr="00351A46">
              <w:rPr>
                <w:i/>
                <w:color w:val="000000" w:themeColor="text1"/>
                <w:sz w:val="20"/>
                <w:szCs w:val="20"/>
                <w:lang w:val="en-AU" w:eastAsia="en-ID"/>
              </w:rPr>
              <w:t xml:space="preserve">Initiate: </w:t>
            </w:r>
            <w:r w:rsidRPr="00351A46">
              <w:rPr>
                <w:color w:val="000000" w:themeColor="text1"/>
                <w:sz w:val="20"/>
                <w:szCs w:val="20"/>
                <w:lang w:val="en-AU" w:eastAsia="en-ID"/>
              </w:rPr>
              <w:t>Engage international partner</w:t>
            </w:r>
            <w:r w:rsidR="00F512AF" w:rsidRPr="00351A46">
              <w:rPr>
                <w:color w:val="000000" w:themeColor="text1"/>
                <w:sz w:val="20"/>
                <w:szCs w:val="20"/>
                <w:lang w:val="en-AU" w:eastAsia="en-ID"/>
              </w:rPr>
              <w:t>s</w:t>
            </w:r>
            <w:r w:rsidRPr="00351A46">
              <w:rPr>
                <w:color w:val="000000" w:themeColor="text1"/>
                <w:sz w:val="20"/>
                <w:szCs w:val="20"/>
                <w:lang w:val="en-AU" w:eastAsia="en-ID"/>
              </w:rPr>
              <w:t xml:space="preserve"> to build Bappenas</w:t>
            </w:r>
            <w:r w:rsidR="00F512AF" w:rsidRPr="00351A46">
              <w:rPr>
                <w:color w:val="000000" w:themeColor="text1"/>
                <w:sz w:val="20"/>
                <w:szCs w:val="20"/>
                <w:lang w:val="en-AU" w:eastAsia="en-ID"/>
              </w:rPr>
              <w:t>’</w:t>
            </w:r>
            <w:r w:rsidRPr="00351A46">
              <w:rPr>
                <w:color w:val="000000" w:themeColor="text1"/>
                <w:sz w:val="20"/>
                <w:szCs w:val="20"/>
                <w:lang w:val="en-AU" w:eastAsia="en-ID"/>
              </w:rPr>
              <w:t xml:space="preserve"> understanding of and demand for quality research and facilitate learning by doing through nine commissioned studies. </w:t>
            </w:r>
          </w:p>
        </w:tc>
        <w:tc>
          <w:tcPr>
            <w:tcW w:w="2845" w:type="dxa"/>
            <w:shd w:val="clear" w:color="auto" w:fill="FFF2CC" w:themeFill="accent4" w:themeFillTint="33"/>
          </w:tcPr>
          <w:p w14:paraId="60984955" w14:textId="26D7ECE1"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Improved practice in producing nine studies to inform RPJMN (i</w:t>
            </w:r>
            <w:r w:rsidR="00F512AF" w:rsidRPr="00351A46">
              <w:rPr>
                <w:color w:val="000000" w:themeColor="text1"/>
                <w:sz w:val="20"/>
                <w:szCs w:val="20"/>
                <w:lang w:val="en-AU" w:eastAsia="en-ID"/>
              </w:rPr>
              <w:t>.</w:t>
            </w:r>
            <w:r w:rsidRPr="00351A46">
              <w:rPr>
                <w:color w:val="000000" w:themeColor="text1"/>
                <w:sz w:val="20"/>
                <w:szCs w:val="20"/>
                <w:lang w:val="en-AU" w:eastAsia="en-ID"/>
              </w:rPr>
              <w:t>e</w:t>
            </w:r>
            <w:r w:rsidR="00F512AF" w:rsidRPr="00351A46">
              <w:rPr>
                <w:color w:val="000000" w:themeColor="text1"/>
                <w:sz w:val="20"/>
                <w:szCs w:val="20"/>
                <w:lang w:val="en-AU" w:eastAsia="en-ID"/>
              </w:rPr>
              <w:t>.</w:t>
            </w:r>
            <w:r w:rsidRPr="00351A46">
              <w:rPr>
                <w:color w:val="000000" w:themeColor="text1"/>
                <w:sz w:val="20"/>
                <w:szCs w:val="20"/>
                <w:lang w:val="en-AU" w:eastAsia="en-ID"/>
              </w:rPr>
              <w:t xml:space="preserve"> clearer research questions, better communication between PRIs and policymakers</w:t>
            </w:r>
            <w:r w:rsidR="00F512AF" w:rsidRPr="00351A46">
              <w:rPr>
                <w:color w:val="000000" w:themeColor="text1"/>
                <w:sz w:val="20"/>
                <w:szCs w:val="20"/>
                <w:lang w:val="en-AU" w:eastAsia="en-ID"/>
              </w:rPr>
              <w:t>,</w:t>
            </w:r>
            <w:r w:rsidRPr="00351A46">
              <w:rPr>
                <w:color w:val="000000" w:themeColor="text1"/>
                <w:sz w:val="20"/>
                <w:szCs w:val="20"/>
                <w:lang w:val="en-AU" w:eastAsia="en-ID"/>
              </w:rPr>
              <w:t xml:space="preserve"> and facilitated discussions on findings with policymakers).</w:t>
            </w:r>
          </w:p>
          <w:p w14:paraId="4D42198B" w14:textId="77777777" w:rsidR="004A1B48" w:rsidRPr="001C1496" w:rsidRDefault="004A1B48" w:rsidP="001C1496">
            <w:pPr>
              <w:numPr>
                <w:ilvl w:val="1"/>
                <w:numId w:val="0"/>
              </w:numPr>
              <w:rPr>
                <w:rFonts w:eastAsiaTheme="minorEastAsia"/>
                <w:color w:val="000000" w:themeColor="text1"/>
                <w:spacing w:val="15"/>
                <w:sz w:val="16"/>
                <w:szCs w:val="20"/>
                <w:lang w:val="en-AU" w:eastAsia="en-ID"/>
              </w:rPr>
            </w:pPr>
          </w:p>
          <w:p w14:paraId="7BDAD743" w14:textId="77777777"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 xml:space="preserve">New connections between Bappenas and PRIs. </w:t>
            </w:r>
          </w:p>
          <w:p w14:paraId="44A73B5F" w14:textId="77777777" w:rsidR="00F512AF" w:rsidRPr="001C1496" w:rsidRDefault="00F512AF" w:rsidP="001C1496">
            <w:pPr>
              <w:numPr>
                <w:ilvl w:val="1"/>
                <w:numId w:val="0"/>
              </w:numPr>
              <w:rPr>
                <w:rFonts w:eastAsiaTheme="minorEastAsia"/>
                <w:color w:val="000000" w:themeColor="text1"/>
                <w:spacing w:val="15"/>
                <w:sz w:val="16"/>
                <w:szCs w:val="20"/>
                <w:lang w:val="en-AU" w:eastAsia="en-ID"/>
              </w:rPr>
            </w:pPr>
          </w:p>
          <w:p w14:paraId="17227051" w14:textId="5E9D77DD"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 xml:space="preserve">Openings to improve existing practice are identified and </w:t>
            </w:r>
            <w:r w:rsidR="00F512AF" w:rsidRPr="00351A46">
              <w:rPr>
                <w:color w:val="000000" w:themeColor="text1"/>
                <w:sz w:val="20"/>
                <w:szCs w:val="20"/>
                <w:lang w:val="en-AU" w:eastAsia="en-ID"/>
              </w:rPr>
              <w:t xml:space="preserve">there is </w:t>
            </w:r>
            <w:r w:rsidRPr="00351A46">
              <w:rPr>
                <w:color w:val="000000" w:themeColor="text1"/>
                <w:sz w:val="20"/>
                <w:szCs w:val="20"/>
                <w:lang w:val="en-AU" w:eastAsia="en-ID"/>
              </w:rPr>
              <w:t>support from Bappenas to address these.</w:t>
            </w:r>
          </w:p>
          <w:p w14:paraId="1F3B9238" w14:textId="77777777" w:rsidR="004A1B48" w:rsidRPr="00381388" w:rsidRDefault="004A1B48" w:rsidP="001C1496">
            <w:pPr>
              <w:numPr>
                <w:ilvl w:val="1"/>
                <w:numId w:val="0"/>
              </w:numPr>
              <w:ind w:left="720"/>
              <w:rPr>
                <w:rFonts w:eastAsiaTheme="minorEastAsia"/>
                <w:color w:val="000000" w:themeColor="text1"/>
                <w:spacing w:val="15"/>
                <w:sz w:val="20"/>
                <w:szCs w:val="20"/>
                <w:lang w:val="en-AU" w:eastAsia="en-ID"/>
              </w:rPr>
            </w:pPr>
          </w:p>
        </w:tc>
      </w:tr>
      <w:tr w:rsidR="004A1B48" w:rsidRPr="00351A46" w14:paraId="74736B01" w14:textId="77777777" w:rsidTr="00444D54">
        <w:tc>
          <w:tcPr>
            <w:tcW w:w="10490" w:type="dxa"/>
            <w:gridSpan w:val="4"/>
            <w:shd w:val="clear" w:color="auto" w:fill="FFE599" w:themeFill="accent4" w:themeFillTint="66"/>
          </w:tcPr>
          <w:p w14:paraId="030B78BD" w14:textId="568CDB38" w:rsidR="004A1B48" w:rsidRPr="00351A46" w:rsidRDefault="00E5110F" w:rsidP="001C1496">
            <w:pPr>
              <w:keepNext/>
              <w:keepLines/>
              <w:spacing w:after="160"/>
              <w:contextualSpacing/>
              <w:jc w:val="center"/>
              <w:outlineLvl w:val="8"/>
              <w:rPr>
                <w:b/>
                <w:color w:val="000000" w:themeColor="text1"/>
                <w:sz w:val="20"/>
                <w:szCs w:val="20"/>
                <w:lang w:val="en-AU" w:eastAsia="en-ID"/>
              </w:rPr>
            </w:pPr>
            <w:r w:rsidRPr="00351A46">
              <w:rPr>
                <w:b/>
                <w:color w:val="000000" w:themeColor="text1"/>
                <w:sz w:val="20"/>
                <w:szCs w:val="20"/>
                <w:lang w:val="en-AU" w:eastAsia="en-ID"/>
              </w:rPr>
              <w:t>Key initiative</w:t>
            </w:r>
            <w:r w:rsidR="004A1B48" w:rsidRPr="00351A46">
              <w:rPr>
                <w:b/>
                <w:color w:val="000000" w:themeColor="text1"/>
                <w:sz w:val="20"/>
                <w:szCs w:val="20"/>
                <w:lang w:val="en-AU" w:eastAsia="en-ID"/>
              </w:rPr>
              <w:t>: Priva</w:t>
            </w:r>
            <w:r w:rsidR="00C74945" w:rsidRPr="00351A46">
              <w:rPr>
                <w:b/>
                <w:color w:val="000000" w:themeColor="text1"/>
                <w:sz w:val="20"/>
                <w:szCs w:val="20"/>
                <w:lang w:val="en-AU" w:eastAsia="en-ID"/>
              </w:rPr>
              <w:t>te sector engagement</w:t>
            </w:r>
          </w:p>
          <w:p w14:paraId="6A23A4BA" w14:textId="0783AA8E" w:rsidR="004A1B48" w:rsidRPr="00351A46" w:rsidRDefault="004A1B48" w:rsidP="001C1496">
            <w:pPr>
              <w:spacing w:after="160"/>
              <w:contextualSpacing/>
              <w:jc w:val="center"/>
              <w:rPr>
                <w:color w:val="000000" w:themeColor="text1"/>
                <w:sz w:val="20"/>
                <w:szCs w:val="20"/>
                <w:lang w:val="en-AU"/>
              </w:rPr>
            </w:pPr>
            <w:r w:rsidRPr="00351A46">
              <w:rPr>
                <w:color w:val="000000" w:themeColor="text1"/>
                <w:sz w:val="20"/>
                <w:szCs w:val="20"/>
                <w:lang w:val="en-AU"/>
              </w:rPr>
              <w:t>Understand barriers to and identify models for co-funding between</w:t>
            </w:r>
            <w:r w:rsidR="00F512AF" w:rsidRPr="00351A46">
              <w:rPr>
                <w:color w:val="000000" w:themeColor="text1"/>
                <w:sz w:val="20"/>
                <w:szCs w:val="20"/>
                <w:lang w:val="en-AU"/>
              </w:rPr>
              <w:t xml:space="preserve"> the</w:t>
            </w:r>
            <w:r w:rsidRPr="00351A46">
              <w:rPr>
                <w:color w:val="000000" w:themeColor="text1"/>
                <w:sz w:val="20"/>
                <w:szCs w:val="20"/>
                <w:lang w:val="en-AU"/>
              </w:rPr>
              <w:t xml:space="preserve"> private sector, government and research providers for quality policy research linked to </w:t>
            </w:r>
            <w:r w:rsidR="008E3CFA" w:rsidRPr="00351A46">
              <w:rPr>
                <w:color w:val="000000" w:themeColor="text1"/>
                <w:sz w:val="20"/>
                <w:szCs w:val="20"/>
                <w:lang w:val="en-AU"/>
              </w:rPr>
              <w:t xml:space="preserve">the </w:t>
            </w:r>
            <w:r w:rsidRPr="00351A46">
              <w:rPr>
                <w:color w:val="000000" w:themeColor="text1"/>
                <w:sz w:val="20"/>
                <w:szCs w:val="20"/>
                <w:lang w:val="en-AU"/>
              </w:rPr>
              <w:t>research agenda</w:t>
            </w:r>
            <w:r w:rsidR="00D0604A" w:rsidRPr="00351A46">
              <w:rPr>
                <w:color w:val="000000" w:themeColor="text1"/>
                <w:sz w:val="20"/>
                <w:szCs w:val="20"/>
                <w:lang w:val="en-AU"/>
              </w:rPr>
              <w:t xml:space="preserve">. </w:t>
            </w:r>
            <w:r w:rsidRPr="00351A46">
              <w:rPr>
                <w:color w:val="000000" w:themeColor="text1"/>
                <w:sz w:val="20"/>
                <w:szCs w:val="20"/>
                <w:lang w:val="en-AU"/>
              </w:rPr>
              <w:t>Engage with the private sector to increase funding for policy research.</w:t>
            </w:r>
          </w:p>
        </w:tc>
      </w:tr>
      <w:tr w:rsidR="004A1B48" w:rsidRPr="00351A46" w14:paraId="47FD3D8A" w14:textId="77777777" w:rsidTr="002906CE">
        <w:tc>
          <w:tcPr>
            <w:tcW w:w="1885" w:type="dxa"/>
            <w:shd w:val="clear" w:color="auto" w:fill="FFF2CC" w:themeFill="accent4" w:themeFillTint="33"/>
          </w:tcPr>
          <w:p w14:paraId="0ADD0ABD" w14:textId="74C2E3E2" w:rsidR="004A1B48" w:rsidRPr="00351A46" w:rsidRDefault="004A1B48" w:rsidP="001C1496">
            <w:pPr>
              <w:spacing w:after="160"/>
              <w:contextualSpacing/>
              <w:jc w:val="center"/>
              <w:rPr>
                <w:b/>
                <w:color w:val="000000" w:themeColor="text1"/>
                <w:sz w:val="20"/>
                <w:szCs w:val="20"/>
                <w:lang w:val="en-AU" w:eastAsia="en-ID"/>
              </w:rPr>
            </w:pPr>
            <w:r w:rsidRPr="00351A46">
              <w:rPr>
                <w:b/>
                <w:color w:val="000000" w:themeColor="text1"/>
                <w:sz w:val="20"/>
                <w:szCs w:val="20"/>
                <w:lang w:val="en-AU" w:eastAsia="en-ID"/>
              </w:rPr>
              <w:t>What needs to happen</w:t>
            </w:r>
            <w:r w:rsidR="00C74945" w:rsidRPr="00351A46">
              <w:rPr>
                <w:b/>
                <w:color w:val="000000" w:themeColor="text1"/>
                <w:sz w:val="20"/>
                <w:szCs w:val="20"/>
                <w:lang w:val="en-AU" w:eastAsia="en-ID"/>
              </w:rPr>
              <w:t xml:space="preserve"> by 2022</w:t>
            </w:r>
          </w:p>
        </w:tc>
        <w:tc>
          <w:tcPr>
            <w:tcW w:w="2250" w:type="dxa"/>
            <w:shd w:val="clear" w:color="auto" w:fill="FFF2CC" w:themeFill="accent4" w:themeFillTint="33"/>
          </w:tcPr>
          <w:p w14:paraId="5CF1B46C" w14:textId="75631FC3" w:rsidR="004A1B48" w:rsidRPr="00351A46" w:rsidRDefault="004A1B48" w:rsidP="001C1496">
            <w:pPr>
              <w:spacing w:after="160"/>
              <w:contextualSpacing/>
              <w:jc w:val="center"/>
              <w:rPr>
                <w:b/>
                <w:color w:val="000000" w:themeColor="text1"/>
                <w:sz w:val="20"/>
                <w:szCs w:val="20"/>
                <w:lang w:val="en-AU" w:eastAsia="en-ID"/>
              </w:rPr>
            </w:pPr>
            <w:r w:rsidRPr="00351A46">
              <w:rPr>
                <w:b/>
                <w:color w:val="000000" w:themeColor="text1"/>
                <w:sz w:val="20"/>
                <w:szCs w:val="20"/>
                <w:lang w:val="en-AU" w:eastAsia="en-ID"/>
              </w:rPr>
              <w:t xml:space="preserve">Critical </w:t>
            </w:r>
            <w:r w:rsidR="008E3CFA" w:rsidRPr="00351A46">
              <w:rPr>
                <w:b/>
                <w:color w:val="000000" w:themeColor="text1"/>
                <w:sz w:val="20"/>
                <w:szCs w:val="20"/>
                <w:lang w:val="en-AU" w:eastAsia="en-ID"/>
              </w:rPr>
              <w:t>s</w:t>
            </w:r>
            <w:r w:rsidRPr="00351A46">
              <w:rPr>
                <w:b/>
                <w:color w:val="000000" w:themeColor="text1"/>
                <w:sz w:val="20"/>
                <w:szCs w:val="20"/>
                <w:lang w:val="en-AU" w:eastAsia="en-ID"/>
              </w:rPr>
              <w:t xml:space="preserve">uccess </w:t>
            </w:r>
            <w:r w:rsidR="008E3CFA" w:rsidRPr="00351A46">
              <w:rPr>
                <w:b/>
                <w:color w:val="000000" w:themeColor="text1"/>
                <w:sz w:val="20"/>
                <w:szCs w:val="20"/>
                <w:lang w:val="en-AU" w:eastAsia="en-ID"/>
              </w:rPr>
              <w:t>f</w:t>
            </w:r>
            <w:r w:rsidRPr="00351A46">
              <w:rPr>
                <w:b/>
                <w:color w:val="000000" w:themeColor="text1"/>
                <w:sz w:val="20"/>
                <w:szCs w:val="20"/>
                <w:lang w:val="en-AU" w:eastAsia="en-ID"/>
              </w:rPr>
              <w:t>actors</w:t>
            </w:r>
          </w:p>
        </w:tc>
        <w:tc>
          <w:tcPr>
            <w:tcW w:w="3510" w:type="dxa"/>
            <w:shd w:val="clear" w:color="auto" w:fill="FFF2CC" w:themeFill="accent4" w:themeFillTint="33"/>
          </w:tcPr>
          <w:p w14:paraId="3FA3832D" w14:textId="77777777" w:rsidR="004A1B48" w:rsidRPr="00351A46" w:rsidRDefault="004A1B48" w:rsidP="001C1496">
            <w:pPr>
              <w:spacing w:after="160"/>
              <w:contextualSpacing/>
              <w:jc w:val="center"/>
              <w:rPr>
                <w:b/>
                <w:color w:val="000000" w:themeColor="text1"/>
                <w:sz w:val="20"/>
                <w:szCs w:val="20"/>
                <w:lang w:val="en-AU" w:eastAsia="en-ID"/>
              </w:rPr>
            </w:pPr>
            <w:r w:rsidRPr="00351A46">
              <w:rPr>
                <w:b/>
                <w:color w:val="000000" w:themeColor="text1"/>
                <w:sz w:val="20"/>
                <w:szCs w:val="20"/>
                <w:lang w:val="en-AU" w:eastAsia="en-ID"/>
              </w:rPr>
              <w:t>KSI’s role</w:t>
            </w:r>
          </w:p>
        </w:tc>
        <w:tc>
          <w:tcPr>
            <w:tcW w:w="2845" w:type="dxa"/>
            <w:shd w:val="clear" w:color="auto" w:fill="FFF2CC" w:themeFill="accent4" w:themeFillTint="33"/>
          </w:tcPr>
          <w:p w14:paraId="7EEC3D6B" w14:textId="77777777" w:rsidR="004A1B48" w:rsidRPr="00351A46" w:rsidRDefault="004A1B48" w:rsidP="001C1496">
            <w:pPr>
              <w:spacing w:after="160"/>
              <w:contextualSpacing/>
              <w:jc w:val="center"/>
              <w:rPr>
                <w:b/>
                <w:color w:val="000000" w:themeColor="text1"/>
                <w:sz w:val="20"/>
                <w:szCs w:val="20"/>
                <w:lang w:val="en-AU" w:eastAsia="en-ID"/>
              </w:rPr>
            </w:pPr>
            <w:r w:rsidRPr="00351A46">
              <w:rPr>
                <w:b/>
                <w:color w:val="000000" w:themeColor="text1"/>
                <w:sz w:val="20"/>
                <w:szCs w:val="20"/>
                <w:lang w:val="en-AU" w:eastAsia="en-ID"/>
              </w:rPr>
              <w:t>Expected outcomes for 2018</w:t>
            </w:r>
          </w:p>
        </w:tc>
      </w:tr>
      <w:tr w:rsidR="004A1B48" w:rsidRPr="00351A46" w14:paraId="29127968" w14:textId="77777777" w:rsidTr="002906CE">
        <w:trPr>
          <w:trHeight w:val="674"/>
        </w:trPr>
        <w:tc>
          <w:tcPr>
            <w:tcW w:w="1885" w:type="dxa"/>
            <w:shd w:val="clear" w:color="auto" w:fill="FFF2CC" w:themeFill="accent4" w:themeFillTint="33"/>
          </w:tcPr>
          <w:p w14:paraId="592EA0C9" w14:textId="76C674C5"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 xml:space="preserve">Strengthen links between PRIs, </w:t>
            </w:r>
            <w:r w:rsidR="008E3CFA" w:rsidRPr="00351A46">
              <w:rPr>
                <w:color w:val="000000" w:themeColor="text1"/>
                <w:sz w:val="20"/>
                <w:szCs w:val="20"/>
                <w:lang w:val="en-AU" w:eastAsia="en-ID"/>
              </w:rPr>
              <w:t xml:space="preserve">the </w:t>
            </w:r>
            <w:r w:rsidRPr="00351A46">
              <w:rPr>
                <w:color w:val="000000" w:themeColor="text1"/>
                <w:sz w:val="20"/>
                <w:szCs w:val="20"/>
                <w:lang w:val="en-AU" w:eastAsia="en-ID"/>
              </w:rPr>
              <w:t>private sector and government for policy research funding.</w:t>
            </w:r>
          </w:p>
          <w:p w14:paraId="6CDB2E10" w14:textId="77777777" w:rsidR="004A1B48" w:rsidRPr="001C1496" w:rsidRDefault="004A1B48" w:rsidP="001C1496">
            <w:pPr>
              <w:numPr>
                <w:ilvl w:val="1"/>
                <w:numId w:val="0"/>
              </w:numPr>
              <w:rPr>
                <w:color w:val="000000" w:themeColor="text1"/>
                <w:sz w:val="16"/>
                <w:szCs w:val="20"/>
                <w:lang w:val="en-AU" w:eastAsia="en-ID"/>
              </w:rPr>
            </w:pPr>
          </w:p>
          <w:p w14:paraId="2F82FCFF" w14:textId="61AE84F4"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Understand barriers to co-funding, different models available</w:t>
            </w:r>
            <w:r w:rsidR="00786120">
              <w:rPr>
                <w:color w:val="000000" w:themeColor="text1"/>
                <w:sz w:val="20"/>
                <w:szCs w:val="20"/>
                <w:lang w:val="en-AU" w:eastAsia="en-ID"/>
              </w:rPr>
              <w:t>,</w:t>
            </w:r>
            <w:r w:rsidRPr="00351A46">
              <w:rPr>
                <w:color w:val="000000" w:themeColor="text1"/>
                <w:sz w:val="20"/>
                <w:szCs w:val="20"/>
                <w:lang w:val="en-AU" w:eastAsia="en-ID"/>
              </w:rPr>
              <w:t xml:space="preserve"> and relevance to </w:t>
            </w:r>
            <w:r w:rsidR="008E3CFA" w:rsidRPr="00351A46">
              <w:rPr>
                <w:color w:val="000000" w:themeColor="text1"/>
                <w:sz w:val="20"/>
                <w:szCs w:val="20"/>
                <w:lang w:val="en-AU" w:eastAsia="en-ID"/>
              </w:rPr>
              <w:t xml:space="preserve">the </w:t>
            </w:r>
            <w:r w:rsidRPr="00351A46">
              <w:rPr>
                <w:color w:val="000000" w:themeColor="text1"/>
                <w:sz w:val="20"/>
                <w:szCs w:val="20"/>
                <w:lang w:val="en-AU" w:eastAsia="en-ID"/>
              </w:rPr>
              <w:t xml:space="preserve">Indonesian context. </w:t>
            </w:r>
          </w:p>
          <w:p w14:paraId="4F308CBD" w14:textId="77777777" w:rsidR="004A1B48" w:rsidRPr="001C1496" w:rsidRDefault="004A1B48" w:rsidP="001C1496">
            <w:pPr>
              <w:numPr>
                <w:ilvl w:val="1"/>
                <w:numId w:val="0"/>
              </w:numPr>
              <w:ind w:left="720"/>
              <w:rPr>
                <w:color w:val="000000" w:themeColor="text1"/>
                <w:sz w:val="16"/>
                <w:szCs w:val="20"/>
                <w:lang w:val="en-AU" w:eastAsia="en-ID"/>
              </w:rPr>
            </w:pPr>
          </w:p>
          <w:p w14:paraId="14942127" w14:textId="77777777"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 xml:space="preserve">Understand categories of private sector funding available for policy research. </w:t>
            </w:r>
          </w:p>
          <w:p w14:paraId="11C89DA0" w14:textId="77777777" w:rsidR="004A1B48" w:rsidRPr="001C1496" w:rsidRDefault="004A1B48" w:rsidP="001C1496">
            <w:pPr>
              <w:numPr>
                <w:ilvl w:val="1"/>
                <w:numId w:val="0"/>
              </w:numPr>
              <w:ind w:left="720"/>
              <w:rPr>
                <w:color w:val="000000" w:themeColor="text1"/>
                <w:sz w:val="16"/>
                <w:szCs w:val="20"/>
                <w:lang w:val="en-AU" w:eastAsia="en-ID"/>
              </w:rPr>
            </w:pPr>
          </w:p>
          <w:p w14:paraId="5853CF67" w14:textId="77777777"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 xml:space="preserve">Understand incentives for private sector funding of research. </w:t>
            </w:r>
          </w:p>
        </w:tc>
        <w:tc>
          <w:tcPr>
            <w:tcW w:w="2250" w:type="dxa"/>
            <w:shd w:val="clear" w:color="auto" w:fill="FFF2CC" w:themeFill="accent4" w:themeFillTint="33"/>
          </w:tcPr>
          <w:p w14:paraId="224878D0" w14:textId="46EB67C6"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Private sector, government</w:t>
            </w:r>
            <w:r w:rsidR="00F02AFD">
              <w:rPr>
                <w:color w:val="000000" w:themeColor="text1"/>
                <w:sz w:val="20"/>
                <w:szCs w:val="20"/>
                <w:lang w:val="en-AU" w:eastAsia="en-ID"/>
              </w:rPr>
              <w:t xml:space="preserve"> </w:t>
            </w:r>
            <w:r w:rsidRPr="00351A46">
              <w:rPr>
                <w:color w:val="000000" w:themeColor="text1"/>
                <w:sz w:val="20"/>
                <w:szCs w:val="20"/>
                <w:lang w:val="en-AU" w:eastAsia="en-ID"/>
              </w:rPr>
              <w:t>and PRIs better understand each other and are interested in engaging with each other (more likely around specific policy issues).</w:t>
            </w:r>
          </w:p>
          <w:p w14:paraId="514F8799" w14:textId="77777777" w:rsidR="004A1B48" w:rsidRPr="001C1496" w:rsidRDefault="004A1B48" w:rsidP="001C1496">
            <w:pPr>
              <w:numPr>
                <w:ilvl w:val="1"/>
                <w:numId w:val="0"/>
              </w:numPr>
              <w:rPr>
                <w:color w:val="000000" w:themeColor="text1"/>
                <w:sz w:val="16"/>
                <w:szCs w:val="20"/>
                <w:lang w:val="en-AU" w:eastAsia="en-ID"/>
              </w:rPr>
            </w:pPr>
          </w:p>
          <w:p w14:paraId="7311CFB9" w14:textId="77C7DF8B"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Incentives in place to encourage private sector investment in research (e</w:t>
            </w:r>
            <w:r w:rsidR="008E3CFA" w:rsidRPr="00351A46">
              <w:rPr>
                <w:color w:val="000000" w:themeColor="text1"/>
                <w:sz w:val="20"/>
                <w:szCs w:val="20"/>
                <w:lang w:val="en-AU" w:eastAsia="en-ID"/>
              </w:rPr>
              <w:t>.</w:t>
            </w:r>
            <w:r w:rsidRPr="00351A46">
              <w:rPr>
                <w:color w:val="000000" w:themeColor="text1"/>
                <w:sz w:val="20"/>
                <w:szCs w:val="20"/>
                <w:lang w:val="en-AU" w:eastAsia="en-ID"/>
              </w:rPr>
              <w:t>g</w:t>
            </w:r>
            <w:r w:rsidR="008E3CFA" w:rsidRPr="00351A46">
              <w:rPr>
                <w:color w:val="000000" w:themeColor="text1"/>
                <w:sz w:val="20"/>
                <w:szCs w:val="20"/>
                <w:lang w:val="en-AU" w:eastAsia="en-ID"/>
              </w:rPr>
              <w:t>.</w:t>
            </w:r>
            <w:r w:rsidRPr="00351A46">
              <w:rPr>
                <w:color w:val="000000" w:themeColor="text1"/>
                <w:sz w:val="20"/>
                <w:szCs w:val="20"/>
                <w:lang w:val="en-AU" w:eastAsia="en-ID"/>
              </w:rPr>
              <w:t xml:space="preserve"> tax).</w:t>
            </w:r>
          </w:p>
          <w:p w14:paraId="0D5ACF91" w14:textId="77777777" w:rsidR="004A1B48" w:rsidRPr="001C1496" w:rsidRDefault="004A1B48" w:rsidP="001C1496">
            <w:pPr>
              <w:numPr>
                <w:ilvl w:val="1"/>
                <w:numId w:val="0"/>
              </w:numPr>
              <w:rPr>
                <w:color w:val="000000" w:themeColor="text1"/>
                <w:sz w:val="16"/>
                <w:szCs w:val="20"/>
                <w:lang w:val="en-AU" w:eastAsia="en-ID"/>
              </w:rPr>
            </w:pPr>
          </w:p>
          <w:p w14:paraId="6FD99BC1" w14:textId="77777777"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 xml:space="preserve">Mechanisms to enable interaction between private sector, government and PRIs. </w:t>
            </w:r>
          </w:p>
          <w:p w14:paraId="0A393028" w14:textId="77777777" w:rsidR="004A1B48" w:rsidRPr="001C1496" w:rsidRDefault="004A1B48" w:rsidP="001C1496">
            <w:pPr>
              <w:numPr>
                <w:ilvl w:val="1"/>
                <w:numId w:val="0"/>
              </w:numPr>
              <w:rPr>
                <w:color w:val="000000" w:themeColor="text1"/>
                <w:sz w:val="16"/>
                <w:szCs w:val="20"/>
                <w:lang w:val="en-AU" w:eastAsia="en-ID"/>
              </w:rPr>
            </w:pPr>
          </w:p>
          <w:p w14:paraId="4EF91784" w14:textId="77777777"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 xml:space="preserve">Ethical issues surrounding private sector engagement in research are managed. </w:t>
            </w:r>
          </w:p>
          <w:p w14:paraId="45080A81" w14:textId="77777777" w:rsidR="004A1B48" w:rsidRPr="001C1496" w:rsidRDefault="004A1B48" w:rsidP="001C1496">
            <w:pPr>
              <w:numPr>
                <w:ilvl w:val="1"/>
                <w:numId w:val="0"/>
              </w:numPr>
              <w:rPr>
                <w:color w:val="000000" w:themeColor="text1"/>
                <w:sz w:val="20"/>
                <w:szCs w:val="20"/>
                <w:lang w:val="en-AU" w:eastAsia="en-ID"/>
              </w:rPr>
            </w:pPr>
          </w:p>
        </w:tc>
        <w:tc>
          <w:tcPr>
            <w:tcW w:w="3510" w:type="dxa"/>
            <w:shd w:val="clear" w:color="auto" w:fill="FFF2CC" w:themeFill="accent4" w:themeFillTint="33"/>
          </w:tcPr>
          <w:p w14:paraId="6087D1C0" w14:textId="444F6B64" w:rsidR="004A1B48" w:rsidRPr="00351A46" w:rsidRDefault="004A1B48" w:rsidP="001C1496">
            <w:pPr>
              <w:rPr>
                <w:color w:val="000000" w:themeColor="text1"/>
                <w:sz w:val="20"/>
                <w:szCs w:val="20"/>
                <w:lang w:val="en-AU" w:eastAsia="en-ID"/>
              </w:rPr>
            </w:pPr>
            <w:r w:rsidRPr="001C1496">
              <w:rPr>
                <w:color w:val="000000" w:themeColor="text1"/>
                <w:sz w:val="20"/>
                <w:szCs w:val="20"/>
                <w:lang w:val="en-AU" w:eastAsia="en-ID"/>
              </w:rPr>
              <w:t>Initiate</w:t>
            </w:r>
            <w:r w:rsidR="002850B8" w:rsidRPr="001C1496">
              <w:rPr>
                <w:color w:val="000000" w:themeColor="text1"/>
                <w:sz w:val="20"/>
                <w:szCs w:val="20"/>
                <w:lang w:val="en-AU" w:eastAsia="en-ID"/>
              </w:rPr>
              <w:t>, connect and align</w:t>
            </w:r>
            <w:r w:rsidRPr="001C1496">
              <w:rPr>
                <w:color w:val="000000" w:themeColor="text1"/>
                <w:sz w:val="20"/>
                <w:szCs w:val="20"/>
                <w:lang w:val="en-AU" w:eastAsia="en-ID"/>
              </w:rPr>
              <w:t>:</w:t>
            </w:r>
            <w:r w:rsidRPr="00351A46">
              <w:rPr>
                <w:color w:val="000000" w:themeColor="text1"/>
                <w:sz w:val="20"/>
                <w:szCs w:val="20"/>
                <w:lang w:val="en-AU" w:eastAsia="en-ID"/>
              </w:rPr>
              <w:t xml:space="preserve"> </w:t>
            </w:r>
            <w:r w:rsidR="008E3CFA" w:rsidRPr="00351A46">
              <w:rPr>
                <w:color w:val="000000" w:themeColor="text1"/>
                <w:sz w:val="20"/>
                <w:szCs w:val="20"/>
                <w:lang w:val="en-AU" w:eastAsia="en-ID"/>
              </w:rPr>
              <w:t>I</w:t>
            </w:r>
            <w:r w:rsidRPr="00351A46">
              <w:rPr>
                <w:color w:val="000000" w:themeColor="text1"/>
                <w:sz w:val="20"/>
                <w:szCs w:val="20"/>
                <w:lang w:val="en-AU" w:eastAsia="en-ID"/>
              </w:rPr>
              <w:t xml:space="preserve">ntroduce new ideas about co-funding models for policy research (including ethical issues) through funding studies, sharing international experiences and convening key actors. </w:t>
            </w:r>
          </w:p>
          <w:p w14:paraId="55869940" w14:textId="77777777" w:rsidR="004A1B48" w:rsidRPr="001C1496" w:rsidRDefault="004A1B48" w:rsidP="001C1496">
            <w:pPr>
              <w:numPr>
                <w:ilvl w:val="1"/>
                <w:numId w:val="0"/>
              </w:numPr>
              <w:rPr>
                <w:color w:val="000000" w:themeColor="text1"/>
                <w:sz w:val="16"/>
                <w:szCs w:val="20"/>
                <w:lang w:val="en-AU" w:eastAsia="en-ID"/>
              </w:rPr>
            </w:pPr>
          </w:p>
          <w:p w14:paraId="27B218AC" w14:textId="5D1881B3" w:rsidR="004A1B48" w:rsidRPr="001C1496" w:rsidRDefault="004A1B48" w:rsidP="001C1496">
            <w:pPr>
              <w:rPr>
                <w:color w:val="000000" w:themeColor="text1"/>
                <w:sz w:val="20"/>
                <w:szCs w:val="20"/>
                <w:lang w:val="en-AU" w:eastAsia="en-ID"/>
              </w:rPr>
            </w:pPr>
            <w:r w:rsidRPr="001C1496">
              <w:rPr>
                <w:color w:val="000000" w:themeColor="text1"/>
                <w:sz w:val="20"/>
                <w:szCs w:val="20"/>
                <w:lang w:val="en-AU" w:eastAsia="en-ID"/>
              </w:rPr>
              <w:t>Initiate:</w:t>
            </w:r>
            <w:r w:rsidRPr="00351A46">
              <w:rPr>
                <w:color w:val="000000" w:themeColor="text1"/>
                <w:sz w:val="20"/>
                <w:szCs w:val="20"/>
                <w:lang w:val="en-AU" w:eastAsia="en-ID"/>
              </w:rPr>
              <w:t xml:space="preserve"> </w:t>
            </w:r>
            <w:r w:rsidR="008E3CFA" w:rsidRPr="00351A46">
              <w:rPr>
                <w:color w:val="000000" w:themeColor="text1"/>
                <w:sz w:val="20"/>
                <w:szCs w:val="20"/>
                <w:lang w:val="en-AU" w:eastAsia="en-ID"/>
              </w:rPr>
              <w:t>I</w:t>
            </w:r>
            <w:r w:rsidRPr="00351A46">
              <w:rPr>
                <w:color w:val="000000" w:themeColor="text1"/>
                <w:sz w:val="20"/>
                <w:szCs w:val="20"/>
                <w:lang w:val="en-AU" w:eastAsia="en-ID"/>
              </w:rPr>
              <w:t xml:space="preserve">ntroduce ideas </w:t>
            </w:r>
            <w:r w:rsidR="00E643F5" w:rsidRPr="00351A46">
              <w:rPr>
                <w:color w:val="000000" w:themeColor="text1"/>
                <w:sz w:val="20"/>
                <w:szCs w:val="20"/>
                <w:lang w:val="en-AU" w:eastAsia="en-ID"/>
              </w:rPr>
              <w:t>for</w:t>
            </w:r>
            <w:r w:rsidR="008E3CFA" w:rsidRPr="00351A46">
              <w:rPr>
                <w:color w:val="000000" w:themeColor="text1"/>
                <w:sz w:val="20"/>
                <w:szCs w:val="20"/>
                <w:lang w:val="en-AU" w:eastAsia="en-ID"/>
              </w:rPr>
              <w:t xml:space="preserve"> </w:t>
            </w:r>
            <w:r w:rsidRPr="00351A46">
              <w:rPr>
                <w:color w:val="000000" w:themeColor="text1"/>
                <w:sz w:val="20"/>
                <w:szCs w:val="20"/>
                <w:lang w:val="en-AU" w:eastAsia="en-ID"/>
              </w:rPr>
              <w:t>address</w:t>
            </w:r>
            <w:r w:rsidR="00E643F5" w:rsidRPr="00351A46">
              <w:rPr>
                <w:color w:val="000000" w:themeColor="text1"/>
                <w:sz w:val="20"/>
                <w:szCs w:val="20"/>
                <w:lang w:val="en-AU" w:eastAsia="en-ID"/>
              </w:rPr>
              <w:t>ing</w:t>
            </w:r>
            <w:r w:rsidRPr="00351A46">
              <w:rPr>
                <w:color w:val="000000" w:themeColor="text1"/>
                <w:sz w:val="20"/>
                <w:szCs w:val="20"/>
                <w:lang w:val="en-AU" w:eastAsia="en-ID"/>
              </w:rPr>
              <w:t xml:space="preserve"> private sector incentives for funding policy research </w:t>
            </w:r>
            <w:r w:rsidR="008E3CFA" w:rsidRPr="00351A46">
              <w:rPr>
                <w:color w:val="000000" w:themeColor="text1"/>
                <w:sz w:val="20"/>
                <w:szCs w:val="20"/>
                <w:lang w:val="en-AU" w:eastAsia="en-ID"/>
              </w:rPr>
              <w:t xml:space="preserve">by </w:t>
            </w:r>
            <w:r w:rsidRPr="00351A46">
              <w:rPr>
                <w:color w:val="000000" w:themeColor="text1"/>
                <w:sz w:val="20"/>
                <w:szCs w:val="20"/>
                <w:lang w:val="en-AU" w:eastAsia="en-ID"/>
              </w:rPr>
              <w:t>funding scoping stud</w:t>
            </w:r>
            <w:r w:rsidR="008E3CFA" w:rsidRPr="00351A46">
              <w:rPr>
                <w:color w:val="000000" w:themeColor="text1"/>
                <w:sz w:val="20"/>
                <w:szCs w:val="20"/>
                <w:lang w:val="en-AU" w:eastAsia="en-ID"/>
              </w:rPr>
              <w:t>ies</w:t>
            </w:r>
            <w:r w:rsidRPr="00351A46">
              <w:rPr>
                <w:color w:val="000000" w:themeColor="text1"/>
                <w:sz w:val="20"/>
                <w:szCs w:val="20"/>
                <w:lang w:val="en-AU" w:eastAsia="en-ID"/>
              </w:rPr>
              <w:t xml:space="preserve"> and facilitating meetings. </w:t>
            </w:r>
          </w:p>
          <w:p w14:paraId="766951F4" w14:textId="77777777" w:rsidR="004A1B48" w:rsidRPr="001C1496" w:rsidRDefault="004A1B48" w:rsidP="001C1496">
            <w:pPr>
              <w:numPr>
                <w:ilvl w:val="1"/>
                <w:numId w:val="0"/>
              </w:numPr>
              <w:ind w:left="720"/>
              <w:rPr>
                <w:color w:val="000000" w:themeColor="text1"/>
                <w:sz w:val="16"/>
                <w:szCs w:val="20"/>
                <w:lang w:val="en-AU" w:eastAsia="en-ID"/>
              </w:rPr>
            </w:pPr>
          </w:p>
          <w:p w14:paraId="4179E4D1" w14:textId="2BEAEFDB" w:rsidR="004A1B48" w:rsidRPr="001C1496" w:rsidRDefault="004A1B48" w:rsidP="001C1496">
            <w:pPr>
              <w:rPr>
                <w:color w:val="000000" w:themeColor="text1"/>
                <w:sz w:val="16"/>
                <w:szCs w:val="20"/>
                <w:lang w:val="en-AU" w:eastAsia="en-ID"/>
              </w:rPr>
            </w:pPr>
            <w:r w:rsidRPr="001C1496">
              <w:rPr>
                <w:color w:val="000000" w:themeColor="text1"/>
                <w:sz w:val="20"/>
                <w:szCs w:val="20"/>
                <w:lang w:val="en-AU" w:eastAsia="en-ID"/>
              </w:rPr>
              <w:t>Connect</w:t>
            </w:r>
            <w:r w:rsidR="002850B8" w:rsidRPr="001C1496">
              <w:rPr>
                <w:color w:val="000000" w:themeColor="text1"/>
                <w:sz w:val="20"/>
                <w:szCs w:val="20"/>
                <w:lang w:val="en-AU" w:eastAsia="en-ID"/>
              </w:rPr>
              <w:t xml:space="preserve"> and align</w:t>
            </w:r>
            <w:r w:rsidRPr="001C1496">
              <w:rPr>
                <w:color w:val="000000" w:themeColor="text1"/>
                <w:sz w:val="20"/>
                <w:szCs w:val="20"/>
                <w:lang w:val="en-AU" w:eastAsia="en-ID"/>
              </w:rPr>
              <w:t>:</w:t>
            </w:r>
            <w:r w:rsidRPr="00351A46">
              <w:rPr>
                <w:color w:val="000000" w:themeColor="text1"/>
                <w:sz w:val="20"/>
                <w:szCs w:val="20"/>
                <w:lang w:val="en-AU" w:eastAsia="en-ID"/>
              </w:rPr>
              <w:t xml:space="preserve"> </w:t>
            </w:r>
            <w:r w:rsidR="008E3CFA" w:rsidRPr="00351A46">
              <w:rPr>
                <w:color w:val="000000" w:themeColor="text1"/>
                <w:sz w:val="20"/>
                <w:szCs w:val="20"/>
                <w:lang w:val="en-AU" w:eastAsia="en-ID"/>
              </w:rPr>
              <w:t>F</w:t>
            </w:r>
            <w:r w:rsidRPr="00351A46">
              <w:rPr>
                <w:color w:val="000000" w:themeColor="text1"/>
                <w:sz w:val="20"/>
                <w:szCs w:val="20"/>
                <w:lang w:val="en-AU" w:eastAsia="en-ID"/>
              </w:rPr>
              <w:t xml:space="preserve">und </w:t>
            </w:r>
            <w:r w:rsidRPr="001C1496">
              <w:rPr>
                <w:color w:val="000000" w:themeColor="text1"/>
                <w:sz w:val="20"/>
                <w:szCs w:val="20"/>
                <w:lang w:val="en-AU" w:eastAsia="en-ID"/>
              </w:rPr>
              <w:t>CCPHI</w:t>
            </w:r>
            <w:r w:rsidRPr="00351A46">
              <w:rPr>
                <w:color w:val="000000" w:themeColor="text1"/>
                <w:sz w:val="20"/>
                <w:szCs w:val="20"/>
                <w:lang w:val="en-AU" w:eastAsia="en-ID"/>
              </w:rPr>
              <w:t xml:space="preserve"> to convene </w:t>
            </w:r>
            <w:r w:rsidR="008E3CFA" w:rsidRPr="00351A46">
              <w:rPr>
                <w:color w:val="000000" w:themeColor="text1"/>
                <w:sz w:val="20"/>
                <w:szCs w:val="20"/>
                <w:lang w:val="en-AU" w:eastAsia="en-ID"/>
              </w:rPr>
              <w:t xml:space="preserve">a </w:t>
            </w:r>
            <w:r w:rsidRPr="00351A46">
              <w:rPr>
                <w:color w:val="000000" w:themeColor="text1"/>
                <w:sz w:val="20"/>
                <w:szCs w:val="20"/>
                <w:lang w:val="en-AU" w:eastAsia="en-ID"/>
              </w:rPr>
              <w:t>forum for private sector organisations, PRIs and gove</w:t>
            </w:r>
            <w:r w:rsidR="00E643F5" w:rsidRPr="00351A46">
              <w:rPr>
                <w:color w:val="000000" w:themeColor="text1"/>
                <w:sz w:val="20"/>
                <w:szCs w:val="20"/>
                <w:lang w:val="en-AU" w:eastAsia="en-ID"/>
              </w:rPr>
              <w:t>rnment officials to meet,</w:t>
            </w:r>
            <w:r w:rsidRPr="00351A46">
              <w:rPr>
                <w:color w:val="000000" w:themeColor="text1"/>
                <w:sz w:val="20"/>
                <w:szCs w:val="20"/>
                <w:lang w:val="en-AU" w:eastAsia="en-ID"/>
              </w:rPr>
              <w:t xml:space="preserve"> understand and align interests</w:t>
            </w:r>
            <w:r w:rsidR="00346129" w:rsidRPr="00351A46">
              <w:rPr>
                <w:color w:val="000000" w:themeColor="text1"/>
                <w:sz w:val="20"/>
                <w:szCs w:val="20"/>
                <w:lang w:val="en-AU" w:eastAsia="en-ID"/>
              </w:rPr>
              <w:t>,</w:t>
            </w:r>
            <w:r w:rsidRPr="00351A46">
              <w:rPr>
                <w:color w:val="000000" w:themeColor="text1"/>
                <w:sz w:val="20"/>
                <w:szCs w:val="20"/>
                <w:lang w:val="en-AU" w:eastAsia="en-ID"/>
              </w:rPr>
              <w:t xml:space="preserve"> and identify opportunities for research collaboration. </w:t>
            </w:r>
            <w:r w:rsidRPr="00351A46">
              <w:rPr>
                <w:color w:val="000000" w:themeColor="text1"/>
                <w:sz w:val="20"/>
                <w:szCs w:val="20"/>
                <w:lang w:val="en-AU" w:eastAsia="en-ID"/>
              </w:rPr>
              <w:br/>
            </w:r>
          </w:p>
          <w:p w14:paraId="7C4C0468" w14:textId="0B125D26" w:rsidR="004A1B48" w:rsidRPr="001C1496" w:rsidRDefault="004A1B48" w:rsidP="001C1496">
            <w:pPr>
              <w:rPr>
                <w:color w:val="000000" w:themeColor="text1"/>
                <w:sz w:val="20"/>
                <w:szCs w:val="20"/>
                <w:lang w:val="en-AU" w:eastAsia="en-ID"/>
              </w:rPr>
            </w:pPr>
            <w:r w:rsidRPr="001C1496">
              <w:rPr>
                <w:color w:val="000000" w:themeColor="text1"/>
                <w:sz w:val="20"/>
                <w:szCs w:val="20"/>
                <w:lang w:val="en-AU" w:eastAsia="en-ID"/>
              </w:rPr>
              <w:t xml:space="preserve">Accelerate: </w:t>
            </w:r>
            <w:r w:rsidR="008E3CFA" w:rsidRPr="00351A46">
              <w:rPr>
                <w:color w:val="000000" w:themeColor="text1"/>
                <w:sz w:val="20"/>
                <w:szCs w:val="20"/>
                <w:lang w:val="en-AU" w:eastAsia="en-ID"/>
              </w:rPr>
              <w:t>F</w:t>
            </w:r>
            <w:r w:rsidRPr="00351A46">
              <w:rPr>
                <w:color w:val="000000" w:themeColor="text1"/>
                <w:sz w:val="20"/>
                <w:szCs w:val="20"/>
                <w:lang w:val="en-AU" w:eastAsia="en-ID"/>
              </w:rPr>
              <w:t xml:space="preserve">und </w:t>
            </w:r>
            <w:r w:rsidRPr="001C1496">
              <w:rPr>
                <w:color w:val="000000" w:themeColor="text1"/>
                <w:sz w:val="20"/>
                <w:szCs w:val="20"/>
                <w:lang w:val="en-AU" w:eastAsia="en-ID"/>
              </w:rPr>
              <w:t>CIPG</w:t>
            </w:r>
            <w:r w:rsidRPr="00351A46">
              <w:rPr>
                <w:color w:val="000000" w:themeColor="text1"/>
                <w:sz w:val="20"/>
                <w:szCs w:val="20"/>
                <w:lang w:val="en-AU" w:eastAsia="en-ID"/>
              </w:rPr>
              <w:t xml:space="preserve"> to work with </w:t>
            </w:r>
            <w:r w:rsidRPr="00381388">
              <w:rPr>
                <w:color w:val="000000" w:themeColor="text1"/>
                <w:sz w:val="20"/>
                <w:szCs w:val="20"/>
                <w:lang w:val="en-AU" w:eastAsia="en-ID"/>
              </w:rPr>
              <w:t>Kem</w:t>
            </w:r>
            <w:r w:rsidR="00AC383E" w:rsidRPr="00381388">
              <w:rPr>
                <w:color w:val="000000" w:themeColor="text1"/>
                <w:sz w:val="20"/>
                <w:szCs w:val="20"/>
                <w:lang w:val="en-AU" w:eastAsia="en-ID"/>
              </w:rPr>
              <w:t>en</w:t>
            </w:r>
            <w:r w:rsidRPr="00381388">
              <w:rPr>
                <w:color w:val="000000" w:themeColor="text1"/>
                <w:sz w:val="20"/>
                <w:szCs w:val="20"/>
                <w:lang w:val="en-AU" w:eastAsia="en-ID"/>
              </w:rPr>
              <w:t>ristekdikti</w:t>
            </w:r>
            <w:r w:rsidRPr="00351A46">
              <w:rPr>
                <w:color w:val="000000" w:themeColor="text1"/>
                <w:sz w:val="20"/>
                <w:szCs w:val="20"/>
                <w:lang w:val="en-AU" w:eastAsia="en-ID"/>
              </w:rPr>
              <w:t xml:space="preserve"> to improve its measurement of levels of private sector funding for policy research</w:t>
            </w:r>
            <w:r w:rsidR="00D0604A" w:rsidRPr="00351A46">
              <w:rPr>
                <w:color w:val="000000" w:themeColor="text1"/>
                <w:sz w:val="20"/>
                <w:szCs w:val="20"/>
                <w:lang w:val="en-AU" w:eastAsia="en-ID"/>
              </w:rPr>
              <w:t xml:space="preserve">. </w:t>
            </w:r>
          </w:p>
          <w:p w14:paraId="0B520BDC" w14:textId="77777777" w:rsidR="004A1B48" w:rsidRPr="001C1496" w:rsidRDefault="004A1B48" w:rsidP="001C1496">
            <w:pPr>
              <w:numPr>
                <w:ilvl w:val="1"/>
                <w:numId w:val="0"/>
              </w:numPr>
              <w:ind w:left="720"/>
              <w:rPr>
                <w:color w:val="000000" w:themeColor="text1"/>
                <w:sz w:val="16"/>
                <w:szCs w:val="20"/>
                <w:lang w:val="en-AU" w:eastAsia="en-ID"/>
              </w:rPr>
            </w:pPr>
          </w:p>
          <w:p w14:paraId="659DB6FC" w14:textId="52FA7171" w:rsidR="004A1B48" w:rsidRPr="00351A46" w:rsidRDefault="004A1B48" w:rsidP="001C1496">
            <w:pPr>
              <w:rPr>
                <w:color w:val="000000" w:themeColor="text1"/>
                <w:sz w:val="20"/>
                <w:szCs w:val="20"/>
                <w:lang w:val="en-AU" w:eastAsia="en-ID"/>
              </w:rPr>
            </w:pPr>
            <w:r w:rsidRPr="001C1496">
              <w:rPr>
                <w:color w:val="000000" w:themeColor="text1"/>
                <w:sz w:val="20"/>
                <w:szCs w:val="20"/>
                <w:lang w:val="en-AU" w:eastAsia="en-ID"/>
              </w:rPr>
              <w:t>Amplify:</w:t>
            </w:r>
            <w:r w:rsidRPr="00351A46">
              <w:rPr>
                <w:color w:val="000000" w:themeColor="text1"/>
                <w:sz w:val="20"/>
                <w:szCs w:val="20"/>
                <w:lang w:val="en-AU" w:eastAsia="en-ID"/>
              </w:rPr>
              <w:t xml:space="preserve"> Use media to build public awareness of private sector funding.</w:t>
            </w:r>
          </w:p>
        </w:tc>
        <w:tc>
          <w:tcPr>
            <w:tcW w:w="2845" w:type="dxa"/>
            <w:shd w:val="clear" w:color="auto" w:fill="FFF2CC" w:themeFill="accent4" w:themeFillTint="33"/>
          </w:tcPr>
          <w:p w14:paraId="6E81C6FF" w14:textId="04F54160"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Greater understanding and interest from selected government units and private sector organisations in developing co-funding models for policy research</w:t>
            </w:r>
            <w:r w:rsidR="00D0604A" w:rsidRPr="00351A46">
              <w:rPr>
                <w:color w:val="000000" w:themeColor="text1"/>
                <w:sz w:val="20"/>
                <w:szCs w:val="20"/>
                <w:lang w:val="en-AU" w:eastAsia="en-ID"/>
              </w:rPr>
              <w:t xml:space="preserve">. </w:t>
            </w:r>
          </w:p>
          <w:p w14:paraId="03BC2298" w14:textId="77777777" w:rsidR="004A1B48" w:rsidRPr="001C1496" w:rsidRDefault="004A1B48" w:rsidP="001C1496">
            <w:pPr>
              <w:numPr>
                <w:ilvl w:val="1"/>
                <w:numId w:val="0"/>
              </w:numPr>
              <w:rPr>
                <w:color w:val="000000" w:themeColor="text1"/>
                <w:sz w:val="16"/>
                <w:szCs w:val="20"/>
                <w:lang w:val="en-AU" w:eastAsia="en-ID"/>
              </w:rPr>
            </w:pPr>
          </w:p>
          <w:p w14:paraId="6387E1BB" w14:textId="4FD9BA8B"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Improved understanding of incentives for private sector funding of research</w:t>
            </w:r>
            <w:r w:rsidR="00D0604A" w:rsidRPr="00351A46">
              <w:rPr>
                <w:color w:val="000000" w:themeColor="text1"/>
                <w:sz w:val="20"/>
                <w:szCs w:val="20"/>
                <w:lang w:val="en-AU" w:eastAsia="en-ID"/>
              </w:rPr>
              <w:t xml:space="preserve">. </w:t>
            </w:r>
          </w:p>
          <w:p w14:paraId="6EEBABD5" w14:textId="77777777" w:rsidR="004A1B48" w:rsidRPr="001C1496" w:rsidRDefault="004A1B48" w:rsidP="001C1496">
            <w:pPr>
              <w:numPr>
                <w:ilvl w:val="1"/>
                <w:numId w:val="0"/>
              </w:numPr>
              <w:ind w:left="720"/>
              <w:rPr>
                <w:color w:val="000000" w:themeColor="text1"/>
                <w:sz w:val="16"/>
                <w:szCs w:val="20"/>
                <w:lang w:val="en-AU" w:eastAsia="en-ID"/>
              </w:rPr>
            </w:pPr>
          </w:p>
          <w:p w14:paraId="622BEF9B" w14:textId="2DB9860B" w:rsidR="004A1B48" w:rsidRPr="00351A46" w:rsidRDefault="005B6A43" w:rsidP="001C1496">
            <w:pPr>
              <w:keepNext/>
              <w:keepLines/>
              <w:outlineLvl w:val="8"/>
              <w:rPr>
                <w:color w:val="000000" w:themeColor="text1"/>
                <w:sz w:val="20"/>
                <w:szCs w:val="20"/>
                <w:lang w:val="en-AU" w:eastAsia="en-ID"/>
              </w:rPr>
            </w:pPr>
            <w:r w:rsidRPr="00351A46">
              <w:rPr>
                <w:color w:val="000000" w:themeColor="text1"/>
                <w:sz w:val="20"/>
                <w:szCs w:val="20"/>
                <w:lang w:val="en-AU" w:eastAsia="en-ID"/>
              </w:rPr>
              <w:t>One to two</w:t>
            </w:r>
            <w:r w:rsidR="004A1B48" w:rsidRPr="00351A46">
              <w:rPr>
                <w:color w:val="000000" w:themeColor="text1"/>
                <w:sz w:val="20"/>
                <w:szCs w:val="20"/>
                <w:lang w:val="en-AU" w:eastAsia="en-ID"/>
              </w:rPr>
              <w:t xml:space="preserve"> targeted policy research collaborations between private sector organisations and PRIs. Lessons documented and shared. </w:t>
            </w:r>
          </w:p>
          <w:p w14:paraId="4A93F66F" w14:textId="77777777" w:rsidR="004A1B48" w:rsidRPr="001C1496" w:rsidRDefault="004A1B48" w:rsidP="001C1496">
            <w:pPr>
              <w:numPr>
                <w:ilvl w:val="1"/>
                <w:numId w:val="0"/>
              </w:numPr>
              <w:rPr>
                <w:color w:val="000000" w:themeColor="text1"/>
                <w:sz w:val="16"/>
                <w:szCs w:val="20"/>
                <w:lang w:val="en-AU" w:eastAsia="en-ID"/>
              </w:rPr>
            </w:pPr>
          </w:p>
          <w:p w14:paraId="2961D419" w14:textId="77777777" w:rsidR="004A1B48" w:rsidRPr="00351A46" w:rsidRDefault="004A1B48" w:rsidP="001C1496">
            <w:pPr>
              <w:rPr>
                <w:color w:val="000000" w:themeColor="text1"/>
                <w:sz w:val="20"/>
                <w:szCs w:val="20"/>
                <w:lang w:val="en-AU" w:eastAsia="en-ID"/>
              </w:rPr>
            </w:pPr>
            <w:r w:rsidRPr="00351A46">
              <w:rPr>
                <w:color w:val="000000" w:themeColor="text1"/>
                <w:sz w:val="20"/>
                <w:szCs w:val="20"/>
                <w:lang w:val="en-AU" w:eastAsia="en-ID"/>
              </w:rPr>
              <w:t xml:space="preserve">Improved measurements of private sector funding for policy research. </w:t>
            </w:r>
          </w:p>
        </w:tc>
      </w:tr>
    </w:tbl>
    <w:p w14:paraId="0802084D" w14:textId="51052D77" w:rsidR="000C42C1" w:rsidRPr="00351A46" w:rsidRDefault="000C42C1">
      <w:pPr>
        <w:pStyle w:val="Heading4"/>
        <w:rPr>
          <w:lang w:val="en-AU"/>
        </w:rPr>
        <w:sectPr w:rsidR="000C42C1" w:rsidRPr="00351A46" w:rsidSect="00AC383E">
          <w:pgSz w:w="11900" w:h="16850"/>
          <w:pgMar w:top="576" w:right="864" w:bottom="576" w:left="864" w:header="763" w:footer="0" w:gutter="0"/>
          <w:cols w:space="720"/>
          <w:docGrid w:linePitch="299"/>
        </w:sectPr>
      </w:pPr>
    </w:p>
    <w:p w14:paraId="0E7116AF" w14:textId="00D53D04" w:rsidR="00DB7B57" w:rsidRPr="001C1496" w:rsidRDefault="000D1AA1">
      <w:pPr>
        <w:pStyle w:val="Heading4"/>
        <w:rPr>
          <w:sz w:val="10"/>
          <w:lang w:val="en-AU"/>
        </w:rPr>
      </w:pPr>
      <w:r w:rsidRPr="00351A46">
        <w:rPr>
          <w:lang w:val="en-AU"/>
        </w:rPr>
        <w:t>EOPO 2: U</w:t>
      </w:r>
      <w:r w:rsidR="00DB7B57" w:rsidRPr="00351A46">
        <w:rPr>
          <w:lang w:val="en-AU"/>
        </w:rPr>
        <w:t xml:space="preserve">niversity lecturers </w:t>
      </w:r>
      <w:r w:rsidRPr="00351A46">
        <w:rPr>
          <w:lang w:val="en-AU"/>
        </w:rPr>
        <w:t xml:space="preserve">have better incentives </w:t>
      </w:r>
      <w:r w:rsidR="00DB7B57" w:rsidRPr="00351A46">
        <w:rPr>
          <w:lang w:val="en-AU"/>
        </w:rPr>
        <w:t>to produce quality policy research</w:t>
      </w:r>
      <w:r w:rsidR="00DB7B57" w:rsidRPr="00351A46">
        <w:rPr>
          <w:lang w:val="en-AU"/>
        </w:rPr>
        <w:br/>
      </w:r>
    </w:p>
    <w:p w14:paraId="237FE369" w14:textId="307EFA4D" w:rsidR="00DB7B57" w:rsidRPr="00351A46" w:rsidRDefault="00A86581">
      <w:pPr>
        <w:jc w:val="both"/>
        <w:rPr>
          <w:lang w:val="en-AU"/>
        </w:rPr>
      </w:pPr>
      <w:r w:rsidRPr="00381388">
        <w:rPr>
          <w:lang w:val="en-AU"/>
        </w:rPr>
        <w:t xml:space="preserve">There </w:t>
      </w:r>
      <w:r w:rsidR="001C7960" w:rsidRPr="00381388">
        <w:rPr>
          <w:lang w:val="en-AU"/>
        </w:rPr>
        <w:t>are</w:t>
      </w:r>
      <w:r w:rsidRPr="00381388">
        <w:rPr>
          <w:lang w:val="en-AU"/>
        </w:rPr>
        <w:t xml:space="preserve"> long-standing issues in Indonesia’s higher education system </w:t>
      </w:r>
      <w:r w:rsidR="00553F77">
        <w:rPr>
          <w:lang w:val="en-AU"/>
        </w:rPr>
        <w:t>that</w:t>
      </w:r>
      <w:r w:rsidR="00553F77" w:rsidRPr="00381388">
        <w:rPr>
          <w:lang w:val="en-AU"/>
        </w:rPr>
        <w:t xml:space="preserve"> </w:t>
      </w:r>
      <w:r w:rsidRPr="00381388">
        <w:rPr>
          <w:lang w:val="en-AU"/>
        </w:rPr>
        <w:t>require significant</w:t>
      </w:r>
      <w:r w:rsidRPr="00351A46">
        <w:rPr>
          <w:lang w:val="en-AU"/>
        </w:rPr>
        <w:t xml:space="preserve"> reform efforts. One key part of that system that impacts on the Knowledge Sector are the disincentives </w:t>
      </w:r>
      <w:r w:rsidR="008E351D" w:rsidRPr="00351A46">
        <w:rPr>
          <w:lang w:val="en-AU"/>
        </w:rPr>
        <w:t>within</w:t>
      </w:r>
      <w:r w:rsidR="00DB7B57" w:rsidRPr="00351A46">
        <w:rPr>
          <w:lang w:val="en-AU"/>
        </w:rPr>
        <w:t xml:space="preserve"> </w:t>
      </w:r>
      <w:r w:rsidRPr="00351A46">
        <w:rPr>
          <w:lang w:val="en-AU"/>
        </w:rPr>
        <w:t xml:space="preserve">the </w:t>
      </w:r>
      <w:r w:rsidR="008E351D" w:rsidRPr="00351A46">
        <w:rPr>
          <w:lang w:val="en-AU"/>
        </w:rPr>
        <w:t xml:space="preserve">sector </w:t>
      </w:r>
      <w:r w:rsidR="00632738" w:rsidRPr="00351A46">
        <w:rPr>
          <w:lang w:val="en-AU"/>
        </w:rPr>
        <w:t>for universities to produce</w:t>
      </w:r>
      <w:r w:rsidR="00DB7B57" w:rsidRPr="00351A46">
        <w:rPr>
          <w:lang w:val="en-AU"/>
        </w:rPr>
        <w:t xml:space="preserve"> quality and policy-relevant research to inform policy.</w:t>
      </w:r>
      <w:r w:rsidR="00DB7B57" w:rsidRPr="00351A46">
        <w:rPr>
          <w:vertAlign w:val="superscript"/>
          <w:lang w:val="en-AU"/>
        </w:rPr>
        <w:footnoteReference w:id="9"/>
      </w:r>
      <w:r w:rsidR="00DB7B57" w:rsidRPr="00351A46">
        <w:rPr>
          <w:lang w:val="en-AU"/>
        </w:rPr>
        <w:t xml:space="preserve"> </w:t>
      </w:r>
      <w:r w:rsidR="008E351D" w:rsidRPr="00351A46">
        <w:rPr>
          <w:lang w:val="en-AU"/>
        </w:rPr>
        <w:t xml:space="preserve">These disincentives are imposed by </w:t>
      </w:r>
      <w:r w:rsidR="00DB7B57" w:rsidRPr="00351A46">
        <w:rPr>
          <w:lang w:val="en-AU"/>
        </w:rPr>
        <w:t>government policy and regulations, as well as policies, systems and culture</w:t>
      </w:r>
      <w:r w:rsidR="00553F77">
        <w:rPr>
          <w:lang w:val="en-AU"/>
        </w:rPr>
        <w:t>s</w:t>
      </w:r>
      <w:r w:rsidR="00DB7B57" w:rsidRPr="00351A46">
        <w:rPr>
          <w:lang w:val="en-AU"/>
        </w:rPr>
        <w:t xml:space="preserve"> within universities. </w:t>
      </w:r>
      <w:r w:rsidR="008E351D" w:rsidRPr="00351A46">
        <w:rPr>
          <w:lang w:val="en-AU"/>
        </w:rPr>
        <w:t>This</w:t>
      </w:r>
      <w:r w:rsidR="00DB7B57" w:rsidRPr="00351A46">
        <w:rPr>
          <w:lang w:val="en-AU"/>
        </w:rPr>
        <w:t xml:space="preserve"> inhibit</w:t>
      </w:r>
      <w:r w:rsidR="008E351D" w:rsidRPr="00351A46">
        <w:rPr>
          <w:lang w:val="en-AU"/>
        </w:rPr>
        <w:t>s</w:t>
      </w:r>
      <w:r w:rsidR="00DB7B57" w:rsidRPr="00351A46">
        <w:rPr>
          <w:lang w:val="en-AU"/>
        </w:rPr>
        <w:t xml:space="preserve"> universities from being internationally competitive, with broader implications for the development of Indonesia’s knowledge economy.</w:t>
      </w:r>
    </w:p>
    <w:p w14:paraId="71C30CE9" w14:textId="3A19291E" w:rsidR="002E7F18" w:rsidRPr="00351A46" w:rsidRDefault="009A7ECB">
      <w:pPr>
        <w:spacing w:before="120"/>
        <w:jc w:val="both"/>
        <w:rPr>
          <w:i/>
          <w:lang w:val="en-AU"/>
        </w:rPr>
      </w:pPr>
      <w:r w:rsidRPr="00351A46">
        <w:rPr>
          <w:lang w:val="en-AU"/>
        </w:rPr>
        <w:t xml:space="preserve">There are a range of government policies and regulations </w:t>
      </w:r>
      <w:r w:rsidR="00E67CE7" w:rsidRPr="00351A46">
        <w:rPr>
          <w:lang w:val="en-AU"/>
        </w:rPr>
        <w:t xml:space="preserve">that </w:t>
      </w:r>
      <w:r w:rsidRPr="00351A46">
        <w:rPr>
          <w:lang w:val="en-AU"/>
        </w:rPr>
        <w:t>creat</w:t>
      </w:r>
      <w:r w:rsidR="00E67CE7" w:rsidRPr="00351A46">
        <w:rPr>
          <w:lang w:val="en-AU"/>
        </w:rPr>
        <w:t>e</w:t>
      </w:r>
      <w:r w:rsidRPr="00351A46">
        <w:rPr>
          <w:lang w:val="en-AU"/>
        </w:rPr>
        <w:t xml:space="preserve"> disincentives. </w:t>
      </w:r>
      <w:r w:rsidR="002E7F18" w:rsidRPr="00351A46">
        <w:rPr>
          <w:lang w:val="en-AU"/>
        </w:rPr>
        <w:t>However, the most significant barriers are created by</w:t>
      </w:r>
      <w:r w:rsidR="00553F77">
        <w:rPr>
          <w:lang w:val="en-AU"/>
        </w:rPr>
        <w:t xml:space="preserve"> the</w:t>
      </w:r>
      <w:r w:rsidR="002E7F18" w:rsidRPr="00351A46">
        <w:rPr>
          <w:lang w:val="en-AU"/>
        </w:rPr>
        <w:t xml:space="preserve"> implementation of the </w:t>
      </w:r>
      <w:r w:rsidR="0053000D" w:rsidRPr="00351A46">
        <w:rPr>
          <w:i/>
          <w:lang w:val="en-AU"/>
        </w:rPr>
        <w:t xml:space="preserve">Tridharma </w:t>
      </w:r>
      <w:r w:rsidR="0053000D" w:rsidRPr="00351A46">
        <w:rPr>
          <w:lang w:val="en-AU"/>
        </w:rPr>
        <w:t xml:space="preserve">policy, </w:t>
      </w:r>
      <w:r w:rsidR="002E7F18" w:rsidRPr="00351A46">
        <w:rPr>
          <w:lang w:val="en-AU"/>
        </w:rPr>
        <w:t xml:space="preserve">which requires all university lecturers to </w:t>
      </w:r>
      <w:r w:rsidR="0053000D" w:rsidRPr="00351A46">
        <w:rPr>
          <w:lang w:val="en-AU"/>
        </w:rPr>
        <w:t>play three roles</w:t>
      </w:r>
      <w:r w:rsidR="00E67CE7" w:rsidRPr="00351A46">
        <w:rPr>
          <w:lang w:val="en-AU"/>
        </w:rPr>
        <w:t>:</w:t>
      </w:r>
      <w:r w:rsidR="0053000D" w:rsidRPr="00351A46">
        <w:rPr>
          <w:lang w:val="en-AU"/>
        </w:rPr>
        <w:t xml:space="preserve"> teaching, research and community service. The </w:t>
      </w:r>
      <w:r w:rsidR="00E2052D" w:rsidRPr="00351A46">
        <w:rPr>
          <w:lang w:val="en-AU"/>
        </w:rPr>
        <w:t xml:space="preserve">lecturer </w:t>
      </w:r>
      <w:r w:rsidR="0053000D" w:rsidRPr="00351A46">
        <w:rPr>
          <w:lang w:val="en-AU"/>
        </w:rPr>
        <w:t>promotion policy (</w:t>
      </w:r>
      <w:r w:rsidR="0053000D" w:rsidRPr="00351A46">
        <w:rPr>
          <w:i/>
          <w:lang w:val="en-AU"/>
        </w:rPr>
        <w:t xml:space="preserve">kum </w:t>
      </w:r>
      <w:r w:rsidR="0053000D" w:rsidRPr="00351A46">
        <w:rPr>
          <w:lang w:val="en-AU"/>
        </w:rPr>
        <w:t xml:space="preserve">system) rewards career promotion on accumulation of </w:t>
      </w:r>
      <w:r w:rsidR="004C0EF7" w:rsidRPr="00351A46">
        <w:rPr>
          <w:lang w:val="en-AU"/>
        </w:rPr>
        <w:t>points but</w:t>
      </w:r>
      <w:r w:rsidR="0053000D" w:rsidRPr="00351A46">
        <w:rPr>
          <w:lang w:val="en-AU"/>
        </w:rPr>
        <w:t xml:space="preserve"> provides disproportionately more points for teaching </w:t>
      </w:r>
      <w:r w:rsidR="00346129" w:rsidRPr="00351A46">
        <w:rPr>
          <w:lang w:val="en-AU"/>
        </w:rPr>
        <w:t xml:space="preserve">than </w:t>
      </w:r>
      <w:r w:rsidR="002E7F18" w:rsidRPr="00351A46">
        <w:rPr>
          <w:lang w:val="en-AU"/>
        </w:rPr>
        <w:t xml:space="preserve">research and for international publications over policy research. This in turn creates incentives for universities, </w:t>
      </w:r>
      <w:r w:rsidR="00F02AFD">
        <w:rPr>
          <w:lang w:val="en-AU"/>
        </w:rPr>
        <w:t>as</w:t>
      </w:r>
      <w:r w:rsidR="00F02AFD" w:rsidRPr="00351A46">
        <w:rPr>
          <w:lang w:val="en-AU"/>
        </w:rPr>
        <w:t xml:space="preserve"> </w:t>
      </w:r>
      <w:r w:rsidR="002E7F18" w:rsidRPr="00351A46">
        <w:rPr>
          <w:lang w:val="en-AU"/>
        </w:rPr>
        <w:t xml:space="preserve">part of their accreditation level looks at the ranking of their staff, which in turn is determined by credits earned under the </w:t>
      </w:r>
      <w:r w:rsidR="002E7F18" w:rsidRPr="00424333">
        <w:rPr>
          <w:lang w:val="en-AU"/>
        </w:rPr>
        <w:t>Tridharma</w:t>
      </w:r>
      <w:r w:rsidR="002E7F18" w:rsidRPr="00351A46">
        <w:rPr>
          <w:lang w:val="en-AU"/>
        </w:rPr>
        <w:t xml:space="preserve"> system. Consequently, changes to this university </w:t>
      </w:r>
      <w:r w:rsidR="00FC248B" w:rsidRPr="00351A46">
        <w:rPr>
          <w:lang w:val="en-AU"/>
        </w:rPr>
        <w:t>promotion policy</w:t>
      </w:r>
      <w:r w:rsidR="002E7F18" w:rsidRPr="00351A46">
        <w:rPr>
          <w:lang w:val="en-AU"/>
        </w:rPr>
        <w:t xml:space="preserve"> can affect the incentives of individual lecturers as well as their </w:t>
      </w:r>
      <w:r w:rsidR="002E765B" w:rsidRPr="00351A46">
        <w:rPr>
          <w:lang w:val="en-AU"/>
        </w:rPr>
        <w:t>universities</w:t>
      </w:r>
      <w:r w:rsidR="002E7F18" w:rsidRPr="00351A46">
        <w:rPr>
          <w:lang w:val="en-AU"/>
        </w:rPr>
        <w:t xml:space="preserve">. </w:t>
      </w:r>
    </w:p>
    <w:p w14:paraId="6A892D5E" w14:textId="724B3C3C" w:rsidR="00324423" w:rsidRPr="00351A46" w:rsidRDefault="008D4C24">
      <w:pPr>
        <w:spacing w:before="120"/>
        <w:jc w:val="both"/>
        <w:rPr>
          <w:lang w:val="en-AU"/>
        </w:rPr>
      </w:pPr>
      <w:r w:rsidRPr="00351A46">
        <w:rPr>
          <w:lang w:val="en-AU"/>
        </w:rPr>
        <w:t>How universities translate and implement government policies and regulations may also affect incentives of university lecturers. In addition, many universities have the autonomy to determine their own internal policies, systems and processes</w:t>
      </w:r>
      <w:r w:rsidR="00553F77">
        <w:rPr>
          <w:lang w:val="en-AU"/>
        </w:rPr>
        <w:t>,</w:t>
      </w:r>
      <w:r w:rsidRPr="00351A46">
        <w:rPr>
          <w:lang w:val="en-AU"/>
        </w:rPr>
        <w:t xml:space="preserve"> which can create disincentives. For example, within universities </w:t>
      </w:r>
      <w:r w:rsidR="00FF4B44" w:rsidRPr="00351A46">
        <w:rPr>
          <w:lang w:val="en-AU"/>
        </w:rPr>
        <w:t xml:space="preserve">there is often </w:t>
      </w:r>
      <w:r w:rsidR="00E67CE7" w:rsidRPr="00351A46">
        <w:rPr>
          <w:lang w:val="en-AU"/>
        </w:rPr>
        <w:t>no</w:t>
      </w:r>
      <w:r w:rsidR="00FF4B44" w:rsidRPr="00351A46">
        <w:rPr>
          <w:lang w:val="en-AU"/>
        </w:rPr>
        <w:t xml:space="preserve"> peer review culture </w:t>
      </w:r>
      <w:r w:rsidR="00E67CE7" w:rsidRPr="00351A46">
        <w:rPr>
          <w:lang w:val="en-AU"/>
        </w:rPr>
        <w:t xml:space="preserve">or </w:t>
      </w:r>
      <w:r w:rsidR="00FF4B44" w:rsidRPr="00351A46">
        <w:rPr>
          <w:lang w:val="en-AU"/>
        </w:rPr>
        <w:t>mechanisms</w:t>
      </w:r>
      <w:r w:rsidR="00817975" w:rsidRPr="00351A46">
        <w:rPr>
          <w:lang w:val="en-AU"/>
        </w:rPr>
        <w:t xml:space="preserve"> for quality control</w:t>
      </w:r>
      <w:r w:rsidR="00DB599B" w:rsidRPr="00351A46">
        <w:rPr>
          <w:lang w:val="en-AU"/>
        </w:rPr>
        <w:t>.</w:t>
      </w:r>
      <w:r w:rsidR="00FF4B44" w:rsidRPr="00351A46">
        <w:rPr>
          <w:lang w:val="en-AU"/>
        </w:rPr>
        <w:t xml:space="preserve"> </w:t>
      </w:r>
      <w:r w:rsidR="00E67CE7" w:rsidRPr="00351A46">
        <w:rPr>
          <w:lang w:val="en-AU"/>
        </w:rPr>
        <w:t xml:space="preserve">As </w:t>
      </w:r>
      <w:r w:rsidR="00DB599B" w:rsidRPr="00351A46">
        <w:rPr>
          <w:lang w:val="en-AU"/>
        </w:rPr>
        <w:t xml:space="preserve">many universities’ main revenue source is teaching, </w:t>
      </w:r>
      <w:r w:rsidR="000C42C1" w:rsidRPr="00351A46">
        <w:rPr>
          <w:lang w:val="en-AU"/>
        </w:rPr>
        <w:t>the emphasis is</w:t>
      </w:r>
      <w:r w:rsidR="00C74945" w:rsidRPr="00351A46">
        <w:rPr>
          <w:lang w:val="en-AU"/>
        </w:rPr>
        <w:t xml:space="preserve"> more</w:t>
      </w:r>
      <w:r w:rsidR="000C42C1" w:rsidRPr="00351A46">
        <w:rPr>
          <w:lang w:val="en-AU"/>
        </w:rPr>
        <w:t xml:space="preserve"> on teaching </w:t>
      </w:r>
      <w:r w:rsidR="00E67CE7" w:rsidRPr="00351A46">
        <w:rPr>
          <w:lang w:val="en-AU"/>
        </w:rPr>
        <w:t xml:space="preserve">than </w:t>
      </w:r>
      <w:r w:rsidR="000C42C1" w:rsidRPr="00351A46">
        <w:rPr>
          <w:lang w:val="en-AU"/>
        </w:rPr>
        <w:t xml:space="preserve">research. </w:t>
      </w:r>
    </w:p>
    <w:p w14:paraId="7C43F095" w14:textId="77777777" w:rsidR="00DB7B57" w:rsidRPr="00351A46" w:rsidRDefault="00DB7B57">
      <w:pPr>
        <w:jc w:val="both"/>
        <w:rPr>
          <w:lang w:val="en-AU"/>
        </w:rPr>
      </w:pPr>
      <w:r w:rsidRPr="00351A46">
        <w:rPr>
          <w:lang w:val="en-AU"/>
        </w:rPr>
        <w:t>EOPO 2 seeks to address these issues and contribute to Focus Area 2 (quality of policy research) through two key strategies:</w:t>
      </w:r>
    </w:p>
    <w:p w14:paraId="5571823B" w14:textId="42FF499B" w:rsidR="00DB7B57" w:rsidRPr="00351A46" w:rsidRDefault="00DB7B57">
      <w:pPr>
        <w:numPr>
          <w:ilvl w:val="0"/>
          <w:numId w:val="12"/>
        </w:numPr>
        <w:spacing w:before="120"/>
        <w:contextualSpacing/>
        <w:jc w:val="both"/>
        <w:rPr>
          <w:lang w:val="en-AU"/>
        </w:rPr>
      </w:pPr>
      <w:r w:rsidRPr="00940F23">
        <w:rPr>
          <w:lang w:val="en-AU"/>
        </w:rPr>
        <w:t>Strengthening government policy/regulation and its implementati</w:t>
      </w:r>
      <w:r w:rsidR="001B2DD8" w:rsidRPr="00940F23">
        <w:rPr>
          <w:lang w:val="en-AU"/>
        </w:rPr>
        <w:t>on to create better</w:t>
      </w:r>
      <w:r w:rsidR="001B2DD8" w:rsidRPr="00351A46">
        <w:rPr>
          <w:lang w:val="en-AU"/>
        </w:rPr>
        <w:t xml:space="preserve"> incentives </w:t>
      </w:r>
      <w:r w:rsidRPr="00351A46">
        <w:rPr>
          <w:lang w:val="en-AU"/>
        </w:rPr>
        <w:t>for university lecturers to produce quality policy research</w:t>
      </w:r>
    </w:p>
    <w:p w14:paraId="7E9E063E" w14:textId="7BFC97B1" w:rsidR="00DB7B57" w:rsidRPr="00351A46" w:rsidRDefault="00DB7B57">
      <w:pPr>
        <w:numPr>
          <w:ilvl w:val="0"/>
          <w:numId w:val="12"/>
        </w:numPr>
        <w:spacing w:before="120"/>
        <w:contextualSpacing/>
        <w:jc w:val="both"/>
        <w:rPr>
          <w:lang w:val="en-AU"/>
        </w:rPr>
      </w:pPr>
      <w:r w:rsidRPr="00351A46">
        <w:rPr>
          <w:lang w:val="en-AU"/>
        </w:rPr>
        <w:t xml:space="preserve">Improving incentives within universities for lecturers to produce quality policy research, including for </w:t>
      </w:r>
      <w:r w:rsidR="00E67CE7" w:rsidRPr="00351A46">
        <w:rPr>
          <w:lang w:val="en-AU"/>
        </w:rPr>
        <w:t xml:space="preserve">female </w:t>
      </w:r>
      <w:r w:rsidRPr="00351A46">
        <w:rPr>
          <w:lang w:val="en-AU"/>
        </w:rPr>
        <w:t>academics and academics from socially</w:t>
      </w:r>
      <w:r w:rsidR="00E67CE7" w:rsidRPr="00351A46">
        <w:rPr>
          <w:lang w:val="en-AU"/>
        </w:rPr>
        <w:t xml:space="preserve"> </w:t>
      </w:r>
      <w:r w:rsidRPr="00351A46">
        <w:rPr>
          <w:lang w:val="en-AU"/>
        </w:rPr>
        <w:t>excluded groups.</w:t>
      </w:r>
    </w:p>
    <w:p w14:paraId="2454549E" w14:textId="18537223" w:rsidR="00324423" w:rsidRPr="00424333" w:rsidRDefault="00324423" w:rsidP="00424333">
      <w:pPr>
        <w:spacing w:after="0"/>
        <w:contextualSpacing/>
        <w:jc w:val="both"/>
        <w:rPr>
          <w:sz w:val="16"/>
          <w:lang w:val="en-AU"/>
        </w:rPr>
      </w:pPr>
    </w:p>
    <w:p w14:paraId="1ACF0D84" w14:textId="3C540D44" w:rsidR="003725C8" w:rsidRPr="00351A46" w:rsidRDefault="003725C8" w:rsidP="00424333">
      <w:pPr>
        <w:spacing w:after="0"/>
        <w:contextualSpacing/>
        <w:jc w:val="both"/>
        <w:rPr>
          <w:lang w:val="en-AU"/>
        </w:rPr>
      </w:pPr>
      <w:r w:rsidRPr="00351A46">
        <w:rPr>
          <w:lang w:val="en-AU"/>
        </w:rPr>
        <w:t>KSI will contribute to EOPO 2 through:</w:t>
      </w:r>
    </w:p>
    <w:p w14:paraId="69BA9D5B" w14:textId="37339735" w:rsidR="003725C8" w:rsidRPr="00424333" w:rsidRDefault="003725C8" w:rsidP="00424333">
      <w:pPr>
        <w:spacing w:after="0"/>
        <w:contextualSpacing/>
        <w:jc w:val="both"/>
        <w:rPr>
          <w:sz w:val="16"/>
          <w:lang w:val="en-AU"/>
        </w:rPr>
      </w:pPr>
    </w:p>
    <w:p w14:paraId="3943C7EC" w14:textId="77777777" w:rsidR="003725C8" w:rsidRPr="00351A46" w:rsidRDefault="003725C8" w:rsidP="00424333">
      <w:pPr>
        <w:spacing w:after="0"/>
        <w:contextualSpacing/>
        <w:jc w:val="both"/>
        <w:rPr>
          <w:i/>
          <w:lang w:val="en-AU"/>
        </w:rPr>
      </w:pPr>
      <w:r w:rsidRPr="00351A46">
        <w:rPr>
          <w:i/>
          <w:lang w:val="en-AU"/>
        </w:rPr>
        <w:t xml:space="preserve">Key Initiative 4: </w:t>
      </w:r>
      <w:r w:rsidR="00DB7B57" w:rsidRPr="00351A46">
        <w:rPr>
          <w:i/>
          <w:lang w:val="en-AU"/>
        </w:rPr>
        <w:t xml:space="preserve">University lecturer </w:t>
      </w:r>
      <w:r w:rsidR="00E67CE7" w:rsidRPr="00351A46">
        <w:rPr>
          <w:i/>
          <w:lang w:val="en-AU"/>
        </w:rPr>
        <w:t xml:space="preserve">– </w:t>
      </w:r>
      <w:r w:rsidR="00DB7B57" w:rsidRPr="00351A46">
        <w:rPr>
          <w:i/>
          <w:lang w:val="en-AU"/>
        </w:rPr>
        <w:t>incentives for quality research</w:t>
      </w:r>
    </w:p>
    <w:p w14:paraId="1E8E3796" w14:textId="77777777" w:rsidR="003725C8" w:rsidRPr="00424333" w:rsidRDefault="003725C8" w:rsidP="00424333">
      <w:pPr>
        <w:spacing w:after="0"/>
        <w:contextualSpacing/>
        <w:jc w:val="both"/>
        <w:rPr>
          <w:i/>
          <w:sz w:val="16"/>
          <w:lang w:val="en-AU"/>
        </w:rPr>
      </w:pPr>
    </w:p>
    <w:p w14:paraId="76412C70" w14:textId="334EBC47" w:rsidR="00D87AC2" w:rsidRPr="00351A46" w:rsidRDefault="00D67286">
      <w:pPr>
        <w:spacing w:before="120"/>
        <w:contextualSpacing/>
        <w:jc w:val="both"/>
        <w:rPr>
          <w:lang w:val="en-AU"/>
        </w:rPr>
      </w:pPr>
      <w:r w:rsidRPr="00351A46">
        <w:rPr>
          <w:lang w:val="en-AU"/>
        </w:rPr>
        <w:t>Reform within Indonesia’s higher education system is difficult, however there are small windows of opportunity to improve incentives for university lecturers to produce quality policy research through backing the efforts of reform-minded coalitions and by building</w:t>
      </w:r>
      <w:r w:rsidR="000625A9" w:rsidRPr="00351A46">
        <w:rPr>
          <w:lang w:val="en-AU"/>
        </w:rPr>
        <w:t xml:space="preserve"> on positive deviance examples. </w:t>
      </w:r>
      <w:r w:rsidRPr="00351A46">
        <w:rPr>
          <w:lang w:val="en-AU"/>
        </w:rPr>
        <w:t xml:space="preserve">This </w:t>
      </w:r>
      <w:r w:rsidR="00750414" w:rsidRPr="00351A46">
        <w:rPr>
          <w:lang w:val="en-AU"/>
        </w:rPr>
        <w:t xml:space="preserve">key initiative </w:t>
      </w:r>
      <w:r w:rsidRPr="00351A46">
        <w:rPr>
          <w:lang w:val="en-AU"/>
        </w:rPr>
        <w:t>is exploratory in that it seeks to implem</w:t>
      </w:r>
      <w:r w:rsidR="00015D3C" w:rsidRPr="00351A46">
        <w:rPr>
          <w:lang w:val="en-AU"/>
        </w:rPr>
        <w:t>ent a range of small activities</w:t>
      </w:r>
      <w:r w:rsidRPr="00351A46">
        <w:rPr>
          <w:lang w:val="en-AU"/>
        </w:rPr>
        <w:t xml:space="preserve"> to improve incentives for university lecturers. </w:t>
      </w:r>
      <w:r w:rsidR="000625A9" w:rsidRPr="00351A46">
        <w:rPr>
          <w:lang w:val="en-AU"/>
        </w:rPr>
        <w:t xml:space="preserve">There is a relatively high risk that these initiatives may not prove successful, given the difficult enabling environment. </w:t>
      </w:r>
      <w:r w:rsidRPr="00351A46">
        <w:rPr>
          <w:lang w:val="en-AU"/>
        </w:rPr>
        <w:t>KSI will c</w:t>
      </w:r>
      <w:r w:rsidR="00015D3C" w:rsidRPr="00351A46">
        <w:rPr>
          <w:lang w:val="en-AU"/>
        </w:rPr>
        <w:t xml:space="preserve">losely monitor these activities and at the end of 2018 a decision will be made </w:t>
      </w:r>
      <w:r w:rsidR="00750414">
        <w:rPr>
          <w:lang w:val="en-AU"/>
        </w:rPr>
        <w:t>on w</w:t>
      </w:r>
      <w:r w:rsidR="00015D3C" w:rsidRPr="00351A46">
        <w:rPr>
          <w:lang w:val="en-AU"/>
        </w:rPr>
        <w:t>hether to continue or</w:t>
      </w:r>
      <w:r w:rsidRPr="00351A46">
        <w:rPr>
          <w:lang w:val="en-AU"/>
        </w:rPr>
        <w:t xml:space="preserve"> scale up successful approaches and withdraw from unsuccessful ones. This process is also valuable in developing a deeper understanding of what does and does not work in improving incentives for university lecturers.</w:t>
      </w:r>
      <w:r w:rsidR="001D26E1" w:rsidRPr="00351A46">
        <w:rPr>
          <w:lang w:val="en-AU"/>
        </w:rPr>
        <w:t xml:space="preserve"> </w:t>
      </w:r>
    </w:p>
    <w:p w14:paraId="7A44F867" w14:textId="77777777" w:rsidR="00D67286" w:rsidRPr="00424333" w:rsidRDefault="00D67286">
      <w:pPr>
        <w:spacing w:before="120"/>
        <w:contextualSpacing/>
        <w:jc w:val="both"/>
        <w:rPr>
          <w:sz w:val="16"/>
          <w:lang w:val="en-AU"/>
        </w:rPr>
      </w:pPr>
    </w:p>
    <w:p w14:paraId="610E9E10" w14:textId="1336AAF7" w:rsidR="005300C3" w:rsidRPr="00351A46" w:rsidRDefault="00A164A1">
      <w:pPr>
        <w:spacing w:before="120"/>
        <w:contextualSpacing/>
        <w:jc w:val="both"/>
        <w:rPr>
          <w:lang w:val="en-AU"/>
        </w:rPr>
      </w:pPr>
      <w:r w:rsidRPr="00351A46">
        <w:rPr>
          <w:lang w:val="en-AU"/>
        </w:rPr>
        <w:t xml:space="preserve">Activities will focus on two streams: </w:t>
      </w:r>
    </w:p>
    <w:p w14:paraId="578E0A3D" w14:textId="1B71CDB1" w:rsidR="005300C3" w:rsidRPr="00351A46" w:rsidRDefault="005300C3">
      <w:pPr>
        <w:pStyle w:val="ListParagraph"/>
        <w:numPr>
          <w:ilvl w:val="0"/>
          <w:numId w:val="18"/>
        </w:numPr>
        <w:spacing w:before="120"/>
        <w:contextualSpacing w:val="0"/>
        <w:jc w:val="both"/>
        <w:rPr>
          <w:lang w:val="en-AU"/>
        </w:rPr>
      </w:pPr>
      <w:r w:rsidRPr="00351A46">
        <w:rPr>
          <w:i/>
          <w:lang w:val="en-AU"/>
        </w:rPr>
        <w:t>Addressing policy/regulatory barriers to incentivising universities to produce quality policy research.</w:t>
      </w:r>
      <w:r w:rsidRPr="00351A46">
        <w:rPr>
          <w:lang w:val="en-AU"/>
        </w:rPr>
        <w:t xml:space="preserve"> </w:t>
      </w:r>
      <w:r w:rsidR="00A02BC0" w:rsidRPr="00351A46">
        <w:rPr>
          <w:lang w:val="en-AU"/>
        </w:rPr>
        <w:t>Thi</w:t>
      </w:r>
      <w:r w:rsidR="00BF28E0" w:rsidRPr="00351A46">
        <w:rPr>
          <w:lang w:val="en-AU"/>
        </w:rPr>
        <w:t xml:space="preserve">s builds on work in KSI Phase 1 </w:t>
      </w:r>
      <w:r w:rsidR="00A02BC0" w:rsidRPr="00351A46">
        <w:rPr>
          <w:lang w:val="en-AU"/>
        </w:rPr>
        <w:t xml:space="preserve">supporting the Working Group on Research and Higher Education reform, which </w:t>
      </w:r>
      <w:r w:rsidR="00172590" w:rsidRPr="00351A46">
        <w:rPr>
          <w:lang w:val="en-AU"/>
        </w:rPr>
        <w:t xml:space="preserve">demonstrated </w:t>
      </w:r>
      <w:r w:rsidR="00750414">
        <w:rPr>
          <w:lang w:val="en-AU"/>
        </w:rPr>
        <w:t xml:space="preserve">that </w:t>
      </w:r>
      <w:r w:rsidR="00BF28E0" w:rsidRPr="00351A46">
        <w:rPr>
          <w:lang w:val="en-AU"/>
        </w:rPr>
        <w:t>change is possible by backing the effor</w:t>
      </w:r>
      <w:r w:rsidR="00AD6B96" w:rsidRPr="00351A46">
        <w:rPr>
          <w:lang w:val="en-AU"/>
        </w:rPr>
        <w:t>t</w:t>
      </w:r>
      <w:r w:rsidR="00BF28E0" w:rsidRPr="00351A46">
        <w:rPr>
          <w:lang w:val="en-AU"/>
        </w:rPr>
        <w:t xml:space="preserve">s of reform-minded stakeholders in the sector. During Phase 2, KSI will continue to </w:t>
      </w:r>
      <w:r w:rsidR="00750414">
        <w:rPr>
          <w:lang w:val="en-AU"/>
        </w:rPr>
        <w:t xml:space="preserve">engage </w:t>
      </w:r>
      <w:r w:rsidR="00E12250" w:rsidRPr="00351A46">
        <w:rPr>
          <w:lang w:val="en-AU"/>
        </w:rPr>
        <w:t xml:space="preserve">key stakeholders (many of whom were involved in the original </w:t>
      </w:r>
      <w:r w:rsidR="00F02AFD" w:rsidRPr="00351A46">
        <w:rPr>
          <w:lang w:val="en-AU"/>
        </w:rPr>
        <w:t>working group</w:t>
      </w:r>
      <w:r w:rsidR="00E12250" w:rsidRPr="00351A46">
        <w:rPr>
          <w:lang w:val="en-AU"/>
        </w:rPr>
        <w:t>) t</w:t>
      </w:r>
      <w:r w:rsidR="00BF28E0" w:rsidRPr="00351A46">
        <w:rPr>
          <w:lang w:val="en-AU"/>
        </w:rPr>
        <w:t xml:space="preserve">o </w:t>
      </w:r>
      <w:r w:rsidR="00DA4D0B" w:rsidRPr="00351A46">
        <w:rPr>
          <w:lang w:val="en-AU"/>
        </w:rPr>
        <w:t>address</w:t>
      </w:r>
      <w:r w:rsidR="00BF28E0" w:rsidRPr="00351A46">
        <w:rPr>
          <w:lang w:val="en-AU"/>
        </w:rPr>
        <w:t xml:space="preserve"> key policy/regulatory barriers</w:t>
      </w:r>
      <w:r w:rsidR="002D3D7D" w:rsidRPr="00351A46">
        <w:rPr>
          <w:lang w:val="en-AU"/>
        </w:rPr>
        <w:t xml:space="preserve"> and where necessary the implementation of these.</w:t>
      </w:r>
      <w:r w:rsidR="00E12250" w:rsidRPr="00351A46">
        <w:rPr>
          <w:lang w:val="en-AU"/>
        </w:rPr>
        <w:t xml:space="preserve"> Policy/regulatory changes that key stakeholders would like to pursue with KSI support are:</w:t>
      </w:r>
      <w:r w:rsidR="001D26E1" w:rsidRPr="00351A46">
        <w:rPr>
          <w:lang w:val="en-AU"/>
        </w:rPr>
        <w:t xml:space="preserve"> </w:t>
      </w:r>
    </w:p>
    <w:p w14:paraId="56A78D76" w14:textId="33545D21" w:rsidR="007341FA" w:rsidRPr="00351A46" w:rsidRDefault="00BB40C2">
      <w:pPr>
        <w:pStyle w:val="ListParagraph"/>
        <w:numPr>
          <w:ilvl w:val="1"/>
          <w:numId w:val="18"/>
        </w:numPr>
        <w:spacing w:before="120"/>
        <w:contextualSpacing w:val="0"/>
        <w:jc w:val="both"/>
        <w:rPr>
          <w:lang w:val="en-AU"/>
        </w:rPr>
      </w:pPr>
      <w:r w:rsidRPr="00351A46">
        <w:rPr>
          <w:i/>
          <w:lang w:val="en-AU"/>
        </w:rPr>
        <w:t xml:space="preserve">Regulations governing the </w:t>
      </w:r>
      <w:r w:rsidR="00FC248B" w:rsidRPr="00351A46">
        <w:rPr>
          <w:i/>
          <w:lang w:val="en-AU"/>
        </w:rPr>
        <w:t>university promotion system</w:t>
      </w:r>
      <w:r w:rsidR="007341FA" w:rsidRPr="00351A46">
        <w:rPr>
          <w:i/>
          <w:lang w:val="en-AU"/>
        </w:rPr>
        <w:t xml:space="preserve"> –</w:t>
      </w:r>
      <w:r w:rsidR="00355475" w:rsidRPr="00351A46">
        <w:rPr>
          <w:i/>
          <w:lang w:val="en-AU"/>
        </w:rPr>
        <w:t xml:space="preserve"> </w:t>
      </w:r>
      <w:r w:rsidR="00CC0B0A" w:rsidRPr="00351A46">
        <w:rPr>
          <w:lang w:val="en-AU"/>
        </w:rPr>
        <w:t xml:space="preserve">The </w:t>
      </w:r>
      <w:r w:rsidRPr="00351A46">
        <w:rPr>
          <w:lang w:val="en-AU"/>
        </w:rPr>
        <w:t xml:space="preserve">proposed changes to these regulations </w:t>
      </w:r>
      <w:r w:rsidR="00750414">
        <w:rPr>
          <w:lang w:val="en-AU"/>
        </w:rPr>
        <w:t>are</w:t>
      </w:r>
      <w:r w:rsidR="00750414" w:rsidRPr="00351A46">
        <w:rPr>
          <w:lang w:val="en-AU"/>
        </w:rPr>
        <w:t xml:space="preserve"> </w:t>
      </w:r>
      <w:r w:rsidRPr="00351A46">
        <w:rPr>
          <w:lang w:val="en-AU"/>
        </w:rPr>
        <w:t xml:space="preserve">to amend </w:t>
      </w:r>
      <w:r w:rsidR="007341FA" w:rsidRPr="00351A46">
        <w:rPr>
          <w:lang w:val="en-AU"/>
        </w:rPr>
        <w:t xml:space="preserve">the definition of </w:t>
      </w:r>
      <w:r w:rsidRPr="00351A46">
        <w:rPr>
          <w:lang w:val="en-AU"/>
        </w:rPr>
        <w:t xml:space="preserve">the </w:t>
      </w:r>
      <w:r w:rsidR="007341FA" w:rsidRPr="00351A46">
        <w:rPr>
          <w:lang w:val="en-AU"/>
        </w:rPr>
        <w:t xml:space="preserve">community service arm </w:t>
      </w:r>
      <w:r w:rsidRPr="00351A46">
        <w:rPr>
          <w:lang w:val="en-AU"/>
        </w:rPr>
        <w:t xml:space="preserve">of the </w:t>
      </w:r>
      <w:r w:rsidRPr="00424333">
        <w:rPr>
          <w:lang w:val="en-AU"/>
        </w:rPr>
        <w:t>Tridharma</w:t>
      </w:r>
      <w:r w:rsidRPr="00351A46">
        <w:rPr>
          <w:i/>
          <w:lang w:val="en-AU"/>
        </w:rPr>
        <w:t xml:space="preserve"> </w:t>
      </w:r>
      <w:r w:rsidRPr="00351A46">
        <w:rPr>
          <w:lang w:val="en-AU"/>
        </w:rPr>
        <w:t xml:space="preserve">system </w:t>
      </w:r>
      <w:r w:rsidR="007341FA" w:rsidRPr="00351A46">
        <w:rPr>
          <w:lang w:val="en-AU"/>
        </w:rPr>
        <w:t>to include producing a policy brief. The changes would mandate that at least 10</w:t>
      </w:r>
      <w:r w:rsidR="001D26E1" w:rsidRPr="00351A46">
        <w:rPr>
          <w:lang w:val="en-AU"/>
        </w:rPr>
        <w:t xml:space="preserve"> percent</w:t>
      </w:r>
      <w:r w:rsidR="007341FA" w:rsidRPr="00351A46">
        <w:rPr>
          <w:lang w:val="en-AU"/>
        </w:rPr>
        <w:t xml:space="preserve"> of a lecturer’s credit points must come from the community service arm. Previously it was not mandatory for a lecturer to show points in the community service arm. </w:t>
      </w:r>
      <w:r w:rsidR="00BD39FC" w:rsidRPr="00351A46">
        <w:rPr>
          <w:lang w:val="en-AU"/>
        </w:rPr>
        <w:t xml:space="preserve">KSI will support this process as a starting point to explore </w:t>
      </w:r>
      <w:r w:rsidR="007341FA" w:rsidRPr="00351A46">
        <w:rPr>
          <w:lang w:val="en-AU"/>
        </w:rPr>
        <w:t xml:space="preserve">with the </w:t>
      </w:r>
      <w:r w:rsidR="00750414" w:rsidRPr="00351A46">
        <w:rPr>
          <w:lang w:val="en-AU"/>
        </w:rPr>
        <w:t xml:space="preserve">working group </w:t>
      </w:r>
      <w:r w:rsidR="007341FA" w:rsidRPr="00351A46">
        <w:rPr>
          <w:lang w:val="en-AU"/>
        </w:rPr>
        <w:t>other possible avenues for amending the university lecturer credit system regulations to better incentivise quality policy research.</w:t>
      </w:r>
      <w:r w:rsidR="001D26E1" w:rsidRPr="00351A46">
        <w:rPr>
          <w:lang w:val="en-AU"/>
        </w:rPr>
        <w:t xml:space="preserve"> </w:t>
      </w:r>
      <w:r w:rsidR="005265FF" w:rsidRPr="00351A46">
        <w:rPr>
          <w:lang w:val="en-AU"/>
        </w:rPr>
        <w:t xml:space="preserve">This work commenced under the Phase 1 Working Group </w:t>
      </w:r>
      <w:r w:rsidR="002815B5" w:rsidRPr="00351A46">
        <w:rPr>
          <w:lang w:val="en-AU"/>
        </w:rPr>
        <w:t>and is now</w:t>
      </w:r>
      <w:r w:rsidR="005265FF" w:rsidRPr="00351A46">
        <w:rPr>
          <w:lang w:val="en-AU"/>
        </w:rPr>
        <w:t xml:space="preserve"> being taken forward by </w:t>
      </w:r>
      <w:r w:rsidR="007224EA" w:rsidRPr="00351A46">
        <w:rPr>
          <w:lang w:val="en-AU"/>
        </w:rPr>
        <w:t>the Ministry of Research, Technology and Higher Education (</w:t>
      </w:r>
      <w:r w:rsidR="005265FF" w:rsidRPr="00351A46">
        <w:rPr>
          <w:lang w:val="en-AU"/>
        </w:rPr>
        <w:t>Kemenristekdikti</w:t>
      </w:r>
      <w:r w:rsidR="007224EA" w:rsidRPr="00351A46">
        <w:rPr>
          <w:lang w:val="en-AU"/>
        </w:rPr>
        <w:t>)</w:t>
      </w:r>
      <w:r w:rsidR="005265FF" w:rsidRPr="00351A46">
        <w:rPr>
          <w:lang w:val="en-AU"/>
        </w:rPr>
        <w:t xml:space="preserve">, ALMI and Kemenpan RB. </w:t>
      </w:r>
    </w:p>
    <w:p w14:paraId="49CDF0E2" w14:textId="6E61297A" w:rsidR="00F0276F" w:rsidRPr="00351A46" w:rsidRDefault="00F0276F">
      <w:pPr>
        <w:pStyle w:val="ListParagraph"/>
        <w:numPr>
          <w:ilvl w:val="1"/>
          <w:numId w:val="18"/>
        </w:numPr>
        <w:spacing w:before="120"/>
        <w:contextualSpacing w:val="0"/>
        <w:jc w:val="both"/>
        <w:rPr>
          <w:lang w:val="en-AU"/>
        </w:rPr>
      </w:pPr>
      <w:r w:rsidRPr="00351A46">
        <w:rPr>
          <w:i/>
          <w:lang w:val="en-AU"/>
        </w:rPr>
        <w:t>Buying out time for research –</w:t>
      </w:r>
      <w:r w:rsidRPr="00351A46">
        <w:rPr>
          <w:lang w:val="en-AU"/>
        </w:rPr>
        <w:t xml:space="preserve"> </w:t>
      </w:r>
      <w:r w:rsidR="00CC0B0A" w:rsidRPr="00351A46">
        <w:rPr>
          <w:lang w:val="en-AU"/>
        </w:rPr>
        <w:t xml:space="preserve">Currently </w:t>
      </w:r>
      <w:r w:rsidR="00BB40C2" w:rsidRPr="00351A46">
        <w:rPr>
          <w:lang w:val="en-AU"/>
        </w:rPr>
        <w:t>civil servant lecturers wanting to undertake post-graduate research must take leave from their regular position</w:t>
      </w:r>
      <w:r w:rsidR="00CC0B0A">
        <w:rPr>
          <w:lang w:val="en-AU"/>
        </w:rPr>
        <w:t>,</w:t>
      </w:r>
      <w:r w:rsidR="00BB40C2" w:rsidRPr="00351A46">
        <w:rPr>
          <w:lang w:val="en-AU"/>
        </w:rPr>
        <w:t xml:space="preserve"> and yet are unable to access government research grants. To enable such lecturers to have the time and funding to pursue post-graduate research, the </w:t>
      </w:r>
      <w:r w:rsidR="00CC0B0A" w:rsidRPr="00351A46">
        <w:rPr>
          <w:lang w:val="en-AU"/>
        </w:rPr>
        <w:t xml:space="preserve">working group </w:t>
      </w:r>
      <w:r w:rsidR="00BB40C2" w:rsidRPr="00351A46">
        <w:rPr>
          <w:lang w:val="en-AU"/>
        </w:rPr>
        <w:t>is investigating whether the relevant regulations can be amended to allow government research grants to be used by post-graduate students.</w:t>
      </w:r>
      <w:r w:rsidR="00C14700" w:rsidRPr="00351A46">
        <w:rPr>
          <w:lang w:val="en-AU"/>
        </w:rPr>
        <w:t xml:space="preserve"> Work on this reform commenced during the transition period between KSI Phase 1 and 2 and is being taken forward by Kemenristekdikti, ALMI, universities and Kemenpan RB. </w:t>
      </w:r>
    </w:p>
    <w:p w14:paraId="7CECF88D" w14:textId="0BEDCEBD" w:rsidR="00BB40C2" w:rsidRPr="00351A46" w:rsidRDefault="00BB40C2">
      <w:pPr>
        <w:pStyle w:val="ListParagraph"/>
        <w:numPr>
          <w:ilvl w:val="1"/>
          <w:numId w:val="18"/>
        </w:numPr>
        <w:spacing w:before="120"/>
        <w:contextualSpacing w:val="0"/>
        <w:jc w:val="both"/>
        <w:rPr>
          <w:rFonts w:cstheme="minorHAnsi"/>
          <w:lang w:val="en-AU"/>
        </w:rPr>
      </w:pPr>
      <w:r w:rsidRPr="00351A46">
        <w:rPr>
          <w:i/>
          <w:lang w:val="en-AU"/>
        </w:rPr>
        <w:t xml:space="preserve">GESI-sensitive research grant guidelines </w:t>
      </w:r>
      <w:r w:rsidR="000D2385" w:rsidRPr="00351A46">
        <w:rPr>
          <w:i/>
          <w:lang w:val="en-AU"/>
        </w:rPr>
        <w:t>–</w:t>
      </w:r>
      <w:r w:rsidRPr="00351A46">
        <w:rPr>
          <w:i/>
          <w:lang w:val="en-AU"/>
        </w:rPr>
        <w:t xml:space="preserve"> </w:t>
      </w:r>
      <w:r w:rsidR="000D2385" w:rsidRPr="00351A46">
        <w:rPr>
          <w:lang w:val="en-AU"/>
        </w:rPr>
        <w:t xml:space="preserve">With support from KSI Phase 1, </w:t>
      </w:r>
      <w:r w:rsidR="000D2385" w:rsidRPr="00351A46">
        <w:rPr>
          <w:color w:val="212121"/>
          <w:lang w:val="en-AU"/>
        </w:rPr>
        <w:t xml:space="preserve">Kemenristekdikti has passed new </w:t>
      </w:r>
      <w:r w:rsidR="00F02AFD">
        <w:rPr>
          <w:color w:val="212121"/>
          <w:lang w:val="en-AU"/>
        </w:rPr>
        <w:t>GESI</w:t>
      </w:r>
      <w:r w:rsidR="000774C1" w:rsidRPr="00351A46">
        <w:rPr>
          <w:rFonts w:cstheme="minorHAnsi"/>
          <w:lang w:val="en-AU"/>
        </w:rPr>
        <w:t>-sens</w:t>
      </w:r>
      <w:r w:rsidR="000D2385" w:rsidRPr="00351A46">
        <w:rPr>
          <w:rFonts w:cstheme="minorHAnsi"/>
          <w:lang w:val="en-AU"/>
        </w:rPr>
        <w:t>itive research grant guidelines. KSI is continuing to support Kemenristekdikti to socialise these with universities and to implement the guidelines (including engaging GESI expertise to peer review grant app</w:t>
      </w:r>
      <w:r w:rsidR="007224EA" w:rsidRPr="00351A46">
        <w:rPr>
          <w:rFonts w:cstheme="minorHAnsi"/>
          <w:lang w:val="en-AU"/>
        </w:rPr>
        <w:t>lications). This reform started in Phase 1 through policy dialogue with KSI and research by the Sayogyo Institute (funded by KSI)</w:t>
      </w:r>
      <w:r w:rsidR="00CC0B0A">
        <w:rPr>
          <w:rFonts w:cstheme="minorHAnsi"/>
          <w:lang w:val="en-AU"/>
        </w:rPr>
        <w:t>,</w:t>
      </w:r>
      <w:r w:rsidR="007224EA" w:rsidRPr="00351A46">
        <w:rPr>
          <w:rFonts w:cstheme="minorHAnsi"/>
          <w:lang w:val="en-AU"/>
        </w:rPr>
        <w:t xml:space="preserve"> which raised awareness of these issues. </w:t>
      </w:r>
    </w:p>
    <w:p w14:paraId="74827E07" w14:textId="437BADD6" w:rsidR="00A01C79" w:rsidRPr="00351A46" w:rsidRDefault="000670AE">
      <w:pPr>
        <w:pStyle w:val="ListParagraph"/>
        <w:numPr>
          <w:ilvl w:val="0"/>
          <w:numId w:val="18"/>
        </w:numPr>
        <w:spacing w:before="120"/>
        <w:contextualSpacing w:val="0"/>
        <w:jc w:val="both"/>
        <w:rPr>
          <w:lang w:val="en-AU"/>
        </w:rPr>
      </w:pPr>
      <w:r w:rsidRPr="00351A46">
        <w:rPr>
          <w:i/>
          <w:lang w:val="en-AU"/>
        </w:rPr>
        <w:t xml:space="preserve">Improving practices within universities. </w:t>
      </w:r>
      <w:r w:rsidRPr="00351A46">
        <w:rPr>
          <w:lang w:val="en-AU"/>
        </w:rPr>
        <w:t>This will be done by identifying good practices within selected universities seeking to make the best of the existing incentive system to enable better</w:t>
      </w:r>
      <w:r w:rsidR="00CC0B0A">
        <w:rPr>
          <w:lang w:val="en-AU"/>
        </w:rPr>
        <w:t>-</w:t>
      </w:r>
      <w:r w:rsidRPr="00351A46">
        <w:rPr>
          <w:lang w:val="en-AU"/>
        </w:rPr>
        <w:t xml:space="preserve">quality policy research. </w:t>
      </w:r>
      <w:r w:rsidR="00975212" w:rsidRPr="00351A46">
        <w:rPr>
          <w:lang w:val="en-AU"/>
        </w:rPr>
        <w:t>The focus will be on top autonomous universities</w:t>
      </w:r>
      <w:r w:rsidR="000A2AAC">
        <w:rPr>
          <w:lang w:val="en-AU"/>
        </w:rPr>
        <w:t>,</w:t>
      </w:r>
      <w:r w:rsidR="00975212" w:rsidRPr="00351A46">
        <w:rPr>
          <w:lang w:val="en-AU"/>
        </w:rPr>
        <w:t xml:space="preserve"> </w:t>
      </w:r>
      <w:r w:rsidR="000A2AAC">
        <w:rPr>
          <w:lang w:val="en-AU"/>
        </w:rPr>
        <w:t>as</w:t>
      </w:r>
      <w:r w:rsidR="000A2AAC" w:rsidRPr="00351A46">
        <w:rPr>
          <w:lang w:val="en-AU"/>
        </w:rPr>
        <w:t xml:space="preserve"> </w:t>
      </w:r>
      <w:r w:rsidR="00975212" w:rsidRPr="00351A46">
        <w:rPr>
          <w:lang w:val="en-AU"/>
        </w:rPr>
        <w:t xml:space="preserve">they have strong alumni networks that link into government and are already influencing government, </w:t>
      </w:r>
      <w:r w:rsidR="00F02AFD">
        <w:rPr>
          <w:lang w:val="en-AU"/>
        </w:rPr>
        <w:t>but</w:t>
      </w:r>
      <w:r w:rsidR="00F02AFD" w:rsidRPr="00351A46">
        <w:rPr>
          <w:lang w:val="en-AU"/>
        </w:rPr>
        <w:t xml:space="preserve"> </w:t>
      </w:r>
      <w:r w:rsidR="00975212" w:rsidRPr="00351A46">
        <w:rPr>
          <w:lang w:val="en-AU"/>
        </w:rPr>
        <w:t>the quality and policy</w:t>
      </w:r>
      <w:r w:rsidR="00F02AFD">
        <w:rPr>
          <w:lang w:val="en-AU"/>
        </w:rPr>
        <w:t xml:space="preserve"> </w:t>
      </w:r>
      <w:r w:rsidR="00975212" w:rsidRPr="00351A46">
        <w:rPr>
          <w:lang w:val="en-AU"/>
        </w:rPr>
        <w:t>relevance of their research could be strengthened. These universities also mentor regional universities, so could be well</w:t>
      </w:r>
      <w:r w:rsidR="000A2AAC">
        <w:rPr>
          <w:lang w:val="en-AU"/>
        </w:rPr>
        <w:t xml:space="preserve"> </w:t>
      </w:r>
      <w:r w:rsidR="00975212" w:rsidRPr="00351A46">
        <w:rPr>
          <w:lang w:val="en-AU"/>
        </w:rPr>
        <w:t xml:space="preserve">placed to catalyse changes at that level. </w:t>
      </w:r>
      <w:r w:rsidR="00217DCF">
        <w:rPr>
          <w:lang w:val="en-AU"/>
        </w:rPr>
        <w:t xml:space="preserve">However, there may be examples of </w:t>
      </w:r>
      <w:r w:rsidR="009C604D">
        <w:rPr>
          <w:lang w:val="en-AU"/>
        </w:rPr>
        <w:t>good practices</w:t>
      </w:r>
      <w:r w:rsidR="00217DCF">
        <w:rPr>
          <w:lang w:val="en-AU"/>
        </w:rPr>
        <w:t xml:space="preserve"> in some private universities (including s</w:t>
      </w:r>
      <w:r w:rsidR="009C604D">
        <w:rPr>
          <w:lang w:val="en-AU"/>
        </w:rPr>
        <w:t xml:space="preserve">ome at the regional level) that may be of relevance to top autonomous universities. </w:t>
      </w:r>
      <w:r w:rsidRPr="00351A46">
        <w:rPr>
          <w:lang w:val="en-AU"/>
        </w:rPr>
        <w:t>KSI will conduct a scoping study to identify good practices</w:t>
      </w:r>
      <w:r w:rsidR="00217DCF">
        <w:rPr>
          <w:lang w:val="en-AU"/>
        </w:rPr>
        <w:t>, primarily in top autonomous universities but also potentially in private universities,</w:t>
      </w:r>
      <w:r w:rsidRPr="00351A46">
        <w:rPr>
          <w:lang w:val="en-AU"/>
        </w:rPr>
        <w:t xml:space="preserve"> and then seek to document and</w:t>
      </w:r>
      <w:r w:rsidR="000A2AAC">
        <w:rPr>
          <w:lang w:val="en-AU"/>
        </w:rPr>
        <w:t>,</w:t>
      </w:r>
      <w:r w:rsidRPr="00351A46">
        <w:rPr>
          <w:lang w:val="en-AU"/>
        </w:rPr>
        <w:t xml:space="preserve"> where necessary</w:t>
      </w:r>
      <w:r w:rsidR="000A2AAC">
        <w:rPr>
          <w:lang w:val="en-AU"/>
        </w:rPr>
        <w:t>,</w:t>
      </w:r>
      <w:r w:rsidRPr="00351A46">
        <w:rPr>
          <w:lang w:val="en-AU"/>
        </w:rPr>
        <w:t xml:space="preserve"> strengthen these approaches. Throughout this learning process, KSI will seek to convene meetings to disseminate results and generate interest from other universities</w:t>
      </w:r>
      <w:r w:rsidR="00CD6B46" w:rsidRPr="00351A46">
        <w:rPr>
          <w:lang w:val="en-AU"/>
        </w:rPr>
        <w:t xml:space="preserve"> (particularly targeting rectors, deans and heads of study centres)</w:t>
      </w:r>
      <w:r w:rsidRPr="00351A46">
        <w:rPr>
          <w:lang w:val="en-AU"/>
        </w:rPr>
        <w:t xml:space="preserve"> </w:t>
      </w:r>
      <w:r w:rsidR="00CD6B46" w:rsidRPr="00351A46">
        <w:rPr>
          <w:lang w:val="en-AU"/>
        </w:rPr>
        <w:t xml:space="preserve">and government in these models. </w:t>
      </w:r>
      <w:r w:rsidR="0022723F" w:rsidRPr="00351A46">
        <w:rPr>
          <w:lang w:val="en-AU"/>
        </w:rPr>
        <w:t xml:space="preserve">It is expected that </w:t>
      </w:r>
      <w:r w:rsidR="00BC0E8F" w:rsidRPr="00351A46">
        <w:rPr>
          <w:lang w:val="en-AU"/>
        </w:rPr>
        <w:t xml:space="preserve">universities’ </w:t>
      </w:r>
      <w:r w:rsidR="0022723F" w:rsidRPr="00351A46">
        <w:rPr>
          <w:lang w:val="en-AU"/>
        </w:rPr>
        <w:t>interest in improving domestic accreditation rankings, international rankings and a potential new revenue stream through procurement regulations now allowing government to contract universit</w:t>
      </w:r>
      <w:r w:rsidR="00BC0E8F" w:rsidRPr="00351A46">
        <w:rPr>
          <w:lang w:val="en-AU"/>
        </w:rPr>
        <w:t>ies could motivate this work</w:t>
      </w:r>
      <w:r w:rsidR="0022723F" w:rsidRPr="00351A46">
        <w:rPr>
          <w:lang w:val="en-AU"/>
        </w:rPr>
        <w:t xml:space="preserve">. </w:t>
      </w:r>
    </w:p>
    <w:p w14:paraId="7A0C4A8A" w14:textId="77777777" w:rsidR="005711EF" w:rsidRPr="00351A46" w:rsidRDefault="005711EF">
      <w:pPr>
        <w:spacing w:before="120"/>
        <w:contextualSpacing/>
        <w:jc w:val="both"/>
        <w:rPr>
          <w:lang w:val="en-AU"/>
        </w:rPr>
      </w:pPr>
      <w:r w:rsidRPr="00351A46">
        <w:rPr>
          <w:lang w:val="en-AU"/>
        </w:rPr>
        <w:t>EOPO 2 also links to work under the other EOPOs as follows:</w:t>
      </w:r>
    </w:p>
    <w:p w14:paraId="44949521" w14:textId="12719F6C" w:rsidR="005711EF" w:rsidRPr="00351A46" w:rsidRDefault="005711EF">
      <w:pPr>
        <w:pStyle w:val="ListParagraph"/>
        <w:numPr>
          <w:ilvl w:val="0"/>
          <w:numId w:val="29"/>
        </w:numPr>
        <w:spacing w:before="120"/>
        <w:contextualSpacing w:val="0"/>
        <w:jc w:val="both"/>
        <w:rPr>
          <w:lang w:val="en-AU"/>
        </w:rPr>
      </w:pPr>
      <w:r w:rsidRPr="00351A46">
        <w:rPr>
          <w:lang w:val="en-AU"/>
        </w:rPr>
        <w:t>EOPO 1 – Kemenpan RB’s review of Balitbang</w:t>
      </w:r>
      <w:r w:rsidR="0000069B">
        <w:rPr>
          <w:lang w:val="en-AU"/>
        </w:rPr>
        <w:t>s</w:t>
      </w:r>
      <w:r w:rsidRPr="00351A46">
        <w:rPr>
          <w:lang w:val="en-AU"/>
        </w:rPr>
        <w:t xml:space="preserve"> and recent changes to the procurement regulations enabling government to contract non-commercial entities to provide research could increase </w:t>
      </w:r>
      <w:r w:rsidR="0000069B">
        <w:rPr>
          <w:lang w:val="en-AU"/>
        </w:rPr>
        <w:t xml:space="preserve">the </w:t>
      </w:r>
      <w:r w:rsidRPr="00351A46">
        <w:rPr>
          <w:lang w:val="en-AU"/>
        </w:rPr>
        <w:t>government’s reliance on external research providers, including universities. This may create an addition revenue source for universities and incentivise them to produce more policy-relevant research.</w:t>
      </w:r>
    </w:p>
    <w:p w14:paraId="1329FCB7" w14:textId="2BFDB885" w:rsidR="005711EF" w:rsidRPr="00351A46" w:rsidRDefault="005711EF">
      <w:pPr>
        <w:pStyle w:val="ListParagraph"/>
        <w:numPr>
          <w:ilvl w:val="0"/>
          <w:numId w:val="29"/>
        </w:numPr>
        <w:spacing w:before="120"/>
        <w:contextualSpacing w:val="0"/>
        <w:jc w:val="both"/>
        <w:rPr>
          <w:lang w:val="en-AU"/>
        </w:rPr>
      </w:pPr>
      <w:r w:rsidRPr="00351A46">
        <w:rPr>
          <w:lang w:val="en-AU"/>
        </w:rPr>
        <w:t>EOPO 3 – Several universities are now official providers for policy analyst training</w:t>
      </w:r>
      <w:r w:rsidR="0000069B">
        <w:rPr>
          <w:lang w:val="en-AU"/>
        </w:rPr>
        <w:t>,</w:t>
      </w:r>
      <w:r w:rsidRPr="00351A46">
        <w:rPr>
          <w:lang w:val="en-AU"/>
        </w:rPr>
        <w:t xml:space="preserve"> and university staff may themselves be trained as non-public servant policy analysts. This enables greater interaction between universities and policymakers and an increased awareness within universities of the importance of policy research. This in turn may contribute to improved incentives for university lecturers to produce quality policy research.</w:t>
      </w:r>
    </w:p>
    <w:p w14:paraId="4CD0B745" w14:textId="05C53BCD" w:rsidR="005711EF" w:rsidRPr="00351A46" w:rsidRDefault="005711EF">
      <w:pPr>
        <w:pStyle w:val="ListParagraph"/>
        <w:numPr>
          <w:ilvl w:val="0"/>
          <w:numId w:val="29"/>
        </w:numPr>
        <w:spacing w:before="120"/>
        <w:contextualSpacing w:val="0"/>
        <w:jc w:val="both"/>
        <w:rPr>
          <w:lang w:val="en-AU"/>
        </w:rPr>
      </w:pPr>
      <w:r w:rsidRPr="00351A46">
        <w:rPr>
          <w:lang w:val="en-AU"/>
        </w:rPr>
        <w:t>EOPO 5 – Some universities will benefit from KSI’s support for PRIs, as a number of these are university</w:t>
      </w:r>
      <w:r w:rsidR="0000069B">
        <w:rPr>
          <w:lang w:val="en-AU"/>
        </w:rPr>
        <w:t xml:space="preserve"> </w:t>
      </w:r>
      <w:r w:rsidRPr="00351A46">
        <w:rPr>
          <w:lang w:val="en-AU"/>
        </w:rPr>
        <w:t>based.</w:t>
      </w:r>
      <w:r w:rsidR="001D26E1" w:rsidRPr="00351A46">
        <w:rPr>
          <w:lang w:val="en-AU"/>
        </w:rPr>
        <w:t xml:space="preserve"> </w:t>
      </w:r>
    </w:p>
    <w:p w14:paraId="3987FBFA" w14:textId="7A93DDA4" w:rsidR="0000069B" w:rsidRDefault="00CB60AC">
      <w:pPr>
        <w:keepNext/>
        <w:keepLines/>
        <w:spacing w:before="200" w:after="0"/>
        <w:jc w:val="both"/>
        <w:outlineLvl w:val="8"/>
        <w:rPr>
          <w:rFonts w:eastAsia="Calibri" w:cstheme="minorHAnsi"/>
          <w:lang w:val="en-AU"/>
        </w:rPr>
      </w:pPr>
      <w:r w:rsidRPr="00351A46">
        <w:rPr>
          <w:rFonts w:eastAsia="Calibri" w:cstheme="minorHAnsi"/>
          <w:lang w:val="en-AU"/>
        </w:rPr>
        <w:t xml:space="preserve">The diagram and table below provide an overview of EOPO 2 and how the </w:t>
      </w:r>
      <w:r w:rsidR="0000069B" w:rsidRPr="00351A46">
        <w:rPr>
          <w:rFonts w:eastAsia="Calibri" w:cstheme="minorHAnsi"/>
          <w:lang w:val="en-AU"/>
        </w:rPr>
        <w:t xml:space="preserve">key initiatives </w:t>
      </w:r>
      <w:r w:rsidR="00512F3D" w:rsidRPr="00351A46">
        <w:rPr>
          <w:rFonts w:eastAsia="Calibri" w:cstheme="minorHAnsi"/>
          <w:lang w:val="en-AU"/>
        </w:rPr>
        <w:t>contribute</w:t>
      </w:r>
      <w:r w:rsidRPr="00351A46">
        <w:rPr>
          <w:rFonts w:eastAsia="Calibri" w:cstheme="minorHAnsi"/>
          <w:lang w:val="en-AU"/>
        </w:rPr>
        <w:t xml:space="preserve">, as well as </w:t>
      </w:r>
      <w:r w:rsidR="00864002" w:rsidRPr="00351A46">
        <w:rPr>
          <w:rFonts w:eastAsia="Calibri" w:cstheme="minorHAnsi"/>
          <w:lang w:val="en-AU"/>
        </w:rPr>
        <w:t>links</w:t>
      </w:r>
      <w:r w:rsidRPr="00351A46">
        <w:rPr>
          <w:rFonts w:eastAsia="Calibri" w:cstheme="minorHAnsi"/>
          <w:lang w:val="en-AU"/>
        </w:rPr>
        <w:t xml:space="preserve"> to other EOPOs.</w:t>
      </w:r>
    </w:p>
    <w:p w14:paraId="61374AB2" w14:textId="30DA7FE3" w:rsidR="002E6060" w:rsidRPr="00351A46" w:rsidRDefault="00CB60AC" w:rsidP="00424333">
      <w:pPr>
        <w:rPr>
          <w:lang w:val="en-AU"/>
        </w:rPr>
        <w:sectPr w:rsidR="002E6060" w:rsidRPr="00351A46" w:rsidSect="00A01C79">
          <w:pgSz w:w="11900" w:h="16850"/>
          <w:pgMar w:top="1440" w:right="1440" w:bottom="1440" w:left="1440" w:header="758" w:footer="0" w:gutter="0"/>
          <w:cols w:space="720"/>
          <w:docGrid w:linePitch="299"/>
        </w:sectPr>
      </w:pPr>
      <w:r w:rsidRPr="00351A46">
        <w:rPr>
          <w:lang w:val="en-AU"/>
        </w:rPr>
        <w:t xml:space="preserve"> </w:t>
      </w:r>
    </w:p>
    <w:p w14:paraId="11C84876" w14:textId="4DEB8322" w:rsidR="005711EF" w:rsidRPr="00351A46" w:rsidRDefault="00120D47" w:rsidP="00424333">
      <w:pPr>
        <w:ind w:hanging="567"/>
        <w:rPr>
          <w:lang w:val="en-AU"/>
        </w:rPr>
        <w:sectPr w:rsidR="005711EF" w:rsidRPr="00351A46" w:rsidSect="002E6060">
          <w:pgSz w:w="16850" w:h="11900" w:orient="landscape"/>
          <w:pgMar w:top="1440" w:right="1440" w:bottom="1440" w:left="1440" w:header="758" w:footer="0" w:gutter="0"/>
          <w:cols w:space="720"/>
          <w:docGrid w:linePitch="299"/>
        </w:sectPr>
      </w:pPr>
      <w:r w:rsidRPr="00381388">
        <w:rPr>
          <w:noProof/>
          <w:lang w:val="en-AU" w:eastAsia="en-AU"/>
        </w:rPr>
        <w:drawing>
          <wp:inline distT="0" distB="0" distL="0" distR="0" wp14:anchorId="5F12976D" wp14:editId="4EA8F5BA">
            <wp:extent cx="9663443" cy="543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OPO 2 diagram_for PIS_v3.jpg"/>
                    <pic:cNvPicPr/>
                  </pic:nvPicPr>
                  <pic:blipFill>
                    <a:blip r:embed="rId16"/>
                    <a:stretch>
                      <a:fillRect/>
                    </a:stretch>
                  </pic:blipFill>
                  <pic:spPr>
                    <a:xfrm>
                      <a:off x="0" y="0"/>
                      <a:ext cx="9680707" cy="5445311"/>
                    </a:xfrm>
                    <a:prstGeom prst="rect">
                      <a:avLst/>
                    </a:prstGeom>
                  </pic:spPr>
                </pic:pic>
              </a:graphicData>
            </a:graphic>
          </wp:inline>
        </w:drawing>
      </w:r>
    </w:p>
    <w:p w14:paraId="12D73BF8" w14:textId="173D542F" w:rsidR="000C42C1" w:rsidRPr="00424333" w:rsidRDefault="000C42C1" w:rsidP="00424333">
      <w:pPr>
        <w:rPr>
          <w:sz w:val="2"/>
          <w:lang w:val="en-AU"/>
        </w:rPr>
      </w:pPr>
    </w:p>
    <w:tbl>
      <w:tblPr>
        <w:tblStyle w:val="TableGrid1"/>
        <w:tblpPr w:leftFromText="180" w:rightFromText="180" w:vertAnchor="text" w:tblpX="-5" w:tblpY="1"/>
        <w:tblOverlap w:val="never"/>
        <w:tblW w:w="10647" w:type="dxa"/>
        <w:tblLook w:val="04A0" w:firstRow="1" w:lastRow="0" w:firstColumn="1" w:lastColumn="0" w:noHBand="0" w:noVBand="1"/>
      </w:tblPr>
      <w:tblGrid>
        <w:gridCol w:w="2254"/>
        <w:gridCol w:w="2566"/>
        <w:gridCol w:w="3127"/>
        <w:gridCol w:w="2700"/>
      </w:tblGrid>
      <w:tr w:rsidR="00BA3EAD" w:rsidRPr="00351A46" w14:paraId="74C37916" w14:textId="77777777" w:rsidTr="00444D54">
        <w:tc>
          <w:tcPr>
            <w:tcW w:w="10647" w:type="dxa"/>
            <w:gridSpan w:val="4"/>
            <w:shd w:val="clear" w:color="auto" w:fill="BDD6EE" w:themeFill="accent1" w:themeFillTint="66"/>
          </w:tcPr>
          <w:p w14:paraId="2DD8E484" w14:textId="768A99E5" w:rsidR="00BA3EAD" w:rsidRPr="00351A46" w:rsidRDefault="00BA3EAD" w:rsidP="00424333">
            <w:pPr>
              <w:jc w:val="center"/>
              <w:rPr>
                <w:b/>
                <w:color w:val="000000" w:themeColor="text1"/>
                <w:lang w:val="en-AU"/>
              </w:rPr>
            </w:pPr>
            <w:r w:rsidRPr="00351A46">
              <w:rPr>
                <w:lang w:val="en-AU"/>
              </w:rPr>
              <w:br w:type="page"/>
            </w:r>
            <w:r w:rsidR="00FB5515" w:rsidRPr="00351A46">
              <w:rPr>
                <w:b/>
                <w:sz w:val="20"/>
                <w:szCs w:val="20"/>
                <w:lang w:val="en-AU"/>
              </w:rPr>
              <w:t xml:space="preserve">End of </w:t>
            </w:r>
            <w:r w:rsidR="008C3312" w:rsidRPr="00351A46">
              <w:rPr>
                <w:b/>
                <w:sz w:val="20"/>
                <w:szCs w:val="20"/>
                <w:lang w:val="en-AU"/>
              </w:rPr>
              <w:t>Program</w:t>
            </w:r>
            <w:r w:rsidR="00E5110F" w:rsidRPr="00351A46">
              <w:rPr>
                <w:b/>
                <w:sz w:val="20"/>
                <w:szCs w:val="20"/>
                <w:lang w:val="en-AU"/>
              </w:rPr>
              <w:t xml:space="preserve"> </w:t>
            </w:r>
            <w:r w:rsidRPr="00351A46">
              <w:rPr>
                <w:b/>
                <w:sz w:val="20"/>
                <w:szCs w:val="20"/>
                <w:lang w:val="en-AU"/>
              </w:rPr>
              <w:t>O</w:t>
            </w:r>
            <w:r w:rsidR="00E5110F" w:rsidRPr="00351A46">
              <w:rPr>
                <w:b/>
                <w:sz w:val="20"/>
                <w:szCs w:val="20"/>
                <w:lang w:val="en-AU"/>
              </w:rPr>
              <w:t>utcome</w:t>
            </w:r>
            <w:r w:rsidRPr="00351A46">
              <w:rPr>
                <w:b/>
                <w:sz w:val="20"/>
                <w:szCs w:val="20"/>
                <w:lang w:val="en-AU"/>
              </w:rPr>
              <w:t xml:space="preserve"> 2:</w:t>
            </w:r>
            <w:r w:rsidR="001D26E1" w:rsidRPr="00351A46">
              <w:rPr>
                <w:b/>
                <w:sz w:val="20"/>
                <w:szCs w:val="20"/>
                <w:lang w:val="en-AU"/>
              </w:rPr>
              <w:t xml:space="preserve"> </w:t>
            </w:r>
            <w:r w:rsidR="00D242C8" w:rsidRPr="00351A46">
              <w:rPr>
                <w:b/>
                <w:lang w:val="en-AU"/>
              </w:rPr>
              <w:t>University lecturers have better incentives to produce quality policy research</w:t>
            </w:r>
          </w:p>
        </w:tc>
      </w:tr>
      <w:tr w:rsidR="00BA3EAD" w:rsidRPr="00351A46" w14:paraId="3F5DFE72" w14:textId="77777777" w:rsidTr="00444D54">
        <w:tc>
          <w:tcPr>
            <w:tcW w:w="10647" w:type="dxa"/>
            <w:gridSpan w:val="4"/>
            <w:shd w:val="clear" w:color="auto" w:fill="DEEAF6" w:themeFill="accent1" w:themeFillTint="33"/>
          </w:tcPr>
          <w:p w14:paraId="0A0938BB" w14:textId="77777777" w:rsidR="00BA3EAD" w:rsidRPr="00351A46" w:rsidRDefault="00BA3EAD" w:rsidP="00424333">
            <w:pPr>
              <w:jc w:val="center"/>
              <w:rPr>
                <w:b/>
                <w:color w:val="000000" w:themeColor="text1"/>
                <w:sz w:val="20"/>
                <w:szCs w:val="20"/>
                <w:lang w:val="en-AU"/>
              </w:rPr>
            </w:pPr>
            <w:r w:rsidRPr="00351A46">
              <w:rPr>
                <w:b/>
                <w:color w:val="000000" w:themeColor="text1"/>
                <w:sz w:val="20"/>
                <w:szCs w:val="20"/>
                <w:lang w:val="en-AU"/>
              </w:rPr>
              <w:t>Change expected by 2022:</w:t>
            </w:r>
          </w:p>
          <w:p w14:paraId="1ED21B9A" w14:textId="77777777" w:rsidR="00BA3EAD" w:rsidRPr="00351A46" w:rsidRDefault="00BA3EAD" w:rsidP="00424333">
            <w:pPr>
              <w:numPr>
                <w:ilvl w:val="0"/>
                <w:numId w:val="14"/>
              </w:numPr>
              <w:ind w:left="274" w:hanging="288"/>
              <w:rPr>
                <w:sz w:val="20"/>
                <w:szCs w:val="20"/>
                <w:lang w:val="en-AU"/>
              </w:rPr>
            </w:pPr>
            <w:r w:rsidRPr="00351A46">
              <w:rPr>
                <w:sz w:val="20"/>
                <w:szCs w:val="20"/>
                <w:lang w:val="en-AU"/>
              </w:rPr>
              <w:t xml:space="preserve">Selected government policies/regulations in place and/or implemented creating better incentives for university lecturers to produce quality, policy research. </w:t>
            </w:r>
          </w:p>
          <w:p w14:paraId="7D79A93A" w14:textId="77777777" w:rsidR="00BA3EAD" w:rsidRPr="00351A46" w:rsidRDefault="00BA3EAD" w:rsidP="00424333">
            <w:pPr>
              <w:numPr>
                <w:ilvl w:val="0"/>
                <w:numId w:val="14"/>
              </w:numPr>
              <w:ind w:left="274" w:hanging="288"/>
              <w:rPr>
                <w:b/>
                <w:color w:val="000000" w:themeColor="text1"/>
                <w:sz w:val="20"/>
                <w:szCs w:val="20"/>
                <w:lang w:val="en-AU"/>
              </w:rPr>
            </w:pPr>
            <w:r w:rsidRPr="00351A46">
              <w:rPr>
                <w:sz w:val="20"/>
                <w:szCs w:val="20"/>
                <w:lang w:val="en-AU"/>
              </w:rPr>
              <w:t xml:space="preserve">Learning on successful models for incentives within universities disseminated and attracting interest from other universities and government. </w:t>
            </w:r>
          </w:p>
        </w:tc>
      </w:tr>
      <w:tr w:rsidR="00BA3EAD" w:rsidRPr="00351A46" w14:paraId="0DEB0E7A" w14:textId="77777777" w:rsidTr="00444D54">
        <w:tc>
          <w:tcPr>
            <w:tcW w:w="10647" w:type="dxa"/>
            <w:gridSpan w:val="4"/>
            <w:shd w:val="clear" w:color="auto" w:fill="FFE599" w:themeFill="accent4" w:themeFillTint="66"/>
          </w:tcPr>
          <w:p w14:paraId="13F7364E" w14:textId="7AB0C6A2" w:rsidR="00BA3EAD" w:rsidRPr="00351A46" w:rsidRDefault="00E5110F" w:rsidP="00424333">
            <w:pPr>
              <w:keepNext/>
              <w:keepLines/>
              <w:jc w:val="center"/>
              <w:outlineLvl w:val="8"/>
              <w:rPr>
                <w:b/>
                <w:color w:val="000000" w:themeColor="text1"/>
                <w:sz w:val="20"/>
                <w:szCs w:val="20"/>
                <w:lang w:val="en-AU" w:eastAsia="en-ID"/>
              </w:rPr>
            </w:pPr>
            <w:r w:rsidRPr="00351A46">
              <w:rPr>
                <w:b/>
                <w:color w:val="000000" w:themeColor="text1"/>
                <w:sz w:val="20"/>
                <w:szCs w:val="20"/>
                <w:lang w:val="en-AU" w:eastAsia="en-ID"/>
              </w:rPr>
              <w:t>Key initiative</w:t>
            </w:r>
            <w:r w:rsidR="00BA3EAD" w:rsidRPr="00351A46">
              <w:rPr>
                <w:b/>
                <w:color w:val="000000" w:themeColor="text1"/>
                <w:sz w:val="20"/>
                <w:szCs w:val="20"/>
                <w:lang w:val="en-AU" w:eastAsia="en-ID"/>
              </w:rPr>
              <w:t xml:space="preserve">: University lecturers: incentives for quality research </w:t>
            </w:r>
            <w:r w:rsidR="00346129" w:rsidRPr="00381388">
              <w:rPr>
                <w:b/>
                <w:color w:val="000000" w:themeColor="text1"/>
                <w:sz w:val="20"/>
                <w:szCs w:val="20"/>
                <w:lang w:val="en-AU" w:eastAsia="en-ID"/>
              </w:rPr>
              <w:t>–</w:t>
            </w:r>
            <w:r w:rsidR="00346129" w:rsidRPr="00351A46">
              <w:rPr>
                <w:b/>
                <w:color w:val="000000" w:themeColor="text1"/>
                <w:sz w:val="20"/>
                <w:szCs w:val="20"/>
                <w:lang w:val="en-AU" w:eastAsia="en-ID"/>
              </w:rPr>
              <w:t xml:space="preserve"> </w:t>
            </w:r>
            <w:r w:rsidR="00BA3EAD" w:rsidRPr="00351A46">
              <w:rPr>
                <w:sz w:val="20"/>
                <w:szCs w:val="20"/>
                <w:lang w:val="en-AU"/>
              </w:rPr>
              <w:t>Strengthening incentives for university lecturers to produce better quality and more policy</w:t>
            </w:r>
            <w:r w:rsidR="00E67CE7" w:rsidRPr="00351A46">
              <w:rPr>
                <w:sz w:val="20"/>
                <w:szCs w:val="20"/>
                <w:lang w:val="en-AU"/>
              </w:rPr>
              <w:t>-</w:t>
            </w:r>
            <w:r w:rsidR="00BA3EAD" w:rsidRPr="00351A46">
              <w:rPr>
                <w:sz w:val="20"/>
                <w:szCs w:val="20"/>
                <w:lang w:val="en-AU"/>
              </w:rPr>
              <w:t>relevant research.</w:t>
            </w:r>
          </w:p>
        </w:tc>
      </w:tr>
      <w:tr w:rsidR="00BA3EAD" w:rsidRPr="00351A46" w14:paraId="2C266DA1" w14:textId="77777777" w:rsidTr="00444D54">
        <w:tc>
          <w:tcPr>
            <w:tcW w:w="2254" w:type="dxa"/>
            <w:shd w:val="clear" w:color="auto" w:fill="FFF2CC" w:themeFill="accent4" w:themeFillTint="33"/>
          </w:tcPr>
          <w:p w14:paraId="0D972462" w14:textId="5AABAEB9" w:rsidR="00BA3EAD" w:rsidRPr="00351A46" w:rsidRDefault="00BA3EAD" w:rsidP="00424333">
            <w:pPr>
              <w:jc w:val="center"/>
              <w:rPr>
                <w:b/>
                <w:color w:val="000000" w:themeColor="text1"/>
                <w:sz w:val="20"/>
                <w:szCs w:val="20"/>
                <w:lang w:val="en-AU" w:eastAsia="en-ID"/>
              </w:rPr>
            </w:pPr>
            <w:r w:rsidRPr="00351A46">
              <w:rPr>
                <w:b/>
                <w:color w:val="000000" w:themeColor="text1"/>
                <w:sz w:val="20"/>
                <w:szCs w:val="20"/>
                <w:lang w:val="en-AU" w:eastAsia="en-ID"/>
              </w:rPr>
              <w:t>What needs to happen</w:t>
            </w:r>
            <w:r w:rsidR="00C74945" w:rsidRPr="00351A46">
              <w:rPr>
                <w:b/>
                <w:color w:val="000000" w:themeColor="text1"/>
                <w:sz w:val="20"/>
                <w:szCs w:val="20"/>
                <w:lang w:val="en-AU" w:eastAsia="en-ID"/>
              </w:rPr>
              <w:t xml:space="preserve"> by 2022</w:t>
            </w:r>
          </w:p>
        </w:tc>
        <w:tc>
          <w:tcPr>
            <w:tcW w:w="2566" w:type="dxa"/>
            <w:shd w:val="clear" w:color="auto" w:fill="FFF2CC" w:themeFill="accent4" w:themeFillTint="33"/>
          </w:tcPr>
          <w:p w14:paraId="7A5B70B5" w14:textId="10F4EDA5" w:rsidR="00BA3EAD" w:rsidRPr="00351A46" w:rsidRDefault="00BA3EAD" w:rsidP="00424333">
            <w:pPr>
              <w:jc w:val="center"/>
              <w:rPr>
                <w:b/>
                <w:color w:val="000000" w:themeColor="text1"/>
                <w:sz w:val="20"/>
                <w:szCs w:val="20"/>
                <w:lang w:val="en-AU" w:eastAsia="en-ID"/>
              </w:rPr>
            </w:pPr>
            <w:r w:rsidRPr="00351A46">
              <w:rPr>
                <w:b/>
                <w:color w:val="000000" w:themeColor="text1"/>
                <w:sz w:val="20"/>
                <w:szCs w:val="20"/>
                <w:lang w:val="en-AU" w:eastAsia="en-ID"/>
              </w:rPr>
              <w:t xml:space="preserve">Critical </w:t>
            </w:r>
            <w:r w:rsidR="00077E49" w:rsidRPr="00351A46">
              <w:rPr>
                <w:b/>
                <w:color w:val="000000" w:themeColor="text1"/>
                <w:sz w:val="20"/>
                <w:szCs w:val="20"/>
                <w:lang w:val="en-AU" w:eastAsia="en-ID"/>
              </w:rPr>
              <w:t>s</w:t>
            </w:r>
            <w:r w:rsidRPr="00351A46">
              <w:rPr>
                <w:b/>
                <w:color w:val="000000" w:themeColor="text1"/>
                <w:sz w:val="20"/>
                <w:szCs w:val="20"/>
                <w:lang w:val="en-AU" w:eastAsia="en-ID"/>
              </w:rPr>
              <w:t xml:space="preserve">uccess </w:t>
            </w:r>
            <w:r w:rsidR="00077E49" w:rsidRPr="00351A46">
              <w:rPr>
                <w:b/>
                <w:color w:val="000000" w:themeColor="text1"/>
                <w:sz w:val="20"/>
                <w:szCs w:val="20"/>
                <w:lang w:val="en-AU" w:eastAsia="en-ID"/>
              </w:rPr>
              <w:t>f</w:t>
            </w:r>
            <w:r w:rsidRPr="00351A46">
              <w:rPr>
                <w:b/>
                <w:color w:val="000000" w:themeColor="text1"/>
                <w:sz w:val="20"/>
                <w:szCs w:val="20"/>
                <w:lang w:val="en-AU" w:eastAsia="en-ID"/>
              </w:rPr>
              <w:t>actors</w:t>
            </w:r>
          </w:p>
        </w:tc>
        <w:tc>
          <w:tcPr>
            <w:tcW w:w="3127" w:type="dxa"/>
            <w:shd w:val="clear" w:color="auto" w:fill="FFF2CC" w:themeFill="accent4" w:themeFillTint="33"/>
          </w:tcPr>
          <w:p w14:paraId="20FFB6EF" w14:textId="77777777" w:rsidR="00BA3EAD" w:rsidRPr="00351A46" w:rsidRDefault="00BA3EAD" w:rsidP="00424333">
            <w:pPr>
              <w:jc w:val="center"/>
              <w:rPr>
                <w:b/>
                <w:color w:val="000000" w:themeColor="text1"/>
                <w:sz w:val="20"/>
                <w:szCs w:val="20"/>
                <w:lang w:val="en-AU" w:eastAsia="en-ID"/>
              </w:rPr>
            </w:pPr>
            <w:r w:rsidRPr="00351A46">
              <w:rPr>
                <w:b/>
                <w:color w:val="000000" w:themeColor="text1"/>
                <w:sz w:val="20"/>
                <w:szCs w:val="20"/>
                <w:lang w:val="en-AU" w:eastAsia="en-ID"/>
              </w:rPr>
              <w:t>KSI’s role</w:t>
            </w:r>
          </w:p>
        </w:tc>
        <w:tc>
          <w:tcPr>
            <w:tcW w:w="2700" w:type="dxa"/>
            <w:shd w:val="clear" w:color="auto" w:fill="FFF2CC" w:themeFill="accent4" w:themeFillTint="33"/>
          </w:tcPr>
          <w:p w14:paraId="0D19A6F3" w14:textId="77777777" w:rsidR="00BA3EAD" w:rsidRPr="00351A46" w:rsidRDefault="00BA3EAD" w:rsidP="00424333">
            <w:pPr>
              <w:jc w:val="center"/>
              <w:rPr>
                <w:b/>
                <w:color w:val="000000" w:themeColor="text1"/>
                <w:sz w:val="20"/>
                <w:szCs w:val="20"/>
                <w:lang w:val="en-AU" w:eastAsia="en-ID"/>
              </w:rPr>
            </w:pPr>
            <w:r w:rsidRPr="00351A46">
              <w:rPr>
                <w:b/>
                <w:color w:val="000000" w:themeColor="text1"/>
                <w:sz w:val="20"/>
                <w:szCs w:val="20"/>
                <w:lang w:val="en-AU" w:eastAsia="en-ID"/>
              </w:rPr>
              <w:t>Expected outcomes for 2018</w:t>
            </w:r>
          </w:p>
        </w:tc>
      </w:tr>
      <w:tr w:rsidR="00BA3EAD" w:rsidRPr="00351A46" w14:paraId="25A3F1B1" w14:textId="77777777" w:rsidTr="00444D54">
        <w:tc>
          <w:tcPr>
            <w:tcW w:w="2254" w:type="dxa"/>
            <w:shd w:val="clear" w:color="auto" w:fill="FFF2CC" w:themeFill="accent4" w:themeFillTint="33"/>
          </w:tcPr>
          <w:p w14:paraId="4C6BFBAD" w14:textId="2F1BDD98" w:rsidR="00BA3EAD" w:rsidRPr="00351A46" w:rsidRDefault="00094ADC" w:rsidP="00424333">
            <w:pPr>
              <w:rPr>
                <w:b/>
                <w:sz w:val="20"/>
                <w:szCs w:val="20"/>
                <w:lang w:val="en-AU"/>
              </w:rPr>
            </w:pPr>
            <w:r w:rsidRPr="00351A46">
              <w:rPr>
                <w:sz w:val="20"/>
                <w:szCs w:val="20"/>
                <w:lang w:val="en-AU"/>
              </w:rPr>
              <w:t>Key interested stakeholders identify and start</w:t>
            </w:r>
            <w:r w:rsidR="00BA3EAD" w:rsidRPr="00351A46">
              <w:rPr>
                <w:sz w:val="20"/>
                <w:szCs w:val="20"/>
                <w:lang w:val="en-AU"/>
              </w:rPr>
              <w:t xml:space="preserve"> addressing selected policy or regulatory barriers to incentivis</w:t>
            </w:r>
            <w:r w:rsidR="00760FEB">
              <w:rPr>
                <w:sz w:val="20"/>
                <w:szCs w:val="20"/>
                <w:lang w:val="en-AU"/>
              </w:rPr>
              <w:t>e</w:t>
            </w:r>
            <w:r w:rsidR="00BA3EAD" w:rsidRPr="00351A46">
              <w:rPr>
                <w:sz w:val="20"/>
                <w:szCs w:val="20"/>
                <w:lang w:val="en-AU"/>
              </w:rPr>
              <w:t xml:space="preserve"> universities to produce quality policy research.</w:t>
            </w:r>
          </w:p>
          <w:p w14:paraId="7B447B6F" w14:textId="16917E19" w:rsidR="006B31EA" w:rsidRPr="00381388" w:rsidRDefault="006B31EA" w:rsidP="00424333">
            <w:pPr>
              <w:numPr>
                <w:ilvl w:val="1"/>
                <w:numId w:val="0"/>
              </w:numPr>
              <w:rPr>
                <w:rFonts w:eastAsiaTheme="minorEastAsia"/>
                <w:color w:val="5A5A5A" w:themeColor="text1" w:themeTint="A5"/>
                <w:spacing w:val="15"/>
                <w:sz w:val="20"/>
                <w:szCs w:val="20"/>
                <w:lang w:val="en-AU"/>
              </w:rPr>
            </w:pPr>
          </w:p>
          <w:p w14:paraId="65A2F370" w14:textId="000A3BEE" w:rsidR="00BA3EAD" w:rsidRPr="00351A46" w:rsidRDefault="00BA3EAD" w:rsidP="00424333">
            <w:pPr>
              <w:rPr>
                <w:color w:val="000000" w:themeColor="text1"/>
                <w:sz w:val="20"/>
                <w:szCs w:val="20"/>
                <w:lang w:val="en-AU" w:eastAsia="en-ID"/>
              </w:rPr>
            </w:pPr>
            <w:r w:rsidRPr="00351A46">
              <w:rPr>
                <w:sz w:val="20"/>
                <w:szCs w:val="20"/>
                <w:lang w:val="en-AU"/>
              </w:rPr>
              <w:t xml:space="preserve">Selected universities model improved incentives for universities to produce quality policy research, including for </w:t>
            </w:r>
            <w:r w:rsidR="00077E49" w:rsidRPr="00351A46">
              <w:rPr>
                <w:sz w:val="20"/>
                <w:szCs w:val="20"/>
                <w:lang w:val="en-AU"/>
              </w:rPr>
              <w:t xml:space="preserve">female </w:t>
            </w:r>
            <w:r w:rsidRPr="00351A46">
              <w:rPr>
                <w:sz w:val="20"/>
                <w:szCs w:val="20"/>
                <w:lang w:val="en-AU"/>
              </w:rPr>
              <w:t>academics.</w:t>
            </w:r>
          </w:p>
        </w:tc>
        <w:tc>
          <w:tcPr>
            <w:tcW w:w="2566" w:type="dxa"/>
            <w:shd w:val="clear" w:color="auto" w:fill="FFF2CC" w:themeFill="accent4" w:themeFillTint="33"/>
          </w:tcPr>
          <w:p w14:paraId="4439FB57" w14:textId="2D23C198" w:rsidR="00BA3EAD" w:rsidRPr="00351A46" w:rsidRDefault="00094ADC" w:rsidP="00424333">
            <w:pPr>
              <w:rPr>
                <w:sz w:val="20"/>
                <w:szCs w:val="20"/>
                <w:lang w:val="en-AU"/>
              </w:rPr>
            </w:pPr>
            <w:r w:rsidRPr="00351A46">
              <w:rPr>
                <w:sz w:val="20"/>
                <w:szCs w:val="20"/>
                <w:lang w:val="en-AU"/>
              </w:rPr>
              <w:t>Key stakeholders have</w:t>
            </w:r>
            <w:r w:rsidR="00BA3EAD" w:rsidRPr="00351A46">
              <w:rPr>
                <w:sz w:val="20"/>
                <w:szCs w:val="20"/>
                <w:lang w:val="en-AU"/>
              </w:rPr>
              <w:t xml:space="preserve"> interest and power to address policy/regulatory barriers.</w:t>
            </w:r>
          </w:p>
          <w:p w14:paraId="1599CAEE" w14:textId="77777777" w:rsidR="006B31EA" w:rsidRPr="00351A46" w:rsidRDefault="006B31EA" w:rsidP="00424333">
            <w:pPr>
              <w:rPr>
                <w:sz w:val="20"/>
                <w:szCs w:val="20"/>
                <w:lang w:val="en-AU"/>
              </w:rPr>
            </w:pPr>
          </w:p>
          <w:p w14:paraId="725F7650" w14:textId="5E49F63C" w:rsidR="00BA3EAD" w:rsidRPr="00351A46" w:rsidRDefault="00BA3EAD" w:rsidP="00424333">
            <w:pPr>
              <w:rPr>
                <w:sz w:val="20"/>
                <w:szCs w:val="20"/>
                <w:lang w:val="en-AU"/>
              </w:rPr>
            </w:pPr>
            <w:r w:rsidRPr="00351A46">
              <w:rPr>
                <w:sz w:val="20"/>
                <w:szCs w:val="20"/>
                <w:lang w:val="en-AU"/>
              </w:rPr>
              <w:t>Alignment of key stakeholder interests to ensure passage of policy/regulation.</w:t>
            </w:r>
          </w:p>
          <w:p w14:paraId="480AC28F" w14:textId="77777777" w:rsidR="006B31EA" w:rsidRPr="00381388" w:rsidRDefault="006B31EA" w:rsidP="00424333">
            <w:pPr>
              <w:numPr>
                <w:ilvl w:val="1"/>
                <w:numId w:val="0"/>
              </w:numPr>
              <w:rPr>
                <w:rFonts w:eastAsiaTheme="minorEastAsia"/>
                <w:color w:val="5A5A5A" w:themeColor="text1" w:themeTint="A5"/>
                <w:spacing w:val="15"/>
                <w:sz w:val="20"/>
                <w:szCs w:val="20"/>
                <w:lang w:val="en-AU"/>
              </w:rPr>
            </w:pPr>
          </w:p>
          <w:p w14:paraId="786061BE" w14:textId="56783483" w:rsidR="00BA3EAD" w:rsidRPr="00351A46" w:rsidRDefault="00BA3EAD" w:rsidP="00424333">
            <w:pPr>
              <w:rPr>
                <w:sz w:val="20"/>
                <w:szCs w:val="20"/>
                <w:lang w:val="en-AU"/>
              </w:rPr>
            </w:pPr>
            <w:r w:rsidRPr="00351A46">
              <w:rPr>
                <w:sz w:val="20"/>
                <w:szCs w:val="20"/>
                <w:lang w:val="en-AU"/>
              </w:rPr>
              <w:t>Relevant agencies have capacity and motivation to implement these policies/regulations.</w:t>
            </w:r>
          </w:p>
          <w:p w14:paraId="42F03E7B" w14:textId="77777777" w:rsidR="006B31EA" w:rsidRPr="00381388" w:rsidRDefault="006B31EA" w:rsidP="00424333">
            <w:pPr>
              <w:numPr>
                <w:ilvl w:val="1"/>
                <w:numId w:val="0"/>
              </w:numPr>
              <w:rPr>
                <w:rFonts w:eastAsiaTheme="minorEastAsia"/>
                <w:color w:val="5A5A5A" w:themeColor="text1" w:themeTint="A5"/>
                <w:spacing w:val="15"/>
                <w:sz w:val="20"/>
                <w:szCs w:val="20"/>
                <w:lang w:val="en-AU"/>
              </w:rPr>
            </w:pPr>
          </w:p>
          <w:p w14:paraId="29B39446" w14:textId="5C8361D3" w:rsidR="00BA3EAD" w:rsidRPr="00351A46" w:rsidRDefault="00BA3EAD" w:rsidP="00424333">
            <w:pPr>
              <w:rPr>
                <w:sz w:val="20"/>
                <w:szCs w:val="20"/>
                <w:lang w:val="en-AU"/>
              </w:rPr>
            </w:pPr>
            <w:r w:rsidRPr="00351A46">
              <w:rPr>
                <w:sz w:val="20"/>
                <w:szCs w:val="20"/>
                <w:lang w:val="en-AU"/>
              </w:rPr>
              <w:t xml:space="preserve">Universities are aware of regulatory/policy changes. </w:t>
            </w:r>
          </w:p>
          <w:p w14:paraId="5FD6C755" w14:textId="77777777" w:rsidR="006B31EA" w:rsidRPr="00381388" w:rsidRDefault="006B31EA" w:rsidP="00424333">
            <w:pPr>
              <w:numPr>
                <w:ilvl w:val="1"/>
                <w:numId w:val="0"/>
              </w:numPr>
              <w:rPr>
                <w:rFonts w:eastAsiaTheme="minorEastAsia"/>
                <w:color w:val="5A5A5A" w:themeColor="text1" w:themeTint="A5"/>
                <w:spacing w:val="15"/>
                <w:sz w:val="20"/>
                <w:szCs w:val="20"/>
                <w:lang w:val="en-AU"/>
              </w:rPr>
            </w:pPr>
          </w:p>
          <w:p w14:paraId="694BFCEC" w14:textId="67500F53" w:rsidR="00BA3EAD" w:rsidRPr="00351A46" w:rsidRDefault="00BA3EAD" w:rsidP="00424333">
            <w:pPr>
              <w:rPr>
                <w:sz w:val="20"/>
                <w:szCs w:val="20"/>
                <w:lang w:val="en-AU"/>
              </w:rPr>
            </w:pPr>
            <w:r w:rsidRPr="00351A46">
              <w:rPr>
                <w:sz w:val="20"/>
                <w:szCs w:val="20"/>
                <w:lang w:val="en-AU"/>
              </w:rPr>
              <w:t>Selected universities already implementing approaches to improve incentives or have capacity and motivation to try new approaches (e</w:t>
            </w:r>
            <w:r w:rsidR="0040738E" w:rsidRPr="00351A46">
              <w:rPr>
                <w:sz w:val="20"/>
                <w:szCs w:val="20"/>
                <w:lang w:val="en-AU"/>
              </w:rPr>
              <w:t>.</w:t>
            </w:r>
            <w:r w:rsidRPr="00351A46">
              <w:rPr>
                <w:sz w:val="20"/>
                <w:szCs w:val="20"/>
                <w:lang w:val="en-AU"/>
              </w:rPr>
              <w:t>g</w:t>
            </w:r>
            <w:r w:rsidR="0040738E" w:rsidRPr="00351A46">
              <w:rPr>
                <w:sz w:val="20"/>
                <w:szCs w:val="20"/>
                <w:lang w:val="en-AU"/>
              </w:rPr>
              <w:t>.</w:t>
            </w:r>
            <w:r w:rsidRPr="00351A46">
              <w:rPr>
                <w:sz w:val="20"/>
                <w:szCs w:val="20"/>
                <w:lang w:val="en-AU"/>
              </w:rPr>
              <w:t xml:space="preserve"> top, autonomous universities wanting to improve their ranking). </w:t>
            </w:r>
          </w:p>
          <w:p w14:paraId="2332CC1E" w14:textId="77777777" w:rsidR="00BA3EAD" w:rsidRPr="00381388" w:rsidRDefault="00BA3EAD" w:rsidP="00424333">
            <w:pPr>
              <w:numPr>
                <w:ilvl w:val="1"/>
                <w:numId w:val="0"/>
              </w:numPr>
              <w:rPr>
                <w:rFonts w:eastAsiaTheme="minorEastAsia"/>
                <w:color w:val="000000" w:themeColor="text1"/>
                <w:spacing w:val="15"/>
                <w:sz w:val="20"/>
                <w:szCs w:val="20"/>
                <w:lang w:val="en-AU" w:eastAsia="en-ID"/>
              </w:rPr>
            </w:pPr>
          </w:p>
        </w:tc>
        <w:tc>
          <w:tcPr>
            <w:tcW w:w="3127" w:type="dxa"/>
            <w:shd w:val="clear" w:color="auto" w:fill="FFF2CC" w:themeFill="accent4" w:themeFillTint="33"/>
          </w:tcPr>
          <w:p w14:paraId="5E909EEA" w14:textId="5871517B" w:rsidR="006B31EA" w:rsidRPr="00351A46" w:rsidRDefault="00BA3EAD" w:rsidP="00424333">
            <w:pPr>
              <w:rPr>
                <w:sz w:val="20"/>
                <w:szCs w:val="20"/>
                <w:lang w:val="en-AU"/>
              </w:rPr>
            </w:pPr>
            <w:r w:rsidRPr="00351A46">
              <w:rPr>
                <w:i/>
                <w:sz w:val="20"/>
                <w:szCs w:val="20"/>
                <w:lang w:val="en-AU"/>
              </w:rPr>
              <w:t xml:space="preserve">Connect and align: </w:t>
            </w:r>
            <w:r w:rsidRPr="00351A46">
              <w:rPr>
                <w:sz w:val="20"/>
                <w:szCs w:val="20"/>
                <w:lang w:val="en-AU"/>
              </w:rPr>
              <w:t xml:space="preserve">Fund and provide logistics for </w:t>
            </w:r>
            <w:r w:rsidR="0099624F" w:rsidRPr="00351A46">
              <w:rPr>
                <w:sz w:val="20"/>
                <w:szCs w:val="20"/>
                <w:lang w:val="en-AU"/>
              </w:rPr>
              <w:t>key stakeholders</w:t>
            </w:r>
            <w:r w:rsidRPr="00351A46">
              <w:rPr>
                <w:sz w:val="20"/>
                <w:szCs w:val="20"/>
                <w:lang w:val="en-AU"/>
              </w:rPr>
              <w:t xml:space="preserve"> to meet to identify and address priority policy/regulatory barriers</w:t>
            </w:r>
            <w:r w:rsidR="00D0604A" w:rsidRPr="00351A46">
              <w:rPr>
                <w:sz w:val="20"/>
                <w:szCs w:val="20"/>
                <w:lang w:val="en-AU"/>
              </w:rPr>
              <w:t xml:space="preserve">. </w:t>
            </w:r>
          </w:p>
          <w:p w14:paraId="581BC9D4" w14:textId="65542F6B" w:rsidR="00BA3EAD" w:rsidRPr="00351A46" w:rsidRDefault="00BA3EAD" w:rsidP="00424333">
            <w:pPr>
              <w:rPr>
                <w:sz w:val="20"/>
                <w:szCs w:val="20"/>
                <w:lang w:val="en-AU"/>
              </w:rPr>
            </w:pPr>
            <w:r w:rsidRPr="00351A46">
              <w:rPr>
                <w:sz w:val="20"/>
                <w:szCs w:val="20"/>
                <w:lang w:val="en-AU"/>
              </w:rPr>
              <w:t>Commission studies to inform these discussions. Fund and provide logistics for Change Leadership Network (Echelon 1) to meet</w:t>
            </w:r>
            <w:r w:rsidR="00077E49" w:rsidRPr="00351A46">
              <w:rPr>
                <w:sz w:val="20"/>
                <w:szCs w:val="20"/>
                <w:lang w:val="en-AU"/>
              </w:rPr>
              <w:t>,</w:t>
            </w:r>
            <w:r w:rsidRPr="00351A46">
              <w:rPr>
                <w:sz w:val="20"/>
                <w:szCs w:val="20"/>
                <w:lang w:val="en-AU"/>
              </w:rPr>
              <w:t xml:space="preserve"> discuss and address high</w:t>
            </w:r>
            <w:r w:rsidR="00077E49" w:rsidRPr="00351A46">
              <w:rPr>
                <w:sz w:val="20"/>
                <w:szCs w:val="20"/>
                <w:lang w:val="en-AU"/>
              </w:rPr>
              <w:t>-</w:t>
            </w:r>
            <w:r w:rsidRPr="00351A46">
              <w:rPr>
                <w:sz w:val="20"/>
                <w:szCs w:val="20"/>
                <w:lang w:val="en-AU"/>
              </w:rPr>
              <w:t>level strategic issues. Ensure right people are involved</w:t>
            </w:r>
            <w:r w:rsidR="00D0604A" w:rsidRPr="00351A46">
              <w:rPr>
                <w:sz w:val="20"/>
                <w:szCs w:val="20"/>
                <w:lang w:val="en-AU"/>
              </w:rPr>
              <w:t xml:space="preserve">. </w:t>
            </w:r>
          </w:p>
          <w:p w14:paraId="69ABF7E1" w14:textId="77777777" w:rsidR="006B31EA" w:rsidRPr="00381388" w:rsidRDefault="006B31EA" w:rsidP="00424333">
            <w:pPr>
              <w:numPr>
                <w:ilvl w:val="1"/>
                <w:numId w:val="0"/>
              </w:numPr>
              <w:rPr>
                <w:rFonts w:eastAsiaTheme="minorEastAsia"/>
                <w:i/>
                <w:color w:val="5A5A5A" w:themeColor="text1" w:themeTint="A5"/>
                <w:spacing w:val="15"/>
                <w:sz w:val="20"/>
                <w:szCs w:val="20"/>
                <w:lang w:val="en-AU"/>
              </w:rPr>
            </w:pPr>
          </w:p>
          <w:p w14:paraId="40F8E6A5" w14:textId="3D9602B5" w:rsidR="00BA3EAD" w:rsidRPr="00351A46" w:rsidRDefault="00BA3EAD" w:rsidP="00424333">
            <w:pPr>
              <w:rPr>
                <w:sz w:val="20"/>
                <w:szCs w:val="20"/>
                <w:lang w:val="en-AU"/>
              </w:rPr>
            </w:pPr>
            <w:r w:rsidRPr="00351A46">
              <w:rPr>
                <w:i/>
                <w:sz w:val="20"/>
                <w:szCs w:val="20"/>
                <w:lang w:val="en-AU"/>
              </w:rPr>
              <w:t>Critical friend:</w:t>
            </w:r>
            <w:r w:rsidRPr="00351A46">
              <w:rPr>
                <w:sz w:val="20"/>
                <w:szCs w:val="20"/>
                <w:lang w:val="en-AU"/>
              </w:rPr>
              <w:t xml:space="preserve"> Engage with </w:t>
            </w:r>
            <w:r w:rsidR="0099624F" w:rsidRPr="00351A46">
              <w:rPr>
                <w:sz w:val="20"/>
                <w:szCs w:val="20"/>
                <w:lang w:val="en-AU"/>
              </w:rPr>
              <w:t>key stakeholders</w:t>
            </w:r>
            <w:r w:rsidRPr="00351A46">
              <w:rPr>
                <w:sz w:val="20"/>
                <w:szCs w:val="20"/>
                <w:lang w:val="en-AU"/>
              </w:rPr>
              <w:t xml:space="preserve"> to provide suggestions, test ideas</w:t>
            </w:r>
            <w:r w:rsidR="00760FEB">
              <w:rPr>
                <w:sz w:val="20"/>
                <w:szCs w:val="20"/>
                <w:lang w:val="en-AU"/>
              </w:rPr>
              <w:t xml:space="preserve"> and </w:t>
            </w:r>
            <w:r w:rsidRPr="00351A46">
              <w:rPr>
                <w:sz w:val="20"/>
                <w:szCs w:val="20"/>
                <w:lang w:val="en-AU"/>
              </w:rPr>
              <w:t xml:space="preserve">bring in experts or alternative voices to </w:t>
            </w:r>
            <w:r w:rsidR="00077E49" w:rsidRPr="00351A46">
              <w:rPr>
                <w:sz w:val="20"/>
                <w:szCs w:val="20"/>
                <w:lang w:val="en-AU"/>
              </w:rPr>
              <w:t xml:space="preserve">gain </w:t>
            </w:r>
            <w:r w:rsidRPr="00351A46">
              <w:rPr>
                <w:sz w:val="20"/>
                <w:szCs w:val="20"/>
                <w:lang w:val="en-AU"/>
              </w:rPr>
              <w:t>expos</w:t>
            </w:r>
            <w:r w:rsidR="00077E49" w:rsidRPr="00351A46">
              <w:rPr>
                <w:sz w:val="20"/>
                <w:szCs w:val="20"/>
                <w:lang w:val="en-AU"/>
              </w:rPr>
              <w:t>ur</w:t>
            </w:r>
            <w:r w:rsidRPr="00351A46">
              <w:rPr>
                <w:sz w:val="20"/>
                <w:szCs w:val="20"/>
                <w:lang w:val="en-AU"/>
              </w:rPr>
              <w:t>e to different ideas to better address university incentives.</w:t>
            </w:r>
          </w:p>
          <w:p w14:paraId="0551750B" w14:textId="77777777" w:rsidR="006B31EA" w:rsidRPr="00381388" w:rsidRDefault="006B31EA" w:rsidP="00424333">
            <w:pPr>
              <w:numPr>
                <w:ilvl w:val="1"/>
                <w:numId w:val="0"/>
              </w:numPr>
              <w:rPr>
                <w:rFonts w:eastAsiaTheme="minorEastAsia"/>
                <w:i/>
                <w:color w:val="5A5A5A" w:themeColor="text1" w:themeTint="A5"/>
                <w:spacing w:val="15"/>
                <w:sz w:val="20"/>
                <w:szCs w:val="20"/>
                <w:lang w:val="en-AU"/>
              </w:rPr>
            </w:pPr>
          </w:p>
          <w:p w14:paraId="6C987369" w14:textId="00800F3E" w:rsidR="00BA3EAD" w:rsidRPr="00351A46" w:rsidRDefault="00BA3EAD" w:rsidP="00424333">
            <w:pPr>
              <w:rPr>
                <w:sz w:val="20"/>
                <w:szCs w:val="20"/>
                <w:lang w:val="en-AU"/>
              </w:rPr>
            </w:pPr>
            <w:r w:rsidRPr="00351A46">
              <w:rPr>
                <w:i/>
                <w:sz w:val="20"/>
                <w:szCs w:val="20"/>
                <w:lang w:val="en-AU"/>
              </w:rPr>
              <w:t xml:space="preserve">Accelerate or initiate: </w:t>
            </w:r>
            <w:r w:rsidRPr="00351A46">
              <w:rPr>
                <w:sz w:val="20"/>
                <w:szCs w:val="20"/>
                <w:lang w:val="en-AU"/>
              </w:rPr>
              <w:t xml:space="preserve">Identify universities implementing approaches to improve incentives or </w:t>
            </w:r>
            <w:r w:rsidR="0040738E" w:rsidRPr="00351A46">
              <w:rPr>
                <w:sz w:val="20"/>
                <w:szCs w:val="20"/>
                <w:lang w:val="en-AU"/>
              </w:rPr>
              <w:t xml:space="preserve">that are </w:t>
            </w:r>
            <w:r w:rsidRPr="00351A46">
              <w:rPr>
                <w:sz w:val="20"/>
                <w:szCs w:val="20"/>
                <w:lang w:val="en-AU"/>
              </w:rPr>
              <w:t>interest</w:t>
            </w:r>
            <w:r w:rsidR="0040738E" w:rsidRPr="00351A46">
              <w:rPr>
                <w:sz w:val="20"/>
                <w:szCs w:val="20"/>
                <w:lang w:val="en-AU"/>
              </w:rPr>
              <w:t>ed</w:t>
            </w:r>
            <w:r w:rsidRPr="00351A46">
              <w:rPr>
                <w:sz w:val="20"/>
                <w:szCs w:val="20"/>
                <w:lang w:val="en-AU"/>
              </w:rPr>
              <w:t xml:space="preserve"> in trying new approaches – including improving incentives and</w:t>
            </w:r>
            <w:r w:rsidR="003568F8" w:rsidRPr="00351A46">
              <w:rPr>
                <w:sz w:val="20"/>
                <w:szCs w:val="20"/>
                <w:lang w:val="en-AU"/>
              </w:rPr>
              <w:t xml:space="preserve"> </w:t>
            </w:r>
            <w:r w:rsidR="00E941A1" w:rsidRPr="00351A46">
              <w:rPr>
                <w:sz w:val="20"/>
                <w:szCs w:val="20"/>
                <w:lang w:val="en-AU"/>
              </w:rPr>
              <w:t>opportunities for</w:t>
            </w:r>
            <w:r w:rsidRPr="00351A46">
              <w:rPr>
                <w:sz w:val="20"/>
                <w:szCs w:val="20"/>
                <w:lang w:val="en-AU"/>
              </w:rPr>
              <w:t xml:space="preserve"> </w:t>
            </w:r>
            <w:r w:rsidR="0040738E" w:rsidRPr="00351A46">
              <w:rPr>
                <w:sz w:val="20"/>
                <w:szCs w:val="20"/>
                <w:lang w:val="en-AU"/>
              </w:rPr>
              <w:t xml:space="preserve">female </w:t>
            </w:r>
            <w:r w:rsidRPr="00351A46">
              <w:rPr>
                <w:sz w:val="20"/>
                <w:szCs w:val="20"/>
                <w:lang w:val="en-AU"/>
              </w:rPr>
              <w:t xml:space="preserve">academics. Provide technical expertise as needed to strengthen approaches. Commission action research to capture learning. </w:t>
            </w:r>
          </w:p>
          <w:p w14:paraId="2103D59B" w14:textId="77777777" w:rsidR="006B31EA" w:rsidRPr="00381388" w:rsidRDefault="006B31EA" w:rsidP="00424333">
            <w:pPr>
              <w:numPr>
                <w:ilvl w:val="1"/>
                <w:numId w:val="0"/>
              </w:numPr>
              <w:rPr>
                <w:rFonts w:eastAsiaTheme="minorEastAsia"/>
                <w:i/>
                <w:color w:val="5A5A5A" w:themeColor="text1" w:themeTint="A5"/>
                <w:spacing w:val="15"/>
                <w:sz w:val="20"/>
                <w:szCs w:val="20"/>
                <w:lang w:val="en-AU"/>
              </w:rPr>
            </w:pPr>
          </w:p>
          <w:p w14:paraId="52DB63CE" w14:textId="4BD5654F" w:rsidR="00BA3EAD" w:rsidRPr="00351A46" w:rsidRDefault="00BA3EAD" w:rsidP="00424333">
            <w:pPr>
              <w:rPr>
                <w:sz w:val="20"/>
                <w:szCs w:val="20"/>
                <w:lang w:val="en-AU"/>
              </w:rPr>
            </w:pPr>
            <w:r w:rsidRPr="00351A46">
              <w:rPr>
                <w:i/>
                <w:sz w:val="20"/>
                <w:szCs w:val="20"/>
                <w:lang w:val="en-AU"/>
              </w:rPr>
              <w:t>Amplify:</w:t>
            </w:r>
            <w:r w:rsidRPr="00351A46">
              <w:rPr>
                <w:sz w:val="20"/>
                <w:szCs w:val="20"/>
                <w:lang w:val="en-AU"/>
              </w:rPr>
              <w:t xml:space="preserve"> Use media and facilitated workshops with universities and government to generate discussion and interest in university models to improve incentives for quality policy research. </w:t>
            </w:r>
          </w:p>
          <w:p w14:paraId="2B264E09" w14:textId="77777777" w:rsidR="006B31EA" w:rsidRPr="00381388" w:rsidRDefault="006B31EA" w:rsidP="00424333">
            <w:pPr>
              <w:numPr>
                <w:ilvl w:val="1"/>
                <w:numId w:val="0"/>
              </w:numPr>
              <w:rPr>
                <w:rFonts w:eastAsiaTheme="minorEastAsia"/>
                <w:i/>
                <w:color w:val="5A5A5A" w:themeColor="text1" w:themeTint="A5"/>
                <w:spacing w:val="15"/>
                <w:sz w:val="20"/>
                <w:szCs w:val="20"/>
                <w:lang w:val="en-AU"/>
              </w:rPr>
            </w:pPr>
          </w:p>
          <w:p w14:paraId="43887BB4" w14:textId="77777777" w:rsidR="00BA3EAD" w:rsidRDefault="00BA3EAD" w:rsidP="00424333">
            <w:pPr>
              <w:rPr>
                <w:sz w:val="20"/>
                <w:szCs w:val="20"/>
                <w:lang w:val="en-AU"/>
              </w:rPr>
            </w:pPr>
            <w:r w:rsidRPr="00351A46">
              <w:rPr>
                <w:i/>
                <w:sz w:val="20"/>
                <w:szCs w:val="20"/>
                <w:lang w:val="en-AU"/>
              </w:rPr>
              <w:t xml:space="preserve">Amplify: </w:t>
            </w:r>
            <w:r w:rsidRPr="00351A46">
              <w:rPr>
                <w:sz w:val="20"/>
                <w:szCs w:val="20"/>
                <w:lang w:val="en-AU"/>
              </w:rPr>
              <w:t xml:space="preserve">Use media to promote better understanding of challenges within the research environment in Indonesia’s universities. </w:t>
            </w:r>
          </w:p>
          <w:p w14:paraId="4590C9AD" w14:textId="77777777" w:rsidR="00760FEB" w:rsidRPr="00381388" w:rsidRDefault="00760FEB" w:rsidP="00424333">
            <w:pPr>
              <w:rPr>
                <w:color w:val="000000" w:themeColor="text1"/>
                <w:sz w:val="20"/>
                <w:szCs w:val="20"/>
                <w:lang w:val="en-AU" w:eastAsia="en-ID"/>
              </w:rPr>
            </w:pPr>
          </w:p>
        </w:tc>
        <w:tc>
          <w:tcPr>
            <w:tcW w:w="2700" w:type="dxa"/>
            <w:shd w:val="clear" w:color="auto" w:fill="FFF2CC" w:themeFill="accent4" w:themeFillTint="33"/>
          </w:tcPr>
          <w:p w14:paraId="32A5BCC4" w14:textId="26FAAE1F" w:rsidR="00BA3EAD" w:rsidRPr="00351A46" w:rsidRDefault="003A13FD" w:rsidP="00424333">
            <w:pPr>
              <w:rPr>
                <w:sz w:val="20"/>
                <w:szCs w:val="20"/>
                <w:lang w:val="en-AU"/>
              </w:rPr>
            </w:pPr>
            <w:r w:rsidRPr="00351A46">
              <w:rPr>
                <w:sz w:val="20"/>
                <w:szCs w:val="20"/>
                <w:lang w:val="en-AU"/>
              </w:rPr>
              <w:t>Kemenristekdikti considers r</w:t>
            </w:r>
            <w:r w:rsidR="00BA3EAD" w:rsidRPr="00351A46">
              <w:rPr>
                <w:sz w:val="20"/>
                <w:szCs w:val="20"/>
                <w:lang w:val="en-AU"/>
              </w:rPr>
              <w:t>ecommendation</w:t>
            </w:r>
            <w:r w:rsidRPr="00351A46">
              <w:rPr>
                <w:sz w:val="20"/>
                <w:szCs w:val="20"/>
                <w:lang w:val="en-AU"/>
              </w:rPr>
              <w:t xml:space="preserve">s from review of lecturer credit system to revise regulation to </w:t>
            </w:r>
            <w:r w:rsidR="00BA3EAD" w:rsidRPr="00351A46">
              <w:rPr>
                <w:sz w:val="20"/>
                <w:szCs w:val="20"/>
                <w:lang w:val="en-AU"/>
              </w:rPr>
              <w:t>incentivise policy research.</w:t>
            </w:r>
          </w:p>
          <w:p w14:paraId="6549AAC8" w14:textId="77777777" w:rsidR="006B31EA" w:rsidRPr="00381388" w:rsidRDefault="006B31EA" w:rsidP="00424333">
            <w:pPr>
              <w:numPr>
                <w:ilvl w:val="1"/>
                <w:numId w:val="0"/>
              </w:numPr>
              <w:rPr>
                <w:rFonts w:eastAsiaTheme="minorEastAsia"/>
                <w:color w:val="5A5A5A" w:themeColor="text1" w:themeTint="A5"/>
                <w:spacing w:val="15"/>
                <w:sz w:val="20"/>
                <w:szCs w:val="20"/>
                <w:lang w:val="en-AU"/>
              </w:rPr>
            </w:pPr>
          </w:p>
          <w:p w14:paraId="224642FB" w14:textId="58AD9738" w:rsidR="00BA3EAD" w:rsidRPr="00351A46" w:rsidRDefault="00BA3EAD" w:rsidP="00424333">
            <w:pPr>
              <w:rPr>
                <w:sz w:val="20"/>
                <w:szCs w:val="20"/>
                <w:lang w:val="en-AU"/>
              </w:rPr>
            </w:pPr>
            <w:r w:rsidRPr="00351A46">
              <w:rPr>
                <w:sz w:val="20"/>
                <w:szCs w:val="20"/>
                <w:lang w:val="en-AU"/>
              </w:rPr>
              <w:t>Kem</w:t>
            </w:r>
            <w:r w:rsidR="00D7540D" w:rsidRPr="00351A46">
              <w:rPr>
                <w:sz w:val="20"/>
                <w:szCs w:val="20"/>
                <w:lang w:val="en-AU"/>
              </w:rPr>
              <w:t>en</w:t>
            </w:r>
            <w:r w:rsidRPr="00351A46">
              <w:rPr>
                <w:sz w:val="20"/>
                <w:szCs w:val="20"/>
                <w:lang w:val="en-AU"/>
              </w:rPr>
              <w:t xml:space="preserve">ristekdikti passes GESI research grant guidelines (April 2018), socialises these and starts implementing (including engaging GESI expertise to peer review grant applications). </w:t>
            </w:r>
          </w:p>
          <w:p w14:paraId="5629AB92" w14:textId="77777777" w:rsidR="006B31EA" w:rsidRPr="00381388" w:rsidRDefault="006B31EA" w:rsidP="00424333">
            <w:pPr>
              <w:numPr>
                <w:ilvl w:val="1"/>
                <w:numId w:val="0"/>
              </w:numPr>
              <w:rPr>
                <w:rFonts w:eastAsiaTheme="minorEastAsia"/>
                <w:color w:val="5A5A5A" w:themeColor="text1" w:themeTint="A5"/>
                <w:spacing w:val="15"/>
                <w:sz w:val="20"/>
                <w:szCs w:val="20"/>
                <w:lang w:val="en-AU"/>
              </w:rPr>
            </w:pPr>
          </w:p>
          <w:p w14:paraId="7BB235BC" w14:textId="10EECA66" w:rsidR="00BA3EAD" w:rsidRPr="00351A46" w:rsidRDefault="00BA3EAD" w:rsidP="00424333">
            <w:pPr>
              <w:rPr>
                <w:sz w:val="20"/>
                <w:szCs w:val="20"/>
                <w:lang w:val="en-AU"/>
              </w:rPr>
            </w:pPr>
            <w:r w:rsidRPr="00351A46">
              <w:rPr>
                <w:sz w:val="20"/>
                <w:szCs w:val="20"/>
                <w:lang w:val="en-AU"/>
              </w:rPr>
              <w:t xml:space="preserve">Design of study on research competitiveness in Indonesian universities to introduce new ideas to </w:t>
            </w:r>
            <w:r w:rsidR="0040738E" w:rsidRPr="00351A46">
              <w:rPr>
                <w:sz w:val="20"/>
                <w:szCs w:val="20"/>
                <w:lang w:val="en-AU"/>
              </w:rPr>
              <w:t>w</w:t>
            </w:r>
            <w:r w:rsidRPr="00351A46">
              <w:rPr>
                <w:sz w:val="20"/>
                <w:szCs w:val="20"/>
                <w:lang w:val="en-AU"/>
              </w:rPr>
              <w:t xml:space="preserve">orking </w:t>
            </w:r>
            <w:r w:rsidR="0040738E" w:rsidRPr="00351A46">
              <w:rPr>
                <w:sz w:val="20"/>
                <w:szCs w:val="20"/>
                <w:lang w:val="en-AU"/>
              </w:rPr>
              <w:t>g</w:t>
            </w:r>
            <w:r w:rsidRPr="00351A46">
              <w:rPr>
                <w:sz w:val="20"/>
                <w:szCs w:val="20"/>
                <w:lang w:val="en-AU"/>
              </w:rPr>
              <w:t xml:space="preserve">roup. Support from </w:t>
            </w:r>
            <w:r w:rsidR="003A2993" w:rsidRPr="00351A46">
              <w:rPr>
                <w:sz w:val="20"/>
                <w:szCs w:val="20"/>
                <w:lang w:val="en-AU"/>
              </w:rPr>
              <w:t>key stakeholders</w:t>
            </w:r>
            <w:r w:rsidRPr="00351A46">
              <w:rPr>
                <w:sz w:val="20"/>
                <w:szCs w:val="20"/>
                <w:lang w:val="en-AU"/>
              </w:rPr>
              <w:t xml:space="preserve"> for this research. </w:t>
            </w:r>
          </w:p>
          <w:p w14:paraId="17A7F5FB" w14:textId="77777777" w:rsidR="006B31EA" w:rsidRPr="00381388" w:rsidRDefault="006B31EA" w:rsidP="00424333">
            <w:pPr>
              <w:numPr>
                <w:ilvl w:val="1"/>
                <w:numId w:val="0"/>
              </w:numPr>
              <w:rPr>
                <w:rFonts w:eastAsiaTheme="minorEastAsia"/>
                <w:color w:val="5A5A5A" w:themeColor="text1" w:themeTint="A5"/>
                <w:spacing w:val="15"/>
                <w:sz w:val="20"/>
                <w:szCs w:val="20"/>
                <w:lang w:val="en-AU"/>
              </w:rPr>
            </w:pPr>
          </w:p>
          <w:p w14:paraId="4E53B425" w14:textId="33D75D2F" w:rsidR="00BA3EAD" w:rsidRPr="00351A46" w:rsidRDefault="00BA3EAD" w:rsidP="00424333">
            <w:pPr>
              <w:rPr>
                <w:sz w:val="20"/>
                <w:szCs w:val="20"/>
                <w:lang w:val="en-AU"/>
              </w:rPr>
            </w:pPr>
            <w:r w:rsidRPr="00351A46">
              <w:rPr>
                <w:sz w:val="20"/>
                <w:szCs w:val="20"/>
                <w:lang w:val="en-AU"/>
              </w:rPr>
              <w:t xml:space="preserve">Identification and development of university models and action research approach. </w:t>
            </w:r>
            <w:r w:rsidR="003A2993" w:rsidRPr="00351A46">
              <w:rPr>
                <w:sz w:val="20"/>
                <w:szCs w:val="20"/>
                <w:lang w:val="en-AU"/>
              </w:rPr>
              <w:t>Support from key stakeholders for this work.</w:t>
            </w:r>
          </w:p>
          <w:p w14:paraId="21944DEA" w14:textId="77777777" w:rsidR="006B31EA" w:rsidRPr="00381388" w:rsidRDefault="006B31EA" w:rsidP="00424333">
            <w:pPr>
              <w:numPr>
                <w:ilvl w:val="1"/>
                <w:numId w:val="0"/>
              </w:numPr>
              <w:rPr>
                <w:rFonts w:eastAsiaTheme="minorEastAsia"/>
                <w:color w:val="5A5A5A" w:themeColor="text1" w:themeTint="A5"/>
                <w:spacing w:val="15"/>
                <w:sz w:val="20"/>
                <w:szCs w:val="20"/>
                <w:lang w:val="en-AU"/>
              </w:rPr>
            </w:pPr>
          </w:p>
          <w:p w14:paraId="7C32DD0F" w14:textId="52D1F047" w:rsidR="00BA3EAD" w:rsidRPr="00351A46" w:rsidRDefault="00BA3EAD" w:rsidP="00424333">
            <w:pPr>
              <w:rPr>
                <w:sz w:val="20"/>
                <w:szCs w:val="20"/>
                <w:lang w:val="en-AU"/>
              </w:rPr>
            </w:pPr>
            <w:r w:rsidRPr="00351A46">
              <w:rPr>
                <w:sz w:val="20"/>
                <w:szCs w:val="20"/>
                <w:lang w:val="en-AU"/>
              </w:rPr>
              <w:t xml:space="preserve">Design of Athena SWAN/SAGE pilot </w:t>
            </w:r>
            <w:r w:rsidR="008C3312" w:rsidRPr="00351A46">
              <w:rPr>
                <w:sz w:val="20"/>
                <w:szCs w:val="20"/>
                <w:lang w:val="en-AU"/>
              </w:rPr>
              <w:t>program</w:t>
            </w:r>
            <w:r w:rsidR="00D0604A" w:rsidRPr="00351A46">
              <w:rPr>
                <w:sz w:val="20"/>
                <w:szCs w:val="20"/>
                <w:lang w:val="en-AU"/>
              </w:rPr>
              <w:t xml:space="preserve"> </w:t>
            </w:r>
            <w:r w:rsidRPr="00351A46">
              <w:rPr>
                <w:sz w:val="20"/>
                <w:szCs w:val="20"/>
                <w:lang w:val="en-AU"/>
              </w:rPr>
              <w:t xml:space="preserve">(to improve incentives and </w:t>
            </w:r>
            <w:r w:rsidR="003568F8" w:rsidRPr="00351A46">
              <w:rPr>
                <w:sz w:val="20"/>
                <w:szCs w:val="20"/>
                <w:lang w:val="en-AU"/>
              </w:rPr>
              <w:t>opportunities</w:t>
            </w:r>
            <w:r w:rsidRPr="00351A46">
              <w:rPr>
                <w:sz w:val="20"/>
                <w:szCs w:val="20"/>
                <w:lang w:val="en-AU"/>
              </w:rPr>
              <w:t xml:space="preserve"> for </w:t>
            </w:r>
            <w:r w:rsidR="0040738E" w:rsidRPr="00351A46">
              <w:rPr>
                <w:sz w:val="20"/>
                <w:szCs w:val="20"/>
                <w:lang w:val="en-AU"/>
              </w:rPr>
              <w:t xml:space="preserve">female </w:t>
            </w:r>
            <w:r w:rsidRPr="00351A46">
              <w:rPr>
                <w:sz w:val="20"/>
                <w:szCs w:val="20"/>
                <w:lang w:val="en-AU"/>
              </w:rPr>
              <w:t xml:space="preserve">academics) and support from key stakeholders for this work. </w:t>
            </w:r>
          </w:p>
          <w:p w14:paraId="46577EB0" w14:textId="77777777" w:rsidR="00BA3EAD" w:rsidRPr="00381388" w:rsidRDefault="00BA3EAD" w:rsidP="00424333">
            <w:pPr>
              <w:numPr>
                <w:ilvl w:val="1"/>
                <w:numId w:val="0"/>
              </w:numPr>
              <w:rPr>
                <w:rFonts w:eastAsiaTheme="minorEastAsia"/>
                <w:color w:val="000000" w:themeColor="text1"/>
                <w:spacing w:val="15"/>
                <w:sz w:val="20"/>
                <w:szCs w:val="20"/>
                <w:lang w:val="en-AU" w:eastAsia="en-ID"/>
              </w:rPr>
            </w:pPr>
          </w:p>
        </w:tc>
      </w:tr>
    </w:tbl>
    <w:p w14:paraId="7C719E75" w14:textId="77777777" w:rsidR="00BA3EAD" w:rsidRPr="00351A46" w:rsidRDefault="00BA3EAD">
      <w:pPr>
        <w:rPr>
          <w:lang w:val="en-AU"/>
        </w:rPr>
        <w:sectPr w:rsidR="00BA3EAD" w:rsidRPr="00351A46" w:rsidSect="00BA3EAD">
          <w:pgSz w:w="11900" w:h="16850"/>
          <w:pgMar w:top="720" w:right="720" w:bottom="720" w:left="720" w:header="758" w:footer="0" w:gutter="0"/>
          <w:cols w:space="720"/>
          <w:docGrid w:linePitch="299"/>
        </w:sectPr>
      </w:pPr>
    </w:p>
    <w:p w14:paraId="12732A38" w14:textId="77777777" w:rsidR="000A7365" w:rsidRDefault="000A7365" w:rsidP="00424333">
      <w:pPr>
        <w:rPr>
          <w:lang w:val="en-AU"/>
        </w:rPr>
      </w:pPr>
    </w:p>
    <w:p w14:paraId="690B2EA8" w14:textId="2BB670A1" w:rsidR="00DA51E8" w:rsidRPr="00424333" w:rsidRDefault="00DA51E8">
      <w:pPr>
        <w:pStyle w:val="Heading4"/>
        <w:spacing w:line="240" w:lineRule="auto"/>
        <w:rPr>
          <w:sz w:val="16"/>
          <w:lang w:val="en-AU"/>
        </w:rPr>
      </w:pPr>
      <w:r w:rsidRPr="00351A46">
        <w:rPr>
          <w:lang w:val="en-AU"/>
        </w:rPr>
        <w:t xml:space="preserve">EOPO 3: Increased interaction, knowledge sharing and collaboration between researchers, policy analysts, policymakers and other key players in the </w:t>
      </w:r>
      <w:r w:rsidR="0040738E" w:rsidRPr="00351A46">
        <w:rPr>
          <w:lang w:val="en-AU"/>
        </w:rPr>
        <w:t>knowledge sector</w:t>
      </w:r>
      <w:r w:rsidRPr="00351A46">
        <w:rPr>
          <w:lang w:val="en-AU"/>
        </w:rPr>
        <w:br/>
      </w:r>
    </w:p>
    <w:p w14:paraId="4FB147DB" w14:textId="761274BD" w:rsidR="002A582F" w:rsidRPr="00351A46" w:rsidRDefault="00DA51E8">
      <w:pPr>
        <w:spacing w:after="0"/>
        <w:jc w:val="both"/>
        <w:rPr>
          <w:lang w:val="en-AU"/>
        </w:rPr>
      </w:pPr>
      <w:r w:rsidRPr="00351A46">
        <w:rPr>
          <w:lang w:val="en-AU"/>
        </w:rPr>
        <w:t xml:space="preserve">Policymakers tend to use evidence from researchers </w:t>
      </w:r>
      <w:r w:rsidR="00492A3B" w:rsidRPr="00351A46">
        <w:rPr>
          <w:lang w:val="en-AU"/>
        </w:rPr>
        <w:t xml:space="preserve">with whom </w:t>
      </w:r>
      <w:r w:rsidRPr="00351A46">
        <w:rPr>
          <w:lang w:val="en-AU"/>
        </w:rPr>
        <w:t>they have t</w:t>
      </w:r>
      <w:r w:rsidR="00492A3B" w:rsidRPr="00351A46">
        <w:rPr>
          <w:lang w:val="en-AU"/>
        </w:rPr>
        <w:t>rusted personal connections</w:t>
      </w:r>
      <w:r w:rsidRPr="00351A46">
        <w:rPr>
          <w:lang w:val="en-AU"/>
        </w:rPr>
        <w:t>.</w:t>
      </w:r>
      <w:r w:rsidRPr="00351A46">
        <w:rPr>
          <w:vertAlign w:val="superscript"/>
          <w:lang w:val="en-AU"/>
        </w:rPr>
        <w:footnoteReference w:id="10"/>
      </w:r>
      <w:r w:rsidRPr="00351A46">
        <w:rPr>
          <w:lang w:val="en-AU"/>
        </w:rPr>
        <w:t xml:space="preserve"> However, there are few formal spaces or mechanisms providing opportunities for researchers and policymakers to establish and strengthen these connections. </w:t>
      </w:r>
      <w:r w:rsidR="0001134F" w:rsidRPr="00351A46">
        <w:rPr>
          <w:lang w:val="en-AU"/>
        </w:rPr>
        <w:t xml:space="preserve">KSI will support collaboration between researchers and policymakers across </w:t>
      </w:r>
      <w:r w:rsidR="000864E7" w:rsidRPr="00351A46">
        <w:rPr>
          <w:lang w:val="en-AU"/>
        </w:rPr>
        <w:t>all</w:t>
      </w:r>
      <w:r w:rsidR="0001134F" w:rsidRPr="00351A46">
        <w:rPr>
          <w:lang w:val="en-AU"/>
        </w:rPr>
        <w:t xml:space="preserve"> its EOPOs and seek to </w:t>
      </w:r>
      <w:r w:rsidR="006F0AD5" w:rsidRPr="00351A46">
        <w:rPr>
          <w:lang w:val="en-AU"/>
        </w:rPr>
        <w:t xml:space="preserve">document and </w:t>
      </w:r>
      <w:r w:rsidR="0001134F" w:rsidRPr="00351A46">
        <w:rPr>
          <w:lang w:val="en-AU"/>
        </w:rPr>
        <w:t>learn from these approac</w:t>
      </w:r>
      <w:r w:rsidR="006F0AD5" w:rsidRPr="00351A46">
        <w:rPr>
          <w:lang w:val="en-AU"/>
        </w:rPr>
        <w:t>hes.</w:t>
      </w:r>
      <w:r w:rsidR="0001134F" w:rsidRPr="00351A46">
        <w:rPr>
          <w:lang w:val="en-AU"/>
        </w:rPr>
        <w:t xml:space="preserve"> While KSI will directly facilitate</w:t>
      </w:r>
      <w:r w:rsidR="00F02AFD">
        <w:rPr>
          <w:lang w:val="en-AU"/>
        </w:rPr>
        <w:t xml:space="preserve"> much </w:t>
      </w:r>
      <w:r w:rsidR="0001134F" w:rsidRPr="00351A46">
        <w:rPr>
          <w:lang w:val="en-AU"/>
        </w:rPr>
        <w:t xml:space="preserve">of this interaction, the focus of EOPO 3 will be on establishing sustainable mechanisms </w:t>
      </w:r>
      <w:r w:rsidR="000864E7" w:rsidRPr="00351A46">
        <w:rPr>
          <w:lang w:val="en-AU"/>
        </w:rPr>
        <w:t xml:space="preserve">that continue to enable interaction </w:t>
      </w:r>
      <w:r w:rsidR="0001134F" w:rsidRPr="00351A46">
        <w:rPr>
          <w:lang w:val="en-AU"/>
        </w:rPr>
        <w:t>between researchers, policy analysts, policymakers and other key players</w:t>
      </w:r>
      <w:r w:rsidR="000864E7" w:rsidRPr="00351A46">
        <w:rPr>
          <w:lang w:val="en-AU"/>
        </w:rPr>
        <w:t xml:space="preserve"> beyond the life of KSI Phase 2</w:t>
      </w:r>
      <w:r w:rsidR="0001134F" w:rsidRPr="00351A46">
        <w:rPr>
          <w:lang w:val="en-AU"/>
        </w:rPr>
        <w:t xml:space="preserve">. </w:t>
      </w:r>
      <w:r w:rsidRPr="00351A46">
        <w:rPr>
          <w:lang w:val="en-AU"/>
        </w:rPr>
        <w:t xml:space="preserve">These mechanisms may be physical or virtual forums or intermediary players that broker connections. </w:t>
      </w:r>
    </w:p>
    <w:p w14:paraId="31CD34E8" w14:textId="77777777" w:rsidR="002A582F" w:rsidRPr="00424333" w:rsidRDefault="002A582F">
      <w:pPr>
        <w:spacing w:after="0"/>
        <w:jc w:val="both"/>
        <w:rPr>
          <w:sz w:val="16"/>
          <w:lang w:val="en-AU"/>
        </w:rPr>
      </w:pPr>
    </w:p>
    <w:p w14:paraId="5E93F127" w14:textId="65FE8FDD" w:rsidR="00085C43" w:rsidRPr="00351A46" w:rsidRDefault="00DA51E8">
      <w:pPr>
        <w:spacing w:after="0"/>
        <w:jc w:val="both"/>
        <w:rPr>
          <w:lang w:val="en-AU"/>
        </w:rPr>
      </w:pPr>
      <w:r w:rsidRPr="00351A46">
        <w:rPr>
          <w:lang w:val="en-AU"/>
        </w:rPr>
        <w:t xml:space="preserve">KSI expects to see increased interaction, knowledge sharing and collaboration through </w:t>
      </w:r>
      <w:r w:rsidR="00085C43" w:rsidRPr="00351A46">
        <w:rPr>
          <w:lang w:val="en-AU"/>
        </w:rPr>
        <w:t xml:space="preserve">these </w:t>
      </w:r>
      <w:r w:rsidRPr="00351A46">
        <w:rPr>
          <w:lang w:val="en-AU"/>
        </w:rPr>
        <w:t>KSI-supported forums</w:t>
      </w:r>
      <w:r w:rsidR="002A582F" w:rsidRPr="00351A46">
        <w:rPr>
          <w:lang w:val="en-AU"/>
        </w:rPr>
        <w:t xml:space="preserve">. </w:t>
      </w:r>
      <w:r w:rsidR="007535B9" w:rsidRPr="00351A46">
        <w:rPr>
          <w:lang w:val="en-AU"/>
        </w:rPr>
        <w:t>Based on the theory of exchange-based trust, m</w:t>
      </w:r>
      <w:r w:rsidR="00A57E40" w:rsidRPr="00351A46">
        <w:rPr>
          <w:lang w:val="en-AU"/>
        </w:rPr>
        <w:t xml:space="preserve">ore regular interactions and positive experiences collaborating can lead to greater trust between stakeholders. </w:t>
      </w:r>
      <w:r w:rsidR="00085C43" w:rsidRPr="00351A46">
        <w:rPr>
          <w:lang w:val="en-AU"/>
        </w:rPr>
        <w:t>Over time, this may lead to more organic and spontaneous interactions</w:t>
      </w:r>
      <w:r w:rsidR="00760FEB">
        <w:rPr>
          <w:lang w:val="en-AU"/>
        </w:rPr>
        <w:t>,</w:t>
      </w:r>
      <w:r w:rsidR="00085C43" w:rsidRPr="00351A46">
        <w:rPr>
          <w:lang w:val="en-AU"/>
        </w:rPr>
        <w:t xml:space="preserve"> with stakeholders drawing upon these pre-existing relationships to collaborate on new emerging issues. </w:t>
      </w:r>
    </w:p>
    <w:p w14:paraId="194BDBB9" w14:textId="30D8FF6B" w:rsidR="003D6BBD" w:rsidRPr="00424333" w:rsidRDefault="003D6BBD">
      <w:pPr>
        <w:spacing w:after="0"/>
        <w:jc w:val="both"/>
        <w:rPr>
          <w:sz w:val="16"/>
          <w:lang w:val="en-AU"/>
        </w:rPr>
      </w:pPr>
    </w:p>
    <w:p w14:paraId="6D09C675" w14:textId="4BB4C1AE" w:rsidR="00DA51E8" w:rsidRPr="00351A46" w:rsidRDefault="00DA51E8">
      <w:pPr>
        <w:spacing w:after="0"/>
        <w:jc w:val="both"/>
        <w:rPr>
          <w:lang w:val="en-AU"/>
        </w:rPr>
      </w:pPr>
      <w:r w:rsidRPr="00351A46">
        <w:rPr>
          <w:lang w:val="en-AU"/>
        </w:rPr>
        <w:t>This work can improve research relevance (a key aspect of research quality–Focus Area 1) as increased interaction provide</w:t>
      </w:r>
      <w:r w:rsidR="0040738E" w:rsidRPr="00351A46">
        <w:rPr>
          <w:lang w:val="en-AU"/>
        </w:rPr>
        <w:t>s</w:t>
      </w:r>
      <w:r w:rsidRPr="00351A46">
        <w:rPr>
          <w:lang w:val="en-AU"/>
        </w:rPr>
        <w:t xml:space="preserve"> an opportunity for researchers to better understand </w:t>
      </w:r>
      <w:r w:rsidR="00E941A1" w:rsidRPr="00351A46">
        <w:rPr>
          <w:lang w:val="en-AU"/>
        </w:rPr>
        <w:t>policymakers’</w:t>
      </w:r>
      <w:r w:rsidRPr="00351A46">
        <w:rPr>
          <w:lang w:val="en-AU"/>
        </w:rPr>
        <w:t xml:space="preserve"> evidence needs. EOPO 3 contributes directly to KSI’s goal</w:t>
      </w:r>
      <w:r w:rsidR="0040738E" w:rsidRPr="00351A46">
        <w:rPr>
          <w:lang w:val="en-AU"/>
        </w:rPr>
        <w:t>,</w:t>
      </w:r>
      <w:r w:rsidRPr="00351A46">
        <w:rPr>
          <w:lang w:val="en-AU"/>
        </w:rPr>
        <w:t xml:space="preserve"> as repeated interaction can help buil</w:t>
      </w:r>
      <w:r w:rsidR="00F02AFD">
        <w:rPr>
          <w:lang w:val="en-AU"/>
        </w:rPr>
        <w:t>d</w:t>
      </w:r>
      <w:r w:rsidRPr="00351A46">
        <w:rPr>
          <w:lang w:val="en-AU"/>
        </w:rPr>
        <w:t xml:space="preserve"> trust and relationships between researchers</w:t>
      </w:r>
      <w:r w:rsidR="0040738E" w:rsidRPr="00351A46">
        <w:rPr>
          <w:lang w:val="en-AU"/>
        </w:rPr>
        <w:t>,</w:t>
      </w:r>
      <w:r w:rsidRPr="00351A46">
        <w:rPr>
          <w:lang w:val="en-AU"/>
        </w:rPr>
        <w:t xml:space="preserve"> </w:t>
      </w:r>
      <w:r w:rsidR="0085747B" w:rsidRPr="00351A46">
        <w:rPr>
          <w:lang w:val="en-AU"/>
        </w:rPr>
        <w:t>policymak</w:t>
      </w:r>
      <w:r w:rsidRPr="00351A46">
        <w:rPr>
          <w:lang w:val="en-AU"/>
        </w:rPr>
        <w:t>ers</w:t>
      </w:r>
      <w:r w:rsidR="004F6684" w:rsidRPr="00351A46">
        <w:rPr>
          <w:lang w:val="en-AU"/>
        </w:rPr>
        <w:t xml:space="preserve"> and policy analysts</w:t>
      </w:r>
      <w:r w:rsidRPr="00351A46">
        <w:rPr>
          <w:lang w:val="en-AU"/>
        </w:rPr>
        <w:t>, making it more likely</w:t>
      </w:r>
      <w:r w:rsidR="0040738E" w:rsidRPr="00351A46">
        <w:rPr>
          <w:lang w:val="en-AU"/>
        </w:rPr>
        <w:t xml:space="preserve"> that</w:t>
      </w:r>
      <w:r w:rsidRPr="00351A46">
        <w:rPr>
          <w:lang w:val="en-AU"/>
        </w:rPr>
        <w:t xml:space="preserve"> </w:t>
      </w:r>
      <w:r w:rsidR="0085747B" w:rsidRPr="00351A46">
        <w:rPr>
          <w:lang w:val="en-AU"/>
        </w:rPr>
        <w:t>policymak</w:t>
      </w:r>
      <w:r w:rsidRPr="00351A46">
        <w:rPr>
          <w:lang w:val="en-AU"/>
        </w:rPr>
        <w:t xml:space="preserve">ers will demand and use their evidence to inform policy. </w:t>
      </w:r>
    </w:p>
    <w:p w14:paraId="2B0F7822" w14:textId="77777777" w:rsidR="00DA51E8" w:rsidRPr="00424333" w:rsidRDefault="00DA51E8">
      <w:pPr>
        <w:spacing w:after="0" w:line="240" w:lineRule="auto"/>
        <w:jc w:val="both"/>
        <w:rPr>
          <w:sz w:val="12"/>
          <w:lang w:val="en-AU"/>
        </w:rPr>
      </w:pPr>
    </w:p>
    <w:p w14:paraId="78EA4F20" w14:textId="48EFD010" w:rsidR="00B67BAC" w:rsidRPr="00351A46" w:rsidRDefault="00DA51E8">
      <w:pPr>
        <w:spacing w:after="0"/>
        <w:jc w:val="both"/>
        <w:rPr>
          <w:lang w:val="en-AU"/>
        </w:rPr>
      </w:pPr>
      <w:r w:rsidRPr="00351A46">
        <w:rPr>
          <w:lang w:val="en-AU"/>
        </w:rPr>
        <w:t xml:space="preserve">KSI will initially support two </w:t>
      </w:r>
      <w:r w:rsidR="00E5110F" w:rsidRPr="00351A46">
        <w:rPr>
          <w:lang w:val="en-AU"/>
        </w:rPr>
        <w:t>key initiative</w:t>
      </w:r>
      <w:r w:rsidRPr="00351A46">
        <w:rPr>
          <w:lang w:val="en-AU"/>
        </w:rPr>
        <w:t>s to contribute to EOPO 3:</w:t>
      </w:r>
    </w:p>
    <w:p w14:paraId="330DE0D0" w14:textId="77777777" w:rsidR="003D6BBD" w:rsidRPr="00424333" w:rsidRDefault="003D6BBD">
      <w:pPr>
        <w:spacing w:after="0"/>
        <w:jc w:val="both"/>
        <w:rPr>
          <w:sz w:val="12"/>
          <w:lang w:val="en-AU"/>
        </w:rPr>
      </w:pPr>
    </w:p>
    <w:p w14:paraId="53497610" w14:textId="77777777" w:rsidR="003D6BBD" w:rsidRPr="00351A46" w:rsidRDefault="00301765">
      <w:pPr>
        <w:spacing w:after="120"/>
        <w:jc w:val="both"/>
        <w:rPr>
          <w:lang w:val="en-AU"/>
        </w:rPr>
      </w:pPr>
      <w:r w:rsidRPr="00351A46">
        <w:rPr>
          <w:i/>
          <w:lang w:val="en-AU"/>
        </w:rPr>
        <w:t xml:space="preserve">Key Initiative 5: </w:t>
      </w:r>
      <w:r w:rsidR="00DA51E8" w:rsidRPr="00351A46">
        <w:rPr>
          <w:i/>
          <w:lang w:val="en-AU"/>
        </w:rPr>
        <w:t>Indonesia Development Forum</w:t>
      </w:r>
      <w:r w:rsidR="0040738E" w:rsidRPr="00351A46">
        <w:rPr>
          <w:i/>
          <w:lang w:val="en-AU"/>
        </w:rPr>
        <w:t xml:space="preserve"> (IDF)</w:t>
      </w:r>
    </w:p>
    <w:p w14:paraId="6F335DAA" w14:textId="1491A572" w:rsidR="00B67BAC" w:rsidRPr="00351A46" w:rsidRDefault="0040738E">
      <w:pPr>
        <w:spacing w:after="120"/>
        <w:jc w:val="both"/>
        <w:rPr>
          <w:lang w:val="en-AU"/>
        </w:rPr>
      </w:pPr>
      <w:r w:rsidRPr="00351A46">
        <w:rPr>
          <w:lang w:val="en-AU"/>
        </w:rPr>
        <w:t>This is</w:t>
      </w:r>
      <w:r w:rsidR="00E941A1" w:rsidRPr="00351A46">
        <w:rPr>
          <w:lang w:val="en-AU"/>
        </w:rPr>
        <w:t xml:space="preserve"> envisioned as a sustainable</w:t>
      </w:r>
      <w:r w:rsidR="00DA51E8" w:rsidRPr="00351A46">
        <w:rPr>
          <w:lang w:val="en-AU"/>
        </w:rPr>
        <w:t xml:space="preserve"> platform for presenting quality research to inform development policy and fostering interactions between </w:t>
      </w:r>
      <w:r w:rsidR="0085747B" w:rsidRPr="00351A46">
        <w:rPr>
          <w:lang w:val="en-AU"/>
        </w:rPr>
        <w:t>policymak</w:t>
      </w:r>
      <w:r w:rsidR="00DA51E8" w:rsidRPr="00351A46">
        <w:rPr>
          <w:lang w:val="en-AU"/>
        </w:rPr>
        <w:t>ers, policy analysts, researchers and others key actors in the knowledge sector. There is no other forum that brings together such a wide range and number of actors to discuss development policy issues in Indonesia. This exposes Bappenas and other ministries to a wider range of evidence and ideas than they would otherwise</w:t>
      </w:r>
      <w:r w:rsidR="007F46D0" w:rsidRPr="00351A46">
        <w:rPr>
          <w:lang w:val="en-AU"/>
        </w:rPr>
        <w:t xml:space="preserve"> encounter</w:t>
      </w:r>
      <w:r w:rsidR="00DA51E8" w:rsidRPr="00351A46">
        <w:rPr>
          <w:lang w:val="en-AU"/>
        </w:rPr>
        <w:t xml:space="preserve">, which in turn can lead to better development policy. Bappenas and its </w:t>
      </w:r>
      <w:r w:rsidRPr="00351A46">
        <w:rPr>
          <w:lang w:val="en-AU"/>
        </w:rPr>
        <w:t>m</w:t>
      </w:r>
      <w:r w:rsidR="00DA51E8" w:rsidRPr="00351A46">
        <w:rPr>
          <w:lang w:val="en-AU"/>
        </w:rPr>
        <w:t>inister have been strong supporter</w:t>
      </w:r>
      <w:r w:rsidR="00277A99">
        <w:rPr>
          <w:lang w:val="en-AU"/>
        </w:rPr>
        <w:t>s</w:t>
      </w:r>
      <w:r w:rsidR="00DA51E8" w:rsidRPr="00351A46">
        <w:rPr>
          <w:lang w:val="en-AU"/>
        </w:rPr>
        <w:t xml:space="preserve"> of IDF</w:t>
      </w:r>
      <w:r w:rsidR="008E499E" w:rsidRPr="00351A46">
        <w:rPr>
          <w:lang w:val="en-AU"/>
        </w:rPr>
        <w:t>,</w:t>
      </w:r>
      <w:r w:rsidR="00DA51E8" w:rsidRPr="00351A46">
        <w:rPr>
          <w:lang w:val="en-AU"/>
        </w:rPr>
        <w:t xml:space="preserve"> as it builds Bappenas’ profile and helps it perform its role in coordinating national development planning and as a system integrator. KSI will build on interest generated from the first IDF it supported in </w:t>
      </w:r>
      <w:r w:rsidR="00892774" w:rsidRPr="00351A46">
        <w:rPr>
          <w:lang w:val="en-AU"/>
        </w:rPr>
        <w:t>2017</w:t>
      </w:r>
      <w:r w:rsidR="00E535CB">
        <w:rPr>
          <w:lang w:val="en-AU"/>
        </w:rPr>
        <w:t>,</w:t>
      </w:r>
      <w:r w:rsidR="00892774" w:rsidRPr="00351A46">
        <w:rPr>
          <w:lang w:val="en-AU"/>
        </w:rPr>
        <w:t xml:space="preserve"> but</w:t>
      </w:r>
      <w:r w:rsidR="00DA51E8" w:rsidRPr="00351A46">
        <w:rPr>
          <w:lang w:val="en-AU"/>
        </w:rPr>
        <w:t xml:space="preserve"> expand the approach to includ</w:t>
      </w:r>
      <w:r w:rsidR="008E499E" w:rsidRPr="00351A46">
        <w:rPr>
          <w:lang w:val="en-AU"/>
        </w:rPr>
        <w:t>e</w:t>
      </w:r>
      <w:r w:rsidR="00DA51E8" w:rsidRPr="00351A46">
        <w:rPr>
          <w:lang w:val="en-AU"/>
        </w:rPr>
        <w:t xml:space="preserve"> pre</w:t>
      </w:r>
      <w:r w:rsidR="008E499E" w:rsidRPr="00351A46">
        <w:rPr>
          <w:lang w:val="en-AU"/>
        </w:rPr>
        <w:t>-</w:t>
      </w:r>
      <w:r w:rsidR="00DA51E8" w:rsidRPr="00351A46">
        <w:rPr>
          <w:lang w:val="en-AU"/>
        </w:rPr>
        <w:t xml:space="preserve"> and post-conference events to encourage </w:t>
      </w:r>
      <w:r w:rsidR="006D410B" w:rsidRPr="00351A46">
        <w:rPr>
          <w:lang w:val="en-AU"/>
        </w:rPr>
        <w:t>on-going</w:t>
      </w:r>
      <w:r w:rsidR="00DA51E8" w:rsidRPr="00351A46">
        <w:rPr>
          <w:lang w:val="en-AU"/>
        </w:rPr>
        <w:t xml:space="preserve"> interaction and collaboration between participants</w:t>
      </w:r>
      <w:r w:rsidR="007F46D0" w:rsidRPr="00351A46">
        <w:rPr>
          <w:lang w:val="en-AU"/>
        </w:rPr>
        <w:t xml:space="preserve"> and a clearer link to policy</w:t>
      </w:r>
      <w:r w:rsidR="00D0604A" w:rsidRPr="00351A46">
        <w:rPr>
          <w:lang w:val="en-AU"/>
        </w:rPr>
        <w:t xml:space="preserve">. </w:t>
      </w:r>
      <w:r w:rsidR="003D0441" w:rsidRPr="00351A46">
        <w:rPr>
          <w:lang w:val="en-AU"/>
        </w:rPr>
        <w:t xml:space="preserve">Smart practices generated at the IDF will be captured in </w:t>
      </w:r>
      <w:r w:rsidR="008E499E" w:rsidRPr="00351A46">
        <w:rPr>
          <w:lang w:val="en-AU"/>
        </w:rPr>
        <w:t xml:space="preserve">the </w:t>
      </w:r>
      <w:r w:rsidR="003D0441" w:rsidRPr="00351A46">
        <w:rPr>
          <w:lang w:val="en-AU"/>
        </w:rPr>
        <w:t>Bappenas</w:t>
      </w:r>
      <w:r w:rsidR="008E499E" w:rsidRPr="00351A46">
        <w:rPr>
          <w:lang w:val="en-AU"/>
        </w:rPr>
        <w:t xml:space="preserve"> </w:t>
      </w:r>
      <w:r w:rsidR="003D0441" w:rsidRPr="00351A46">
        <w:rPr>
          <w:lang w:val="en-AU"/>
        </w:rPr>
        <w:t>Knowledge Centre repository.</w:t>
      </w:r>
      <w:r w:rsidR="00DA51E8" w:rsidRPr="00351A46">
        <w:rPr>
          <w:lang w:val="en-AU"/>
        </w:rPr>
        <w:t xml:space="preserve"> </w:t>
      </w:r>
    </w:p>
    <w:p w14:paraId="7867347B" w14:textId="77777777" w:rsidR="003D6BBD" w:rsidRPr="00351A46" w:rsidRDefault="00301765" w:rsidP="00424333">
      <w:pPr>
        <w:keepNext/>
        <w:spacing w:after="120"/>
        <w:jc w:val="both"/>
        <w:rPr>
          <w:lang w:val="en-AU"/>
        </w:rPr>
      </w:pPr>
      <w:r w:rsidRPr="00351A46">
        <w:rPr>
          <w:i/>
          <w:lang w:val="en-AU"/>
        </w:rPr>
        <w:t xml:space="preserve">Key Initiative 6: </w:t>
      </w:r>
      <w:r w:rsidR="00DA51E8" w:rsidRPr="00351A46">
        <w:rPr>
          <w:i/>
          <w:lang w:val="en-AU"/>
        </w:rPr>
        <w:t>Policy analysts</w:t>
      </w:r>
      <w:r w:rsidR="003D6BBD" w:rsidRPr="00351A46">
        <w:rPr>
          <w:lang w:val="en-AU"/>
        </w:rPr>
        <w:t xml:space="preserve"> </w:t>
      </w:r>
    </w:p>
    <w:p w14:paraId="1DA1D66D" w14:textId="6F667550" w:rsidR="00BD573A" w:rsidRPr="00351A46" w:rsidRDefault="008E499E" w:rsidP="00424333">
      <w:pPr>
        <w:keepNext/>
        <w:spacing w:after="120"/>
        <w:jc w:val="both"/>
        <w:rPr>
          <w:lang w:val="en-AU"/>
        </w:rPr>
      </w:pPr>
      <w:r w:rsidRPr="00351A46">
        <w:rPr>
          <w:lang w:val="en-AU"/>
        </w:rPr>
        <w:t>P</w:t>
      </w:r>
      <w:r w:rsidR="00DA51E8" w:rsidRPr="00351A46">
        <w:rPr>
          <w:lang w:val="en-AU"/>
        </w:rPr>
        <w:t xml:space="preserve">olicy analysts play an important bridging role between </w:t>
      </w:r>
      <w:r w:rsidR="00BD76A8" w:rsidRPr="00351A46">
        <w:rPr>
          <w:lang w:val="en-AU"/>
        </w:rPr>
        <w:t>researchers and policymakers, as they synthesise</w:t>
      </w:r>
      <w:r w:rsidR="00DA51E8" w:rsidRPr="00351A46">
        <w:rPr>
          <w:lang w:val="en-AU"/>
        </w:rPr>
        <w:t xml:space="preserve"> policy-relevant r</w:t>
      </w:r>
      <w:r w:rsidR="00BD76A8" w:rsidRPr="00351A46">
        <w:rPr>
          <w:lang w:val="en-AU"/>
        </w:rPr>
        <w:t>esearch and evidence, develop</w:t>
      </w:r>
      <w:r w:rsidR="00DA51E8" w:rsidRPr="00351A46">
        <w:rPr>
          <w:lang w:val="en-AU"/>
        </w:rPr>
        <w:t xml:space="preserve"> polic</w:t>
      </w:r>
      <w:r w:rsidR="00BD76A8" w:rsidRPr="00351A46">
        <w:rPr>
          <w:lang w:val="en-AU"/>
        </w:rPr>
        <w:t>y recommendations and advocate</w:t>
      </w:r>
      <w:r w:rsidR="00DA51E8" w:rsidRPr="00351A46">
        <w:rPr>
          <w:lang w:val="en-AU"/>
        </w:rPr>
        <w:t xml:space="preserve"> these to policymakers. Policy analysts may be within or outside government (e</w:t>
      </w:r>
      <w:r w:rsidRPr="00351A46">
        <w:rPr>
          <w:lang w:val="en-AU"/>
        </w:rPr>
        <w:t>.</w:t>
      </w:r>
      <w:r w:rsidR="00DA51E8" w:rsidRPr="00351A46">
        <w:rPr>
          <w:lang w:val="en-AU"/>
        </w:rPr>
        <w:t>g</w:t>
      </w:r>
      <w:r w:rsidRPr="00351A46">
        <w:rPr>
          <w:lang w:val="en-AU"/>
        </w:rPr>
        <w:t>.</w:t>
      </w:r>
      <w:r w:rsidR="00DA51E8" w:rsidRPr="00351A46">
        <w:rPr>
          <w:lang w:val="en-AU"/>
        </w:rPr>
        <w:t xml:space="preserve"> in universities, PRIs). </w:t>
      </w:r>
      <w:r w:rsidR="0081559A">
        <w:rPr>
          <w:lang w:val="en-AU"/>
        </w:rPr>
        <w:t xml:space="preserve">LAN’s target </w:t>
      </w:r>
      <w:r w:rsidR="003E5716">
        <w:rPr>
          <w:lang w:val="en-AU"/>
        </w:rPr>
        <w:t xml:space="preserve">by 2022 </w:t>
      </w:r>
      <w:r w:rsidR="0081559A">
        <w:rPr>
          <w:lang w:val="en-AU"/>
        </w:rPr>
        <w:t xml:space="preserve">is to have 1500 </w:t>
      </w:r>
      <w:r w:rsidR="003E5716">
        <w:rPr>
          <w:lang w:val="en-AU"/>
        </w:rPr>
        <w:t xml:space="preserve">functional policy analyst positions in government and to have 10,000 trained and certified policy analysts within or outside government. </w:t>
      </w:r>
      <w:r w:rsidR="00DA51E8" w:rsidRPr="00351A46">
        <w:rPr>
          <w:lang w:val="en-AU"/>
        </w:rPr>
        <w:t xml:space="preserve">This </w:t>
      </w:r>
      <w:r w:rsidR="00E5110F" w:rsidRPr="00351A46">
        <w:rPr>
          <w:lang w:val="en-AU"/>
        </w:rPr>
        <w:t>key initiative</w:t>
      </w:r>
      <w:r w:rsidR="00DA51E8" w:rsidRPr="00351A46">
        <w:rPr>
          <w:lang w:val="en-AU"/>
        </w:rPr>
        <w:t xml:space="preserve"> seeks to support more competent policy analysts in</w:t>
      </w:r>
      <w:r w:rsidR="00330C9B">
        <w:rPr>
          <w:lang w:val="en-AU"/>
        </w:rPr>
        <w:t xml:space="preserve"> the</w:t>
      </w:r>
      <w:r w:rsidR="00DA51E8" w:rsidRPr="00351A46">
        <w:rPr>
          <w:lang w:val="en-AU"/>
        </w:rPr>
        <w:t xml:space="preserve"> government, universities and PRIs</w:t>
      </w:r>
      <w:r w:rsidR="00BD76A8" w:rsidRPr="00351A46">
        <w:rPr>
          <w:lang w:val="en-AU"/>
        </w:rPr>
        <w:t xml:space="preserve"> so they can </w:t>
      </w:r>
      <w:r w:rsidR="00DA51E8" w:rsidRPr="00351A46">
        <w:rPr>
          <w:lang w:val="en-AU"/>
        </w:rPr>
        <w:t xml:space="preserve">play this </w:t>
      </w:r>
      <w:r w:rsidR="00BD76A8" w:rsidRPr="00351A46">
        <w:rPr>
          <w:lang w:val="en-AU"/>
        </w:rPr>
        <w:t>bridging role and build</w:t>
      </w:r>
      <w:r w:rsidR="00DA51E8" w:rsidRPr="00351A46">
        <w:rPr>
          <w:lang w:val="en-AU"/>
        </w:rPr>
        <w:t xml:space="preserve"> demand for evidence-based </w:t>
      </w:r>
      <w:r w:rsidR="0085747B" w:rsidRPr="00351A46">
        <w:rPr>
          <w:lang w:val="en-AU"/>
        </w:rPr>
        <w:t>policymak</w:t>
      </w:r>
      <w:r w:rsidR="00DA51E8" w:rsidRPr="00351A46">
        <w:rPr>
          <w:lang w:val="en-AU"/>
        </w:rPr>
        <w:t xml:space="preserve">ing. </w:t>
      </w:r>
    </w:p>
    <w:p w14:paraId="1902B4D6" w14:textId="7B276101" w:rsidR="00720F61" w:rsidRPr="00351A46" w:rsidRDefault="00720F61">
      <w:pPr>
        <w:spacing w:after="120"/>
        <w:jc w:val="both"/>
        <w:rPr>
          <w:lang w:val="en-AU"/>
        </w:rPr>
      </w:pPr>
      <w:r w:rsidRPr="00351A46">
        <w:rPr>
          <w:lang w:val="en-AU"/>
        </w:rPr>
        <w:t xml:space="preserve">Several universities are now delivering training for policy analysts and there is potential for PRIs to deliver courses to enable policy analysts to specialise in particular areas (for example, in poverty analysis). This will bring universities and PRIs into more frequent contact with policy analysts, which can also help to build connections. In addition, KSI will support the development of an online platform enabling interactions, knowledge sharing and collaboration between policy analysts, policymakers and researchers. </w:t>
      </w:r>
    </w:p>
    <w:p w14:paraId="0E6D0286" w14:textId="17167833" w:rsidR="008E499E" w:rsidRPr="00351A46" w:rsidRDefault="00DA51E8">
      <w:pPr>
        <w:spacing w:after="120"/>
        <w:jc w:val="both"/>
        <w:rPr>
          <w:lang w:val="en-AU"/>
        </w:rPr>
      </w:pPr>
      <w:r w:rsidRPr="00351A46">
        <w:rPr>
          <w:lang w:val="en-AU"/>
        </w:rPr>
        <w:t>This work builds on KSI</w:t>
      </w:r>
      <w:r w:rsidR="00CF4207" w:rsidRPr="00351A46">
        <w:rPr>
          <w:lang w:val="en-AU"/>
        </w:rPr>
        <w:t>’s</w:t>
      </w:r>
      <w:r w:rsidRPr="00351A46">
        <w:rPr>
          <w:lang w:val="en-AU"/>
        </w:rPr>
        <w:t xml:space="preserve"> Phase 1 success in supporting the establishment of a new functional position for policy analysts </w:t>
      </w:r>
      <w:r w:rsidR="002F4E43" w:rsidRPr="00351A46">
        <w:rPr>
          <w:lang w:val="en-AU"/>
        </w:rPr>
        <w:t xml:space="preserve">in government </w:t>
      </w:r>
      <w:r w:rsidRPr="00351A46">
        <w:rPr>
          <w:lang w:val="en-AU"/>
        </w:rPr>
        <w:t xml:space="preserve">and progress on enabling systems for this. </w:t>
      </w:r>
      <w:r w:rsidR="00BD76A8" w:rsidRPr="00351A46">
        <w:rPr>
          <w:lang w:val="en-AU"/>
        </w:rPr>
        <w:t>Th</w:t>
      </w:r>
      <w:r w:rsidR="00EB12AE" w:rsidRPr="00351A46">
        <w:rPr>
          <w:lang w:val="en-AU"/>
        </w:rPr>
        <w:t>ere is good momentum behind the policy analyst</w:t>
      </w:r>
      <w:r w:rsidR="00BD76A8" w:rsidRPr="00351A46">
        <w:rPr>
          <w:lang w:val="en-AU"/>
        </w:rPr>
        <w:t xml:space="preserve"> work. </w:t>
      </w:r>
      <w:r w:rsidR="004F6684" w:rsidRPr="00351A46">
        <w:rPr>
          <w:lang w:val="en-AU"/>
        </w:rPr>
        <w:t>The Institute of Public Administration (</w:t>
      </w:r>
      <w:r w:rsidRPr="00351A46">
        <w:rPr>
          <w:lang w:val="en-AU"/>
        </w:rPr>
        <w:t>LAN</w:t>
      </w:r>
      <w:r w:rsidR="004F6684" w:rsidRPr="00351A46">
        <w:rPr>
          <w:lang w:val="en-AU"/>
        </w:rPr>
        <w:t>)</w:t>
      </w:r>
      <w:r w:rsidRPr="00351A46">
        <w:rPr>
          <w:lang w:val="en-AU"/>
        </w:rPr>
        <w:t xml:space="preserve"> has strong ownership over</w:t>
      </w:r>
      <w:r w:rsidR="008E499E" w:rsidRPr="00351A46">
        <w:rPr>
          <w:lang w:val="en-AU"/>
        </w:rPr>
        <w:t>,</w:t>
      </w:r>
      <w:r w:rsidRPr="00351A46">
        <w:rPr>
          <w:lang w:val="en-AU"/>
        </w:rPr>
        <w:t xml:space="preserve"> and is driving the</w:t>
      </w:r>
      <w:r w:rsidR="00BD76A8" w:rsidRPr="00351A46">
        <w:rPr>
          <w:lang w:val="en-AU"/>
        </w:rPr>
        <w:t xml:space="preserve"> development of</w:t>
      </w:r>
      <w:r w:rsidR="008E499E" w:rsidRPr="00351A46">
        <w:rPr>
          <w:lang w:val="en-AU"/>
        </w:rPr>
        <w:t>,</w:t>
      </w:r>
      <w:r w:rsidR="00BD76A8" w:rsidRPr="00351A46">
        <w:rPr>
          <w:lang w:val="en-AU"/>
        </w:rPr>
        <w:t xml:space="preserve"> policy analysts. There is </w:t>
      </w:r>
      <w:r w:rsidRPr="00351A46">
        <w:rPr>
          <w:lang w:val="en-AU"/>
        </w:rPr>
        <w:t>increasing demand from ministries for policy analysts (e</w:t>
      </w:r>
      <w:r w:rsidR="008E499E" w:rsidRPr="00351A46">
        <w:rPr>
          <w:lang w:val="en-AU"/>
        </w:rPr>
        <w:t>.</w:t>
      </w:r>
      <w:r w:rsidRPr="00351A46">
        <w:rPr>
          <w:lang w:val="en-AU"/>
        </w:rPr>
        <w:t xml:space="preserve">g. Kemenkeu’s BKF, </w:t>
      </w:r>
      <w:r w:rsidR="004F6684" w:rsidRPr="00351A46">
        <w:rPr>
          <w:lang w:val="en-AU"/>
        </w:rPr>
        <w:t>Ministry of Foreign Affairs</w:t>
      </w:r>
      <w:r w:rsidRPr="00351A46">
        <w:rPr>
          <w:lang w:val="en-AU"/>
        </w:rPr>
        <w:t>, Ministry of Health)</w:t>
      </w:r>
      <w:r w:rsidR="00BD76A8" w:rsidRPr="00351A46">
        <w:rPr>
          <w:lang w:val="en-AU"/>
        </w:rPr>
        <w:t xml:space="preserve">. </w:t>
      </w:r>
      <w:r w:rsidRPr="00351A46">
        <w:rPr>
          <w:lang w:val="en-AU"/>
        </w:rPr>
        <w:t>Kemen</w:t>
      </w:r>
      <w:r w:rsidR="004F6684" w:rsidRPr="00351A46">
        <w:rPr>
          <w:lang w:val="en-AU"/>
        </w:rPr>
        <w:t>PAN</w:t>
      </w:r>
      <w:r w:rsidR="00E941A1" w:rsidRPr="00351A46">
        <w:rPr>
          <w:lang w:val="en-AU"/>
        </w:rPr>
        <w:t xml:space="preserve"> </w:t>
      </w:r>
      <w:r w:rsidRPr="00351A46">
        <w:rPr>
          <w:lang w:val="en-AU"/>
        </w:rPr>
        <w:t xml:space="preserve">RB is currently reviewing </w:t>
      </w:r>
      <w:r w:rsidR="00DC11ED" w:rsidRPr="00351A46">
        <w:rPr>
          <w:lang w:val="en-AU"/>
        </w:rPr>
        <w:t xml:space="preserve">the roles, functions and overall performance of </w:t>
      </w:r>
      <w:r w:rsidRPr="00351A46">
        <w:rPr>
          <w:lang w:val="en-AU"/>
        </w:rPr>
        <w:t>Balitbang</w:t>
      </w:r>
      <w:r w:rsidR="008E499E" w:rsidRPr="00351A46">
        <w:rPr>
          <w:lang w:val="en-AU"/>
        </w:rPr>
        <w:t>s,</w:t>
      </w:r>
      <w:r w:rsidRPr="00351A46">
        <w:rPr>
          <w:lang w:val="en-AU"/>
        </w:rPr>
        <w:t xml:space="preserve"> which may result in a decision to </w:t>
      </w:r>
      <w:r w:rsidR="00DC11ED" w:rsidRPr="00351A46">
        <w:rPr>
          <w:lang w:val="en-AU"/>
        </w:rPr>
        <w:t>configure them as policy analyst units</w:t>
      </w:r>
      <w:r w:rsidR="008E499E" w:rsidRPr="00351A46">
        <w:rPr>
          <w:lang w:val="en-AU"/>
        </w:rPr>
        <w:t xml:space="preserve">. This </w:t>
      </w:r>
      <w:r w:rsidR="00BD76A8" w:rsidRPr="00351A46">
        <w:rPr>
          <w:lang w:val="en-AU"/>
        </w:rPr>
        <w:t>would substantially bolster the standing of policy analysts in government.</w:t>
      </w:r>
      <w:r w:rsidR="00D80E46" w:rsidRPr="00351A46">
        <w:rPr>
          <w:lang w:val="en-AU"/>
        </w:rPr>
        <w:t xml:space="preserve"> If this decision does</w:t>
      </w:r>
      <w:r w:rsidR="00F02AFD">
        <w:rPr>
          <w:lang w:val="en-AU"/>
        </w:rPr>
        <w:t xml:space="preserve"> not</w:t>
      </w:r>
      <w:r w:rsidR="00D80E46" w:rsidRPr="00351A46">
        <w:rPr>
          <w:lang w:val="en-AU"/>
        </w:rPr>
        <w:t xml:space="preserve"> happen, there is a risk that policy analysts will become small pockets within each government agency, rather than a broader critical mass with influence. </w:t>
      </w:r>
    </w:p>
    <w:p w14:paraId="5DE04FE3" w14:textId="00B2538F" w:rsidR="002E0D40" w:rsidRPr="00351A46" w:rsidRDefault="002E0D40">
      <w:pPr>
        <w:spacing w:after="120"/>
        <w:jc w:val="both"/>
        <w:rPr>
          <w:i/>
          <w:lang w:val="en-AU"/>
        </w:rPr>
      </w:pPr>
      <w:r w:rsidRPr="00351A46">
        <w:rPr>
          <w:i/>
          <w:lang w:val="en-AU"/>
        </w:rPr>
        <w:t>Sustainable mechanisms for interaction supported by other EOPOs</w:t>
      </w:r>
    </w:p>
    <w:p w14:paraId="543C4C78" w14:textId="2E8551D2" w:rsidR="004A7CA5" w:rsidRPr="00351A46" w:rsidRDefault="00896202">
      <w:pPr>
        <w:spacing w:after="120"/>
        <w:jc w:val="both"/>
        <w:rPr>
          <w:lang w:val="en-AU"/>
        </w:rPr>
      </w:pPr>
      <w:r w:rsidRPr="00351A46">
        <w:rPr>
          <w:lang w:val="en-AU"/>
        </w:rPr>
        <w:t xml:space="preserve">Several </w:t>
      </w:r>
      <w:r w:rsidR="00330C9B" w:rsidRPr="00351A46">
        <w:rPr>
          <w:lang w:val="en-AU"/>
        </w:rPr>
        <w:t xml:space="preserve">key initiatives </w:t>
      </w:r>
      <w:r w:rsidRPr="00351A46">
        <w:rPr>
          <w:lang w:val="en-AU"/>
        </w:rPr>
        <w:t xml:space="preserve">under EOPO 1 will also support sustainable mechanisms for interaction: </w:t>
      </w:r>
    </w:p>
    <w:p w14:paraId="0A85DD7B" w14:textId="2A48E7BE" w:rsidR="00896202" w:rsidRPr="00351A46" w:rsidRDefault="00896202">
      <w:pPr>
        <w:pStyle w:val="ListParagraph"/>
        <w:numPr>
          <w:ilvl w:val="0"/>
          <w:numId w:val="30"/>
        </w:numPr>
        <w:spacing w:before="120" w:after="120"/>
        <w:contextualSpacing w:val="0"/>
        <w:jc w:val="both"/>
        <w:rPr>
          <w:lang w:val="en-AU"/>
        </w:rPr>
      </w:pPr>
      <w:r w:rsidRPr="00351A46">
        <w:rPr>
          <w:i/>
          <w:lang w:val="en-AU"/>
        </w:rPr>
        <w:t xml:space="preserve">Key </w:t>
      </w:r>
      <w:r w:rsidR="00C70681" w:rsidRPr="00351A46">
        <w:rPr>
          <w:i/>
          <w:lang w:val="en-AU"/>
        </w:rPr>
        <w:t>Initiative 1: Shared agenda</w:t>
      </w:r>
      <w:r w:rsidRPr="00351A46">
        <w:rPr>
          <w:i/>
          <w:lang w:val="en-AU"/>
        </w:rPr>
        <w:t xml:space="preserve"> on </w:t>
      </w:r>
      <w:r w:rsidR="00330C9B" w:rsidRPr="00351A46">
        <w:rPr>
          <w:i/>
          <w:lang w:val="en-AU"/>
        </w:rPr>
        <w:t xml:space="preserve">research to policy </w:t>
      </w:r>
      <w:r w:rsidRPr="00351A46">
        <w:rPr>
          <w:i/>
          <w:lang w:val="en-AU"/>
        </w:rPr>
        <w:t xml:space="preserve">– </w:t>
      </w:r>
      <w:r w:rsidR="00F02AFD" w:rsidRPr="00351A46">
        <w:rPr>
          <w:lang w:val="en-AU"/>
        </w:rPr>
        <w:t xml:space="preserve">Part </w:t>
      </w:r>
      <w:r w:rsidRPr="00351A46">
        <w:rPr>
          <w:lang w:val="en-AU"/>
        </w:rPr>
        <w:t xml:space="preserve">of this work involves supporting the implementation of the procurement regulations </w:t>
      </w:r>
      <w:r w:rsidR="00330C9B">
        <w:rPr>
          <w:lang w:val="en-AU"/>
        </w:rPr>
        <w:t>that</w:t>
      </w:r>
      <w:r w:rsidR="00330C9B" w:rsidRPr="00351A46">
        <w:rPr>
          <w:lang w:val="en-AU"/>
        </w:rPr>
        <w:t xml:space="preserve"> </w:t>
      </w:r>
      <w:r w:rsidRPr="00351A46">
        <w:rPr>
          <w:lang w:val="en-AU"/>
        </w:rPr>
        <w:t xml:space="preserve">enable </w:t>
      </w:r>
      <w:r w:rsidR="00330C9B">
        <w:rPr>
          <w:lang w:val="en-AU"/>
        </w:rPr>
        <w:t xml:space="preserve">the </w:t>
      </w:r>
      <w:r w:rsidRPr="00351A46">
        <w:rPr>
          <w:lang w:val="en-AU"/>
        </w:rPr>
        <w:t xml:space="preserve">government to contract universities and PRIs to produce research. KSI will support one of the PRIs, Akatiga, to develop an e-catalogue to help profile PRIs and connect them with government. </w:t>
      </w:r>
    </w:p>
    <w:p w14:paraId="2BFBE3DF" w14:textId="39C49586" w:rsidR="00CF7ABD" w:rsidRPr="00351A46" w:rsidRDefault="00C902A4">
      <w:pPr>
        <w:pStyle w:val="ListParagraph"/>
        <w:numPr>
          <w:ilvl w:val="0"/>
          <w:numId w:val="30"/>
        </w:numPr>
        <w:spacing w:before="120" w:after="120"/>
        <w:contextualSpacing w:val="0"/>
        <w:jc w:val="both"/>
        <w:rPr>
          <w:lang w:val="en-AU"/>
        </w:rPr>
      </w:pPr>
      <w:r w:rsidRPr="00351A46">
        <w:rPr>
          <w:i/>
          <w:lang w:val="en-AU"/>
        </w:rPr>
        <w:t xml:space="preserve">Key Initiative 2: </w:t>
      </w:r>
      <w:r w:rsidR="00CF7ABD" w:rsidRPr="00351A46">
        <w:rPr>
          <w:i/>
          <w:lang w:val="en-AU"/>
        </w:rPr>
        <w:t>RPJMN</w:t>
      </w:r>
      <w:r w:rsidRPr="00351A46">
        <w:rPr>
          <w:i/>
          <w:lang w:val="en-AU"/>
        </w:rPr>
        <w:t xml:space="preserve"> studies</w:t>
      </w:r>
      <w:r w:rsidRPr="00351A46">
        <w:rPr>
          <w:lang w:val="en-AU"/>
        </w:rPr>
        <w:t xml:space="preserve"> – KSI’s support for better practices within Bappenas for identifying research needs to inform the RPJMN</w:t>
      </w:r>
      <w:r w:rsidR="00F02AFD">
        <w:rPr>
          <w:lang w:val="en-AU"/>
        </w:rPr>
        <w:t>,</w:t>
      </w:r>
      <w:r w:rsidRPr="00351A46">
        <w:rPr>
          <w:lang w:val="en-AU"/>
        </w:rPr>
        <w:t xml:space="preserve"> and commissioning and managing this research</w:t>
      </w:r>
      <w:r w:rsidR="00F02AFD">
        <w:rPr>
          <w:lang w:val="en-AU"/>
        </w:rPr>
        <w:t>,</w:t>
      </w:r>
      <w:r w:rsidRPr="00351A46">
        <w:rPr>
          <w:lang w:val="en-AU"/>
        </w:rPr>
        <w:t xml:space="preserve"> includes building</w:t>
      </w:r>
      <w:r w:rsidR="00310C23" w:rsidRPr="00351A46">
        <w:rPr>
          <w:lang w:val="en-AU"/>
        </w:rPr>
        <w:t xml:space="preserve"> and institutionalising</w:t>
      </w:r>
      <w:r w:rsidRPr="00351A46">
        <w:rPr>
          <w:lang w:val="en-AU"/>
        </w:rPr>
        <w:t xml:space="preserve"> </w:t>
      </w:r>
      <w:r w:rsidR="00864002" w:rsidRPr="00351A46">
        <w:rPr>
          <w:lang w:val="en-AU"/>
        </w:rPr>
        <w:t>links</w:t>
      </w:r>
      <w:r w:rsidRPr="00351A46">
        <w:rPr>
          <w:lang w:val="en-AU"/>
        </w:rPr>
        <w:t xml:space="preserve"> between Bappenas and PRIs</w:t>
      </w:r>
      <w:r w:rsidR="00310C23" w:rsidRPr="00351A46">
        <w:rPr>
          <w:lang w:val="en-AU"/>
        </w:rPr>
        <w:t>.</w:t>
      </w:r>
    </w:p>
    <w:p w14:paraId="56FFCAE7" w14:textId="6B950314" w:rsidR="002E0D40" w:rsidRPr="00351A46" w:rsidRDefault="00C902A4">
      <w:pPr>
        <w:pStyle w:val="ListParagraph"/>
        <w:numPr>
          <w:ilvl w:val="0"/>
          <w:numId w:val="30"/>
        </w:numPr>
        <w:spacing w:before="120" w:after="120"/>
        <w:contextualSpacing w:val="0"/>
        <w:jc w:val="both"/>
        <w:rPr>
          <w:lang w:val="en-AU"/>
        </w:rPr>
      </w:pPr>
      <w:r w:rsidRPr="00351A46">
        <w:rPr>
          <w:i/>
          <w:lang w:val="en-AU"/>
        </w:rPr>
        <w:t>Key Initiative 3</w:t>
      </w:r>
      <w:r w:rsidRPr="00351A46">
        <w:rPr>
          <w:lang w:val="en-AU"/>
        </w:rPr>
        <w:t xml:space="preserve">: </w:t>
      </w:r>
      <w:r w:rsidRPr="00351A46">
        <w:rPr>
          <w:i/>
          <w:lang w:val="en-AU"/>
        </w:rPr>
        <w:t xml:space="preserve">Private sector engagement – </w:t>
      </w:r>
      <w:r w:rsidR="00F02AFD" w:rsidRPr="00351A46">
        <w:rPr>
          <w:lang w:val="en-AU"/>
        </w:rPr>
        <w:t xml:space="preserve">Part </w:t>
      </w:r>
      <w:r w:rsidRPr="00351A46">
        <w:rPr>
          <w:lang w:val="en-AU"/>
        </w:rPr>
        <w:t xml:space="preserve">of this work will involve encouraging the establishment of co-funding models between </w:t>
      </w:r>
      <w:r w:rsidR="00330C9B">
        <w:rPr>
          <w:lang w:val="en-AU"/>
        </w:rPr>
        <w:t xml:space="preserve">the </w:t>
      </w:r>
      <w:r w:rsidRPr="00351A46">
        <w:rPr>
          <w:lang w:val="en-AU"/>
        </w:rPr>
        <w:t xml:space="preserve">private sector and </w:t>
      </w:r>
      <w:r w:rsidR="00330C9B">
        <w:rPr>
          <w:lang w:val="en-AU"/>
        </w:rPr>
        <w:t xml:space="preserve">the </w:t>
      </w:r>
      <w:r w:rsidRPr="00351A46">
        <w:rPr>
          <w:lang w:val="en-AU"/>
        </w:rPr>
        <w:t>government for policy research.</w:t>
      </w:r>
    </w:p>
    <w:p w14:paraId="34DC3BD4" w14:textId="21842F65" w:rsidR="001D26E1" w:rsidRPr="00351A46" w:rsidRDefault="002E6060" w:rsidP="00424333">
      <w:pPr>
        <w:keepNext/>
        <w:keepLines/>
        <w:spacing w:after="0"/>
        <w:jc w:val="both"/>
        <w:outlineLvl w:val="8"/>
        <w:rPr>
          <w:rFonts w:eastAsia="Calibri" w:cstheme="minorHAnsi"/>
          <w:lang w:val="en-AU"/>
        </w:rPr>
      </w:pPr>
      <w:r w:rsidRPr="00351A46">
        <w:rPr>
          <w:rFonts w:eastAsia="Calibri" w:cstheme="minorHAnsi"/>
          <w:lang w:val="en-AU"/>
        </w:rPr>
        <w:t xml:space="preserve">The diagram and table below provide an overview </w:t>
      </w:r>
      <w:r w:rsidR="00F94A2D" w:rsidRPr="00351A46">
        <w:rPr>
          <w:rFonts w:eastAsia="Calibri" w:cstheme="minorHAnsi"/>
          <w:lang w:val="en-AU"/>
        </w:rPr>
        <w:t>of EOPO 3</w:t>
      </w:r>
      <w:r w:rsidRPr="00351A46">
        <w:rPr>
          <w:rFonts w:eastAsia="Calibri" w:cstheme="minorHAnsi"/>
          <w:lang w:val="en-AU"/>
        </w:rPr>
        <w:t xml:space="preserve"> and how the </w:t>
      </w:r>
      <w:r w:rsidR="00330C9B" w:rsidRPr="00351A46">
        <w:rPr>
          <w:rFonts w:eastAsia="Calibri" w:cstheme="minorHAnsi"/>
          <w:lang w:val="en-AU"/>
        </w:rPr>
        <w:t xml:space="preserve">key initiatives </w:t>
      </w:r>
      <w:r w:rsidRPr="00351A46">
        <w:rPr>
          <w:rFonts w:eastAsia="Calibri" w:cstheme="minorHAnsi"/>
          <w:lang w:val="en-AU"/>
        </w:rPr>
        <w:t xml:space="preserve">contribute, as well as </w:t>
      </w:r>
      <w:r w:rsidR="00864002" w:rsidRPr="00351A46">
        <w:rPr>
          <w:rFonts w:eastAsia="Calibri" w:cstheme="minorHAnsi"/>
          <w:lang w:val="en-AU"/>
        </w:rPr>
        <w:t>links</w:t>
      </w:r>
      <w:r w:rsidRPr="00351A46">
        <w:rPr>
          <w:rFonts w:eastAsia="Calibri" w:cstheme="minorHAnsi"/>
          <w:lang w:val="en-AU"/>
        </w:rPr>
        <w:t xml:space="preserve"> to other EOPOs.</w:t>
      </w:r>
    </w:p>
    <w:p w14:paraId="7A5AE85B" w14:textId="7FF014AB" w:rsidR="00F94A2D" w:rsidRPr="00351A46" w:rsidRDefault="002E6060" w:rsidP="00424333">
      <w:pPr>
        <w:rPr>
          <w:lang w:val="en-AU"/>
        </w:rPr>
        <w:sectPr w:rsidR="00F94A2D" w:rsidRPr="00351A46" w:rsidSect="00595921">
          <w:type w:val="continuous"/>
          <w:pgSz w:w="11900" w:h="16850"/>
          <w:pgMar w:top="1440" w:right="1440" w:bottom="1440" w:left="1440" w:header="758" w:footer="0" w:gutter="0"/>
          <w:cols w:space="720"/>
          <w:docGrid w:linePitch="299"/>
        </w:sectPr>
      </w:pPr>
      <w:r w:rsidRPr="00351A46">
        <w:rPr>
          <w:lang w:val="en-AU"/>
        </w:rPr>
        <w:t xml:space="preserve"> </w:t>
      </w:r>
    </w:p>
    <w:p w14:paraId="5A820AB3" w14:textId="12EAB400" w:rsidR="008F4103" w:rsidRDefault="006353E0" w:rsidP="00424333">
      <w:pPr>
        <w:ind w:hanging="709"/>
        <w:rPr>
          <w:lang w:val="en-AU"/>
        </w:rPr>
      </w:pPr>
      <w:r w:rsidRPr="00381388">
        <w:rPr>
          <w:noProof/>
          <w:lang w:val="en-AU" w:eastAsia="en-AU"/>
        </w:rPr>
        <w:drawing>
          <wp:inline distT="0" distB="0" distL="0" distR="0" wp14:anchorId="510822CA" wp14:editId="3A1F9162">
            <wp:extent cx="9555480" cy="568635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OPO 3 diagram_for PIS_v3.jpg"/>
                    <pic:cNvPicPr/>
                  </pic:nvPicPr>
                  <pic:blipFill>
                    <a:blip r:embed="rId17"/>
                    <a:stretch>
                      <a:fillRect/>
                    </a:stretch>
                  </pic:blipFill>
                  <pic:spPr>
                    <a:xfrm>
                      <a:off x="0" y="0"/>
                      <a:ext cx="9576717" cy="5698989"/>
                    </a:xfrm>
                    <a:prstGeom prst="rect">
                      <a:avLst/>
                    </a:prstGeom>
                  </pic:spPr>
                </pic:pic>
              </a:graphicData>
            </a:graphic>
          </wp:inline>
        </w:drawing>
      </w:r>
    </w:p>
    <w:p w14:paraId="3E460252" w14:textId="77777777" w:rsidR="00947E90" w:rsidRDefault="00947E90" w:rsidP="00424333">
      <w:pPr>
        <w:ind w:hanging="709"/>
        <w:rPr>
          <w:lang w:val="en-AU"/>
        </w:rPr>
      </w:pPr>
    </w:p>
    <w:p w14:paraId="1ED3E99E" w14:textId="77777777" w:rsidR="00947E90" w:rsidRPr="00351A46" w:rsidRDefault="00947E90" w:rsidP="00424333">
      <w:pPr>
        <w:ind w:hanging="709"/>
        <w:rPr>
          <w:lang w:val="en-AU"/>
        </w:rPr>
        <w:sectPr w:rsidR="00947E90" w:rsidRPr="00351A46" w:rsidSect="00424333">
          <w:pgSz w:w="16850" w:h="11900" w:orient="landscape"/>
          <w:pgMar w:top="851" w:right="1440" w:bottom="1440" w:left="1440" w:header="758" w:footer="0" w:gutter="0"/>
          <w:cols w:space="720"/>
          <w:docGrid w:linePitch="299"/>
        </w:sectPr>
      </w:pPr>
    </w:p>
    <w:tbl>
      <w:tblPr>
        <w:tblStyle w:val="TableGrid2"/>
        <w:tblpPr w:leftFromText="181" w:rightFromText="181" w:vertAnchor="text" w:horzAnchor="margin" w:tblpY="613"/>
        <w:tblOverlap w:val="never"/>
        <w:tblW w:w="10615" w:type="dxa"/>
        <w:tblLook w:val="04A0" w:firstRow="1" w:lastRow="0" w:firstColumn="1" w:lastColumn="0" w:noHBand="0" w:noVBand="1"/>
      </w:tblPr>
      <w:tblGrid>
        <w:gridCol w:w="2065"/>
        <w:gridCol w:w="2430"/>
        <w:gridCol w:w="3510"/>
        <w:gridCol w:w="2610"/>
      </w:tblGrid>
      <w:tr w:rsidR="008F4103" w:rsidRPr="00351A46" w14:paraId="71BC040E" w14:textId="77777777" w:rsidTr="00A951C4">
        <w:trPr>
          <w:trHeight w:val="50"/>
        </w:trPr>
        <w:tc>
          <w:tcPr>
            <w:tcW w:w="10615" w:type="dxa"/>
            <w:gridSpan w:val="4"/>
            <w:shd w:val="clear" w:color="auto" w:fill="BDD6EE" w:themeFill="accent1" w:themeFillTint="66"/>
          </w:tcPr>
          <w:p w14:paraId="43320A25" w14:textId="7F8FDE86" w:rsidR="008F4103" w:rsidRPr="00351A46" w:rsidRDefault="00FB5515" w:rsidP="00A951C4">
            <w:pPr>
              <w:keepNext/>
              <w:keepLines/>
              <w:jc w:val="center"/>
              <w:outlineLvl w:val="8"/>
              <w:rPr>
                <w:lang w:val="en-AU"/>
              </w:rPr>
            </w:pPr>
            <w:r w:rsidRPr="00351A46">
              <w:rPr>
                <w:b/>
                <w:color w:val="000000" w:themeColor="text1"/>
                <w:lang w:val="en-AU" w:eastAsia="en-ID"/>
              </w:rPr>
              <w:t xml:space="preserve">End of </w:t>
            </w:r>
            <w:r w:rsidR="008C3312" w:rsidRPr="00351A46">
              <w:rPr>
                <w:b/>
                <w:color w:val="000000" w:themeColor="text1"/>
                <w:lang w:val="en-AU" w:eastAsia="en-ID"/>
              </w:rPr>
              <w:t>Program</w:t>
            </w:r>
            <w:r w:rsidR="00D0604A" w:rsidRPr="00351A46">
              <w:rPr>
                <w:b/>
                <w:color w:val="000000" w:themeColor="text1"/>
                <w:lang w:val="en-AU" w:eastAsia="en-ID"/>
              </w:rPr>
              <w:t xml:space="preserve"> </w:t>
            </w:r>
            <w:r w:rsidR="008F4103" w:rsidRPr="00351A46">
              <w:rPr>
                <w:b/>
                <w:color w:val="000000" w:themeColor="text1"/>
                <w:lang w:val="en-AU" w:eastAsia="en-ID"/>
              </w:rPr>
              <w:t xml:space="preserve">Outcome 3: Increased interaction, knowledge sharing and collaboration between researchers, policy analysts, </w:t>
            </w:r>
            <w:r w:rsidR="0085747B" w:rsidRPr="00351A46">
              <w:rPr>
                <w:b/>
                <w:color w:val="000000" w:themeColor="text1"/>
                <w:lang w:val="en-AU" w:eastAsia="en-ID"/>
              </w:rPr>
              <w:t>policymak</w:t>
            </w:r>
            <w:r w:rsidR="008F4103" w:rsidRPr="00351A46">
              <w:rPr>
                <w:b/>
                <w:color w:val="000000" w:themeColor="text1"/>
                <w:lang w:val="en-AU" w:eastAsia="en-ID"/>
              </w:rPr>
              <w:t xml:space="preserve">ers and other key players in the </w:t>
            </w:r>
            <w:r w:rsidR="008E499E" w:rsidRPr="00351A46">
              <w:rPr>
                <w:b/>
                <w:color w:val="000000" w:themeColor="text1"/>
                <w:lang w:val="en-AU" w:eastAsia="en-ID"/>
              </w:rPr>
              <w:t>k</w:t>
            </w:r>
            <w:r w:rsidR="008F4103" w:rsidRPr="00351A46">
              <w:rPr>
                <w:b/>
                <w:color w:val="000000" w:themeColor="text1"/>
                <w:lang w:val="en-AU" w:eastAsia="en-ID"/>
              </w:rPr>
              <w:t xml:space="preserve">nowledge </w:t>
            </w:r>
            <w:r w:rsidR="008E499E" w:rsidRPr="00351A46">
              <w:rPr>
                <w:b/>
                <w:color w:val="000000" w:themeColor="text1"/>
                <w:lang w:val="en-AU" w:eastAsia="en-ID"/>
              </w:rPr>
              <w:t>s</w:t>
            </w:r>
            <w:r w:rsidR="008F4103" w:rsidRPr="00351A46">
              <w:rPr>
                <w:b/>
                <w:color w:val="000000" w:themeColor="text1"/>
                <w:lang w:val="en-AU" w:eastAsia="en-ID"/>
              </w:rPr>
              <w:t>ector</w:t>
            </w:r>
          </w:p>
        </w:tc>
      </w:tr>
      <w:tr w:rsidR="008F4103" w:rsidRPr="00351A46" w14:paraId="52D6A5E3" w14:textId="77777777" w:rsidTr="00A951C4">
        <w:trPr>
          <w:trHeight w:val="50"/>
        </w:trPr>
        <w:tc>
          <w:tcPr>
            <w:tcW w:w="10615" w:type="dxa"/>
            <w:gridSpan w:val="4"/>
            <w:shd w:val="clear" w:color="auto" w:fill="DEEAF6" w:themeFill="accent1" w:themeFillTint="33"/>
          </w:tcPr>
          <w:p w14:paraId="54F48C63" w14:textId="217F1EB4" w:rsidR="008F4103" w:rsidRPr="00351A46" w:rsidRDefault="008F4103" w:rsidP="00A951C4">
            <w:pPr>
              <w:jc w:val="center"/>
              <w:rPr>
                <w:b/>
                <w:color w:val="000000" w:themeColor="text1"/>
                <w:sz w:val="20"/>
                <w:szCs w:val="20"/>
                <w:lang w:val="en-AU"/>
              </w:rPr>
            </w:pPr>
            <w:r w:rsidRPr="00351A46">
              <w:rPr>
                <w:b/>
                <w:color w:val="000000" w:themeColor="text1"/>
                <w:sz w:val="20"/>
                <w:szCs w:val="20"/>
                <w:lang w:val="en-AU"/>
              </w:rPr>
              <w:t>Change expected by 2022:</w:t>
            </w:r>
          </w:p>
          <w:p w14:paraId="44BAA32E" w14:textId="2C4AAE70" w:rsidR="008F4103" w:rsidRPr="00351A46" w:rsidRDefault="008F4103" w:rsidP="00A951C4">
            <w:pPr>
              <w:numPr>
                <w:ilvl w:val="0"/>
                <w:numId w:val="14"/>
              </w:numPr>
              <w:ind w:firstLine="0"/>
              <w:rPr>
                <w:color w:val="000000" w:themeColor="text1"/>
                <w:sz w:val="20"/>
                <w:szCs w:val="20"/>
                <w:lang w:val="en-AU"/>
              </w:rPr>
            </w:pPr>
            <w:r w:rsidRPr="00351A46">
              <w:rPr>
                <w:color w:val="000000" w:themeColor="text1"/>
                <w:sz w:val="20"/>
                <w:szCs w:val="20"/>
                <w:lang w:val="en-AU"/>
              </w:rPr>
              <w:t>More and better interactions (in</w:t>
            </w:r>
            <w:r w:rsidR="008E499E" w:rsidRPr="00351A46">
              <w:rPr>
                <w:color w:val="000000" w:themeColor="text1"/>
                <w:sz w:val="20"/>
                <w:szCs w:val="20"/>
                <w:lang w:val="en-AU"/>
              </w:rPr>
              <w:t xml:space="preserve"> </w:t>
            </w:r>
            <w:r w:rsidRPr="00351A46">
              <w:rPr>
                <w:color w:val="000000" w:themeColor="text1"/>
                <w:sz w:val="20"/>
                <w:szCs w:val="20"/>
                <w:lang w:val="en-AU"/>
              </w:rPr>
              <w:t xml:space="preserve">person and virtual) between researchers, policy analysts, </w:t>
            </w:r>
            <w:r w:rsidR="0085747B" w:rsidRPr="00351A46">
              <w:rPr>
                <w:color w:val="000000" w:themeColor="text1"/>
                <w:sz w:val="20"/>
                <w:szCs w:val="20"/>
                <w:lang w:val="en-AU"/>
              </w:rPr>
              <w:t>policymak</w:t>
            </w:r>
            <w:r w:rsidRPr="00351A46">
              <w:rPr>
                <w:color w:val="000000" w:themeColor="text1"/>
                <w:sz w:val="20"/>
                <w:szCs w:val="20"/>
                <w:lang w:val="en-AU"/>
              </w:rPr>
              <w:t xml:space="preserve">ers and others through forming new connections and strengthening pre-existing connections. </w:t>
            </w:r>
          </w:p>
          <w:p w14:paraId="47130728" w14:textId="77777777" w:rsidR="008F4103" w:rsidRPr="00351A46" w:rsidRDefault="008F4103" w:rsidP="00A951C4">
            <w:pPr>
              <w:numPr>
                <w:ilvl w:val="0"/>
                <w:numId w:val="14"/>
              </w:numPr>
              <w:ind w:firstLine="0"/>
              <w:rPr>
                <w:color w:val="000000" w:themeColor="text1"/>
                <w:sz w:val="20"/>
                <w:szCs w:val="20"/>
                <w:lang w:val="en-AU"/>
              </w:rPr>
            </w:pPr>
            <w:r w:rsidRPr="00351A46">
              <w:rPr>
                <w:color w:val="000000" w:themeColor="text1"/>
                <w:sz w:val="20"/>
                <w:szCs w:val="20"/>
                <w:lang w:val="en-AU"/>
              </w:rPr>
              <w:t xml:space="preserve">These interactions enable increased sharing of knowledge and collaboration on policy issues. </w:t>
            </w:r>
          </w:p>
          <w:p w14:paraId="40067581" w14:textId="77777777" w:rsidR="008F4103" w:rsidRPr="00351A46" w:rsidRDefault="008F4103" w:rsidP="00A951C4">
            <w:pPr>
              <w:numPr>
                <w:ilvl w:val="0"/>
                <w:numId w:val="14"/>
              </w:numPr>
              <w:ind w:firstLine="0"/>
              <w:rPr>
                <w:b/>
                <w:color w:val="000000" w:themeColor="text1"/>
                <w:sz w:val="20"/>
                <w:szCs w:val="20"/>
                <w:lang w:val="en-AU"/>
              </w:rPr>
            </w:pPr>
            <w:r w:rsidRPr="00351A46">
              <w:rPr>
                <w:color w:val="000000" w:themeColor="text1"/>
                <w:sz w:val="20"/>
                <w:szCs w:val="20"/>
                <w:lang w:val="en-AU"/>
              </w:rPr>
              <w:t>Interactions initially through KSI-supported forums, eventually leading to interactions outside these forums.</w:t>
            </w:r>
            <w:r w:rsidRPr="00351A46">
              <w:rPr>
                <w:sz w:val="20"/>
                <w:szCs w:val="20"/>
                <w:lang w:val="en-AU"/>
              </w:rPr>
              <w:t xml:space="preserve"> </w:t>
            </w:r>
          </w:p>
        </w:tc>
      </w:tr>
      <w:tr w:rsidR="008F4103" w:rsidRPr="00351A46" w14:paraId="0D603587" w14:textId="77777777" w:rsidTr="00A951C4">
        <w:tc>
          <w:tcPr>
            <w:tcW w:w="10615" w:type="dxa"/>
            <w:gridSpan w:val="4"/>
            <w:shd w:val="clear" w:color="auto" w:fill="FFE599" w:themeFill="accent4" w:themeFillTint="66"/>
          </w:tcPr>
          <w:p w14:paraId="0FA6CF02" w14:textId="633E8214" w:rsidR="008F4103" w:rsidRPr="00351A46" w:rsidRDefault="00E5110F" w:rsidP="00A951C4">
            <w:pPr>
              <w:keepNext/>
              <w:keepLines/>
              <w:jc w:val="center"/>
              <w:outlineLvl w:val="8"/>
              <w:rPr>
                <w:b/>
                <w:sz w:val="20"/>
                <w:szCs w:val="20"/>
                <w:lang w:val="en-AU"/>
              </w:rPr>
            </w:pPr>
            <w:r w:rsidRPr="00351A46">
              <w:rPr>
                <w:b/>
                <w:sz w:val="20"/>
                <w:szCs w:val="20"/>
                <w:lang w:val="en-AU"/>
              </w:rPr>
              <w:t>Key initiative</w:t>
            </w:r>
            <w:r w:rsidR="008F4103" w:rsidRPr="00351A46">
              <w:rPr>
                <w:b/>
                <w:sz w:val="20"/>
                <w:szCs w:val="20"/>
                <w:lang w:val="en-AU"/>
              </w:rPr>
              <w:t xml:space="preserve">: Indonesia Development Forum </w:t>
            </w:r>
            <w:r w:rsidR="008E499E" w:rsidRPr="00381388">
              <w:rPr>
                <w:b/>
                <w:sz w:val="20"/>
                <w:szCs w:val="20"/>
                <w:lang w:val="en-AU"/>
              </w:rPr>
              <w:t>–</w:t>
            </w:r>
            <w:r w:rsidR="008E499E" w:rsidRPr="00351A46">
              <w:rPr>
                <w:b/>
                <w:sz w:val="20"/>
                <w:szCs w:val="20"/>
                <w:lang w:val="en-AU"/>
              </w:rPr>
              <w:t xml:space="preserve"> </w:t>
            </w:r>
            <w:r w:rsidR="008F4103" w:rsidRPr="00351A46">
              <w:rPr>
                <w:iCs/>
                <w:color w:val="000000" w:themeColor="text1"/>
                <w:sz w:val="20"/>
                <w:szCs w:val="20"/>
                <w:lang w:val="en-AU"/>
              </w:rPr>
              <w:t xml:space="preserve">Sustainable platform for presenting quality research to inform development policy and fostering interactions between </w:t>
            </w:r>
            <w:r w:rsidR="0085747B" w:rsidRPr="00351A46">
              <w:rPr>
                <w:iCs/>
                <w:color w:val="000000" w:themeColor="text1"/>
                <w:sz w:val="20"/>
                <w:szCs w:val="20"/>
                <w:lang w:val="en-AU"/>
              </w:rPr>
              <w:t>policymak</w:t>
            </w:r>
            <w:r w:rsidR="008F4103" w:rsidRPr="00351A46">
              <w:rPr>
                <w:iCs/>
                <w:color w:val="000000" w:themeColor="text1"/>
                <w:sz w:val="20"/>
                <w:szCs w:val="20"/>
                <w:lang w:val="en-AU"/>
              </w:rPr>
              <w:t>ers, policy analysts, researchers and others</w:t>
            </w:r>
            <w:r w:rsidR="008F4103" w:rsidRPr="00351A46">
              <w:rPr>
                <w:color w:val="000000" w:themeColor="text1"/>
                <w:sz w:val="20"/>
                <w:szCs w:val="20"/>
                <w:lang w:val="en-AU" w:eastAsia="en-ID"/>
              </w:rPr>
              <w:t>.</w:t>
            </w:r>
          </w:p>
        </w:tc>
      </w:tr>
      <w:tr w:rsidR="008F4103" w:rsidRPr="00351A46" w14:paraId="2AC2861E" w14:textId="77777777" w:rsidTr="00A951C4">
        <w:tc>
          <w:tcPr>
            <w:tcW w:w="2065" w:type="dxa"/>
            <w:shd w:val="clear" w:color="auto" w:fill="FFF2CC" w:themeFill="accent4" w:themeFillTint="33"/>
          </w:tcPr>
          <w:p w14:paraId="3EF23F8E" w14:textId="6C765B16" w:rsidR="008F4103" w:rsidRPr="00351A46" w:rsidRDefault="002F4E43" w:rsidP="00A951C4">
            <w:pPr>
              <w:jc w:val="center"/>
              <w:rPr>
                <w:b/>
                <w:color w:val="000000" w:themeColor="text1"/>
                <w:sz w:val="20"/>
                <w:szCs w:val="20"/>
                <w:lang w:val="en-AU" w:eastAsia="en-ID"/>
              </w:rPr>
            </w:pPr>
            <w:r w:rsidRPr="00351A46">
              <w:rPr>
                <w:b/>
                <w:color w:val="000000" w:themeColor="text1"/>
                <w:sz w:val="20"/>
                <w:szCs w:val="20"/>
                <w:lang w:val="en-AU" w:eastAsia="en-ID"/>
              </w:rPr>
              <w:t>What needs to happen by 2022</w:t>
            </w:r>
          </w:p>
        </w:tc>
        <w:tc>
          <w:tcPr>
            <w:tcW w:w="2430" w:type="dxa"/>
            <w:shd w:val="clear" w:color="auto" w:fill="FFF2CC" w:themeFill="accent4" w:themeFillTint="33"/>
          </w:tcPr>
          <w:p w14:paraId="6E7CF74F" w14:textId="5B1C58B6" w:rsidR="008F4103" w:rsidRPr="00351A46" w:rsidRDefault="008F4103" w:rsidP="00A951C4">
            <w:pPr>
              <w:jc w:val="center"/>
              <w:rPr>
                <w:b/>
                <w:color w:val="000000" w:themeColor="text1"/>
                <w:sz w:val="20"/>
                <w:szCs w:val="20"/>
                <w:lang w:val="en-AU" w:eastAsia="en-ID"/>
              </w:rPr>
            </w:pPr>
            <w:r w:rsidRPr="00351A46">
              <w:rPr>
                <w:b/>
                <w:color w:val="000000" w:themeColor="text1"/>
                <w:sz w:val="20"/>
                <w:szCs w:val="20"/>
                <w:lang w:val="en-AU" w:eastAsia="en-ID"/>
              </w:rPr>
              <w:t xml:space="preserve">Critical </w:t>
            </w:r>
            <w:r w:rsidR="008E499E" w:rsidRPr="00351A46">
              <w:rPr>
                <w:b/>
                <w:color w:val="000000" w:themeColor="text1"/>
                <w:sz w:val="20"/>
                <w:szCs w:val="20"/>
                <w:lang w:val="en-AU" w:eastAsia="en-ID"/>
              </w:rPr>
              <w:t>s</w:t>
            </w:r>
            <w:r w:rsidRPr="00351A46">
              <w:rPr>
                <w:b/>
                <w:color w:val="000000" w:themeColor="text1"/>
                <w:sz w:val="20"/>
                <w:szCs w:val="20"/>
                <w:lang w:val="en-AU" w:eastAsia="en-ID"/>
              </w:rPr>
              <w:t xml:space="preserve">uccess </w:t>
            </w:r>
            <w:r w:rsidR="008E499E" w:rsidRPr="00351A46">
              <w:rPr>
                <w:b/>
                <w:color w:val="000000" w:themeColor="text1"/>
                <w:sz w:val="20"/>
                <w:szCs w:val="20"/>
                <w:lang w:val="en-AU" w:eastAsia="en-ID"/>
              </w:rPr>
              <w:t>f</w:t>
            </w:r>
            <w:r w:rsidRPr="00351A46">
              <w:rPr>
                <w:b/>
                <w:color w:val="000000" w:themeColor="text1"/>
                <w:sz w:val="20"/>
                <w:szCs w:val="20"/>
                <w:lang w:val="en-AU" w:eastAsia="en-ID"/>
              </w:rPr>
              <w:t>actors</w:t>
            </w:r>
          </w:p>
        </w:tc>
        <w:tc>
          <w:tcPr>
            <w:tcW w:w="3510" w:type="dxa"/>
            <w:shd w:val="clear" w:color="auto" w:fill="FFF2CC" w:themeFill="accent4" w:themeFillTint="33"/>
          </w:tcPr>
          <w:p w14:paraId="4B2891E7" w14:textId="77777777" w:rsidR="008F4103" w:rsidRPr="00351A46" w:rsidRDefault="008F4103" w:rsidP="00A951C4">
            <w:pPr>
              <w:jc w:val="center"/>
              <w:rPr>
                <w:b/>
                <w:color w:val="000000" w:themeColor="text1"/>
                <w:sz w:val="20"/>
                <w:szCs w:val="20"/>
                <w:lang w:val="en-AU" w:eastAsia="en-ID"/>
              </w:rPr>
            </w:pPr>
            <w:r w:rsidRPr="00351A46">
              <w:rPr>
                <w:b/>
                <w:color w:val="000000" w:themeColor="text1"/>
                <w:sz w:val="20"/>
                <w:szCs w:val="20"/>
                <w:lang w:val="en-AU" w:eastAsia="en-ID"/>
              </w:rPr>
              <w:t>KSI’s role</w:t>
            </w:r>
          </w:p>
        </w:tc>
        <w:tc>
          <w:tcPr>
            <w:tcW w:w="2610" w:type="dxa"/>
            <w:shd w:val="clear" w:color="auto" w:fill="FFF2CC" w:themeFill="accent4" w:themeFillTint="33"/>
          </w:tcPr>
          <w:p w14:paraId="6E721CAA" w14:textId="77777777" w:rsidR="008F4103" w:rsidRPr="00351A46" w:rsidRDefault="008F4103" w:rsidP="00A951C4">
            <w:pPr>
              <w:jc w:val="center"/>
              <w:rPr>
                <w:b/>
                <w:color w:val="000000" w:themeColor="text1"/>
                <w:sz w:val="20"/>
                <w:szCs w:val="20"/>
                <w:lang w:val="en-AU" w:eastAsia="en-ID"/>
              </w:rPr>
            </w:pPr>
            <w:r w:rsidRPr="00351A46">
              <w:rPr>
                <w:b/>
                <w:color w:val="000000" w:themeColor="text1"/>
                <w:sz w:val="20"/>
                <w:szCs w:val="20"/>
                <w:lang w:val="en-AU" w:eastAsia="en-ID"/>
              </w:rPr>
              <w:t>Expected outcomes for 2018</w:t>
            </w:r>
          </w:p>
        </w:tc>
      </w:tr>
      <w:tr w:rsidR="008F4103" w:rsidRPr="00351A46" w14:paraId="238BF57E" w14:textId="77777777" w:rsidTr="00A951C4">
        <w:trPr>
          <w:trHeight w:val="9224"/>
        </w:trPr>
        <w:tc>
          <w:tcPr>
            <w:tcW w:w="2065" w:type="dxa"/>
            <w:shd w:val="clear" w:color="auto" w:fill="FFF2CC" w:themeFill="accent4" w:themeFillTint="33"/>
          </w:tcPr>
          <w:p w14:paraId="5E293F5A" w14:textId="74835021" w:rsidR="006B31EA" w:rsidRPr="00351A46" w:rsidRDefault="008F4103" w:rsidP="00A951C4">
            <w:pPr>
              <w:rPr>
                <w:color w:val="000000" w:themeColor="text1"/>
                <w:sz w:val="20"/>
                <w:szCs w:val="20"/>
                <w:lang w:val="en-AU"/>
              </w:rPr>
            </w:pPr>
            <w:r w:rsidRPr="00351A46">
              <w:rPr>
                <w:color w:val="000000" w:themeColor="text1"/>
                <w:sz w:val="20"/>
                <w:szCs w:val="20"/>
                <w:lang w:val="en-AU"/>
              </w:rPr>
              <w:t xml:space="preserve">Bappenas implements and funds IDF, with funding contributions from </w:t>
            </w:r>
            <w:r w:rsidR="00490627" w:rsidRPr="00351A46">
              <w:rPr>
                <w:color w:val="000000" w:themeColor="text1"/>
                <w:sz w:val="20"/>
                <w:szCs w:val="20"/>
                <w:lang w:val="en-AU"/>
              </w:rPr>
              <w:t xml:space="preserve">the </w:t>
            </w:r>
            <w:r w:rsidRPr="00351A46">
              <w:rPr>
                <w:color w:val="000000" w:themeColor="text1"/>
                <w:sz w:val="20"/>
                <w:szCs w:val="20"/>
                <w:lang w:val="en-AU"/>
              </w:rPr>
              <w:t>private sector and development partners</w:t>
            </w:r>
            <w:r w:rsidR="00D0604A" w:rsidRPr="00351A46">
              <w:rPr>
                <w:color w:val="000000" w:themeColor="text1"/>
                <w:sz w:val="20"/>
                <w:szCs w:val="20"/>
                <w:lang w:val="en-AU"/>
              </w:rPr>
              <w:t xml:space="preserve">. </w:t>
            </w:r>
          </w:p>
          <w:p w14:paraId="6CA603C3" w14:textId="77777777" w:rsidR="00DE315A" w:rsidRPr="00381388" w:rsidRDefault="00DE315A" w:rsidP="00A951C4">
            <w:pPr>
              <w:numPr>
                <w:ilvl w:val="1"/>
                <w:numId w:val="0"/>
              </w:numPr>
              <w:rPr>
                <w:rFonts w:eastAsiaTheme="minorEastAsia"/>
                <w:color w:val="000000" w:themeColor="text1"/>
                <w:spacing w:val="15"/>
                <w:sz w:val="20"/>
                <w:szCs w:val="20"/>
                <w:lang w:val="en-AU"/>
              </w:rPr>
            </w:pPr>
          </w:p>
          <w:p w14:paraId="2956DB1E" w14:textId="1AC396CE" w:rsidR="008F4103" w:rsidRPr="00351A46" w:rsidRDefault="008F4103" w:rsidP="00A951C4">
            <w:pPr>
              <w:rPr>
                <w:color w:val="000000" w:themeColor="text1"/>
                <w:sz w:val="20"/>
                <w:szCs w:val="20"/>
                <w:lang w:val="en-AU"/>
              </w:rPr>
            </w:pPr>
            <w:r w:rsidRPr="00351A46">
              <w:rPr>
                <w:color w:val="000000" w:themeColor="text1"/>
                <w:sz w:val="20"/>
                <w:szCs w:val="20"/>
                <w:lang w:val="en-AU"/>
              </w:rPr>
              <w:t>Quality policy research, practices and innovations presented at IDF.</w:t>
            </w:r>
          </w:p>
          <w:p w14:paraId="6F705B2D" w14:textId="77777777" w:rsidR="006B31EA" w:rsidRPr="00381388" w:rsidRDefault="006B31EA" w:rsidP="00A951C4">
            <w:pPr>
              <w:numPr>
                <w:ilvl w:val="1"/>
                <w:numId w:val="0"/>
              </w:numPr>
              <w:rPr>
                <w:rFonts w:eastAsiaTheme="minorEastAsia"/>
                <w:color w:val="000000" w:themeColor="text1"/>
                <w:spacing w:val="15"/>
                <w:sz w:val="20"/>
                <w:szCs w:val="20"/>
                <w:lang w:val="en-AU"/>
              </w:rPr>
            </w:pPr>
          </w:p>
          <w:p w14:paraId="7BD4A16F" w14:textId="5C7D0CCA" w:rsidR="008F4103" w:rsidRPr="00351A46" w:rsidRDefault="008F4103" w:rsidP="00A951C4">
            <w:pPr>
              <w:rPr>
                <w:color w:val="000000" w:themeColor="text1"/>
                <w:sz w:val="20"/>
                <w:szCs w:val="20"/>
                <w:lang w:val="en-AU"/>
              </w:rPr>
            </w:pPr>
            <w:r w:rsidRPr="00351A46">
              <w:rPr>
                <w:color w:val="000000" w:themeColor="text1"/>
                <w:sz w:val="20"/>
                <w:szCs w:val="20"/>
                <w:lang w:val="en-AU"/>
              </w:rPr>
              <w:t>More and better interactions, knowledge exchange and collaboration between stakeholders, including sub-national actors through IDF.</w:t>
            </w:r>
          </w:p>
          <w:p w14:paraId="4466B460" w14:textId="77777777" w:rsidR="006B31EA" w:rsidRPr="00381388" w:rsidRDefault="006B31EA" w:rsidP="00A951C4">
            <w:pPr>
              <w:numPr>
                <w:ilvl w:val="1"/>
                <w:numId w:val="0"/>
              </w:numPr>
              <w:rPr>
                <w:rFonts w:eastAsiaTheme="minorEastAsia"/>
                <w:color w:val="000000" w:themeColor="text1"/>
                <w:spacing w:val="15"/>
                <w:sz w:val="20"/>
                <w:szCs w:val="20"/>
                <w:lang w:val="en-AU"/>
              </w:rPr>
            </w:pPr>
          </w:p>
          <w:p w14:paraId="27422094" w14:textId="77777777" w:rsidR="008F4103" w:rsidRPr="00351A46" w:rsidRDefault="008F4103" w:rsidP="00A951C4">
            <w:pPr>
              <w:rPr>
                <w:color w:val="000000" w:themeColor="text1"/>
                <w:sz w:val="20"/>
                <w:szCs w:val="20"/>
                <w:lang w:val="en-AU"/>
              </w:rPr>
            </w:pPr>
            <w:r w:rsidRPr="00351A46">
              <w:rPr>
                <w:color w:val="000000" w:themeColor="text1"/>
                <w:sz w:val="20"/>
                <w:szCs w:val="20"/>
                <w:lang w:val="en-AU"/>
              </w:rPr>
              <w:t>IDF research and evidence aligns with government research agenda and informs policymaking in Bappenas and other ministries.</w:t>
            </w:r>
          </w:p>
        </w:tc>
        <w:tc>
          <w:tcPr>
            <w:tcW w:w="2430" w:type="dxa"/>
            <w:shd w:val="clear" w:color="auto" w:fill="FFF2CC" w:themeFill="accent4" w:themeFillTint="33"/>
          </w:tcPr>
          <w:p w14:paraId="2A9BA336" w14:textId="446084D0" w:rsidR="008F4103" w:rsidRPr="00351A46" w:rsidRDefault="008F4103" w:rsidP="00A951C4">
            <w:pPr>
              <w:rPr>
                <w:color w:val="000000" w:themeColor="text1"/>
                <w:sz w:val="20"/>
                <w:szCs w:val="20"/>
                <w:lang w:val="en-AU"/>
              </w:rPr>
            </w:pPr>
            <w:r w:rsidRPr="00351A46">
              <w:rPr>
                <w:color w:val="000000" w:themeColor="text1"/>
                <w:sz w:val="20"/>
                <w:szCs w:val="20"/>
                <w:lang w:val="en-AU"/>
              </w:rPr>
              <w:t>Continued strong support from senior officials across Bappenas</w:t>
            </w:r>
            <w:r w:rsidR="00490627" w:rsidRPr="00351A46">
              <w:rPr>
                <w:color w:val="000000" w:themeColor="text1"/>
                <w:sz w:val="20"/>
                <w:szCs w:val="20"/>
                <w:lang w:val="en-AU"/>
              </w:rPr>
              <w:t>,</w:t>
            </w:r>
            <w:r w:rsidRPr="00351A46">
              <w:rPr>
                <w:color w:val="000000" w:themeColor="text1"/>
                <w:sz w:val="20"/>
                <w:szCs w:val="20"/>
                <w:lang w:val="en-AU"/>
              </w:rPr>
              <w:t xml:space="preserve"> and its </w:t>
            </w:r>
            <w:r w:rsidR="00490627" w:rsidRPr="00351A46">
              <w:rPr>
                <w:color w:val="000000" w:themeColor="text1"/>
                <w:sz w:val="20"/>
                <w:szCs w:val="20"/>
                <w:lang w:val="en-AU"/>
              </w:rPr>
              <w:t>m</w:t>
            </w:r>
            <w:r w:rsidRPr="00351A46">
              <w:rPr>
                <w:color w:val="000000" w:themeColor="text1"/>
                <w:sz w:val="20"/>
                <w:szCs w:val="20"/>
                <w:lang w:val="en-AU"/>
              </w:rPr>
              <w:t>inister.</w:t>
            </w:r>
          </w:p>
          <w:p w14:paraId="59EE0857" w14:textId="77777777" w:rsidR="006B31EA" w:rsidRPr="00381388" w:rsidRDefault="006B31EA" w:rsidP="00A951C4">
            <w:pPr>
              <w:numPr>
                <w:ilvl w:val="1"/>
                <w:numId w:val="0"/>
              </w:numPr>
              <w:rPr>
                <w:rFonts w:eastAsiaTheme="minorEastAsia"/>
                <w:color w:val="000000" w:themeColor="text1"/>
                <w:spacing w:val="15"/>
                <w:sz w:val="20"/>
                <w:szCs w:val="20"/>
                <w:lang w:val="en-AU"/>
              </w:rPr>
            </w:pPr>
          </w:p>
          <w:p w14:paraId="04777449" w14:textId="45D3FAD3" w:rsidR="008F4103" w:rsidRPr="00351A46" w:rsidRDefault="008F4103" w:rsidP="00A951C4">
            <w:pPr>
              <w:rPr>
                <w:color w:val="000000" w:themeColor="text1"/>
                <w:sz w:val="20"/>
                <w:szCs w:val="20"/>
                <w:lang w:val="en-AU"/>
              </w:rPr>
            </w:pPr>
            <w:r w:rsidRPr="00351A46">
              <w:rPr>
                <w:color w:val="000000" w:themeColor="text1"/>
                <w:sz w:val="20"/>
                <w:szCs w:val="20"/>
                <w:lang w:val="en-AU"/>
              </w:rPr>
              <w:t>Bappenas engages an events manager to run IDF.</w:t>
            </w:r>
          </w:p>
          <w:p w14:paraId="1BC2D5A3" w14:textId="77777777" w:rsidR="006B31EA" w:rsidRPr="00381388" w:rsidRDefault="006B31EA" w:rsidP="00A951C4">
            <w:pPr>
              <w:numPr>
                <w:ilvl w:val="1"/>
                <w:numId w:val="0"/>
              </w:numPr>
              <w:rPr>
                <w:rFonts w:eastAsiaTheme="minorEastAsia"/>
                <w:color w:val="000000" w:themeColor="text1"/>
                <w:spacing w:val="15"/>
                <w:sz w:val="20"/>
                <w:szCs w:val="20"/>
                <w:lang w:val="en-AU"/>
              </w:rPr>
            </w:pPr>
          </w:p>
          <w:p w14:paraId="33919180" w14:textId="704A53A1" w:rsidR="008F4103" w:rsidRPr="00351A46" w:rsidRDefault="008F4103" w:rsidP="00A951C4">
            <w:pPr>
              <w:rPr>
                <w:color w:val="000000" w:themeColor="text1"/>
                <w:sz w:val="20"/>
                <w:szCs w:val="20"/>
                <w:lang w:val="en-AU"/>
              </w:rPr>
            </w:pPr>
            <w:r w:rsidRPr="00351A46">
              <w:rPr>
                <w:color w:val="000000" w:themeColor="text1"/>
                <w:sz w:val="20"/>
                <w:szCs w:val="20"/>
                <w:lang w:val="en-AU"/>
              </w:rPr>
              <w:t>Private sector and development partners are interested in funding IDF</w:t>
            </w:r>
            <w:r w:rsidR="00D0604A" w:rsidRPr="00351A46">
              <w:rPr>
                <w:color w:val="000000" w:themeColor="text1"/>
                <w:sz w:val="20"/>
                <w:szCs w:val="20"/>
                <w:lang w:val="en-AU"/>
              </w:rPr>
              <w:t xml:space="preserve">. </w:t>
            </w:r>
            <w:r w:rsidRPr="00351A46">
              <w:rPr>
                <w:color w:val="000000" w:themeColor="text1"/>
                <w:sz w:val="20"/>
                <w:szCs w:val="20"/>
                <w:lang w:val="en-AU"/>
              </w:rPr>
              <w:tab/>
            </w:r>
          </w:p>
          <w:p w14:paraId="1C8A9480" w14:textId="77777777" w:rsidR="006B31EA" w:rsidRPr="00381388" w:rsidRDefault="006B31EA" w:rsidP="00A951C4">
            <w:pPr>
              <w:numPr>
                <w:ilvl w:val="1"/>
                <w:numId w:val="0"/>
              </w:numPr>
              <w:rPr>
                <w:rFonts w:eastAsiaTheme="minorEastAsia"/>
                <w:color w:val="5A5A5A" w:themeColor="text1" w:themeTint="A5"/>
                <w:spacing w:val="15"/>
                <w:sz w:val="20"/>
                <w:szCs w:val="20"/>
                <w:lang w:val="en-AU"/>
              </w:rPr>
            </w:pPr>
          </w:p>
          <w:p w14:paraId="584DBE6B" w14:textId="6E7745AA" w:rsidR="008F4103" w:rsidRPr="00351A46" w:rsidRDefault="008F4103" w:rsidP="00A951C4">
            <w:pPr>
              <w:rPr>
                <w:color w:val="000000" w:themeColor="text1"/>
                <w:sz w:val="20"/>
                <w:szCs w:val="20"/>
                <w:lang w:val="en-AU"/>
              </w:rPr>
            </w:pPr>
            <w:r w:rsidRPr="00351A46">
              <w:rPr>
                <w:color w:val="000000" w:themeColor="text1"/>
                <w:sz w:val="20"/>
                <w:szCs w:val="20"/>
                <w:lang w:val="en-AU"/>
              </w:rPr>
              <w:t xml:space="preserve">Key stakeholders are aware of and interested in IDF. </w:t>
            </w:r>
          </w:p>
          <w:p w14:paraId="0B6FB484" w14:textId="77777777" w:rsidR="006B31EA" w:rsidRPr="00381388" w:rsidRDefault="006B31EA" w:rsidP="00A951C4">
            <w:pPr>
              <w:numPr>
                <w:ilvl w:val="1"/>
                <w:numId w:val="0"/>
              </w:numPr>
              <w:rPr>
                <w:rFonts w:eastAsiaTheme="minorEastAsia"/>
                <w:color w:val="000000" w:themeColor="text1"/>
                <w:spacing w:val="15"/>
                <w:sz w:val="20"/>
                <w:szCs w:val="20"/>
                <w:lang w:val="en-AU"/>
              </w:rPr>
            </w:pPr>
          </w:p>
          <w:p w14:paraId="3C87C883" w14:textId="70B88676" w:rsidR="008F4103" w:rsidRPr="00351A46" w:rsidRDefault="008F4103" w:rsidP="00A951C4">
            <w:pPr>
              <w:rPr>
                <w:color w:val="000000" w:themeColor="text1"/>
                <w:sz w:val="20"/>
                <w:szCs w:val="20"/>
                <w:lang w:val="en-AU"/>
              </w:rPr>
            </w:pPr>
            <w:r w:rsidRPr="00351A46">
              <w:rPr>
                <w:color w:val="000000" w:themeColor="text1"/>
                <w:sz w:val="20"/>
                <w:szCs w:val="20"/>
                <w:lang w:val="en-AU"/>
              </w:rPr>
              <w:t>Bappenas demands quality research and has quality assurance mechanisms in place for IDF.</w:t>
            </w:r>
          </w:p>
          <w:p w14:paraId="576CE067" w14:textId="77777777" w:rsidR="006B31EA" w:rsidRPr="00381388" w:rsidRDefault="006B31EA" w:rsidP="00A951C4">
            <w:pPr>
              <w:numPr>
                <w:ilvl w:val="1"/>
                <w:numId w:val="0"/>
              </w:numPr>
              <w:rPr>
                <w:rFonts w:eastAsiaTheme="minorEastAsia"/>
                <w:color w:val="000000" w:themeColor="text1"/>
                <w:spacing w:val="15"/>
                <w:sz w:val="20"/>
                <w:szCs w:val="20"/>
                <w:lang w:val="en-AU"/>
              </w:rPr>
            </w:pPr>
          </w:p>
          <w:p w14:paraId="43705BA7" w14:textId="720B58DF" w:rsidR="008F4103" w:rsidRPr="00351A46" w:rsidRDefault="008F4103" w:rsidP="00A951C4">
            <w:pPr>
              <w:rPr>
                <w:color w:val="000000" w:themeColor="text1"/>
                <w:sz w:val="20"/>
                <w:szCs w:val="20"/>
                <w:lang w:val="en-AU"/>
              </w:rPr>
            </w:pPr>
            <w:r w:rsidRPr="00351A46">
              <w:rPr>
                <w:color w:val="000000" w:themeColor="text1"/>
                <w:sz w:val="20"/>
                <w:szCs w:val="20"/>
                <w:lang w:val="en-AU"/>
              </w:rPr>
              <w:t>IDF design facilitates interaction, knowledge</w:t>
            </w:r>
            <w:r w:rsidR="00490627" w:rsidRPr="00351A46">
              <w:rPr>
                <w:color w:val="000000" w:themeColor="text1"/>
                <w:sz w:val="20"/>
                <w:szCs w:val="20"/>
                <w:lang w:val="en-AU"/>
              </w:rPr>
              <w:t xml:space="preserve"> </w:t>
            </w:r>
            <w:r w:rsidRPr="00351A46">
              <w:rPr>
                <w:color w:val="000000" w:themeColor="text1"/>
                <w:sz w:val="20"/>
                <w:szCs w:val="20"/>
                <w:lang w:val="en-AU"/>
              </w:rPr>
              <w:t>sharing and collaboration.</w:t>
            </w:r>
          </w:p>
          <w:p w14:paraId="06E9AEF5" w14:textId="77777777" w:rsidR="006B31EA" w:rsidRPr="00381388" w:rsidRDefault="006B31EA" w:rsidP="00A951C4">
            <w:pPr>
              <w:numPr>
                <w:ilvl w:val="1"/>
                <w:numId w:val="0"/>
              </w:numPr>
              <w:rPr>
                <w:rFonts w:eastAsiaTheme="minorEastAsia"/>
                <w:color w:val="000000" w:themeColor="text1"/>
                <w:spacing w:val="15"/>
                <w:sz w:val="20"/>
                <w:szCs w:val="20"/>
                <w:lang w:val="en-AU"/>
              </w:rPr>
            </w:pPr>
          </w:p>
          <w:p w14:paraId="4878F3B4" w14:textId="2CAB8C15" w:rsidR="008F4103" w:rsidRPr="00351A46" w:rsidRDefault="008F4103" w:rsidP="00A951C4">
            <w:pPr>
              <w:rPr>
                <w:color w:val="000000" w:themeColor="text1"/>
                <w:sz w:val="20"/>
                <w:szCs w:val="20"/>
                <w:lang w:val="en-AU" w:eastAsia="en-ID"/>
              </w:rPr>
            </w:pPr>
            <w:r w:rsidRPr="00351A46">
              <w:rPr>
                <w:color w:val="000000" w:themeColor="text1"/>
                <w:sz w:val="20"/>
                <w:szCs w:val="20"/>
                <w:lang w:val="en-AU"/>
              </w:rPr>
              <w:t xml:space="preserve">Bappenas picks IDF topic that will be useful for current policy needs and ensures </w:t>
            </w:r>
            <w:r w:rsidR="00490627" w:rsidRPr="00351A46">
              <w:rPr>
                <w:color w:val="000000" w:themeColor="text1"/>
                <w:sz w:val="20"/>
                <w:szCs w:val="20"/>
                <w:lang w:val="en-AU"/>
              </w:rPr>
              <w:t xml:space="preserve">that </w:t>
            </w:r>
            <w:r w:rsidRPr="00351A46">
              <w:rPr>
                <w:color w:val="000000" w:themeColor="text1"/>
                <w:sz w:val="20"/>
                <w:szCs w:val="20"/>
                <w:lang w:val="en-AU"/>
              </w:rPr>
              <w:t xml:space="preserve">timing feeds into key policy processes. </w:t>
            </w:r>
          </w:p>
        </w:tc>
        <w:tc>
          <w:tcPr>
            <w:tcW w:w="3510" w:type="dxa"/>
            <w:shd w:val="clear" w:color="auto" w:fill="FFF2CC" w:themeFill="accent4" w:themeFillTint="33"/>
          </w:tcPr>
          <w:p w14:paraId="6100BDD2" w14:textId="460D53E2" w:rsidR="008F4103" w:rsidRPr="00351A46" w:rsidRDefault="008F4103" w:rsidP="00A951C4">
            <w:pPr>
              <w:rPr>
                <w:color w:val="000000" w:themeColor="text1"/>
                <w:sz w:val="20"/>
                <w:szCs w:val="20"/>
                <w:lang w:val="en-AU"/>
              </w:rPr>
            </w:pPr>
            <w:r w:rsidRPr="00351A46">
              <w:rPr>
                <w:i/>
                <w:color w:val="000000" w:themeColor="text1"/>
                <w:sz w:val="20"/>
                <w:szCs w:val="20"/>
                <w:lang w:val="en-AU"/>
              </w:rPr>
              <w:t xml:space="preserve">Initiate: </w:t>
            </w:r>
            <w:r w:rsidRPr="00351A46">
              <w:rPr>
                <w:color w:val="000000" w:themeColor="text1"/>
                <w:sz w:val="20"/>
                <w:szCs w:val="20"/>
                <w:lang w:val="en-AU"/>
              </w:rPr>
              <w:t>Demonst</w:t>
            </w:r>
            <w:r w:rsidR="00490627" w:rsidRPr="00351A46">
              <w:rPr>
                <w:color w:val="000000" w:themeColor="text1"/>
                <w:sz w:val="20"/>
                <w:szCs w:val="20"/>
                <w:lang w:val="en-AU"/>
              </w:rPr>
              <w:t>rate</w:t>
            </w:r>
            <w:r w:rsidRPr="00351A46">
              <w:rPr>
                <w:color w:val="000000" w:themeColor="text1"/>
                <w:sz w:val="20"/>
                <w:szCs w:val="20"/>
                <w:lang w:val="en-AU"/>
              </w:rPr>
              <w:t xml:space="preserve"> to Bappenas how to hold</w:t>
            </w:r>
            <w:r w:rsidR="00490627" w:rsidRPr="00351A46">
              <w:rPr>
                <w:color w:val="000000" w:themeColor="text1"/>
                <w:sz w:val="20"/>
                <w:szCs w:val="20"/>
                <w:lang w:val="en-AU"/>
              </w:rPr>
              <w:t xml:space="preserve"> a</w:t>
            </w:r>
            <w:r w:rsidRPr="00351A46">
              <w:rPr>
                <w:color w:val="000000" w:themeColor="text1"/>
                <w:sz w:val="20"/>
                <w:szCs w:val="20"/>
                <w:lang w:val="en-AU"/>
              </w:rPr>
              <w:t xml:space="preserve"> quality policy forum that aligns with government research agenda by co-funding and providing expertise to develop IDF (conference, pre and post events and website).</w:t>
            </w:r>
          </w:p>
          <w:p w14:paraId="4D5C8C2B" w14:textId="77777777" w:rsidR="006B31EA" w:rsidRPr="00381388" w:rsidRDefault="006B31EA" w:rsidP="00A951C4">
            <w:pPr>
              <w:numPr>
                <w:ilvl w:val="1"/>
                <w:numId w:val="0"/>
              </w:numPr>
              <w:rPr>
                <w:rFonts w:eastAsiaTheme="minorEastAsia"/>
                <w:b/>
                <w:color w:val="000000" w:themeColor="text1"/>
                <w:spacing w:val="15"/>
                <w:sz w:val="20"/>
                <w:szCs w:val="20"/>
                <w:lang w:val="en-AU"/>
              </w:rPr>
            </w:pPr>
          </w:p>
          <w:p w14:paraId="47DC427F" w14:textId="0857D462" w:rsidR="008F4103" w:rsidRPr="00351A46" w:rsidRDefault="008F4103" w:rsidP="00A951C4">
            <w:pPr>
              <w:rPr>
                <w:color w:val="000000" w:themeColor="text1"/>
                <w:sz w:val="20"/>
                <w:szCs w:val="20"/>
                <w:lang w:val="en-AU"/>
              </w:rPr>
            </w:pPr>
            <w:r w:rsidRPr="00351A46">
              <w:rPr>
                <w:i/>
                <w:color w:val="000000" w:themeColor="text1"/>
                <w:sz w:val="20"/>
                <w:szCs w:val="20"/>
                <w:lang w:val="en-AU"/>
              </w:rPr>
              <w:t>Embed:</w:t>
            </w:r>
            <w:r w:rsidRPr="00351A46">
              <w:rPr>
                <w:b/>
                <w:color w:val="000000" w:themeColor="text1"/>
                <w:sz w:val="20"/>
                <w:szCs w:val="20"/>
                <w:lang w:val="en-AU"/>
              </w:rPr>
              <w:t xml:space="preserve"> </w:t>
            </w:r>
            <w:r w:rsidRPr="00351A46">
              <w:rPr>
                <w:color w:val="000000" w:themeColor="text1"/>
                <w:sz w:val="20"/>
                <w:szCs w:val="20"/>
                <w:lang w:val="en-AU"/>
              </w:rPr>
              <w:t xml:space="preserve">Build support of Bappenas and its </w:t>
            </w:r>
            <w:r w:rsidR="00490627" w:rsidRPr="00351A46">
              <w:rPr>
                <w:color w:val="000000" w:themeColor="text1"/>
                <w:sz w:val="20"/>
                <w:szCs w:val="20"/>
                <w:lang w:val="en-AU"/>
              </w:rPr>
              <w:t>m</w:t>
            </w:r>
            <w:r w:rsidRPr="00351A46">
              <w:rPr>
                <w:color w:val="000000" w:themeColor="text1"/>
                <w:sz w:val="20"/>
                <w:szCs w:val="20"/>
                <w:lang w:val="en-AU"/>
              </w:rPr>
              <w:t>inister by demonstrating benefits of IDF – including by building Bappenas profile (through media) and ensuring</w:t>
            </w:r>
            <w:r w:rsidR="00490627" w:rsidRPr="00351A46">
              <w:rPr>
                <w:color w:val="000000" w:themeColor="text1"/>
                <w:sz w:val="20"/>
                <w:szCs w:val="20"/>
                <w:lang w:val="en-AU"/>
              </w:rPr>
              <w:t xml:space="preserve"> that the</w:t>
            </w:r>
            <w:r w:rsidRPr="00351A46">
              <w:rPr>
                <w:color w:val="000000" w:themeColor="text1"/>
                <w:sz w:val="20"/>
                <w:szCs w:val="20"/>
                <w:lang w:val="en-AU"/>
              </w:rPr>
              <w:t xml:space="preserve"> content and timing of IDF meets policy needs. </w:t>
            </w:r>
          </w:p>
          <w:p w14:paraId="727A3924" w14:textId="77777777" w:rsidR="006B31EA" w:rsidRPr="00381388" w:rsidRDefault="006B31EA" w:rsidP="00A951C4">
            <w:pPr>
              <w:numPr>
                <w:ilvl w:val="1"/>
                <w:numId w:val="0"/>
              </w:numPr>
              <w:rPr>
                <w:rFonts w:eastAsiaTheme="minorEastAsia"/>
                <w:b/>
                <w:color w:val="000000" w:themeColor="text1"/>
                <w:spacing w:val="15"/>
                <w:sz w:val="20"/>
                <w:szCs w:val="20"/>
                <w:lang w:val="en-AU"/>
              </w:rPr>
            </w:pPr>
          </w:p>
          <w:p w14:paraId="7552F475" w14:textId="2C7B55D8" w:rsidR="008F4103" w:rsidRPr="00351A46" w:rsidRDefault="008F4103" w:rsidP="00A951C4">
            <w:pPr>
              <w:rPr>
                <w:color w:val="000000" w:themeColor="text1"/>
                <w:sz w:val="20"/>
                <w:szCs w:val="20"/>
                <w:lang w:val="en-AU"/>
              </w:rPr>
            </w:pPr>
            <w:r w:rsidRPr="00351A46">
              <w:rPr>
                <w:i/>
                <w:color w:val="000000" w:themeColor="text1"/>
                <w:sz w:val="20"/>
                <w:szCs w:val="20"/>
                <w:lang w:val="en-AU"/>
              </w:rPr>
              <w:t>Embed:</w:t>
            </w:r>
            <w:r w:rsidRPr="00351A46">
              <w:rPr>
                <w:b/>
                <w:color w:val="000000" w:themeColor="text1"/>
                <w:sz w:val="20"/>
                <w:szCs w:val="20"/>
                <w:lang w:val="en-AU"/>
              </w:rPr>
              <w:t xml:space="preserve"> </w:t>
            </w:r>
            <w:r w:rsidRPr="00351A46">
              <w:rPr>
                <w:color w:val="000000" w:themeColor="text1"/>
                <w:sz w:val="20"/>
                <w:szCs w:val="20"/>
                <w:lang w:val="en-AU"/>
              </w:rPr>
              <w:t>Facilitate Bappenas to take greater responsibility for running IDF (e</w:t>
            </w:r>
            <w:r w:rsidR="00490627" w:rsidRPr="00351A46">
              <w:rPr>
                <w:color w:val="000000" w:themeColor="text1"/>
                <w:sz w:val="20"/>
                <w:szCs w:val="20"/>
                <w:lang w:val="en-AU"/>
              </w:rPr>
              <w:t>.</w:t>
            </w:r>
            <w:r w:rsidRPr="00351A46">
              <w:rPr>
                <w:color w:val="000000" w:themeColor="text1"/>
                <w:sz w:val="20"/>
                <w:szCs w:val="20"/>
                <w:lang w:val="en-AU"/>
              </w:rPr>
              <w:t>g</w:t>
            </w:r>
            <w:r w:rsidR="00490627" w:rsidRPr="00351A46">
              <w:rPr>
                <w:color w:val="000000" w:themeColor="text1"/>
                <w:sz w:val="20"/>
                <w:szCs w:val="20"/>
                <w:lang w:val="en-AU"/>
              </w:rPr>
              <w:t>.</w:t>
            </w:r>
            <w:r w:rsidRPr="00351A46">
              <w:rPr>
                <w:color w:val="000000" w:themeColor="text1"/>
                <w:sz w:val="20"/>
                <w:szCs w:val="20"/>
                <w:lang w:val="en-AU"/>
              </w:rPr>
              <w:t xml:space="preserve"> more funding, engaging events manager). Build Bappenas</w:t>
            </w:r>
            <w:r w:rsidR="00490627" w:rsidRPr="00351A46">
              <w:rPr>
                <w:color w:val="000000" w:themeColor="text1"/>
                <w:sz w:val="20"/>
                <w:szCs w:val="20"/>
                <w:lang w:val="en-AU"/>
              </w:rPr>
              <w:t>’</w:t>
            </w:r>
            <w:r w:rsidRPr="00351A46">
              <w:rPr>
                <w:color w:val="000000" w:themeColor="text1"/>
                <w:sz w:val="20"/>
                <w:szCs w:val="20"/>
                <w:lang w:val="en-AU"/>
              </w:rPr>
              <w:t xml:space="preserve"> understanding of research quality and provide support to embed IDF quality assurance mechanism.</w:t>
            </w:r>
          </w:p>
          <w:p w14:paraId="55EF0D04" w14:textId="77777777" w:rsidR="006B31EA" w:rsidRPr="00381388" w:rsidRDefault="006B31EA" w:rsidP="00A951C4">
            <w:pPr>
              <w:numPr>
                <w:ilvl w:val="1"/>
                <w:numId w:val="0"/>
              </w:numPr>
              <w:rPr>
                <w:rFonts w:eastAsiaTheme="minorEastAsia"/>
                <w:b/>
                <w:color w:val="000000" w:themeColor="text1"/>
                <w:spacing w:val="15"/>
                <w:sz w:val="20"/>
                <w:szCs w:val="20"/>
                <w:lang w:val="en-AU"/>
              </w:rPr>
            </w:pPr>
          </w:p>
          <w:p w14:paraId="65FFAA23" w14:textId="129919AF" w:rsidR="008F4103" w:rsidRPr="00351A46" w:rsidRDefault="008F4103" w:rsidP="00A951C4">
            <w:pPr>
              <w:rPr>
                <w:b/>
                <w:color w:val="000000" w:themeColor="text1"/>
                <w:sz w:val="20"/>
                <w:szCs w:val="20"/>
                <w:lang w:val="en-AU"/>
              </w:rPr>
            </w:pPr>
            <w:r w:rsidRPr="00351A46">
              <w:rPr>
                <w:i/>
                <w:color w:val="000000" w:themeColor="text1"/>
                <w:sz w:val="20"/>
                <w:szCs w:val="20"/>
                <w:lang w:val="en-AU"/>
              </w:rPr>
              <w:t>Amplify:</w:t>
            </w:r>
            <w:r w:rsidRPr="00351A46">
              <w:rPr>
                <w:b/>
                <w:color w:val="000000" w:themeColor="text1"/>
                <w:sz w:val="20"/>
                <w:szCs w:val="20"/>
                <w:lang w:val="en-AU"/>
              </w:rPr>
              <w:t xml:space="preserve"> </w:t>
            </w:r>
            <w:r w:rsidRPr="00351A46">
              <w:rPr>
                <w:color w:val="000000" w:themeColor="text1"/>
                <w:sz w:val="20"/>
                <w:szCs w:val="20"/>
                <w:lang w:val="en-AU"/>
              </w:rPr>
              <w:t xml:space="preserve">Use media and communications to build profile and interest in IDF, using messaging that appeals to </w:t>
            </w:r>
            <w:r w:rsidR="00490627" w:rsidRPr="00351A46">
              <w:rPr>
                <w:color w:val="000000" w:themeColor="text1"/>
                <w:sz w:val="20"/>
                <w:szCs w:val="20"/>
                <w:lang w:val="en-AU"/>
              </w:rPr>
              <w:t xml:space="preserve">the </w:t>
            </w:r>
            <w:r w:rsidRPr="00351A46">
              <w:rPr>
                <w:color w:val="000000" w:themeColor="text1"/>
                <w:sz w:val="20"/>
                <w:szCs w:val="20"/>
                <w:lang w:val="en-AU"/>
              </w:rPr>
              <w:t>interests of participants.</w:t>
            </w:r>
            <w:r w:rsidRPr="00351A46">
              <w:rPr>
                <w:b/>
                <w:color w:val="000000" w:themeColor="text1"/>
                <w:sz w:val="20"/>
                <w:szCs w:val="20"/>
                <w:lang w:val="en-AU"/>
              </w:rPr>
              <w:t xml:space="preserve"> </w:t>
            </w:r>
          </w:p>
          <w:p w14:paraId="4ED344DE" w14:textId="77777777" w:rsidR="006B31EA" w:rsidRPr="00381388" w:rsidRDefault="006B31EA" w:rsidP="00A951C4">
            <w:pPr>
              <w:numPr>
                <w:ilvl w:val="1"/>
                <w:numId w:val="0"/>
              </w:numPr>
              <w:rPr>
                <w:rFonts w:eastAsiaTheme="minorEastAsia"/>
                <w:b/>
                <w:color w:val="000000" w:themeColor="text1"/>
                <w:spacing w:val="15"/>
                <w:sz w:val="20"/>
                <w:szCs w:val="20"/>
                <w:lang w:val="en-AU"/>
              </w:rPr>
            </w:pPr>
          </w:p>
          <w:p w14:paraId="1C2EE904" w14:textId="5E640029" w:rsidR="008F4103" w:rsidRPr="00351A46" w:rsidRDefault="008F4103" w:rsidP="00A951C4">
            <w:pPr>
              <w:rPr>
                <w:color w:val="000000" w:themeColor="text1"/>
                <w:sz w:val="20"/>
                <w:szCs w:val="20"/>
                <w:lang w:val="en-AU"/>
              </w:rPr>
            </w:pPr>
            <w:r w:rsidRPr="00351A46">
              <w:rPr>
                <w:i/>
                <w:color w:val="000000" w:themeColor="text1"/>
                <w:sz w:val="20"/>
                <w:szCs w:val="20"/>
                <w:lang w:val="en-AU"/>
              </w:rPr>
              <w:t xml:space="preserve">Connect: </w:t>
            </w:r>
            <w:r w:rsidRPr="00351A46">
              <w:rPr>
                <w:color w:val="000000" w:themeColor="text1"/>
                <w:sz w:val="20"/>
                <w:szCs w:val="20"/>
                <w:lang w:val="en-AU"/>
              </w:rPr>
              <w:t xml:space="preserve">Facilitate Bappenas to involve other stakeholders in development of IDF agenda. Convene and facilitate workshops to encourage collaboration between interested stakeholders to pursue key policy issues raised at IDF. </w:t>
            </w:r>
          </w:p>
          <w:p w14:paraId="279C3D28" w14:textId="77777777" w:rsidR="008F4103" w:rsidRPr="00381388" w:rsidRDefault="008F4103" w:rsidP="00A951C4">
            <w:pPr>
              <w:numPr>
                <w:ilvl w:val="1"/>
                <w:numId w:val="0"/>
              </w:numPr>
              <w:rPr>
                <w:rFonts w:eastAsiaTheme="minorEastAsia"/>
                <w:color w:val="000000" w:themeColor="text1"/>
                <w:spacing w:val="15"/>
                <w:sz w:val="20"/>
                <w:szCs w:val="20"/>
                <w:lang w:val="en-AU"/>
              </w:rPr>
            </w:pPr>
          </w:p>
        </w:tc>
        <w:tc>
          <w:tcPr>
            <w:tcW w:w="2610" w:type="dxa"/>
            <w:shd w:val="clear" w:color="auto" w:fill="FFF2CC" w:themeFill="accent4" w:themeFillTint="33"/>
          </w:tcPr>
          <w:p w14:paraId="2FE2F250" w14:textId="16905B9A" w:rsidR="008F4103" w:rsidRPr="00351A46" w:rsidRDefault="00490627" w:rsidP="00A951C4">
            <w:pPr>
              <w:rPr>
                <w:rFonts w:cstheme="minorHAnsi"/>
                <w:color w:val="000000"/>
                <w:sz w:val="20"/>
                <w:szCs w:val="20"/>
                <w:lang w:val="en-AU"/>
              </w:rPr>
            </w:pPr>
            <w:r w:rsidRPr="00351A46">
              <w:rPr>
                <w:rFonts w:cstheme="minorHAnsi"/>
                <w:color w:val="000000"/>
                <w:sz w:val="20"/>
                <w:szCs w:val="20"/>
                <w:lang w:val="en-AU"/>
              </w:rPr>
              <w:t>GESI</w:t>
            </w:r>
            <w:r w:rsidR="008F4103" w:rsidRPr="00351A46">
              <w:rPr>
                <w:rFonts w:cstheme="minorHAnsi"/>
                <w:color w:val="000000"/>
                <w:sz w:val="20"/>
                <w:szCs w:val="20"/>
                <w:lang w:val="en-AU"/>
              </w:rPr>
              <w:t xml:space="preserve"> </w:t>
            </w:r>
            <w:r w:rsidR="008F4103" w:rsidRPr="00351A46">
              <w:rPr>
                <w:color w:val="000000" w:themeColor="text1"/>
                <w:sz w:val="20"/>
                <w:szCs w:val="20"/>
                <w:lang w:val="en-AU"/>
              </w:rPr>
              <w:t>perspectives</w:t>
            </w:r>
            <w:r w:rsidR="008F4103" w:rsidRPr="00351A46">
              <w:rPr>
                <w:rFonts w:cstheme="minorHAnsi"/>
                <w:color w:val="000000"/>
                <w:sz w:val="20"/>
                <w:szCs w:val="20"/>
                <w:lang w:val="en-AU"/>
              </w:rPr>
              <w:t xml:space="preserve"> are well</w:t>
            </w:r>
            <w:r w:rsidRPr="00351A46">
              <w:rPr>
                <w:rFonts w:cstheme="minorHAnsi"/>
                <w:color w:val="000000"/>
                <w:sz w:val="20"/>
                <w:szCs w:val="20"/>
                <w:lang w:val="en-AU"/>
              </w:rPr>
              <w:t xml:space="preserve"> </w:t>
            </w:r>
            <w:r w:rsidR="008F4103" w:rsidRPr="00351A46">
              <w:rPr>
                <w:rFonts w:cstheme="minorHAnsi"/>
                <w:color w:val="000000"/>
                <w:sz w:val="20"/>
                <w:szCs w:val="20"/>
                <w:lang w:val="en-AU"/>
              </w:rPr>
              <w:t>represented in IDF sessions and women and socially</w:t>
            </w:r>
            <w:r w:rsidRPr="00351A46">
              <w:rPr>
                <w:rFonts w:cstheme="minorHAnsi"/>
                <w:color w:val="000000"/>
                <w:sz w:val="20"/>
                <w:szCs w:val="20"/>
                <w:lang w:val="en-AU"/>
              </w:rPr>
              <w:t xml:space="preserve"> </w:t>
            </w:r>
            <w:r w:rsidR="008F4103" w:rsidRPr="00351A46">
              <w:rPr>
                <w:rFonts w:cstheme="minorHAnsi"/>
                <w:color w:val="000000"/>
                <w:sz w:val="20"/>
                <w:szCs w:val="20"/>
                <w:lang w:val="en-AU"/>
              </w:rPr>
              <w:t>excluded groups participate as speakers and presenters.</w:t>
            </w:r>
          </w:p>
          <w:p w14:paraId="37EB40C2" w14:textId="77777777" w:rsidR="00DE315A" w:rsidRPr="00381388" w:rsidRDefault="00DE315A" w:rsidP="00A951C4">
            <w:pPr>
              <w:numPr>
                <w:ilvl w:val="1"/>
                <w:numId w:val="0"/>
              </w:numPr>
              <w:rPr>
                <w:rFonts w:eastAsiaTheme="minorEastAsia" w:cstheme="minorHAnsi"/>
                <w:color w:val="000000"/>
                <w:spacing w:val="15"/>
                <w:sz w:val="20"/>
                <w:szCs w:val="20"/>
                <w:lang w:val="en-AU"/>
              </w:rPr>
            </w:pPr>
          </w:p>
          <w:p w14:paraId="1D1081B4" w14:textId="57202220" w:rsidR="008F4103" w:rsidRPr="00351A46" w:rsidRDefault="008F4103" w:rsidP="00A951C4">
            <w:pPr>
              <w:rPr>
                <w:rFonts w:cstheme="minorHAnsi"/>
                <w:color w:val="000000"/>
                <w:sz w:val="20"/>
                <w:szCs w:val="20"/>
                <w:lang w:val="en-AU"/>
              </w:rPr>
            </w:pPr>
            <w:r w:rsidRPr="00351A46">
              <w:rPr>
                <w:rFonts w:cstheme="minorHAnsi"/>
                <w:color w:val="000000"/>
                <w:sz w:val="20"/>
                <w:szCs w:val="20"/>
                <w:lang w:val="en-AU"/>
              </w:rPr>
              <w:t xml:space="preserve">Quality </w:t>
            </w:r>
            <w:r w:rsidRPr="00351A46">
              <w:rPr>
                <w:color w:val="000000" w:themeColor="text1"/>
                <w:sz w:val="20"/>
                <w:szCs w:val="20"/>
                <w:lang w:val="en-AU"/>
              </w:rPr>
              <w:t>assurance</w:t>
            </w:r>
            <w:r w:rsidRPr="00351A46">
              <w:rPr>
                <w:rFonts w:cstheme="minorHAnsi"/>
                <w:color w:val="000000"/>
                <w:sz w:val="20"/>
                <w:szCs w:val="20"/>
                <w:lang w:val="en-AU"/>
              </w:rPr>
              <w:t xml:space="preserve"> processes ensure that quality policy research, practices and innovations are presented at IDF.</w:t>
            </w:r>
          </w:p>
          <w:p w14:paraId="06CA02B1" w14:textId="77777777" w:rsidR="00DE315A" w:rsidRPr="00381388" w:rsidRDefault="00DE315A" w:rsidP="00A951C4">
            <w:pPr>
              <w:numPr>
                <w:ilvl w:val="1"/>
                <w:numId w:val="0"/>
              </w:numPr>
              <w:rPr>
                <w:rFonts w:eastAsiaTheme="minorEastAsia" w:cstheme="minorHAnsi"/>
                <w:color w:val="000000"/>
                <w:spacing w:val="15"/>
                <w:sz w:val="20"/>
                <w:szCs w:val="20"/>
                <w:lang w:val="en-AU"/>
              </w:rPr>
            </w:pPr>
          </w:p>
          <w:p w14:paraId="1CCD75C3" w14:textId="0ED5E458" w:rsidR="008F4103" w:rsidRPr="00351A46" w:rsidRDefault="008F4103" w:rsidP="00A951C4">
            <w:pPr>
              <w:rPr>
                <w:rFonts w:cstheme="minorHAnsi"/>
                <w:color w:val="000000"/>
                <w:sz w:val="20"/>
                <w:szCs w:val="20"/>
                <w:lang w:val="en-AU"/>
              </w:rPr>
            </w:pPr>
            <w:r w:rsidRPr="00351A46">
              <w:rPr>
                <w:rFonts w:cstheme="minorHAnsi"/>
                <w:color w:val="000000"/>
                <w:sz w:val="20"/>
                <w:szCs w:val="20"/>
                <w:lang w:val="en-AU"/>
              </w:rPr>
              <w:t xml:space="preserve">Participants report increased interaction and collaboration </w:t>
            </w:r>
            <w:r w:rsidR="00490627" w:rsidRPr="00351A46">
              <w:rPr>
                <w:rFonts w:cstheme="minorHAnsi"/>
                <w:color w:val="000000"/>
                <w:sz w:val="20"/>
                <w:szCs w:val="20"/>
                <w:lang w:val="en-AU"/>
              </w:rPr>
              <w:t xml:space="preserve">on </w:t>
            </w:r>
            <w:r w:rsidRPr="00351A46">
              <w:rPr>
                <w:rFonts w:cstheme="minorHAnsi"/>
                <w:color w:val="000000"/>
                <w:sz w:val="20"/>
                <w:szCs w:val="20"/>
                <w:lang w:val="en-AU"/>
              </w:rPr>
              <w:t>policy issues.</w:t>
            </w:r>
          </w:p>
          <w:p w14:paraId="3EA5C59B" w14:textId="77777777" w:rsidR="00DE315A" w:rsidRPr="00381388" w:rsidRDefault="00DE315A" w:rsidP="00A951C4">
            <w:pPr>
              <w:numPr>
                <w:ilvl w:val="1"/>
                <w:numId w:val="0"/>
              </w:numPr>
              <w:rPr>
                <w:rFonts w:eastAsiaTheme="minorEastAsia" w:cstheme="minorHAnsi"/>
                <w:color w:val="000000"/>
                <w:spacing w:val="15"/>
                <w:sz w:val="20"/>
                <w:szCs w:val="20"/>
                <w:lang w:val="en-AU"/>
              </w:rPr>
            </w:pPr>
          </w:p>
          <w:p w14:paraId="4C2CD5A8" w14:textId="789AA9A4" w:rsidR="008F4103" w:rsidRPr="00351A46" w:rsidRDefault="008F4103" w:rsidP="00A951C4">
            <w:pPr>
              <w:rPr>
                <w:rFonts w:cstheme="minorHAnsi"/>
                <w:color w:val="000000"/>
                <w:sz w:val="20"/>
                <w:szCs w:val="20"/>
                <w:lang w:val="en-AU"/>
              </w:rPr>
            </w:pPr>
            <w:r w:rsidRPr="00351A46">
              <w:rPr>
                <w:rFonts w:cstheme="minorHAnsi"/>
                <w:sz w:val="20"/>
                <w:szCs w:val="20"/>
                <w:lang w:val="en-AU"/>
              </w:rPr>
              <w:t xml:space="preserve">IDF online </w:t>
            </w:r>
            <w:r w:rsidRPr="00351A46">
              <w:rPr>
                <w:color w:val="000000" w:themeColor="text1"/>
                <w:sz w:val="20"/>
                <w:szCs w:val="20"/>
                <w:lang w:val="en-AU"/>
              </w:rPr>
              <w:t>forum</w:t>
            </w:r>
            <w:r w:rsidRPr="00351A46">
              <w:rPr>
                <w:rFonts w:cstheme="minorHAnsi"/>
                <w:color w:val="000000"/>
                <w:sz w:val="20"/>
                <w:szCs w:val="20"/>
                <w:lang w:val="en-AU"/>
              </w:rPr>
              <w:t xml:space="preserve"> established and being viewed. </w:t>
            </w:r>
          </w:p>
          <w:p w14:paraId="606AECB7" w14:textId="77777777" w:rsidR="00DE315A" w:rsidRPr="00381388" w:rsidRDefault="00DE315A" w:rsidP="00A951C4">
            <w:pPr>
              <w:numPr>
                <w:ilvl w:val="1"/>
                <w:numId w:val="0"/>
              </w:numPr>
              <w:rPr>
                <w:rFonts w:eastAsiaTheme="minorEastAsia" w:cstheme="minorHAnsi"/>
                <w:color w:val="000000"/>
                <w:spacing w:val="15"/>
                <w:sz w:val="20"/>
                <w:szCs w:val="20"/>
                <w:lang w:val="en-AU"/>
              </w:rPr>
            </w:pPr>
          </w:p>
          <w:p w14:paraId="6E87DC81" w14:textId="0108174E" w:rsidR="008F4103" w:rsidRPr="00351A46" w:rsidRDefault="008F4103" w:rsidP="00A951C4">
            <w:pPr>
              <w:rPr>
                <w:rFonts w:cstheme="minorHAnsi"/>
                <w:color w:val="000000"/>
                <w:sz w:val="20"/>
                <w:szCs w:val="20"/>
                <w:lang w:val="en-AU"/>
              </w:rPr>
            </w:pPr>
            <w:r w:rsidRPr="00351A46">
              <w:rPr>
                <w:rFonts w:cstheme="minorHAnsi"/>
                <w:color w:val="000000"/>
                <w:sz w:val="20"/>
                <w:szCs w:val="20"/>
                <w:lang w:val="en-AU"/>
              </w:rPr>
              <w:t xml:space="preserve">IDF 2018 and ‘Road to IDF’ events </w:t>
            </w:r>
            <w:r w:rsidRPr="00351A46">
              <w:rPr>
                <w:color w:val="000000" w:themeColor="text1"/>
                <w:sz w:val="20"/>
                <w:szCs w:val="20"/>
                <w:lang w:val="en-AU"/>
              </w:rPr>
              <w:t>attract</w:t>
            </w:r>
            <w:r w:rsidRPr="00351A46">
              <w:rPr>
                <w:rFonts w:cstheme="minorHAnsi"/>
                <w:color w:val="000000"/>
                <w:sz w:val="20"/>
                <w:szCs w:val="20"/>
                <w:lang w:val="en-AU"/>
              </w:rPr>
              <w:t xml:space="preserve"> coverage in national and local media and on social media.</w:t>
            </w:r>
          </w:p>
          <w:p w14:paraId="2E72B140" w14:textId="77777777" w:rsidR="00DE315A" w:rsidRPr="00381388" w:rsidRDefault="00DE315A" w:rsidP="00A951C4">
            <w:pPr>
              <w:numPr>
                <w:ilvl w:val="1"/>
                <w:numId w:val="0"/>
              </w:numPr>
              <w:rPr>
                <w:rFonts w:eastAsiaTheme="minorEastAsia" w:cstheme="minorHAnsi"/>
                <w:color w:val="000000"/>
                <w:spacing w:val="15"/>
                <w:sz w:val="20"/>
                <w:szCs w:val="20"/>
                <w:lang w:val="en-AU"/>
              </w:rPr>
            </w:pPr>
          </w:p>
          <w:p w14:paraId="7867EA41" w14:textId="0106BAA6" w:rsidR="008F4103" w:rsidRPr="00351A46" w:rsidRDefault="008F4103" w:rsidP="00A951C4">
            <w:pPr>
              <w:rPr>
                <w:rFonts w:cstheme="minorHAnsi"/>
                <w:color w:val="000000"/>
                <w:sz w:val="20"/>
                <w:szCs w:val="20"/>
                <w:lang w:val="en-AU"/>
              </w:rPr>
            </w:pPr>
            <w:r w:rsidRPr="00351A46">
              <w:rPr>
                <w:rFonts w:cstheme="minorHAnsi"/>
                <w:color w:val="000000"/>
                <w:sz w:val="20"/>
                <w:szCs w:val="20"/>
                <w:lang w:val="en-AU"/>
              </w:rPr>
              <w:t>Selected research presented at IDF is further developed into concrete policy recommendations to inform policy and planning.</w:t>
            </w:r>
          </w:p>
          <w:p w14:paraId="7A331B79" w14:textId="77777777" w:rsidR="00DE315A" w:rsidRPr="00381388" w:rsidRDefault="00DE315A" w:rsidP="00A951C4">
            <w:pPr>
              <w:numPr>
                <w:ilvl w:val="1"/>
                <w:numId w:val="0"/>
              </w:numPr>
              <w:rPr>
                <w:rFonts w:eastAsiaTheme="minorEastAsia" w:cstheme="minorHAnsi"/>
                <w:color w:val="000000"/>
                <w:spacing w:val="15"/>
                <w:sz w:val="20"/>
                <w:szCs w:val="20"/>
                <w:lang w:val="en-AU"/>
              </w:rPr>
            </w:pPr>
          </w:p>
          <w:p w14:paraId="54EA961D" w14:textId="66A958FD" w:rsidR="008F4103" w:rsidRPr="00351A46" w:rsidRDefault="008F4103" w:rsidP="00A951C4">
            <w:pPr>
              <w:rPr>
                <w:rFonts w:cstheme="minorHAnsi"/>
                <w:color w:val="000000"/>
                <w:sz w:val="20"/>
                <w:szCs w:val="20"/>
                <w:lang w:val="en-AU"/>
              </w:rPr>
            </w:pPr>
            <w:r w:rsidRPr="00351A46">
              <w:rPr>
                <w:rFonts w:cstheme="minorHAnsi"/>
                <w:color w:val="000000"/>
                <w:sz w:val="20"/>
                <w:szCs w:val="20"/>
                <w:lang w:val="en-AU"/>
              </w:rPr>
              <w:t xml:space="preserve">Bappenas </w:t>
            </w:r>
            <w:r w:rsidRPr="00351A46">
              <w:rPr>
                <w:color w:val="000000" w:themeColor="text1"/>
                <w:sz w:val="20"/>
                <w:szCs w:val="20"/>
                <w:lang w:val="en-AU"/>
              </w:rPr>
              <w:t>commits</w:t>
            </w:r>
            <w:r w:rsidRPr="00351A46">
              <w:rPr>
                <w:rFonts w:cstheme="minorHAnsi"/>
                <w:color w:val="000000"/>
                <w:sz w:val="20"/>
                <w:szCs w:val="20"/>
                <w:lang w:val="en-AU"/>
              </w:rPr>
              <w:t xml:space="preserve"> to funding IDF 2019 and allocates adequate funds from the state budget to manage and implement the event (with small funding contribution from KSI). </w:t>
            </w:r>
          </w:p>
          <w:p w14:paraId="498351F9" w14:textId="640FD780" w:rsidR="00D7540D" w:rsidRPr="00424333" w:rsidRDefault="00D7540D" w:rsidP="00A951C4">
            <w:pPr>
              <w:numPr>
                <w:ilvl w:val="1"/>
                <w:numId w:val="0"/>
              </w:numPr>
              <w:rPr>
                <w:rFonts w:eastAsiaTheme="minorEastAsia"/>
                <w:color w:val="5A5A5A" w:themeColor="text1" w:themeTint="A5"/>
                <w:spacing w:val="15"/>
                <w:sz w:val="2"/>
                <w:lang w:val="en-AU" w:eastAsia="en-ID"/>
              </w:rPr>
            </w:pPr>
          </w:p>
          <w:p w14:paraId="48AAAC58" w14:textId="77777777" w:rsidR="00D7540D" w:rsidRDefault="00D7540D" w:rsidP="00A951C4">
            <w:pPr>
              <w:numPr>
                <w:ilvl w:val="1"/>
                <w:numId w:val="0"/>
              </w:numPr>
              <w:rPr>
                <w:rFonts w:eastAsiaTheme="minorEastAsia"/>
                <w:color w:val="5A5A5A" w:themeColor="text1" w:themeTint="A5"/>
                <w:spacing w:val="15"/>
                <w:lang w:val="en-AU" w:eastAsia="en-ID"/>
              </w:rPr>
            </w:pPr>
          </w:p>
          <w:p w14:paraId="4579081B" w14:textId="77777777" w:rsidR="00A951C4" w:rsidRDefault="00A951C4" w:rsidP="00A951C4">
            <w:pPr>
              <w:numPr>
                <w:ilvl w:val="1"/>
                <w:numId w:val="0"/>
              </w:numPr>
              <w:rPr>
                <w:rFonts w:eastAsiaTheme="minorEastAsia"/>
                <w:color w:val="5A5A5A" w:themeColor="text1" w:themeTint="A5"/>
                <w:spacing w:val="15"/>
                <w:lang w:val="en-AU" w:eastAsia="en-ID"/>
              </w:rPr>
            </w:pPr>
          </w:p>
          <w:p w14:paraId="7025B75B" w14:textId="77777777" w:rsidR="00A951C4" w:rsidRDefault="00A951C4" w:rsidP="00A951C4">
            <w:pPr>
              <w:numPr>
                <w:ilvl w:val="1"/>
                <w:numId w:val="0"/>
              </w:numPr>
              <w:rPr>
                <w:rFonts w:eastAsiaTheme="minorEastAsia"/>
                <w:color w:val="5A5A5A" w:themeColor="text1" w:themeTint="A5"/>
                <w:spacing w:val="15"/>
                <w:lang w:val="en-AU" w:eastAsia="en-ID"/>
              </w:rPr>
            </w:pPr>
          </w:p>
          <w:p w14:paraId="191FC8F0" w14:textId="77777777" w:rsidR="00A951C4" w:rsidRDefault="00A951C4" w:rsidP="00A951C4">
            <w:pPr>
              <w:numPr>
                <w:ilvl w:val="1"/>
                <w:numId w:val="0"/>
              </w:numPr>
              <w:rPr>
                <w:rFonts w:eastAsiaTheme="minorEastAsia"/>
                <w:color w:val="5A5A5A" w:themeColor="text1" w:themeTint="A5"/>
                <w:spacing w:val="15"/>
                <w:lang w:val="en-AU" w:eastAsia="en-ID"/>
              </w:rPr>
            </w:pPr>
          </w:p>
          <w:p w14:paraId="1EFB0692" w14:textId="77777777" w:rsidR="00A951C4" w:rsidRDefault="00A951C4" w:rsidP="00A951C4">
            <w:pPr>
              <w:numPr>
                <w:ilvl w:val="1"/>
                <w:numId w:val="0"/>
              </w:numPr>
              <w:rPr>
                <w:rFonts w:eastAsiaTheme="minorEastAsia"/>
                <w:color w:val="5A5A5A" w:themeColor="text1" w:themeTint="A5"/>
                <w:spacing w:val="15"/>
                <w:lang w:val="en-AU" w:eastAsia="en-ID"/>
              </w:rPr>
            </w:pPr>
          </w:p>
          <w:p w14:paraId="203B7DFC" w14:textId="77777777" w:rsidR="00A951C4" w:rsidRDefault="00A951C4" w:rsidP="00A951C4">
            <w:pPr>
              <w:numPr>
                <w:ilvl w:val="1"/>
                <w:numId w:val="0"/>
              </w:numPr>
              <w:rPr>
                <w:rFonts w:eastAsiaTheme="minorEastAsia"/>
                <w:color w:val="5A5A5A" w:themeColor="text1" w:themeTint="A5"/>
                <w:spacing w:val="15"/>
                <w:lang w:val="en-AU" w:eastAsia="en-ID"/>
              </w:rPr>
            </w:pPr>
          </w:p>
          <w:p w14:paraId="6E2A2394" w14:textId="77777777" w:rsidR="00A951C4" w:rsidRDefault="00A951C4" w:rsidP="00A951C4">
            <w:pPr>
              <w:numPr>
                <w:ilvl w:val="1"/>
                <w:numId w:val="0"/>
              </w:numPr>
              <w:rPr>
                <w:rFonts w:eastAsiaTheme="minorEastAsia"/>
                <w:color w:val="5A5A5A" w:themeColor="text1" w:themeTint="A5"/>
                <w:spacing w:val="15"/>
                <w:lang w:val="en-AU" w:eastAsia="en-ID"/>
              </w:rPr>
            </w:pPr>
          </w:p>
          <w:p w14:paraId="34D4AFBD" w14:textId="77777777" w:rsidR="00A951C4" w:rsidRDefault="00A951C4" w:rsidP="00A951C4">
            <w:pPr>
              <w:numPr>
                <w:ilvl w:val="1"/>
                <w:numId w:val="0"/>
              </w:numPr>
              <w:rPr>
                <w:rFonts w:eastAsiaTheme="minorEastAsia"/>
                <w:color w:val="5A5A5A" w:themeColor="text1" w:themeTint="A5"/>
                <w:spacing w:val="15"/>
                <w:lang w:val="en-AU" w:eastAsia="en-ID"/>
              </w:rPr>
            </w:pPr>
          </w:p>
          <w:p w14:paraId="26E4688F" w14:textId="251F177C" w:rsidR="00A951C4" w:rsidRPr="00381388" w:rsidRDefault="00A951C4" w:rsidP="00A951C4">
            <w:pPr>
              <w:numPr>
                <w:ilvl w:val="1"/>
                <w:numId w:val="0"/>
              </w:numPr>
              <w:rPr>
                <w:rFonts w:eastAsiaTheme="minorEastAsia"/>
                <w:color w:val="5A5A5A" w:themeColor="text1" w:themeTint="A5"/>
                <w:spacing w:val="15"/>
                <w:lang w:val="en-AU" w:eastAsia="en-ID"/>
              </w:rPr>
            </w:pPr>
          </w:p>
        </w:tc>
      </w:tr>
      <w:tr w:rsidR="008F4103" w:rsidRPr="00351A46" w14:paraId="37C02E18" w14:textId="77777777" w:rsidTr="00A951C4">
        <w:trPr>
          <w:trHeight w:val="508"/>
        </w:trPr>
        <w:tc>
          <w:tcPr>
            <w:tcW w:w="10615" w:type="dxa"/>
            <w:gridSpan w:val="4"/>
            <w:shd w:val="clear" w:color="auto" w:fill="FFE599" w:themeFill="accent4" w:themeFillTint="66"/>
          </w:tcPr>
          <w:p w14:paraId="4B559773" w14:textId="5602062E" w:rsidR="008F4103" w:rsidRPr="00351A46" w:rsidRDefault="00E5110F" w:rsidP="00A951C4">
            <w:pPr>
              <w:keepNext/>
              <w:keepLines/>
              <w:jc w:val="center"/>
              <w:outlineLvl w:val="8"/>
              <w:rPr>
                <w:b/>
                <w:sz w:val="20"/>
                <w:szCs w:val="20"/>
                <w:lang w:val="en-AU"/>
              </w:rPr>
            </w:pPr>
            <w:r w:rsidRPr="00351A46">
              <w:rPr>
                <w:b/>
                <w:sz w:val="20"/>
                <w:szCs w:val="20"/>
                <w:lang w:val="en-AU"/>
              </w:rPr>
              <w:t>Key initiative</w:t>
            </w:r>
            <w:r w:rsidR="008F4103" w:rsidRPr="00351A46">
              <w:rPr>
                <w:b/>
                <w:sz w:val="20"/>
                <w:szCs w:val="20"/>
                <w:lang w:val="en-AU"/>
              </w:rPr>
              <w:t xml:space="preserve">: Policy </w:t>
            </w:r>
            <w:r w:rsidR="005A7B07" w:rsidRPr="00351A46">
              <w:rPr>
                <w:b/>
                <w:sz w:val="20"/>
                <w:szCs w:val="20"/>
                <w:lang w:val="en-AU"/>
              </w:rPr>
              <w:t>a</w:t>
            </w:r>
            <w:r w:rsidR="008F4103" w:rsidRPr="00351A46">
              <w:rPr>
                <w:b/>
                <w:sz w:val="20"/>
                <w:szCs w:val="20"/>
                <w:lang w:val="en-AU"/>
              </w:rPr>
              <w:t xml:space="preserve">nalysts </w:t>
            </w:r>
          </w:p>
          <w:p w14:paraId="2D9FE4DB" w14:textId="3FFCE27C" w:rsidR="008F4103" w:rsidRPr="00351A46" w:rsidRDefault="008F4103" w:rsidP="00A951C4">
            <w:pPr>
              <w:numPr>
                <w:ilvl w:val="0"/>
                <w:numId w:val="11"/>
              </w:numPr>
              <w:ind w:left="341" w:firstLine="0"/>
              <w:rPr>
                <w:color w:val="000000" w:themeColor="text1"/>
                <w:sz w:val="20"/>
                <w:szCs w:val="20"/>
                <w:lang w:val="en-AU" w:eastAsia="en-ID"/>
              </w:rPr>
            </w:pPr>
            <w:r w:rsidRPr="00351A46">
              <w:rPr>
                <w:color w:val="000000" w:themeColor="text1"/>
                <w:sz w:val="20"/>
                <w:szCs w:val="20"/>
                <w:lang w:val="en-AU" w:eastAsia="en-ID"/>
              </w:rPr>
              <w:t>Increased number of policy analysts in national and sub</w:t>
            </w:r>
            <w:r w:rsidR="005A7B07" w:rsidRPr="00351A46">
              <w:rPr>
                <w:color w:val="000000" w:themeColor="text1"/>
                <w:sz w:val="20"/>
                <w:szCs w:val="20"/>
                <w:lang w:val="en-AU" w:eastAsia="en-ID"/>
              </w:rPr>
              <w:t>-</w:t>
            </w:r>
            <w:r w:rsidRPr="00351A46">
              <w:rPr>
                <w:color w:val="000000" w:themeColor="text1"/>
                <w:sz w:val="20"/>
                <w:szCs w:val="20"/>
                <w:lang w:val="en-AU" w:eastAsia="en-ID"/>
              </w:rPr>
              <w:t>national government, universities and PRIs.</w:t>
            </w:r>
          </w:p>
          <w:p w14:paraId="6A1B635F" w14:textId="17D50874" w:rsidR="00D7540D" w:rsidRPr="00351A46" w:rsidRDefault="008F4103" w:rsidP="00A951C4">
            <w:pPr>
              <w:numPr>
                <w:ilvl w:val="0"/>
                <w:numId w:val="11"/>
              </w:numPr>
              <w:ind w:left="341" w:firstLine="0"/>
              <w:jc w:val="both"/>
              <w:rPr>
                <w:color w:val="000000" w:themeColor="text1"/>
                <w:sz w:val="20"/>
                <w:szCs w:val="20"/>
                <w:lang w:val="en-AU" w:eastAsia="en-ID"/>
              </w:rPr>
            </w:pPr>
            <w:r w:rsidRPr="00351A46">
              <w:rPr>
                <w:color w:val="000000" w:themeColor="text1"/>
                <w:sz w:val="20"/>
                <w:szCs w:val="20"/>
                <w:lang w:val="en-AU" w:eastAsia="en-ID"/>
              </w:rPr>
              <w:t xml:space="preserve">These policy analysts meet competency standards and act as a bridge between researchers and </w:t>
            </w:r>
            <w:r w:rsidR="00F94A2D" w:rsidRPr="00351A46">
              <w:rPr>
                <w:color w:val="000000" w:themeColor="text1"/>
                <w:sz w:val="20"/>
                <w:szCs w:val="20"/>
                <w:lang w:val="en-AU" w:eastAsia="en-ID"/>
              </w:rPr>
              <w:t>policymakers and</w:t>
            </w:r>
            <w:r w:rsidRPr="00351A46">
              <w:rPr>
                <w:color w:val="000000" w:themeColor="text1"/>
                <w:sz w:val="20"/>
                <w:szCs w:val="20"/>
                <w:lang w:val="en-AU" w:eastAsia="en-ID"/>
              </w:rPr>
              <w:t xml:space="preserve"> build demand for evidence-based </w:t>
            </w:r>
            <w:r w:rsidR="0085747B" w:rsidRPr="00351A46">
              <w:rPr>
                <w:color w:val="000000" w:themeColor="text1"/>
                <w:sz w:val="20"/>
                <w:szCs w:val="20"/>
                <w:lang w:val="en-AU" w:eastAsia="en-ID"/>
              </w:rPr>
              <w:t>policymak</w:t>
            </w:r>
            <w:r w:rsidRPr="00351A46">
              <w:rPr>
                <w:color w:val="000000" w:themeColor="text1"/>
                <w:sz w:val="20"/>
                <w:szCs w:val="20"/>
                <w:lang w:val="en-AU" w:eastAsia="en-ID"/>
              </w:rPr>
              <w:t>ing.</w:t>
            </w:r>
          </w:p>
        </w:tc>
      </w:tr>
      <w:tr w:rsidR="008F4103" w:rsidRPr="00351A46" w14:paraId="07B29F71" w14:textId="77777777" w:rsidTr="00A951C4">
        <w:trPr>
          <w:trHeight w:val="508"/>
        </w:trPr>
        <w:tc>
          <w:tcPr>
            <w:tcW w:w="2065" w:type="dxa"/>
            <w:shd w:val="clear" w:color="auto" w:fill="FFF2CC" w:themeFill="accent4" w:themeFillTint="33"/>
          </w:tcPr>
          <w:p w14:paraId="62B52EDA" w14:textId="4A6A1EA7" w:rsidR="008F4103" w:rsidRPr="00351A46" w:rsidRDefault="002F4E43" w:rsidP="00A951C4">
            <w:pPr>
              <w:jc w:val="center"/>
              <w:rPr>
                <w:b/>
                <w:color w:val="000000" w:themeColor="text1"/>
                <w:sz w:val="20"/>
                <w:szCs w:val="20"/>
                <w:lang w:val="en-AU"/>
              </w:rPr>
            </w:pPr>
            <w:r w:rsidRPr="00351A46">
              <w:rPr>
                <w:b/>
                <w:color w:val="000000" w:themeColor="text1"/>
                <w:sz w:val="20"/>
                <w:szCs w:val="20"/>
                <w:lang w:val="en-AU"/>
              </w:rPr>
              <w:t>What has to happen by 2022</w:t>
            </w:r>
          </w:p>
        </w:tc>
        <w:tc>
          <w:tcPr>
            <w:tcW w:w="2430" w:type="dxa"/>
            <w:shd w:val="clear" w:color="auto" w:fill="FFF2CC" w:themeFill="accent4" w:themeFillTint="33"/>
          </w:tcPr>
          <w:p w14:paraId="5BD33CC2" w14:textId="7D96D05A" w:rsidR="008F4103" w:rsidRPr="00351A46" w:rsidRDefault="008F4103" w:rsidP="00A951C4">
            <w:pPr>
              <w:jc w:val="center"/>
              <w:rPr>
                <w:b/>
                <w:color w:val="000000" w:themeColor="text1"/>
                <w:sz w:val="20"/>
                <w:szCs w:val="20"/>
                <w:lang w:val="en-AU"/>
              </w:rPr>
            </w:pPr>
            <w:r w:rsidRPr="00351A46">
              <w:rPr>
                <w:b/>
                <w:color w:val="000000" w:themeColor="text1"/>
                <w:sz w:val="20"/>
                <w:szCs w:val="20"/>
                <w:lang w:val="en-AU"/>
              </w:rPr>
              <w:t xml:space="preserve">Critical </w:t>
            </w:r>
            <w:r w:rsidR="005A7B07" w:rsidRPr="00351A46">
              <w:rPr>
                <w:b/>
                <w:color w:val="000000" w:themeColor="text1"/>
                <w:sz w:val="20"/>
                <w:szCs w:val="20"/>
                <w:lang w:val="en-AU"/>
              </w:rPr>
              <w:t>s</w:t>
            </w:r>
            <w:r w:rsidRPr="00351A46">
              <w:rPr>
                <w:b/>
                <w:color w:val="000000" w:themeColor="text1"/>
                <w:sz w:val="20"/>
                <w:szCs w:val="20"/>
                <w:lang w:val="en-AU"/>
              </w:rPr>
              <w:t xml:space="preserve">uccess </w:t>
            </w:r>
            <w:r w:rsidR="005A7B07" w:rsidRPr="00351A46">
              <w:rPr>
                <w:b/>
                <w:color w:val="000000" w:themeColor="text1"/>
                <w:sz w:val="20"/>
                <w:szCs w:val="20"/>
                <w:lang w:val="en-AU"/>
              </w:rPr>
              <w:t>f</w:t>
            </w:r>
            <w:r w:rsidRPr="00351A46">
              <w:rPr>
                <w:b/>
                <w:color w:val="000000" w:themeColor="text1"/>
                <w:sz w:val="20"/>
                <w:szCs w:val="20"/>
                <w:lang w:val="en-AU"/>
              </w:rPr>
              <w:t>actors</w:t>
            </w:r>
          </w:p>
        </w:tc>
        <w:tc>
          <w:tcPr>
            <w:tcW w:w="3510" w:type="dxa"/>
            <w:shd w:val="clear" w:color="auto" w:fill="FFF2CC" w:themeFill="accent4" w:themeFillTint="33"/>
          </w:tcPr>
          <w:p w14:paraId="51CEB6F7" w14:textId="77777777" w:rsidR="008F4103" w:rsidRPr="00351A46" w:rsidRDefault="008F4103" w:rsidP="00A951C4">
            <w:pPr>
              <w:jc w:val="center"/>
              <w:rPr>
                <w:b/>
                <w:color w:val="000000" w:themeColor="text1"/>
                <w:sz w:val="20"/>
                <w:szCs w:val="20"/>
                <w:lang w:val="en-AU"/>
              </w:rPr>
            </w:pPr>
            <w:r w:rsidRPr="00351A46">
              <w:rPr>
                <w:b/>
                <w:color w:val="000000" w:themeColor="text1"/>
                <w:sz w:val="20"/>
                <w:szCs w:val="20"/>
                <w:lang w:val="en-AU"/>
              </w:rPr>
              <w:t>KSI’s role</w:t>
            </w:r>
          </w:p>
        </w:tc>
        <w:tc>
          <w:tcPr>
            <w:tcW w:w="2610" w:type="dxa"/>
            <w:shd w:val="clear" w:color="auto" w:fill="FFF2CC" w:themeFill="accent4" w:themeFillTint="33"/>
          </w:tcPr>
          <w:p w14:paraId="024E0F6E" w14:textId="77777777" w:rsidR="008F4103" w:rsidRPr="00351A46" w:rsidRDefault="008F4103" w:rsidP="00A951C4">
            <w:pPr>
              <w:jc w:val="center"/>
              <w:rPr>
                <w:b/>
                <w:color w:val="000000" w:themeColor="text1"/>
                <w:sz w:val="20"/>
                <w:szCs w:val="20"/>
                <w:lang w:val="en-AU"/>
              </w:rPr>
            </w:pPr>
            <w:r w:rsidRPr="00351A46">
              <w:rPr>
                <w:b/>
                <w:color w:val="000000" w:themeColor="text1"/>
                <w:sz w:val="20"/>
                <w:szCs w:val="20"/>
                <w:lang w:val="en-AU"/>
              </w:rPr>
              <w:t>Expected outcomes for 2018</w:t>
            </w:r>
          </w:p>
        </w:tc>
      </w:tr>
      <w:tr w:rsidR="008F4103" w:rsidRPr="00351A46" w14:paraId="2B38BE0E" w14:textId="77777777" w:rsidTr="00A951C4">
        <w:trPr>
          <w:trHeight w:val="534"/>
        </w:trPr>
        <w:tc>
          <w:tcPr>
            <w:tcW w:w="2065" w:type="dxa"/>
            <w:shd w:val="clear" w:color="auto" w:fill="FFF2CC" w:themeFill="accent4" w:themeFillTint="33"/>
          </w:tcPr>
          <w:p w14:paraId="15B1FD1D" w14:textId="253190FE" w:rsidR="00DE315A" w:rsidRDefault="008F4103" w:rsidP="00A951C4">
            <w:pPr>
              <w:rPr>
                <w:color w:val="000000" w:themeColor="text1"/>
                <w:sz w:val="20"/>
                <w:szCs w:val="20"/>
                <w:lang w:val="en-AU" w:eastAsia="en-ID"/>
              </w:rPr>
            </w:pPr>
            <w:r w:rsidRPr="00351A46">
              <w:rPr>
                <w:color w:val="000000" w:themeColor="text1"/>
                <w:sz w:val="20"/>
                <w:szCs w:val="20"/>
                <w:lang w:val="en-AU" w:eastAsia="en-ID"/>
              </w:rPr>
              <w:t xml:space="preserve">More </w:t>
            </w:r>
            <w:r w:rsidR="005A7B07" w:rsidRPr="00351A46">
              <w:rPr>
                <w:color w:val="000000" w:themeColor="text1"/>
                <w:sz w:val="20"/>
                <w:szCs w:val="20"/>
                <w:lang w:val="en-AU" w:eastAsia="en-ID"/>
              </w:rPr>
              <w:t>m</w:t>
            </w:r>
            <w:r w:rsidRPr="00351A46">
              <w:rPr>
                <w:color w:val="000000" w:themeColor="text1"/>
                <w:sz w:val="20"/>
                <w:szCs w:val="20"/>
                <w:lang w:val="en-AU" w:eastAsia="en-ID"/>
              </w:rPr>
              <w:t xml:space="preserve">inistries are requesting policy analyst positions and more researchers in universities and PRIs are interested in becoming policy analysts. </w:t>
            </w:r>
          </w:p>
          <w:p w14:paraId="79941625" w14:textId="444329DF" w:rsidR="006A16EB" w:rsidRDefault="006A16EB" w:rsidP="00A951C4">
            <w:pPr>
              <w:rPr>
                <w:color w:val="000000" w:themeColor="text1"/>
                <w:sz w:val="20"/>
                <w:szCs w:val="20"/>
                <w:lang w:val="en-AU" w:eastAsia="en-ID"/>
              </w:rPr>
            </w:pPr>
          </w:p>
          <w:p w14:paraId="5FAA2C9F" w14:textId="08255D23" w:rsidR="006A16EB" w:rsidRPr="00351A46" w:rsidRDefault="006A16EB" w:rsidP="00A951C4">
            <w:pPr>
              <w:rPr>
                <w:color w:val="000000" w:themeColor="text1"/>
                <w:sz w:val="20"/>
                <w:szCs w:val="20"/>
                <w:lang w:val="en-AU" w:eastAsia="en-ID"/>
              </w:rPr>
            </w:pPr>
            <w:r>
              <w:rPr>
                <w:color w:val="000000" w:themeColor="text1"/>
                <w:sz w:val="20"/>
                <w:szCs w:val="20"/>
                <w:lang w:val="en-AU" w:eastAsia="en-ID"/>
              </w:rPr>
              <w:t>1500 policy analyst functional positions in government agencies.</w:t>
            </w:r>
          </w:p>
          <w:p w14:paraId="2EC560C7"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760B709E" w14:textId="125CD030" w:rsidR="008F4103" w:rsidRPr="00351A46" w:rsidRDefault="006A16EB" w:rsidP="00A951C4">
            <w:pPr>
              <w:rPr>
                <w:color w:val="000000" w:themeColor="text1"/>
                <w:sz w:val="20"/>
                <w:szCs w:val="20"/>
                <w:lang w:val="en-AU" w:eastAsia="en-ID"/>
              </w:rPr>
            </w:pPr>
            <w:r>
              <w:rPr>
                <w:color w:val="000000" w:themeColor="text1"/>
                <w:sz w:val="20"/>
                <w:szCs w:val="20"/>
                <w:lang w:val="en-AU" w:eastAsia="en-ID"/>
              </w:rPr>
              <w:t>10,000</w:t>
            </w:r>
            <w:r w:rsidR="008F4103" w:rsidRPr="00351A46">
              <w:rPr>
                <w:color w:val="000000" w:themeColor="text1"/>
                <w:sz w:val="20"/>
                <w:szCs w:val="20"/>
                <w:lang w:val="en-AU" w:eastAsia="en-ID"/>
              </w:rPr>
              <w:t xml:space="preserve"> policy analysts </w:t>
            </w:r>
            <w:r>
              <w:rPr>
                <w:color w:val="000000" w:themeColor="text1"/>
                <w:sz w:val="20"/>
                <w:szCs w:val="20"/>
                <w:lang w:val="en-AU" w:eastAsia="en-ID"/>
              </w:rPr>
              <w:t xml:space="preserve">in and outside government </w:t>
            </w:r>
            <w:r w:rsidR="008F4103" w:rsidRPr="00351A46">
              <w:rPr>
                <w:color w:val="000000" w:themeColor="text1"/>
                <w:sz w:val="20"/>
                <w:szCs w:val="20"/>
                <w:lang w:val="en-AU" w:eastAsia="en-ID"/>
              </w:rPr>
              <w:t xml:space="preserve">are  </w:t>
            </w:r>
            <w:r w:rsidR="008F4103" w:rsidRPr="00351A46">
              <w:rPr>
                <w:color w:val="000000" w:themeColor="text1"/>
                <w:sz w:val="20"/>
                <w:szCs w:val="20"/>
                <w:lang w:val="en-AU"/>
              </w:rPr>
              <w:t>trained</w:t>
            </w:r>
            <w:r w:rsidR="008F4103" w:rsidRPr="00351A46">
              <w:rPr>
                <w:color w:val="000000" w:themeColor="text1"/>
                <w:sz w:val="20"/>
                <w:szCs w:val="20"/>
                <w:lang w:val="en-AU" w:eastAsia="en-ID"/>
              </w:rPr>
              <w:t xml:space="preserve"> and certified. </w:t>
            </w:r>
          </w:p>
          <w:p w14:paraId="5BB9F6A6"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1A036C5E" w14:textId="083826AF" w:rsidR="008F4103" w:rsidRPr="00351A46" w:rsidRDefault="008F4103" w:rsidP="00A951C4">
            <w:pPr>
              <w:rPr>
                <w:color w:val="000000" w:themeColor="text1"/>
                <w:sz w:val="20"/>
                <w:szCs w:val="20"/>
                <w:lang w:val="en-AU" w:eastAsia="en-ID"/>
              </w:rPr>
            </w:pPr>
            <w:r w:rsidRPr="00351A46">
              <w:rPr>
                <w:color w:val="000000" w:themeColor="text1"/>
                <w:sz w:val="20"/>
                <w:szCs w:val="20"/>
                <w:lang w:val="en-AU" w:eastAsia="en-ID"/>
              </w:rPr>
              <w:t>Increased profile and influence of policy analysts at national and sub-national level.</w:t>
            </w:r>
          </w:p>
          <w:p w14:paraId="6D30BC06"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767D6D25" w14:textId="01AA11B8" w:rsidR="008F4103" w:rsidRPr="00351A46" w:rsidRDefault="008F4103" w:rsidP="00A951C4">
            <w:pPr>
              <w:rPr>
                <w:color w:val="000000" w:themeColor="text1"/>
                <w:sz w:val="20"/>
                <w:szCs w:val="20"/>
                <w:lang w:val="en-AU" w:eastAsia="en-ID"/>
              </w:rPr>
            </w:pPr>
            <w:r w:rsidRPr="00351A46">
              <w:rPr>
                <w:color w:val="000000" w:themeColor="text1"/>
                <w:sz w:val="20"/>
                <w:szCs w:val="20"/>
                <w:lang w:val="en-AU" w:eastAsia="en-ID"/>
              </w:rPr>
              <w:t xml:space="preserve">More and better interaction, knowledge sharing and collaboration between policy analysts, </w:t>
            </w:r>
            <w:r w:rsidR="0085747B" w:rsidRPr="00351A46">
              <w:rPr>
                <w:color w:val="000000" w:themeColor="text1"/>
                <w:sz w:val="20"/>
                <w:szCs w:val="20"/>
                <w:lang w:val="en-AU" w:eastAsia="en-ID"/>
              </w:rPr>
              <w:t>policymak</w:t>
            </w:r>
            <w:r w:rsidRPr="00351A46">
              <w:rPr>
                <w:color w:val="000000" w:themeColor="text1"/>
                <w:sz w:val="20"/>
                <w:szCs w:val="20"/>
                <w:lang w:val="en-AU" w:eastAsia="en-ID"/>
              </w:rPr>
              <w:t>ers and researchers.</w:t>
            </w:r>
          </w:p>
          <w:p w14:paraId="747663BB"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44D12445" w14:textId="50C86937" w:rsidR="008F4103" w:rsidRPr="00351A46" w:rsidRDefault="008F4103" w:rsidP="00A951C4">
            <w:pPr>
              <w:rPr>
                <w:color w:val="000000" w:themeColor="text1"/>
                <w:sz w:val="20"/>
                <w:szCs w:val="20"/>
                <w:lang w:val="en-AU"/>
              </w:rPr>
            </w:pPr>
            <w:r w:rsidRPr="00351A46">
              <w:rPr>
                <w:color w:val="000000" w:themeColor="text1"/>
                <w:sz w:val="20"/>
                <w:szCs w:val="20"/>
                <w:lang w:val="en-AU" w:eastAsia="en-ID"/>
              </w:rPr>
              <w:t xml:space="preserve">Indonesian Association of </w:t>
            </w:r>
            <w:r w:rsidRPr="00351A46">
              <w:rPr>
                <w:color w:val="000000" w:themeColor="text1"/>
                <w:sz w:val="20"/>
                <w:szCs w:val="20"/>
                <w:lang w:val="en-AU"/>
              </w:rPr>
              <w:t>Policy</w:t>
            </w:r>
            <w:r w:rsidRPr="00351A46">
              <w:rPr>
                <w:color w:val="000000" w:themeColor="text1"/>
                <w:sz w:val="20"/>
                <w:szCs w:val="20"/>
                <w:lang w:val="en-AU" w:eastAsia="en-ID"/>
              </w:rPr>
              <w:t xml:space="preserve"> Analysts (AAKI) increasingly performs its role in facilitating links, advocating for and certifying policy analysts.</w:t>
            </w:r>
          </w:p>
        </w:tc>
        <w:tc>
          <w:tcPr>
            <w:tcW w:w="2430" w:type="dxa"/>
            <w:shd w:val="clear" w:color="auto" w:fill="FFF2CC" w:themeFill="accent4" w:themeFillTint="33"/>
          </w:tcPr>
          <w:p w14:paraId="2ED8D1B7" w14:textId="7CDCFD5C" w:rsidR="008F4103" w:rsidRPr="00351A46" w:rsidRDefault="008F4103" w:rsidP="00A951C4">
            <w:pPr>
              <w:rPr>
                <w:color w:val="000000" w:themeColor="text1"/>
                <w:sz w:val="20"/>
                <w:szCs w:val="20"/>
                <w:lang w:val="en-AU" w:eastAsia="en-ID"/>
              </w:rPr>
            </w:pPr>
            <w:r w:rsidRPr="00351A46">
              <w:rPr>
                <w:color w:val="000000" w:themeColor="text1"/>
                <w:sz w:val="20"/>
                <w:szCs w:val="20"/>
                <w:lang w:val="en-AU" w:eastAsia="en-ID"/>
              </w:rPr>
              <w:t xml:space="preserve">Competency standards and training </w:t>
            </w:r>
            <w:r w:rsidRPr="00351A46">
              <w:rPr>
                <w:color w:val="000000" w:themeColor="text1"/>
                <w:sz w:val="20"/>
                <w:szCs w:val="20"/>
                <w:lang w:val="en-AU"/>
              </w:rPr>
              <w:t>modules</w:t>
            </w:r>
            <w:r w:rsidRPr="00351A46">
              <w:rPr>
                <w:color w:val="000000" w:themeColor="text1"/>
                <w:sz w:val="20"/>
                <w:szCs w:val="20"/>
                <w:lang w:val="en-AU" w:eastAsia="en-ID"/>
              </w:rPr>
              <w:t xml:space="preserve"> in place and training centres and AAKI able to deliver these.</w:t>
            </w:r>
          </w:p>
          <w:p w14:paraId="44F0A48A"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396607F7" w14:textId="5EE50E2F" w:rsidR="008F4103" w:rsidRPr="00351A46" w:rsidRDefault="008F4103" w:rsidP="00A951C4">
            <w:pPr>
              <w:rPr>
                <w:color w:val="000000" w:themeColor="text1"/>
                <w:sz w:val="20"/>
                <w:szCs w:val="20"/>
                <w:lang w:val="en-AU" w:eastAsia="en-ID"/>
              </w:rPr>
            </w:pPr>
            <w:r w:rsidRPr="00351A46">
              <w:rPr>
                <w:color w:val="000000" w:themeColor="text1"/>
                <w:sz w:val="20"/>
                <w:szCs w:val="20"/>
                <w:lang w:val="en-AU" w:eastAsia="en-ID"/>
              </w:rPr>
              <w:t>Formal position of policy analysts gives them greater power to influence.</w:t>
            </w:r>
          </w:p>
          <w:p w14:paraId="145E08EE"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01237167" w14:textId="76893C7E" w:rsidR="008F4103" w:rsidRPr="00351A46" w:rsidRDefault="008F4103" w:rsidP="00A951C4">
            <w:pPr>
              <w:rPr>
                <w:color w:val="000000" w:themeColor="text1"/>
                <w:sz w:val="20"/>
                <w:szCs w:val="20"/>
                <w:lang w:val="en-AU" w:eastAsia="en-ID"/>
              </w:rPr>
            </w:pPr>
            <w:r w:rsidRPr="00351A46">
              <w:rPr>
                <w:color w:val="000000" w:themeColor="text1"/>
                <w:sz w:val="20"/>
                <w:szCs w:val="20"/>
                <w:lang w:val="en-AU" w:eastAsia="en-ID"/>
              </w:rPr>
              <w:t>LAN and AAKI build awareness and advocate for more policy analysts in national and sub</w:t>
            </w:r>
            <w:r w:rsidR="005A7B07" w:rsidRPr="00351A46">
              <w:rPr>
                <w:color w:val="000000" w:themeColor="text1"/>
                <w:sz w:val="20"/>
                <w:szCs w:val="20"/>
                <w:lang w:val="en-AU" w:eastAsia="en-ID"/>
              </w:rPr>
              <w:t>-</w:t>
            </w:r>
            <w:r w:rsidRPr="00351A46">
              <w:rPr>
                <w:color w:val="000000" w:themeColor="text1"/>
                <w:sz w:val="20"/>
                <w:szCs w:val="20"/>
                <w:lang w:val="en-AU" w:eastAsia="en-ID"/>
              </w:rPr>
              <w:t>national government.</w:t>
            </w:r>
          </w:p>
          <w:p w14:paraId="09E2AA28"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0129E50E" w14:textId="57A68816" w:rsidR="008F4103" w:rsidRPr="00351A46" w:rsidRDefault="008F4103" w:rsidP="00A951C4">
            <w:pPr>
              <w:rPr>
                <w:color w:val="000000" w:themeColor="text1"/>
                <w:sz w:val="20"/>
                <w:szCs w:val="20"/>
                <w:lang w:val="en-AU" w:eastAsia="en-ID"/>
              </w:rPr>
            </w:pPr>
            <w:r w:rsidRPr="00351A46">
              <w:rPr>
                <w:color w:val="000000" w:themeColor="text1"/>
                <w:sz w:val="20"/>
                <w:szCs w:val="20"/>
                <w:lang w:val="en-AU" w:eastAsia="en-ID"/>
              </w:rPr>
              <w:t xml:space="preserve">Senior </w:t>
            </w:r>
            <w:r w:rsidR="005A7B07" w:rsidRPr="00351A46">
              <w:rPr>
                <w:color w:val="000000" w:themeColor="text1"/>
                <w:sz w:val="20"/>
                <w:szCs w:val="20"/>
                <w:lang w:val="en-AU" w:eastAsia="en-ID"/>
              </w:rPr>
              <w:t xml:space="preserve">government </w:t>
            </w:r>
            <w:r w:rsidRPr="00351A46">
              <w:rPr>
                <w:color w:val="000000" w:themeColor="text1"/>
                <w:sz w:val="20"/>
                <w:szCs w:val="20"/>
                <w:lang w:val="en-AU" w:eastAsia="en-ID"/>
              </w:rPr>
              <w:t>officials (national and sub-national) are aware of</w:t>
            </w:r>
            <w:r w:rsidRPr="00351A46">
              <w:rPr>
                <w:color w:val="000000" w:themeColor="text1"/>
                <w:sz w:val="20"/>
                <w:szCs w:val="20"/>
                <w:lang w:val="en-AU"/>
              </w:rPr>
              <w:t xml:space="preserve"> </w:t>
            </w:r>
            <w:r w:rsidRPr="00351A46">
              <w:rPr>
                <w:color w:val="000000" w:themeColor="text1"/>
                <w:sz w:val="20"/>
                <w:szCs w:val="20"/>
                <w:lang w:val="en-AU" w:eastAsia="en-ID"/>
              </w:rPr>
              <w:t>and perceive benefits of having policy analysts.</w:t>
            </w:r>
          </w:p>
          <w:p w14:paraId="569A99A5" w14:textId="2ABF9FBE" w:rsidR="008F4103" w:rsidRPr="00351A46" w:rsidRDefault="008F4103" w:rsidP="00A951C4">
            <w:pPr>
              <w:rPr>
                <w:color w:val="000000" w:themeColor="text1"/>
                <w:sz w:val="20"/>
                <w:szCs w:val="20"/>
                <w:lang w:val="en-AU" w:eastAsia="en-ID"/>
              </w:rPr>
            </w:pPr>
            <w:r w:rsidRPr="00351A46">
              <w:rPr>
                <w:color w:val="000000" w:themeColor="text1"/>
                <w:sz w:val="20"/>
                <w:szCs w:val="20"/>
                <w:lang w:val="en-AU" w:eastAsia="en-ID"/>
              </w:rPr>
              <w:t xml:space="preserve">Growing network of policy analysts building demand for evidence-informed </w:t>
            </w:r>
            <w:r w:rsidR="0085747B" w:rsidRPr="00351A46">
              <w:rPr>
                <w:color w:val="000000" w:themeColor="text1"/>
                <w:sz w:val="20"/>
                <w:szCs w:val="20"/>
                <w:lang w:val="en-AU" w:eastAsia="en-ID"/>
              </w:rPr>
              <w:t>policymak</w:t>
            </w:r>
            <w:r w:rsidRPr="00351A46">
              <w:rPr>
                <w:color w:val="000000" w:themeColor="text1"/>
                <w:sz w:val="20"/>
                <w:szCs w:val="20"/>
                <w:lang w:val="en-AU" w:eastAsia="en-ID"/>
              </w:rPr>
              <w:t>ing and advocating for policy analysts. Includes those in high</w:t>
            </w:r>
            <w:r w:rsidR="005A7B07" w:rsidRPr="00351A46">
              <w:rPr>
                <w:color w:val="000000" w:themeColor="text1"/>
                <w:sz w:val="20"/>
                <w:szCs w:val="20"/>
                <w:lang w:val="en-AU" w:eastAsia="en-ID"/>
              </w:rPr>
              <w:t>-</w:t>
            </w:r>
            <w:r w:rsidRPr="00351A46">
              <w:rPr>
                <w:color w:val="000000" w:themeColor="text1"/>
                <w:sz w:val="20"/>
                <w:szCs w:val="20"/>
                <w:lang w:val="en-AU" w:eastAsia="en-ID"/>
              </w:rPr>
              <w:t>level positions and non-government policy analysts</w:t>
            </w:r>
            <w:r w:rsidR="00D0604A" w:rsidRPr="00351A46">
              <w:rPr>
                <w:color w:val="000000" w:themeColor="text1"/>
                <w:sz w:val="20"/>
                <w:szCs w:val="20"/>
                <w:lang w:val="en-AU" w:eastAsia="en-ID"/>
              </w:rPr>
              <w:t xml:space="preserve">. </w:t>
            </w:r>
          </w:p>
          <w:p w14:paraId="145FF725"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58362D15" w14:textId="409905FB" w:rsidR="008F4103" w:rsidRPr="00351A46" w:rsidRDefault="008F4103" w:rsidP="00A951C4">
            <w:pPr>
              <w:rPr>
                <w:color w:val="000000" w:themeColor="text1"/>
                <w:sz w:val="20"/>
                <w:szCs w:val="20"/>
                <w:lang w:val="en-AU" w:eastAsia="en-ID"/>
              </w:rPr>
            </w:pPr>
            <w:r w:rsidRPr="00351A46">
              <w:rPr>
                <w:color w:val="000000" w:themeColor="text1"/>
                <w:sz w:val="20"/>
                <w:szCs w:val="20"/>
                <w:lang w:val="en-AU" w:eastAsia="en-ID"/>
              </w:rPr>
              <w:t xml:space="preserve">Mandated </w:t>
            </w:r>
            <w:r w:rsidRPr="00351A46">
              <w:rPr>
                <w:color w:val="000000" w:themeColor="text1"/>
                <w:sz w:val="20"/>
                <w:szCs w:val="20"/>
                <w:lang w:val="en-AU"/>
              </w:rPr>
              <w:t>steps</w:t>
            </w:r>
            <w:r w:rsidRPr="00351A46">
              <w:rPr>
                <w:color w:val="000000" w:themeColor="text1"/>
                <w:sz w:val="20"/>
                <w:szCs w:val="20"/>
                <w:lang w:val="en-AU" w:eastAsia="en-ID"/>
              </w:rPr>
              <w:t xml:space="preserve"> in policy process provide opening for policy analyst input (e</w:t>
            </w:r>
            <w:r w:rsidR="005A7B07" w:rsidRPr="00351A46">
              <w:rPr>
                <w:color w:val="000000" w:themeColor="text1"/>
                <w:sz w:val="20"/>
                <w:szCs w:val="20"/>
                <w:lang w:val="en-AU" w:eastAsia="en-ID"/>
              </w:rPr>
              <w:t>.</w:t>
            </w:r>
            <w:r w:rsidRPr="00351A46">
              <w:rPr>
                <w:color w:val="000000" w:themeColor="text1"/>
                <w:sz w:val="20"/>
                <w:szCs w:val="20"/>
                <w:lang w:val="en-AU" w:eastAsia="en-ID"/>
              </w:rPr>
              <w:t>g</w:t>
            </w:r>
            <w:r w:rsidR="005A7B07" w:rsidRPr="00351A46">
              <w:rPr>
                <w:color w:val="000000" w:themeColor="text1"/>
                <w:sz w:val="20"/>
                <w:szCs w:val="20"/>
                <w:lang w:val="en-AU" w:eastAsia="en-ID"/>
              </w:rPr>
              <w:t>.</w:t>
            </w:r>
            <w:r w:rsidRPr="00351A46">
              <w:rPr>
                <w:color w:val="000000" w:themeColor="text1"/>
                <w:sz w:val="20"/>
                <w:szCs w:val="20"/>
                <w:lang w:val="en-AU" w:eastAsia="en-ID"/>
              </w:rPr>
              <w:t xml:space="preserve"> requiring technocratic paper). </w:t>
            </w:r>
          </w:p>
          <w:p w14:paraId="49874939"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24D581E8" w14:textId="6610DDC8" w:rsidR="008F4103" w:rsidRPr="00351A46" w:rsidRDefault="008F4103" w:rsidP="00A951C4">
            <w:pPr>
              <w:rPr>
                <w:color w:val="000000" w:themeColor="text1"/>
                <w:sz w:val="20"/>
                <w:szCs w:val="20"/>
                <w:lang w:val="en-AU" w:eastAsia="en-ID"/>
              </w:rPr>
            </w:pPr>
            <w:r w:rsidRPr="00351A46">
              <w:rPr>
                <w:color w:val="000000" w:themeColor="text1"/>
                <w:sz w:val="20"/>
                <w:szCs w:val="20"/>
                <w:lang w:val="en-AU" w:eastAsia="en-ID"/>
              </w:rPr>
              <w:t xml:space="preserve">Mechanisms exist for interaction between policy analysts, </w:t>
            </w:r>
            <w:r w:rsidR="0085747B" w:rsidRPr="00351A46">
              <w:rPr>
                <w:color w:val="000000" w:themeColor="text1"/>
                <w:sz w:val="20"/>
                <w:szCs w:val="20"/>
                <w:lang w:val="en-AU" w:eastAsia="en-ID"/>
              </w:rPr>
              <w:t>policymak</w:t>
            </w:r>
            <w:r w:rsidRPr="00351A46">
              <w:rPr>
                <w:color w:val="000000" w:themeColor="text1"/>
                <w:sz w:val="20"/>
                <w:szCs w:val="20"/>
                <w:lang w:val="en-AU" w:eastAsia="en-ID"/>
              </w:rPr>
              <w:t>ers and researchers.</w:t>
            </w:r>
          </w:p>
          <w:p w14:paraId="301925D6"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2DE55C40" w14:textId="77777777" w:rsidR="008F4103" w:rsidRPr="00351A46" w:rsidRDefault="008F4103" w:rsidP="00A951C4">
            <w:pPr>
              <w:rPr>
                <w:color w:val="000000" w:themeColor="text1"/>
                <w:sz w:val="20"/>
                <w:szCs w:val="20"/>
                <w:lang w:val="en-AU"/>
              </w:rPr>
            </w:pPr>
            <w:r w:rsidRPr="00351A46">
              <w:rPr>
                <w:color w:val="000000" w:themeColor="text1"/>
                <w:sz w:val="20"/>
                <w:szCs w:val="20"/>
                <w:lang w:val="en-AU" w:eastAsia="en-ID"/>
              </w:rPr>
              <w:t xml:space="preserve">AAKI has the </w:t>
            </w:r>
            <w:r w:rsidRPr="00351A46">
              <w:rPr>
                <w:color w:val="000000" w:themeColor="text1"/>
                <w:sz w:val="20"/>
                <w:szCs w:val="20"/>
                <w:lang w:val="en-AU"/>
              </w:rPr>
              <w:t>capacity</w:t>
            </w:r>
            <w:r w:rsidRPr="00351A46">
              <w:rPr>
                <w:color w:val="000000" w:themeColor="text1"/>
                <w:sz w:val="20"/>
                <w:szCs w:val="20"/>
                <w:lang w:val="en-AU" w:eastAsia="en-ID"/>
              </w:rPr>
              <w:t xml:space="preserve"> and motivation to perform its role.</w:t>
            </w:r>
          </w:p>
        </w:tc>
        <w:tc>
          <w:tcPr>
            <w:tcW w:w="3510" w:type="dxa"/>
            <w:shd w:val="clear" w:color="auto" w:fill="FFF2CC" w:themeFill="accent4" w:themeFillTint="33"/>
          </w:tcPr>
          <w:p w14:paraId="48B6B043" w14:textId="4FCD56F6" w:rsidR="008F4103" w:rsidRPr="00351A46" w:rsidRDefault="008F4103" w:rsidP="00A951C4">
            <w:pPr>
              <w:rPr>
                <w:color w:val="000000" w:themeColor="text1"/>
                <w:sz w:val="20"/>
                <w:szCs w:val="20"/>
                <w:lang w:val="en-AU" w:eastAsia="en-ID"/>
              </w:rPr>
            </w:pPr>
            <w:r w:rsidRPr="00351A46">
              <w:rPr>
                <w:i/>
                <w:color w:val="000000" w:themeColor="text1"/>
                <w:sz w:val="20"/>
                <w:szCs w:val="20"/>
                <w:lang w:val="en-AU" w:eastAsia="en-ID"/>
              </w:rPr>
              <w:t xml:space="preserve">Connect: </w:t>
            </w:r>
            <w:r w:rsidRPr="00351A46">
              <w:rPr>
                <w:color w:val="000000" w:themeColor="text1"/>
                <w:sz w:val="20"/>
                <w:szCs w:val="20"/>
                <w:lang w:val="en-AU" w:eastAsia="en-ID"/>
              </w:rPr>
              <w:t xml:space="preserve">Convene meetings to progress </w:t>
            </w:r>
            <w:r w:rsidR="002E5226" w:rsidRPr="00351A46">
              <w:rPr>
                <w:color w:val="000000" w:themeColor="text1"/>
                <w:sz w:val="20"/>
                <w:szCs w:val="20"/>
                <w:lang w:val="en-AU" w:eastAsia="en-ID"/>
              </w:rPr>
              <w:t>m</w:t>
            </w:r>
            <w:r w:rsidRPr="00351A46">
              <w:rPr>
                <w:color w:val="000000" w:themeColor="text1"/>
                <w:sz w:val="20"/>
                <w:szCs w:val="20"/>
                <w:lang w:val="en-AU" w:eastAsia="en-ID"/>
              </w:rPr>
              <w:t xml:space="preserve">inisterial </w:t>
            </w:r>
            <w:r w:rsidR="002E5226" w:rsidRPr="00351A46">
              <w:rPr>
                <w:color w:val="000000" w:themeColor="text1"/>
                <w:sz w:val="20"/>
                <w:szCs w:val="20"/>
                <w:lang w:val="en-AU" w:eastAsia="en-ID"/>
              </w:rPr>
              <w:t>d</w:t>
            </w:r>
            <w:r w:rsidRPr="00351A46">
              <w:rPr>
                <w:color w:val="000000" w:themeColor="text1"/>
                <w:sz w:val="20"/>
                <w:szCs w:val="20"/>
                <w:lang w:val="en-AU" w:eastAsia="en-ID"/>
              </w:rPr>
              <w:t>ecree on policy analyst competency standards.</w:t>
            </w:r>
          </w:p>
          <w:p w14:paraId="138DFB81"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1DBCAFFC" w14:textId="48F63910" w:rsidR="008F4103" w:rsidRPr="00351A46" w:rsidRDefault="008F4103" w:rsidP="00A951C4">
            <w:pPr>
              <w:rPr>
                <w:color w:val="000000" w:themeColor="text1"/>
                <w:sz w:val="20"/>
                <w:szCs w:val="20"/>
                <w:lang w:val="en-AU" w:eastAsia="en-ID"/>
              </w:rPr>
            </w:pPr>
            <w:r w:rsidRPr="00351A46">
              <w:rPr>
                <w:i/>
                <w:color w:val="000000" w:themeColor="text1"/>
                <w:sz w:val="20"/>
                <w:szCs w:val="20"/>
                <w:lang w:val="en-AU" w:eastAsia="en-ID"/>
              </w:rPr>
              <w:t xml:space="preserve">Accelerate: </w:t>
            </w:r>
            <w:r w:rsidRPr="00351A46">
              <w:rPr>
                <w:color w:val="000000" w:themeColor="text1"/>
                <w:sz w:val="20"/>
                <w:szCs w:val="20"/>
                <w:lang w:val="en-AU" w:eastAsia="en-ID"/>
              </w:rPr>
              <w:t xml:space="preserve">Provide technical expertise and capacity building to LAN to develop </w:t>
            </w:r>
            <w:r w:rsidRPr="00351A46">
              <w:rPr>
                <w:color w:val="000000" w:themeColor="text1"/>
                <w:sz w:val="20"/>
                <w:szCs w:val="20"/>
                <w:lang w:val="en-AU"/>
              </w:rPr>
              <w:t>competency</w:t>
            </w:r>
            <w:r w:rsidRPr="00351A46">
              <w:rPr>
                <w:color w:val="000000" w:themeColor="text1"/>
                <w:sz w:val="20"/>
                <w:szCs w:val="20"/>
                <w:lang w:val="en-AU" w:eastAsia="en-ID"/>
              </w:rPr>
              <w:t xml:space="preserve"> standards, curriculum</w:t>
            </w:r>
            <w:r w:rsidR="002E5226" w:rsidRPr="00351A46">
              <w:rPr>
                <w:color w:val="000000" w:themeColor="text1"/>
                <w:sz w:val="20"/>
                <w:szCs w:val="20"/>
                <w:lang w:val="en-AU" w:eastAsia="en-ID"/>
              </w:rPr>
              <w:t>,</w:t>
            </w:r>
            <w:r w:rsidRPr="00351A46">
              <w:rPr>
                <w:color w:val="000000" w:themeColor="text1"/>
                <w:sz w:val="20"/>
                <w:szCs w:val="20"/>
                <w:lang w:val="en-AU" w:eastAsia="en-ID"/>
              </w:rPr>
              <w:t xml:space="preserve"> </w:t>
            </w:r>
            <w:r w:rsidR="00E941A1" w:rsidRPr="00351A46">
              <w:rPr>
                <w:color w:val="000000" w:themeColor="text1"/>
                <w:sz w:val="20"/>
                <w:szCs w:val="20"/>
                <w:lang w:val="en-AU" w:eastAsia="en-ID"/>
              </w:rPr>
              <w:t>syllabus</w:t>
            </w:r>
            <w:r w:rsidRPr="00351A46">
              <w:rPr>
                <w:color w:val="000000" w:themeColor="text1"/>
                <w:sz w:val="20"/>
                <w:szCs w:val="20"/>
                <w:lang w:val="en-AU" w:eastAsia="en-ID"/>
              </w:rPr>
              <w:t xml:space="preserve"> and training modules for policy analysts. Fund trainers to enable LAN to deliver more training to university training centres on these. </w:t>
            </w:r>
          </w:p>
          <w:p w14:paraId="28F7F34E"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30FAFEA3" w14:textId="4B3DBEAB" w:rsidR="008F4103" w:rsidRPr="00351A46" w:rsidRDefault="008F4103" w:rsidP="00A951C4">
            <w:pPr>
              <w:rPr>
                <w:color w:val="000000" w:themeColor="text1"/>
                <w:sz w:val="20"/>
                <w:szCs w:val="20"/>
                <w:lang w:val="en-AU" w:eastAsia="en-ID"/>
              </w:rPr>
            </w:pPr>
            <w:r w:rsidRPr="00351A46">
              <w:rPr>
                <w:i/>
                <w:color w:val="000000" w:themeColor="text1"/>
                <w:sz w:val="20"/>
                <w:szCs w:val="20"/>
                <w:lang w:val="en-AU" w:eastAsia="en-ID"/>
              </w:rPr>
              <w:t xml:space="preserve">Initiate: </w:t>
            </w:r>
            <w:r w:rsidRPr="00351A46">
              <w:rPr>
                <w:color w:val="000000" w:themeColor="text1"/>
                <w:sz w:val="20"/>
                <w:szCs w:val="20"/>
                <w:lang w:val="en-AU" w:eastAsia="en-ID"/>
              </w:rPr>
              <w:t xml:space="preserve">Fund PRIs to develop </w:t>
            </w:r>
            <w:r w:rsidRPr="00351A46">
              <w:rPr>
                <w:color w:val="000000" w:themeColor="text1"/>
                <w:sz w:val="20"/>
                <w:szCs w:val="20"/>
                <w:lang w:val="en-AU"/>
              </w:rPr>
              <w:t>specialisation</w:t>
            </w:r>
            <w:r w:rsidRPr="00351A46">
              <w:rPr>
                <w:color w:val="000000" w:themeColor="text1"/>
                <w:sz w:val="20"/>
                <w:szCs w:val="20"/>
                <w:lang w:val="en-AU" w:eastAsia="en-ID"/>
              </w:rPr>
              <w:t xml:space="preserve"> courses for policy analysts. </w:t>
            </w:r>
          </w:p>
          <w:p w14:paraId="1AC87CF7"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44848637" w14:textId="186ED737" w:rsidR="008F4103" w:rsidRPr="00351A46" w:rsidRDefault="008F4103" w:rsidP="00A951C4">
            <w:pPr>
              <w:rPr>
                <w:sz w:val="20"/>
                <w:szCs w:val="20"/>
                <w:lang w:val="en-AU"/>
              </w:rPr>
            </w:pPr>
            <w:r w:rsidRPr="00351A46">
              <w:rPr>
                <w:i/>
                <w:color w:val="000000" w:themeColor="text1"/>
                <w:sz w:val="20"/>
                <w:szCs w:val="20"/>
                <w:lang w:val="en-AU" w:eastAsia="en-ID"/>
              </w:rPr>
              <w:t xml:space="preserve">Accelerate </w:t>
            </w:r>
            <w:r w:rsidRPr="00351A46">
              <w:rPr>
                <w:sz w:val="20"/>
                <w:szCs w:val="20"/>
                <w:lang w:val="en-AU"/>
              </w:rPr>
              <w:t xml:space="preserve">– </w:t>
            </w:r>
            <w:r w:rsidR="001941F0" w:rsidRPr="00351A46">
              <w:rPr>
                <w:sz w:val="20"/>
                <w:szCs w:val="20"/>
                <w:lang w:val="en-AU"/>
              </w:rPr>
              <w:t xml:space="preserve">Fund UI CSGAR to assess Balitbang </w:t>
            </w:r>
            <w:r w:rsidR="001941F0" w:rsidRPr="00351A46">
              <w:rPr>
                <w:color w:val="000000" w:themeColor="text1"/>
                <w:sz w:val="20"/>
                <w:szCs w:val="20"/>
                <w:lang w:val="en-AU"/>
              </w:rPr>
              <w:t>effectiveness</w:t>
            </w:r>
            <w:r w:rsidR="001941F0" w:rsidRPr="00351A46">
              <w:rPr>
                <w:sz w:val="20"/>
                <w:szCs w:val="20"/>
                <w:lang w:val="en-AU"/>
              </w:rPr>
              <w:t xml:space="preserve"> to inform </w:t>
            </w:r>
            <w:r w:rsidRPr="00351A46">
              <w:rPr>
                <w:sz w:val="20"/>
                <w:szCs w:val="20"/>
                <w:lang w:val="en-AU"/>
              </w:rPr>
              <w:t>KemenPAN</w:t>
            </w:r>
            <w:r w:rsidR="00E941A1" w:rsidRPr="00351A46">
              <w:rPr>
                <w:sz w:val="20"/>
                <w:szCs w:val="20"/>
                <w:lang w:val="en-AU"/>
              </w:rPr>
              <w:t xml:space="preserve"> </w:t>
            </w:r>
            <w:r w:rsidRPr="00351A46">
              <w:rPr>
                <w:sz w:val="20"/>
                <w:szCs w:val="20"/>
                <w:lang w:val="en-AU"/>
              </w:rPr>
              <w:t xml:space="preserve">RB’s </w:t>
            </w:r>
            <w:r w:rsidR="00347A6D" w:rsidRPr="00351A46">
              <w:rPr>
                <w:sz w:val="20"/>
                <w:szCs w:val="20"/>
                <w:lang w:val="en-AU"/>
              </w:rPr>
              <w:t xml:space="preserve">Balitbang </w:t>
            </w:r>
            <w:r w:rsidR="00F51991" w:rsidRPr="00351A46">
              <w:rPr>
                <w:sz w:val="20"/>
                <w:szCs w:val="20"/>
                <w:lang w:val="en-AU"/>
              </w:rPr>
              <w:t>review. This</w:t>
            </w:r>
            <w:r w:rsidR="00EF0BEE" w:rsidRPr="00351A46">
              <w:rPr>
                <w:sz w:val="20"/>
                <w:szCs w:val="20"/>
                <w:lang w:val="en-AU"/>
              </w:rPr>
              <w:t xml:space="preserve"> may</w:t>
            </w:r>
            <w:r w:rsidRPr="00351A46">
              <w:rPr>
                <w:sz w:val="20"/>
                <w:szCs w:val="20"/>
                <w:lang w:val="en-AU"/>
              </w:rPr>
              <w:t xml:space="preserve"> boost position of policy analysts</w:t>
            </w:r>
            <w:r w:rsidR="001941F0" w:rsidRPr="00351A46">
              <w:rPr>
                <w:sz w:val="20"/>
                <w:szCs w:val="20"/>
                <w:lang w:val="en-AU"/>
              </w:rPr>
              <w:t>.</w:t>
            </w:r>
            <w:r w:rsidRPr="00351A46">
              <w:rPr>
                <w:sz w:val="20"/>
                <w:szCs w:val="20"/>
                <w:lang w:val="en-AU"/>
              </w:rPr>
              <w:t xml:space="preserve"> </w:t>
            </w:r>
          </w:p>
          <w:p w14:paraId="6F431765" w14:textId="77777777" w:rsidR="00DE315A" w:rsidRPr="00381388" w:rsidRDefault="00DE315A" w:rsidP="00A951C4">
            <w:pPr>
              <w:numPr>
                <w:ilvl w:val="1"/>
                <w:numId w:val="0"/>
              </w:numPr>
              <w:rPr>
                <w:rFonts w:eastAsiaTheme="minorEastAsia"/>
                <w:color w:val="5A5A5A" w:themeColor="text1" w:themeTint="A5"/>
                <w:spacing w:val="15"/>
                <w:sz w:val="20"/>
                <w:szCs w:val="20"/>
                <w:lang w:val="en-AU"/>
              </w:rPr>
            </w:pPr>
          </w:p>
          <w:p w14:paraId="3065F906" w14:textId="7BE5634A" w:rsidR="008F4103" w:rsidRPr="00351A46" w:rsidRDefault="008F4103" w:rsidP="00A951C4">
            <w:pPr>
              <w:rPr>
                <w:sz w:val="20"/>
                <w:szCs w:val="20"/>
                <w:lang w:val="en-AU"/>
              </w:rPr>
            </w:pPr>
            <w:r w:rsidRPr="00351A46">
              <w:rPr>
                <w:i/>
                <w:sz w:val="20"/>
                <w:szCs w:val="20"/>
                <w:lang w:val="en-AU"/>
              </w:rPr>
              <w:t>Accelerate and connect</w:t>
            </w:r>
            <w:r w:rsidRPr="00351A46">
              <w:rPr>
                <w:color w:val="000000" w:themeColor="text1"/>
                <w:sz w:val="20"/>
                <w:szCs w:val="20"/>
                <w:lang w:val="en-AU"/>
              </w:rPr>
              <w:t xml:space="preserve"> </w:t>
            </w:r>
            <w:r w:rsidRPr="00351A46">
              <w:rPr>
                <w:sz w:val="20"/>
                <w:szCs w:val="20"/>
                <w:lang w:val="en-AU"/>
              </w:rPr>
              <w:t xml:space="preserve">– Provide funding and technical expertise to help LAN hold the Policy Quality Index (IKK) Conference to award best </w:t>
            </w:r>
            <w:r w:rsidR="0085747B" w:rsidRPr="00351A46">
              <w:rPr>
                <w:sz w:val="20"/>
                <w:szCs w:val="20"/>
                <w:lang w:val="en-AU"/>
              </w:rPr>
              <w:t>policymak</w:t>
            </w:r>
            <w:r w:rsidRPr="00351A46">
              <w:rPr>
                <w:sz w:val="20"/>
                <w:szCs w:val="20"/>
                <w:lang w:val="en-AU"/>
              </w:rPr>
              <w:t>ing in Indonesia, to build policy analyst profile and foster interactions. Facilitate PRIs to be included as judges on panel. Technical expertise to incorporate GESI perspectives into the Policy Quality Index.</w:t>
            </w:r>
          </w:p>
          <w:p w14:paraId="05DCDBBF" w14:textId="715BC614" w:rsidR="008F4103" w:rsidRPr="00351A46" w:rsidRDefault="008F4103" w:rsidP="00A951C4">
            <w:pPr>
              <w:rPr>
                <w:sz w:val="20"/>
                <w:szCs w:val="20"/>
                <w:lang w:val="en-AU"/>
              </w:rPr>
            </w:pPr>
            <w:r w:rsidRPr="00351A46">
              <w:rPr>
                <w:i/>
                <w:color w:val="000000" w:themeColor="text1"/>
                <w:sz w:val="20"/>
                <w:szCs w:val="20"/>
                <w:lang w:val="en-AU" w:eastAsia="en-ID"/>
              </w:rPr>
              <w:t xml:space="preserve">Initiate: </w:t>
            </w:r>
            <w:r w:rsidRPr="00351A46">
              <w:rPr>
                <w:color w:val="000000" w:themeColor="text1"/>
                <w:sz w:val="20"/>
                <w:szCs w:val="20"/>
                <w:lang w:val="en-AU" w:eastAsia="en-ID"/>
              </w:rPr>
              <w:t xml:space="preserve">Policy dialogue and technical expertise to help UI CSGAR develop a new training </w:t>
            </w:r>
            <w:r w:rsidRPr="00351A46">
              <w:rPr>
                <w:color w:val="000000" w:themeColor="text1"/>
                <w:sz w:val="20"/>
                <w:szCs w:val="20"/>
                <w:lang w:val="en-AU"/>
              </w:rPr>
              <w:t>module</w:t>
            </w:r>
            <w:r w:rsidRPr="00351A46">
              <w:rPr>
                <w:color w:val="000000" w:themeColor="text1"/>
                <w:sz w:val="20"/>
                <w:szCs w:val="20"/>
                <w:lang w:val="en-AU" w:eastAsia="en-ID"/>
              </w:rPr>
              <w:t xml:space="preserve"> for policy analyst competencies for Echelon 1</w:t>
            </w:r>
            <w:r w:rsidR="00361F2C" w:rsidRPr="00351A46">
              <w:rPr>
                <w:color w:val="000000" w:themeColor="text1"/>
                <w:sz w:val="20"/>
                <w:szCs w:val="20"/>
                <w:lang w:val="en-AU" w:eastAsia="en-ID"/>
              </w:rPr>
              <w:t xml:space="preserve"> or </w:t>
            </w:r>
            <w:r w:rsidR="00BE1DE9" w:rsidRPr="00351A46">
              <w:rPr>
                <w:color w:val="000000" w:themeColor="text1"/>
                <w:sz w:val="20"/>
                <w:szCs w:val="20"/>
                <w:lang w:val="en-AU" w:eastAsia="en-ID"/>
              </w:rPr>
              <w:t>2.</w:t>
            </w:r>
          </w:p>
          <w:p w14:paraId="062C9F91" w14:textId="77777777" w:rsidR="00DE315A" w:rsidRPr="00381388" w:rsidRDefault="00DE315A" w:rsidP="00A951C4">
            <w:pPr>
              <w:numPr>
                <w:ilvl w:val="1"/>
                <w:numId w:val="0"/>
              </w:numPr>
              <w:rPr>
                <w:rFonts w:eastAsiaTheme="minorEastAsia"/>
                <w:color w:val="5A5A5A" w:themeColor="text1" w:themeTint="A5"/>
                <w:spacing w:val="15"/>
                <w:sz w:val="20"/>
                <w:szCs w:val="20"/>
                <w:lang w:val="en-AU"/>
              </w:rPr>
            </w:pPr>
          </w:p>
          <w:p w14:paraId="29EC3C04" w14:textId="78F240F5" w:rsidR="008F4103" w:rsidRPr="00351A46" w:rsidRDefault="008F4103" w:rsidP="00A951C4">
            <w:pPr>
              <w:rPr>
                <w:color w:val="000000" w:themeColor="text1"/>
                <w:sz w:val="20"/>
                <w:szCs w:val="20"/>
                <w:lang w:val="en-AU" w:eastAsia="en-ID"/>
              </w:rPr>
            </w:pPr>
            <w:r w:rsidRPr="00351A46">
              <w:rPr>
                <w:i/>
                <w:sz w:val="20"/>
                <w:szCs w:val="20"/>
                <w:lang w:val="en-AU"/>
              </w:rPr>
              <w:t xml:space="preserve">Amplify - </w:t>
            </w:r>
            <w:r w:rsidRPr="00351A46">
              <w:rPr>
                <w:color w:val="000000" w:themeColor="text1"/>
                <w:sz w:val="20"/>
                <w:szCs w:val="20"/>
                <w:lang w:val="en-AU" w:eastAsia="en-ID"/>
              </w:rPr>
              <w:t xml:space="preserve">Use media to </w:t>
            </w:r>
            <w:r w:rsidRPr="00351A46">
              <w:rPr>
                <w:color w:val="000000" w:themeColor="text1"/>
                <w:sz w:val="20"/>
                <w:szCs w:val="20"/>
                <w:lang w:val="en-AU"/>
              </w:rPr>
              <w:t>promote</w:t>
            </w:r>
            <w:r w:rsidRPr="00351A46">
              <w:rPr>
                <w:color w:val="000000" w:themeColor="text1"/>
                <w:sz w:val="20"/>
                <w:szCs w:val="20"/>
                <w:lang w:val="en-AU" w:eastAsia="en-ID"/>
              </w:rPr>
              <w:t xml:space="preserve"> work of policy analysts and build their profile. Document and promote good practices in using policy analysts. </w:t>
            </w:r>
          </w:p>
          <w:p w14:paraId="00B2FB8E"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0458577C" w14:textId="6D69367F" w:rsidR="008F4103" w:rsidRPr="00351A46" w:rsidRDefault="008F4103" w:rsidP="00A951C4">
            <w:pPr>
              <w:rPr>
                <w:sz w:val="20"/>
                <w:szCs w:val="20"/>
                <w:lang w:val="en-AU"/>
              </w:rPr>
            </w:pPr>
            <w:r w:rsidRPr="00351A46">
              <w:rPr>
                <w:i/>
                <w:sz w:val="20"/>
                <w:szCs w:val="20"/>
                <w:lang w:val="en-AU"/>
              </w:rPr>
              <w:t xml:space="preserve">Initiate – </w:t>
            </w:r>
            <w:r w:rsidRPr="00351A46">
              <w:rPr>
                <w:sz w:val="20"/>
                <w:szCs w:val="20"/>
                <w:lang w:val="en-AU"/>
              </w:rPr>
              <w:t xml:space="preserve">Facilitate discussions and provide technical </w:t>
            </w:r>
            <w:r w:rsidRPr="00351A46">
              <w:rPr>
                <w:color w:val="000000" w:themeColor="text1"/>
                <w:sz w:val="20"/>
                <w:szCs w:val="20"/>
                <w:lang w:val="en-AU"/>
              </w:rPr>
              <w:t>expertise</w:t>
            </w:r>
            <w:r w:rsidRPr="00351A46">
              <w:rPr>
                <w:sz w:val="20"/>
                <w:szCs w:val="20"/>
                <w:lang w:val="en-AU"/>
              </w:rPr>
              <w:t xml:space="preserve"> to LAN and AAKI to develop an online collaborative forum for interaction between policy analysts, policymakers and researchers. This includes an online repository for policy research and briefs.</w:t>
            </w:r>
          </w:p>
          <w:p w14:paraId="785CA404" w14:textId="77777777" w:rsidR="00DE315A" w:rsidRPr="00381388" w:rsidRDefault="00DE315A" w:rsidP="00A951C4">
            <w:pPr>
              <w:numPr>
                <w:ilvl w:val="1"/>
                <w:numId w:val="0"/>
              </w:numPr>
              <w:rPr>
                <w:rFonts w:eastAsiaTheme="minorEastAsia"/>
                <w:color w:val="5A5A5A" w:themeColor="text1" w:themeTint="A5"/>
                <w:spacing w:val="15"/>
                <w:sz w:val="20"/>
                <w:szCs w:val="20"/>
                <w:lang w:val="en-AU"/>
              </w:rPr>
            </w:pPr>
          </w:p>
          <w:p w14:paraId="4C20D476" w14:textId="77777777" w:rsidR="008F4103" w:rsidRPr="00351A46" w:rsidRDefault="008F4103" w:rsidP="00A951C4">
            <w:pPr>
              <w:rPr>
                <w:sz w:val="20"/>
                <w:szCs w:val="20"/>
                <w:lang w:val="en-AU"/>
              </w:rPr>
            </w:pPr>
            <w:r w:rsidRPr="00351A46">
              <w:rPr>
                <w:i/>
                <w:sz w:val="20"/>
                <w:szCs w:val="20"/>
                <w:lang w:val="en-AU"/>
              </w:rPr>
              <w:t xml:space="preserve">Build – </w:t>
            </w:r>
            <w:r w:rsidRPr="00351A46">
              <w:rPr>
                <w:sz w:val="20"/>
                <w:szCs w:val="20"/>
                <w:lang w:val="en-AU"/>
              </w:rPr>
              <w:t xml:space="preserve">Provide </w:t>
            </w:r>
            <w:r w:rsidRPr="00351A46">
              <w:rPr>
                <w:color w:val="000000" w:themeColor="text1"/>
                <w:sz w:val="20"/>
                <w:szCs w:val="20"/>
                <w:lang w:val="en-AU"/>
              </w:rPr>
              <w:t>funding</w:t>
            </w:r>
            <w:r w:rsidRPr="00351A46">
              <w:rPr>
                <w:sz w:val="20"/>
                <w:szCs w:val="20"/>
                <w:lang w:val="en-AU"/>
              </w:rPr>
              <w:t xml:space="preserve"> </w:t>
            </w:r>
            <w:r w:rsidRPr="00351A46">
              <w:rPr>
                <w:color w:val="000000" w:themeColor="text1"/>
                <w:sz w:val="20"/>
                <w:szCs w:val="20"/>
                <w:lang w:val="en-AU"/>
              </w:rPr>
              <w:t>and technical expertise to AAKI for organis</w:t>
            </w:r>
            <w:r w:rsidRPr="00351A46">
              <w:rPr>
                <w:sz w:val="20"/>
                <w:szCs w:val="20"/>
                <w:lang w:val="en-AU"/>
              </w:rPr>
              <w:t>ational development.</w:t>
            </w:r>
          </w:p>
        </w:tc>
        <w:tc>
          <w:tcPr>
            <w:tcW w:w="2610" w:type="dxa"/>
            <w:shd w:val="clear" w:color="auto" w:fill="FFF2CC" w:themeFill="accent4" w:themeFillTint="33"/>
          </w:tcPr>
          <w:p w14:paraId="2D51FB10" w14:textId="351C239D" w:rsidR="008F4103" w:rsidRPr="00351A46" w:rsidRDefault="008F4103" w:rsidP="00A951C4">
            <w:pPr>
              <w:rPr>
                <w:color w:val="000000" w:themeColor="text1"/>
                <w:sz w:val="20"/>
                <w:szCs w:val="20"/>
                <w:lang w:val="en-AU" w:eastAsia="en-ID"/>
              </w:rPr>
            </w:pPr>
            <w:r w:rsidRPr="00351A46">
              <w:rPr>
                <w:color w:val="000000" w:themeColor="text1"/>
                <w:sz w:val="20"/>
                <w:szCs w:val="20"/>
                <w:lang w:val="en-AU" w:eastAsia="en-ID"/>
              </w:rPr>
              <w:t>Ministerial decree on policy analyst competency standards passed</w:t>
            </w:r>
            <w:r w:rsidR="004C5427" w:rsidRPr="00351A46">
              <w:rPr>
                <w:color w:val="000000" w:themeColor="text1"/>
                <w:sz w:val="20"/>
                <w:szCs w:val="20"/>
                <w:lang w:val="en-AU" w:eastAsia="en-ID"/>
              </w:rPr>
              <w:t>.</w:t>
            </w:r>
          </w:p>
          <w:p w14:paraId="327E3BBB"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35B88524" w14:textId="138F0C30" w:rsidR="00980DE4" w:rsidRPr="00351A46" w:rsidRDefault="00980DE4" w:rsidP="00A951C4">
            <w:pPr>
              <w:rPr>
                <w:color w:val="000000" w:themeColor="text1"/>
                <w:sz w:val="20"/>
                <w:szCs w:val="20"/>
                <w:lang w:val="en-AU" w:eastAsia="en-ID"/>
              </w:rPr>
            </w:pPr>
            <w:r w:rsidRPr="00351A46">
              <w:rPr>
                <w:color w:val="000000" w:themeColor="text1"/>
                <w:sz w:val="20"/>
                <w:szCs w:val="20"/>
                <w:lang w:val="en-AU"/>
              </w:rPr>
              <w:t>National</w:t>
            </w:r>
            <w:r w:rsidRPr="00351A46">
              <w:rPr>
                <w:color w:val="000000" w:themeColor="text1"/>
                <w:sz w:val="20"/>
                <w:szCs w:val="20"/>
                <w:lang w:val="en-AU" w:eastAsia="en-ID"/>
              </w:rPr>
              <w:t xml:space="preserve"> competency standards approved.</w:t>
            </w:r>
          </w:p>
          <w:p w14:paraId="65F9B167"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2D394149" w14:textId="37179C7A" w:rsidR="008F4103" w:rsidRPr="00351A46" w:rsidRDefault="008F4103" w:rsidP="00A951C4">
            <w:pPr>
              <w:rPr>
                <w:color w:val="000000" w:themeColor="text1"/>
                <w:sz w:val="20"/>
                <w:szCs w:val="20"/>
                <w:lang w:val="en-AU" w:eastAsia="en-ID"/>
              </w:rPr>
            </w:pPr>
            <w:r w:rsidRPr="00351A46">
              <w:rPr>
                <w:color w:val="000000" w:themeColor="text1"/>
                <w:sz w:val="20"/>
                <w:szCs w:val="20"/>
                <w:lang w:val="en-AU" w:eastAsia="en-ID"/>
              </w:rPr>
              <w:t xml:space="preserve">Curriculum, syllabus and training </w:t>
            </w:r>
            <w:r w:rsidRPr="00351A46">
              <w:rPr>
                <w:color w:val="000000" w:themeColor="text1"/>
                <w:sz w:val="20"/>
                <w:szCs w:val="20"/>
                <w:lang w:val="en-AU"/>
              </w:rPr>
              <w:t>modules</w:t>
            </w:r>
            <w:r w:rsidRPr="00351A46">
              <w:rPr>
                <w:color w:val="000000" w:themeColor="text1"/>
                <w:sz w:val="20"/>
                <w:szCs w:val="20"/>
                <w:lang w:val="en-AU" w:eastAsia="en-ID"/>
              </w:rPr>
              <w:t xml:space="preserve"> for poli</w:t>
            </w:r>
            <w:r w:rsidR="00C209FC" w:rsidRPr="00351A46">
              <w:rPr>
                <w:color w:val="000000" w:themeColor="text1"/>
                <w:sz w:val="20"/>
                <w:szCs w:val="20"/>
                <w:lang w:val="en-AU" w:eastAsia="en-ID"/>
              </w:rPr>
              <w:t>cy analysts (government non-functional positions</w:t>
            </w:r>
            <w:r w:rsidRPr="00351A46">
              <w:rPr>
                <w:color w:val="000000" w:themeColor="text1"/>
                <w:sz w:val="20"/>
                <w:szCs w:val="20"/>
                <w:lang w:val="en-AU" w:eastAsia="en-ID"/>
              </w:rPr>
              <w:t xml:space="preserve"> and non-government) finalised.</w:t>
            </w:r>
          </w:p>
          <w:p w14:paraId="1FDAC8EB"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41587E56" w14:textId="275A959F" w:rsidR="008F4103" w:rsidRPr="00351A46" w:rsidRDefault="008F4103" w:rsidP="00A951C4">
            <w:pPr>
              <w:rPr>
                <w:color w:val="000000" w:themeColor="text1"/>
                <w:sz w:val="20"/>
                <w:szCs w:val="20"/>
                <w:lang w:val="en-AU" w:eastAsia="en-ID"/>
              </w:rPr>
            </w:pPr>
            <w:r w:rsidRPr="00351A46">
              <w:rPr>
                <w:color w:val="000000" w:themeColor="text1"/>
                <w:sz w:val="20"/>
                <w:szCs w:val="20"/>
                <w:lang w:val="en-AU" w:eastAsia="en-ID"/>
              </w:rPr>
              <w:t xml:space="preserve">LAN and </w:t>
            </w:r>
            <w:r w:rsidR="003B7151" w:rsidRPr="00351A46">
              <w:rPr>
                <w:color w:val="000000" w:themeColor="text1"/>
                <w:sz w:val="20"/>
                <w:szCs w:val="20"/>
                <w:lang w:val="en-AU" w:eastAsia="en-ID"/>
              </w:rPr>
              <w:t xml:space="preserve">eight </w:t>
            </w:r>
            <w:r w:rsidRPr="00351A46">
              <w:rPr>
                <w:color w:val="000000" w:themeColor="text1"/>
                <w:sz w:val="20"/>
                <w:szCs w:val="20"/>
                <w:lang w:val="en-AU" w:eastAsia="en-ID"/>
              </w:rPr>
              <w:t xml:space="preserve">universities deliver </w:t>
            </w:r>
            <w:r w:rsidRPr="00351A46">
              <w:rPr>
                <w:color w:val="000000" w:themeColor="text1"/>
                <w:sz w:val="20"/>
                <w:szCs w:val="20"/>
                <w:lang w:val="en-AU"/>
              </w:rPr>
              <w:t>training</w:t>
            </w:r>
            <w:r w:rsidRPr="00351A46">
              <w:rPr>
                <w:color w:val="000000" w:themeColor="text1"/>
                <w:sz w:val="20"/>
                <w:szCs w:val="20"/>
                <w:lang w:val="en-AU" w:eastAsia="en-ID"/>
              </w:rPr>
              <w:t xml:space="preserve"> to 260 new p</w:t>
            </w:r>
            <w:r w:rsidR="00C209FC" w:rsidRPr="00351A46">
              <w:rPr>
                <w:color w:val="000000" w:themeColor="text1"/>
                <w:sz w:val="20"/>
                <w:szCs w:val="20"/>
                <w:lang w:val="en-AU" w:eastAsia="en-ID"/>
              </w:rPr>
              <w:t xml:space="preserve">olicy </w:t>
            </w:r>
            <w:r w:rsidR="00C209FC" w:rsidRPr="00351A46">
              <w:rPr>
                <w:color w:val="000000" w:themeColor="text1"/>
                <w:sz w:val="20"/>
                <w:szCs w:val="20"/>
                <w:lang w:val="en-AU"/>
              </w:rPr>
              <w:t>analysts</w:t>
            </w:r>
            <w:r w:rsidR="00C209FC" w:rsidRPr="00351A46">
              <w:rPr>
                <w:color w:val="000000" w:themeColor="text1"/>
                <w:sz w:val="20"/>
                <w:szCs w:val="20"/>
                <w:lang w:val="en-AU" w:eastAsia="en-ID"/>
              </w:rPr>
              <w:t xml:space="preserve"> (government, functional</w:t>
            </w:r>
            <w:r w:rsidRPr="00351A46">
              <w:rPr>
                <w:color w:val="000000" w:themeColor="text1"/>
                <w:sz w:val="20"/>
                <w:szCs w:val="20"/>
                <w:lang w:val="en-AU" w:eastAsia="en-ID"/>
              </w:rPr>
              <w:t>)</w:t>
            </w:r>
            <w:r w:rsidR="003B7151" w:rsidRPr="00351A46">
              <w:rPr>
                <w:color w:val="000000" w:themeColor="text1"/>
                <w:sz w:val="20"/>
                <w:szCs w:val="20"/>
                <w:lang w:val="en-AU" w:eastAsia="en-ID"/>
              </w:rPr>
              <w:t>.</w:t>
            </w:r>
          </w:p>
          <w:p w14:paraId="592ABBB8"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6857EC90" w14:textId="530624CE" w:rsidR="008F4103" w:rsidRPr="00351A46" w:rsidRDefault="008F4103" w:rsidP="00A951C4">
            <w:pPr>
              <w:rPr>
                <w:color w:val="000000" w:themeColor="text1"/>
                <w:sz w:val="20"/>
                <w:szCs w:val="20"/>
                <w:lang w:val="en-AU" w:eastAsia="en-ID"/>
              </w:rPr>
            </w:pPr>
            <w:r w:rsidRPr="00351A46">
              <w:rPr>
                <w:color w:val="000000" w:themeColor="text1"/>
                <w:sz w:val="20"/>
                <w:szCs w:val="20"/>
                <w:lang w:val="en-AU" w:eastAsia="en-ID"/>
              </w:rPr>
              <w:t xml:space="preserve">LAN’s IKK </w:t>
            </w:r>
            <w:r w:rsidR="00CF4207" w:rsidRPr="00351A46">
              <w:rPr>
                <w:color w:val="000000" w:themeColor="text1"/>
                <w:sz w:val="20"/>
                <w:szCs w:val="20"/>
                <w:lang w:val="en-AU" w:eastAsia="en-ID"/>
              </w:rPr>
              <w:t>c</w:t>
            </w:r>
            <w:r w:rsidRPr="00351A46">
              <w:rPr>
                <w:color w:val="000000" w:themeColor="text1"/>
                <w:sz w:val="20"/>
                <w:szCs w:val="20"/>
                <w:lang w:val="en-AU" w:eastAsia="en-ID"/>
              </w:rPr>
              <w:t xml:space="preserve">onference attracts good media attention and attendance from </w:t>
            </w:r>
            <w:r w:rsidRPr="00351A46">
              <w:rPr>
                <w:color w:val="000000" w:themeColor="text1"/>
                <w:sz w:val="20"/>
                <w:szCs w:val="20"/>
                <w:lang w:val="en-AU"/>
              </w:rPr>
              <w:t>policymakers</w:t>
            </w:r>
            <w:r w:rsidRPr="00351A46">
              <w:rPr>
                <w:color w:val="000000" w:themeColor="text1"/>
                <w:sz w:val="20"/>
                <w:szCs w:val="20"/>
                <w:lang w:val="en-AU" w:eastAsia="en-ID"/>
              </w:rPr>
              <w:t>, policy analysts and researchers</w:t>
            </w:r>
            <w:r w:rsidR="003B7151" w:rsidRPr="00351A46">
              <w:rPr>
                <w:color w:val="000000" w:themeColor="text1"/>
                <w:sz w:val="20"/>
                <w:szCs w:val="20"/>
                <w:lang w:val="en-AU" w:eastAsia="en-ID"/>
              </w:rPr>
              <w:t>.</w:t>
            </w:r>
          </w:p>
          <w:p w14:paraId="0C8E3958"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7DE4E38F" w14:textId="0CC18EE2" w:rsidR="008F4103" w:rsidRPr="00351A46" w:rsidRDefault="008F4103" w:rsidP="00A951C4">
            <w:pPr>
              <w:rPr>
                <w:color w:val="000000" w:themeColor="text1"/>
                <w:sz w:val="20"/>
                <w:szCs w:val="20"/>
                <w:lang w:val="en-AU" w:eastAsia="en-ID"/>
              </w:rPr>
            </w:pPr>
            <w:r w:rsidRPr="00351A46">
              <w:rPr>
                <w:color w:val="000000" w:themeColor="text1"/>
                <w:sz w:val="20"/>
                <w:szCs w:val="20"/>
                <w:lang w:val="en-AU" w:eastAsia="en-ID"/>
              </w:rPr>
              <w:t xml:space="preserve">GESI </w:t>
            </w:r>
            <w:r w:rsidRPr="00351A46">
              <w:rPr>
                <w:color w:val="000000" w:themeColor="text1"/>
                <w:sz w:val="20"/>
                <w:szCs w:val="20"/>
                <w:lang w:val="en-AU"/>
              </w:rPr>
              <w:t>perspectives</w:t>
            </w:r>
            <w:r w:rsidRPr="00351A46">
              <w:rPr>
                <w:color w:val="000000" w:themeColor="text1"/>
                <w:sz w:val="20"/>
                <w:szCs w:val="20"/>
                <w:lang w:val="en-AU" w:eastAsia="en-ID"/>
              </w:rPr>
              <w:t xml:space="preserve"> incorporated into LAN’s Policy Quality Index</w:t>
            </w:r>
            <w:r w:rsidR="003B7151" w:rsidRPr="00351A46">
              <w:rPr>
                <w:color w:val="000000" w:themeColor="text1"/>
                <w:sz w:val="20"/>
                <w:szCs w:val="20"/>
                <w:lang w:val="en-AU" w:eastAsia="en-ID"/>
              </w:rPr>
              <w:t>.</w:t>
            </w:r>
          </w:p>
          <w:p w14:paraId="2F52EF70"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44DC936A" w14:textId="1BB87528" w:rsidR="008F4103" w:rsidRPr="00351A46" w:rsidRDefault="008F4103" w:rsidP="00A951C4">
            <w:pPr>
              <w:rPr>
                <w:color w:val="000000" w:themeColor="text1"/>
                <w:sz w:val="20"/>
                <w:szCs w:val="20"/>
                <w:lang w:val="en-AU" w:eastAsia="en-ID"/>
              </w:rPr>
            </w:pPr>
            <w:r w:rsidRPr="00351A46">
              <w:rPr>
                <w:color w:val="000000" w:themeColor="text1"/>
                <w:sz w:val="20"/>
                <w:szCs w:val="20"/>
                <w:lang w:val="en-AU" w:eastAsia="en-ID"/>
              </w:rPr>
              <w:t xml:space="preserve">LAN/AAKI online platform established and being used to store knowledge and for interaction between policy analysts, </w:t>
            </w:r>
            <w:r w:rsidR="0085747B" w:rsidRPr="00351A46">
              <w:rPr>
                <w:color w:val="000000" w:themeColor="text1"/>
                <w:sz w:val="20"/>
                <w:szCs w:val="20"/>
                <w:lang w:val="en-AU" w:eastAsia="en-ID"/>
              </w:rPr>
              <w:t>policymak</w:t>
            </w:r>
            <w:r w:rsidRPr="00351A46">
              <w:rPr>
                <w:color w:val="000000" w:themeColor="text1"/>
                <w:sz w:val="20"/>
                <w:szCs w:val="20"/>
                <w:lang w:val="en-AU" w:eastAsia="en-ID"/>
              </w:rPr>
              <w:t xml:space="preserve">ers and </w:t>
            </w:r>
            <w:r w:rsidRPr="00351A46">
              <w:rPr>
                <w:color w:val="000000" w:themeColor="text1"/>
                <w:sz w:val="20"/>
                <w:szCs w:val="20"/>
                <w:lang w:val="en-AU"/>
              </w:rPr>
              <w:t>researchers</w:t>
            </w:r>
            <w:r w:rsidRPr="00351A46">
              <w:rPr>
                <w:color w:val="000000" w:themeColor="text1"/>
                <w:sz w:val="20"/>
                <w:szCs w:val="20"/>
                <w:lang w:val="en-AU" w:eastAsia="en-ID"/>
              </w:rPr>
              <w:t>.</w:t>
            </w:r>
          </w:p>
          <w:p w14:paraId="0E732E5D"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73C66D6A" w14:textId="1E606E3A" w:rsidR="00DE315A" w:rsidRPr="00351A46" w:rsidRDefault="008F4103" w:rsidP="00A951C4">
            <w:pPr>
              <w:rPr>
                <w:color w:val="000000" w:themeColor="text1"/>
                <w:sz w:val="20"/>
                <w:szCs w:val="20"/>
                <w:lang w:val="en-AU" w:eastAsia="en-ID"/>
              </w:rPr>
            </w:pPr>
            <w:r w:rsidRPr="00351A46">
              <w:rPr>
                <w:color w:val="000000" w:themeColor="text1"/>
                <w:sz w:val="20"/>
                <w:szCs w:val="20"/>
                <w:lang w:val="en-AU" w:eastAsia="en-ID"/>
              </w:rPr>
              <w:t>Training module for Echelon</w:t>
            </w:r>
            <w:r w:rsidR="003B7151" w:rsidRPr="00351A46">
              <w:rPr>
                <w:color w:val="000000" w:themeColor="text1"/>
                <w:sz w:val="20"/>
                <w:szCs w:val="20"/>
                <w:lang w:val="en-AU" w:eastAsia="en-ID"/>
              </w:rPr>
              <w:t>s</w:t>
            </w:r>
            <w:r w:rsidRPr="00351A46">
              <w:rPr>
                <w:color w:val="000000" w:themeColor="text1"/>
                <w:sz w:val="20"/>
                <w:szCs w:val="20"/>
                <w:lang w:val="en-AU" w:eastAsia="en-ID"/>
              </w:rPr>
              <w:t xml:space="preserve"> 1 and 2 finalised and being </w:t>
            </w:r>
            <w:r w:rsidRPr="00351A46">
              <w:rPr>
                <w:color w:val="000000" w:themeColor="text1"/>
                <w:sz w:val="20"/>
                <w:szCs w:val="20"/>
                <w:lang w:val="en-AU"/>
              </w:rPr>
              <w:t>trialled</w:t>
            </w:r>
            <w:r w:rsidRPr="00351A46">
              <w:rPr>
                <w:color w:val="000000" w:themeColor="text1"/>
                <w:sz w:val="20"/>
                <w:szCs w:val="20"/>
                <w:lang w:val="en-AU" w:eastAsia="en-ID"/>
              </w:rPr>
              <w:t xml:space="preserve"> in Ministry of Health.</w:t>
            </w:r>
          </w:p>
          <w:p w14:paraId="74715E24" w14:textId="77777777" w:rsidR="00DE315A" w:rsidRPr="00381388" w:rsidRDefault="00DE315A" w:rsidP="00A951C4">
            <w:pPr>
              <w:numPr>
                <w:ilvl w:val="1"/>
                <w:numId w:val="0"/>
              </w:numPr>
              <w:rPr>
                <w:rFonts w:eastAsiaTheme="minorEastAsia"/>
                <w:color w:val="000000" w:themeColor="text1"/>
                <w:spacing w:val="15"/>
                <w:sz w:val="20"/>
                <w:szCs w:val="20"/>
                <w:lang w:val="en-AU" w:eastAsia="en-ID"/>
              </w:rPr>
            </w:pPr>
          </w:p>
          <w:p w14:paraId="13793025" w14:textId="700B1E63" w:rsidR="008F4103" w:rsidRPr="00351A46" w:rsidRDefault="008F4103" w:rsidP="00A951C4">
            <w:pPr>
              <w:rPr>
                <w:color w:val="000000" w:themeColor="text1"/>
                <w:sz w:val="20"/>
                <w:szCs w:val="20"/>
                <w:lang w:val="en-AU" w:eastAsia="en-ID"/>
              </w:rPr>
            </w:pPr>
            <w:r w:rsidRPr="00351A46">
              <w:rPr>
                <w:color w:val="000000" w:themeColor="text1"/>
                <w:sz w:val="20"/>
                <w:szCs w:val="20"/>
                <w:lang w:val="en-AU" w:eastAsia="en-ID"/>
              </w:rPr>
              <w:t xml:space="preserve">AAKI has </w:t>
            </w:r>
            <w:r w:rsidR="003B7151" w:rsidRPr="00351A46">
              <w:rPr>
                <w:color w:val="000000" w:themeColor="text1"/>
                <w:sz w:val="20"/>
                <w:szCs w:val="20"/>
                <w:lang w:val="en-AU" w:eastAsia="en-ID"/>
              </w:rPr>
              <w:t>s</w:t>
            </w:r>
            <w:r w:rsidRPr="00351A46">
              <w:rPr>
                <w:color w:val="000000" w:themeColor="text1"/>
                <w:sz w:val="20"/>
                <w:szCs w:val="20"/>
                <w:lang w:val="en-AU" w:eastAsia="en-ID"/>
              </w:rPr>
              <w:t>ecretariat, strategic plan, annual work</w:t>
            </w:r>
            <w:r w:rsidR="003B7151" w:rsidRPr="00351A46">
              <w:rPr>
                <w:color w:val="000000" w:themeColor="text1"/>
                <w:sz w:val="20"/>
                <w:szCs w:val="20"/>
                <w:lang w:val="en-AU" w:eastAsia="en-ID"/>
              </w:rPr>
              <w:t xml:space="preserve"> </w:t>
            </w:r>
            <w:r w:rsidRPr="00351A46">
              <w:rPr>
                <w:color w:val="000000" w:themeColor="text1"/>
                <w:sz w:val="20"/>
                <w:szCs w:val="20"/>
                <w:lang w:val="en-AU" w:eastAsia="en-ID"/>
              </w:rPr>
              <w:t xml:space="preserve">plan, </w:t>
            </w:r>
            <w:r w:rsidR="003B7151" w:rsidRPr="00351A46">
              <w:rPr>
                <w:color w:val="000000" w:themeColor="text1"/>
                <w:sz w:val="20"/>
                <w:szCs w:val="20"/>
                <w:lang w:val="en-AU" w:eastAsia="en-ID"/>
              </w:rPr>
              <w:t>standard operating procedures</w:t>
            </w:r>
            <w:r w:rsidRPr="00351A46">
              <w:rPr>
                <w:color w:val="000000" w:themeColor="text1"/>
                <w:sz w:val="20"/>
                <w:szCs w:val="20"/>
                <w:lang w:val="en-AU" w:eastAsia="en-ID"/>
              </w:rPr>
              <w:t xml:space="preserve">, financial </w:t>
            </w:r>
            <w:r w:rsidRPr="00351A46">
              <w:rPr>
                <w:color w:val="000000" w:themeColor="text1"/>
                <w:sz w:val="20"/>
                <w:szCs w:val="20"/>
                <w:lang w:val="en-AU"/>
              </w:rPr>
              <w:t>management</w:t>
            </w:r>
            <w:r w:rsidRPr="00351A46">
              <w:rPr>
                <w:color w:val="000000" w:themeColor="text1"/>
                <w:sz w:val="20"/>
                <w:szCs w:val="20"/>
                <w:lang w:val="en-AU" w:eastAsia="en-ID"/>
              </w:rPr>
              <w:t xml:space="preserve"> and procurement systems</w:t>
            </w:r>
            <w:r w:rsidR="003B7151" w:rsidRPr="00351A46">
              <w:rPr>
                <w:color w:val="000000" w:themeColor="text1"/>
                <w:sz w:val="20"/>
                <w:szCs w:val="20"/>
                <w:lang w:val="en-AU" w:eastAsia="en-ID"/>
              </w:rPr>
              <w:t>,</w:t>
            </w:r>
            <w:r w:rsidRPr="00351A46">
              <w:rPr>
                <w:color w:val="000000" w:themeColor="text1"/>
                <w:sz w:val="20"/>
                <w:szCs w:val="20"/>
                <w:lang w:val="en-AU" w:eastAsia="en-ID"/>
              </w:rPr>
              <w:t xml:space="preserve"> and community strategy in place</w:t>
            </w:r>
            <w:r w:rsidR="003B7151" w:rsidRPr="00351A46">
              <w:rPr>
                <w:color w:val="000000" w:themeColor="text1"/>
                <w:sz w:val="20"/>
                <w:szCs w:val="20"/>
                <w:lang w:val="en-AU" w:eastAsia="en-ID"/>
              </w:rPr>
              <w:t>,</w:t>
            </w:r>
            <w:r w:rsidRPr="00351A46">
              <w:rPr>
                <w:color w:val="000000" w:themeColor="text1"/>
                <w:sz w:val="20"/>
                <w:szCs w:val="20"/>
                <w:lang w:val="en-AU" w:eastAsia="en-ID"/>
              </w:rPr>
              <w:t xml:space="preserve"> and these are starting to be implemented. AAKI is officially declared </w:t>
            </w:r>
            <w:r w:rsidR="003B7151" w:rsidRPr="00351A46">
              <w:rPr>
                <w:color w:val="000000" w:themeColor="text1"/>
                <w:sz w:val="20"/>
                <w:szCs w:val="20"/>
                <w:lang w:val="en-AU" w:eastAsia="en-ID"/>
              </w:rPr>
              <w:t xml:space="preserve">the </w:t>
            </w:r>
            <w:r w:rsidRPr="00351A46">
              <w:rPr>
                <w:color w:val="000000" w:themeColor="text1"/>
                <w:sz w:val="20"/>
                <w:szCs w:val="20"/>
                <w:lang w:val="en-AU" w:eastAsia="en-ID"/>
              </w:rPr>
              <w:t xml:space="preserve">certification body for policy analysts, creating a new source of revenue. </w:t>
            </w:r>
          </w:p>
        </w:tc>
      </w:tr>
    </w:tbl>
    <w:p w14:paraId="48C9412C" w14:textId="77777777" w:rsidR="005A2BD9" w:rsidRPr="00351A46" w:rsidRDefault="005A2BD9">
      <w:pPr>
        <w:pStyle w:val="Heading4"/>
        <w:rPr>
          <w:lang w:val="en-AU"/>
        </w:rPr>
        <w:sectPr w:rsidR="005A2BD9" w:rsidRPr="00351A46" w:rsidSect="005A2BD9">
          <w:pgSz w:w="11900" w:h="16850"/>
          <w:pgMar w:top="720" w:right="720" w:bottom="720" w:left="720" w:header="758" w:footer="0" w:gutter="0"/>
          <w:cols w:space="720"/>
          <w:docGrid w:linePitch="299"/>
        </w:sectPr>
      </w:pPr>
    </w:p>
    <w:p w14:paraId="037A5A70" w14:textId="1BBCAF1B" w:rsidR="004C29DD" w:rsidRPr="00351A46" w:rsidRDefault="004C29DD">
      <w:pPr>
        <w:pStyle w:val="Heading4"/>
        <w:rPr>
          <w:lang w:val="en-AU"/>
        </w:rPr>
      </w:pPr>
      <w:r w:rsidRPr="00351A46">
        <w:rPr>
          <w:lang w:val="en-AU"/>
        </w:rPr>
        <w:t xml:space="preserve">EOPO 4: Quality data on </w:t>
      </w:r>
      <w:r w:rsidR="004E462F" w:rsidRPr="00351A46">
        <w:rPr>
          <w:lang w:val="en-AU"/>
        </w:rPr>
        <w:t xml:space="preserve">development planning, budgeting and performance is available and accessible in a single system </w:t>
      </w:r>
    </w:p>
    <w:p w14:paraId="07EC1BA9" w14:textId="77777777" w:rsidR="004C29DD" w:rsidRPr="00A951C4" w:rsidRDefault="004C29DD" w:rsidP="00B3138C">
      <w:pPr>
        <w:spacing w:after="0"/>
        <w:rPr>
          <w:sz w:val="12"/>
          <w:lang w:val="en-AU"/>
        </w:rPr>
      </w:pPr>
    </w:p>
    <w:p w14:paraId="63CCAF33" w14:textId="58E4586C" w:rsidR="00C541BB" w:rsidRPr="00351A46" w:rsidRDefault="004C29DD">
      <w:pPr>
        <w:jc w:val="both"/>
        <w:rPr>
          <w:lang w:val="en-AU"/>
        </w:rPr>
      </w:pPr>
      <w:r w:rsidRPr="00351A46">
        <w:rPr>
          <w:lang w:val="en-AU"/>
        </w:rPr>
        <w:t xml:space="preserve">It has been difficult to evaluate the effectiveness of development </w:t>
      </w:r>
      <w:r w:rsidR="008C3312" w:rsidRPr="00351A46">
        <w:rPr>
          <w:lang w:val="en-AU"/>
        </w:rPr>
        <w:t>program</w:t>
      </w:r>
      <w:r w:rsidR="00B516F3" w:rsidRPr="00351A46">
        <w:rPr>
          <w:lang w:val="en-AU"/>
        </w:rPr>
        <w:t>s</w:t>
      </w:r>
      <w:r w:rsidRPr="00351A46">
        <w:rPr>
          <w:lang w:val="en-AU"/>
        </w:rPr>
        <w:t xml:space="preserve"> </w:t>
      </w:r>
      <w:r w:rsidR="00B516F3" w:rsidRPr="00351A46">
        <w:rPr>
          <w:lang w:val="en-AU"/>
        </w:rPr>
        <w:t xml:space="preserve">as </w:t>
      </w:r>
      <w:r w:rsidRPr="00351A46">
        <w:rPr>
          <w:lang w:val="en-AU"/>
        </w:rPr>
        <w:t xml:space="preserve">it is not always clear what has been funded and why. Annual development plans and budgets (at national and sub-national levels) often do not match up. Previously, </w:t>
      </w:r>
      <w:r w:rsidR="00B516F3" w:rsidRPr="00351A46">
        <w:rPr>
          <w:lang w:val="en-AU"/>
        </w:rPr>
        <w:t xml:space="preserve">line ministries </w:t>
      </w:r>
      <w:r w:rsidRPr="00351A46">
        <w:rPr>
          <w:lang w:val="en-AU"/>
        </w:rPr>
        <w:t xml:space="preserve">manually submitted plans to Bappenas and budgets to Kemenkeu for approval, but there was no way for either agency to view and ensure alignment between plans and budgets. Without a system to properly link development planning and budgeting, it is impossible to effectively monitor and evaluate development </w:t>
      </w:r>
      <w:r w:rsidR="008C3312" w:rsidRPr="00351A46">
        <w:rPr>
          <w:lang w:val="en-AU"/>
        </w:rPr>
        <w:t>program</w:t>
      </w:r>
      <w:r w:rsidR="00B516F3" w:rsidRPr="00351A46">
        <w:rPr>
          <w:lang w:val="en-AU"/>
        </w:rPr>
        <w:t>s</w:t>
      </w:r>
      <w:r w:rsidRPr="00351A46">
        <w:rPr>
          <w:lang w:val="en-AU"/>
        </w:rPr>
        <w:t xml:space="preserve"> and use this data to inform planning and budgeting decisions. Further, while monitoring and evaluation of development planning, budgeting and </w:t>
      </w:r>
      <w:r w:rsidR="008C3312" w:rsidRPr="00351A46">
        <w:rPr>
          <w:lang w:val="en-AU"/>
        </w:rPr>
        <w:t>program</w:t>
      </w:r>
      <w:r w:rsidR="00D0604A" w:rsidRPr="00351A46">
        <w:rPr>
          <w:lang w:val="en-AU"/>
        </w:rPr>
        <w:t xml:space="preserve"> </w:t>
      </w:r>
      <w:r w:rsidRPr="00351A46">
        <w:rPr>
          <w:lang w:val="en-AU"/>
        </w:rPr>
        <w:t>performance exist, the</w:t>
      </w:r>
      <w:r w:rsidR="00B516F3" w:rsidRPr="00351A46">
        <w:rPr>
          <w:lang w:val="en-AU"/>
        </w:rPr>
        <w:t>y</w:t>
      </w:r>
      <w:r w:rsidRPr="00351A46">
        <w:rPr>
          <w:lang w:val="en-AU"/>
        </w:rPr>
        <w:t xml:space="preserve"> are not always good quality (including insufficient gender disaggregated data) and are rarely used to inform decisions to better achieve national development targets. Finally, data is not systematically shared within government agencies, between government agencies or between national and sub-national governments</w:t>
      </w:r>
      <w:r w:rsidR="00B516F3" w:rsidRPr="00351A46">
        <w:rPr>
          <w:lang w:val="en-AU"/>
        </w:rPr>
        <w:t>,</w:t>
      </w:r>
      <w:r w:rsidRPr="00351A46">
        <w:rPr>
          <w:lang w:val="en-AU"/>
        </w:rPr>
        <w:t xml:space="preserve"> and there is limited public access to government information.</w:t>
      </w:r>
    </w:p>
    <w:p w14:paraId="67C7E8A0" w14:textId="6C2A5F99" w:rsidR="00793C9E" w:rsidRPr="00351A46" w:rsidRDefault="00793C9E">
      <w:pPr>
        <w:jc w:val="both"/>
        <w:rPr>
          <w:lang w:val="en-AU"/>
        </w:rPr>
      </w:pPr>
      <w:r w:rsidRPr="00351A46">
        <w:rPr>
          <w:lang w:val="en-AU"/>
        </w:rPr>
        <w:t xml:space="preserve">EOPO 4 seeks to address these issues by supporting the development and implementation of a sustainable system </w:t>
      </w:r>
      <w:r w:rsidR="00996AB5" w:rsidRPr="00351A46">
        <w:rPr>
          <w:lang w:val="en-AU"/>
        </w:rPr>
        <w:t>(</w:t>
      </w:r>
      <w:r w:rsidR="00DB50D3" w:rsidRPr="00A951C4">
        <w:rPr>
          <w:i/>
          <w:lang w:val="en-AU"/>
        </w:rPr>
        <w:t>Kolaborasi Perencanaan dan Informasi Kinerja Anggaran</w:t>
      </w:r>
      <w:r w:rsidR="00DB50D3" w:rsidRPr="00351A46">
        <w:rPr>
          <w:lang w:val="en-AU"/>
        </w:rPr>
        <w:t xml:space="preserve"> or </w:t>
      </w:r>
      <w:r w:rsidR="00996AB5" w:rsidRPr="00351A46">
        <w:rPr>
          <w:lang w:val="en-AU"/>
        </w:rPr>
        <w:t xml:space="preserve">KRISNA) </w:t>
      </w:r>
      <w:r w:rsidRPr="00351A46">
        <w:rPr>
          <w:lang w:val="en-AU"/>
        </w:rPr>
        <w:t>to capture development planning, budgeting and performance data in one spot. This will enable better alignment between plans and budgets. Making this data more available and accessible across government</w:t>
      </w:r>
      <w:r w:rsidR="002E6CCC" w:rsidRPr="00351A46">
        <w:rPr>
          <w:lang w:val="en-AU"/>
        </w:rPr>
        <w:t xml:space="preserve"> will </w:t>
      </w:r>
      <w:r w:rsidR="006C5545" w:rsidRPr="00351A46">
        <w:rPr>
          <w:lang w:val="en-AU"/>
        </w:rPr>
        <w:t>enable</w:t>
      </w:r>
      <w:r w:rsidRPr="00351A46">
        <w:rPr>
          <w:lang w:val="en-AU"/>
        </w:rPr>
        <w:t xml:space="preserve"> better monitoring and evaluation of development planning, budgeting and implementation</w:t>
      </w:r>
      <w:r w:rsidR="006C5545" w:rsidRPr="00351A46">
        <w:rPr>
          <w:lang w:val="en-AU"/>
        </w:rPr>
        <w:t xml:space="preserve">. It also provides </w:t>
      </w:r>
      <w:r w:rsidR="009A5902">
        <w:rPr>
          <w:lang w:val="en-AU"/>
        </w:rPr>
        <w:t xml:space="preserve">the </w:t>
      </w:r>
      <w:r w:rsidR="006C5545" w:rsidRPr="00351A46">
        <w:rPr>
          <w:lang w:val="en-AU"/>
        </w:rPr>
        <w:t xml:space="preserve">potential for a </w:t>
      </w:r>
      <w:r w:rsidRPr="00351A46">
        <w:rPr>
          <w:lang w:val="en-AU"/>
        </w:rPr>
        <w:t xml:space="preserve">range of analysis that can be used to inform </w:t>
      </w:r>
      <w:r w:rsidR="006C5545" w:rsidRPr="00351A46">
        <w:rPr>
          <w:lang w:val="en-AU"/>
        </w:rPr>
        <w:t xml:space="preserve">development policy, planning and budgeting. </w:t>
      </w:r>
      <w:r w:rsidR="007A3887" w:rsidRPr="00351A46">
        <w:rPr>
          <w:lang w:val="en-AU"/>
        </w:rPr>
        <w:t xml:space="preserve">Over time, this will lead to more effective and efficient development spending. </w:t>
      </w:r>
    </w:p>
    <w:p w14:paraId="2C0248AD" w14:textId="1C4C55C1" w:rsidR="00025649" w:rsidRPr="00351A46" w:rsidRDefault="004C29DD">
      <w:pPr>
        <w:jc w:val="both"/>
        <w:rPr>
          <w:lang w:val="en-AU"/>
        </w:rPr>
      </w:pPr>
      <w:r w:rsidRPr="00351A46">
        <w:rPr>
          <w:lang w:val="en-AU"/>
        </w:rPr>
        <w:t>KSI will initially contribute to EOPO 4 through</w:t>
      </w:r>
      <w:r w:rsidR="00195903" w:rsidRPr="00351A46">
        <w:rPr>
          <w:lang w:val="en-AU"/>
        </w:rPr>
        <w:t>:</w:t>
      </w:r>
      <w:r w:rsidRPr="00351A46">
        <w:rPr>
          <w:lang w:val="en-AU"/>
        </w:rPr>
        <w:t xml:space="preserve"> </w:t>
      </w:r>
    </w:p>
    <w:p w14:paraId="646BACBF" w14:textId="19C6F0A9" w:rsidR="00025649" w:rsidRPr="00351A46" w:rsidRDefault="00025649">
      <w:pPr>
        <w:jc w:val="both"/>
        <w:rPr>
          <w:i/>
          <w:lang w:val="en-AU"/>
        </w:rPr>
      </w:pPr>
      <w:r w:rsidRPr="00351A46">
        <w:rPr>
          <w:i/>
          <w:lang w:val="en-AU"/>
        </w:rPr>
        <w:t>K</w:t>
      </w:r>
      <w:r w:rsidR="00E5110F" w:rsidRPr="00351A46">
        <w:rPr>
          <w:i/>
          <w:lang w:val="en-AU"/>
        </w:rPr>
        <w:t xml:space="preserve">ey </w:t>
      </w:r>
      <w:r w:rsidR="000525C6" w:rsidRPr="00351A46">
        <w:rPr>
          <w:i/>
          <w:lang w:val="en-AU"/>
        </w:rPr>
        <w:t xml:space="preserve">Initiative </w:t>
      </w:r>
      <w:r w:rsidRPr="00351A46">
        <w:rPr>
          <w:i/>
          <w:lang w:val="en-AU"/>
        </w:rPr>
        <w:t>7</w:t>
      </w:r>
      <w:r w:rsidR="004C29DD" w:rsidRPr="00351A46">
        <w:rPr>
          <w:i/>
          <w:lang w:val="en-AU"/>
        </w:rPr>
        <w:t>: KRISNA</w:t>
      </w:r>
    </w:p>
    <w:p w14:paraId="3CE8FC1D" w14:textId="70945FAC" w:rsidR="00793C9E" w:rsidRPr="00351A46" w:rsidRDefault="004C29DD">
      <w:pPr>
        <w:jc w:val="both"/>
        <w:rPr>
          <w:color w:val="000000" w:themeColor="text1"/>
          <w:lang w:val="en-AU"/>
        </w:rPr>
      </w:pPr>
      <w:r w:rsidRPr="00351A46">
        <w:rPr>
          <w:lang w:val="en-AU"/>
        </w:rPr>
        <w:t>This work supports a</w:t>
      </w:r>
      <w:r w:rsidRPr="00351A46">
        <w:rPr>
          <w:color w:val="000000" w:themeColor="text1"/>
          <w:lang w:val="en-AU"/>
        </w:rPr>
        <w:t xml:space="preserve"> real-time, online system to capture and integrate data on planning, budgeting and monitoring and evaluation of development </w:t>
      </w:r>
      <w:r w:rsidR="008C3312" w:rsidRPr="00351A46">
        <w:rPr>
          <w:color w:val="000000" w:themeColor="text1"/>
          <w:lang w:val="en-AU"/>
        </w:rPr>
        <w:t>program</w:t>
      </w:r>
      <w:r w:rsidR="00B516F3" w:rsidRPr="00351A46">
        <w:rPr>
          <w:color w:val="000000" w:themeColor="text1"/>
          <w:lang w:val="en-AU"/>
        </w:rPr>
        <w:t>s</w:t>
      </w:r>
      <w:r w:rsidRPr="00351A46">
        <w:rPr>
          <w:color w:val="000000" w:themeColor="text1"/>
          <w:lang w:val="en-AU"/>
        </w:rPr>
        <w:t xml:space="preserve"> at national and sub-national levels. KSI Phase 1 supported </w:t>
      </w:r>
      <w:r w:rsidR="007349F3" w:rsidRPr="00351A46">
        <w:rPr>
          <w:color w:val="000000" w:themeColor="text1"/>
          <w:lang w:val="en-AU"/>
        </w:rPr>
        <w:t xml:space="preserve">the </w:t>
      </w:r>
      <w:r w:rsidRPr="00351A46">
        <w:rPr>
          <w:color w:val="000000" w:themeColor="text1"/>
          <w:lang w:val="en-AU"/>
        </w:rPr>
        <w:t>development of KRISNA for integrating data on single</w:t>
      </w:r>
      <w:r w:rsidR="007349F3" w:rsidRPr="00351A46">
        <w:rPr>
          <w:color w:val="000000" w:themeColor="text1"/>
          <w:lang w:val="en-AU"/>
        </w:rPr>
        <w:t>-</w:t>
      </w:r>
      <w:r w:rsidRPr="00351A46">
        <w:rPr>
          <w:color w:val="000000" w:themeColor="text1"/>
          <w:lang w:val="en-AU"/>
        </w:rPr>
        <w:t xml:space="preserve">year planning and budgeting for </w:t>
      </w:r>
      <w:r w:rsidR="000525C6">
        <w:rPr>
          <w:color w:val="000000" w:themeColor="text1"/>
          <w:lang w:val="en-AU"/>
        </w:rPr>
        <w:t xml:space="preserve">the </w:t>
      </w:r>
      <w:r w:rsidRPr="00351A46">
        <w:rPr>
          <w:color w:val="000000" w:themeColor="text1"/>
          <w:lang w:val="en-AU"/>
        </w:rPr>
        <w:t xml:space="preserve">national government. Building on this, KRISNA will be expanded to include national multi-year planning and budgeting and local government planning and budgeting for DAK funding. Opportunities will be sought to integrate </w:t>
      </w:r>
      <w:r w:rsidR="007349F3" w:rsidRPr="00351A46">
        <w:rPr>
          <w:color w:val="000000" w:themeColor="text1"/>
          <w:lang w:val="en-AU"/>
        </w:rPr>
        <w:t xml:space="preserve">monitoring and evaluation </w:t>
      </w:r>
      <w:r w:rsidRPr="00351A46">
        <w:rPr>
          <w:color w:val="000000" w:themeColor="text1"/>
          <w:lang w:val="en-AU"/>
        </w:rPr>
        <w:t xml:space="preserve">data into KRISNA and improve </w:t>
      </w:r>
      <w:r w:rsidR="007349F3" w:rsidRPr="00351A46">
        <w:rPr>
          <w:color w:val="000000" w:themeColor="text1"/>
          <w:lang w:val="en-AU"/>
        </w:rPr>
        <w:t xml:space="preserve">monitoring and evaluation </w:t>
      </w:r>
      <w:r w:rsidRPr="00351A46">
        <w:rPr>
          <w:color w:val="000000" w:themeColor="text1"/>
          <w:lang w:val="en-AU"/>
        </w:rPr>
        <w:t xml:space="preserve">quality in selected agencies or </w:t>
      </w:r>
      <w:r w:rsidR="007349F3" w:rsidRPr="00351A46">
        <w:rPr>
          <w:color w:val="000000" w:themeColor="text1"/>
          <w:lang w:val="en-AU"/>
        </w:rPr>
        <w:t>d</w:t>
      </w:r>
      <w:r w:rsidRPr="00351A46">
        <w:rPr>
          <w:color w:val="000000" w:themeColor="text1"/>
          <w:lang w:val="en-AU"/>
        </w:rPr>
        <w:t>irectorates.</w:t>
      </w:r>
      <w:r w:rsidR="007579E3" w:rsidRPr="00351A46">
        <w:rPr>
          <w:color w:val="000000" w:themeColor="text1"/>
          <w:lang w:val="en-AU"/>
        </w:rPr>
        <w:t xml:space="preserve"> </w:t>
      </w:r>
      <w:r w:rsidR="00F157CA" w:rsidRPr="00351A46">
        <w:rPr>
          <w:color w:val="000000" w:themeColor="text1"/>
          <w:lang w:val="en-AU"/>
        </w:rPr>
        <w:t xml:space="preserve">Over time, </w:t>
      </w:r>
      <w:r w:rsidR="00B475F8" w:rsidRPr="00351A46">
        <w:rPr>
          <w:color w:val="000000" w:themeColor="text1"/>
          <w:lang w:val="en-AU"/>
        </w:rPr>
        <w:t>KRISNA will also link</w:t>
      </w:r>
      <w:r w:rsidR="005B68E0" w:rsidRPr="00351A46">
        <w:rPr>
          <w:color w:val="000000" w:themeColor="text1"/>
          <w:lang w:val="en-AU"/>
        </w:rPr>
        <w:t xml:space="preserve"> to </w:t>
      </w:r>
      <w:r w:rsidR="007349F3" w:rsidRPr="00351A46">
        <w:rPr>
          <w:color w:val="000000" w:themeColor="text1"/>
          <w:lang w:val="en-AU"/>
        </w:rPr>
        <w:t xml:space="preserve">the </w:t>
      </w:r>
      <w:r w:rsidR="005B68E0" w:rsidRPr="00351A46">
        <w:rPr>
          <w:color w:val="000000" w:themeColor="text1"/>
          <w:lang w:val="en-AU"/>
        </w:rPr>
        <w:t>Bappenas</w:t>
      </w:r>
      <w:r w:rsidR="007349F3" w:rsidRPr="00351A46">
        <w:rPr>
          <w:color w:val="000000" w:themeColor="text1"/>
          <w:lang w:val="en-AU"/>
        </w:rPr>
        <w:t xml:space="preserve"> </w:t>
      </w:r>
      <w:r w:rsidR="005B68E0" w:rsidRPr="00351A46">
        <w:rPr>
          <w:color w:val="000000" w:themeColor="text1"/>
          <w:lang w:val="en-AU"/>
        </w:rPr>
        <w:t xml:space="preserve">Knowledge Centre, a knowledge repository of smart practices. </w:t>
      </w:r>
      <w:r w:rsidR="00F157CA" w:rsidRPr="00351A46">
        <w:rPr>
          <w:color w:val="000000" w:themeColor="text1"/>
          <w:lang w:val="en-AU"/>
        </w:rPr>
        <w:t xml:space="preserve">KSI will support Bappenas </w:t>
      </w:r>
      <w:r w:rsidR="000525C6">
        <w:rPr>
          <w:color w:val="000000" w:themeColor="text1"/>
          <w:lang w:val="en-AU"/>
        </w:rPr>
        <w:t>to</w:t>
      </w:r>
      <w:r w:rsidR="000525C6" w:rsidRPr="00351A46">
        <w:rPr>
          <w:color w:val="000000" w:themeColor="text1"/>
          <w:lang w:val="en-AU"/>
        </w:rPr>
        <w:t xml:space="preserve"> </w:t>
      </w:r>
      <w:r w:rsidR="00F157CA" w:rsidRPr="00351A46">
        <w:rPr>
          <w:color w:val="000000" w:themeColor="text1"/>
          <w:lang w:val="en-AU"/>
        </w:rPr>
        <w:t>scop</w:t>
      </w:r>
      <w:r w:rsidR="000525C6">
        <w:rPr>
          <w:color w:val="000000" w:themeColor="text1"/>
          <w:lang w:val="en-AU"/>
        </w:rPr>
        <w:t>e</w:t>
      </w:r>
      <w:r w:rsidR="00F157CA" w:rsidRPr="00351A46">
        <w:rPr>
          <w:color w:val="000000" w:themeColor="text1"/>
          <w:lang w:val="en-AU"/>
        </w:rPr>
        <w:t xml:space="preserve"> </w:t>
      </w:r>
      <w:r w:rsidR="000525C6">
        <w:rPr>
          <w:color w:val="000000" w:themeColor="text1"/>
          <w:lang w:val="en-AU"/>
        </w:rPr>
        <w:t>and</w:t>
      </w:r>
      <w:r w:rsidR="000525C6" w:rsidRPr="00351A46">
        <w:rPr>
          <w:color w:val="000000" w:themeColor="text1"/>
          <w:lang w:val="en-AU"/>
        </w:rPr>
        <w:t xml:space="preserve"> </w:t>
      </w:r>
      <w:r w:rsidR="00F157CA" w:rsidRPr="00351A46">
        <w:rPr>
          <w:color w:val="000000" w:themeColor="text1"/>
          <w:lang w:val="en-AU"/>
        </w:rPr>
        <w:t>identify the appropriate government mechanism and set</w:t>
      </w:r>
      <w:r w:rsidR="000525C6">
        <w:rPr>
          <w:color w:val="000000" w:themeColor="text1"/>
          <w:lang w:val="en-AU"/>
        </w:rPr>
        <w:t xml:space="preserve"> </w:t>
      </w:r>
      <w:r w:rsidR="00F157CA" w:rsidRPr="00351A46">
        <w:rPr>
          <w:color w:val="000000" w:themeColor="text1"/>
          <w:lang w:val="en-AU"/>
        </w:rPr>
        <w:t>up to ensure the Knowledge Centre can be effectively operationali</w:t>
      </w:r>
      <w:r w:rsidR="00A951C4">
        <w:rPr>
          <w:color w:val="000000" w:themeColor="text1"/>
          <w:lang w:val="en-AU"/>
        </w:rPr>
        <w:t>s</w:t>
      </w:r>
      <w:r w:rsidR="00F157CA" w:rsidRPr="00351A46">
        <w:rPr>
          <w:color w:val="000000" w:themeColor="text1"/>
          <w:lang w:val="en-AU"/>
        </w:rPr>
        <w:t xml:space="preserve">ed. </w:t>
      </w:r>
    </w:p>
    <w:p w14:paraId="3F750058" w14:textId="40B86293" w:rsidR="00B26290" w:rsidRPr="00351A46" w:rsidRDefault="008C541E">
      <w:pPr>
        <w:jc w:val="both"/>
        <w:rPr>
          <w:color w:val="000000" w:themeColor="text1"/>
          <w:lang w:val="en-AU"/>
        </w:rPr>
      </w:pPr>
      <w:r w:rsidRPr="00351A46">
        <w:rPr>
          <w:color w:val="000000" w:themeColor="text1"/>
          <w:lang w:val="en-AU"/>
        </w:rPr>
        <w:t xml:space="preserve">There </w:t>
      </w:r>
      <w:r w:rsidR="000525C6">
        <w:rPr>
          <w:color w:val="000000" w:themeColor="text1"/>
          <w:lang w:val="en-AU"/>
        </w:rPr>
        <w:t>is</w:t>
      </w:r>
      <w:r w:rsidR="000525C6" w:rsidRPr="00351A46">
        <w:rPr>
          <w:color w:val="000000" w:themeColor="text1"/>
          <w:lang w:val="en-AU"/>
        </w:rPr>
        <w:t xml:space="preserve"> </w:t>
      </w:r>
      <w:r w:rsidRPr="00351A46">
        <w:rPr>
          <w:color w:val="000000" w:themeColor="text1"/>
          <w:lang w:val="en-AU"/>
        </w:rPr>
        <w:t xml:space="preserve">a range of macro-level levers creating a push for a system like KRISNA. Increased competitiveness between political parties is leading to greater use of data to prove or criticise government performance. Further, as government becomes more dependent upon revenue gained from taxes, there is greater public pressure to provide effectiveness </w:t>
      </w:r>
      <w:r w:rsidR="009E1C17">
        <w:rPr>
          <w:color w:val="000000" w:themeColor="text1"/>
          <w:lang w:val="en-AU"/>
        </w:rPr>
        <w:t>in</w:t>
      </w:r>
      <w:r w:rsidR="009E1C17" w:rsidRPr="00351A46">
        <w:rPr>
          <w:color w:val="000000" w:themeColor="text1"/>
          <w:lang w:val="en-AU"/>
        </w:rPr>
        <w:t xml:space="preserve"> </w:t>
      </w:r>
      <w:r w:rsidRPr="00351A46">
        <w:rPr>
          <w:color w:val="000000" w:themeColor="text1"/>
          <w:lang w:val="en-AU"/>
        </w:rPr>
        <w:t xml:space="preserve">government spending. President Jokowi has been pushing for more integrated planning and budgeting to ensure his development priorities are realised. Bappenas reports directly to the </w:t>
      </w:r>
      <w:r w:rsidR="009E1C17">
        <w:rPr>
          <w:color w:val="000000" w:themeColor="text1"/>
          <w:lang w:val="en-AU"/>
        </w:rPr>
        <w:t>p</w:t>
      </w:r>
      <w:r w:rsidRPr="00351A46">
        <w:rPr>
          <w:color w:val="000000" w:themeColor="text1"/>
          <w:lang w:val="en-AU"/>
        </w:rPr>
        <w:t>resident,</w:t>
      </w:r>
      <w:r w:rsidR="009E1C17">
        <w:rPr>
          <w:color w:val="000000" w:themeColor="text1"/>
          <w:lang w:val="en-AU"/>
        </w:rPr>
        <w:t xml:space="preserve"> and</w:t>
      </w:r>
      <w:r w:rsidRPr="00351A46">
        <w:rPr>
          <w:color w:val="000000" w:themeColor="text1"/>
          <w:lang w:val="en-AU"/>
        </w:rPr>
        <w:t xml:space="preserve"> so </w:t>
      </w:r>
      <w:r w:rsidR="00B26290" w:rsidRPr="00351A46">
        <w:rPr>
          <w:color w:val="000000" w:themeColor="text1"/>
          <w:lang w:val="en-AU"/>
        </w:rPr>
        <w:t xml:space="preserve">will </w:t>
      </w:r>
      <w:r w:rsidRPr="00351A46">
        <w:rPr>
          <w:color w:val="000000" w:themeColor="text1"/>
          <w:lang w:val="en-AU"/>
        </w:rPr>
        <w:t xml:space="preserve">have the incentive to implement KRISNA. </w:t>
      </w:r>
      <w:r w:rsidR="003259D4" w:rsidRPr="00351A46">
        <w:rPr>
          <w:color w:val="000000" w:themeColor="text1"/>
          <w:lang w:val="en-AU"/>
        </w:rPr>
        <w:t xml:space="preserve">However, there is a risk that any new </w:t>
      </w:r>
      <w:r w:rsidR="009E1C17">
        <w:rPr>
          <w:color w:val="000000" w:themeColor="text1"/>
          <w:lang w:val="en-AU"/>
        </w:rPr>
        <w:t>p</w:t>
      </w:r>
      <w:r w:rsidR="003259D4" w:rsidRPr="00351A46">
        <w:rPr>
          <w:color w:val="000000" w:themeColor="text1"/>
          <w:lang w:val="en-AU"/>
        </w:rPr>
        <w:t xml:space="preserve">resident may change reporting arrangements, which could shift incentives. </w:t>
      </w:r>
      <w:r w:rsidR="009E1C17">
        <w:rPr>
          <w:color w:val="000000" w:themeColor="text1"/>
          <w:lang w:val="en-AU"/>
        </w:rPr>
        <w:t>K</w:t>
      </w:r>
      <w:r w:rsidR="003259D4" w:rsidRPr="00351A46">
        <w:rPr>
          <w:color w:val="000000" w:themeColor="text1"/>
          <w:lang w:val="en-AU"/>
        </w:rPr>
        <w:t>RISNA is current</w:t>
      </w:r>
      <w:r w:rsidR="009E1C17">
        <w:rPr>
          <w:color w:val="000000" w:themeColor="text1"/>
          <w:lang w:val="en-AU"/>
        </w:rPr>
        <w:t>ly</w:t>
      </w:r>
      <w:r w:rsidR="003259D4" w:rsidRPr="00351A46">
        <w:rPr>
          <w:color w:val="000000" w:themeColor="text1"/>
          <w:lang w:val="en-AU"/>
        </w:rPr>
        <w:t xml:space="preserve"> a key </w:t>
      </w:r>
      <w:r w:rsidR="00B26290" w:rsidRPr="00351A46">
        <w:rPr>
          <w:color w:val="000000" w:themeColor="text1"/>
          <w:lang w:val="en-AU"/>
        </w:rPr>
        <w:t xml:space="preserve">priority of the Bappenas </w:t>
      </w:r>
      <w:r w:rsidR="009E1C17">
        <w:rPr>
          <w:color w:val="000000" w:themeColor="text1"/>
          <w:lang w:val="en-AU"/>
        </w:rPr>
        <w:t>m</w:t>
      </w:r>
      <w:r w:rsidR="00B26290" w:rsidRPr="00351A46">
        <w:rPr>
          <w:color w:val="000000" w:themeColor="text1"/>
          <w:lang w:val="en-AU"/>
        </w:rPr>
        <w:t>inister and enjoys broad support within Bappenas</w:t>
      </w:r>
      <w:r w:rsidR="009E1C17">
        <w:rPr>
          <w:color w:val="000000" w:themeColor="text1"/>
          <w:lang w:val="en-AU"/>
        </w:rPr>
        <w:t>,</w:t>
      </w:r>
      <w:r w:rsidR="00B26290" w:rsidRPr="00351A46">
        <w:rPr>
          <w:color w:val="000000" w:themeColor="text1"/>
          <w:lang w:val="en-AU"/>
        </w:rPr>
        <w:t xml:space="preserve"> as it gives greater control over development planning, links it to budgeting</w:t>
      </w:r>
      <w:r w:rsidR="009E1C17">
        <w:rPr>
          <w:color w:val="000000" w:themeColor="text1"/>
          <w:lang w:val="en-AU"/>
        </w:rPr>
        <w:t>,</w:t>
      </w:r>
      <w:r w:rsidR="00B26290" w:rsidRPr="00351A46">
        <w:rPr>
          <w:color w:val="000000" w:themeColor="text1"/>
          <w:lang w:val="en-AU"/>
        </w:rPr>
        <w:t xml:space="preserve"> and enables its System Integrator role. </w:t>
      </w:r>
    </w:p>
    <w:p w14:paraId="137FF693" w14:textId="6A4F62C0" w:rsidR="003259D4" w:rsidRPr="00351A46" w:rsidRDefault="00973701">
      <w:pPr>
        <w:jc w:val="both"/>
        <w:rPr>
          <w:color w:val="000000" w:themeColor="text1"/>
          <w:lang w:val="en-AU"/>
        </w:rPr>
      </w:pPr>
      <w:r w:rsidRPr="00351A46">
        <w:rPr>
          <w:color w:val="000000" w:themeColor="text1"/>
          <w:lang w:val="en-AU"/>
        </w:rPr>
        <w:t>There has long been debate over the division of roles between Bappenas and the Ministry of Finance, ever since planning and budgeting functions were split between them in the early 2000s.</w:t>
      </w:r>
      <w:r w:rsidR="009E1C17">
        <w:rPr>
          <w:color w:val="000000" w:themeColor="text1"/>
          <w:lang w:val="en-AU"/>
        </w:rPr>
        <w:t xml:space="preserve"> </w:t>
      </w:r>
      <w:r w:rsidRPr="00351A46">
        <w:rPr>
          <w:color w:val="000000" w:themeColor="text1"/>
          <w:lang w:val="en-AU"/>
        </w:rPr>
        <w:t>KSI’s support for KRISNA has helped build relationships between these two agencies. The Ministry of Finance is more likely to support KRISNA over the longer</w:t>
      </w:r>
      <w:r w:rsidR="009E1C17">
        <w:rPr>
          <w:color w:val="000000" w:themeColor="text1"/>
          <w:lang w:val="en-AU"/>
        </w:rPr>
        <w:t xml:space="preserve"> </w:t>
      </w:r>
      <w:r w:rsidRPr="00351A46">
        <w:rPr>
          <w:color w:val="000000" w:themeColor="text1"/>
          <w:lang w:val="en-AU"/>
        </w:rPr>
        <w:t xml:space="preserve">term if </w:t>
      </w:r>
      <w:r w:rsidR="009E1C17">
        <w:rPr>
          <w:color w:val="000000" w:themeColor="text1"/>
          <w:lang w:val="en-AU"/>
        </w:rPr>
        <w:t>it</w:t>
      </w:r>
      <w:r w:rsidR="009E1C17" w:rsidRPr="00351A46">
        <w:rPr>
          <w:color w:val="000000" w:themeColor="text1"/>
          <w:lang w:val="en-AU"/>
        </w:rPr>
        <w:t xml:space="preserve"> </w:t>
      </w:r>
      <w:r w:rsidRPr="00351A46">
        <w:rPr>
          <w:color w:val="000000" w:themeColor="text1"/>
          <w:lang w:val="en-AU"/>
        </w:rPr>
        <w:t>continue</w:t>
      </w:r>
      <w:r w:rsidR="009E1C17">
        <w:rPr>
          <w:color w:val="000000" w:themeColor="text1"/>
          <w:lang w:val="en-AU"/>
        </w:rPr>
        <w:t>s</w:t>
      </w:r>
      <w:r w:rsidRPr="00351A46">
        <w:rPr>
          <w:color w:val="000000" w:themeColor="text1"/>
          <w:lang w:val="en-AU"/>
        </w:rPr>
        <w:t xml:space="preserve"> to see the benefits in terms of more efficient and effective planning and budgeting. The Regulation on Synchronisation of Planning and Budgeting</w:t>
      </w:r>
      <w:r w:rsidR="00293545" w:rsidRPr="00351A46">
        <w:rPr>
          <w:color w:val="000000" w:themeColor="text1"/>
          <w:lang w:val="en-AU"/>
        </w:rPr>
        <w:t xml:space="preserve"> (Government Regulation PP 17/2017) </w:t>
      </w:r>
      <w:r w:rsidRPr="00351A46">
        <w:rPr>
          <w:color w:val="000000" w:themeColor="text1"/>
          <w:lang w:val="en-AU"/>
        </w:rPr>
        <w:t xml:space="preserve">also provides </w:t>
      </w:r>
      <w:r w:rsidR="009E1C17">
        <w:rPr>
          <w:color w:val="000000" w:themeColor="text1"/>
          <w:lang w:val="en-AU"/>
        </w:rPr>
        <w:t>a</w:t>
      </w:r>
      <w:r w:rsidR="009E1C17" w:rsidRPr="00351A46">
        <w:rPr>
          <w:color w:val="000000" w:themeColor="text1"/>
          <w:lang w:val="en-AU"/>
        </w:rPr>
        <w:t xml:space="preserve"> </w:t>
      </w:r>
      <w:r w:rsidRPr="00351A46">
        <w:rPr>
          <w:color w:val="000000" w:themeColor="text1"/>
          <w:lang w:val="en-AU"/>
        </w:rPr>
        <w:t xml:space="preserve">legal push for the Ministry of Finance to use KRISNA. </w:t>
      </w:r>
    </w:p>
    <w:p w14:paraId="7060F269" w14:textId="5C3708BF" w:rsidR="00FA1AF8" w:rsidRPr="00351A46" w:rsidRDefault="000732CC">
      <w:pPr>
        <w:jc w:val="both"/>
        <w:rPr>
          <w:color w:val="000000" w:themeColor="text1"/>
          <w:lang w:val="en-AU"/>
        </w:rPr>
      </w:pPr>
      <w:r w:rsidRPr="00351A46">
        <w:rPr>
          <w:color w:val="000000" w:themeColor="text1"/>
          <w:lang w:val="en-AU"/>
        </w:rPr>
        <w:t xml:space="preserve">There is a risk that incentives may change following the national elections, if new leaders are installed or reporting arrangements between ministries and the </w:t>
      </w:r>
      <w:r w:rsidR="009E1C17">
        <w:rPr>
          <w:color w:val="000000" w:themeColor="text1"/>
          <w:lang w:val="en-AU"/>
        </w:rPr>
        <w:t>p</w:t>
      </w:r>
      <w:r w:rsidRPr="00351A46">
        <w:rPr>
          <w:color w:val="000000" w:themeColor="text1"/>
          <w:lang w:val="en-AU"/>
        </w:rPr>
        <w:t xml:space="preserve">resident are changed. KSI will regularly monitor and review these risks and take action to adapt if necessary. </w:t>
      </w:r>
    </w:p>
    <w:p w14:paraId="2ED305E5" w14:textId="2AA4DF1F" w:rsidR="00F94A2D" w:rsidRDefault="00F94A2D">
      <w:pPr>
        <w:keepNext/>
        <w:keepLines/>
        <w:spacing w:before="200" w:after="0"/>
        <w:jc w:val="both"/>
        <w:outlineLvl w:val="8"/>
        <w:rPr>
          <w:rFonts w:eastAsia="Calibri" w:cstheme="minorHAnsi"/>
          <w:lang w:val="en-AU"/>
        </w:rPr>
      </w:pPr>
      <w:r w:rsidRPr="00351A46">
        <w:rPr>
          <w:rFonts w:eastAsia="Calibri" w:cstheme="minorHAnsi"/>
          <w:lang w:val="en-AU"/>
        </w:rPr>
        <w:t xml:space="preserve">The diagram and table below provide an overview of EOPO 4 and how the </w:t>
      </w:r>
      <w:r w:rsidR="009E1C17" w:rsidRPr="00351A46">
        <w:rPr>
          <w:rFonts w:eastAsia="Calibri" w:cstheme="minorHAnsi"/>
          <w:lang w:val="en-AU"/>
        </w:rPr>
        <w:t xml:space="preserve">key initiatives </w:t>
      </w:r>
      <w:r w:rsidRPr="00351A46">
        <w:rPr>
          <w:rFonts w:eastAsia="Calibri" w:cstheme="minorHAnsi"/>
          <w:lang w:val="en-AU"/>
        </w:rPr>
        <w:t xml:space="preserve">contribute, as well as </w:t>
      </w:r>
      <w:r w:rsidR="00864002" w:rsidRPr="00351A46">
        <w:rPr>
          <w:rFonts w:eastAsia="Calibri" w:cstheme="minorHAnsi"/>
          <w:lang w:val="en-AU"/>
        </w:rPr>
        <w:t>links</w:t>
      </w:r>
      <w:r w:rsidRPr="00351A46">
        <w:rPr>
          <w:rFonts w:eastAsia="Calibri" w:cstheme="minorHAnsi"/>
          <w:lang w:val="en-AU"/>
        </w:rPr>
        <w:t xml:space="preserve"> to other EOPOs. </w:t>
      </w:r>
    </w:p>
    <w:p w14:paraId="39122C76" w14:textId="0793F02D" w:rsidR="008222E1" w:rsidRPr="00351A46" w:rsidRDefault="008222E1">
      <w:pPr>
        <w:keepNext/>
        <w:keepLines/>
        <w:spacing w:before="200" w:after="0"/>
        <w:jc w:val="both"/>
        <w:outlineLvl w:val="8"/>
        <w:rPr>
          <w:rFonts w:eastAsia="Calibri" w:cstheme="minorHAnsi"/>
          <w:lang w:val="en-AU"/>
        </w:rPr>
      </w:pPr>
      <w:r>
        <w:rPr>
          <w:rFonts w:eastAsia="Calibri" w:cstheme="minorHAnsi"/>
          <w:lang w:val="en-AU"/>
        </w:rPr>
        <w:t xml:space="preserve">EOPO 4 also links to the other EOPOs as follows: </w:t>
      </w:r>
    </w:p>
    <w:p w14:paraId="0F564900" w14:textId="570DC262" w:rsidR="004B17A2" w:rsidRDefault="00293545" w:rsidP="00A951C4">
      <w:pPr>
        <w:pStyle w:val="ListParagraph"/>
        <w:keepNext/>
        <w:keepLines/>
        <w:numPr>
          <w:ilvl w:val="0"/>
          <w:numId w:val="34"/>
        </w:numPr>
        <w:spacing w:before="200" w:after="0"/>
        <w:jc w:val="both"/>
        <w:outlineLvl w:val="8"/>
        <w:rPr>
          <w:rFonts w:eastAsia="Calibri" w:cstheme="minorHAnsi"/>
          <w:lang w:val="en-AU"/>
        </w:rPr>
      </w:pPr>
      <w:r w:rsidRPr="00A951C4">
        <w:rPr>
          <w:rFonts w:eastAsia="Calibri" w:cstheme="minorHAnsi"/>
          <w:lang w:val="en-AU"/>
        </w:rPr>
        <w:t xml:space="preserve">EOPO 1 (Research agenda and funding mechanism) – KRISNA can potentially contribute to </w:t>
      </w:r>
      <w:r w:rsidR="009E1C17" w:rsidRPr="00A951C4">
        <w:rPr>
          <w:rFonts w:eastAsia="Calibri" w:cstheme="minorHAnsi"/>
          <w:lang w:val="en-AU"/>
        </w:rPr>
        <w:t xml:space="preserve">the </w:t>
      </w:r>
      <w:r w:rsidRPr="00A951C4">
        <w:rPr>
          <w:rFonts w:eastAsia="Calibri" w:cstheme="minorHAnsi"/>
          <w:lang w:val="en-AU"/>
        </w:rPr>
        <w:t>clarity of budget allocation</w:t>
      </w:r>
      <w:r w:rsidR="001D26E1" w:rsidRPr="00A951C4">
        <w:rPr>
          <w:rFonts w:eastAsia="Calibri" w:cstheme="minorHAnsi"/>
          <w:lang w:val="en-AU"/>
        </w:rPr>
        <w:t xml:space="preserve"> </w:t>
      </w:r>
      <w:r w:rsidR="009E1C17" w:rsidRPr="00A951C4">
        <w:rPr>
          <w:rFonts w:eastAsia="Calibri" w:cstheme="minorHAnsi"/>
          <w:lang w:val="en-AU"/>
        </w:rPr>
        <w:t xml:space="preserve">to </w:t>
      </w:r>
      <w:r w:rsidRPr="00A951C4">
        <w:rPr>
          <w:rFonts w:eastAsia="Calibri" w:cstheme="minorHAnsi"/>
          <w:lang w:val="en-AU"/>
        </w:rPr>
        <w:t>research and policy research, if there is budget tagging for ‘research’ activity</w:t>
      </w:r>
      <w:r w:rsidR="002936A9" w:rsidRPr="00A951C4">
        <w:rPr>
          <w:rFonts w:eastAsia="Calibri" w:cstheme="minorHAnsi"/>
          <w:lang w:val="en-AU"/>
        </w:rPr>
        <w:t xml:space="preserve"> (</w:t>
      </w:r>
      <w:r w:rsidR="009E1C17" w:rsidRPr="00A951C4">
        <w:rPr>
          <w:rFonts w:eastAsia="Calibri" w:cstheme="minorHAnsi"/>
          <w:lang w:val="en-AU"/>
        </w:rPr>
        <w:t xml:space="preserve">at </w:t>
      </w:r>
      <w:r w:rsidR="002936A9" w:rsidRPr="00A951C4">
        <w:rPr>
          <w:rFonts w:eastAsia="Calibri" w:cstheme="minorHAnsi"/>
          <w:lang w:val="en-AU"/>
        </w:rPr>
        <w:t>both national and sub-national levels)</w:t>
      </w:r>
      <w:r w:rsidRPr="00A951C4">
        <w:rPr>
          <w:rFonts w:eastAsia="Calibri" w:cstheme="minorHAnsi"/>
          <w:lang w:val="en-AU"/>
        </w:rPr>
        <w:t xml:space="preserve">. This is important for having </w:t>
      </w:r>
      <w:r w:rsidR="009E1C17" w:rsidRPr="00A951C4">
        <w:rPr>
          <w:rFonts w:eastAsia="Calibri" w:cstheme="minorHAnsi"/>
          <w:lang w:val="en-AU"/>
        </w:rPr>
        <w:t xml:space="preserve">an </w:t>
      </w:r>
      <w:r w:rsidRPr="00A951C4">
        <w:rPr>
          <w:rFonts w:eastAsia="Calibri" w:cstheme="minorHAnsi"/>
          <w:lang w:val="en-AU"/>
        </w:rPr>
        <w:t>annual GERD calculation to be analysed by Kemristekdikti and LIPI Pappiptek, and hence provid</w:t>
      </w:r>
      <w:r w:rsidR="009E1C17" w:rsidRPr="00A951C4">
        <w:rPr>
          <w:rFonts w:eastAsia="Calibri" w:cstheme="minorHAnsi"/>
          <w:lang w:val="en-AU"/>
        </w:rPr>
        <w:t>ing</w:t>
      </w:r>
      <w:r w:rsidRPr="00A951C4">
        <w:rPr>
          <w:rFonts w:eastAsia="Calibri" w:cstheme="minorHAnsi"/>
          <w:lang w:val="en-AU"/>
        </w:rPr>
        <w:t xml:space="preserve"> more accuracy for </w:t>
      </w:r>
      <w:r w:rsidR="009E1C17" w:rsidRPr="00A951C4">
        <w:rPr>
          <w:rFonts w:eastAsia="Calibri" w:cstheme="minorHAnsi"/>
          <w:lang w:val="en-AU"/>
        </w:rPr>
        <w:t xml:space="preserve">a </w:t>
      </w:r>
      <w:r w:rsidRPr="00A951C4">
        <w:rPr>
          <w:rFonts w:eastAsia="Calibri" w:cstheme="minorHAnsi"/>
          <w:lang w:val="en-AU"/>
        </w:rPr>
        <w:t>national and global (international) calculation.</w:t>
      </w:r>
      <w:r w:rsidR="001D26E1" w:rsidRPr="00A951C4">
        <w:rPr>
          <w:rFonts w:eastAsia="Calibri" w:cstheme="minorHAnsi"/>
          <w:lang w:val="en-AU"/>
        </w:rPr>
        <w:t xml:space="preserve"> </w:t>
      </w:r>
      <w:r w:rsidRPr="00A951C4">
        <w:rPr>
          <w:rFonts w:eastAsia="Calibri" w:cstheme="minorHAnsi"/>
          <w:lang w:val="en-AU"/>
        </w:rPr>
        <w:t xml:space="preserve">Once </w:t>
      </w:r>
      <w:r w:rsidR="009E1C17" w:rsidRPr="00A951C4">
        <w:rPr>
          <w:rFonts w:eastAsia="Calibri" w:cstheme="minorHAnsi"/>
          <w:lang w:val="en-AU"/>
        </w:rPr>
        <w:t xml:space="preserve">the </w:t>
      </w:r>
      <w:r w:rsidRPr="00A951C4">
        <w:rPr>
          <w:rFonts w:eastAsia="Calibri" w:cstheme="minorHAnsi"/>
          <w:lang w:val="en-AU"/>
        </w:rPr>
        <w:t>annual GERD data is easily/regularly available, it is possible to moni</w:t>
      </w:r>
      <w:r w:rsidR="002936A9" w:rsidRPr="00A951C4">
        <w:rPr>
          <w:rFonts w:eastAsia="Calibri" w:cstheme="minorHAnsi"/>
          <w:lang w:val="en-AU"/>
        </w:rPr>
        <w:t xml:space="preserve">tor and evaluate effectiveness </w:t>
      </w:r>
      <w:r w:rsidRPr="00A951C4">
        <w:rPr>
          <w:rFonts w:eastAsia="Calibri" w:cstheme="minorHAnsi"/>
          <w:lang w:val="en-AU"/>
        </w:rPr>
        <w:t>of research funding.</w:t>
      </w:r>
    </w:p>
    <w:p w14:paraId="7D5215C3" w14:textId="0EE8AD8A" w:rsidR="004B17A2" w:rsidRPr="00A951C4" w:rsidRDefault="008222E1" w:rsidP="00A951C4">
      <w:pPr>
        <w:pStyle w:val="ListParagraph"/>
        <w:keepNext/>
        <w:keepLines/>
        <w:numPr>
          <w:ilvl w:val="0"/>
          <w:numId w:val="34"/>
        </w:numPr>
        <w:spacing w:before="200" w:after="0"/>
        <w:jc w:val="both"/>
        <w:outlineLvl w:val="8"/>
        <w:rPr>
          <w:rFonts w:eastAsia="Calibri" w:cstheme="minorHAnsi"/>
          <w:lang w:val="en-AU"/>
        </w:rPr>
      </w:pPr>
      <w:r w:rsidRPr="00A951C4">
        <w:rPr>
          <w:rFonts w:eastAsia="Calibri" w:cstheme="minorHAnsi"/>
          <w:lang w:val="en-AU"/>
        </w:rPr>
        <w:t xml:space="preserve">EOPO 5 (PRI support) </w:t>
      </w:r>
      <w:r w:rsidR="007C3C05" w:rsidRPr="00A951C4">
        <w:rPr>
          <w:rFonts w:eastAsia="Calibri" w:cstheme="minorHAnsi"/>
          <w:lang w:val="en-AU"/>
        </w:rPr>
        <w:t>–</w:t>
      </w:r>
      <w:r w:rsidRPr="00A951C4">
        <w:rPr>
          <w:rFonts w:eastAsia="Calibri" w:cstheme="minorHAnsi"/>
          <w:lang w:val="en-AU"/>
        </w:rPr>
        <w:t xml:space="preserve"> </w:t>
      </w:r>
      <w:r w:rsidR="004B17A2" w:rsidRPr="004B17A2">
        <w:rPr>
          <w:color w:val="000000" w:themeColor="text1"/>
          <w:lang w:val="en-AU"/>
        </w:rPr>
        <w:t xml:space="preserve">KSI will explore how PRIs can conduct analysis on their own data sets and aggregated KRISNA information to enrich the government’s understanding and use of KRISNA data. </w:t>
      </w:r>
    </w:p>
    <w:p w14:paraId="1557CC71" w14:textId="537AAFF5" w:rsidR="00CC254A" w:rsidRDefault="00CC254A" w:rsidP="00A951C4">
      <w:pPr>
        <w:rPr>
          <w:lang w:val="en-AU"/>
        </w:rPr>
        <w:sectPr w:rsidR="00CC254A" w:rsidSect="005A2BD9">
          <w:pgSz w:w="11900" w:h="16850"/>
          <w:pgMar w:top="1440" w:right="1440" w:bottom="1440" w:left="1440" w:header="758" w:footer="0" w:gutter="0"/>
          <w:cols w:space="720"/>
          <w:docGrid w:linePitch="299"/>
        </w:sectPr>
      </w:pPr>
    </w:p>
    <w:p w14:paraId="366F7E27" w14:textId="1EEA4A32" w:rsidR="008F4103" w:rsidRPr="00351A46" w:rsidRDefault="006353E0" w:rsidP="00A951C4">
      <w:pPr>
        <w:ind w:hanging="709"/>
        <w:rPr>
          <w:lang w:val="en-AU"/>
        </w:rPr>
        <w:sectPr w:rsidR="008F4103" w:rsidRPr="00351A46" w:rsidSect="00F94A2D">
          <w:pgSz w:w="16850" w:h="11900" w:orient="landscape"/>
          <w:pgMar w:top="1440" w:right="1440" w:bottom="1440" w:left="1440" w:header="758" w:footer="0" w:gutter="0"/>
          <w:cols w:space="720"/>
          <w:docGrid w:linePitch="299"/>
        </w:sectPr>
      </w:pPr>
      <w:r w:rsidRPr="00381388">
        <w:rPr>
          <w:noProof/>
          <w:lang w:val="en-AU" w:eastAsia="en-AU"/>
        </w:rPr>
        <w:drawing>
          <wp:inline distT="0" distB="0" distL="0" distR="0" wp14:anchorId="1D2D35CF" wp14:editId="2D6FBE76">
            <wp:extent cx="9754185" cy="548664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OPO 4 diagram_for PIS_v3.jpg"/>
                    <pic:cNvPicPr/>
                  </pic:nvPicPr>
                  <pic:blipFill>
                    <a:blip r:embed="rId18"/>
                    <a:stretch>
                      <a:fillRect/>
                    </a:stretch>
                  </pic:blipFill>
                  <pic:spPr>
                    <a:xfrm>
                      <a:off x="0" y="0"/>
                      <a:ext cx="9788709" cy="5506061"/>
                    </a:xfrm>
                    <a:prstGeom prst="rect">
                      <a:avLst/>
                    </a:prstGeom>
                  </pic:spPr>
                </pic:pic>
              </a:graphicData>
            </a:graphic>
          </wp:inline>
        </w:drawing>
      </w:r>
    </w:p>
    <w:tbl>
      <w:tblPr>
        <w:tblStyle w:val="TableGrid3"/>
        <w:tblpPr w:leftFromText="181" w:rightFromText="181" w:vertAnchor="text" w:tblpXSpec="center" w:tblpY="1"/>
        <w:tblOverlap w:val="never"/>
        <w:tblW w:w="10490" w:type="dxa"/>
        <w:tblLook w:val="04A0" w:firstRow="1" w:lastRow="0" w:firstColumn="1" w:lastColumn="0" w:noHBand="0" w:noVBand="1"/>
      </w:tblPr>
      <w:tblGrid>
        <w:gridCol w:w="2254"/>
        <w:gridCol w:w="2151"/>
        <w:gridCol w:w="3870"/>
        <w:gridCol w:w="2215"/>
      </w:tblGrid>
      <w:tr w:rsidR="008F4103" w:rsidRPr="00351A46" w14:paraId="44379E8A" w14:textId="77777777" w:rsidTr="00B3138C">
        <w:tc>
          <w:tcPr>
            <w:tcW w:w="10490" w:type="dxa"/>
            <w:gridSpan w:val="4"/>
            <w:shd w:val="clear" w:color="auto" w:fill="BDD6EE" w:themeFill="accent1" w:themeFillTint="66"/>
          </w:tcPr>
          <w:p w14:paraId="0AB45BEF" w14:textId="219DABB9" w:rsidR="008F4103" w:rsidRPr="00351A46" w:rsidRDefault="00FB5515" w:rsidP="00B3138C">
            <w:pPr>
              <w:keepNext/>
              <w:keepLines/>
              <w:jc w:val="center"/>
              <w:outlineLvl w:val="8"/>
              <w:rPr>
                <w:b/>
                <w:color w:val="000000" w:themeColor="text1"/>
                <w:sz w:val="20"/>
                <w:szCs w:val="20"/>
                <w:lang w:val="en-AU"/>
              </w:rPr>
            </w:pPr>
            <w:r w:rsidRPr="00351A46">
              <w:rPr>
                <w:b/>
                <w:color w:val="000000" w:themeColor="text1"/>
                <w:sz w:val="20"/>
                <w:szCs w:val="20"/>
                <w:lang w:val="en-AU"/>
              </w:rPr>
              <w:t xml:space="preserve">End of </w:t>
            </w:r>
            <w:r w:rsidR="008C3312" w:rsidRPr="00351A46">
              <w:rPr>
                <w:b/>
                <w:color w:val="000000" w:themeColor="text1"/>
                <w:sz w:val="20"/>
                <w:szCs w:val="20"/>
                <w:lang w:val="en-AU"/>
              </w:rPr>
              <w:t>Program</w:t>
            </w:r>
            <w:r w:rsidR="00D0604A" w:rsidRPr="00351A46">
              <w:rPr>
                <w:b/>
                <w:color w:val="000000" w:themeColor="text1"/>
                <w:sz w:val="20"/>
                <w:szCs w:val="20"/>
                <w:lang w:val="en-AU"/>
              </w:rPr>
              <w:t xml:space="preserve"> </w:t>
            </w:r>
            <w:r w:rsidR="008F4103" w:rsidRPr="00351A46">
              <w:rPr>
                <w:b/>
                <w:color w:val="000000" w:themeColor="text1"/>
                <w:sz w:val="20"/>
                <w:szCs w:val="20"/>
                <w:lang w:val="en-AU"/>
              </w:rPr>
              <w:t>Outcome 4:</w:t>
            </w:r>
            <w:r w:rsidR="001D26E1" w:rsidRPr="00351A46">
              <w:rPr>
                <w:b/>
                <w:color w:val="000000" w:themeColor="text1"/>
                <w:sz w:val="20"/>
                <w:szCs w:val="20"/>
                <w:lang w:val="en-AU"/>
              </w:rPr>
              <w:t xml:space="preserve"> </w:t>
            </w:r>
            <w:r w:rsidR="008054D9" w:rsidRPr="00351A46">
              <w:rPr>
                <w:b/>
                <w:lang w:val="en-AU"/>
              </w:rPr>
              <w:t>Quality data on development planning, budgeting and performance is available and accessible in a single system</w:t>
            </w:r>
          </w:p>
        </w:tc>
      </w:tr>
      <w:tr w:rsidR="008F4103" w:rsidRPr="00351A46" w14:paraId="6C42D2FF" w14:textId="77777777" w:rsidTr="00B3138C">
        <w:tc>
          <w:tcPr>
            <w:tcW w:w="10490" w:type="dxa"/>
            <w:gridSpan w:val="4"/>
            <w:shd w:val="clear" w:color="auto" w:fill="DEEAF6" w:themeFill="accent1" w:themeFillTint="33"/>
          </w:tcPr>
          <w:p w14:paraId="24C9EF3F" w14:textId="24C9B2F0" w:rsidR="008F4103" w:rsidRPr="00351A46" w:rsidRDefault="008F4103" w:rsidP="00B3138C">
            <w:pPr>
              <w:jc w:val="center"/>
              <w:rPr>
                <w:b/>
                <w:color w:val="000000" w:themeColor="text1"/>
                <w:sz w:val="20"/>
                <w:szCs w:val="20"/>
                <w:lang w:val="en-AU"/>
              </w:rPr>
            </w:pPr>
            <w:r w:rsidRPr="00351A46">
              <w:rPr>
                <w:b/>
                <w:color w:val="000000" w:themeColor="text1"/>
                <w:sz w:val="20"/>
                <w:szCs w:val="20"/>
                <w:lang w:val="en-AU"/>
              </w:rPr>
              <w:t>Change expected by 2022:</w:t>
            </w:r>
          </w:p>
          <w:p w14:paraId="71EC18ED" w14:textId="68E268F7" w:rsidR="008F4103" w:rsidRPr="00351A46" w:rsidRDefault="008F4103" w:rsidP="00B3138C">
            <w:pPr>
              <w:numPr>
                <w:ilvl w:val="0"/>
                <w:numId w:val="2"/>
              </w:numPr>
              <w:rPr>
                <w:b/>
                <w:color w:val="000000" w:themeColor="text1"/>
                <w:sz w:val="20"/>
                <w:szCs w:val="20"/>
                <w:lang w:val="en-AU"/>
              </w:rPr>
            </w:pPr>
            <w:r w:rsidRPr="00351A46">
              <w:rPr>
                <w:color w:val="000000" w:themeColor="text1"/>
                <w:sz w:val="20"/>
                <w:szCs w:val="20"/>
                <w:lang w:val="en-AU"/>
              </w:rPr>
              <w:t>Stronger connection between annual development planning and budgeting</w:t>
            </w:r>
            <w:r w:rsidR="00316D23" w:rsidRPr="00351A46">
              <w:rPr>
                <w:color w:val="000000" w:themeColor="text1"/>
                <w:sz w:val="20"/>
                <w:szCs w:val="20"/>
                <w:lang w:val="en-AU"/>
              </w:rPr>
              <w:t>.</w:t>
            </w:r>
            <w:r w:rsidRPr="00351A46">
              <w:rPr>
                <w:color w:val="000000" w:themeColor="text1"/>
                <w:sz w:val="20"/>
                <w:szCs w:val="20"/>
                <w:lang w:val="en-AU"/>
              </w:rPr>
              <w:t xml:space="preserve"> </w:t>
            </w:r>
          </w:p>
          <w:p w14:paraId="09854286" w14:textId="50E1CC62" w:rsidR="008F4103" w:rsidRPr="00351A46" w:rsidRDefault="008F4103" w:rsidP="00B3138C">
            <w:pPr>
              <w:numPr>
                <w:ilvl w:val="0"/>
                <w:numId w:val="2"/>
              </w:numPr>
              <w:rPr>
                <w:b/>
                <w:color w:val="000000" w:themeColor="text1"/>
                <w:sz w:val="20"/>
                <w:szCs w:val="20"/>
                <w:lang w:val="en-AU"/>
              </w:rPr>
            </w:pPr>
            <w:r w:rsidRPr="00351A46">
              <w:rPr>
                <w:color w:val="000000" w:themeColor="text1"/>
                <w:sz w:val="20"/>
                <w:szCs w:val="20"/>
                <w:lang w:val="en-AU"/>
              </w:rPr>
              <w:t>Better use of monitoring and evaluation data to inform development policy, planning and budgeting</w:t>
            </w:r>
            <w:r w:rsidR="00316D23" w:rsidRPr="00351A46">
              <w:rPr>
                <w:color w:val="000000" w:themeColor="text1"/>
                <w:sz w:val="20"/>
                <w:szCs w:val="20"/>
                <w:lang w:val="en-AU"/>
              </w:rPr>
              <w:t>.</w:t>
            </w:r>
          </w:p>
          <w:p w14:paraId="5855BD0F" w14:textId="6734A58F" w:rsidR="008F4103" w:rsidRPr="00351A46" w:rsidRDefault="008F4103" w:rsidP="00B3138C">
            <w:pPr>
              <w:numPr>
                <w:ilvl w:val="0"/>
                <w:numId w:val="2"/>
              </w:numPr>
              <w:rPr>
                <w:b/>
                <w:sz w:val="20"/>
                <w:szCs w:val="20"/>
                <w:lang w:val="en-AU"/>
              </w:rPr>
            </w:pPr>
            <w:r w:rsidRPr="00351A46">
              <w:rPr>
                <w:color w:val="000000" w:themeColor="text1"/>
                <w:sz w:val="20"/>
                <w:szCs w:val="20"/>
                <w:lang w:val="en-AU"/>
              </w:rPr>
              <w:t xml:space="preserve">Data on planning, budgeting and monitoring and evaluation of development </w:t>
            </w:r>
            <w:r w:rsidR="008C3312" w:rsidRPr="00351A46">
              <w:rPr>
                <w:color w:val="000000" w:themeColor="text1"/>
                <w:sz w:val="20"/>
                <w:szCs w:val="20"/>
                <w:lang w:val="en-AU"/>
              </w:rPr>
              <w:t>program</w:t>
            </w:r>
            <w:r w:rsidR="00B516F3" w:rsidRPr="00351A46">
              <w:rPr>
                <w:color w:val="000000" w:themeColor="text1"/>
                <w:sz w:val="20"/>
                <w:szCs w:val="20"/>
                <w:lang w:val="en-AU"/>
              </w:rPr>
              <w:t>s</w:t>
            </w:r>
            <w:r w:rsidRPr="00351A46">
              <w:rPr>
                <w:color w:val="000000" w:themeColor="text1"/>
                <w:sz w:val="20"/>
                <w:szCs w:val="20"/>
                <w:lang w:val="en-AU"/>
              </w:rPr>
              <w:t xml:space="preserve"> more accessible</w:t>
            </w:r>
            <w:r w:rsidR="00316D23" w:rsidRPr="00351A46">
              <w:rPr>
                <w:color w:val="000000" w:themeColor="text1"/>
                <w:sz w:val="20"/>
                <w:szCs w:val="20"/>
                <w:lang w:val="en-AU"/>
              </w:rPr>
              <w:t>.</w:t>
            </w:r>
          </w:p>
        </w:tc>
      </w:tr>
      <w:tr w:rsidR="008F4103" w:rsidRPr="00351A46" w14:paraId="163BF8AC" w14:textId="77777777" w:rsidTr="00B3138C">
        <w:tc>
          <w:tcPr>
            <w:tcW w:w="10490" w:type="dxa"/>
            <w:gridSpan w:val="4"/>
            <w:shd w:val="clear" w:color="auto" w:fill="FFE599" w:themeFill="accent4" w:themeFillTint="66"/>
          </w:tcPr>
          <w:p w14:paraId="5AA565B7" w14:textId="1AFC6611" w:rsidR="008F4103" w:rsidRPr="00351A46" w:rsidRDefault="00E5110F" w:rsidP="00B3138C">
            <w:pPr>
              <w:keepNext/>
              <w:keepLines/>
              <w:jc w:val="center"/>
              <w:outlineLvl w:val="8"/>
              <w:rPr>
                <w:b/>
                <w:color w:val="000000" w:themeColor="text1"/>
                <w:sz w:val="20"/>
                <w:szCs w:val="20"/>
                <w:lang w:val="en-AU" w:eastAsia="en-ID"/>
              </w:rPr>
            </w:pPr>
            <w:r w:rsidRPr="00351A46">
              <w:rPr>
                <w:b/>
                <w:color w:val="000000" w:themeColor="text1"/>
                <w:sz w:val="20"/>
                <w:szCs w:val="20"/>
                <w:lang w:val="en-AU" w:eastAsia="en-ID"/>
              </w:rPr>
              <w:t>Key initiative</w:t>
            </w:r>
            <w:r w:rsidR="008F4103" w:rsidRPr="00351A46">
              <w:rPr>
                <w:b/>
                <w:color w:val="000000" w:themeColor="text1"/>
                <w:sz w:val="20"/>
                <w:szCs w:val="20"/>
                <w:lang w:val="en-AU" w:eastAsia="en-ID"/>
              </w:rPr>
              <w:t xml:space="preserve">: KRISNA </w:t>
            </w:r>
            <w:r w:rsidR="009E1C17">
              <w:rPr>
                <w:color w:val="000000" w:themeColor="text1"/>
                <w:sz w:val="20"/>
                <w:szCs w:val="20"/>
                <w:lang w:val="en-AU" w:eastAsia="en-ID"/>
              </w:rPr>
              <w:t>–</w:t>
            </w:r>
            <w:r w:rsidR="009E1C17" w:rsidRPr="00351A46">
              <w:rPr>
                <w:b/>
                <w:color w:val="000000" w:themeColor="text1"/>
                <w:sz w:val="20"/>
                <w:szCs w:val="20"/>
                <w:lang w:val="en-AU" w:eastAsia="en-ID"/>
              </w:rPr>
              <w:t xml:space="preserve"> </w:t>
            </w:r>
            <w:r w:rsidR="008F4103" w:rsidRPr="00351A46">
              <w:rPr>
                <w:color w:val="000000" w:themeColor="text1"/>
                <w:sz w:val="20"/>
                <w:szCs w:val="20"/>
                <w:lang w:val="en-AU"/>
              </w:rPr>
              <w:t>A real-time, online system to capture and integrate data on planning, budgeting</w:t>
            </w:r>
            <w:r w:rsidR="009E1C17">
              <w:rPr>
                <w:color w:val="000000" w:themeColor="text1"/>
                <w:sz w:val="20"/>
                <w:szCs w:val="20"/>
                <w:lang w:val="en-AU"/>
              </w:rPr>
              <w:t>,</w:t>
            </w:r>
            <w:r w:rsidR="008F4103" w:rsidRPr="00351A46">
              <w:rPr>
                <w:color w:val="000000" w:themeColor="text1"/>
                <w:sz w:val="20"/>
                <w:szCs w:val="20"/>
                <w:lang w:val="en-AU"/>
              </w:rPr>
              <w:t xml:space="preserve"> and monitoring and evaluation of development </w:t>
            </w:r>
            <w:r w:rsidR="008C3312" w:rsidRPr="00351A46">
              <w:rPr>
                <w:color w:val="000000" w:themeColor="text1"/>
                <w:sz w:val="20"/>
                <w:szCs w:val="20"/>
                <w:lang w:val="en-AU"/>
              </w:rPr>
              <w:t>program</w:t>
            </w:r>
            <w:r w:rsidR="00B516F3" w:rsidRPr="00351A46">
              <w:rPr>
                <w:color w:val="000000" w:themeColor="text1"/>
                <w:sz w:val="20"/>
                <w:szCs w:val="20"/>
                <w:lang w:val="en-AU"/>
              </w:rPr>
              <w:t>s</w:t>
            </w:r>
            <w:r w:rsidR="008F4103" w:rsidRPr="00351A46">
              <w:rPr>
                <w:color w:val="000000" w:themeColor="text1"/>
                <w:sz w:val="20"/>
                <w:szCs w:val="20"/>
                <w:lang w:val="en-AU"/>
              </w:rPr>
              <w:t xml:space="preserve"> at national and sub-national levels.</w:t>
            </w:r>
          </w:p>
        </w:tc>
      </w:tr>
      <w:tr w:rsidR="00402B1D" w:rsidRPr="00351A46" w14:paraId="7F7297F9" w14:textId="77777777" w:rsidTr="00B3138C">
        <w:tc>
          <w:tcPr>
            <w:tcW w:w="2254" w:type="dxa"/>
            <w:shd w:val="clear" w:color="auto" w:fill="FFF2CC" w:themeFill="accent4" w:themeFillTint="33"/>
          </w:tcPr>
          <w:p w14:paraId="15BF9423" w14:textId="3E581DE0" w:rsidR="008F4103" w:rsidRPr="00351A46" w:rsidRDefault="008F4103" w:rsidP="00B3138C">
            <w:pPr>
              <w:jc w:val="center"/>
              <w:rPr>
                <w:b/>
                <w:color w:val="000000" w:themeColor="text1"/>
                <w:sz w:val="20"/>
                <w:szCs w:val="20"/>
                <w:lang w:val="en-AU" w:eastAsia="en-ID"/>
              </w:rPr>
            </w:pPr>
            <w:r w:rsidRPr="00351A46">
              <w:rPr>
                <w:b/>
                <w:color w:val="000000" w:themeColor="text1"/>
                <w:sz w:val="20"/>
                <w:szCs w:val="20"/>
                <w:lang w:val="en-AU" w:eastAsia="en-ID"/>
              </w:rPr>
              <w:t>What needs to happen</w:t>
            </w:r>
            <w:r w:rsidR="002F4E43" w:rsidRPr="00351A46">
              <w:rPr>
                <w:b/>
                <w:color w:val="000000" w:themeColor="text1"/>
                <w:sz w:val="20"/>
                <w:szCs w:val="20"/>
                <w:lang w:val="en-AU" w:eastAsia="en-ID"/>
              </w:rPr>
              <w:t xml:space="preserve"> by 2022</w:t>
            </w:r>
          </w:p>
        </w:tc>
        <w:tc>
          <w:tcPr>
            <w:tcW w:w="2151" w:type="dxa"/>
            <w:shd w:val="clear" w:color="auto" w:fill="FFF2CC" w:themeFill="accent4" w:themeFillTint="33"/>
          </w:tcPr>
          <w:p w14:paraId="71A2B849" w14:textId="203EE760" w:rsidR="008F4103" w:rsidRPr="00351A46" w:rsidRDefault="008F4103" w:rsidP="00B3138C">
            <w:pPr>
              <w:jc w:val="center"/>
              <w:rPr>
                <w:b/>
                <w:color w:val="000000" w:themeColor="text1"/>
                <w:sz w:val="20"/>
                <w:szCs w:val="20"/>
                <w:lang w:val="en-AU" w:eastAsia="en-ID"/>
              </w:rPr>
            </w:pPr>
            <w:r w:rsidRPr="00351A46">
              <w:rPr>
                <w:b/>
                <w:color w:val="000000" w:themeColor="text1"/>
                <w:sz w:val="20"/>
                <w:szCs w:val="20"/>
                <w:lang w:val="en-AU" w:eastAsia="en-ID"/>
              </w:rPr>
              <w:t xml:space="preserve">Critical </w:t>
            </w:r>
            <w:r w:rsidR="00316D23" w:rsidRPr="00351A46">
              <w:rPr>
                <w:b/>
                <w:color w:val="000000" w:themeColor="text1"/>
                <w:sz w:val="20"/>
                <w:szCs w:val="20"/>
                <w:lang w:val="en-AU" w:eastAsia="en-ID"/>
              </w:rPr>
              <w:t>s</w:t>
            </w:r>
            <w:r w:rsidRPr="00351A46">
              <w:rPr>
                <w:b/>
                <w:color w:val="000000" w:themeColor="text1"/>
                <w:sz w:val="20"/>
                <w:szCs w:val="20"/>
                <w:lang w:val="en-AU" w:eastAsia="en-ID"/>
              </w:rPr>
              <w:t xml:space="preserve">uccess </w:t>
            </w:r>
            <w:r w:rsidR="00316D23" w:rsidRPr="00351A46">
              <w:rPr>
                <w:b/>
                <w:color w:val="000000" w:themeColor="text1"/>
                <w:sz w:val="20"/>
                <w:szCs w:val="20"/>
                <w:lang w:val="en-AU" w:eastAsia="en-ID"/>
              </w:rPr>
              <w:t>f</w:t>
            </w:r>
            <w:r w:rsidRPr="00351A46">
              <w:rPr>
                <w:b/>
                <w:color w:val="000000" w:themeColor="text1"/>
                <w:sz w:val="20"/>
                <w:szCs w:val="20"/>
                <w:lang w:val="en-AU" w:eastAsia="en-ID"/>
              </w:rPr>
              <w:t>actors</w:t>
            </w:r>
          </w:p>
        </w:tc>
        <w:tc>
          <w:tcPr>
            <w:tcW w:w="3870" w:type="dxa"/>
            <w:shd w:val="clear" w:color="auto" w:fill="FFF2CC" w:themeFill="accent4" w:themeFillTint="33"/>
          </w:tcPr>
          <w:p w14:paraId="0A84C3DB" w14:textId="77777777" w:rsidR="008F4103" w:rsidRPr="00351A46" w:rsidRDefault="008F4103" w:rsidP="00B3138C">
            <w:pPr>
              <w:jc w:val="center"/>
              <w:rPr>
                <w:b/>
                <w:color w:val="000000" w:themeColor="text1"/>
                <w:sz w:val="20"/>
                <w:szCs w:val="20"/>
                <w:lang w:val="en-AU" w:eastAsia="en-ID"/>
              </w:rPr>
            </w:pPr>
            <w:r w:rsidRPr="00351A46">
              <w:rPr>
                <w:b/>
                <w:color w:val="000000" w:themeColor="text1"/>
                <w:sz w:val="20"/>
                <w:szCs w:val="20"/>
                <w:lang w:val="en-AU" w:eastAsia="en-ID"/>
              </w:rPr>
              <w:t>KSI’s role</w:t>
            </w:r>
          </w:p>
        </w:tc>
        <w:tc>
          <w:tcPr>
            <w:tcW w:w="2215" w:type="dxa"/>
            <w:shd w:val="clear" w:color="auto" w:fill="FFF2CC" w:themeFill="accent4" w:themeFillTint="33"/>
          </w:tcPr>
          <w:p w14:paraId="225A5B70" w14:textId="1F92C764" w:rsidR="008F4103" w:rsidRPr="00351A46" w:rsidRDefault="002F4E43" w:rsidP="00B3138C">
            <w:pPr>
              <w:jc w:val="center"/>
              <w:rPr>
                <w:b/>
                <w:color w:val="000000" w:themeColor="text1"/>
                <w:sz w:val="20"/>
                <w:szCs w:val="20"/>
                <w:lang w:val="en-AU" w:eastAsia="en-ID"/>
              </w:rPr>
            </w:pPr>
            <w:r w:rsidRPr="00351A46">
              <w:rPr>
                <w:b/>
                <w:color w:val="000000" w:themeColor="text1"/>
                <w:sz w:val="20"/>
                <w:szCs w:val="20"/>
                <w:lang w:val="en-AU" w:eastAsia="en-ID"/>
              </w:rPr>
              <w:t>Expected outcomes</w:t>
            </w:r>
            <w:r w:rsidR="008F4103" w:rsidRPr="00351A46">
              <w:rPr>
                <w:b/>
                <w:color w:val="000000" w:themeColor="text1"/>
                <w:sz w:val="20"/>
                <w:szCs w:val="20"/>
                <w:lang w:val="en-AU" w:eastAsia="en-ID"/>
              </w:rPr>
              <w:t xml:space="preserve"> for 2018</w:t>
            </w:r>
          </w:p>
        </w:tc>
      </w:tr>
      <w:tr w:rsidR="00402B1D" w:rsidRPr="00351A46" w14:paraId="248DAD07" w14:textId="77777777" w:rsidTr="00B3138C">
        <w:tc>
          <w:tcPr>
            <w:tcW w:w="2254" w:type="dxa"/>
            <w:shd w:val="clear" w:color="auto" w:fill="FFF2CC" w:themeFill="accent4" w:themeFillTint="33"/>
          </w:tcPr>
          <w:p w14:paraId="46E08E3B" w14:textId="5CF80AFD" w:rsidR="008F4103" w:rsidRPr="00351A46" w:rsidRDefault="008F4103" w:rsidP="00B3138C">
            <w:pPr>
              <w:rPr>
                <w:color w:val="000000" w:themeColor="text1"/>
                <w:sz w:val="20"/>
                <w:szCs w:val="20"/>
                <w:lang w:val="en-AU"/>
              </w:rPr>
            </w:pPr>
            <w:r w:rsidRPr="00351A46">
              <w:rPr>
                <w:color w:val="000000" w:themeColor="text1"/>
                <w:sz w:val="20"/>
                <w:szCs w:val="20"/>
                <w:lang w:val="en-AU"/>
              </w:rPr>
              <w:t>Embedding existing KRISNA system</w:t>
            </w:r>
            <w:r w:rsidR="00316D23" w:rsidRPr="00351A46">
              <w:rPr>
                <w:color w:val="000000" w:themeColor="text1"/>
                <w:sz w:val="20"/>
                <w:szCs w:val="20"/>
                <w:lang w:val="en-AU"/>
              </w:rPr>
              <w:t>,</w:t>
            </w:r>
            <w:r w:rsidRPr="00351A46">
              <w:rPr>
                <w:color w:val="000000" w:themeColor="text1"/>
                <w:sz w:val="20"/>
                <w:szCs w:val="20"/>
                <w:lang w:val="en-AU"/>
              </w:rPr>
              <w:t xml:space="preserve"> </w:t>
            </w:r>
            <w:r w:rsidR="002F4E43" w:rsidRPr="00351A46">
              <w:rPr>
                <w:color w:val="000000" w:themeColor="text1"/>
                <w:sz w:val="20"/>
                <w:szCs w:val="20"/>
                <w:lang w:val="en-AU"/>
              </w:rPr>
              <w:t>which captures</w:t>
            </w:r>
            <w:r w:rsidRPr="00351A46">
              <w:rPr>
                <w:color w:val="000000" w:themeColor="text1"/>
                <w:sz w:val="20"/>
                <w:szCs w:val="20"/>
                <w:lang w:val="en-AU"/>
              </w:rPr>
              <w:t xml:space="preserve"> single-year planning and budgeting within key </w:t>
            </w:r>
            <w:r w:rsidR="00316D23" w:rsidRPr="00351A46">
              <w:rPr>
                <w:color w:val="000000" w:themeColor="text1"/>
                <w:sz w:val="20"/>
                <w:szCs w:val="20"/>
                <w:lang w:val="en-AU"/>
              </w:rPr>
              <w:t xml:space="preserve">government </w:t>
            </w:r>
            <w:r w:rsidRPr="00351A46">
              <w:rPr>
                <w:color w:val="000000" w:themeColor="text1"/>
                <w:sz w:val="20"/>
                <w:szCs w:val="20"/>
                <w:lang w:val="en-AU"/>
              </w:rPr>
              <w:t>agencies</w:t>
            </w:r>
            <w:r w:rsidR="00316D23" w:rsidRPr="00351A46">
              <w:rPr>
                <w:color w:val="000000" w:themeColor="text1"/>
                <w:sz w:val="20"/>
                <w:szCs w:val="20"/>
                <w:lang w:val="en-AU"/>
              </w:rPr>
              <w:t>.</w:t>
            </w:r>
          </w:p>
          <w:p w14:paraId="189769BE" w14:textId="77777777" w:rsidR="00DE315A" w:rsidRPr="00381388" w:rsidRDefault="00DE315A" w:rsidP="00B3138C">
            <w:pPr>
              <w:numPr>
                <w:ilvl w:val="1"/>
                <w:numId w:val="0"/>
              </w:numPr>
              <w:rPr>
                <w:rFonts w:eastAsiaTheme="minorEastAsia"/>
                <w:color w:val="000000" w:themeColor="text1"/>
                <w:spacing w:val="15"/>
                <w:sz w:val="20"/>
                <w:szCs w:val="20"/>
                <w:lang w:val="en-AU"/>
              </w:rPr>
            </w:pPr>
          </w:p>
          <w:p w14:paraId="08CC17FB" w14:textId="32CA6693" w:rsidR="008F4103" w:rsidRPr="00351A46" w:rsidRDefault="008F4103" w:rsidP="00B3138C">
            <w:pPr>
              <w:rPr>
                <w:color w:val="000000" w:themeColor="text1"/>
                <w:sz w:val="20"/>
                <w:szCs w:val="20"/>
                <w:lang w:val="en-AU"/>
              </w:rPr>
            </w:pPr>
            <w:r w:rsidRPr="00351A46">
              <w:rPr>
                <w:color w:val="000000" w:themeColor="text1"/>
                <w:sz w:val="20"/>
                <w:szCs w:val="20"/>
                <w:lang w:val="en-AU"/>
              </w:rPr>
              <w:t>Expanding KRISNA to integrate multi-year planning and budgeting and local</w:t>
            </w:r>
            <w:r w:rsidR="00316D23" w:rsidRPr="00351A46">
              <w:rPr>
                <w:color w:val="000000" w:themeColor="text1"/>
                <w:sz w:val="20"/>
                <w:szCs w:val="20"/>
                <w:lang w:val="en-AU"/>
              </w:rPr>
              <w:t>-</w:t>
            </w:r>
            <w:r w:rsidRPr="00351A46">
              <w:rPr>
                <w:color w:val="000000" w:themeColor="text1"/>
                <w:sz w:val="20"/>
                <w:szCs w:val="20"/>
                <w:lang w:val="en-AU"/>
              </w:rPr>
              <w:t>level planning and budgeting (DAK)</w:t>
            </w:r>
            <w:r w:rsidR="00316D23" w:rsidRPr="00351A46">
              <w:rPr>
                <w:color w:val="000000" w:themeColor="text1"/>
                <w:sz w:val="20"/>
                <w:szCs w:val="20"/>
                <w:lang w:val="en-AU"/>
              </w:rPr>
              <w:t>.</w:t>
            </w:r>
            <w:r w:rsidRPr="00351A46">
              <w:rPr>
                <w:color w:val="000000" w:themeColor="text1"/>
                <w:sz w:val="20"/>
                <w:szCs w:val="20"/>
                <w:lang w:val="en-AU"/>
              </w:rPr>
              <w:t xml:space="preserve"> </w:t>
            </w:r>
          </w:p>
          <w:p w14:paraId="03C0637C" w14:textId="77777777" w:rsidR="00DE315A" w:rsidRPr="00381388" w:rsidRDefault="00DE315A" w:rsidP="00B3138C">
            <w:pPr>
              <w:numPr>
                <w:ilvl w:val="1"/>
                <w:numId w:val="0"/>
              </w:numPr>
              <w:rPr>
                <w:rFonts w:eastAsiaTheme="minorEastAsia"/>
                <w:color w:val="000000" w:themeColor="text1"/>
                <w:spacing w:val="15"/>
                <w:sz w:val="20"/>
                <w:szCs w:val="20"/>
                <w:lang w:val="en-AU"/>
              </w:rPr>
            </w:pPr>
          </w:p>
          <w:p w14:paraId="3163F121" w14:textId="19CDE700" w:rsidR="008F4103" w:rsidRPr="00351A46" w:rsidRDefault="008F4103" w:rsidP="00B3138C">
            <w:pPr>
              <w:rPr>
                <w:color w:val="000000" w:themeColor="text1"/>
                <w:sz w:val="20"/>
                <w:szCs w:val="20"/>
                <w:lang w:val="en-AU"/>
              </w:rPr>
            </w:pPr>
            <w:r w:rsidRPr="00351A46">
              <w:rPr>
                <w:color w:val="000000" w:themeColor="text1"/>
                <w:sz w:val="20"/>
                <w:szCs w:val="20"/>
                <w:lang w:val="en-AU"/>
              </w:rPr>
              <w:t xml:space="preserve">Incrementally integrating quality </w:t>
            </w:r>
            <w:r w:rsidR="00316D23" w:rsidRPr="00351A46">
              <w:rPr>
                <w:color w:val="000000" w:themeColor="text1"/>
                <w:sz w:val="20"/>
                <w:szCs w:val="20"/>
                <w:lang w:val="en-AU"/>
              </w:rPr>
              <w:t>monitoring and evaluation</w:t>
            </w:r>
            <w:r w:rsidRPr="00351A46">
              <w:rPr>
                <w:color w:val="000000" w:themeColor="text1"/>
                <w:sz w:val="20"/>
                <w:szCs w:val="20"/>
                <w:lang w:val="en-AU"/>
              </w:rPr>
              <w:t xml:space="preserve"> data on development policy, planning and budgeting</w:t>
            </w:r>
            <w:r w:rsidR="00316D23" w:rsidRPr="00351A46">
              <w:rPr>
                <w:color w:val="000000" w:themeColor="text1"/>
                <w:sz w:val="20"/>
                <w:szCs w:val="20"/>
                <w:lang w:val="en-AU"/>
              </w:rPr>
              <w:t>.</w:t>
            </w:r>
          </w:p>
          <w:p w14:paraId="06B54E23" w14:textId="77777777" w:rsidR="00DE315A" w:rsidRPr="00381388" w:rsidRDefault="00DE315A" w:rsidP="00B3138C">
            <w:pPr>
              <w:numPr>
                <w:ilvl w:val="1"/>
                <w:numId w:val="0"/>
              </w:numPr>
              <w:rPr>
                <w:rFonts w:eastAsiaTheme="minorEastAsia"/>
                <w:color w:val="000000" w:themeColor="text1"/>
                <w:spacing w:val="15"/>
                <w:sz w:val="20"/>
                <w:szCs w:val="20"/>
                <w:lang w:val="en-AU"/>
              </w:rPr>
            </w:pPr>
          </w:p>
          <w:p w14:paraId="6226529B" w14:textId="77777777" w:rsidR="008F4103" w:rsidRPr="00351A46" w:rsidRDefault="008F4103" w:rsidP="00B3138C">
            <w:pPr>
              <w:rPr>
                <w:color w:val="000000" w:themeColor="text1"/>
                <w:sz w:val="20"/>
                <w:szCs w:val="20"/>
                <w:lang w:val="en-AU"/>
              </w:rPr>
            </w:pPr>
            <w:r w:rsidRPr="00351A46">
              <w:rPr>
                <w:color w:val="000000" w:themeColor="text1"/>
                <w:sz w:val="20"/>
                <w:szCs w:val="20"/>
                <w:lang w:val="en-AU"/>
              </w:rPr>
              <w:t xml:space="preserve">PRIs use their own data sets and aggregated KRISNA information to enrich Bappenas’ understanding of KRISNA data. </w:t>
            </w:r>
          </w:p>
          <w:p w14:paraId="733BF96B" w14:textId="77777777" w:rsidR="008F4103" w:rsidRPr="00351A46" w:rsidRDefault="008F4103" w:rsidP="00B3138C">
            <w:pPr>
              <w:numPr>
                <w:ilvl w:val="1"/>
                <w:numId w:val="0"/>
              </w:numPr>
              <w:rPr>
                <w:color w:val="000000" w:themeColor="text1"/>
                <w:sz w:val="20"/>
                <w:szCs w:val="20"/>
                <w:lang w:val="en-AU" w:eastAsia="en-ID"/>
              </w:rPr>
            </w:pPr>
          </w:p>
        </w:tc>
        <w:tc>
          <w:tcPr>
            <w:tcW w:w="2151" w:type="dxa"/>
            <w:shd w:val="clear" w:color="auto" w:fill="FFF2CC" w:themeFill="accent4" w:themeFillTint="33"/>
          </w:tcPr>
          <w:p w14:paraId="4B509710" w14:textId="7BE06E36" w:rsidR="008F4103" w:rsidRPr="00351A46" w:rsidRDefault="008F4103" w:rsidP="00B3138C">
            <w:pPr>
              <w:rPr>
                <w:color w:val="000000" w:themeColor="text1"/>
                <w:sz w:val="20"/>
                <w:szCs w:val="20"/>
                <w:lang w:val="en-AU"/>
              </w:rPr>
            </w:pPr>
            <w:r w:rsidRPr="00351A46">
              <w:rPr>
                <w:color w:val="000000" w:themeColor="text1"/>
                <w:sz w:val="20"/>
                <w:szCs w:val="20"/>
                <w:lang w:val="en-AU"/>
              </w:rPr>
              <w:t xml:space="preserve">Continued strong support from Bappenas and its </w:t>
            </w:r>
            <w:r w:rsidR="009E1C17">
              <w:rPr>
                <w:color w:val="000000" w:themeColor="text1"/>
                <w:sz w:val="20"/>
                <w:szCs w:val="20"/>
                <w:lang w:val="en-AU"/>
              </w:rPr>
              <w:t>m</w:t>
            </w:r>
            <w:r w:rsidRPr="00351A46">
              <w:rPr>
                <w:color w:val="000000" w:themeColor="text1"/>
                <w:sz w:val="20"/>
                <w:szCs w:val="20"/>
                <w:lang w:val="en-AU"/>
              </w:rPr>
              <w:t>inister</w:t>
            </w:r>
            <w:r w:rsidR="00CF4207" w:rsidRPr="00351A46">
              <w:rPr>
                <w:color w:val="000000" w:themeColor="text1"/>
                <w:sz w:val="20"/>
                <w:szCs w:val="20"/>
                <w:lang w:val="en-AU"/>
              </w:rPr>
              <w:t>.</w:t>
            </w:r>
            <w:r w:rsidRPr="00351A46">
              <w:rPr>
                <w:color w:val="000000" w:themeColor="text1"/>
                <w:sz w:val="20"/>
                <w:szCs w:val="20"/>
                <w:lang w:val="en-AU"/>
              </w:rPr>
              <w:t xml:space="preserve"> </w:t>
            </w:r>
          </w:p>
          <w:p w14:paraId="19B8C49B" w14:textId="77777777" w:rsidR="00DE315A" w:rsidRPr="00381388" w:rsidRDefault="00DE315A" w:rsidP="00B3138C">
            <w:pPr>
              <w:numPr>
                <w:ilvl w:val="1"/>
                <w:numId w:val="0"/>
              </w:numPr>
              <w:rPr>
                <w:rFonts w:eastAsiaTheme="minorEastAsia"/>
                <w:color w:val="000000" w:themeColor="text1"/>
                <w:spacing w:val="15"/>
                <w:sz w:val="20"/>
                <w:szCs w:val="20"/>
                <w:lang w:val="en-AU"/>
              </w:rPr>
            </w:pPr>
          </w:p>
          <w:p w14:paraId="7B9503D0" w14:textId="7526AA94" w:rsidR="008F4103" w:rsidRPr="00351A46" w:rsidRDefault="008F4103" w:rsidP="00B3138C">
            <w:pPr>
              <w:rPr>
                <w:color w:val="000000" w:themeColor="text1"/>
                <w:sz w:val="20"/>
                <w:szCs w:val="20"/>
                <w:lang w:val="en-AU"/>
              </w:rPr>
            </w:pPr>
            <w:r w:rsidRPr="00351A46">
              <w:rPr>
                <w:color w:val="000000" w:themeColor="text1"/>
                <w:sz w:val="20"/>
                <w:szCs w:val="20"/>
                <w:lang w:val="en-AU"/>
              </w:rPr>
              <w:t>Minister of Finance and Kemenkeu are convinced of the added</w:t>
            </w:r>
            <w:r w:rsidR="00316D23" w:rsidRPr="00351A46">
              <w:rPr>
                <w:color w:val="000000" w:themeColor="text1"/>
                <w:sz w:val="20"/>
                <w:szCs w:val="20"/>
                <w:lang w:val="en-AU"/>
              </w:rPr>
              <w:t xml:space="preserve"> </w:t>
            </w:r>
            <w:r w:rsidRPr="00351A46">
              <w:rPr>
                <w:color w:val="000000" w:themeColor="text1"/>
                <w:sz w:val="20"/>
                <w:szCs w:val="20"/>
                <w:lang w:val="en-AU"/>
              </w:rPr>
              <w:t>value to them</w:t>
            </w:r>
            <w:r w:rsidR="00316D23" w:rsidRPr="00351A46">
              <w:rPr>
                <w:color w:val="000000" w:themeColor="text1"/>
                <w:sz w:val="20"/>
                <w:szCs w:val="20"/>
                <w:lang w:val="en-AU"/>
              </w:rPr>
              <w:t>.</w:t>
            </w:r>
          </w:p>
          <w:p w14:paraId="605B35F0" w14:textId="77777777" w:rsidR="00DE315A" w:rsidRPr="00381388" w:rsidRDefault="00DE315A" w:rsidP="00B3138C">
            <w:pPr>
              <w:numPr>
                <w:ilvl w:val="1"/>
                <w:numId w:val="0"/>
              </w:numPr>
              <w:rPr>
                <w:rFonts w:eastAsiaTheme="minorEastAsia"/>
                <w:color w:val="000000" w:themeColor="text1"/>
                <w:spacing w:val="15"/>
                <w:sz w:val="20"/>
                <w:szCs w:val="20"/>
                <w:lang w:val="en-AU"/>
              </w:rPr>
            </w:pPr>
          </w:p>
          <w:p w14:paraId="51AE60DD" w14:textId="676AE181" w:rsidR="008F4103" w:rsidRPr="00351A46" w:rsidRDefault="008F4103" w:rsidP="00B3138C">
            <w:pPr>
              <w:rPr>
                <w:color w:val="000000" w:themeColor="text1"/>
                <w:sz w:val="20"/>
                <w:szCs w:val="20"/>
                <w:lang w:val="en-AU"/>
              </w:rPr>
            </w:pPr>
            <w:r w:rsidRPr="00351A46">
              <w:rPr>
                <w:color w:val="000000" w:themeColor="text1"/>
                <w:sz w:val="20"/>
                <w:szCs w:val="20"/>
                <w:lang w:val="en-AU"/>
              </w:rPr>
              <w:t>Relationship between Bappenas and Kemenkeu continues to strengthen</w:t>
            </w:r>
            <w:r w:rsidR="00316D23" w:rsidRPr="00351A46">
              <w:rPr>
                <w:color w:val="000000" w:themeColor="text1"/>
                <w:sz w:val="20"/>
                <w:szCs w:val="20"/>
                <w:lang w:val="en-AU"/>
              </w:rPr>
              <w:t>.</w:t>
            </w:r>
          </w:p>
          <w:p w14:paraId="26312AE8" w14:textId="77777777" w:rsidR="00DE315A" w:rsidRPr="00381388" w:rsidRDefault="00DE315A" w:rsidP="00B3138C">
            <w:pPr>
              <w:numPr>
                <w:ilvl w:val="1"/>
                <w:numId w:val="0"/>
              </w:numPr>
              <w:rPr>
                <w:rFonts w:eastAsiaTheme="minorEastAsia"/>
                <w:color w:val="000000" w:themeColor="text1"/>
                <w:spacing w:val="15"/>
                <w:sz w:val="20"/>
                <w:szCs w:val="20"/>
                <w:lang w:val="en-AU"/>
              </w:rPr>
            </w:pPr>
          </w:p>
          <w:p w14:paraId="4B2A8322" w14:textId="0A5A07E1" w:rsidR="008F4103" w:rsidRPr="00351A46" w:rsidRDefault="008F4103" w:rsidP="00B3138C">
            <w:pPr>
              <w:rPr>
                <w:color w:val="000000" w:themeColor="text1"/>
                <w:sz w:val="20"/>
                <w:szCs w:val="20"/>
                <w:lang w:val="en-AU"/>
              </w:rPr>
            </w:pPr>
            <w:r w:rsidRPr="00351A46">
              <w:rPr>
                <w:color w:val="000000" w:themeColor="text1"/>
                <w:sz w:val="20"/>
                <w:szCs w:val="20"/>
                <w:lang w:val="en-AU"/>
              </w:rPr>
              <w:t xml:space="preserve">Line </w:t>
            </w:r>
            <w:r w:rsidR="00316D23" w:rsidRPr="00351A46">
              <w:rPr>
                <w:color w:val="000000" w:themeColor="text1"/>
                <w:sz w:val="20"/>
                <w:szCs w:val="20"/>
                <w:lang w:val="en-AU"/>
              </w:rPr>
              <w:t>m</w:t>
            </w:r>
            <w:r w:rsidRPr="00351A46">
              <w:rPr>
                <w:color w:val="000000" w:themeColor="text1"/>
                <w:sz w:val="20"/>
                <w:szCs w:val="20"/>
                <w:lang w:val="en-AU"/>
              </w:rPr>
              <w:t>inistries and local governments go beyond compliance and address quality</w:t>
            </w:r>
            <w:r w:rsidR="00316D23" w:rsidRPr="00351A46">
              <w:rPr>
                <w:color w:val="000000" w:themeColor="text1"/>
                <w:sz w:val="20"/>
                <w:szCs w:val="20"/>
                <w:lang w:val="en-AU"/>
              </w:rPr>
              <w:t>.</w:t>
            </w:r>
          </w:p>
          <w:p w14:paraId="4747BD47" w14:textId="77777777" w:rsidR="00DE315A" w:rsidRPr="00381388" w:rsidRDefault="00DE315A" w:rsidP="00B3138C">
            <w:pPr>
              <w:numPr>
                <w:ilvl w:val="1"/>
                <w:numId w:val="0"/>
              </w:numPr>
              <w:rPr>
                <w:rFonts w:eastAsiaTheme="minorEastAsia"/>
                <w:color w:val="000000" w:themeColor="text1"/>
                <w:spacing w:val="15"/>
                <w:sz w:val="20"/>
                <w:szCs w:val="20"/>
                <w:lang w:val="en-AU"/>
              </w:rPr>
            </w:pPr>
          </w:p>
          <w:p w14:paraId="4162EE88" w14:textId="3AECF970" w:rsidR="008F4103" w:rsidRPr="00351A46" w:rsidRDefault="008F4103" w:rsidP="00B3138C">
            <w:pPr>
              <w:rPr>
                <w:color w:val="000000" w:themeColor="text1"/>
                <w:sz w:val="20"/>
                <w:szCs w:val="20"/>
                <w:lang w:val="en-AU"/>
              </w:rPr>
            </w:pPr>
            <w:r w:rsidRPr="00351A46">
              <w:rPr>
                <w:color w:val="000000" w:themeColor="text1"/>
                <w:sz w:val="20"/>
                <w:szCs w:val="20"/>
                <w:lang w:val="en-AU"/>
              </w:rPr>
              <w:t>Bappenas and Kemenkeu actively use the system and its transparency to improve data quality</w:t>
            </w:r>
            <w:r w:rsidR="00316D23" w:rsidRPr="00351A46">
              <w:rPr>
                <w:color w:val="000000" w:themeColor="text1"/>
                <w:sz w:val="20"/>
                <w:szCs w:val="20"/>
                <w:lang w:val="en-AU"/>
              </w:rPr>
              <w:t>.</w:t>
            </w:r>
            <w:r w:rsidRPr="00351A46">
              <w:rPr>
                <w:color w:val="000000" w:themeColor="text1"/>
                <w:sz w:val="20"/>
                <w:szCs w:val="20"/>
                <w:lang w:val="en-AU"/>
              </w:rPr>
              <w:t xml:space="preserve"> </w:t>
            </w:r>
          </w:p>
          <w:p w14:paraId="26353312" w14:textId="77777777" w:rsidR="00DE315A" w:rsidRPr="00381388" w:rsidRDefault="00DE315A" w:rsidP="00B3138C">
            <w:pPr>
              <w:numPr>
                <w:ilvl w:val="1"/>
                <w:numId w:val="0"/>
              </w:numPr>
              <w:rPr>
                <w:rFonts w:eastAsiaTheme="minorEastAsia"/>
                <w:color w:val="000000" w:themeColor="text1"/>
                <w:spacing w:val="15"/>
                <w:sz w:val="20"/>
                <w:szCs w:val="20"/>
                <w:lang w:val="en-AU"/>
              </w:rPr>
            </w:pPr>
          </w:p>
          <w:p w14:paraId="542B93A4" w14:textId="302A0818" w:rsidR="008F4103" w:rsidRPr="00351A46" w:rsidRDefault="008F4103" w:rsidP="00B3138C">
            <w:pPr>
              <w:rPr>
                <w:color w:val="000000" w:themeColor="text1"/>
                <w:sz w:val="20"/>
                <w:szCs w:val="20"/>
                <w:lang w:val="en-AU"/>
              </w:rPr>
            </w:pPr>
            <w:r w:rsidRPr="00351A46">
              <w:rPr>
                <w:color w:val="000000" w:themeColor="text1"/>
                <w:sz w:val="20"/>
                <w:szCs w:val="20"/>
                <w:lang w:val="en-AU"/>
              </w:rPr>
              <w:t>Bappenas invests in expertise to maintain KRISNA</w:t>
            </w:r>
            <w:r w:rsidR="00316D23" w:rsidRPr="00351A46">
              <w:rPr>
                <w:color w:val="000000" w:themeColor="text1"/>
                <w:sz w:val="20"/>
                <w:szCs w:val="20"/>
                <w:lang w:val="en-AU"/>
              </w:rPr>
              <w:t>.</w:t>
            </w:r>
          </w:p>
          <w:p w14:paraId="61F5110E" w14:textId="77777777" w:rsidR="00DE315A" w:rsidRPr="00381388" w:rsidRDefault="00DE315A" w:rsidP="00B3138C">
            <w:pPr>
              <w:numPr>
                <w:ilvl w:val="1"/>
                <w:numId w:val="0"/>
              </w:numPr>
              <w:rPr>
                <w:rFonts w:eastAsiaTheme="minorEastAsia"/>
                <w:color w:val="000000" w:themeColor="text1"/>
                <w:spacing w:val="15"/>
                <w:sz w:val="20"/>
                <w:szCs w:val="20"/>
                <w:lang w:val="en-AU"/>
              </w:rPr>
            </w:pPr>
          </w:p>
          <w:p w14:paraId="26CBD2D8" w14:textId="686A494B" w:rsidR="008F4103" w:rsidRPr="00351A46" w:rsidRDefault="008F4103" w:rsidP="00B3138C">
            <w:pPr>
              <w:rPr>
                <w:sz w:val="20"/>
                <w:szCs w:val="20"/>
                <w:lang w:val="en-AU"/>
              </w:rPr>
            </w:pPr>
            <w:r w:rsidRPr="00351A46">
              <w:rPr>
                <w:color w:val="000000" w:themeColor="text1"/>
                <w:sz w:val="20"/>
                <w:szCs w:val="20"/>
                <w:lang w:val="en-AU"/>
              </w:rPr>
              <w:t>Bappenas has connections with and trust in PRIs, perceives benefits of collaboration and provide</w:t>
            </w:r>
            <w:r w:rsidR="00316D23" w:rsidRPr="00351A46">
              <w:rPr>
                <w:color w:val="000000" w:themeColor="text1"/>
                <w:sz w:val="20"/>
                <w:szCs w:val="20"/>
                <w:lang w:val="en-AU"/>
              </w:rPr>
              <w:t>s</w:t>
            </w:r>
            <w:r w:rsidRPr="00351A46">
              <w:rPr>
                <w:color w:val="000000" w:themeColor="text1"/>
                <w:sz w:val="20"/>
                <w:szCs w:val="20"/>
                <w:lang w:val="en-AU"/>
              </w:rPr>
              <w:t xml:space="preserve"> PRIs with access to aggregated KRISNA information on </w:t>
            </w:r>
            <w:r w:rsidR="00316D23" w:rsidRPr="00351A46">
              <w:rPr>
                <w:color w:val="000000" w:themeColor="text1"/>
                <w:sz w:val="20"/>
                <w:szCs w:val="20"/>
                <w:lang w:val="en-AU"/>
              </w:rPr>
              <w:t xml:space="preserve">a </w:t>
            </w:r>
            <w:r w:rsidRPr="00351A46">
              <w:rPr>
                <w:color w:val="000000" w:themeColor="text1"/>
                <w:sz w:val="20"/>
                <w:szCs w:val="20"/>
                <w:lang w:val="en-AU"/>
              </w:rPr>
              <w:t>case-by-case basis</w:t>
            </w:r>
            <w:r w:rsidR="00316D23" w:rsidRPr="00351A46">
              <w:rPr>
                <w:color w:val="000000" w:themeColor="text1"/>
                <w:sz w:val="20"/>
                <w:szCs w:val="20"/>
                <w:lang w:val="en-AU"/>
              </w:rPr>
              <w:t>.</w:t>
            </w:r>
          </w:p>
          <w:p w14:paraId="74648142" w14:textId="77777777" w:rsidR="008F4103" w:rsidRPr="00381388" w:rsidRDefault="008F4103" w:rsidP="00B3138C">
            <w:pPr>
              <w:numPr>
                <w:ilvl w:val="1"/>
                <w:numId w:val="0"/>
              </w:numPr>
              <w:rPr>
                <w:rFonts w:eastAsiaTheme="minorEastAsia"/>
                <w:color w:val="5A5A5A" w:themeColor="text1" w:themeTint="A5"/>
                <w:spacing w:val="15"/>
                <w:sz w:val="20"/>
                <w:szCs w:val="20"/>
                <w:lang w:val="en-AU"/>
              </w:rPr>
            </w:pPr>
          </w:p>
          <w:p w14:paraId="4EBFA42E" w14:textId="77777777" w:rsidR="008F4103" w:rsidRPr="00381388" w:rsidRDefault="008F4103" w:rsidP="00B3138C">
            <w:pPr>
              <w:numPr>
                <w:ilvl w:val="1"/>
                <w:numId w:val="0"/>
              </w:numPr>
              <w:rPr>
                <w:rFonts w:eastAsiaTheme="minorEastAsia"/>
                <w:color w:val="5A5A5A" w:themeColor="text1" w:themeTint="A5"/>
                <w:spacing w:val="15"/>
                <w:sz w:val="20"/>
                <w:szCs w:val="20"/>
                <w:lang w:val="en-AU"/>
              </w:rPr>
            </w:pPr>
          </w:p>
          <w:p w14:paraId="290A656F" w14:textId="77777777" w:rsidR="008F4103" w:rsidRPr="00381388" w:rsidRDefault="008F4103" w:rsidP="00B3138C">
            <w:pPr>
              <w:numPr>
                <w:ilvl w:val="1"/>
                <w:numId w:val="0"/>
              </w:numPr>
              <w:rPr>
                <w:rFonts w:eastAsiaTheme="minorEastAsia"/>
                <w:color w:val="5A5A5A" w:themeColor="text1" w:themeTint="A5"/>
                <w:spacing w:val="15"/>
                <w:sz w:val="20"/>
                <w:szCs w:val="20"/>
                <w:lang w:val="en-AU"/>
              </w:rPr>
            </w:pPr>
          </w:p>
          <w:p w14:paraId="0EE21C4F" w14:textId="77777777" w:rsidR="008F4103" w:rsidRPr="00381388" w:rsidRDefault="008F4103" w:rsidP="00B3138C">
            <w:pPr>
              <w:numPr>
                <w:ilvl w:val="1"/>
                <w:numId w:val="0"/>
              </w:numPr>
              <w:rPr>
                <w:rFonts w:eastAsiaTheme="minorEastAsia"/>
                <w:color w:val="000000" w:themeColor="text1"/>
                <w:spacing w:val="15"/>
                <w:sz w:val="20"/>
                <w:szCs w:val="20"/>
                <w:lang w:val="en-AU" w:eastAsia="en-ID"/>
              </w:rPr>
            </w:pPr>
          </w:p>
        </w:tc>
        <w:tc>
          <w:tcPr>
            <w:tcW w:w="3870" w:type="dxa"/>
            <w:shd w:val="clear" w:color="auto" w:fill="FFF2CC" w:themeFill="accent4" w:themeFillTint="33"/>
          </w:tcPr>
          <w:p w14:paraId="119C25EC" w14:textId="7CED7D91" w:rsidR="00DE315A" w:rsidRPr="00351A46" w:rsidRDefault="008F4103" w:rsidP="00B3138C">
            <w:pPr>
              <w:rPr>
                <w:sz w:val="20"/>
                <w:szCs w:val="20"/>
                <w:lang w:val="en-AU"/>
              </w:rPr>
            </w:pPr>
            <w:r w:rsidRPr="00351A46">
              <w:rPr>
                <w:i/>
                <w:sz w:val="20"/>
                <w:szCs w:val="20"/>
                <w:lang w:val="en-AU"/>
              </w:rPr>
              <w:t xml:space="preserve">Embed: </w:t>
            </w:r>
            <w:r w:rsidRPr="00351A46">
              <w:rPr>
                <w:sz w:val="20"/>
                <w:szCs w:val="20"/>
                <w:lang w:val="en-AU"/>
              </w:rPr>
              <w:t>Build support from key agencies through media coverage of KRISNA achievements, commission</w:t>
            </w:r>
            <w:r w:rsidR="00B17A1F" w:rsidRPr="00351A46">
              <w:rPr>
                <w:sz w:val="20"/>
                <w:szCs w:val="20"/>
                <w:lang w:val="en-AU"/>
              </w:rPr>
              <w:t xml:space="preserve"> an</w:t>
            </w:r>
            <w:r w:rsidRPr="00351A46">
              <w:rPr>
                <w:sz w:val="20"/>
                <w:szCs w:val="20"/>
                <w:lang w:val="en-AU"/>
              </w:rPr>
              <w:t xml:space="preserve"> evaluation of KRISNA (including cost-benefit analysis) to demonstrate benefits and facilitat</w:t>
            </w:r>
            <w:r w:rsidR="00B17A1F" w:rsidRPr="00351A46">
              <w:rPr>
                <w:sz w:val="20"/>
                <w:szCs w:val="20"/>
                <w:lang w:val="en-AU"/>
              </w:rPr>
              <w:t>e</w:t>
            </w:r>
            <w:r w:rsidRPr="00351A46">
              <w:rPr>
                <w:sz w:val="20"/>
                <w:szCs w:val="20"/>
                <w:lang w:val="en-AU"/>
              </w:rPr>
              <w:t xml:space="preserve"> regular meetings to discuss progress (including occasionally at </w:t>
            </w:r>
            <w:r w:rsidR="00B17A1F" w:rsidRPr="00351A46">
              <w:rPr>
                <w:sz w:val="20"/>
                <w:szCs w:val="20"/>
                <w:lang w:val="en-AU"/>
              </w:rPr>
              <w:t>m</w:t>
            </w:r>
            <w:r w:rsidRPr="00351A46">
              <w:rPr>
                <w:sz w:val="20"/>
                <w:szCs w:val="20"/>
                <w:lang w:val="en-AU"/>
              </w:rPr>
              <w:t xml:space="preserve">inister level). Build </w:t>
            </w:r>
            <w:r w:rsidR="00B17A1F" w:rsidRPr="00351A46">
              <w:rPr>
                <w:sz w:val="20"/>
                <w:szCs w:val="20"/>
                <w:lang w:val="en-AU"/>
              </w:rPr>
              <w:t>l</w:t>
            </w:r>
            <w:r w:rsidRPr="00351A46">
              <w:rPr>
                <w:sz w:val="20"/>
                <w:szCs w:val="20"/>
                <w:lang w:val="en-AU"/>
              </w:rPr>
              <w:t xml:space="preserve">ine </w:t>
            </w:r>
            <w:r w:rsidR="00B17A1F" w:rsidRPr="00351A46">
              <w:rPr>
                <w:sz w:val="20"/>
                <w:szCs w:val="20"/>
                <w:lang w:val="en-AU"/>
              </w:rPr>
              <w:t>m</w:t>
            </w:r>
            <w:r w:rsidRPr="00351A46">
              <w:rPr>
                <w:sz w:val="20"/>
                <w:szCs w:val="20"/>
                <w:lang w:val="en-AU"/>
              </w:rPr>
              <w:t>inistry support through supporting Bappenas to convene meetings for them to prov</w:t>
            </w:r>
            <w:r w:rsidR="00402B1D" w:rsidRPr="00351A46">
              <w:rPr>
                <w:sz w:val="20"/>
                <w:szCs w:val="20"/>
                <w:lang w:val="en-AU"/>
              </w:rPr>
              <w:t xml:space="preserve">ide feedback on use of KRISNA. </w:t>
            </w:r>
            <w:r w:rsidR="00402B1D" w:rsidRPr="00351A46">
              <w:rPr>
                <w:sz w:val="20"/>
                <w:szCs w:val="20"/>
                <w:lang w:val="en-AU"/>
              </w:rPr>
              <w:br/>
            </w:r>
          </w:p>
          <w:p w14:paraId="1E09C9F7" w14:textId="42451AE7" w:rsidR="008F4103" w:rsidRPr="00351A46" w:rsidRDefault="008F4103" w:rsidP="00B3138C">
            <w:pPr>
              <w:rPr>
                <w:sz w:val="20"/>
                <w:szCs w:val="20"/>
                <w:lang w:val="en-AU"/>
              </w:rPr>
            </w:pPr>
            <w:r w:rsidRPr="00351A46">
              <w:rPr>
                <w:i/>
                <w:sz w:val="20"/>
                <w:szCs w:val="20"/>
                <w:lang w:val="en-AU"/>
              </w:rPr>
              <w:t>Accelerate</w:t>
            </w:r>
            <w:r w:rsidR="000121B3" w:rsidRPr="00351A46">
              <w:rPr>
                <w:i/>
                <w:sz w:val="20"/>
                <w:szCs w:val="20"/>
                <w:lang w:val="en-AU"/>
              </w:rPr>
              <w:t xml:space="preserve"> and critical friend</w:t>
            </w:r>
            <w:r w:rsidRPr="00351A46">
              <w:rPr>
                <w:i/>
                <w:sz w:val="20"/>
                <w:szCs w:val="20"/>
                <w:lang w:val="en-AU"/>
              </w:rPr>
              <w:t xml:space="preserve">: </w:t>
            </w:r>
            <w:r w:rsidRPr="00351A46">
              <w:rPr>
                <w:sz w:val="20"/>
                <w:szCs w:val="20"/>
                <w:lang w:val="en-AU"/>
              </w:rPr>
              <w:t xml:space="preserve">Fund consultants to develop, enhance and expand system (as cost of required quality consultant exceeds </w:t>
            </w:r>
            <w:r w:rsidR="00B17A1F" w:rsidRPr="00351A46">
              <w:rPr>
                <w:sz w:val="20"/>
                <w:szCs w:val="20"/>
                <w:lang w:val="en-AU"/>
              </w:rPr>
              <w:t xml:space="preserve">government </w:t>
            </w:r>
            <w:r w:rsidRPr="00351A46">
              <w:rPr>
                <w:sz w:val="20"/>
                <w:szCs w:val="20"/>
                <w:lang w:val="en-AU"/>
              </w:rPr>
              <w:t>regulatory limits)</w:t>
            </w:r>
            <w:r w:rsidRPr="00351A46">
              <w:rPr>
                <w:color w:val="000000" w:themeColor="text1"/>
                <w:sz w:val="20"/>
                <w:szCs w:val="20"/>
                <w:lang w:val="en-AU"/>
              </w:rPr>
              <w:t>.</w:t>
            </w:r>
            <w:r w:rsidRPr="00351A46">
              <w:rPr>
                <w:sz w:val="20"/>
                <w:szCs w:val="20"/>
                <w:lang w:val="en-AU"/>
              </w:rPr>
              <w:t xml:space="preserve"> </w:t>
            </w:r>
            <w:r w:rsidR="00C95E74" w:rsidRPr="00351A46">
              <w:rPr>
                <w:sz w:val="20"/>
                <w:szCs w:val="20"/>
                <w:lang w:val="en-AU"/>
              </w:rPr>
              <w:t>Share</w:t>
            </w:r>
            <w:r w:rsidRPr="00351A46">
              <w:rPr>
                <w:sz w:val="20"/>
                <w:szCs w:val="20"/>
                <w:lang w:val="en-AU"/>
              </w:rPr>
              <w:t xml:space="preserve"> knowledge (including international experience) and encourag</w:t>
            </w:r>
            <w:r w:rsidR="009E1C17">
              <w:rPr>
                <w:sz w:val="20"/>
                <w:szCs w:val="20"/>
                <w:lang w:val="en-AU"/>
              </w:rPr>
              <w:t>e</w:t>
            </w:r>
            <w:r w:rsidRPr="00351A46">
              <w:rPr>
                <w:sz w:val="20"/>
                <w:szCs w:val="20"/>
                <w:lang w:val="en-AU"/>
              </w:rPr>
              <w:t xml:space="preserve"> stakeholders to reflect and devise solutions.</w:t>
            </w:r>
          </w:p>
          <w:p w14:paraId="2630AE99" w14:textId="3A3D9F78" w:rsidR="008F4103" w:rsidRPr="00351A46" w:rsidRDefault="008F4103" w:rsidP="00B3138C">
            <w:pPr>
              <w:rPr>
                <w:sz w:val="20"/>
                <w:szCs w:val="20"/>
                <w:lang w:val="en-AU"/>
              </w:rPr>
            </w:pPr>
            <w:r w:rsidRPr="00351A46">
              <w:rPr>
                <w:i/>
                <w:sz w:val="20"/>
                <w:szCs w:val="20"/>
                <w:lang w:val="en-AU"/>
              </w:rPr>
              <w:t xml:space="preserve">Connect: </w:t>
            </w:r>
            <w:r w:rsidRPr="00351A46">
              <w:rPr>
                <w:color w:val="000000" w:themeColor="text1"/>
                <w:sz w:val="20"/>
                <w:szCs w:val="20"/>
                <w:lang w:val="en-AU"/>
              </w:rPr>
              <w:t>Strengthen</w:t>
            </w:r>
            <w:r w:rsidRPr="00351A46">
              <w:rPr>
                <w:sz w:val="20"/>
                <w:szCs w:val="20"/>
                <w:lang w:val="en-AU"/>
              </w:rPr>
              <w:t xml:space="preserve"> relationships between </w:t>
            </w:r>
            <w:r w:rsidRPr="00351A46">
              <w:rPr>
                <w:color w:val="000000" w:themeColor="text1"/>
                <w:sz w:val="20"/>
                <w:szCs w:val="20"/>
                <w:lang w:val="en-AU"/>
              </w:rPr>
              <w:t>Bappenas</w:t>
            </w:r>
            <w:r w:rsidRPr="00351A46">
              <w:rPr>
                <w:sz w:val="20"/>
                <w:szCs w:val="20"/>
                <w:lang w:val="en-AU"/>
              </w:rPr>
              <w:t>, Kemenkeu and increasingly KemenPAN</w:t>
            </w:r>
            <w:r w:rsidR="00E941A1" w:rsidRPr="00351A46">
              <w:rPr>
                <w:sz w:val="20"/>
                <w:szCs w:val="20"/>
                <w:lang w:val="en-AU"/>
              </w:rPr>
              <w:t xml:space="preserve"> </w:t>
            </w:r>
            <w:r w:rsidRPr="00351A46">
              <w:rPr>
                <w:sz w:val="20"/>
                <w:szCs w:val="20"/>
                <w:lang w:val="en-AU"/>
              </w:rPr>
              <w:t xml:space="preserve">RB </w:t>
            </w:r>
            <w:r w:rsidR="00B17A1F" w:rsidRPr="00351A46">
              <w:rPr>
                <w:sz w:val="20"/>
                <w:szCs w:val="20"/>
                <w:lang w:val="en-AU"/>
              </w:rPr>
              <w:t xml:space="preserve">by </w:t>
            </w:r>
            <w:r w:rsidRPr="00351A46">
              <w:rPr>
                <w:sz w:val="20"/>
                <w:szCs w:val="20"/>
                <w:lang w:val="en-AU"/>
              </w:rPr>
              <w:t xml:space="preserve">convening and facilitating regular meetings. </w:t>
            </w:r>
          </w:p>
          <w:p w14:paraId="2E678E6D" w14:textId="77777777" w:rsidR="00DE315A" w:rsidRPr="00381388" w:rsidRDefault="00DE315A" w:rsidP="00B3138C">
            <w:pPr>
              <w:numPr>
                <w:ilvl w:val="1"/>
                <w:numId w:val="0"/>
              </w:numPr>
              <w:rPr>
                <w:rFonts w:eastAsiaTheme="minorEastAsia"/>
                <w:i/>
                <w:color w:val="5A5A5A" w:themeColor="text1" w:themeTint="A5"/>
                <w:spacing w:val="15"/>
                <w:sz w:val="20"/>
                <w:szCs w:val="20"/>
                <w:lang w:val="en-AU"/>
              </w:rPr>
            </w:pPr>
          </w:p>
          <w:p w14:paraId="0058A355" w14:textId="3DF71305" w:rsidR="008F4103" w:rsidRPr="00351A46" w:rsidRDefault="008F4103" w:rsidP="00B3138C">
            <w:pPr>
              <w:rPr>
                <w:sz w:val="20"/>
                <w:szCs w:val="20"/>
                <w:lang w:val="en-AU"/>
              </w:rPr>
            </w:pPr>
            <w:r w:rsidRPr="00351A46">
              <w:rPr>
                <w:i/>
                <w:sz w:val="20"/>
                <w:szCs w:val="20"/>
                <w:lang w:val="en-AU"/>
              </w:rPr>
              <w:t xml:space="preserve">Connect: </w:t>
            </w:r>
            <w:r w:rsidRPr="00351A46">
              <w:rPr>
                <w:sz w:val="20"/>
                <w:szCs w:val="20"/>
                <w:lang w:val="en-AU"/>
              </w:rPr>
              <w:t xml:space="preserve">Facilitate institutional relationship between Bappenas and UI’s Lab-e-Gov, </w:t>
            </w:r>
            <w:r w:rsidR="00B17A1F" w:rsidRPr="00351A46">
              <w:rPr>
                <w:sz w:val="20"/>
                <w:szCs w:val="20"/>
                <w:lang w:val="en-AU"/>
              </w:rPr>
              <w:t xml:space="preserve">by </w:t>
            </w:r>
            <w:r w:rsidRPr="00351A46">
              <w:rPr>
                <w:sz w:val="20"/>
                <w:szCs w:val="20"/>
                <w:lang w:val="en-AU"/>
              </w:rPr>
              <w:t>convening meetings and initially funding Lab-e-Gov to provide technical supervision and maintenance of KRISNA.</w:t>
            </w:r>
          </w:p>
          <w:p w14:paraId="4AA17DA8" w14:textId="305E83E1" w:rsidR="00402B1D" w:rsidRPr="00381388" w:rsidRDefault="00402B1D" w:rsidP="00B3138C">
            <w:pPr>
              <w:numPr>
                <w:ilvl w:val="1"/>
                <w:numId w:val="0"/>
              </w:numPr>
              <w:rPr>
                <w:rFonts w:eastAsiaTheme="minorEastAsia"/>
                <w:color w:val="5A5A5A" w:themeColor="text1" w:themeTint="A5"/>
                <w:spacing w:val="15"/>
                <w:sz w:val="20"/>
                <w:szCs w:val="20"/>
                <w:lang w:val="en-AU"/>
              </w:rPr>
            </w:pPr>
          </w:p>
          <w:p w14:paraId="34F60D28" w14:textId="53CCCA6C" w:rsidR="00402B1D" w:rsidRPr="00351A46" w:rsidRDefault="00402B1D" w:rsidP="00B3138C">
            <w:pPr>
              <w:rPr>
                <w:sz w:val="20"/>
                <w:szCs w:val="20"/>
                <w:lang w:val="en-AU"/>
              </w:rPr>
            </w:pPr>
            <w:r w:rsidRPr="00351A46">
              <w:rPr>
                <w:i/>
                <w:sz w:val="20"/>
                <w:szCs w:val="20"/>
                <w:lang w:val="en-AU"/>
              </w:rPr>
              <w:t xml:space="preserve">Accelerate: </w:t>
            </w:r>
            <w:r w:rsidRPr="00351A46">
              <w:rPr>
                <w:sz w:val="20"/>
                <w:szCs w:val="20"/>
                <w:lang w:val="en-AU"/>
              </w:rPr>
              <w:t xml:space="preserve">Support Bappenas to identify effective approaches </w:t>
            </w:r>
            <w:r w:rsidR="00AD3B8A" w:rsidRPr="00351A46">
              <w:rPr>
                <w:sz w:val="20"/>
                <w:szCs w:val="20"/>
                <w:lang w:val="en-AU"/>
              </w:rPr>
              <w:t xml:space="preserve">and internal governance </w:t>
            </w:r>
            <w:r w:rsidRPr="00351A46">
              <w:rPr>
                <w:sz w:val="20"/>
                <w:szCs w:val="20"/>
                <w:lang w:val="en-AU"/>
              </w:rPr>
              <w:t>for operationali</w:t>
            </w:r>
            <w:r w:rsidR="00B3138C">
              <w:rPr>
                <w:sz w:val="20"/>
                <w:szCs w:val="20"/>
                <w:lang w:val="en-AU"/>
              </w:rPr>
              <w:t>s</w:t>
            </w:r>
            <w:r w:rsidRPr="00351A46">
              <w:rPr>
                <w:sz w:val="20"/>
                <w:szCs w:val="20"/>
                <w:lang w:val="en-AU"/>
              </w:rPr>
              <w:t xml:space="preserve">ing its Knowledge Centre. </w:t>
            </w:r>
          </w:p>
          <w:p w14:paraId="55CFAE35" w14:textId="77777777" w:rsidR="00DE315A" w:rsidRPr="00381388" w:rsidRDefault="00DE315A" w:rsidP="00B3138C">
            <w:pPr>
              <w:numPr>
                <w:ilvl w:val="1"/>
                <w:numId w:val="0"/>
              </w:numPr>
              <w:rPr>
                <w:rFonts w:eastAsiaTheme="minorEastAsia"/>
                <w:i/>
                <w:color w:val="5A5A5A" w:themeColor="text1" w:themeTint="A5"/>
                <w:spacing w:val="15"/>
                <w:sz w:val="20"/>
                <w:szCs w:val="20"/>
                <w:lang w:val="en-AU"/>
              </w:rPr>
            </w:pPr>
          </w:p>
          <w:p w14:paraId="637E9B37" w14:textId="77777777" w:rsidR="008F4103" w:rsidRPr="00351A46" w:rsidRDefault="008F4103" w:rsidP="00B3138C">
            <w:pPr>
              <w:rPr>
                <w:sz w:val="20"/>
                <w:szCs w:val="20"/>
                <w:lang w:val="en-AU"/>
              </w:rPr>
            </w:pPr>
            <w:r w:rsidRPr="00351A46">
              <w:rPr>
                <w:i/>
                <w:sz w:val="20"/>
                <w:szCs w:val="20"/>
                <w:lang w:val="en-AU"/>
              </w:rPr>
              <w:t xml:space="preserve">Connect: </w:t>
            </w:r>
            <w:r w:rsidRPr="00351A46">
              <w:rPr>
                <w:sz w:val="20"/>
                <w:szCs w:val="20"/>
                <w:lang w:val="en-AU"/>
              </w:rPr>
              <w:t xml:space="preserve">Link Bappenas and PRIs to build trust </w:t>
            </w:r>
            <w:r w:rsidRPr="00351A46">
              <w:rPr>
                <w:color w:val="000000" w:themeColor="text1"/>
                <w:sz w:val="20"/>
                <w:szCs w:val="20"/>
                <w:lang w:val="en-AU"/>
              </w:rPr>
              <w:t>and</w:t>
            </w:r>
            <w:r w:rsidRPr="00351A46">
              <w:rPr>
                <w:sz w:val="20"/>
                <w:szCs w:val="20"/>
                <w:lang w:val="en-AU"/>
              </w:rPr>
              <w:t xml:space="preserve"> enable PRIs to conduct analysis using KRISNA information and their own data sets. </w:t>
            </w:r>
          </w:p>
          <w:p w14:paraId="1B5B1374" w14:textId="77777777" w:rsidR="00DE315A" w:rsidRPr="00381388" w:rsidRDefault="00DE315A" w:rsidP="00B3138C">
            <w:pPr>
              <w:numPr>
                <w:ilvl w:val="1"/>
                <w:numId w:val="0"/>
              </w:numPr>
              <w:rPr>
                <w:rFonts w:eastAsiaTheme="minorEastAsia"/>
                <w:color w:val="5A5A5A" w:themeColor="text1" w:themeTint="A5"/>
                <w:spacing w:val="15"/>
                <w:sz w:val="20"/>
                <w:szCs w:val="20"/>
                <w:lang w:val="en-AU"/>
              </w:rPr>
            </w:pPr>
          </w:p>
          <w:p w14:paraId="512A2E6C" w14:textId="40531CEA" w:rsidR="008F4103" w:rsidRPr="00351A46" w:rsidRDefault="008F4103" w:rsidP="00B3138C">
            <w:pPr>
              <w:rPr>
                <w:sz w:val="20"/>
                <w:szCs w:val="20"/>
                <w:lang w:val="en-AU"/>
              </w:rPr>
            </w:pPr>
            <w:r w:rsidRPr="00351A46">
              <w:rPr>
                <w:i/>
                <w:sz w:val="20"/>
                <w:szCs w:val="20"/>
                <w:lang w:val="en-AU"/>
              </w:rPr>
              <w:t xml:space="preserve">Initiate: </w:t>
            </w:r>
            <w:r w:rsidRPr="00351A46">
              <w:rPr>
                <w:sz w:val="20"/>
                <w:szCs w:val="20"/>
                <w:lang w:val="en-AU"/>
              </w:rPr>
              <w:t xml:space="preserve">Identify and champion </w:t>
            </w:r>
            <w:r w:rsidR="00B17A1F" w:rsidRPr="00351A46">
              <w:rPr>
                <w:sz w:val="20"/>
                <w:szCs w:val="20"/>
                <w:lang w:val="en-AU"/>
              </w:rPr>
              <w:t>m</w:t>
            </w:r>
            <w:r w:rsidRPr="00351A46">
              <w:rPr>
                <w:sz w:val="20"/>
                <w:szCs w:val="20"/>
                <w:lang w:val="en-AU"/>
              </w:rPr>
              <w:t xml:space="preserve">inistries </w:t>
            </w:r>
            <w:r w:rsidRPr="00351A46">
              <w:rPr>
                <w:color w:val="000000" w:themeColor="text1"/>
                <w:sz w:val="20"/>
                <w:szCs w:val="20"/>
                <w:lang w:val="en-AU"/>
              </w:rPr>
              <w:t>interested</w:t>
            </w:r>
            <w:r w:rsidRPr="00351A46">
              <w:rPr>
                <w:sz w:val="20"/>
                <w:szCs w:val="20"/>
                <w:lang w:val="en-AU"/>
              </w:rPr>
              <w:t xml:space="preserve"> in improving </w:t>
            </w:r>
            <w:r w:rsidR="00B17A1F" w:rsidRPr="00351A46">
              <w:rPr>
                <w:sz w:val="20"/>
                <w:szCs w:val="20"/>
                <w:lang w:val="en-AU"/>
              </w:rPr>
              <w:t xml:space="preserve">the </w:t>
            </w:r>
            <w:r w:rsidRPr="00351A46">
              <w:rPr>
                <w:sz w:val="20"/>
                <w:szCs w:val="20"/>
                <w:lang w:val="en-AU"/>
              </w:rPr>
              <w:t xml:space="preserve">quality of </w:t>
            </w:r>
            <w:r w:rsidR="00B17A1F" w:rsidRPr="00351A46">
              <w:rPr>
                <w:sz w:val="20"/>
                <w:szCs w:val="20"/>
                <w:lang w:val="en-AU"/>
              </w:rPr>
              <w:t>monitoring and evaluation</w:t>
            </w:r>
            <w:r w:rsidRPr="00351A46">
              <w:rPr>
                <w:sz w:val="20"/>
                <w:szCs w:val="20"/>
                <w:lang w:val="en-AU"/>
              </w:rPr>
              <w:t xml:space="preserve"> data and integrating </w:t>
            </w:r>
            <w:r w:rsidR="00B17A1F" w:rsidRPr="00351A46">
              <w:rPr>
                <w:sz w:val="20"/>
                <w:szCs w:val="20"/>
                <w:lang w:val="en-AU"/>
              </w:rPr>
              <w:t xml:space="preserve">it </w:t>
            </w:r>
            <w:r w:rsidRPr="00351A46">
              <w:rPr>
                <w:sz w:val="20"/>
                <w:szCs w:val="20"/>
                <w:lang w:val="en-AU"/>
              </w:rPr>
              <w:t>into KRISNA (‘positive examples’).</w:t>
            </w:r>
          </w:p>
        </w:tc>
        <w:tc>
          <w:tcPr>
            <w:tcW w:w="2215" w:type="dxa"/>
            <w:shd w:val="clear" w:color="auto" w:fill="FFF2CC" w:themeFill="accent4" w:themeFillTint="33"/>
          </w:tcPr>
          <w:p w14:paraId="73F7AE38" w14:textId="60130A42" w:rsidR="008F4103" w:rsidRPr="00351A46" w:rsidRDefault="00B17A1F" w:rsidP="00B3138C">
            <w:pPr>
              <w:rPr>
                <w:color w:val="000000" w:themeColor="text1"/>
                <w:sz w:val="20"/>
                <w:szCs w:val="20"/>
                <w:lang w:val="en-AU" w:eastAsia="en-ID"/>
              </w:rPr>
            </w:pPr>
            <w:r w:rsidRPr="00351A46">
              <w:rPr>
                <w:color w:val="000000" w:themeColor="text1"/>
                <w:sz w:val="20"/>
                <w:szCs w:val="20"/>
                <w:lang w:val="en-AU" w:eastAsia="en-ID"/>
              </w:rPr>
              <w:t>Seven</w:t>
            </w:r>
            <w:r w:rsidR="008F4103" w:rsidRPr="00351A46">
              <w:rPr>
                <w:color w:val="000000" w:themeColor="text1"/>
                <w:sz w:val="20"/>
                <w:szCs w:val="20"/>
                <w:lang w:val="en-AU" w:eastAsia="en-ID"/>
              </w:rPr>
              <w:t xml:space="preserve"> local governments pilot </w:t>
            </w:r>
            <w:r w:rsidR="008F4103" w:rsidRPr="00351A46">
              <w:rPr>
                <w:color w:val="000000" w:themeColor="text1"/>
                <w:sz w:val="20"/>
                <w:szCs w:val="20"/>
                <w:lang w:val="en-AU"/>
              </w:rPr>
              <w:t>use</w:t>
            </w:r>
            <w:r w:rsidR="008F4103" w:rsidRPr="00351A46">
              <w:rPr>
                <w:color w:val="000000" w:themeColor="text1"/>
                <w:sz w:val="20"/>
                <w:szCs w:val="20"/>
                <w:lang w:val="en-AU" w:eastAsia="en-ID"/>
              </w:rPr>
              <w:t xml:space="preserve"> of KRISNA for DAK planning and budgeting</w:t>
            </w:r>
            <w:r w:rsidRPr="00351A46">
              <w:rPr>
                <w:color w:val="000000" w:themeColor="text1"/>
                <w:sz w:val="20"/>
                <w:szCs w:val="20"/>
                <w:lang w:val="en-AU" w:eastAsia="en-ID"/>
              </w:rPr>
              <w:t>.</w:t>
            </w:r>
          </w:p>
          <w:p w14:paraId="56F23DF5" w14:textId="557D649C" w:rsidR="008F4103" w:rsidRPr="00351A46" w:rsidRDefault="008F4103" w:rsidP="00B3138C">
            <w:pPr>
              <w:rPr>
                <w:color w:val="000000" w:themeColor="text1"/>
                <w:sz w:val="20"/>
                <w:szCs w:val="20"/>
                <w:lang w:val="en-AU" w:eastAsia="en-ID"/>
              </w:rPr>
            </w:pPr>
            <w:r w:rsidRPr="00351A46">
              <w:rPr>
                <w:color w:val="000000" w:themeColor="text1"/>
                <w:sz w:val="20"/>
                <w:szCs w:val="20"/>
                <w:lang w:val="en-AU"/>
              </w:rPr>
              <w:t>Presidential support for rolling</w:t>
            </w:r>
            <w:r w:rsidRPr="00351A46">
              <w:rPr>
                <w:color w:val="000000" w:themeColor="text1"/>
                <w:sz w:val="20"/>
                <w:szCs w:val="20"/>
                <w:lang w:val="en-AU" w:eastAsia="en-ID"/>
              </w:rPr>
              <w:t xml:space="preserve"> out KRISNA to other local governments</w:t>
            </w:r>
            <w:r w:rsidR="00B17A1F" w:rsidRPr="00351A46">
              <w:rPr>
                <w:color w:val="000000" w:themeColor="text1"/>
                <w:sz w:val="20"/>
                <w:szCs w:val="20"/>
                <w:lang w:val="en-AU" w:eastAsia="en-ID"/>
              </w:rPr>
              <w:t>.</w:t>
            </w:r>
          </w:p>
          <w:p w14:paraId="76535EEE" w14:textId="46899E52" w:rsidR="008F4103" w:rsidRPr="00351A46" w:rsidRDefault="008F4103" w:rsidP="00B3138C">
            <w:pPr>
              <w:rPr>
                <w:color w:val="000000" w:themeColor="text1"/>
                <w:sz w:val="20"/>
                <w:szCs w:val="20"/>
                <w:lang w:val="en-AU" w:eastAsia="en-ID"/>
              </w:rPr>
            </w:pPr>
            <w:r w:rsidRPr="00351A46">
              <w:rPr>
                <w:color w:val="000000" w:themeColor="text1"/>
                <w:sz w:val="20"/>
                <w:szCs w:val="20"/>
                <w:lang w:val="en-AU" w:eastAsia="en-ID"/>
              </w:rPr>
              <w:t>Process started for integrating multi-year planning and budgeting into KRISNA</w:t>
            </w:r>
            <w:r w:rsidR="00B17A1F" w:rsidRPr="00351A46">
              <w:rPr>
                <w:color w:val="000000" w:themeColor="text1"/>
                <w:sz w:val="20"/>
                <w:szCs w:val="20"/>
                <w:lang w:val="en-AU" w:eastAsia="en-ID"/>
              </w:rPr>
              <w:t>.</w:t>
            </w:r>
          </w:p>
          <w:p w14:paraId="100607B6" w14:textId="77777777" w:rsidR="00DE315A" w:rsidRPr="00381388" w:rsidRDefault="00DE315A" w:rsidP="00B3138C">
            <w:pPr>
              <w:numPr>
                <w:ilvl w:val="1"/>
                <w:numId w:val="0"/>
              </w:numPr>
              <w:rPr>
                <w:rFonts w:eastAsiaTheme="minorEastAsia"/>
                <w:color w:val="000000" w:themeColor="text1"/>
                <w:spacing w:val="15"/>
                <w:sz w:val="20"/>
                <w:szCs w:val="20"/>
                <w:lang w:val="en-AU" w:eastAsia="en-ID"/>
              </w:rPr>
            </w:pPr>
          </w:p>
          <w:p w14:paraId="49F3A6A0" w14:textId="2597A04E" w:rsidR="008F4103" w:rsidRPr="00351A46" w:rsidRDefault="008F4103" w:rsidP="00B3138C">
            <w:pPr>
              <w:rPr>
                <w:color w:val="000000" w:themeColor="text1"/>
                <w:sz w:val="20"/>
                <w:szCs w:val="20"/>
                <w:lang w:val="en-AU" w:eastAsia="en-ID"/>
              </w:rPr>
            </w:pPr>
            <w:r w:rsidRPr="00351A46">
              <w:rPr>
                <w:color w:val="000000" w:themeColor="text1"/>
                <w:sz w:val="20"/>
                <w:szCs w:val="20"/>
                <w:lang w:val="en-AU" w:eastAsia="en-ID"/>
              </w:rPr>
              <w:t xml:space="preserve">Bappenas allocates </w:t>
            </w:r>
            <w:r w:rsidRPr="00351A46">
              <w:rPr>
                <w:color w:val="000000" w:themeColor="text1"/>
                <w:sz w:val="20"/>
                <w:szCs w:val="20"/>
                <w:lang w:val="en-AU"/>
              </w:rPr>
              <w:t>increased</w:t>
            </w:r>
            <w:r w:rsidRPr="00351A46">
              <w:rPr>
                <w:color w:val="000000" w:themeColor="text1"/>
                <w:sz w:val="20"/>
                <w:szCs w:val="20"/>
                <w:lang w:val="en-AU" w:eastAsia="en-ID"/>
              </w:rPr>
              <w:t xml:space="preserve"> funding f</w:t>
            </w:r>
            <w:r w:rsidR="002F4E43" w:rsidRPr="00351A46">
              <w:rPr>
                <w:color w:val="000000" w:themeColor="text1"/>
                <w:sz w:val="20"/>
                <w:szCs w:val="20"/>
                <w:lang w:val="en-AU" w:eastAsia="en-ID"/>
              </w:rPr>
              <w:t xml:space="preserve">or KRISNA for 2019 and 2020 </w:t>
            </w:r>
            <w:r w:rsidR="00DE315A" w:rsidRPr="00351A46">
              <w:rPr>
                <w:color w:val="000000" w:themeColor="text1"/>
                <w:sz w:val="20"/>
                <w:szCs w:val="20"/>
                <w:lang w:val="en-AU" w:eastAsia="en-ID"/>
              </w:rPr>
              <w:t>budget</w:t>
            </w:r>
            <w:r w:rsidR="00B17A1F" w:rsidRPr="00351A46">
              <w:rPr>
                <w:color w:val="000000" w:themeColor="text1"/>
                <w:sz w:val="20"/>
                <w:szCs w:val="20"/>
                <w:lang w:val="en-AU" w:eastAsia="en-ID"/>
              </w:rPr>
              <w:t>.</w:t>
            </w:r>
          </w:p>
          <w:p w14:paraId="44ED896E" w14:textId="77777777" w:rsidR="00DE315A" w:rsidRPr="00381388" w:rsidRDefault="00DE315A" w:rsidP="00B3138C">
            <w:pPr>
              <w:numPr>
                <w:ilvl w:val="1"/>
                <w:numId w:val="0"/>
              </w:numPr>
              <w:rPr>
                <w:rFonts w:eastAsiaTheme="minorEastAsia"/>
                <w:color w:val="000000" w:themeColor="text1"/>
                <w:spacing w:val="15"/>
                <w:sz w:val="20"/>
                <w:szCs w:val="20"/>
                <w:lang w:val="en-AU" w:eastAsia="en-ID"/>
              </w:rPr>
            </w:pPr>
          </w:p>
          <w:p w14:paraId="3D1B773F" w14:textId="2F67B165" w:rsidR="008F4103" w:rsidRPr="00351A46" w:rsidRDefault="008F4103" w:rsidP="00B3138C">
            <w:pPr>
              <w:rPr>
                <w:color w:val="000000" w:themeColor="text1"/>
                <w:sz w:val="20"/>
                <w:szCs w:val="20"/>
                <w:lang w:val="en-AU" w:eastAsia="en-ID"/>
              </w:rPr>
            </w:pPr>
            <w:r w:rsidRPr="00351A46">
              <w:rPr>
                <w:color w:val="000000" w:themeColor="text1"/>
                <w:sz w:val="20"/>
                <w:szCs w:val="20"/>
                <w:lang w:val="en-AU" w:eastAsia="en-ID"/>
              </w:rPr>
              <w:t>Strengthened relationship between Bappenas and Lab-e-</w:t>
            </w:r>
            <w:r w:rsidRPr="00351A46">
              <w:rPr>
                <w:color w:val="000000" w:themeColor="text1"/>
                <w:sz w:val="20"/>
                <w:szCs w:val="20"/>
                <w:lang w:val="en-AU"/>
              </w:rPr>
              <w:t>Gov</w:t>
            </w:r>
            <w:r w:rsidRPr="00351A46">
              <w:rPr>
                <w:color w:val="000000" w:themeColor="text1"/>
                <w:sz w:val="20"/>
                <w:szCs w:val="20"/>
                <w:lang w:val="en-AU" w:eastAsia="en-ID"/>
              </w:rPr>
              <w:t>, with Lab-e-Gov providing technical supervision (with KSI funding)</w:t>
            </w:r>
            <w:r w:rsidR="00B17A1F" w:rsidRPr="00351A46">
              <w:rPr>
                <w:color w:val="000000" w:themeColor="text1"/>
                <w:sz w:val="20"/>
                <w:szCs w:val="20"/>
                <w:lang w:val="en-AU" w:eastAsia="en-ID"/>
              </w:rPr>
              <w:t>.</w:t>
            </w:r>
          </w:p>
          <w:p w14:paraId="380D2DF5" w14:textId="6CA8E7AB" w:rsidR="00402B1D" w:rsidRPr="00381388" w:rsidRDefault="00402B1D" w:rsidP="00B3138C">
            <w:pPr>
              <w:numPr>
                <w:ilvl w:val="1"/>
                <w:numId w:val="0"/>
              </w:numPr>
              <w:rPr>
                <w:rFonts w:eastAsiaTheme="minorEastAsia"/>
                <w:color w:val="000000" w:themeColor="text1"/>
                <w:spacing w:val="15"/>
                <w:sz w:val="20"/>
                <w:szCs w:val="20"/>
                <w:lang w:val="en-AU" w:eastAsia="en-ID"/>
              </w:rPr>
            </w:pPr>
          </w:p>
          <w:p w14:paraId="26CC78E5" w14:textId="1AB32A9D" w:rsidR="00402B1D" w:rsidRPr="00351A46" w:rsidRDefault="00402B1D" w:rsidP="00B3138C">
            <w:pPr>
              <w:rPr>
                <w:color w:val="000000" w:themeColor="text1"/>
                <w:sz w:val="20"/>
                <w:szCs w:val="20"/>
                <w:lang w:val="en-AU" w:eastAsia="en-ID"/>
              </w:rPr>
            </w:pPr>
            <w:r w:rsidRPr="00351A46">
              <w:rPr>
                <w:color w:val="000000" w:themeColor="text1"/>
                <w:sz w:val="20"/>
                <w:szCs w:val="20"/>
                <w:lang w:val="en-AU" w:eastAsia="en-ID"/>
              </w:rPr>
              <w:t xml:space="preserve">Scoping study conducted with Bappenas to identify appropriate governance mechanisms and set-up for the Knowledge Centre. </w:t>
            </w:r>
          </w:p>
          <w:p w14:paraId="67BE2A88" w14:textId="77777777" w:rsidR="00DE315A" w:rsidRPr="00381388" w:rsidRDefault="00DE315A" w:rsidP="00B3138C">
            <w:pPr>
              <w:numPr>
                <w:ilvl w:val="1"/>
                <w:numId w:val="0"/>
              </w:numPr>
              <w:rPr>
                <w:rFonts w:eastAsiaTheme="minorEastAsia"/>
                <w:color w:val="000000" w:themeColor="text1"/>
                <w:spacing w:val="15"/>
                <w:sz w:val="20"/>
                <w:szCs w:val="20"/>
                <w:lang w:val="en-AU" w:eastAsia="en-ID"/>
              </w:rPr>
            </w:pPr>
          </w:p>
          <w:p w14:paraId="61BA6FD8" w14:textId="5F0CE068" w:rsidR="008F4103" w:rsidRPr="00351A46" w:rsidRDefault="008F4103" w:rsidP="00B3138C">
            <w:pPr>
              <w:rPr>
                <w:color w:val="000000" w:themeColor="text1"/>
                <w:sz w:val="20"/>
                <w:szCs w:val="20"/>
                <w:lang w:val="en-AU" w:eastAsia="en-ID"/>
              </w:rPr>
            </w:pPr>
            <w:r w:rsidRPr="00351A46">
              <w:rPr>
                <w:color w:val="000000" w:themeColor="text1"/>
                <w:sz w:val="20"/>
                <w:szCs w:val="20"/>
                <w:lang w:val="en-AU" w:eastAsia="en-ID"/>
              </w:rPr>
              <w:t xml:space="preserve">Key agencies have better </w:t>
            </w:r>
            <w:r w:rsidRPr="00351A46">
              <w:rPr>
                <w:color w:val="000000" w:themeColor="text1"/>
                <w:sz w:val="20"/>
                <w:szCs w:val="20"/>
                <w:lang w:val="en-AU"/>
              </w:rPr>
              <w:t>understanding</w:t>
            </w:r>
            <w:r w:rsidRPr="00351A46">
              <w:rPr>
                <w:color w:val="000000" w:themeColor="text1"/>
                <w:sz w:val="20"/>
                <w:szCs w:val="20"/>
                <w:lang w:val="en-AU" w:eastAsia="en-ID"/>
              </w:rPr>
              <w:t xml:space="preserve"> of effectiveness and benefits of KRISNA</w:t>
            </w:r>
            <w:r w:rsidR="00B17A1F" w:rsidRPr="00351A46">
              <w:rPr>
                <w:color w:val="000000" w:themeColor="text1"/>
                <w:sz w:val="20"/>
                <w:szCs w:val="20"/>
                <w:lang w:val="en-AU" w:eastAsia="en-ID"/>
              </w:rPr>
              <w:t>.</w:t>
            </w:r>
          </w:p>
          <w:p w14:paraId="4861A801" w14:textId="77777777" w:rsidR="008F4103" w:rsidRPr="00381388" w:rsidRDefault="008F4103" w:rsidP="00B3138C">
            <w:pPr>
              <w:numPr>
                <w:ilvl w:val="1"/>
                <w:numId w:val="0"/>
              </w:numPr>
              <w:rPr>
                <w:rFonts w:eastAsiaTheme="minorEastAsia"/>
                <w:color w:val="000000" w:themeColor="text1"/>
                <w:spacing w:val="15"/>
                <w:sz w:val="20"/>
                <w:szCs w:val="20"/>
                <w:lang w:val="en-AU" w:eastAsia="en-ID"/>
              </w:rPr>
            </w:pPr>
          </w:p>
          <w:p w14:paraId="657715D6" w14:textId="77C943AC" w:rsidR="008F4103" w:rsidRPr="00381388" w:rsidRDefault="008F4103" w:rsidP="00B3138C">
            <w:pPr>
              <w:numPr>
                <w:ilvl w:val="1"/>
                <w:numId w:val="0"/>
              </w:numPr>
              <w:rPr>
                <w:rFonts w:eastAsiaTheme="minorEastAsia"/>
                <w:color w:val="000000" w:themeColor="text1"/>
                <w:spacing w:val="15"/>
                <w:sz w:val="20"/>
                <w:szCs w:val="20"/>
                <w:lang w:val="en-AU" w:eastAsia="en-ID"/>
              </w:rPr>
            </w:pPr>
          </w:p>
        </w:tc>
      </w:tr>
    </w:tbl>
    <w:p w14:paraId="248991E3" w14:textId="77777777" w:rsidR="00147922" w:rsidRDefault="00147922">
      <w:pPr>
        <w:rPr>
          <w:lang w:val="en-AU"/>
        </w:rPr>
        <w:sectPr w:rsidR="00147922" w:rsidSect="008F4103">
          <w:pgSz w:w="11900" w:h="16850"/>
          <w:pgMar w:top="1440" w:right="1440" w:bottom="1440" w:left="1440" w:header="758" w:footer="0" w:gutter="0"/>
          <w:cols w:space="720"/>
          <w:docGrid w:linePitch="299"/>
        </w:sectPr>
      </w:pPr>
    </w:p>
    <w:p w14:paraId="6C4797A7" w14:textId="18FF9A7F" w:rsidR="005D46F6" w:rsidRPr="00B3138C" w:rsidRDefault="005D46F6">
      <w:pPr>
        <w:pStyle w:val="Heading4"/>
        <w:rPr>
          <w:sz w:val="12"/>
          <w:lang w:val="en-AU"/>
        </w:rPr>
      </w:pPr>
      <w:r w:rsidRPr="00351A46">
        <w:rPr>
          <w:lang w:val="en-AU"/>
        </w:rPr>
        <w:t>EOPO 5: Policy research organisations increasingly produce quality policy research, communicate it effectively and collaborate as key players in Indonesia’s knowledge sector</w:t>
      </w:r>
      <w:r w:rsidR="008F4103" w:rsidRPr="00351A46">
        <w:rPr>
          <w:lang w:val="en-AU"/>
        </w:rPr>
        <w:br/>
      </w:r>
    </w:p>
    <w:p w14:paraId="193395D6" w14:textId="0A8B158D" w:rsidR="002A0C6F" w:rsidRDefault="005D46F6">
      <w:pPr>
        <w:spacing w:after="0"/>
        <w:jc w:val="both"/>
        <w:rPr>
          <w:lang w:val="en-AU"/>
        </w:rPr>
      </w:pPr>
      <w:r w:rsidRPr="00351A46">
        <w:rPr>
          <w:lang w:val="en-AU"/>
        </w:rPr>
        <w:t>PRIs play a critical role in shaping public policy by providing an informed and independent voice in policy debates. For PRIs to effectively play this policy</w:t>
      </w:r>
      <w:r w:rsidR="00B17A1F" w:rsidRPr="00351A46">
        <w:rPr>
          <w:lang w:val="en-AU"/>
        </w:rPr>
        <w:t>-</w:t>
      </w:r>
      <w:r w:rsidRPr="00351A46">
        <w:rPr>
          <w:lang w:val="en-AU"/>
        </w:rPr>
        <w:t xml:space="preserve">influencing role, they need to be able to produce quality, policy-relevant research and practice evidence-based communication and advocacy to influence across the policy cycle. They also need networks and relationships with key policy players to be able to affect change. Each PRI brings strengths and areas of expertise, as well as areas for further </w:t>
      </w:r>
      <w:r w:rsidR="00971BE3" w:rsidRPr="00351A46">
        <w:rPr>
          <w:lang w:val="en-AU"/>
        </w:rPr>
        <w:t>improvement</w:t>
      </w:r>
      <w:r w:rsidRPr="00351A46">
        <w:rPr>
          <w:lang w:val="en-AU"/>
        </w:rPr>
        <w:t xml:space="preserve">. </w:t>
      </w:r>
      <w:r w:rsidR="003E2864" w:rsidRPr="00351A46">
        <w:rPr>
          <w:lang w:val="en-AU"/>
        </w:rPr>
        <w:t xml:space="preserve">Through </w:t>
      </w:r>
      <w:r w:rsidR="003E2864" w:rsidRPr="00351A46">
        <w:rPr>
          <w:i/>
          <w:lang w:val="en-AU"/>
        </w:rPr>
        <w:t xml:space="preserve">Key Initiative 8: PRI Support, </w:t>
      </w:r>
      <w:r w:rsidRPr="00351A46">
        <w:rPr>
          <w:lang w:val="en-AU"/>
        </w:rPr>
        <w:t>EOPO 5 seeks to further strengthen PRIs’ role as key policy actors through support to improve the quality and policy</w:t>
      </w:r>
      <w:r w:rsidR="00B17A1F" w:rsidRPr="00351A46">
        <w:rPr>
          <w:lang w:val="en-AU"/>
        </w:rPr>
        <w:t xml:space="preserve"> </w:t>
      </w:r>
      <w:r w:rsidRPr="00351A46">
        <w:rPr>
          <w:lang w:val="en-AU"/>
        </w:rPr>
        <w:t>relevance of their research</w:t>
      </w:r>
      <w:r w:rsidR="00B17A1F" w:rsidRPr="00351A46">
        <w:rPr>
          <w:lang w:val="en-AU"/>
        </w:rPr>
        <w:t>,</w:t>
      </w:r>
      <w:r w:rsidRPr="00351A46">
        <w:rPr>
          <w:lang w:val="en-AU"/>
        </w:rPr>
        <w:t xml:space="preserve"> and how they practice evidence-based communication and advocacy across the policy cycle. It also seeks to facilitate PRI</w:t>
      </w:r>
      <w:r w:rsidR="00B17A1F" w:rsidRPr="00351A46">
        <w:rPr>
          <w:lang w:val="en-AU"/>
        </w:rPr>
        <w:t>s’</w:t>
      </w:r>
      <w:r w:rsidRPr="00351A46">
        <w:rPr>
          <w:lang w:val="en-AU"/>
        </w:rPr>
        <w:t xml:space="preserve"> collaboration with each other and other key players to address systemic issues in the knowledge sector, </w:t>
      </w:r>
      <w:r w:rsidR="00EC28E0" w:rsidRPr="00351A46">
        <w:rPr>
          <w:lang w:val="en-AU"/>
        </w:rPr>
        <w:t>to</w:t>
      </w:r>
      <w:r w:rsidRPr="00351A46">
        <w:rPr>
          <w:lang w:val="en-AU"/>
        </w:rPr>
        <w:t xml:space="preserve"> improve the enabling environment within which PR</w:t>
      </w:r>
      <w:r w:rsidR="005A2BD9" w:rsidRPr="00351A46">
        <w:rPr>
          <w:lang w:val="en-AU"/>
        </w:rPr>
        <w:t>Is operate.</w:t>
      </w:r>
      <w:r w:rsidR="00145262" w:rsidRPr="00351A46">
        <w:rPr>
          <w:lang w:val="en-AU"/>
        </w:rPr>
        <w:t xml:space="preserve"> KSI’s support to PRIs has recently been reviewed and </w:t>
      </w:r>
      <w:r w:rsidR="00337256">
        <w:rPr>
          <w:lang w:val="en-AU"/>
        </w:rPr>
        <w:t>the</w:t>
      </w:r>
      <w:r w:rsidR="00337256" w:rsidRPr="00351A46">
        <w:rPr>
          <w:lang w:val="en-AU"/>
        </w:rPr>
        <w:t xml:space="preserve"> </w:t>
      </w:r>
      <w:r w:rsidR="00145262" w:rsidRPr="00351A46">
        <w:rPr>
          <w:lang w:val="en-AU"/>
        </w:rPr>
        <w:t xml:space="preserve">findings are still being considered. As such, the proposed approach to support PRIs in this Program </w:t>
      </w:r>
      <w:r w:rsidR="00E97E2C" w:rsidRPr="00351A46">
        <w:rPr>
          <w:lang w:val="en-AU"/>
        </w:rPr>
        <w:t xml:space="preserve">Implementation Strategy is </w:t>
      </w:r>
      <w:r w:rsidR="00145262" w:rsidRPr="00351A46">
        <w:rPr>
          <w:lang w:val="en-AU"/>
        </w:rPr>
        <w:t>provisional and needs to be test</w:t>
      </w:r>
      <w:r w:rsidR="003E2864" w:rsidRPr="00351A46">
        <w:rPr>
          <w:lang w:val="en-AU"/>
        </w:rPr>
        <w:t>ed with PRIs, DFAT an</w:t>
      </w:r>
      <w:r w:rsidR="00F912D4">
        <w:rPr>
          <w:lang w:val="en-AU"/>
        </w:rPr>
        <w:t>d Bappenas.</w:t>
      </w:r>
    </w:p>
    <w:p w14:paraId="2BDDC413" w14:textId="77777777" w:rsidR="002A0C6F" w:rsidRDefault="002A0C6F">
      <w:pPr>
        <w:spacing w:after="0"/>
        <w:jc w:val="both"/>
        <w:rPr>
          <w:lang w:val="en-AU"/>
        </w:rPr>
      </w:pPr>
    </w:p>
    <w:p w14:paraId="25DE0073" w14:textId="77777777" w:rsidR="002A0C6F" w:rsidRDefault="002A0C6F">
      <w:pPr>
        <w:rPr>
          <w:lang w:val="en-AU"/>
        </w:rPr>
      </w:pPr>
      <w:r>
        <w:rPr>
          <w:lang w:val="en-AU"/>
        </w:rPr>
        <w:br w:type="page"/>
      </w:r>
    </w:p>
    <w:tbl>
      <w:tblPr>
        <w:tblStyle w:val="TableGrid4"/>
        <w:tblpPr w:leftFromText="180" w:rightFromText="180" w:vertAnchor="text" w:horzAnchor="margin" w:tblpXSpec="center" w:tblpY="562"/>
        <w:tblW w:w="10490" w:type="dxa"/>
        <w:tblLook w:val="04A0" w:firstRow="1" w:lastRow="0" w:firstColumn="1" w:lastColumn="0" w:noHBand="0" w:noVBand="1"/>
      </w:tblPr>
      <w:tblGrid>
        <w:gridCol w:w="2254"/>
        <w:gridCol w:w="2566"/>
        <w:gridCol w:w="3260"/>
        <w:gridCol w:w="2410"/>
      </w:tblGrid>
      <w:tr w:rsidR="002A0C6F" w:rsidRPr="00351A46" w14:paraId="0D64413D" w14:textId="77777777" w:rsidTr="0081559A">
        <w:tc>
          <w:tcPr>
            <w:tcW w:w="10490" w:type="dxa"/>
            <w:gridSpan w:val="4"/>
            <w:shd w:val="clear" w:color="auto" w:fill="BDD6EE" w:themeFill="accent1" w:themeFillTint="66"/>
          </w:tcPr>
          <w:p w14:paraId="50C414F1" w14:textId="77777777" w:rsidR="002A0C6F" w:rsidRPr="00351A46" w:rsidRDefault="002A0C6F" w:rsidP="0081559A">
            <w:pPr>
              <w:keepNext/>
              <w:keepLines/>
              <w:spacing w:after="160"/>
              <w:jc w:val="center"/>
              <w:outlineLvl w:val="8"/>
              <w:rPr>
                <w:b/>
                <w:color w:val="000000" w:themeColor="text1"/>
                <w:lang w:val="en-AU"/>
              </w:rPr>
            </w:pPr>
            <w:r w:rsidRPr="00351A46">
              <w:rPr>
                <w:b/>
                <w:sz w:val="20"/>
                <w:szCs w:val="20"/>
                <w:lang w:val="en-AU"/>
              </w:rPr>
              <w:t>End of Program Outcome 5: Policy research organisations increasingly produce quality policy research, communicate it effectively, and collaborate as key players in Indonesia’s knowledge sector</w:t>
            </w:r>
          </w:p>
        </w:tc>
      </w:tr>
      <w:tr w:rsidR="002A0C6F" w:rsidRPr="00351A46" w14:paraId="2FE4C349" w14:textId="77777777" w:rsidTr="0081559A">
        <w:tc>
          <w:tcPr>
            <w:tcW w:w="10490" w:type="dxa"/>
            <w:gridSpan w:val="4"/>
            <w:shd w:val="clear" w:color="auto" w:fill="DEEAF6" w:themeFill="accent1" w:themeFillTint="33"/>
          </w:tcPr>
          <w:p w14:paraId="5A2772E9" w14:textId="77777777" w:rsidR="002A0C6F" w:rsidRPr="00351A46" w:rsidRDefault="002A0C6F" w:rsidP="0081559A">
            <w:pPr>
              <w:spacing w:after="160"/>
              <w:jc w:val="center"/>
              <w:rPr>
                <w:b/>
                <w:color w:val="000000" w:themeColor="text1"/>
                <w:sz w:val="20"/>
                <w:szCs w:val="20"/>
                <w:lang w:val="en-AU"/>
              </w:rPr>
            </w:pPr>
            <w:r w:rsidRPr="00351A46">
              <w:rPr>
                <w:b/>
                <w:color w:val="000000" w:themeColor="text1"/>
                <w:sz w:val="20"/>
                <w:szCs w:val="20"/>
                <w:lang w:val="en-AU"/>
              </w:rPr>
              <w:t>Change expected by 2022:</w:t>
            </w:r>
          </w:p>
          <w:p w14:paraId="367045DD" w14:textId="77777777" w:rsidR="002A0C6F" w:rsidRPr="00351A46" w:rsidRDefault="002A0C6F" w:rsidP="0081559A">
            <w:pPr>
              <w:numPr>
                <w:ilvl w:val="0"/>
                <w:numId w:val="2"/>
              </w:numPr>
              <w:spacing w:after="160"/>
              <w:contextualSpacing/>
              <w:rPr>
                <w:b/>
                <w:sz w:val="20"/>
                <w:szCs w:val="20"/>
                <w:lang w:val="en-AU"/>
              </w:rPr>
            </w:pPr>
            <w:r w:rsidRPr="00351A46">
              <w:rPr>
                <w:sz w:val="20"/>
                <w:szCs w:val="20"/>
                <w:lang w:val="en-AU"/>
              </w:rPr>
              <w:t xml:space="preserve">PRIs produce better quality, policy-relevant research. </w:t>
            </w:r>
          </w:p>
          <w:p w14:paraId="0C34F45F" w14:textId="77777777" w:rsidR="002A0C6F" w:rsidRPr="00351A46" w:rsidRDefault="002A0C6F" w:rsidP="0081559A">
            <w:pPr>
              <w:numPr>
                <w:ilvl w:val="0"/>
                <w:numId w:val="2"/>
              </w:numPr>
              <w:spacing w:after="160"/>
              <w:contextualSpacing/>
              <w:rPr>
                <w:b/>
                <w:sz w:val="20"/>
                <w:szCs w:val="20"/>
                <w:lang w:val="en-AU"/>
              </w:rPr>
            </w:pPr>
            <w:r w:rsidRPr="00351A46">
              <w:rPr>
                <w:sz w:val="20"/>
                <w:szCs w:val="20"/>
                <w:lang w:val="en-AU"/>
              </w:rPr>
              <w:t xml:space="preserve">PRIs practice better evidence-based advocacy and communication to influence across the policy cycle. </w:t>
            </w:r>
          </w:p>
          <w:p w14:paraId="668FA61E" w14:textId="77777777" w:rsidR="002A0C6F" w:rsidRPr="00351A46" w:rsidRDefault="002A0C6F" w:rsidP="0081559A">
            <w:pPr>
              <w:numPr>
                <w:ilvl w:val="0"/>
                <w:numId w:val="2"/>
              </w:numPr>
              <w:spacing w:after="160"/>
              <w:contextualSpacing/>
              <w:rPr>
                <w:b/>
                <w:sz w:val="20"/>
                <w:szCs w:val="20"/>
                <w:lang w:val="en-AU"/>
              </w:rPr>
            </w:pPr>
            <w:r w:rsidRPr="00351A46">
              <w:rPr>
                <w:sz w:val="20"/>
                <w:szCs w:val="20"/>
                <w:lang w:val="en-AU"/>
              </w:rPr>
              <w:t xml:space="preserve">PRIs collaborate with each other and other key players to create a better enabling environment for PRIs </w:t>
            </w:r>
          </w:p>
        </w:tc>
      </w:tr>
      <w:tr w:rsidR="002A0C6F" w:rsidRPr="00351A46" w14:paraId="1A4282B3" w14:textId="77777777" w:rsidTr="0081559A">
        <w:tc>
          <w:tcPr>
            <w:tcW w:w="10490" w:type="dxa"/>
            <w:gridSpan w:val="4"/>
            <w:shd w:val="clear" w:color="auto" w:fill="FFE599" w:themeFill="accent4" w:themeFillTint="66"/>
          </w:tcPr>
          <w:p w14:paraId="7624A10E" w14:textId="77777777" w:rsidR="002A0C6F" w:rsidRPr="00351A46" w:rsidRDefault="002A0C6F" w:rsidP="0081559A">
            <w:pPr>
              <w:keepNext/>
              <w:keepLines/>
              <w:spacing w:after="160"/>
              <w:jc w:val="center"/>
              <w:outlineLvl w:val="8"/>
              <w:rPr>
                <w:b/>
                <w:color w:val="000000" w:themeColor="text1"/>
                <w:sz w:val="20"/>
                <w:szCs w:val="20"/>
                <w:lang w:val="en-AU" w:eastAsia="en-ID"/>
              </w:rPr>
            </w:pPr>
            <w:r w:rsidRPr="00351A46">
              <w:rPr>
                <w:b/>
                <w:color w:val="000000" w:themeColor="text1"/>
                <w:sz w:val="20"/>
                <w:szCs w:val="20"/>
                <w:lang w:val="en-AU" w:eastAsia="en-ID"/>
              </w:rPr>
              <w:t>Key initiative: Policy research institute support</w:t>
            </w:r>
          </w:p>
          <w:p w14:paraId="7643989C" w14:textId="77777777" w:rsidR="002A0C6F" w:rsidRPr="00351A46" w:rsidRDefault="002A0C6F" w:rsidP="0081559A">
            <w:pPr>
              <w:numPr>
                <w:ilvl w:val="0"/>
                <w:numId w:val="15"/>
              </w:numPr>
              <w:spacing w:before="120" w:after="120"/>
              <w:contextualSpacing/>
              <w:rPr>
                <w:color w:val="000000" w:themeColor="text1"/>
                <w:sz w:val="20"/>
                <w:szCs w:val="20"/>
                <w:lang w:val="en-AU" w:eastAsia="en-ID"/>
              </w:rPr>
            </w:pPr>
            <w:r w:rsidRPr="00351A46">
              <w:rPr>
                <w:sz w:val="20"/>
                <w:szCs w:val="20"/>
                <w:lang w:val="en-AU"/>
              </w:rPr>
              <w:t>Funding, capacity-building and facilitation to enable PRIs to produce better quality policy research, evidence-based advocacy and communication across the policy cycle</w:t>
            </w:r>
            <w:r>
              <w:rPr>
                <w:sz w:val="20"/>
                <w:szCs w:val="20"/>
                <w:lang w:val="en-AU"/>
              </w:rPr>
              <w:t>,</w:t>
            </w:r>
            <w:r w:rsidRPr="00351A46">
              <w:rPr>
                <w:sz w:val="20"/>
                <w:szCs w:val="20"/>
                <w:lang w:val="en-AU"/>
              </w:rPr>
              <w:t xml:space="preserve"> and collaborate with others to address systemic issues in the knowledge sector. </w:t>
            </w:r>
          </w:p>
        </w:tc>
      </w:tr>
      <w:tr w:rsidR="002A0C6F" w:rsidRPr="00351A46" w14:paraId="2DEB7772" w14:textId="77777777" w:rsidTr="0081559A">
        <w:tc>
          <w:tcPr>
            <w:tcW w:w="2254" w:type="dxa"/>
            <w:shd w:val="clear" w:color="auto" w:fill="FFF2CC" w:themeFill="accent4" w:themeFillTint="33"/>
          </w:tcPr>
          <w:p w14:paraId="049CC168" w14:textId="77777777" w:rsidR="002A0C6F" w:rsidRPr="00351A46" w:rsidRDefault="002A0C6F" w:rsidP="0081559A">
            <w:pPr>
              <w:spacing w:after="160"/>
              <w:jc w:val="center"/>
              <w:rPr>
                <w:b/>
                <w:color w:val="000000" w:themeColor="text1"/>
                <w:sz w:val="20"/>
                <w:szCs w:val="20"/>
                <w:lang w:val="en-AU" w:eastAsia="en-ID"/>
              </w:rPr>
            </w:pPr>
            <w:r w:rsidRPr="00351A46">
              <w:rPr>
                <w:b/>
                <w:color w:val="000000" w:themeColor="text1"/>
                <w:sz w:val="20"/>
                <w:szCs w:val="20"/>
                <w:lang w:val="en-AU" w:eastAsia="en-ID"/>
              </w:rPr>
              <w:t>What needs to happen by 2022</w:t>
            </w:r>
          </w:p>
        </w:tc>
        <w:tc>
          <w:tcPr>
            <w:tcW w:w="2566" w:type="dxa"/>
            <w:shd w:val="clear" w:color="auto" w:fill="FFF2CC" w:themeFill="accent4" w:themeFillTint="33"/>
          </w:tcPr>
          <w:p w14:paraId="0CB464FD" w14:textId="77777777" w:rsidR="002A0C6F" w:rsidRPr="00351A46" w:rsidRDefault="002A0C6F" w:rsidP="0081559A">
            <w:pPr>
              <w:spacing w:after="160"/>
              <w:jc w:val="center"/>
              <w:rPr>
                <w:b/>
                <w:color w:val="000000" w:themeColor="text1"/>
                <w:sz w:val="20"/>
                <w:szCs w:val="20"/>
                <w:lang w:val="en-AU" w:eastAsia="en-ID"/>
              </w:rPr>
            </w:pPr>
            <w:r w:rsidRPr="00351A46">
              <w:rPr>
                <w:b/>
                <w:color w:val="000000" w:themeColor="text1"/>
                <w:sz w:val="20"/>
                <w:szCs w:val="20"/>
                <w:lang w:val="en-AU" w:eastAsia="en-ID"/>
              </w:rPr>
              <w:t>Critical success factors</w:t>
            </w:r>
          </w:p>
        </w:tc>
        <w:tc>
          <w:tcPr>
            <w:tcW w:w="3260" w:type="dxa"/>
            <w:shd w:val="clear" w:color="auto" w:fill="FFF2CC" w:themeFill="accent4" w:themeFillTint="33"/>
          </w:tcPr>
          <w:p w14:paraId="7F92E5D8" w14:textId="77777777" w:rsidR="002A0C6F" w:rsidRPr="00351A46" w:rsidRDefault="002A0C6F" w:rsidP="0081559A">
            <w:pPr>
              <w:spacing w:after="160"/>
              <w:jc w:val="center"/>
              <w:rPr>
                <w:b/>
                <w:color w:val="000000" w:themeColor="text1"/>
                <w:sz w:val="20"/>
                <w:szCs w:val="20"/>
                <w:lang w:val="en-AU" w:eastAsia="en-ID"/>
              </w:rPr>
            </w:pPr>
            <w:r w:rsidRPr="00351A46">
              <w:rPr>
                <w:b/>
                <w:color w:val="000000" w:themeColor="text1"/>
                <w:sz w:val="20"/>
                <w:szCs w:val="20"/>
                <w:lang w:val="en-AU" w:eastAsia="en-ID"/>
              </w:rPr>
              <w:t>KSI’s role</w:t>
            </w:r>
          </w:p>
        </w:tc>
        <w:tc>
          <w:tcPr>
            <w:tcW w:w="2410" w:type="dxa"/>
            <w:shd w:val="clear" w:color="auto" w:fill="FFF2CC" w:themeFill="accent4" w:themeFillTint="33"/>
          </w:tcPr>
          <w:p w14:paraId="4188888E" w14:textId="77777777" w:rsidR="002A0C6F" w:rsidRPr="00351A46" w:rsidRDefault="002A0C6F" w:rsidP="0081559A">
            <w:pPr>
              <w:spacing w:after="160"/>
              <w:jc w:val="center"/>
              <w:rPr>
                <w:b/>
                <w:color w:val="000000" w:themeColor="text1"/>
                <w:sz w:val="20"/>
                <w:szCs w:val="20"/>
                <w:lang w:val="en-AU" w:eastAsia="en-ID"/>
              </w:rPr>
            </w:pPr>
            <w:r w:rsidRPr="00351A46">
              <w:rPr>
                <w:b/>
                <w:color w:val="000000" w:themeColor="text1"/>
                <w:sz w:val="20"/>
                <w:szCs w:val="20"/>
                <w:lang w:val="en-AU" w:eastAsia="en-ID"/>
              </w:rPr>
              <w:t>Expected outcomes for 2018</w:t>
            </w:r>
          </w:p>
        </w:tc>
      </w:tr>
      <w:tr w:rsidR="002A0C6F" w:rsidRPr="00351A46" w14:paraId="641CAC03" w14:textId="77777777" w:rsidTr="0081559A">
        <w:tc>
          <w:tcPr>
            <w:tcW w:w="2254" w:type="dxa"/>
            <w:shd w:val="clear" w:color="auto" w:fill="FFF2CC" w:themeFill="accent4" w:themeFillTint="33"/>
          </w:tcPr>
          <w:p w14:paraId="3D520B4F" w14:textId="77777777" w:rsidR="002A0C6F" w:rsidRPr="00351A46" w:rsidRDefault="002A0C6F" w:rsidP="0081559A">
            <w:pPr>
              <w:spacing w:after="120"/>
              <w:rPr>
                <w:sz w:val="20"/>
                <w:szCs w:val="20"/>
                <w:lang w:val="en-AU"/>
              </w:rPr>
            </w:pPr>
            <w:r w:rsidRPr="00351A46">
              <w:rPr>
                <w:sz w:val="20"/>
                <w:szCs w:val="20"/>
                <w:lang w:val="en-AU"/>
              </w:rPr>
              <w:t xml:space="preserve">PRIs have capacity to produce </w:t>
            </w:r>
            <w:r w:rsidRPr="00351A46">
              <w:rPr>
                <w:color w:val="000000" w:themeColor="text1"/>
                <w:sz w:val="20"/>
                <w:szCs w:val="20"/>
                <w:lang w:val="en-AU"/>
              </w:rPr>
              <w:t>better</w:t>
            </w:r>
            <w:r w:rsidRPr="00351A46">
              <w:rPr>
                <w:sz w:val="20"/>
                <w:szCs w:val="20"/>
                <w:lang w:val="en-AU"/>
              </w:rPr>
              <w:t xml:space="preserve"> quality policy research.</w:t>
            </w:r>
          </w:p>
          <w:p w14:paraId="0F88A6B3" w14:textId="77777777" w:rsidR="002A0C6F" w:rsidRPr="00351A46" w:rsidRDefault="002A0C6F" w:rsidP="0081559A">
            <w:pPr>
              <w:spacing w:after="120"/>
              <w:rPr>
                <w:sz w:val="20"/>
                <w:szCs w:val="20"/>
                <w:lang w:val="en-AU"/>
              </w:rPr>
            </w:pPr>
            <w:r w:rsidRPr="00351A46">
              <w:rPr>
                <w:sz w:val="20"/>
                <w:szCs w:val="20"/>
                <w:lang w:val="en-AU"/>
              </w:rPr>
              <w:t xml:space="preserve">PRIs establish and use peer </w:t>
            </w:r>
            <w:r w:rsidRPr="00351A46">
              <w:rPr>
                <w:color w:val="000000" w:themeColor="text1"/>
                <w:sz w:val="20"/>
                <w:szCs w:val="20"/>
                <w:lang w:val="en-AU"/>
              </w:rPr>
              <w:t>review</w:t>
            </w:r>
            <w:r w:rsidRPr="00351A46">
              <w:rPr>
                <w:sz w:val="20"/>
                <w:szCs w:val="20"/>
                <w:lang w:val="en-AU"/>
              </w:rPr>
              <w:t xml:space="preserve"> mechanisms within or between institutions.</w:t>
            </w:r>
          </w:p>
          <w:p w14:paraId="086FE212" w14:textId="77777777" w:rsidR="002A0C6F" w:rsidRPr="00351A46" w:rsidRDefault="002A0C6F" w:rsidP="0081559A">
            <w:pPr>
              <w:spacing w:after="120"/>
              <w:rPr>
                <w:sz w:val="20"/>
                <w:szCs w:val="20"/>
                <w:lang w:val="en-AU"/>
              </w:rPr>
            </w:pPr>
            <w:r w:rsidRPr="00351A46">
              <w:rPr>
                <w:sz w:val="20"/>
                <w:szCs w:val="20"/>
                <w:lang w:val="en-AU"/>
              </w:rPr>
              <w:t xml:space="preserve">PRIs </w:t>
            </w:r>
            <w:r w:rsidRPr="00351A46">
              <w:rPr>
                <w:color w:val="000000" w:themeColor="text1"/>
                <w:sz w:val="20"/>
                <w:szCs w:val="20"/>
                <w:lang w:val="en-AU"/>
              </w:rPr>
              <w:t>have</w:t>
            </w:r>
            <w:r w:rsidRPr="00351A46">
              <w:rPr>
                <w:sz w:val="20"/>
                <w:szCs w:val="20"/>
                <w:lang w:val="en-AU"/>
              </w:rPr>
              <w:t xml:space="preserve"> improved capacity for evidence-based communication and advocacy across the policy cycle. </w:t>
            </w:r>
          </w:p>
          <w:p w14:paraId="47407321" w14:textId="77777777" w:rsidR="002A0C6F" w:rsidRPr="00351A46" w:rsidRDefault="002A0C6F" w:rsidP="0081559A">
            <w:pPr>
              <w:spacing w:after="120"/>
              <w:rPr>
                <w:sz w:val="20"/>
                <w:szCs w:val="20"/>
                <w:lang w:val="en-AU"/>
              </w:rPr>
            </w:pPr>
            <w:r w:rsidRPr="00351A46">
              <w:rPr>
                <w:sz w:val="20"/>
                <w:szCs w:val="20"/>
                <w:lang w:val="en-AU"/>
              </w:rPr>
              <w:t xml:space="preserve">PRIs have strengthened links with </w:t>
            </w:r>
            <w:r w:rsidRPr="00351A46">
              <w:rPr>
                <w:color w:val="000000" w:themeColor="text1"/>
                <w:sz w:val="20"/>
                <w:szCs w:val="20"/>
                <w:lang w:val="en-AU"/>
              </w:rPr>
              <w:t>each</w:t>
            </w:r>
            <w:r w:rsidRPr="00351A46">
              <w:rPr>
                <w:sz w:val="20"/>
                <w:szCs w:val="20"/>
                <w:lang w:val="en-AU"/>
              </w:rPr>
              <w:t xml:space="preserve"> other (including with sub-national partners) and with policymakers.</w:t>
            </w:r>
          </w:p>
          <w:p w14:paraId="0E8D815F" w14:textId="77777777" w:rsidR="002A0C6F" w:rsidRPr="00351A46" w:rsidRDefault="002A0C6F" w:rsidP="0081559A">
            <w:pPr>
              <w:spacing w:after="120"/>
              <w:rPr>
                <w:color w:val="000000" w:themeColor="text1"/>
                <w:sz w:val="20"/>
                <w:szCs w:val="20"/>
                <w:lang w:val="en-AU" w:eastAsia="en-ID"/>
              </w:rPr>
            </w:pPr>
            <w:r w:rsidRPr="00351A46">
              <w:rPr>
                <w:sz w:val="20"/>
                <w:szCs w:val="20"/>
                <w:lang w:val="en-AU"/>
              </w:rPr>
              <w:t>PRIs are less dependent on KSI funding.</w:t>
            </w:r>
          </w:p>
        </w:tc>
        <w:tc>
          <w:tcPr>
            <w:tcW w:w="2566" w:type="dxa"/>
            <w:shd w:val="clear" w:color="auto" w:fill="FFF2CC" w:themeFill="accent4" w:themeFillTint="33"/>
          </w:tcPr>
          <w:p w14:paraId="65A8DED2" w14:textId="77777777" w:rsidR="002A0C6F" w:rsidRPr="00351A46" w:rsidRDefault="002A0C6F" w:rsidP="0081559A">
            <w:pPr>
              <w:spacing w:after="120"/>
              <w:rPr>
                <w:sz w:val="20"/>
                <w:szCs w:val="20"/>
                <w:lang w:val="en-AU"/>
              </w:rPr>
            </w:pPr>
            <w:r w:rsidRPr="00351A46">
              <w:rPr>
                <w:sz w:val="20"/>
                <w:szCs w:val="20"/>
                <w:lang w:val="en-AU"/>
              </w:rPr>
              <w:t xml:space="preserve">PRIs have a shared </w:t>
            </w:r>
            <w:r w:rsidRPr="00351A46">
              <w:rPr>
                <w:color w:val="000000" w:themeColor="text1"/>
                <w:sz w:val="20"/>
                <w:szCs w:val="20"/>
                <w:lang w:val="en-AU"/>
              </w:rPr>
              <w:t>understanding</w:t>
            </w:r>
            <w:r w:rsidRPr="00351A46">
              <w:rPr>
                <w:sz w:val="20"/>
                <w:szCs w:val="20"/>
                <w:lang w:val="en-AU"/>
              </w:rPr>
              <w:t xml:space="preserve"> of quality policy research.</w:t>
            </w:r>
          </w:p>
          <w:p w14:paraId="1A78F8CE" w14:textId="77777777" w:rsidR="002A0C6F" w:rsidRPr="00351A46" w:rsidRDefault="002A0C6F" w:rsidP="0081559A">
            <w:pPr>
              <w:spacing w:after="120"/>
              <w:rPr>
                <w:sz w:val="20"/>
                <w:szCs w:val="20"/>
                <w:lang w:val="en-AU"/>
              </w:rPr>
            </w:pPr>
            <w:r w:rsidRPr="00351A46">
              <w:rPr>
                <w:sz w:val="20"/>
                <w:szCs w:val="20"/>
                <w:lang w:val="en-AU"/>
              </w:rPr>
              <w:t xml:space="preserve">PRIs are </w:t>
            </w:r>
            <w:r w:rsidRPr="00351A46">
              <w:rPr>
                <w:color w:val="000000" w:themeColor="text1"/>
                <w:sz w:val="20"/>
                <w:szCs w:val="20"/>
                <w:lang w:val="en-AU"/>
              </w:rPr>
              <w:t>motivated</w:t>
            </w:r>
            <w:r w:rsidRPr="00351A46">
              <w:rPr>
                <w:sz w:val="20"/>
                <w:szCs w:val="20"/>
                <w:lang w:val="en-AU"/>
              </w:rPr>
              <w:t xml:space="preserve"> to produce better quality, policy-relevant research. </w:t>
            </w:r>
          </w:p>
          <w:p w14:paraId="2DEDBA7F" w14:textId="77777777" w:rsidR="002A0C6F" w:rsidRPr="00351A46" w:rsidRDefault="002A0C6F" w:rsidP="0081559A">
            <w:pPr>
              <w:spacing w:after="120"/>
              <w:rPr>
                <w:sz w:val="20"/>
                <w:szCs w:val="20"/>
                <w:lang w:val="en-AU"/>
              </w:rPr>
            </w:pPr>
            <w:r w:rsidRPr="00351A46">
              <w:rPr>
                <w:color w:val="000000" w:themeColor="text1"/>
                <w:sz w:val="20"/>
                <w:szCs w:val="20"/>
                <w:lang w:val="en-AU"/>
              </w:rPr>
              <w:t>Knowledge</w:t>
            </w:r>
            <w:r w:rsidRPr="00351A46">
              <w:rPr>
                <w:sz w:val="20"/>
                <w:szCs w:val="20"/>
                <w:lang w:val="en-AU"/>
              </w:rPr>
              <w:t xml:space="preserve"> sharing between PRIs can contribute to improved quality of research.</w:t>
            </w:r>
          </w:p>
          <w:p w14:paraId="141874CE" w14:textId="77777777" w:rsidR="002A0C6F" w:rsidRPr="00351A46" w:rsidRDefault="002A0C6F" w:rsidP="0081559A">
            <w:pPr>
              <w:spacing w:after="120"/>
              <w:rPr>
                <w:sz w:val="20"/>
                <w:szCs w:val="20"/>
                <w:lang w:val="en-AU"/>
              </w:rPr>
            </w:pPr>
            <w:r w:rsidRPr="00351A46">
              <w:rPr>
                <w:sz w:val="20"/>
                <w:szCs w:val="20"/>
                <w:lang w:val="en-AU"/>
              </w:rPr>
              <w:t>PRIs have motivation to improve their communication and advocacy of research.</w:t>
            </w:r>
          </w:p>
          <w:p w14:paraId="0945AE13" w14:textId="77777777" w:rsidR="002A0C6F" w:rsidRPr="00351A46" w:rsidRDefault="002A0C6F" w:rsidP="0081559A">
            <w:pPr>
              <w:spacing w:after="120"/>
              <w:rPr>
                <w:sz w:val="20"/>
                <w:szCs w:val="20"/>
                <w:lang w:val="en-AU"/>
              </w:rPr>
            </w:pPr>
            <w:r w:rsidRPr="00351A46">
              <w:rPr>
                <w:sz w:val="20"/>
                <w:szCs w:val="20"/>
                <w:lang w:val="en-AU"/>
              </w:rPr>
              <w:t xml:space="preserve">PRIs have </w:t>
            </w:r>
            <w:r w:rsidRPr="00351A46">
              <w:rPr>
                <w:color w:val="000000" w:themeColor="text1"/>
                <w:sz w:val="20"/>
                <w:szCs w:val="20"/>
                <w:lang w:val="en-AU"/>
              </w:rPr>
              <w:t>shared interest with others in co</w:t>
            </w:r>
            <w:r w:rsidRPr="00351A46">
              <w:rPr>
                <w:sz w:val="20"/>
                <w:szCs w:val="20"/>
                <w:lang w:val="en-AU"/>
              </w:rPr>
              <w:t>llaborating on systemic issues affecting the knowledge sector.</w:t>
            </w:r>
          </w:p>
          <w:p w14:paraId="5133BAF6" w14:textId="77777777" w:rsidR="002A0C6F" w:rsidRPr="00351A46" w:rsidRDefault="002A0C6F" w:rsidP="0081559A">
            <w:pPr>
              <w:spacing w:after="120"/>
              <w:rPr>
                <w:sz w:val="20"/>
                <w:szCs w:val="20"/>
                <w:lang w:val="en-AU"/>
              </w:rPr>
            </w:pPr>
            <w:r w:rsidRPr="00351A46">
              <w:rPr>
                <w:sz w:val="20"/>
                <w:szCs w:val="20"/>
                <w:lang w:val="en-AU"/>
              </w:rPr>
              <w:t xml:space="preserve">PRIs have capacity, motivation and networks to diversify </w:t>
            </w:r>
            <w:r w:rsidRPr="00351A46">
              <w:rPr>
                <w:color w:val="000000" w:themeColor="text1"/>
                <w:sz w:val="20"/>
                <w:szCs w:val="20"/>
                <w:lang w:val="en-AU"/>
              </w:rPr>
              <w:t>funding</w:t>
            </w:r>
            <w:r w:rsidRPr="00351A46">
              <w:rPr>
                <w:sz w:val="20"/>
                <w:szCs w:val="20"/>
                <w:lang w:val="en-AU"/>
              </w:rPr>
              <w:t xml:space="preserve">. Passage of </w:t>
            </w:r>
            <w:r w:rsidRPr="008E2ED5">
              <w:rPr>
                <w:sz w:val="20"/>
                <w:szCs w:val="20"/>
                <w:lang w:val="en-AU"/>
              </w:rPr>
              <w:t>Perpres</w:t>
            </w:r>
            <w:r w:rsidRPr="00351A46">
              <w:rPr>
                <w:sz w:val="20"/>
                <w:szCs w:val="20"/>
                <w:lang w:val="en-AU"/>
              </w:rPr>
              <w:t xml:space="preserve"> 16/2018 provides greater opportunity for PRIs to seek government funding.</w:t>
            </w:r>
          </w:p>
        </w:tc>
        <w:tc>
          <w:tcPr>
            <w:tcW w:w="3260" w:type="dxa"/>
            <w:shd w:val="clear" w:color="auto" w:fill="FFF2CC" w:themeFill="accent4" w:themeFillTint="33"/>
          </w:tcPr>
          <w:p w14:paraId="489841B7" w14:textId="77777777" w:rsidR="002A0C6F" w:rsidRPr="00351A46" w:rsidRDefault="002A0C6F" w:rsidP="0081559A">
            <w:pPr>
              <w:spacing w:after="120"/>
              <w:rPr>
                <w:sz w:val="20"/>
                <w:szCs w:val="20"/>
                <w:lang w:val="en-AU"/>
              </w:rPr>
            </w:pPr>
            <w:r w:rsidRPr="00351A46">
              <w:rPr>
                <w:i/>
                <w:sz w:val="20"/>
                <w:szCs w:val="20"/>
                <w:lang w:val="en-AU"/>
              </w:rPr>
              <w:t>Initiate:</w:t>
            </w:r>
            <w:r w:rsidRPr="00351A46">
              <w:rPr>
                <w:sz w:val="20"/>
                <w:szCs w:val="20"/>
                <w:lang w:val="en-AU"/>
              </w:rPr>
              <w:t xml:space="preserve"> Facilitate discussion with PRIs to agree on a common definition of </w:t>
            </w:r>
            <w:r w:rsidRPr="00351A46">
              <w:rPr>
                <w:color w:val="000000" w:themeColor="text1"/>
                <w:sz w:val="20"/>
                <w:szCs w:val="20"/>
                <w:lang w:val="en-AU"/>
              </w:rPr>
              <w:t>quality</w:t>
            </w:r>
            <w:r w:rsidRPr="00351A46">
              <w:rPr>
                <w:sz w:val="20"/>
                <w:szCs w:val="20"/>
                <w:lang w:val="en-AU"/>
              </w:rPr>
              <w:t xml:space="preserve"> policy research and peer review mechanisms.</w:t>
            </w:r>
          </w:p>
          <w:p w14:paraId="141DD4DD" w14:textId="77777777" w:rsidR="002A0C6F" w:rsidRPr="00351A46" w:rsidRDefault="002A0C6F" w:rsidP="0081559A">
            <w:pPr>
              <w:spacing w:after="120"/>
              <w:rPr>
                <w:sz w:val="20"/>
                <w:szCs w:val="20"/>
                <w:lang w:val="en-AU"/>
              </w:rPr>
            </w:pPr>
            <w:r w:rsidRPr="00351A46">
              <w:rPr>
                <w:i/>
                <w:sz w:val="20"/>
                <w:szCs w:val="20"/>
                <w:lang w:val="en-AU"/>
              </w:rPr>
              <w:t>Accelerate:</w:t>
            </w:r>
            <w:r w:rsidRPr="00351A46">
              <w:rPr>
                <w:sz w:val="20"/>
                <w:szCs w:val="20"/>
                <w:lang w:val="en-AU"/>
              </w:rPr>
              <w:t xml:space="preserve"> Fund research and capacity building to demonstrate how to develop good quality, policy-relevant research. Encourage consideration of GESI and sub-national perspectives within their research, where relevant. </w:t>
            </w:r>
          </w:p>
          <w:p w14:paraId="577BCB6B" w14:textId="77777777" w:rsidR="002A0C6F" w:rsidRPr="00351A46" w:rsidRDefault="002A0C6F" w:rsidP="0081559A">
            <w:pPr>
              <w:spacing w:after="120"/>
              <w:rPr>
                <w:sz w:val="20"/>
                <w:szCs w:val="20"/>
                <w:lang w:val="en-AU"/>
              </w:rPr>
            </w:pPr>
            <w:r w:rsidRPr="00351A46">
              <w:rPr>
                <w:i/>
                <w:sz w:val="20"/>
                <w:szCs w:val="20"/>
                <w:lang w:val="en-AU"/>
              </w:rPr>
              <w:t xml:space="preserve">Connect: </w:t>
            </w:r>
            <w:r w:rsidRPr="00351A46">
              <w:rPr>
                <w:sz w:val="20"/>
                <w:szCs w:val="20"/>
                <w:lang w:val="en-AU"/>
              </w:rPr>
              <w:t xml:space="preserve">Facilitate PRIs to share knowledge </w:t>
            </w:r>
            <w:r w:rsidRPr="00351A46">
              <w:rPr>
                <w:color w:val="000000" w:themeColor="text1"/>
                <w:sz w:val="20"/>
                <w:szCs w:val="20"/>
                <w:lang w:val="en-AU"/>
              </w:rPr>
              <w:t>and</w:t>
            </w:r>
            <w:r w:rsidRPr="00351A46">
              <w:rPr>
                <w:sz w:val="20"/>
                <w:szCs w:val="20"/>
                <w:lang w:val="en-AU"/>
              </w:rPr>
              <w:t xml:space="preserve"> expertise to improve each other’s practices relating to research quality, communication and advocacy.</w:t>
            </w:r>
          </w:p>
          <w:p w14:paraId="4337BD5C" w14:textId="77777777" w:rsidR="002A0C6F" w:rsidRPr="00351A46" w:rsidRDefault="002A0C6F" w:rsidP="0081559A">
            <w:pPr>
              <w:spacing w:after="120"/>
              <w:rPr>
                <w:sz w:val="20"/>
                <w:szCs w:val="20"/>
                <w:lang w:val="en-AU"/>
              </w:rPr>
            </w:pPr>
            <w:r w:rsidRPr="00351A46">
              <w:rPr>
                <w:i/>
                <w:sz w:val="20"/>
                <w:szCs w:val="20"/>
                <w:lang w:val="en-AU"/>
              </w:rPr>
              <w:t>Connect and align:</w:t>
            </w:r>
            <w:r w:rsidRPr="00351A46">
              <w:rPr>
                <w:sz w:val="20"/>
                <w:szCs w:val="20"/>
                <w:lang w:val="en-AU"/>
              </w:rPr>
              <w:t xml:space="preserve"> Facilitate links between PRIs and other stakeholders to </w:t>
            </w:r>
            <w:r w:rsidRPr="00351A46">
              <w:rPr>
                <w:color w:val="000000" w:themeColor="text1"/>
                <w:sz w:val="20"/>
                <w:szCs w:val="20"/>
                <w:lang w:val="en-AU"/>
              </w:rPr>
              <w:t>collaborate</w:t>
            </w:r>
            <w:r w:rsidRPr="00351A46">
              <w:rPr>
                <w:sz w:val="20"/>
                <w:szCs w:val="20"/>
                <w:lang w:val="en-AU"/>
              </w:rPr>
              <w:t xml:space="preserve"> to address systemic knowledge sector issues. </w:t>
            </w:r>
          </w:p>
          <w:p w14:paraId="4C684511" w14:textId="77777777" w:rsidR="002A0C6F" w:rsidRPr="00351A46" w:rsidRDefault="002A0C6F" w:rsidP="0081559A">
            <w:pPr>
              <w:spacing w:after="120"/>
              <w:rPr>
                <w:sz w:val="20"/>
                <w:szCs w:val="20"/>
                <w:lang w:val="en-AU"/>
              </w:rPr>
            </w:pPr>
            <w:r w:rsidRPr="00351A46">
              <w:rPr>
                <w:i/>
                <w:sz w:val="20"/>
                <w:szCs w:val="20"/>
                <w:lang w:val="en-AU"/>
              </w:rPr>
              <w:t xml:space="preserve">Accelerate: </w:t>
            </w:r>
            <w:r w:rsidRPr="00351A46">
              <w:rPr>
                <w:sz w:val="20"/>
                <w:szCs w:val="20"/>
                <w:lang w:val="en-AU"/>
              </w:rPr>
              <w:t xml:space="preserve">Support advocacy on the passage of </w:t>
            </w:r>
            <w:r w:rsidRPr="00351A46">
              <w:rPr>
                <w:color w:val="000000" w:themeColor="text1"/>
                <w:sz w:val="20"/>
                <w:szCs w:val="20"/>
                <w:lang w:val="en-AU"/>
              </w:rPr>
              <w:t>implementing</w:t>
            </w:r>
            <w:r w:rsidRPr="00351A46">
              <w:rPr>
                <w:sz w:val="20"/>
                <w:szCs w:val="20"/>
                <w:lang w:val="en-AU"/>
              </w:rPr>
              <w:t xml:space="preserve"> regulations for </w:t>
            </w:r>
            <w:r w:rsidRPr="008E2ED5">
              <w:rPr>
                <w:sz w:val="20"/>
                <w:szCs w:val="20"/>
                <w:lang w:val="en-AU"/>
              </w:rPr>
              <w:t>Perpres</w:t>
            </w:r>
            <w:r w:rsidRPr="00351A46">
              <w:rPr>
                <w:sz w:val="20"/>
                <w:szCs w:val="20"/>
                <w:lang w:val="en-AU"/>
              </w:rPr>
              <w:t xml:space="preserve"> 16/2018 and pilot application of these with Bappenas and PRIs. </w:t>
            </w:r>
          </w:p>
        </w:tc>
        <w:tc>
          <w:tcPr>
            <w:tcW w:w="2410" w:type="dxa"/>
            <w:shd w:val="clear" w:color="auto" w:fill="FFF2CC" w:themeFill="accent4" w:themeFillTint="33"/>
          </w:tcPr>
          <w:p w14:paraId="572E846D" w14:textId="77777777" w:rsidR="002A0C6F" w:rsidRPr="00381388" w:rsidRDefault="002A0C6F" w:rsidP="0081559A">
            <w:pPr>
              <w:spacing w:after="120"/>
              <w:rPr>
                <w:rStyle w:val="normaltextrun"/>
                <w:rFonts w:ascii="Calibri" w:hAnsi="Calibri" w:cs="Calibri"/>
                <w:color w:val="000000"/>
                <w:sz w:val="20"/>
                <w:szCs w:val="20"/>
                <w:lang w:val="en-US"/>
              </w:rPr>
            </w:pPr>
            <w:r w:rsidRPr="00381388">
              <w:rPr>
                <w:rStyle w:val="normaltextrun"/>
                <w:rFonts w:ascii="Calibri" w:hAnsi="Calibri" w:cs="Calibri"/>
                <w:color w:val="000000"/>
                <w:sz w:val="20"/>
                <w:szCs w:val="20"/>
              </w:rPr>
              <w:t xml:space="preserve">Selected PRIs have greater access to and links with policy </w:t>
            </w:r>
            <w:r w:rsidRPr="00351A46">
              <w:rPr>
                <w:color w:val="000000" w:themeColor="text1"/>
                <w:sz w:val="20"/>
                <w:szCs w:val="20"/>
                <w:lang w:val="en-AU"/>
              </w:rPr>
              <w:t>analysts</w:t>
            </w:r>
            <w:r w:rsidRPr="00381388">
              <w:rPr>
                <w:rStyle w:val="normaltextrun"/>
                <w:rFonts w:ascii="Calibri" w:hAnsi="Calibri" w:cs="Calibri"/>
                <w:color w:val="000000"/>
                <w:sz w:val="20"/>
                <w:szCs w:val="20"/>
              </w:rPr>
              <w:t xml:space="preserve"> and policymakers.</w:t>
            </w:r>
            <w:r w:rsidRPr="00381388">
              <w:rPr>
                <w:rStyle w:val="eop"/>
                <w:rFonts w:ascii="Calibri" w:eastAsiaTheme="majorEastAsia" w:hAnsi="Calibri" w:cs="Calibri"/>
                <w:color w:val="000000"/>
                <w:sz w:val="20"/>
                <w:szCs w:val="20"/>
              </w:rPr>
              <w:t> </w:t>
            </w:r>
          </w:p>
          <w:p w14:paraId="2E9B2EFA" w14:textId="77777777" w:rsidR="002A0C6F" w:rsidRPr="00381388" w:rsidRDefault="002A0C6F" w:rsidP="0081559A">
            <w:pPr>
              <w:spacing w:after="120"/>
              <w:rPr>
                <w:rStyle w:val="normaltextrun"/>
                <w:rFonts w:ascii="Calibri" w:hAnsi="Calibri" w:cs="Calibri"/>
                <w:color w:val="000000"/>
                <w:sz w:val="20"/>
                <w:szCs w:val="20"/>
                <w:lang w:val="en-US"/>
              </w:rPr>
            </w:pPr>
            <w:r w:rsidRPr="00381388">
              <w:rPr>
                <w:rStyle w:val="normaltextrun"/>
                <w:rFonts w:ascii="Calibri" w:hAnsi="Calibri" w:cs="Calibri"/>
                <w:color w:val="000000"/>
                <w:sz w:val="20"/>
                <w:szCs w:val="20"/>
              </w:rPr>
              <w:t xml:space="preserve">Selected PRIs take action to </w:t>
            </w:r>
            <w:r w:rsidRPr="00351A46">
              <w:rPr>
                <w:color w:val="000000" w:themeColor="text1"/>
                <w:sz w:val="20"/>
                <w:szCs w:val="20"/>
                <w:lang w:val="en-AU"/>
              </w:rPr>
              <w:t>improve</w:t>
            </w:r>
            <w:r w:rsidRPr="00381388">
              <w:rPr>
                <w:rStyle w:val="normaltextrun"/>
                <w:rFonts w:ascii="Calibri" w:hAnsi="Calibri" w:cs="Calibri"/>
                <w:color w:val="000000"/>
                <w:sz w:val="20"/>
                <w:szCs w:val="20"/>
              </w:rPr>
              <w:t xml:space="preserve"> research quality, research communication and organisational capacity.</w:t>
            </w:r>
          </w:p>
          <w:p w14:paraId="1265FD72" w14:textId="77777777" w:rsidR="002A0C6F" w:rsidRPr="00381388" w:rsidRDefault="002A0C6F" w:rsidP="0081559A">
            <w:pPr>
              <w:spacing w:after="120"/>
              <w:rPr>
                <w:rFonts w:ascii="Calibri" w:hAnsi="Calibri" w:cs="Calibri"/>
                <w:color w:val="000000"/>
                <w:sz w:val="20"/>
                <w:szCs w:val="20"/>
                <w:lang w:val="en-US"/>
              </w:rPr>
            </w:pPr>
            <w:r w:rsidRPr="00381388">
              <w:rPr>
                <w:rStyle w:val="normaltextrun"/>
                <w:rFonts w:ascii="Calibri" w:hAnsi="Calibri" w:cs="Calibri"/>
                <w:color w:val="000000"/>
                <w:sz w:val="20"/>
                <w:szCs w:val="20"/>
              </w:rPr>
              <w:t xml:space="preserve">Selected </w:t>
            </w:r>
            <w:r w:rsidRPr="00351A46">
              <w:rPr>
                <w:sz w:val="20"/>
                <w:szCs w:val="20"/>
                <w:lang w:val="en-AU"/>
              </w:rPr>
              <w:t>PRIs</w:t>
            </w:r>
            <w:r w:rsidRPr="00381388">
              <w:rPr>
                <w:rStyle w:val="normaltextrun"/>
                <w:rFonts w:ascii="Calibri" w:hAnsi="Calibri" w:cs="Calibri"/>
                <w:color w:val="000000"/>
                <w:sz w:val="20"/>
                <w:szCs w:val="20"/>
              </w:rPr>
              <w:t xml:space="preserve"> influence policy issues. </w:t>
            </w:r>
          </w:p>
          <w:p w14:paraId="6DB8C2F9" w14:textId="77777777" w:rsidR="002A0C6F" w:rsidRPr="00381388" w:rsidRDefault="002A0C6F" w:rsidP="0081559A">
            <w:pPr>
              <w:numPr>
                <w:ilvl w:val="1"/>
                <w:numId w:val="0"/>
              </w:numPr>
              <w:spacing w:after="120"/>
              <w:rPr>
                <w:rFonts w:eastAsiaTheme="minorEastAsia"/>
                <w:color w:val="000000" w:themeColor="text1"/>
                <w:spacing w:val="15"/>
                <w:sz w:val="20"/>
                <w:szCs w:val="20"/>
                <w:lang w:val="en-AU" w:eastAsia="en-ID"/>
              </w:rPr>
            </w:pPr>
          </w:p>
        </w:tc>
      </w:tr>
    </w:tbl>
    <w:p w14:paraId="3A6E661E" w14:textId="767ECDFB" w:rsidR="005D46F6" w:rsidRPr="00147922" w:rsidRDefault="005D46F6">
      <w:pPr>
        <w:spacing w:after="0"/>
        <w:jc w:val="both"/>
        <w:rPr>
          <w:lang w:val="en-AU"/>
        </w:rPr>
      </w:pPr>
    </w:p>
    <w:p w14:paraId="3AFFDC1C" w14:textId="77777777" w:rsidR="002A0C6F" w:rsidRDefault="002A0C6F" w:rsidP="00B3138C">
      <w:pPr>
        <w:pStyle w:val="Heading2"/>
        <w:spacing w:before="0"/>
        <w:rPr>
          <w:lang w:val="en-AU"/>
        </w:rPr>
      </w:pPr>
    </w:p>
    <w:p w14:paraId="37AF5B5C" w14:textId="77777777" w:rsidR="007710F9" w:rsidRDefault="007710F9">
      <w:pPr>
        <w:rPr>
          <w:rFonts w:asciiTheme="majorHAnsi" w:eastAsiaTheme="majorEastAsia" w:hAnsiTheme="majorHAnsi" w:cstheme="majorBidi"/>
          <w:color w:val="2E74B5" w:themeColor="accent1" w:themeShade="BF"/>
          <w:sz w:val="26"/>
          <w:szCs w:val="26"/>
          <w:lang w:val="en-AU"/>
        </w:rPr>
      </w:pPr>
      <w:bookmarkStart w:id="27" w:name="_Toc514418248"/>
      <w:r>
        <w:rPr>
          <w:lang w:val="en-AU"/>
        </w:rPr>
        <w:br w:type="page"/>
      </w:r>
    </w:p>
    <w:p w14:paraId="1B3891FA" w14:textId="643DF365" w:rsidR="00D31579" w:rsidRPr="00351A46" w:rsidRDefault="00D31579" w:rsidP="00B3138C">
      <w:pPr>
        <w:pStyle w:val="Heading2"/>
        <w:spacing w:before="0"/>
        <w:rPr>
          <w:lang w:val="en-AU"/>
        </w:rPr>
      </w:pPr>
      <w:r w:rsidRPr="00351A46">
        <w:rPr>
          <w:lang w:val="en-AU"/>
        </w:rPr>
        <w:t>Cross-</w:t>
      </w:r>
      <w:r w:rsidR="00D0604A" w:rsidRPr="00351A46">
        <w:rPr>
          <w:lang w:val="en-AU"/>
        </w:rPr>
        <w:t>Cutting Strategies</w:t>
      </w:r>
      <w:bookmarkEnd w:id="27"/>
    </w:p>
    <w:p w14:paraId="0D57C927" w14:textId="77777777" w:rsidR="00F912D4" w:rsidRPr="00B3138C" w:rsidRDefault="00F912D4" w:rsidP="00B3138C">
      <w:pPr>
        <w:spacing w:after="0"/>
        <w:jc w:val="both"/>
        <w:rPr>
          <w:sz w:val="8"/>
          <w:lang w:val="en-AU"/>
        </w:rPr>
      </w:pPr>
    </w:p>
    <w:p w14:paraId="6444D4D2" w14:textId="6960C4F3" w:rsidR="00D31579" w:rsidRPr="00351A46" w:rsidRDefault="00D31579">
      <w:pPr>
        <w:jc w:val="both"/>
        <w:rPr>
          <w:lang w:val="en-AU"/>
        </w:rPr>
      </w:pPr>
      <w:r w:rsidRPr="00351A46">
        <w:rPr>
          <w:lang w:val="en-AU"/>
        </w:rPr>
        <w:t>During planning, design and implementation, KSI will take into consideration three cross-cutting issues:</w:t>
      </w:r>
    </w:p>
    <w:p w14:paraId="3FA5748D" w14:textId="3BECDFF7" w:rsidR="00D31579" w:rsidRPr="00351A46" w:rsidRDefault="00D0604A">
      <w:pPr>
        <w:pStyle w:val="ListParagraph"/>
        <w:numPr>
          <w:ilvl w:val="0"/>
          <w:numId w:val="23"/>
        </w:numPr>
        <w:spacing w:after="200" w:line="276" w:lineRule="auto"/>
        <w:jc w:val="both"/>
        <w:rPr>
          <w:lang w:val="en-AU"/>
        </w:rPr>
      </w:pPr>
      <w:r w:rsidRPr="00351A46">
        <w:rPr>
          <w:lang w:val="en-AU"/>
        </w:rPr>
        <w:t>Gender equity and social inclusion</w:t>
      </w:r>
      <w:r w:rsidRPr="00351A46">
        <w:rPr>
          <w:spacing w:val="-6"/>
          <w:lang w:val="en-AU"/>
        </w:rPr>
        <w:t xml:space="preserve"> </w:t>
      </w:r>
      <w:r w:rsidRPr="00351A46">
        <w:rPr>
          <w:lang w:val="en-AU"/>
        </w:rPr>
        <w:t>(GESI)</w:t>
      </w:r>
    </w:p>
    <w:p w14:paraId="49750D27" w14:textId="40FA9919" w:rsidR="00D31579" w:rsidRPr="00351A46" w:rsidRDefault="00D0604A">
      <w:pPr>
        <w:pStyle w:val="ListParagraph"/>
        <w:numPr>
          <w:ilvl w:val="0"/>
          <w:numId w:val="23"/>
        </w:numPr>
        <w:spacing w:after="200" w:line="276" w:lineRule="auto"/>
        <w:jc w:val="both"/>
        <w:rPr>
          <w:lang w:val="en-AU"/>
        </w:rPr>
      </w:pPr>
      <w:r w:rsidRPr="00351A46">
        <w:rPr>
          <w:lang w:val="en-AU"/>
        </w:rPr>
        <w:t>Sub-national</w:t>
      </w:r>
      <w:r w:rsidRPr="00351A46">
        <w:rPr>
          <w:spacing w:val="-2"/>
          <w:lang w:val="en-AU"/>
        </w:rPr>
        <w:t xml:space="preserve"> </w:t>
      </w:r>
      <w:r w:rsidRPr="00351A46">
        <w:rPr>
          <w:lang w:val="en-AU"/>
        </w:rPr>
        <w:t>engagement</w:t>
      </w:r>
    </w:p>
    <w:p w14:paraId="2A867965" w14:textId="65A5A70D" w:rsidR="00D31579" w:rsidRPr="00351A46" w:rsidRDefault="00D0604A">
      <w:pPr>
        <w:pStyle w:val="ListParagraph"/>
        <w:numPr>
          <w:ilvl w:val="0"/>
          <w:numId w:val="23"/>
        </w:numPr>
        <w:spacing w:after="200" w:line="276" w:lineRule="auto"/>
        <w:jc w:val="both"/>
        <w:rPr>
          <w:lang w:val="en-AU"/>
        </w:rPr>
      </w:pPr>
      <w:r w:rsidRPr="00351A46">
        <w:rPr>
          <w:lang w:val="en-AU"/>
        </w:rPr>
        <w:t>Media</w:t>
      </w:r>
      <w:r w:rsidRPr="00351A46">
        <w:rPr>
          <w:spacing w:val="-2"/>
          <w:lang w:val="en-AU"/>
        </w:rPr>
        <w:t xml:space="preserve"> </w:t>
      </w:r>
      <w:r w:rsidR="00D31579" w:rsidRPr="00351A46">
        <w:rPr>
          <w:lang w:val="en-AU"/>
        </w:rPr>
        <w:t>engagement.</w:t>
      </w:r>
    </w:p>
    <w:p w14:paraId="03EBE492" w14:textId="545C7531" w:rsidR="00D31579" w:rsidRPr="00351A46" w:rsidRDefault="00D31579" w:rsidP="00B3138C">
      <w:pPr>
        <w:spacing w:after="80"/>
        <w:jc w:val="both"/>
        <w:rPr>
          <w:lang w:val="en-AU"/>
        </w:rPr>
      </w:pPr>
      <w:r w:rsidRPr="00351A46">
        <w:rPr>
          <w:lang w:val="en-AU"/>
        </w:rPr>
        <w:t>As cross-cutting issues, KSI will look for opportunities and entry</w:t>
      </w:r>
      <w:r w:rsidR="0064722E" w:rsidRPr="00351A46">
        <w:rPr>
          <w:lang w:val="en-AU"/>
        </w:rPr>
        <w:t xml:space="preserve"> </w:t>
      </w:r>
      <w:r w:rsidRPr="00351A46">
        <w:rPr>
          <w:lang w:val="en-AU"/>
        </w:rPr>
        <w:t xml:space="preserve">points that provide the </w:t>
      </w:r>
      <w:r w:rsidR="0064722E" w:rsidRPr="00351A46">
        <w:rPr>
          <w:lang w:val="en-AU"/>
        </w:rPr>
        <w:t xml:space="preserve">greatest </w:t>
      </w:r>
      <w:r w:rsidRPr="00351A46">
        <w:rPr>
          <w:lang w:val="en-AU"/>
        </w:rPr>
        <w:t xml:space="preserve">potential return through a limited number of interventions, building on and enriching </w:t>
      </w:r>
      <w:r w:rsidR="00E5110F" w:rsidRPr="00351A46">
        <w:rPr>
          <w:lang w:val="en-AU"/>
        </w:rPr>
        <w:t>key initiative</w:t>
      </w:r>
      <w:r w:rsidRPr="00351A46">
        <w:rPr>
          <w:lang w:val="en-AU"/>
        </w:rPr>
        <w:t>s by adding GESI and sub</w:t>
      </w:r>
      <w:r w:rsidR="0064722E" w:rsidRPr="00351A46">
        <w:rPr>
          <w:lang w:val="en-AU"/>
        </w:rPr>
        <w:t>-</w:t>
      </w:r>
      <w:r w:rsidRPr="00351A46">
        <w:rPr>
          <w:lang w:val="en-AU"/>
        </w:rPr>
        <w:t>national perspectives, and engaging with media partners. The rest of this section elaborates further on each of the issues.</w:t>
      </w:r>
    </w:p>
    <w:p w14:paraId="0BAC7674" w14:textId="77777777" w:rsidR="00D31579" w:rsidRPr="00351A46" w:rsidRDefault="00D31579">
      <w:pPr>
        <w:pStyle w:val="Heading3"/>
        <w:rPr>
          <w:lang w:val="en-AU"/>
        </w:rPr>
      </w:pPr>
      <w:bookmarkStart w:id="28" w:name="_Toc514418249"/>
      <w:r w:rsidRPr="00351A46">
        <w:rPr>
          <w:lang w:val="en-AU"/>
        </w:rPr>
        <w:t>GESI Strategy</w:t>
      </w:r>
      <w:bookmarkEnd w:id="28"/>
    </w:p>
    <w:p w14:paraId="72490991" w14:textId="77777777" w:rsidR="00D31579" w:rsidRPr="00B3138C" w:rsidRDefault="00D31579">
      <w:pPr>
        <w:widowControl w:val="0"/>
        <w:autoSpaceDE w:val="0"/>
        <w:autoSpaceDN w:val="0"/>
        <w:spacing w:after="0" w:line="240" w:lineRule="auto"/>
        <w:rPr>
          <w:rFonts w:ascii="Calibri" w:eastAsia="Calibri" w:hAnsi="Calibri" w:cs="Calibri"/>
          <w:b/>
          <w:i/>
          <w:sz w:val="10"/>
          <w:szCs w:val="24"/>
          <w:lang w:val="en-AU"/>
        </w:rPr>
      </w:pPr>
    </w:p>
    <w:p w14:paraId="7701002D" w14:textId="7EFE353F" w:rsidR="00D31579" w:rsidRPr="00351A46" w:rsidRDefault="00430947">
      <w:pPr>
        <w:jc w:val="both"/>
        <w:rPr>
          <w:lang w:val="en-AU"/>
        </w:rPr>
      </w:pPr>
      <w:r w:rsidRPr="00351A46">
        <w:rPr>
          <w:lang w:val="en-AU"/>
        </w:rPr>
        <w:t>The g</w:t>
      </w:r>
      <w:r w:rsidR="00D31579" w:rsidRPr="00351A46">
        <w:rPr>
          <w:lang w:val="en-AU"/>
        </w:rPr>
        <w:t>overnment needs quality evidence on the nature and extent of inequality and exclusion and the differential impacts of policies on women and socially</w:t>
      </w:r>
      <w:r w:rsidRPr="00351A46">
        <w:rPr>
          <w:lang w:val="en-AU"/>
        </w:rPr>
        <w:t xml:space="preserve"> </w:t>
      </w:r>
      <w:r w:rsidR="00D31579" w:rsidRPr="00351A46">
        <w:rPr>
          <w:lang w:val="en-AU"/>
        </w:rPr>
        <w:t>excluded groups. This enables polic</w:t>
      </w:r>
      <w:r w:rsidRPr="00351A46">
        <w:rPr>
          <w:lang w:val="en-AU"/>
        </w:rPr>
        <w:t>ies</w:t>
      </w:r>
      <w:r w:rsidR="00D31579" w:rsidRPr="00351A46">
        <w:rPr>
          <w:lang w:val="en-AU"/>
        </w:rPr>
        <w:t xml:space="preserve"> to be designed and implemented in a way that ensures women and </w:t>
      </w:r>
      <w:r w:rsidR="002028E3" w:rsidRPr="00351A46">
        <w:rPr>
          <w:lang w:val="en-AU"/>
        </w:rPr>
        <w:t>vulnerable</w:t>
      </w:r>
      <w:r w:rsidR="00D31579" w:rsidRPr="00351A46">
        <w:rPr>
          <w:lang w:val="en-AU"/>
        </w:rPr>
        <w:t xml:space="preserve"> groups have equal access to public services, equal opportunities to participate in public life, and equal rights to a voice in decision</w:t>
      </w:r>
      <w:r w:rsidRPr="00351A46">
        <w:rPr>
          <w:lang w:val="en-AU"/>
        </w:rPr>
        <w:t xml:space="preserve"> </w:t>
      </w:r>
      <w:r w:rsidR="00D31579" w:rsidRPr="00351A46">
        <w:rPr>
          <w:lang w:val="en-AU"/>
        </w:rPr>
        <w:t xml:space="preserve">making. This is essential if Indonesia is to achieve its poverty reduction targets and improve economic growth. </w:t>
      </w:r>
    </w:p>
    <w:p w14:paraId="69B9D989" w14:textId="59CA5CFD" w:rsidR="009C283C" w:rsidRPr="00351A46" w:rsidRDefault="00D31579">
      <w:pPr>
        <w:jc w:val="both"/>
        <w:rPr>
          <w:lang w:val="en-AU"/>
        </w:rPr>
      </w:pPr>
      <w:r w:rsidRPr="00351A46">
        <w:rPr>
          <w:lang w:val="en-AU"/>
        </w:rPr>
        <w:t xml:space="preserve">KSI’s 2016 GESI </w:t>
      </w:r>
      <w:r w:rsidR="00452A52" w:rsidRPr="00351A46">
        <w:rPr>
          <w:lang w:val="en-AU"/>
        </w:rPr>
        <w:t>s</w:t>
      </w:r>
      <w:r w:rsidRPr="00351A46">
        <w:rPr>
          <w:lang w:val="en-AU"/>
        </w:rPr>
        <w:t>trategy remains</w:t>
      </w:r>
      <w:r w:rsidRPr="00351A46">
        <w:rPr>
          <w:spacing w:val="-12"/>
          <w:lang w:val="en-AU"/>
        </w:rPr>
        <w:t xml:space="preserve"> </w:t>
      </w:r>
      <w:r w:rsidRPr="00351A46">
        <w:rPr>
          <w:lang w:val="en-AU"/>
        </w:rPr>
        <w:t>relevant</w:t>
      </w:r>
      <w:r w:rsidRPr="00351A46">
        <w:rPr>
          <w:spacing w:val="-13"/>
          <w:lang w:val="en-AU"/>
        </w:rPr>
        <w:t xml:space="preserve"> </w:t>
      </w:r>
      <w:r w:rsidRPr="00351A46">
        <w:rPr>
          <w:lang w:val="en-AU"/>
        </w:rPr>
        <w:t>to</w:t>
      </w:r>
      <w:r w:rsidRPr="00351A46">
        <w:rPr>
          <w:spacing w:val="-12"/>
          <w:lang w:val="en-AU"/>
        </w:rPr>
        <w:t xml:space="preserve"> </w:t>
      </w:r>
      <w:r w:rsidRPr="00351A46">
        <w:rPr>
          <w:lang w:val="en-AU"/>
        </w:rPr>
        <w:t>KSI’s</w:t>
      </w:r>
      <w:r w:rsidRPr="00351A46">
        <w:rPr>
          <w:spacing w:val="-15"/>
          <w:lang w:val="en-AU"/>
        </w:rPr>
        <w:t xml:space="preserve"> </w:t>
      </w:r>
      <w:r w:rsidRPr="00351A46">
        <w:rPr>
          <w:lang w:val="en-AU"/>
        </w:rPr>
        <w:t>work</w:t>
      </w:r>
      <w:r w:rsidRPr="00351A46">
        <w:rPr>
          <w:spacing w:val="-13"/>
          <w:lang w:val="en-AU"/>
        </w:rPr>
        <w:t xml:space="preserve"> </w:t>
      </w:r>
      <w:r w:rsidRPr="00351A46">
        <w:rPr>
          <w:lang w:val="en-AU"/>
        </w:rPr>
        <w:t>in</w:t>
      </w:r>
      <w:r w:rsidRPr="00351A46">
        <w:rPr>
          <w:spacing w:val="-14"/>
          <w:lang w:val="en-AU"/>
        </w:rPr>
        <w:t xml:space="preserve"> </w:t>
      </w:r>
      <w:r w:rsidRPr="00351A46">
        <w:rPr>
          <w:lang w:val="en-AU"/>
        </w:rPr>
        <w:t>Phase</w:t>
      </w:r>
      <w:r w:rsidRPr="00351A46">
        <w:rPr>
          <w:spacing w:val="-12"/>
          <w:lang w:val="en-AU"/>
        </w:rPr>
        <w:t xml:space="preserve"> </w:t>
      </w:r>
      <w:r w:rsidRPr="00351A46">
        <w:rPr>
          <w:lang w:val="en-AU"/>
        </w:rPr>
        <w:t xml:space="preserve">2. Based on DFAT’s Gender Equality and Women’s Empowerment </w:t>
      </w:r>
      <w:r w:rsidR="00452A52" w:rsidRPr="00351A46">
        <w:rPr>
          <w:lang w:val="en-AU"/>
        </w:rPr>
        <w:t>s</w:t>
      </w:r>
      <w:r w:rsidRPr="00351A46">
        <w:rPr>
          <w:lang w:val="en-AU"/>
        </w:rPr>
        <w:t xml:space="preserve">trategy, it outlines a ‘twin-track’ approach: </w:t>
      </w:r>
    </w:p>
    <w:p w14:paraId="22FC3A6F" w14:textId="11829198" w:rsidR="00873B34" w:rsidRPr="00351A46" w:rsidRDefault="00873B34">
      <w:pPr>
        <w:pStyle w:val="ListParagraph"/>
        <w:numPr>
          <w:ilvl w:val="0"/>
          <w:numId w:val="24"/>
        </w:numPr>
        <w:spacing w:before="120"/>
        <w:contextualSpacing w:val="0"/>
        <w:jc w:val="both"/>
        <w:rPr>
          <w:lang w:val="en-AU"/>
        </w:rPr>
      </w:pPr>
      <w:r w:rsidRPr="00351A46">
        <w:rPr>
          <w:rFonts w:eastAsia="Calibri" w:cstheme="minorHAnsi"/>
          <w:i/>
          <w:lang w:val="en-AU"/>
        </w:rPr>
        <w:t>Mainstreaming</w:t>
      </w:r>
      <w:r w:rsidRPr="00351A46">
        <w:rPr>
          <w:rFonts w:eastAsia="Calibri" w:cstheme="minorHAnsi"/>
          <w:lang w:val="en-AU"/>
        </w:rPr>
        <w:t xml:space="preserve">: This means ensuring that all </w:t>
      </w:r>
      <w:r w:rsidR="008C3312" w:rsidRPr="00351A46">
        <w:rPr>
          <w:rFonts w:eastAsia="Calibri" w:cstheme="minorHAnsi"/>
          <w:lang w:val="en-AU"/>
        </w:rPr>
        <w:t>program</w:t>
      </w:r>
      <w:r w:rsidR="00D0604A" w:rsidRPr="00351A46">
        <w:rPr>
          <w:rFonts w:eastAsia="Calibri" w:cstheme="minorHAnsi"/>
          <w:lang w:val="en-AU"/>
        </w:rPr>
        <w:t xml:space="preserve"> </w:t>
      </w:r>
      <w:r w:rsidRPr="00351A46">
        <w:rPr>
          <w:rFonts w:eastAsia="Calibri" w:cstheme="minorHAnsi"/>
          <w:lang w:val="en-AU"/>
        </w:rPr>
        <w:t xml:space="preserve">activities are inclusive, allowing women and socially excluded groups to participate on an equal basis. It also means ensuring that the perspectives of women and socially excluded groups are included. </w:t>
      </w:r>
    </w:p>
    <w:p w14:paraId="0269B454" w14:textId="5D280964" w:rsidR="00873B34" w:rsidRPr="00351A46" w:rsidRDefault="00873B34">
      <w:pPr>
        <w:pStyle w:val="ListParagraph"/>
        <w:numPr>
          <w:ilvl w:val="0"/>
          <w:numId w:val="24"/>
        </w:numPr>
        <w:spacing w:before="120"/>
        <w:contextualSpacing w:val="0"/>
        <w:jc w:val="both"/>
        <w:rPr>
          <w:lang w:val="en-AU"/>
        </w:rPr>
      </w:pPr>
      <w:r w:rsidRPr="00351A46">
        <w:rPr>
          <w:rFonts w:eastAsia="Calibri" w:cstheme="minorHAnsi"/>
          <w:i/>
          <w:lang w:val="en-AU"/>
        </w:rPr>
        <w:t>Specific interventions</w:t>
      </w:r>
      <w:r w:rsidRPr="00351A46">
        <w:rPr>
          <w:rFonts w:eastAsia="Calibri" w:cstheme="minorHAnsi"/>
          <w:lang w:val="en-AU"/>
        </w:rPr>
        <w:t xml:space="preserve">: KSI will implement a selected number of targeted activities </w:t>
      </w:r>
      <w:r w:rsidR="00430947" w:rsidRPr="00351A46">
        <w:rPr>
          <w:rFonts w:eastAsia="Calibri" w:cstheme="minorHAnsi"/>
          <w:lang w:val="en-AU"/>
        </w:rPr>
        <w:t xml:space="preserve">that </w:t>
      </w:r>
      <w:r w:rsidRPr="00351A46">
        <w:rPr>
          <w:rFonts w:eastAsia="Calibri" w:cstheme="minorHAnsi"/>
          <w:lang w:val="en-AU"/>
        </w:rPr>
        <w:t xml:space="preserve">aim to address specific issues related to </w:t>
      </w:r>
      <w:r w:rsidR="00430947" w:rsidRPr="00351A46">
        <w:rPr>
          <w:rFonts w:eastAsia="Calibri" w:cstheme="minorHAnsi"/>
          <w:lang w:val="en-AU"/>
        </w:rPr>
        <w:t>GESI</w:t>
      </w:r>
      <w:r w:rsidRPr="00351A46">
        <w:rPr>
          <w:rFonts w:eastAsia="Calibri" w:cstheme="minorHAnsi"/>
          <w:lang w:val="en-AU"/>
        </w:rPr>
        <w:t>. These activities are integrated into the key initiatives and support the achievement of KSI’s</w:t>
      </w:r>
      <w:r w:rsidR="00D0604A" w:rsidRPr="00351A46">
        <w:rPr>
          <w:rFonts w:eastAsia="Calibri" w:cstheme="minorHAnsi"/>
          <w:lang w:val="en-AU"/>
        </w:rPr>
        <w:t xml:space="preserve"> EOPOs.</w:t>
      </w:r>
      <w:r w:rsidRPr="00351A46">
        <w:rPr>
          <w:rFonts w:eastAsia="Calibri" w:cstheme="minorHAnsi"/>
          <w:lang w:val="en-AU"/>
        </w:rPr>
        <w:t xml:space="preserve"> </w:t>
      </w:r>
    </w:p>
    <w:p w14:paraId="7C70ABF7" w14:textId="63FD255B" w:rsidR="00D31579" w:rsidRPr="00351A46" w:rsidRDefault="00D31579">
      <w:pPr>
        <w:jc w:val="both"/>
        <w:rPr>
          <w:lang w:val="en-AU"/>
        </w:rPr>
      </w:pPr>
      <w:r w:rsidRPr="00351A46">
        <w:rPr>
          <w:lang w:val="en-AU"/>
        </w:rPr>
        <w:t xml:space="preserve">Within the broad category of social inclusion, KSI will focus on disability inclusion consistent with DFAT’s 2015 ‘Development for All’ </w:t>
      </w:r>
      <w:r w:rsidR="00430947" w:rsidRPr="00351A46">
        <w:rPr>
          <w:lang w:val="en-AU"/>
        </w:rPr>
        <w:t>s</w:t>
      </w:r>
      <w:r w:rsidRPr="00351A46">
        <w:rPr>
          <w:lang w:val="en-AU"/>
        </w:rPr>
        <w:t xml:space="preserve">trategy. </w:t>
      </w:r>
    </w:p>
    <w:p w14:paraId="0982190C" w14:textId="018F00B5" w:rsidR="00D31579" w:rsidRPr="00351A46" w:rsidRDefault="005310EE">
      <w:pPr>
        <w:jc w:val="both"/>
        <w:rPr>
          <w:lang w:val="en-AU"/>
        </w:rPr>
      </w:pPr>
      <w:r w:rsidRPr="00351A46">
        <w:rPr>
          <w:lang w:val="en-AU"/>
        </w:rPr>
        <w:t xml:space="preserve">GESI activities will be outlined each year in the </w:t>
      </w:r>
      <w:r w:rsidR="00430947" w:rsidRPr="00351A46">
        <w:rPr>
          <w:lang w:val="en-AU"/>
        </w:rPr>
        <w:t>annual work plan</w:t>
      </w:r>
      <w:r w:rsidRPr="00351A46">
        <w:rPr>
          <w:lang w:val="en-AU"/>
        </w:rPr>
        <w:t>. GESI</w:t>
      </w:r>
      <w:r w:rsidR="00430947" w:rsidRPr="00351A46">
        <w:rPr>
          <w:lang w:val="en-AU"/>
        </w:rPr>
        <w:t>-</w:t>
      </w:r>
      <w:r w:rsidRPr="00351A46">
        <w:rPr>
          <w:lang w:val="en-AU"/>
        </w:rPr>
        <w:t xml:space="preserve">relevant issues across the EOPOs include: </w:t>
      </w:r>
    </w:p>
    <w:p w14:paraId="2A1EEE80" w14:textId="76AC2888" w:rsidR="005310EE" w:rsidRPr="00351A46" w:rsidRDefault="005310EE">
      <w:pPr>
        <w:numPr>
          <w:ilvl w:val="0"/>
          <w:numId w:val="16"/>
        </w:numPr>
        <w:spacing w:before="120"/>
        <w:jc w:val="both"/>
        <w:rPr>
          <w:lang w:val="en-AU"/>
        </w:rPr>
      </w:pPr>
      <w:r w:rsidRPr="00351A46">
        <w:rPr>
          <w:lang w:val="en-AU"/>
        </w:rPr>
        <w:t xml:space="preserve">EOPO 1 (Research agenda and funding mechanism) – </w:t>
      </w:r>
      <w:r w:rsidR="00F02AFD" w:rsidRPr="00351A46">
        <w:rPr>
          <w:lang w:val="en-AU"/>
        </w:rPr>
        <w:t xml:space="preserve">Promote </w:t>
      </w:r>
      <w:r w:rsidR="00D552E3" w:rsidRPr="00351A46">
        <w:rPr>
          <w:lang w:val="en-AU"/>
        </w:rPr>
        <w:t xml:space="preserve">more research on GESI issues and greater access to research funding by female researchers </w:t>
      </w:r>
      <w:r w:rsidR="004E1701" w:rsidRPr="00351A46">
        <w:rPr>
          <w:lang w:val="en-AU"/>
        </w:rPr>
        <w:t xml:space="preserve">and researchers from </w:t>
      </w:r>
      <w:r w:rsidR="00452A52" w:rsidRPr="00351A46">
        <w:rPr>
          <w:lang w:val="en-AU"/>
        </w:rPr>
        <w:t>social</w:t>
      </w:r>
      <w:r w:rsidR="00CF4207" w:rsidRPr="00351A46">
        <w:rPr>
          <w:lang w:val="en-AU"/>
        </w:rPr>
        <w:t>ly</w:t>
      </w:r>
      <w:r w:rsidR="00452A52" w:rsidRPr="00351A46">
        <w:rPr>
          <w:lang w:val="en-AU"/>
        </w:rPr>
        <w:t xml:space="preserve"> </w:t>
      </w:r>
      <w:r w:rsidR="004E1701" w:rsidRPr="00351A46">
        <w:rPr>
          <w:lang w:val="en-AU"/>
        </w:rPr>
        <w:t xml:space="preserve">excluded groups </w:t>
      </w:r>
      <w:r w:rsidR="00452A52" w:rsidRPr="00351A46">
        <w:rPr>
          <w:lang w:val="en-AU"/>
        </w:rPr>
        <w:t xml:space="preserve">by </w:t>
      </w:r>
      <w:r w:rsidR="00D552E3" w:rsidRPr="00351A46">
        <w:rPr>
          <w:lang w:val="en-AU"/>
        </w:rPr>
        <w:t xml:space="preserve">including GESI considerations in </w:t>
      </w:r>
      <w:r w:rsidR="00452A52" w:rsidRPr="00351A46">
        <w:rPr>
          <w:lang w:val="en-AU"/>
        </w:rPr>
        <w:t xml:space="preserve">the </w:t>
      </w:r>
      <w:r w:rsidR="00D552E3" w:rsidRPr="00351A46">
        <w:rPr>
          <w:lang w:val="en-AU"/>
        </w:rPr>
        <w:t>development of research agendas</w:t>
      </w:r>
      <w:r w:rsidR="00550201" w:rsidRPr="00351A46">
        <w:rPr>
          <w:lang w:val="en-AU"/>
        </w:rPr>
        <w:t>,</w:t>
      </w:r>
      <w:r w:rsidR="00D552E3" w:rsidRPr="00351A46">
        <w:rPr>
          <w:lang w:val="en-AU"/>
        </w:rPr>
        <w:t xml:space="preserve"> funding mechanisms and grant guidelines. </w:t>
      </w:r>
    </w:p>
    <w:p w14:paraId="68CF86BA" w14:textId="0932C7AC" w:rsidR="005310EE" w:rsidRPr="00351A46" w:rsidRDefault="005310EE">
      <w:pPr>
        <w:numPr>
          <w:ilvl w:val="0"/>
          <w:numId w:val="16"/>
        </w:numPr>
        <w:spacing w:before="120"/>
        <w:jc w:val="both"/>
        <w:rPr>
          <w:lang w:val="en-AU"/>
        </w:rPr>
      </w:pPr>
      <w:r w:rsidRPr="00351A46">
        <w:rPr>
          <w:lang w:val="en-AU"/>
        </w:rPr>
        <w:t xml:space="preserve">EOPO 2 (University lecturer incentives) – </w:t>
      </w:r>
      <w:r w:rsidR="00F02AFD" w:rsidRPr="00351A46">
        <w:rPr>
          <w:lang w:val="en-AU"/>
        </w:rPr>
        <w:t xml:space="preserve">Support </w:t>
      </w:r>
      <w:r w:rsidR="00B571A6" w:rsidRPr="00351A46">
        <w:rPr>
          <w:lang w:val="en-AU"/>
        </w:rPr>
        <w:t>bet</w:t>
      </w:r>
      <w:r w:rsidR="003568F8" w:rsidRPr="00351A46">
        <w:rPr>
          <w:lang w:val="en-AU"/>
        </w:rPr>
        <w:t xml:space="preserve">ter incentives and opportunities </w:t>
      </w:r>
      <w:r w:rsidR="00B571A6" w:rsidRPr="00351A46">
        <w:rPr>
          <w:lang w:val="en-AU"/>
        </w:rPr>
        <w:t xml:space="preserve">for </w:t>
      </w:r>
      <w:r w:rsidR="00452A52" w:rsidRPr="00351A46">
        <w:rPr>
          <w:lang w:val="en-AU"/>
        </w:rPr>
        <w:t xml:space="preserve">female </w:t>
      </w:r>
      <w:r w:rsidR="00B571A6" w:rsidRPr="00351A46">
        <w:rPr>
          <w:lang w:val="en-AU"/>
        </w:rPr>
        <w:t>academics and academics from socially</w:t>
      </w:r>
      <w:r w:rsidR="00452A52" w:rsidRPr="00351A46">
        <w:rPr>
          <w:lang w:val="en-AU"/>
        </w:rPr>
        <w:t xml:space="preserve"> </w:t>
      </w:r>
      <w:r w:rsidR="00B571A6" w:rsidRPr="00351A46">
        <w:rPr>
          <w:lang w:val="en-AU"/>
        </w:rPr>
        <w:t>excluded</w:t>
      </w:r>
      <w:r w:rsidR="00E638F2" w:rsidRPr="00351A46">
        <w:rPr>
          <w:lang w:val="en-AU"/>
        </w:rPr>
        <w:t xml:space="preserve"> groups </w:t>
      </w:r>
      <w:r w:rsidR="00452A52" w:rsidRPr="00351A46">
        <w:rPr>
          <w:lang w:val="en-AU"/>
        </w:rPr>
        <w:t xml:space="preserve">by </w:t>
      </w:r>
      <w:r w:rsidR="00E638F2" w:rsidRPr="00351A46">
        <w:rPr>
          <w:lang w:val="en-AU"/>
        </w:rPr>
        <w:t xml:space="preserve">addressing regulatory and policy constraints, as well as practices within universities. </w:t>
      </w:r>
    </w:p>
    <w:p w14:paraId="47FAF09B" w14:textId="63C2C74A" w:rsidR="005310EE" w:rsidRPr="00351A46" w:rsidRDefault="005310EE">
      <w:pPr>
        <w:numPr>
          <w:ilvl w:val="0"/>
          <w:numId w:val="16"/>
        </w:numPr>
        <w:spacing w:before="120"/>
        <w:jc w:val="both"/>
        <w:rPr>
          <w:lang w:val="en-AU"/>
        </w:rPr>
      </w:pPr>
      <w:r w:rsidRPr="00351A46">
        <w:rPr>
          <w:lang w:val="en-AU"/>
        </w:rPr>
        <w:t xml:space="preserve">EOPO 3 (Interactions between researchers, policy analysts and </w:t>
      </w:r>
      <w:r w:rsidR="0085747B" w:rsidRPr="00351A46">
        <w:rPr>
          <w:lang w:val="en-AU"/>
        </w:rPr>
        <w:t>policymak</w:t>
      </w:r>
      <w:r w:rsidRPr="00351A46">
        <w:rPr>
          <w:lang w:val="en-AU"/>
        </w:rPr>
        <w:t>ers) –</w:t>
      </w:r>
      <w:r w:rsidR="00B571A6" w:rsidRPr="00351A46">
        <w:rPr>
          <w:lang w:val="en-AU"/>
        </w:rPr>
        <w:t xml:space="preserve"> </w:t>
      </w:r>
      <w:r w:rsidR="00F02AFD" w:rsidRPr="00351A46">
        <w:rPr>
          <w:lang w:val="en-AU"/>
        </w:rPr>
        <w:t xml:space="preserve">Encourage </w:t>
      </w:r>
      <w:r w:rsidR="001D3DA1" w:rsidRPr="00351A46">
        <w:rPr>
          <w:lang w:val="en-AU"/>
        </w:rPr>
        <w:t>more and better sharing of research on GESI issues through IDF</w:t>
      </w:r>
      <w:r w:rsidR="00452A52" w:rsidRPr="00351A46">
        <w:rPr>
          <w:lang w:val="en-AU"/>
        </w:rPr>
        <w:t>,</w:t>
      </w:r>
      <w:r w:rsidR="001D3DA1" w:rsidRPr="00351A46">
        <w:rPr>
          <w:lang w:val="en-AU"/>
        </w:rPr>
        <w:t xml:space="preserve"> online collaborative forums and knowledge repositories. Encourag</w:t>
      </w:r>
      <w:r w:rsidR="00452A52" w:rsidRPr="00351A46">
        <w:rPr>
          <w:lang w:val="en-AU"/>
        </w:rPr>
        <w:t>e</w:t>
      </w:r>
      <w:r w:rsidR="001D3DA1" w:rsidRPr="00351A46">
        <w:rPr>
          <w:lang w:val="en-AU"/>
        </w:rPr>
        <w:t xml:space="preserve"> consideration of GESI issues in </w:t>
      </w:r>
      <w:r w:rsidR="004E1701" w:rsidRPr="00351A46">
        <w:rPr>
          <w:lang w:val="en-AU"/>
        </w:rPr>
        <w:t>the work of policy analysts</w:t>
      </w:r>
      <w:r w:rsidR="00D0604A" w:rsidRPr="00351A46">
        <w:rPr>
          <w:lang w:val="en-AU"/>
        </w:rPr>
        <w:t xml:space="preserve">. </w:t>
      </w:r>
    </w:p>
    <w:p w14:paraId="59607605" w14:textId="41189157" w:rsidR="005310EE" w:rsidRPr="00351A46" w:rsidRDefault="005310EE">
      <w:pPr>
        <w:numPr>
          <w:ilvl w:val="0"/>
          <w:numId w:val="16"/>
        </w:numPr>
        <w:spacing w:before="120"/>
        <w:jc w:val="both"/>
        <w:rPr>
          <w:lang w:val="en-AU"/>
        </w:rPr>
      </w:pPr>
      <w:r w:rsidRPr="00351A46">
        <w:rPr>
          <w:lang w:val="en-AU"/>
        </w:rPr>
        <w:t>EOPO 4 (Integrated data on planning, budgeting</w:t>
      </w:r>
      <w:r w:rsidR="00D70C6E">
        <w:rPr>
          <w:lang w:val="en-AU"/>
        </w:rPr>
        <w:t>,</w:t>
      </w:r>
      <w:r w:rsidRPr="00351A46">
        <w:rPr>
          <w:lang w:val="en-AU"/>
        </w:rPr>
        <w:t xml:space="preserve"> and</w:t>
      </w:r>
      <w:r w:rsidR="00CF4207" w:rsidRPr="00351A46">
        <w:rPr>
          <w:lang w:val="en-AU"/>
        </w:rPr>
        <w:t xml:space="preserve"> monitoring and evaluation</w:t>
      </w:r>
      <w:r w:rsidRPr="00351A46">
        <w:rPr>
          <w:lang w:val="en-AU"/>
        </w:rPr>
        <w:t>) –</w:t>
      </w:r>
      <w:r w:rsidR="00843371" w:rsidRPr="00351A46">
        <w:rPr>
          <w:lang w:val="en-AU"/>
        </w:rPr>
        <w:t xml:space="preserve"> </w:t>
      </w:r>
      <w:r w:rsidR="00F02AFD" w:rsidRPr="00351A46">
        <w:rPr>
          <w:lang w:val="en-AU"/>
        </w:rPr>
        <w:t xml:space="preserve">Support </w:t>
      </w:r>
      <w:r w:rsidR="00843371" w:rsidRPr="00351A46">
        <w:rPr>
          <w:lang w:val="en-AU"/>
        </w:rPr>
        <w:t xml:space="preserve">improved collection and analysis of GESI </w:t>
      </w:r>
      <w:r w:rsidR="00452A52" w:rsidRPr="00351A46">
        <w:rPr>
          <w:lang w:val="en-AU"/>
        </w:rPr>
        <w:t>monitoring and evaluation</w:t>
      </w:r>
      <w:r w:rsidR="00843371" w:rsidRPr="00351A46">
        <w:rPr>
          <w:lang w:val="en-AU"/>
        </w:rPr>
        <w:t xml:space="preserve"> data and</w:t>
      </w:r>
      <w:r w:rsidR="00641A52" w:rsidRPr="00351A46">
        <w:rPr>
          <w:lang w:val="en-AU"/>
        </w:rPr>
        <w:t xml:space="preserve"> </w:t>
      </w:r>
      <w:r w:rsidR="00843371" w:rsidRPr="00351A46">
        <w:rPr>
          <w:lang w:val="en-AU"/>
        </w:rPr>
        <w:t>integrate</w:t>
      </w:r>
      <w:r w:rsidR="00587448" w:rsidRPr="00351A46">
        <w:rPr>
          <w:lang w:val="en-AU"/>
        </w:rPr>
        <w:t xml:space="preserve"> GESI disaggregated </w:t>
      </w:r>
      <w:r w:rsidR="00452A52" w:rsidRPr="00351A46">
        <w:rPr>
          <w:lang w:val="en-AU"/>
        </w:rPr>
        <w:t xml:space="preserve">monitoring and evaluation </w:t>
      </w:r>
      <w:r w:rsidR="00587448" w:rsidRPr="00351A46">
        <w:rPr>
          <w:lang w:val="en-AU"/>
        </w:rPr>
        <w:t xml:space="preserve">data </w:t>
      </w:r>
      <w:r w:rsidR="00843371" w:rsidRPr="00351A46">
        <w:rPr>
          <w:lang w:val="en-AU"/>
        </w:rPr>
        <w:t xml:space="preserve">into </w:t>
      </w:r>
      <w:r w:rsidR="00587448" w:rsidRPr="00351A46">
        <w:rPr>
          <w:lang w:val="en-AU"/>
        </w:rPr>
        <w:t xml:space="preserve">KRISNA. </w:t>
      </w:r>
    </w:p>
    <w:p w14:paraId="6289A38F" w14:textId="39745840" w:rsidR="00F5658B" w:rsidRPr="00351A46" w:rsidRDefault="005310EE">
      <w:pPr>
        <w:numPr>
          <w:ilvl w:val="0"/>
          <w:numId w:val="16"/>
        </w:numPr>
        <w:spacing w:before="120"/>
        <w:jc w:val="both"/>
        <w:rPr>
          <w:lang w:val="en-AU"/>
        </w:rPr>
      </w:pPr>
      <w:r w:rsidRPr="00351A46">
        <w:rPr>
          <w:lang w:val="en-AU"/>
        </w:rPr>
        <w:t xml:space="preserve">EOPO </w:t>
      </w:r>
      <w:r w:rsidR="00F5658B" w:rsidRPr="00351A46">
        <w:rPr>
          <w:lang w:val="en-AU"/>
        </w:rPr>
        <w:t>5 (Policy research institutes</w:t>
      </w:r>
      <w:r w:rsidRPr="00351A46">
        <w:rPr>
          <w:lang w:val="en-AU"/>
        </w:rPr>
        <w:t xml:space="preserve">) </w:t>
      </w:r>
      <w:r w:rsidR="00934B2D" w:rsidRPr="00351A46">
        <w:rPr>
          <w:lang w:val="en-AU"/>
        </w:rPr>
        <w:t>–</w:t>
      </w:r>
      <w:r w:rsidRPr="00351A46">
        <w:rPr>
          <w:lang w:val="en-AU"/>
        </w:rPr>
        <w:t xml:space="preserve"> </w:t>
      </w:r>
      <w:r w:rsidR="00F02AFD" w:rsidRPr="00351A46">
        <w:rPr>
          <w:lang w:val="en-AU"/>
        </w:rPr>
        <w:t xml:space="preserve">Encourage </w:t>
      </w:r>
      <w:r w:rsidR="00934B2D" w:rsidRPr="00351A46">
        <w:rPr>
          <w:lang w:val="en-AU"/>
        </w:rPr>
        <w:t xml:space="preserve">PRIs to </w:t>
      </w:r>
      <w:r w:rsidR="00A04AA4" w:rsidRPr="00351A46">
        <w:rPr>
          <w:lang w:val="en-AU"/>
        </w:rPr>
        <w:t xml:space="preserve">consider </w:t>
      </w:r>
      <w:r w:rsidR="00934B2D" w:rsidRPr="00351A46">
        <w:rPr>
          <w:lang w:val="en-AU"/>
        </w:rPr>
        <w:t xml:space="preserve">GESI issues in their research, communication and advocacy, where relevant to their research topic. </w:t>
      </w:r>
      <w:r w:rsidR="00A04AA4" w:rsidRPr="00351A46">
        <w:rPr>
          <w:lang w:val="en-AU"/>
        </w:rPr>
        <w:t>Support</w:t>
      </w:r>
      <w:r w:rsidR="00F4347C" w:rsidRPr="00351A46">
        <w:rPr>
          <w:lang w:val="en-AU"/>
        </w:rPr>
        <w:t xml:space="preserve"> PRIs or research networks specifically focused on GESI issues. </w:t>
      </w:r>
    </w:p>
    <w:p w14:paraId="155E4051" w14:textId="7510C6A7" w:rsidR="00D31579" w:rsidRPr="00351A46" w:rsidRDefault="00CC7246" w:rsidP="00B3138C">
      <w:pPr>
        <w:spacing w:before="120" w:after="80"/>
        <w:jc w:val="both"/>
        <w:rPr>
          <w:lang w:val="en-AU"/>
        </w:rPr>
      </w:pPr>
      <w:r w:rsidRPr="00351A46">
        <w:rPr>
          <w:lang w:val="en-AU"/>
        </w:rPr>
        <w:t>KSI has</w:t>
      </w:r>
      <w:r w:rsidR="00D31579" w:rsidRPr="00351A46">
        <w:rPr>
          <w:lang w:val="en-AU"/>
        </w:rPr>
        <w:t xml:space="preserve"> engage</w:t>
      </w:r>
      <w:r w:rsidRPr="00351A46">
        <w:rPr>
          <w:lang w:val="en-AU"/>
        </w:rPr>
        <w:t>d</w:t>
      </w:r>
      <w:r w:rsidR="00D31579" w:rsidRPr="00351A46">
        <w:rPr>
          <w:lang w:val="en-AU"/>
        </w:rPr>
        <w:t xml:space="preserve"> consultants with expertise in gender, social inclusion and disability </w:t>
      </w:r>
      <w:r w:rsidRPr="00351A46">
        <w:rPr>
          <w:lang w:val="en-AU"/>
        </w:rPr>
        <w:t xml:space="preserve">who are currently </w:t>
      </w:r>
      <w:r w:rsidR="00D31579" w:rsidRPr="00351A46">
        <w:rPr>
          <w:lang w:val="en-AU"/>
        </w:rPr>
        <w:t>review</w:t>
      </w:r>
      <w:r w:rsidRPr="00351A46">
        <w:rPr>
          <w:lang w:val="en-AU"/>
        </w:rPr>
        <w:t>ing</w:t>
      </w:r>
      <w:r w:rsidR="00D31579" w:rsidRPr="00351A46">
        <w:rPr>
          <w:lang w:val="en-AU"/>
        </w:rPr>
        <w:t xml:space="preserve"> the strategy and work</w:t>
      </w:r>
      <w:r w:rsidRPr="00351A46">
        <w:rPr>
          <w:lang w:val="en-AU"/>
        </w:rPr>
        <w:t>ing</w:t>
      </w:r>
      <w:r w:rsidR="00D31579" w:rsidRPr="00351A46">
        <w:rPr>
          <w:lang w:val="en-AU"/>
        </w:rPr>
        <w:t xml:space="preserve"> with the </w:t>
      </w:r>
      <w:r w:rsidR="008C3312" w:rsidRPr="00351A46">
        <w:rPr>
          <w:lang w:val="en-AU"/>
        </w:rPr>
        <w:t>program</w:t>
      </w:r>
      <w:r w:rsidR="00D0604A" w:rsidRPr="00351A46">
        <w:rPr>
          <w:lang w:val="en-AU"/>
        </w:rPr>
        <w:t xml:space="preserve"> </w:t>
      </w:r>
      <w:r w:rsidR="00D31579" w:rsidRPr="00351A46">
        <w:rPr>
          <w:lang w:val="en-AU"/>
        </w:rPr>
        <w:t>and operations teams to identify specific actions to ensure that the twin</w:t>
      </w:r>
      <w:r w:rsidR="00452A52" w:rsidRPr="00351A46">
        <w:rPr>
          <w:lang w:val="en-AU"/>
        </w:rPr>
        <w:t>-</w:t>
      </w:r>
      <w:r w:rsidR="00D31579" w:rsidRPr="00351A46">
        <w:rPr>
          <w:lang w:val="en-AU"/>
        </w:rPr>
        <w:t xml:space="preserve">track approach is fully applied across the </w:t>
      </w:r>
      <w:r w:rsidR="008C3312" w:rsidRPr="00351A46">
        <w:rPr>
          <w:lang w:val="en-AU"/>
        </w:rPr>
        <w:t>program</w:t>
      </w:r>
      <w:r w:rsidR="00D0604A" w:rsidRPr="00351A46">
        <w:rPr>
          <w:lang w:val="en-AU"/>
        </w:rPr>
        <w:t xml:space="preserve"> </w:t>
      </w:r>
      <w:r w:rsidR="00D31579" w:rsidRPr="00351A46">
        <w:rPr>
          <w:lang w:val="en-AU"/>
        </w:rPr>
        <w:t xml:space="preserve">and its operations. </w:t>
      </w:r>
    </w:p>
    <w:p w14:paraId="41C8D01B" w14:textId="5672B171" w:rsidR="00D31579" w:rsidRPr="00351A46" w:rsidRDefault="00D31579">
      <w:pPr>
        <w:pStyle w:val="Heading3"/>
        <w:rPr>
          <w:lang w:val="en-AU"/>
        </w:rPr>
      </w:pPr>
      <w:bookmarkStart w:id="29" w:name="_Toc514418250"/>
      <w:r w:rsidRPr="00351A46">
        <w:rPr>
          <w:lang w:val="en-AU"/>
        </w:rPr>
        <w:t>Sub-</w:t>
      </w:r>
      <w:r w:rsidR="00D0604A" w:rsidRPr="00351A46">
        <w:rPr>
          <w:lang w:val="en-AU"/>
        </w:rPr>
        <w:t>National Work</w:t>
      </w:r>
      <w:bookmarkEnd w:id="29"/>
    </w:p>
    <w:p w14:paraId="4FE46251" w14:textId="77777777" w:rsidR="00D31579" w:rsidRPr="00B3138C" w:rsidRDefault="00D31579">
      <w:pPr>
        <w:widowControl w:val="0"/>
        <w:autoSpaceDE w:val="0"/>
        <w:autoSpaceDN w:val="0"/>
        <w:spacing w:after="0" w:line="240" w:lineRule="auto"/>
        <w:rPr>
          <w:rFonts w:ascii="Calibri" w:eastAsia="Calibri" w:hAnsi="Calibri" w:cs="Calibri"/>
          <w:b/>
          <w:i/>
          <w:sz w:val="12"/>
          <w:szCs w:val="24"/>
          <w:lang w:val="en-AU"/>
        </w:rPr>
      </w:pPr>
    </w:p>
    <w:p w14:paraId="03984B32" w14:textId="4B6A8A7F" w:rsidR="00510EBA" w:rsidRPr="00351A46" w:rsidRDefault="00D31579">
      <w:pPr>
        <w:jc w:val="both"/>
        <w:rPr>
          <w:lang w:val="en-AU"/>
        </w:rPr>
      </w:pPr>
      <w:r w:rsidRPr="00351A46">
        <w:rPr>
          <w:lang w:val="en-AU"/>
        </w:rPr>
        <w:t>Indonesia is a decentrali</w:t>
      </w:r>
      <w:r w:rsidR="00D0604A" w:rsidRPr="00351A46">
        <w:rPr>
          <w:lang w:val="en-AU"/>
        </w:rPr>
        <w:t>s</w:t>
      </w:r>
      <w:r w:rsidRPr="00351A46">
        <w:rPr>
          <w:lang w:val="en-AU"/>
        </w:rPr>
        <w:t xml:space="preserve">ed country </w:t>
      </w:r>
      <w:r w:rsidR="0052516B" w:rsidRPr="00351A46">
        <w:rPr>
          <w:lang w:val="en-AU"/>
        </w:rPr>
        <w:t xml:space="preserve">where </w:t>
      </w:r>
      <w:r w:rsidR="00521798" w:rsidRPr="00351A46">
        <w:rPr>
          <w:lang w:val="en-AU"/>
        </w:rPr>
        <w:t>most</w:t>
      </w:r>
      <w:r w:rsidRPr="00351A46">
        <w:rPr>
          <w:lang w:val="en-AU"/>
        </w:rPr>
        <w:t xml:space="preserve"> public services and development policies are produced and </w:t>
      </w:r>
      <w:r w:rsidR="0052516B" w:rsidRPr="00351A46">
        <w:rPr>
          <w:lang w:val="en-AU"/>
        </w:rPr>
        <w:t>implemented at the local level. To</w:t>
      </w:r>
      <w:r w:rsidRPr="00351A46">
        <w:rPr>
          <w:lang w:val="en-AU"/>
        </w:rPr>
        <w:t xml:space="preserve"> improve development policies, a national </w:t>
      </w:r>
      <w:r w:rsidR="008C3312" w:rsidRPr="00351A46">
        <w:rPr>
          <w:lang w:val="en-AU"/>
        </w:rPr>
        <w:t>program</w:t>
      </w:r>
      <w:r w:rsidR="00D0604A" w:rsidRPr="00351A46">
        <w:rPr>
          <w:lang w:val="en-AU"/>
        </w:rPr>
        <w:t xml:space="preserve"> </w:t>
      </w:r>
      <w:r w:rsidRPr="00351A46">
        <w:rPr>
          <w:lang w:val="en-AU"/>
        </w:rPr>
        <w:t xml:space="preserve">needs to work not just in Jakarta, but with a broader geographical scope. KSI is not a sub-national </w:t>
      </w:r>
      <w:r w:rsidR="008C3312" w:rsidRPr="00351A46">
        <w:rPr>
          <w:lang w:val="en-AU"/>
        </w:rPr>
        <w:t>program</w:t>
      </w:r>
      <w:r w:rsidR="00D0604A" w:rsidRPr="00351A46">
        <w:rPr>
          <w:lang w:val="en-AU"/>
        </w:rPr>
        <w:t xml:space="preserve"> </w:t>
      </w:r>
      <w:r w:rsidR="00452A52" w:rsidRPr="00351A46">
        <w:rPr>
          <w:lang w:val="en-AU"/>
        </w:rPr>
        <w:t>aiming</w:t>
      </w:r>
      <w:r w:rsidRPr="00351A46">
        <w:rPr>
          <w:lang w:val="en-AU"/>
        </w:rPr>
        <w:t xml:space="preserve"> to make local governments </w:t>
      </w:r>
      <w:r w:rsidR="00B65904" w:rsidRPr="00351A46">
        <w:rPr>
          <w:lang w:val="en-AU"/>
        </w:rPr>
        <w:t xml:space="preserve">more effective and </w:t>
      </w:r>
      <w:r w:rsidR="003C2039" w:rsidRPr="00351A46">
        <w:rPr>
          <w:lang w:val="en-AU"/>
        </w:rPr>
        <w:t>accountable</w:t>
      </w:r>
      <w:r w:rsidR="00D70C6E">
        <w:rPr>
          <w:lang w:val="en-AU"/>
        </w:rPr>
        <w:t>,</w:t>
      </w:r>
      <w:r w:rsidR="003C2039" w:rsidRPr="00351A46">
        <w:rPr>
          <w:lang w:val="en-AU"/>
        </w:rPr>
        <w:t xml:space="preserve"> but</w:t>
      </w:r>
      <w:r w:rsidR="00B65904" w:rsidRPr="00351A46">
        <w:rPr>
          <w:lang w:val="en-AU"/>
        </w:rPr>
        <w:t xml:space="preserve"> will leverage DFAT programming at the sub</w:t>
      </w:r>
      <w:r w:rsidR="00452A52" w:rsidRPr="00351A46">
        <w:rPr>
          <w:lang w:val="en-AU"/>
        </w:rPr>
        <w:t>-</w:t>
      </w:r>
      <w:r w:rsidR="00B65904" w:rsidRPr="00351A46">
        <w:rPr>
          <w:lang w:val="en-AU"/>
        </w:rPr>
        <w:t>national level. K</w:t>
      </w:r>
      <w:r w:rsidRPr="00351A46">
        <w:rPr>
          <w:lang w:val="en-AU"/>
        </w:rPr>
        <w:t xml:space="preserve">SI’s sub-national work will </w:t>
      </w:r>
      <w:r w:rsidR="00B65904" w:rsidRPr="00351A46">
        <w:rPr>
          <w:lang w:val="en-AU"/>
        </w:rPr>
        <w:t xml:space="preserve">differentiate by </w:t>
      </w:r>
      <w:r w:rsidRPr="00351A46">
        <w:rPr>
          <w:lang w:val="en-AU"/>
        </w:rPr>
        <w:t>support</w:t>
      </w:r>
      <w:r w:rsidR="00B65904" w:rsidRPr="00351A46">
        <w:rPr>
          <w:lang w:val="en-AU"/>
        </w:rPr>
        <w:t>ing</w:t>
      </w:r>
      <w:r w:rsidRPr="00351A46">
        <w:rPr>
          <w:lang w:val="en-AU"/>
        </w:rPr>
        <w:t xml:space="preserve"> the overall development goal of improving the use of quality evidence in </w:t>
      </w:r>
      <w:r w:rsidR="00B65904" w:rsidRPr="00351A46">
        <w:rPr>
          <w:lang w:val="en-AU"/>
        </w:rPr>
        <w:t xml:space="preserve">local </w:t>
      </w:r>
      <w:r w:rsidRPr="00351A46">
        <w:rPr>
          <w:lang w:val="en-AU"/>
        </w:rPr>
        <w:t>policymaking. The aim is to ensure that sub-national perspectives are incorporated into KSI’s work.</w:t>
      </w:r>
    </w:p>
    <w:p w14:paraId="1CF3C26C" w14:textId="31C018EB" w:rsidR="00D31579" w:rsidRPr="00351A46" w:rsidRDefault="00510EBA">
      <w:pPr>
        <w:rPr>
          <w:lang w:val="en-AU"/>
        </w:rPr>
      </w:pPr>
      <w:r w:rsidRPr="00351A46">
        <w:rPr>
          <w:lang w:val="en-AU"/>
        </w:rPr>
        <w:t xml:space="preserve"> To do this</w:t>
      </w:r>
      <w:r w:rsidR="00FE4CF9" w:rsidRPr="00351A46">
        <w:rPr>
          <w:lang w:val="en-AU"/>
        </w:rPr>
        <w:t>,</w:t>
      </w:r>
      <w:r w:rsidRPr="00351A46">
        <w:rPr>
          <w:lang w:val="en-AU"/>
        </w:rPr>
        <w:t xml:space="preserve"> KSI will: </w:t>
      </w:r>
    </w:p>
    <w:p w14:paraId="4E766387" w14:textId="16F7454F" w:rsidR="00D31579" w:rsidRPr="00351A46" w:rsidRDefault="00D31579">
      <w:pPr>
        <w:numPr>
          <w:ilvl w:val="0"/>
          <w:numId w:val="17"/>
        </w:numPr>
        <w:spacing w:before="120"/>
        <w:contextualSpacing/>
        <w:jc w:val="both"/>
        <w:rPr>
          <w:lang w:val="en-AU"/>
        </w:rPr>
      </w:pPr>
      <w:r w:rsidRPr="00351A46">
        <w:rPr>
          <w:lang w:val="en-AU"/>
        </w:rPr>
        <w:t>Engage on sub-national issues that support the overall development goal of improving the use of evidence in policymaking</w:t>
      </w:r>
    </w:p>
    <w:p w14:paraId="2ED51806" w14:textId="15ED25B3" w:rsidR="00D31579" w:rsidRPr="00351A46" w:rsidRDefault="00D31579">
      <w:pPr>
        <w:numPr>
          <w:ilvl w:val="0"/>
          <w:numId w:val="17"/>
        </w:numPr>
        <w:spacing w:before="120"/>
        <w:contextualSpacing/>
        <w:jc w:val="both"/>
        <w:rPr>
          <w:lang w:val="en-AU"/>
        </w:rPr>
      </w:pPr>
      <w:r w:rsidRPr="00351A46">
        <w:rPr>
          <w:lang w:val="en-AU"/>
        </w:rPr>
        <w:t>Focus on a limited number of activities where there is traction and opportunit</w:t>
      </w:r>
      <w:r w:rsidR="00FE4CF9" w:rsidRPr="00351A46">
        <w:rPr>
          <w:lang w:val="en-AU"/>
        </w:rPr>
        <w:t>y</w:t>
      </w:r>
    </w:p>
    <w:p w14:paraId="6D86DAAC" w14:textId="55E35015" w:rsidR="00CD2F2B" w:rsidRPr="00351A46" w:rsidRDefault="00D31579">
      <w:pPr>
        <w:numPr>
          <w:ilvl w:val="0"/>
          <w:numId w:val="17"/>
        </w:numPr>
        <w:spacing w:before="120"/>
        <w:contextualSpacing/>
        <w:jc w:val="both"/>
        <w:rPr>
          <w:lang w:val="en-AU"/>
        </w:rPr>
      </w:pPr>
      <w:r w:rsidRPr="00351A46">
        <w:rPr>
          <w:lang w:val="en-AU"/>
        </w:rPr>
        <w:t xml:space="preserve">Collaborate with existing networks of government counterparts and implementing partners, such as PRIs, policy analyst networks and </w:t>
      </w:r>
      <w:r w:rsidR="00E7181A">
        <w:rPr>
          <w:lang w:val="en-AU"/>
        </w:rPr>
        <w:t>the Indonesia</w:t>
      </w:r>
      <w:r w:rsidR="00E7181A" w:rsidRPr="00E7181A">
        <w:t xml:space="preserve"> Regional Science Association</w:t>
      </w:r>
      <w:r w:rsidR="00E7181A">
        <w:t xml:space="preserve"> (</w:t>
      </w:r>
      <w:r w:rsidRPr="00351A46">
        <w:rPr>
          <w:lang w:val="en-AU"/>
        </w:rPr>
        <w:t>IRSA</w:t>
      </w:r>
      <w:r w:rsidR="00E7181A">
        <w:rPr>
          <w:lang w:val="en-AU"/>
        </w:rPr>
        <w:t>)</w:t>
      </w:r>
    </w:p>
    <w:p w14:paraId="690D8AC4" w14:textId="06FBE0F0" w:rsidR="00CD2F2B" w:rsidRPr="00351A46" w:rsidRDefault="00D31579">
      <w:pPr>
        <w:numPr>
          <w:ilvl w:val="0"/>
          <w:numId w:val="17"/>
        </w:numPr>
        <w:spacing w:before="120"/>
        <w:contextualSpacing/>
        <w:jc w:val="both"/>
        <w:rPr>
          <w:lang w:val="en-AU"/>
        </w:rPr>
      </w:pPr>
      <w:r w:rsidRPr="00351A46">
        <w:rPr>
          <w:lang w:val="en-AU"/>
        </w:rPr>
        <w:t xml:space="preserve">Leverage and add value to the efforts of other DFAT </w:t>
      </w:r>
      <w:r w:rsidR="008C3312" w:rsidRPr="00351A46">
        <w:rPr>
          <w:lang w:val="en-AU"/>
        </w:rPr>
        <w:t>program</w:t>
      </w:r>
      <w:r w:rsidR="00B516F3" w:rsidRPr="00351A46">
        <w:rPr>
          <w:lang w:val="en-AU"/>
        </w:rPr>
        <w:t>s</w:t>
      </w:r>
      <w:r w:rsidRPr="00351A46">
        <w:rPr>
          <w:lang w:val="en-AU"/>
        </w:rPr>
        <w:t xml:space="preserve">, </w:t>
      </w:r>
      <w:r w:rsidR="00FE4CF9" w:rsidRPr="00351A46">
        <w:rPr>
          <w:lang w:val="en-AU"/>
        </w:rPr>
        <w:t xml:space="preserve">but </w:t>
      </w:r>
      <w:r w:rsidRPr="00351A46">
        <w:rPr>
          <w:lang w:val="en-AU"/>
        </w:rPr>
        <w:t>not duplicate them</w:t>
      </w:r>
      <w:r w:rsidR="00510EBA" w:rsidRPr="00351A46">
        <w:rPr>
          <w:lang w:val="en-AU"/>
        </w:rPr>
        <w:t>.</w:t>
      </w:r>
      <w:r w:rsidR="00FE4CF9" w:rsidRPr="00351A46">
        <w:rPr>
          <w:lang w:val="en-AU"/>
        </w:rPr>
        <w:t xml:space="preserve"> </w:t>
      </w:r>
      <w:r w:rsidR="005C6517" w:rsidRPr="00351A46">
        <w:rPr>
          <w:lang w:val="en-AU"/>
        </w:rPr>
        <w:br/>
      </w:r>
      <w:r w:rsidR="00041058" w:rsidRPr="00351A46">
        <w:rPr>
          <w:lang w:val="en-AU"/>
        </w:rPr>
        <w:t xml:space="preserve">Sub-national activities will be outlined each year in </w:t>
      </w:r>
      <w:r w:rsidR="00FE4CF9" w:rsidRPr="00351A46">
        <w:rPr>
          <w:lang w:val="en-AU"/>
        </w:rPr>
        <w:t>the annual work plan</w:t>
      </w:r>
      <w:r w:rsidR="00D0604A" w:rsidRPr="00351A46">
        <w:rPr>
          <w:lang w:val="en-AU"/>
        </w:rPr>
        <w:t xml:space="preserve">. </w:t>
      </w:r>
    </w:p>
    <w:p w14:paraId="07F10246" w14:textId="77777777" w:rsidR="00595921" w:rsidRPr="00351A46" w:rsidRDefault="00595921">
      <w:pPr>
        <w:spacing w:before="120"/>
        <w:contextualSpacing/>
        <w:jc w:val="both"/>
        <w:rPr>
          <w:lang w:val="en-AU"/>
        </w:rPr>
      </w:pPr>
    </w:p>
    <w:p w14:paraId="4E488D0C" w14:textId="2FFF98D1" w:rsidR="00F32056" w:rsidRPr="00351A46" w:rsidRDefault="00271043">
      <w:pPr>
        <w:spacing w:before="120"/>
        <w:rPr>
          <w:lang w:val="en-AU"/>
        </w:rPr>
      </w:pPr>
      <w:r w:rsidRPr="00351A46">
        <w:rPr>
          <w:lang w:val="en-AU"/>
        </w:rPr>
        <w:t>Potential avenues for including sub-national perspectives across the EOPOs are:</w:t>
      </w:r>
      <w:r w:rsidR="001D26E1" w:rsidRPr="00351A46">
        <w:rPr>
          <w:lang w:val="en-AU"/>
        </w:rPr>
        <w:t xml:space="preserve"> </w:t>
      </w:r>
    </w:p>
    <w:p w14:paraId="33F25079" w14:textId="465C142A" w:rsidR="00041058" w:rsidRPr="00351A46" w:rsidRDefault="00041058">
      <w:pPr>
        <w:pStyle w:val="ListParagraph"/>
        <w:numPr>
          <w:ilvl w:val="0"/>
          <w:numId w:val="22"/>
        </w:numPr>
        <w:spacing w:before="120"/>
        <w:contextualSpacing w:val="0"/>
        <w:jc w:val="both"/>
        <w:rPr>
          <w:lang w:val="en-AU"/>
        </w:rPr>
      </w:pPr>
      <w:r w:rsidRPr="00351A46">
        <w:rPr>
          <w:lang w:val="en-AU"/>
        </w:rPr>
        <w:t xml:space="preserve">EOPO 1 (Research agenda and funding mechanisms) – </w:t>
      </w:r>
      <w:r w:rsidR="00F02AFD" w:rsidRPr="00351A46">
        <w:rPr>
          <w:lang w:val="en-AU"/>
        </w:rPr>
        <w:t xml:space="preserve">Encouraging </w:t>
      </w:r>
      <w:r w:rsidRPr="00351A46">
        <w:rPr>
          <w:lang w:val="en-AU"/>
        </w:rPr>
        <w:t xml:space="preserve">consideration of sub-national perspectives in development of </w:t>
      </w:r>
      <w:r w:rsidR="00207374" w:rsidRPr="00351A46">
        <w:rPr>
          <w:lang w:val="en-AU"/>
        </w:rPr>
        <w:t xml:space="preserve">any </w:t>
      </w:r>
      <w:r w:rsidRPr="00351A46">
        <w:rPr>
          <w:lang w:val="en-AU"/>
        </w:rPr>
        <w:t>research agendas and funding mechanisms</w:t>
      </w:r>
      <w:r w:rsidR="00E60BAE" w:rsidRPr="00351A46">
        <w:rPr>
          <w:lang w:val="en-AU"/>
        </w:rPr>
        <w:t xml:space="preserve"> (including with the private sector)</w:t>
      </w:r>
      <w:r w:rsidRPr="00351A46">
        <w:rPr>
          <w:lang w:val="en-AU"/>
        </w:rPr>
        <w:t xml:space="preserve">, including ensuring research providers at sub-national level are able to access research funding. </w:t>
      </w:r>
    </w:p>
    <w:p w14:paraId="3936FA4C" w14:textId="6D1CDB0E" w:rsidR="00041058" w:rsidRPr="00351A46" w:rsidRDefault="00041058">
      <w:pPr>
        <w:pStyle w:val="ListParagraph"/>
        <w:numPr>
          <w:ilvl w:val="0"/>
          <w:numId w:val="22"/>
        </w:numPr>
        <w:spacing w:before="120"/>
        <w:contextualSpacing w:val="0"/>
        <w:jc w:val="both"/>
        <w:rPr>
          <w:lang w:val="en-AU"/>
        </w:rPr>
      </w:pPr>
      <w:r w:rsidRPr="00351A46">
        <w:rPr>
          <w:lang w:val="en-AU"/>
        </w:rPr>
        <w:t>EOPO 2 (University lecturer incentives) –</w:t>
      </w:r>
      <w:r w:rsidR="002F1686" w:rsidRPr="00351A46">
        <w:rPr>
          <w:lang w:val="en-AU"/>
        </w:rPr>
        <w:t xml:space="preserve"> </w:t>
      </w:r>
      <w:r w:rsidR="00F02AFD" w:rsidRPr="00351A46">
        <w:rPr>
          <w:lang w:val="en-AU"/>
        </w:rPr>
        <w:t xml:space="preserve">Policy </w:t>
      </w:r>
      <w:r w:rsidR="002F1686" w:rsidRPr="00351A46">
        <w:rPr>
          <w:lang w:val="en-AU"/>
        </w:rPr>
        <w:t xml:space="preserve">and regulatory change to improve incentives </w:t>
      </w:r>
      <w:r w:rsidR="00C11B0C" w:rsidRPr="00351A46">
        <w:rPr>
          <w:lang w:val="en-AU"/>
        </w:rPr>
        <w:t xml:space="preserve">for lecturers to produce quality policy research </w:t>
      </w:r>
      <w:r w:rsidR="002F1686" w:rsidRPr="00351A46">
        <w:rPr>
          <w:lang w:val="en-AU"/>
        </w:rPr>
        <w:t xml:space="preserve">will affect all universities, including those at sub-national level. Exploring opportunities to support approaches within selected sub-national universities to improve incentives. </w:t>
      </w:r>
    </w:p>
    <w:p w14:paraId="2927AC39" w14:textId="0822F8C7" w:rsidR="00041058" w:rsidRPr="00351A46" w:rsidRDefault="00041058">
      <w:pPr>
        <w:pStyle w:val="ListParagraph"/>
        <w:numPr>
          <w:ilvl w:val="0"/>
          <w:numId w:val="22"/>
        </w:numPr>
        <w:spacing w:before="120"/>
        <w:contextualSpacing w:val="0"/>
        <w:jc w:val="both"/>
        <w:rPr>
          <w:lang w:val="en-AU"/>
        </w:rPr>
      </w:pPr>
      <w:r w:rsidRPr="00351A46">
        <w:rPr>
          <w:lang w:val="en-AU"/>
        </w:rPr>
        <w:t xml:space="preserve">EOPO 3 (Interactions between researchers, policy analysts and policymakers) </w:t>
      </w:r>
      <w:r w:rsidR="00EE4BCB" w:rsidRPr="00351A46">
        <w:rPr>
          <w:lang w:val="en-AU"/>
        </w:rPr>
        <w:t>–</w:t>
      </w:r>
      <w:r w:rsidRPr="00351A46">
        <w:rPr>
          <w:lang w:val="en-AU"/>
        </w:rPr>
        <w:t xml:space="preserve"> </w:t>
      </w:r>
      <w:r w:rsidR="00F02AFD" w:rsidRPr="00351A46">
        <w:rPr>
          <w:lang w:val="en-AU"/>
        </w:rPr>
        <w:t xml:space="preserve">Encouraging </w:t>
      </w:r>
      <w:r w:rsidR="00EE4BCB" w:rsidRPr="00351A46">
        <w:rPr>
          <w:lang w:val="en-AU"/>
        </w:rPr>
        <w:t>interactions between national and sub-national stakeholders in the knowledge sector</w:t>
      </w:r>
      <w:r w:rsidR="00893412" w:rsidRPr="00351A46">
        <w:rPr>
          <w:lang w:val="en-AU"/>
        </w:rPr>
        <w:t xml:space="preserve"> through convening forums (offline and online). Encourage more </w:t>
      </w:r>
      <w:r w:rsidR="000F316E" w:rsidRPr="00351A46">
        <w:rPr>
          <w:lang w:val="en-AU"/>
        </w:rPr>
        <w:t xml:space="preserve">competent </w:t>
      </w:r>
      <w:r w:rsidR="00893412" w:rsidRPr="00351A46">
        <w:rPr>
          <w:lang w:val="en-AU"/>
        </w:rPr>
        <w:t xml:space="preserve">policy analysts at sub-national level. </w:t>
      </w:r>
      <w:r w:rsidR="000D2BEE" w:rsidRPr="00351A46">
        <w:rPr>
          <w:lang w:val="en-AU"/>
        </w:rPr>
        <w:t xml:space="preserve">Encourage </w:t>
      </w:r>
      <w:r w:rsidR="00FE075E" w:rsidRPr="00351A46">
        <w:rPr>
          <w:lang w:val="en-AU"/>
        </w:rPr>
        <w:t>sub-national perspectives to be represented at IDF</w:t>
      </w:r>
      <w:r w:rsidR="00D0604A" w:rsidRPr="00351A46">
        <w:rPr>
          <w:lang w:val="en-AU"/>
        </w:rPr>
        <w:t xml:space="preserve">. </w:t>
      </w:r>
    </w:p>
    <w:p w14:paraId="102DFF55" w14:textId="618BD8C9" w:rsidR="00041058" w:rsidRPr="00351A46" w:rsidRDefault="00041058">
      <w:pPr>
        <w:pStyle w:val="ListParagraph"/>
        <w:numPr>
          <w:ilvl w:val="0"/>
          <w:numId w:val="22"/>
        </w:numPr>
        <w:spacing w:before="120"/>
        <w:contextualSpacing w:val="0"/>
        <w:jc w:val="both"/>
        <w:rPr>
          <w:lang w:val="en-AU"/>
        </w:rPr>
      </w:pPr>
      <w:r w:rsidRPr="00351A46">
        <w:rPr>
          <w:lang w:val="en-AU"/>
        </w:rPr>
        <w:t>EOPO 4 (Integrated data on planning, budgeting and</w:t>
      </w:r>
      <w:r w:rsidR="00CF4207" w:rsidRPr="00351A46">
        <w:rPr>
          <w:lang w:val="en-AU"/>
        </w:rPr>
        <w:t xml:space="preserve"> monitoring and evaluation</w:t>
      </w:r>
      <w:r w:rsidRPr="00351A46">
        <w:rPr>
          <w:lang w:val="en-AU"/>
        </w:rPr>
        <w:t xml:space="preserve">) – </w:t>
      </w:r>
      <w:r w:rsidR="00F02AFD" w:rsidRPr="00351A46">
        <w:rPr>
          <w:lang w:val="en-AU"/>
        </w:rPr>
        <w:t xml:space="preserve">Expanding </w:t>
      </w:r>
      <w:r w:rsidR="00816819" w:rsidRPr="00351A46">
        <w:rPr>
          <w:lang w:val="en-AU"/>
        </w:rPr>
        <w:t xml:space="preserve">KRISNA to integrate local government plans and budgets for DAK funding. </w:t>
      </w:r>
    </w:p>
    <w:p w14:paraId="73AA03D0" w14:textId="476012BD" w:rsidR="00D31579" w:rsidRPr="00351A46" w:rsidRDefault="00041058">
      <w:pPr>
        <w:pStyle w:val="ListParagraph"/>
        <w:numPr>
          <w:ilvl w:val="0"/>
          <w:numId w:val="22"/>
        </w:numPr>
        <w:spacing w:before="120"/>
        <w:contextualSpacing w:val="0"/>
        <w:jc w:val="both"/>
        <w:rPr>
          <w:lang w:val="en-AU"/>
        </w:rPr>
      </w:pPr>
      <w:r w:rsidRPr="00351A46">
        <w:rPr>
          <w:lang w:val="en-AU"/>
        </w:rPr>
        <w:t>EOPO</w:t>
      </w:r>
      <w:r w:rsidR="005D5F35" w:rsidRPr="00351A46">
        <w:rPr>
          <w:lang w:val="en-AU"/>
        </w:rPr>
        <w:t xml:space="preserve"> 5 (Policy research institutes</w:t>
      </w:r>
      <w:r w:rsidRPr="00351A46">
        <w:rPr>
          <w:lang w:val="en-AU"/>
        </w:rPr>
        <w:t xml:space="preserve">) </w:t>
      </w:r>
      <w:r w:rsidR="0032745F" w:rsidRPr="00351A46">
        <w:rPr>
          <w:lang w:val="en-AU"/>
        </w:rPr>
        <w:t>–</w:t>
      </w:r>
      <w:r w:rsidRPr="00351A46">
        <w:rPr>
          <w:lang w:val="en-AU"/>
        </w:rPr>
        <w:t xml:space="preserve"> </w:t>
      </w:r>
      <w:r w:rsidR="00F02AFD" w:rsidRPr="00351A46">
        <w:rPr>
          <w:lang w:val="en-AU"/>
        </w:rPr>
        <w:t xml:space="preserve">Where </w:t>
      </w:r>
      <w:r w:rsidR="0032745F" w:rsidRPr="00351A46">
        <w:rPr>
          <w:lang w:val="en-AU"/>
        </w:rPr>
        <w:t xml:space="preserve">relevant, </w:t>
      </w:r>
      <w:r w:rsidR="00987726" w:rsidRPr="00351A46">
        <w:rPr>
          <w:lang w:val="en-AU"/>
        </w:rPr>
        <w:t>encourage PRIs to consider sub-national perspectives and connect with sub-national stakeholders through their resea</w:t>
      </w:r>
      <w:r w:rsidR="0032745F" w:rsidRPr="00351A46">
        <w:rPr>
          <w:lang w:val="en-AU"/>
        </w:rPr>
        <w:t>rch, communication and advocacy</w:t>
      </w:r>
      <w:r w:rsidR="00987726" w:rsidRPr="00351A46">
        <w:rPr>
          <w:lang w:val="en-AU"/>
        </w:rPr>
        <w:t>.</w:t>
      </w:r>
      <w:r w:rsidR="00893412" w:rsidRPr="00351A46">
        <w:rPr>
          <w:lang w:val="en-AU"/>
        </w:rPr>
        <w:t xml:space="preserve"> Where relevant, support PRIs to link to DFAT’s sub</w:t>
      </w:r>
      <w:r w:rsidR="00FE4CF9" w:rsidRPr="00351A46">
        <w:rPr>
          <w:lang w:val="en-AU"/>
        </w:rPr>
        <w:t>-</w:t>
      </w:r>
      <w:r w:rsidR="00893412" w:rsidRPr="00351A46">
        <w:rPr>
          <w:lang w:val="en-AU"/>
        </w:rPr>
        <w:t xml:space="preserve">national </w:t>
      </w:r>
      <w:r w:rsidR="008C3312" w:rsidRPr="00351A46">
        <w:rPr>
          <w:lang w:val="en-AU"/>
        </w:rPr>
        <w:t>program</w:t>
      </w:r>
      <w:r w:rsidR="00B516F3" w:rsidRPr="00351A46">
        <w:rPr>
          <w:lang w:val="en-AU"/>
        </w:rPr>
        <w:t>s</w:t>
      </w:r>
      <w:r w:rsidR="00D0604A" w:rsidRPr="00351A46">
        <w:rPr>
          <w:lang w:val="en-AU"/>
        </w:rPr>
        <w:t xml:space="preserve">. </w:t>
      </w:r>
    </w:p>
    <w:p w14:paraId="5C613E1E" w14:textId="24E4E184" w:rsidR="00D31579" w:rsidRPr="00351A46" w:rsidRDefault="00D31579">
      <w:pPr>
        <w:pStyle w:val="Heading3"/>
        <w:rPr>
          <w:lang w:val="en-AU"/>
        </w:rPr>
      </w:pPr>
      <w:bookmarkStart w:id="30" w:name="_Toc514418251"/>
      <w:r w:rsidRPr="00351A46">
        <w:rPr>
          <w:lang w:val="en-AU"/>
        </w:rPr>
        <w:t>Engaging Media</w:t>
      </w:r>
      <w:bookmarkEnd w:id="30"/>
    </w:p>
    <w:p w14:paraId="1998F2F9" w14:textId="77777777" w:rsidR="00D31579" w:rsidRPr="00B3138C" w:rsidRDefault="00D31579" w:rsidP="00B3138C">
      <w:pPr>
        <w:keepNext/>
        <w:widowControl w:val="0"/>
        <w:autoSpaceDE w:val="0"/>
        <w:autoSpaceDN w:val="0"/>
        <w:spacing w:after="0" w:line="240" w:lineRule="auto"/>
        <w:rPr>
          <w:rFonts w:ascii="Calibri" w:eastAsia="Calibri" w:hAnsi="Calibri" w:cs="Calibri"/>
          <w:b/>
          <w:i/>
          <w:sz w:val="14"/>
          <w:szCs w:val="24"/>
          <w:lang w:val="en-AU"/>
        </w:rPr>
      </w:pPr>
    </w:p>
    <w:p w14:paraId="34702607" w14:textId="05C14002" w:rsidR="00791FB8" w:rsidRPr="00351A46" w:rsidRDefault="00791FB8" w:rsidP="00B3138C">
      <w:pPr>
        <w:keepNext/>
        <w:jc w:val="both"/>
        <w:rPr>
          <w:lang w:val="en-AU"/>
        </w:rPr>
      </w:pPr>
      <w:r w:rsidRPr="00351A46">
        <w:rPr>
          <w:lang w:val="en-AU"/>
        </w:rPr>
        <w:t>Over the last two decades, media freedom in Indonesia has improved considerably and the number of media outlets has grown significantly. Despite this, there is still a serious shortage of high-quality, evidence-informed analysis on important public policy issues in the Indonesian media</w:t>
      </w:r>
      <w:r w:rsidR="00D0604A" w:rsidRPr="00351A46">
        <w:rPr>
          <w:lang w:val="en-AU"/>
        </w:rPr>
        <w:t xml:space="preserve">. </w:t>
      </w:r>
      <w:r w:rsidRPr="00351A46">
        <w:rPr>
          <w:lang w:val="en-AU"/>
        </w:rPr>
        <w:t>Few academics and researchers engage with the public through the media, and researchers and academics who are interested in presenting evidence-informed perspectives on contemporary policy issues have limited space in the Indonesian media. Researchers who do find space often present convoluted arguments riddled with jargon. Coverage in the media is not always independent, reflecting the interests of media owners. These factors diminish the quality of public policy debate in Indonesia</w:t>
      </w:r>
      <w:r w:rsidR="00D0604A" w:rsidRPr="00351A46">
        <w:rPr>
          <w:lang w:val="en-AU"/>
        </w:rPr>
        <w:t xml:space="preserve">. </w:t>
      </w:r>
    </w:p>
    <w:p w14:paraId="111E97BB" w14:textId="0A91D66A" w:rsidR="005B42DD" w:rsidRPr="00351A46" w:rsidRDefault="00791FB8">
      <w:pPr>
        <w:jc w:val="both"/>
        <w:rPr>
          <w:lang w:val="en-AU"/>
        </w:rPr>
      </w:pPr>
      <w:r w:rsidRPr="00351A46">
        <w:rPr>
          <w:lang w:val="en-AU"/>
        </w:rPr>
        <w:t>KSI’s work on media engagement aims to promote more evidence-informed public debate on key policy issues and raise awareness of the challenges within Indonesia’s knowledge sector</w:t>
      </w:r>
      <w:r w:rsidR="00CF4207" w:rsidRPr="00351A46">
        <w:rPr>
          <w:lang w:val="en-AU"/>
        </w:rPr>
        <w:t>, as well as</w:t>
      </w:r>
      <w:r w:rsidRPr="00351A46">
        <w:rPr>
          <w:lang w:val="en-AU"/>
        </w:rPr>
        <w:t xml:space="preserve"> the importance of evidence-informed approaches to policymaking. </w:t>
      </w:r>
      <w:r w:rsidR="005B42DD" w:rsidRPr="00351A46">
        <w:rPr>
          <w:lang w:val="en-AU"/>
        </w:rPr>
        <w:t>Across all EOPOs, KSI will look for opportunities to engage with</w:t>
      </w:r>
      <w:r w:rsidR="00FE4CF9" w:rsidRPr="00351A46">
        <w:rPr>
          <w:lang w:val="en-AU"/>
        </w:rPr>
        <w:t xml:space="preserve"> the</w:t>
      </w:r>
      <w:r w:rsidR="005B42DD" w:rsidRPr="00351A46">
        <w:rPr>
          <w:lang w:val="en-AU"/>
        </w:rPr>
        <w:t xml:space="preserve"> media and intermediary organisations to: </w:t>
      </w:r>
    </w:p>
    <w:p w14:paraId="7AA13E78" w14:textId="3A1143DE" w:rsidR="005B42DD" w:rsidRPr="00351A46" w:rsidRDefault="005B42DD">
      <w:pPr>
        <w:pStyle w:val="ListParagraph"/>
        <w:numPr>
          <w:ilvl w:val="0"/>
          <w:numId w:val="25"/>
        </w:numPr>
        <w:spacing w:before="120" w:after="0" w:line="240" w:lineRule="auto"/>
        <w:contextualSpacing w:val="0"/>
        <w:jc w:val="both"/>
        <w:rPr>
          <w:rFonts w:cstheme="minorHAnsi"/>
          <w:lang w:val="en-AU"/>
        </w:rPr>
      </w:pPr>
      <w:r w:rsidRPr="00351A46">
        <w:rPr>
          <w:rFonts w:cstheme="minorHAnsi"/>
          <w:lang w:val="en-AU"/>
        </w:rPr>
        <w:t>Promot</w:t>
      </w:r>
      <w:r w:rsidR="00FE4CF9" w:rsidRPr="00351A46">
        <w:rPr>
          <w:rFonts w:cstheme="minorHAnsi"/>
          <w:lang w:val="en-AU"/>
        </w:rPr>
        <w:t>e</w:t>
      </w:r>
      <w:r w:rsidRPr="00351A46">
        <w:rPr>
          <w:rFonts w:cstheme="minorHAnsi"/>
          <w:lang w:val="en-AU"/>
        </w:rPr>
        <w:t xml:space="preserve"> and rais</w:t>
      </w:r>
      <w:r w:rsidR="00FE4CF9" w:rsidRPr="00351A46">
        <w:rPr>
          <w:rFonts w:cstheme="minorHAnsi"/>
          <w:lang w:val="en-AU"/>
        </w:rPr>
        <w:t>e</w:t>
      </w:r>
      <w:r w:rsidRPr="00351A46">
        <w:rPr>
          <w:rFonts w:cstheme="minorHAnsi"/>
          <w:lang w:val="en-AU"/>
        </w:rPr>
        <w:t xml:space="preserve"> the profile of KSI and its partners’ work</w:t>
      </w:r>
      <w:r w:rsidR="00FE4CF9" w:rsidRPr="00351A46">
        <w:rPr>
          <w:rFonts w:cstheme="minorHAnsi"/>
          <w:lang w:val="en-AU"/>
        </w:rPr>
        <w:t>.</w:t>
      </w:r>
    </w:p>
    <w:p w14:paraId="578E1CCB" w14:textId="2456853C" w:rsidR="005B42DD" w:rsidRPr="00351A46" w:rsidRDefault="005B42DD">
      <w:pPr>
        <w:pStyle w:val="ListParagraph"/>
        <w:numPr>
          <w:ilvl w:val="0"/>
          <w:numId w:val="25"/>
        </w:numPr>
        <w:spacing w:before="120" w:after="0" w:line="240" w:lineRule="auto"/>
        <w:contextualSpacing w:val="0"/>
        <w:jc w:val="both"/>
        <w:rPr>
          <w:rFonts w:cstheme="minorHAnsi"/>
          <w:lang w:val="en-AU"/>
        </w:rPr>
      </w:pPr>
      <w:r w:rsidRPr="00351A46">
        <w:rPr>
          <w:rFonts w:cstheme="minorHAnsi"/>
          <w:lang w:val="en-AU"/>
        </w:rPr>
        <w:t>Rais</w:t>
      </w:r>
      <w:r w:rsidR="00FE4CF9" w:rsidRPr="00351A46">
        <w:rPr>
          <w:rFonts w:cstheme="minorHAnsi"/>
          <w:lang w:val="en-AU"/>
        </w:rPr>
        <w:t>e</w:t>
      </w:r>
      <w:r w:rsidRPr="00351A46">
        <w:rPr>
          <w:rFonts w:cstheme="minorHAnsi"/>
          <w:lang w:val="en-AU"/>
        </w:rPr>
        <w:t xml:space="preserve"> </w:t>
      </w:r>
      <w:r w:rsidR="00791FB8" w:rsidRPr="00351A46">
        <w:rPr>
          <w:rFonts w:cstheme="minorHAnsi"/>
          <w:lang w:val="en-AU"/>
        </w:rPr>
        <w:t>awareness of key challenges in Indonesia’s knowledge sector</w:t>
      </w:r>
      <w:r w:rsidRPr="00351A46">
        <w:rPr>
          <w:rFonts w:cstheme="minorHAnsi"/>
          <w:lang w:val="en-AU"/>
        </w:rPr>
        <w:t xml:space="preserve"> to promote evidence</w:t>
      </w:r>
      <w:r w:rsidR="00FE4CF9" w:rsidRPr="00351A46">
        <w:rPr>
          <w:rFonts w:cstheme="minorHAnsi"/>
          <w:lang w:val="en-AU"/>
        </w:rPr>
        <w:t>-</w:t>
      </w:r>
      <w:r w:rsidRPr="00351A46">
        <w:rPr>
          <w:rFonts w:cstheme="minorHAnsi"/>
          <w:lang w:val="en-AU"/>
        </w:rPr>
        <w:t xml:space="preserve">informed public discourse. </w:t>
      </w:r>
    </w:p>
    <w:p w14:paraId="01F37D81" w14:textId="61553952" w:rsidR="005B42DD" w:rsidRPr="00351A46" w:rsidRDefault="005B42DD">
      <w:pPr>
        <w:tabs>
          <w:tab w:val="num" w:pos="720"/>
        </w:tabs>
        <w:spacing w:after="0" w:line="240" w:lineRule="auto"/>
        <w:jc w:val="both"/>
        <w:rPr>
          <w:rFonts w:cstheme="minorHAnsi"/>
          <w:lang w:val="en-AU"/>
        </w:rPr>
      </w:pPr>
    </w:p>
    <w:p w14:paraId="71D1B748" w14:textId="0FC3E79B" w:rsidR="00003CB2" w:rsidRPr="00351A46" w:rsidRDefault="005B42DD">
      <w:pPr>
        <w:jc w:val="both"/>
        <w:rPr>
          <w:lang w:val="en-AU"/>
        </w:rPr>
      </w:pPr>
      <w:r w:rsidRPr="00351A46">
        <w:rPr>
          <w:lang w:val="en-AU"/>
        </w:rPr>
        <w:t>KSI will do this by engaging</w:t>
      </w:r>
      <w:r w:rsidR="00791FB8" w:rsidRPr="00351A46">
        <w:rPr>
          <w:lang w:val="en-AU"/>
        </w:rPr>
        <w:t xml:space="preserve"> with selected Australian and Indonesian media as strategic partners, amplifying their efforts to promote the use of evidence in policy debates and building understanding of the challenges within Indonesia’s knowledge sector. KSI will </w:t>
      </w:r>
      <w:r w:rsidR="00CF4207" w:rsidRPr="00351A46">
        <w:rPr>
          <w:lang w:val="en-AU"/>
        </w:rPr>
        <w:t>use</w:t>
      </w:r>
      <w:r w:rsidR="00791FB8" w:rsidRPr="00351A46">
        <w:rPr>
          <w:lang w:val="en-AU"/>
        </w:rPr>
        <w:t xml:space="preserve"> media engagement at high-level events, knowledge sharing events and other activities including </w:t>
      </w:r>
      <w:r w:rsidR="0040738E" w:rsidRPr="00351A46">
        <w:rPr>
          <w:lang w:val="en-AU"/>
        </w:rPr>
        <w:t>IDF</w:t>
      </w:r>
      <w:r w:rsidR="00E7181A">
        <w:rPr>
          <w:lang w:val="en-AU"/>
        </w:rPr>
        <w:t xml:space="preserve"> </w:t>
      </w:r>
      <w:r w:rsidR="00791FB8" w:rsidRPr="00351A46">
        <w:rPr>
          <w:lang w:val="en-AU"/>
        </w:rPr>
        <w:t>as part of the overall communications strategy.</w:t>
      </w:r>
      <w:r w:rsidR="00546991" w:rsidRPr="00351A46">
        <w:rPr>
          <w:lang w:val="en-AU"/>
        </w:rPr>
        <w:t xml:space="preserve"> KSI’s </w:t>
      </w:r>
      <w:r w:rsidR="00D151CF" w:rsidRPr="00351A46">
        <w:rPr>
          <w:lang w:val="en-AU"/>
        </w:rPr>
        <w:t xml:space="preserve">more detailed </w:t>
      </w:r>
      <w:r w:rsidR="00546991" w:rsidRPr="00351A46">
        <w:rPr>
          <w:lang w:val="en-AU"/>
        </w:rPr>
        <w:t xml:space="preserve">approach to media engagement will be outlined in its Communications and Media Engagement Strategy, which is currently under development. </w:t>
      </w:r>
      <w:r w:rsidR="00D425CD" w:rsidRPr="00351A46">
        <w:rPr>
          <w:lang w:val="en-AU"/>
        </w:rPr>
        <w:t xml:space="preserve">Specific media engagement activities will be included in the </w:t>
      </w:r>
      <w:r w:rsidR="00E7181A">
        <w:rPr>
          <w:lang w:val="en-AU"/>
        </w:rPr>
        <w:t>a</w:t>
      </w:r>
      <w:r w:rsidR="00D425CD" w:rsidRPr="00351A46">
        <w:rPr>
          <w:lang w:val="en-AU"/>
        </w:rPr>
        <w:t>nn</w:t>
      </w:r>
      <w:r w:rsidR="00E7181A" w:rsidRPr="00351A46">
        <w:rPr>
          <w:lang w:val="en-AU"/>
        </w:rPr>
        <w:t>ual work</w:t>
      </w:r>
      <w:r w:rsidR="00E7181A">
        <w:rPr>
          <w:lang w:val="en-AU"/>
        </w:rPr>
        <w:t xml:space="preserve"> </w:t>
      </w:r>
      <w:r w:rsidR="00D425CD" w:rsidRPr="00351A46">
        <w:rPr>
          <w:lang w:val="en-AU"/>
        </w:rPr>
        <w:t>plan.</w:t>
      </w:r>
      <w:r w:rsidR="001D26E1" w:rsidRPr="00351A46">
        <w:rPr>
          <w:lang w:val="en-AU"/>
        </w:rPr>
        <w:t xml:space="preserve"> </w:t>
      </w:r>
    </w:p>
    <w:p w14:paraId="5BF75936" w14:textId="29095EC8" w:rsidR="002265C4" w:rsidRPr="00351A46" w:rsidRDefault="003330EF">
      <w:pPr>
        <w:rPr>
          <w:lang w:val="en-AU"/>
        </w:rPr>
      </w:pPr>
      <w:r w:rsidRPr="00351A46">
        <w:rPr>
          <w:lang w:val="en-AU"/>
        </w:rPr>
        <w:br w:type="page"/>
      </w:r>
    </w:p>
    <w:p w14:paraId="5C0F8854" w14:textId="25DAF280" w:rsidR="003330EF" w:rsidRPr="00351A46" w:rsidRDefault="003330EF">
      <w:pPr>
        <w:pStyle w:val="Heading1"/>
        <w:rPr>
          <w:lang w:val="en-AU"/>
        </w:rPr>
      </w:pPr>
      <w:bookmarkStart w:id="31" w:name="_Toc514418252"/>
      <w:r w:rsidRPr="00351A46">
        <w:rPr>
          <w:lang w:val="en-AU"/>
        </w:rPr>
        <w:t xml:space="preserve">Annex 1: Definitions of </w:t>
      </w:r>
      <w:r w:rsidR="00984897" w:rsidRPr="00351A46">
        <w:rPr>
          <w:lang w:val="en-AU"/>
        </w:rPr>
        <w:t>Key Terms</w:t>
      </w:r>
      <w:bookmarkEnd w:id="31"/>
      <w:r w:rsidR="00984897" w:rsidRPr="00351A46">
        <w:rPr>
          <w:lang w:val="en-AU"/>
        </w:rPr>
        <w:t xml:space="preserve"> </w:t>
      </w:r>
    </w:p>
    <w:p w14:paraId="72C85EC3" w14:textId="52F553B0" w:rsidR="003330EF" w:rsidRPr="00351A46" w:rsidRDefault="00A516FA">
      <w:pPr>
        <w:jc w:val="both"/>
        <w:rPr>
          <w:lang w:val="en-AU"/>
        </w:rPr>
      </w:pPr>
      <w:r w:rsidRPr="00351A46">
        <w:rPr>
          <w:lang w:val="en-AU"/>
        </w:rPr>
        <w:t>A</w:t>
      </w:r>
      <w:r w:rsidR="003330EF" w:rsidRPr="00351A46">
        <w:rPr>
          <w:lang w:val="en-AU"/>
        </w:rPr>
        <w:t xml:space="preserve">n explanation of key terms used to explain KSI Phase 2’s </w:t>
      </w:r>
      <w:r w:rsidR="008C3312" w:rsidRPr="00351A46">
        <w:rPr>
          <w:lang w:val="en-AU"/>
        </w:rPr>
        <w:t>program</w:t>
      </w:r>
      <w:r w:rsidR="00D0604A" w:rsidRPr="00351A46">
        <w:rPr>
          <w:lang w:val="en-AU"/>
        </w:rPr>
        <w:t xml:space="preserve"> </w:t>
      </w:r>
      <w:r w:rsidR="003330EF" w:rsidRPr="00351A46">
        <w:rPr>
          <w:lang w:val="en-AU"/>
        </w:rPr>
        <w:t>structure</w:t>
      </w:r>
      <w:r w:rsidRPr="00351A46">
        <w:rPr>
          <w:lang w:val="en-AU"/>
        </w:rPr>
        <w:t xml:space="preserve"> is outlined below</w:t>
      </w:r>
      <w:r w:rsidR="003330EF" w:rsidRPr="00351A46">
        <w:rPr>
          <w:lang w:val="en-AU"/>
        </w:rPr>
        <w:t xml:space="preserve">. These definitions are intended to develop a common understanding of these terms among KSI’s stakeholders. </w:t>
      </w:r>
    </w:p>
    <w:p w14:paraId="0BE84785" w14:textId="5B5332AA" w:rsidR="003330EF" w:rsidRPr="00351A46" w:rsidRDefault="003330EF">
      <w:pPr>
        <w:pStyle w:val="ListParagraph"/>
        <w:numPr>
          <w:ilvl w:val="0"/>
          <w:numId w:val="19"/>
        </w:numPr>
        <w:spacing w:before="120"/>
        <w:contextualSpacing w:val="0"/>
        <w:jc w:val="both"/>
        <w:rPr>
          <w:lang w:val="en-AU"/>
        </w:rPr>
      </w:pPr>
      <w:r w:rsidRPr="00351A46">
        <w:rPr>
          <w:b/>
          <w:i/>
          <w:lang w:val="en-AU"/>
        </w:rPr>
        <w:t>Goal</w:t>
      </w:r>
      <w:r w:rsidRPr="00351A46">
        <w:rPr>
          <w:lang w:val="en-AU"/>
        </w:rPr>
        <w:t xml:space="preserve">: </w:t>
      </w:r>
      <w:r w:rsidR="00E7181A">
        <w:rPr>
          <w:lang w:val="en-AU"/>
        </w:rPr>
        <w:t>T</w:t>
      </w:r>
      <w:r w:rsidRPr="00351A46">
        <w:rPr>
          <w:lang w:val="en-AU"/>
        </w:rPr>
        <w:t>his sets out the long-term outcome that will be achieved beyond the life of KSI Phase</w:t>
      </w:r>
      <w:r w:rsidRPr="00351A46">
        <w:rPr>
          <w:spacing w:val="-7"/>
          <w:lang w:val="en-AU"/>
        </w:rPr>
        <w:t xml:space="preserve"> </w:t>
      </w:r>
      <w:r w:rsidRPr="00351A46">
        <w:rPr>
          <w:lang w:val="en-AU"/>
        </w:rPr>
        <w:t>2.</w:t>
      </w:r>
      <w:r w:rsidRPr="00351A46">
        <w:rPr>
          <w:spacing w:val="-5"/>
          <w:lang w:val="en-AU"/>
        </w:rPr>
        <w:t xml:space="preserve"> </w:t>
      </w:r>
    </w:p>
    <w:p w14:paraId="690C6359" w14:textId="30B9C154" w:rsidR="003330EF" w:rsidRPr="00351A46" w:rsidRDefault="003330EF">
      <w:pPr>
        <w:pStyle w:val="ListParagraph"/>
        <w:numPr>
          <w:ilvl w:val="0"/>
          <w:numId w:val="19"/>
        </w:numPr>
        <w:spacing w:before="120"/>
        <w:contextualSpacing w:val="0"/>
        <w:jc w:val="both"/>
        <w:rPr>
          <w:lang w:val="en-AU"/>
        </w:rPr>
      </w:pPr>
      <w:r w:rsidRPr="00351A46">
        <w:rPr>
          <w:b/>
          <w:i/>
          <w:lang w:val="en-AU"/>
        </w:rPr>
        <w:t xml:space="preserve">Focus </w:t>
      </w:r>
      <w:r w:rsidR="00BB5B65" w:rsidRPr="00351A46">
        <w:rPr>
          <w:b/>
          <w:i/>
          <w:lang w:val="en-AU"/>
        </w:rPr>
        <w:t>a</w:t>
      </w:r>
      <w:r w:rsidRPr="00351A46">
        <w:rPr>
          <w:b/>
          <w:i/>
          <w:lang w:val="en-AU"/>
        </w:rPr>
        <w:t>reas</w:t>
      </w:r>
      <w:r w:rsidRPr="00351A46">
        <w:rPr>
          <w:lang w:val="en-AU"/>
        </w:rPr>
        <w:t xml:space="preserve">: </w:t>
      </w:r>
      <w:r w:rsidR="00E7181A">
        <w:rPr>
          <w:lang w:val="en-AU"/>
        </w:rPr>
        <w:t>T</w:t>
      </w:r>
      <w:r w:rsidRPr="00351A46">
        <w:rPr>
          <w:lang w:val="en-AU"/>
        </w:rPr>
        <w:t>he focus areas articulate the key areas of the knowledge</w:t>
      </w:r>
      <w:r w:rsidRPr="00351A46">
        <w:rPr>
          <w:spacing w:val="-7"/>
          <w:lang w:val="en-AU"/>
        </w:rPr>
        <w:t xml:space="preserve"> </w:t>
      </w:r>
      <w:r w:rsidRPr="00351A46">
        <w:rPr>
          <w:lang w:val="en-AU"/>
        </w:rPr>
        <w:t>sector</w:t>
      </w:r>
      <w:r w:rsidRPr="00351A46">
        <w:rPr>
          <w:spacing w:val="-5"/>
          <w:lang w:val="en-AU"/>
        </w:rPr>
        <w:t xml:space="preserve"> </w:t>
      </w:r>
      <w:r w:rsidRPr="00351A46">
        <w:rPr>
          <w:lang w:val="en-AU"/>
        </w:rPr>
        <w:t>in</w:t>
      </w:r>
      <w:r w:rsidRPr="00351A46">
        <w:rPr>
          <w:spacing w:val="-9"/>
          <w:lang w:val="en-AU"/>
        </w:rPr>
        <w:t xml:space="preserve"> </w:t>
      </w:r>
      <w:r w:rsidRPr="00351A46">
        <w:rPr>
          <w:lang w:val="en-AU"/>
        </w:rPr>
        <w:t>which</w:t>
      </w:r>
      <w:r w:rsidRPr="00351A46">
        <w:rPr>
          <w:spacing w:val="-6"/>
          <w:lang w:val="en-AU"/>
        </w:rPr>
        <w:t xml:space="preserve"> </w:t>
      </w:r>
      <w:r w:rsidRPr="00351A46">
        <w:rPr>
          <w:lang w:val="en-AU"/>
        </w:rPr>
        <w:t>KSI</w:t>
      </w:r>
      <w:r w:rsidRPr="00351A46">
        <w:rPr>
          <w:spacing w:val="-7"/>
          <w:lang w:val="en-AU"/>
        </w:rPr>
        <w:t xml:space="preserve"> </w:t>
      </w:r>
      <w:r w:rsidRPr="00351A46">
        <w:rPr>
          <w:lang w:val="en-AU"/>
        </w:rPr>
        <w:t>would</w:t>
      </w:r>
      <w:r w:rsidRPr="00351A46">
        <w:rPr>
          <w:spacing w:val="-6"/>
          <w:lang w:val="en-AU"/>
        </w:rPr>
        <w:t xml:space="preserve"> </w:t>
      </w:r>
      <w:r w:rsidRPr="00351A46">
        <w:rPr>
          <w:lang w:val="en-AU"/>
        </w:rPr>
        <w:t>like</w:t>
      </w:r>
      <w:r w:rsidRPr="00351A46">
        <w:rPr>
          <w:spacing w:val="-7"/>
          <w:lang w:val="en-AU"/>
        </w:rPr>
        <w:t xml:space="preserve"> </w:t>
      </w:r>
      <w:r w:rsidRPr="00351A46">
        <w:rPr>
          <w:lang w:val="en-AU"/>
        </w:rPr>
        <w:t>to</w:t>
      </w:r>
      <w:r w:rsidRPr="00351A46">
        <w:rPr>
          <w:spacing w:val="-7"/>
          <w:lang w:val="en-AU"/>
        </w:rPr>
        <w:t xml:space="preserve"> </w:t>
      </w:r>
      <w:r w:rsidRPr="00351A46">
        <w:rPr>
          <w:lang w:val="en-AU"/>
        </w:rPr>
        <w:t>see</w:t>
      </w:r>
      <w:r w:rsidRPr="00351A46">
        <w:rPr>
          <w:spacing w:val="-7"/>
          <w:lang w:val="en-AU"/>
        </w:rPr>
        <w:t xml:space="preserve"> </w:t>
      </w:r>
      <w:r w:rsidRPr="00351A46">
        <w:rPr>
          <w:lang w:val="en-AU"/>
        </w:rPr>
        <w:t>change</w:t>
      </w:r>
      <w:r w:rsidRPr="00351A46">
        <w:rPr>
          <w:spacing w:val="-9"/>
          <w:lang w:val="en-AU"/>
        </w:rPr>
        <w:t xml:space="preserve"> </w:t>
      </w:r>
      <w:r w:rsidRPr="00351A46">
        <w:rPr>
          <w:lang w:val="en-AU"/>
        </w:rPr>
        <w:t>occur</w:t>
      </w:r>
      <w:r w:rsidRPr="00351A46">
        <w:rPr>
          <w:spacing w:val="-5"/>
          <w:lang w:val="en-AU"/>
        </w:rPr>
        <w:t xml:space="preserve"> </w:t>
      </w:r>
      <w:r w:rsidRPr="00351A46">
        <w:rPr>
          <w:lang w:val="en-AU"/>
        </w:rPr>
        <w:t>beyond</w:t>
      </w:r>
      <w:r w:rsidRPr="00351A46">
        <w:rPr>
          <w:spacing w:val="-9"/>
          <w:lang w:val="en-AU"/>
        </w:rPr>
        <w:t xml:space="preserve"> </w:t>
      </w:r>
      <w:r w:rsidRPr="00351A46">
        <w:rPr>
          <w:lang w:val="en-AU"/>
        </w:rPr>
        <w:t>the</w:t>
      </w:r>
      <w:r w:rsidRPr="00351A46">
        <w:rPr>
          <w:spacing w:val="-7"/>
          <w:lang w:val="en-AU"/>
        </w:rPr>
        <w:t xml:space="preserve"> </w:t>
      </w:r>
      <w:r w:rsidRPr="00351A46">
        <w:rPr>
          <w:lang w:val="en-AU"/>
        </w:rPr>
        <w:t>life</w:t>
      </w:r>
      <w:r w:rsidRPr="00351A46">
        <w:rPr>
          <w:spacing w:val="-7"/>
          <w:lang w:val="en-AU"/>
        </w:rPr>
        <w:t xml:space="preserve"> </w:t>
      </w:r>
      <w:r w:rsidRPr="00351A46">
        <w:rPr>
          <w:lang w:val="en-AU"/>
        </w:rPr>
        <w:t>of</w:t>
      </w:r>
      <w:r w:rsidRPr="00351A46">
        <w:rPr>
          <w:spacing w:val="-6"/>
          <w:lang w:val="en-AU"/>
        </w:rPr>
        <w:t xml:space="preserve"> </w:t>
      </w:r>
      <w:r w:rsidRPr="00351A46">
        <w:rPr>
          <w:lang w:val="en-AU"/>
        </w:rPr>
        <w:t>KSI</w:t>
      </w:r>
      <w:r w:rsidRPr="00351A46">
        <w:rPr>
          <w:spacing w:val="-7"/>
          <w:lang w:val="en-AU"/>
        </w:rPr>
        <w:t xml:space="preserve"> </w:t>
      </w:r>
      <w:r w:rsidRPr="00351A46">
        <w:rPr>
          <w:lang w:val="en-AU"/>
        </w:rPr>
        <w:t xml:space="preserve">Phase 2. Over the long term, these focus areas should contribute to KSI’s </w:t>
      </w:r>
      <w:r w:rsidR="00E7181A">
        <w:rPr>
          <w:lang w:val="en-AU"/>
        </w:rPr>
        <w:t>g</w:t>
      </w:r>
      <w:r w:rsidRPr="00351A46">
        <w:rPr>
          <w:lang w:val="en-AU"/>
        </w:rPr>
        <w:t xml:space="preserve">oal. </w:t>
      </w:r>
      <w:r w:rsidR="00E7181A">
        <w:rPr>
          <w:lang w:val="en-AU"/>
        </w:rPr>
        <w:t>As</w:t>
      </w:r>
      <w:r w:rsidR="00E7181A" w:rsidRPr="00351A46">
        <w:rPr>
          <w:lang w:val="en-AU"/>
        </w:rPr>
        <w:t xml:space="preserve"> </w:t>
      </w:r>
      <w:r w:rsidRPr="00351A46">
        <w:rPr>
          <w:lang w:val="en-AU"/>
        </w:rPr>
        <w:t>the knowledge sector is so broad, the focus areas aim to clarify the boundaries within which Phase</w:t>
      </w:r>
      <w:r w:rsidRPr="00351A46">
        <w:rPr>
          <w:spacing w:val="-8"/>
          <w:lang w:val="en-AU"/>
        </w:rPr>
        <w:t xml:space="preserve"> </w:t>
      </w:r>
      <w:r w:rsidRPr="00351A46">
        <w:rPr>
          <w:lang w:val="en-AU"/>
        </w:rPr>
        <w:t>2</w:t>
      </w:r>
      <w:r w:rsidRPr="00351A46">
        <w:rPr>
          <w:spacing w:val="-10"/>
          <w:lang w:val="en-AU"/>
        </w:rPr>
        <w:t xml:space="preserve"> </w:t>
      </w:r>
      <w:r w:rsidRPr="00351A46">
        <w:rPr>
          <w:lang w:val="en-AU"/>
        </w:rPr>
        <w:t>programming</w:t>
      </w:r>
      <w:r w:rsidRPr="00351A46">
        <w:rPr>
          <w:spacing w:val="-9"/>
          <w:lang w:val="en-AU"/>
        </w:rPr>
        <w:t xml:space="preserve"> </w:t>
      </w:r>
      <w:r w:rsidRPr="00351A46">
        <w:rPr>
          <w:lang w:val="en-AU"/>
        </w:rPr>
        <w:t>will</w:t>
      </w:r>
      <w:r w:rsidRPr="00351A46">
        <w:rPr>
          <w:spacing w:val="-9"/>
          <w:lang w:val="en-AU"/>
        </w:rPr>
        <w:t xml:space="preserve"> </w:t>
      </w:r>
      <w:r w:rsidRPr="00351A46">
        <w:rPr>
          <w:lang w:val="en-AU"/>
        </w:rPr>
        <w:t>be</w:t>
      </w:r>
      <w:r w:rsidRPr="00351A46">
        <w:rPr>
          <w:spacing w:val="-8"/>
          <w:lang w:val="en-AU"/>
        </w:rPr>
        <w:t xml:space="preserve"> </w:t>
      </w:r>
      <w:r w:rsidRPr="00351A46">
        <w:rPr>
          <w:lang w:val="en-AU"/>
        </w:rPr>
        <w:t>developed.</w:t>
      </w:r>
      <w:r w:rsidRPr="00351A46">
        <w:rPr>
          <w:spacing w:val="-8"/>
          <w:lang w:val="en-AU"/>
        </w:rPr>
        <w:t xml:space="preserve"> </w:t>
      </w:r>
      <w:r w:rsidRPr="00351A46">
        <w:rPr>
          <w:lang w:val="en-AU"/>
        </w:rPr>
        <w:t>It</w:t>
      </w:r>
      <w:r w:rsidRPr="00351A46">
        <w:rPr>
          <w:spacing w:val="-8"/>
          <w:lang w:val="en-AU"/>
        </w:rPr>
        <w:t xml:space="preserve"> </w:t>
      </w:r>
      <w:r w:rsidRPr="00351A46">
        <w:rPr>
          <w:lang w:val="en-AU"/>
        </w:rPr>
        <w:t>is</w:t>
      </w:r>
      <w:r w:rsidRPr="00351A46">
        <w:rPr>
          <w:spacing w:val="-11"/>
          <w:lang w:val="en-AU"/>
        </w:rPr>
        <w:t xml:space="preserve"> </w:t>
      </w:r>
      <w:r w:rsidRPr="00351A46">
        <w:rPr>
          <w:lang w:val="en-AU"/>
        </w:rPr>
        <w:t>not</w:t>
      </w:r>
      <w:r w:rsidRPr="00351A46">
        <w:rPr>
          <w:spacing w:val="-7"/>
          <w:lang w:val="en-AU"/>
        </w:rPr>
        <w:t xml:space="preserve"> </w:t>
      </w:r>
      <w:r w:rsidRPr="00351A46">
        <w:rPr>
          <w:lang w:val="en-AU"/>
        </w:rPr>
        <w:t>intended</w:t>
      </w:r>
      <w:r w:rsidRPr="00351A46">
        <w:rPr>
          <w:spacing w:val="-8"/>
          <w:lang w:val="en-AU"/>
        </w:rPr>
        <w:t xml:space="preserve"> </w:t>
      </w:r>
      <w:r w:rsidRPr="00351A46">
        <w:rPr>
          <w:lang w:val="en-AU"/>
        </w:rPr>
        <w:t>that</w:t>
      </w:r>
      <w:r w:rsidRPr="00351A46">
        <w:rPr>
          <w:spacing w:val="-8"/>
          <w:lang w:val="en-AU"/>
        </w:rPr>
        <w:t xml:space="preserve"> </w:t>
      </w:r>
      <w:r w:rsidRPr="00351A46">
        <w:rPr>
          <w:lang w:val="en-AU"/>
        </w:rPr>
        <w:t>KSI</w:t>
      </w:r>
      <w:r w:rsidRPr="00351A46">
        <w:rPr>
          <w:spacing w:val="-9"/>
          <w:lang w:val="en-AU"/>
        </w:rPr>
        <w:t xml:space="preserve"> </w:t>
      </w:r>
      <w:r w:rsidRPr="00351A46">
        <w:rPr>
          <w:lang w:val="en-AU"/>
        </w:rPr>
        <w:t>will</w:t>
      </w:r>
      <w:r w:rsidRPr="00351A46">
        <w:rPr>
          <w:spacing w:val="-9"/>
          <w:lang w:val="en-AU"/>
        </w:rPr>
        <w:t xml:space="preserve"> </w:t>
      </w:r>
      <w:r w:rsidRPr="00351A46">
        <w:rPr>
          <w:lang w:val="en-AU"/>
        </w:rPr>
        <w:t>achieve</w:t>
      </w:r>
      <w:r w:rsidRPr="00351A46">
        <w:rPr>
          <w:spacing w:val="-9"/>
          <w:lang w:val="en-AU"/>
        </w:rPr>
        <w:t xml:space="preserve"> </w:t>
      </w:r>
      <w:r w:rsidRPr="00351A46">
        <w:rPr>
          <w:lang w:val="en-AU"/>
        </w:rPr>
        <w:t>everything under</w:t>
      </w:r>
      <w:r w:rsidRPr="00351A46">
        <w:rPr>
          <w:spacing w:val="-3"/>
          <w:lang w:val="en-AU"/>
        </w:rPr>
        <w:t xml:space="preserve"> </w:t>
      </w:r>
      <w:r w:rsidRPr="00351A46">
        <w:rPr>
          <w:lang w:val="en-AU"/>
        </w:rPr>
        <w:t>a</w:t>
      </w:r>
      <w:r w:rsidRPr="00351A46">
        <w:rPr>
          <w:spacing w:val="-5"/>
          <w:lang w:val="en-AU"/>
        </w:rPr>
        <w:t xml:space="preserve"> </w:t>
      </w:r>
      <w:r w:rsidRPr="00351A46">
        <w:rPr>
          <w:lang w:val="en-AU"/>
        </w:rPr>
        <w:t>focus</w:t>
      </w:r>
      <w:r w:rsidRPr="00351A46">
        <w:rPr>
          <w:spacing w:val="-6"/>
          <w:lang w:val="en-AU"/>
        </w:rPr>
        <w:t xml:space="preserve"> </w:t>
      </w:r>
      <w:r w:rsidRPr="00351A46">
        <w:rPr>
          <w:lang w:val="en-AU"/>
        </w:rPr>
        <w:t>area,</w:t>
      </w:r>
      <w:r w:rsidRPr="00351A46">
        <w:rPr>
          <w:spacing w:val="-6"/>
          <w:lang w:val="en-AU"/>
        </w:rPr>
        <w:t xml:space="preserve"> </w:t>
      </w:r>
      <w:r w:rsidRPr="00351A46">
        <w:rPr>
          <w:lang w:val="en-AU"/>
        </w:rPr>
        <w:t>but</w:t>
      </w:r>
      <w:r w:rsidRPr="00351A46">
        <w:rPr>
          <w:spacing w:val="-5"/>
          <w:lang w:val="en-AU"/>
        </w:rPr>
        <w:t xml:space="preserve"> </w:t>
      </w:r>
      <w:r w:rsidRPr="00351A46">
        <w:rPr>
          <w:lang w:val="en-AU"/>
        </w:rPr>
        <w:t>all</w:t>
      </w:r>
      <w:r w:rsidRPr="00351A46">
        <w:rPr>
          <w:spacing w:val="-4"/>
          <w:lang w:val="en-AU"/>
        </w:rPr>
        <w:t xml:space="preserve"> </w:t>
      </w:r>
      <w:r w:rsidRPr="00351A46">
        <w:rPr>
          <w:lang w:val="en-AU"/>
        </w:rPr>
        <w:t>KSI’s</w:t>
      </w:r>
      <w:r w:rsidRPr="00351A46">
        <w:rPr>
          <w:spacing w:val="-4"/>
          <w:lang w:val="en-AU"/>
        </w:rPr>
        <w:t xml:space="preserve"> </w:t>
      </w:r>
      <w:r w:rsidRPr="00351A46">
        <w:rPr>
          <w:lang w:val="en-AU"/>
        </w:rPr>
        <w:t>work</w:t>
      </w:r>
      <w:r w:rsidRPr="00351A46">
        <w:rPr>
          <w:spacing w:val="-5"/>
          <w:lang w:val="en-AU"/>
        </w:rPr>
        <w:t xml:space="preserve"> </w:t>
      </w:r>
      <w:r w:rsidRPr="00351A46">
        <w:rPr>
          <w:lang w:val="en-AU"/>
        </w:rPr>
        <w:t>should</w:t>
      </w:r>
      <w:r w:rsidRPr="00351A46">
        <w:rPr>
          <w:spacing w:val="-6"/>
          <w:lang w:val="en-AU"/>
        </w:rPr>
        <w:t xml:space="preserve"> </w:t>
      </w:r>
      <w:r w:rsidRPr="00351A46">
        <w:rPr>
          <w:lang w:val="en-AU"/>
        </w:rPr>
        <w:t>be</w:t>
      </w:r>
      <w:r w:rsidRPr="00351A46">
        <w:rPr>
          <w:spacing w:val="-6"/>
          <w:lang w:val="en-AU"/>
        </w:rPr>
        <w:t xml:space="preserve"> </w:t>
      </w:r>
      <w:r w:rsidRPr="00351A46">
        <w:rPr>
          <w:lang w:val="en-AU"/>
        </w:rPr>
        <w:t>relevant</w:t>
      </w:r>
      <w:r w:rsidRPr="00351A46">
        <w:rPr>
          <w:spacing w:val="-5"/>
          <w:lang w:val="en-AU"/>
        </w:rPr>
        <w:t xml:space="preserve"> </w:t>
      </w:r>
      <w:r w:rsidRPr="00351A46">
        <w:rPr>
          <w:lang w:val="en-AU"/>
        </w:rPr>
        <w:t>to</w:t>
      </w:r>
      <w:r w:rsidRPr="00351A46">
        <w:rPr>
          <w:spacing w:val="-6"/>
          <w:lang w:val="en-AU"/>
        </w:rPr>
        <w:t xml:space="preserve"> </w:t>
      </w:r>
      <w:r w:rsidRPr="00351A46">
        <w:rPr>
          <w:lang w:val="en-AU"/>
        </w:rPr>
        <w:t>these</w:t>
      </w:r>
      <w:r w:rsidRPr="00351A46">
        <w:rPr>
          <w:spacing w:val="-3"/>
          <w:lang w:val="en-AU"/>
        </w:rPr>
        <w:t xml:space="preserve"> </w:t>
      </w:r>
      <w:r w:rsidRPr="00351A46">
        <w:rPr>
          <w:lang w:val="en-AU"/>
        </w:rPr>
        <w:t>focus</w:t>
      </w:r>
      <w:r w:rsidRPr="00351A46">
        <w:rPr>
          <w:spacing w:val="-6"/>
          <w:lang w:val="en-AU"/>
        </w:rPr>
        <w:t xml:space="preserve"> </w:t>
      </w:r>
      <w:r w:rsidRPr="00351A46">
        <w:rPr>
          <w:lang w:val="en-AU"/>
        </w:rPr>
        <w:t>areas.</w:t>
      </w:r>
      <w:r w:rsidRPr="00351A46">
        <w:rPr>
          <w:spacing w:val="-5"/>
          <w:lang w:val="en-AU"/>
        </w:rPr>
        <w:t xml:space="preserve"> </w:t>
      </w:r>
    </w:p>
    <w:p w14:paraId="1B4C49B7" w14:textId="1DE6ADA2" w:rsidR="003330EF" w:rsidRPr="00351A46" w:rsidRDefault="003330EF">
      <w:pPr>
        <w:pStyle w:val="ListParagraph"/>
        <w:numPr>
          <w:ilvl w:val="0"/>
          <w:numId w:val="19"/>
        </w:numPr>
        <w:spacing w:before="120"/>
        <w:contextualSpacing w:val="0"/>
        <w:jc w:val="both"/>
        <w:rPr>
          <w:lang w:val="en-AU"/>
        </w:rPr>
      </w:pPr>
      <w:r w:rsidRPr="00351A46">
        <w:rPr>
          <w:b/>
          <w:i/>
          <w:lang w:val="en-AU"/>
        </w:rPr>
        <w:t>EOPOs</w:t>
      </w:r>
      <w:r w:rsidRPr="00351A46">
        <w:rPr>
          <w:lang w:val="en-AU"/>
        </w:rPr>
        <w:t>:</w:t>
      </w:r>
      <w:r w:rsidRPr="00351A46">
        <w:rPr>
          <w:spacing w:val="-13"/>
          <w:lang w:val="en-AU"/>
        </w:rPr>
        <w:t xml:space="preserve"> </w:t>
      </w:r>
      <w:r w:rsidR="00E7181A">
        <w:rPr>
          <w:lang w:val="en-AU"/>
        </w:rPr>
        <w:t>W</w:t>
      </w:r>
      <w:r w:rsidRPr="00351A46">
        <w:rPr>
          <w:lang w:val="en-AU"/>
        </w:rPr>
        <w:t>hile</w:t>
      </w:r>
      <w:r w:rsidRPr="00351A46">
        <w:rPr>
          <w:spacing w:val="-16"/>
          <w:lang w:val="en-AU"/>
        </w:rPr>
        <w:t xml:space="preserve"> </w:t>
      </w:r>
      <w:r w:rsidRPr="00351A46">
        <w:rPr>
          <w:lang w:val="en-AU"/>
        </w:rPr>
        <w:t>focus</w:t>
      </w:r>
      <w:r w:rsidRPr="00351A46">
        <w:rPr>
          <w:spacing w:val="-15"/>
          <w:lang w:val="en-AU"/>
        </w:rPr>
        <w:t xml:space="preserve"> </w:t>
      </w:r>
      <w:r w:rsidRPr="00351A46">
        <w:rPr>
          <w:lang w:val="en-AU"/>
        </w:rPr>
        <w:t>areas</w:t>
      </w:r>
      <w:r w:rsidRPr="00351A46">
        <w:rPr>
          <w:spacing w:val="-13"/>
          <w:lang w:val="en-AU"/>
        </w:rPr>
        <w:t xml:space="preserve"> </w:t>
      </w:r>
      <w:r w:rsidRPr="00351A46">
        <w:rPr>
          <w:lang w:val="en-AU"/>
        </w:rPr>
        <w:t>set</w:t>
      </w:r>
      <w:r w:rsidRPr="00351A46">
        <w:rPr>
          <w:spacing w:val="-14"/>
          <w:lang w:val="en-AU"/>
        </w:rPr>
        <w:t xml:space="preserve"> </w:t>
      </w:r>
      <w:r w:rsidRPr="00351A46">
        <w:rPr>
          <w:lang w:val="en-AU"/>
        </w:rPr>
        <w:t>out</w:t>
      </w:r>
      <w:r w:rsidRPr="00351A46">
        <w:rPr>
          <w:spacing w:val="-15"/>
          <w:lang w:val="en-AU"/>
        </w:rPr>
        <w:t xml:space="preserve"> </w:t>
      </w:r>
      <w:r w:rsidRPr="00351A46">
        <w:rPr>
          <w:lang w:val="en-AU"/>
        </w:rPr>
        <w:t>the</w:t>
      </w:r>
      <w:r w:rsidRPr="00351A46">
        <w:rPr>
          <w:spacing w:val="-15"/>
          <w:lang w:val="en-AU"/>
        </w:rPr>
        <w:t xml:space="preserve"> </w:t>
      </w:r>
      <w:r w:rsidRPr="00351A46">
        <w:rPr>
          <w:lang w:val="en-AU"/>
        </w:rPr>
        <w:t>boundaries</w:t>
      </w:r>
      <w:r w:rsidRPr="00351A46">
        <w:rPr>
          <w:spacing w:val="-11"/>
          <w:lang w:val="en-AU"/>
        </w:rPr>
        <w:t xml:space="preserve"> </w:t>
      </w:r>
      <w:r w:rsidRPr="00351A46">
        <w:rPr>
          <w:lang w:val="en-AU"/>
        </w:rPr>
        <w:t>of</w:t>
      </w:r>
      <w:r w:rsidRPr="00351A46">
        <w:rPr>
          <w:spacing w:val="-14"/>
          <w:lang w:val="en-AU"/>
        </w:rPr>
        <w:t xml:space="preserve"> </w:t>
      </w:r>
      <w:r w:rsidRPr="00351A46">
        <w:rPr>
          <w:lang w:val="en-AU"/>
        </w:rPr>
        <w:t>KSI</w:t>
      </w:r>
      <w:r w:rsidRPr="00351A46">
        <w:rPr>
          <w:spacing w:val="-15"/>
          <w:lang w:val="en-AU"/>
        </w:rPr>
        <w:t xml:space="preserve"> </w:t>
      </w:r>
      <w:r w:rsidRPr="00351A46">
        <w:rPr>
          <w:lang w:val="en-AU"/>
        </w:rPr>
        <w:t xml:space="preserve">Phase 2, the EOPOs articulate the outcomes </w:t>
      </w:r>
      <w:r w:rsidR="00E7181A">
        <w:rPr>
          <w:lang w:val="en-AU"/>
        </w:rPr>
        <w:t xml:space="preserve">to which </w:t>
      </w:r>
      <w:r w:rsidRPr="00351A46">
        <w:rPr>
          <w:lang w:val="en-AU"/>
        </w:rPr>
        <w:t xml:space="preserve">KSI will contribute by the end of Phase 2. KSI cannot achieve the EOPOs </w:t>
      </w:r>
      <w:r w:rsidR="00A516FA" w:rsidRPr="00351A46">
        <w:rPr>
          <w:lang w:val="en-AU"/>
        </w:rPr>
        <w:t>alone</w:t>
      </w:r>
      <w:r w:rsidRPr="00351A46">
        <w:rPr>
          <w:lang w:val="en-AU"/>
        </w:rPr>
        <w:t>, but will need contribution</w:t>
      </w:r>
      <w:r w:rsidR="00A516FA" w:rsidRPr="00351A46">
        <w:rPr>
          <w:lang w:val="en-AU"/>
        </w:rPr>
        <w:t>s of other stakeholders</w:t>
      </w:r>
      <w:r w:rsidRPr="00351A46">
        <w:rPr>
          <w:lang w:val="en-AU"/>
        </w:rPr>
        <w:t xml:space="preserve">. Success in achieving the EOPOs is expected to contribute to improvements in one or more focus areas. </w:t>
      </w:r>
    </w:p>
    <w:p w14:paraId="58B4B909" w14:textId="7EC3D11D" w:rsidR="003330EF" w:rsidRPr="00351A46" w:rsidRDefault="00E5110F">
      <w:pPr>
        <w:pStyle w:val="ListParagraph"/>
        <w:numPr>
          <w:ilvl w:val="0"/>
          <w:numId w:val="19"/>
        </w:numPr>
        <w:spacing w:before="120"/>
        <w:contextualSpacing w:val="0"/>
        <w:jc w:val="both"/>
        <w:rPr>
          <w:lang w:val="en-AU"/>
        </w:rPr>
      </w:pPr>
      <w:r w:rsidRPr="00351A46">
        <w:rPr>
          <w:b/>
          <w:i/>
          <w:lang w:val="en-AU"/>
        </w:rPr>
        <w:t>Key initiative</w:t>
      </w:r>
      <w:r w:rsidR="003330EF" w:rsidRPr="00351A46">
        <w:rPr>
          <w:b/>
          <w:i/>
          <w:lang w:val="en-AU"/>
        </w:rPr>
        <w:t xml:space="preserve">s: </w:t>
      </w:r>
      <w:r w:rsidRPr="00351A46">
        <w:rPr>
          <w:lang w:val="en-AU"/>
        </w:rPr>
        <w:t>Key initiative</w:t>
      </w:r>
      <w:r w:rsidR="003330EF" w:rsidRPr="00351A46">
        <w:rPr>
          <w:lang w:val="en-AU"/>
        </w:rPr>
        <w:t xml:space="preserve">s contribute to achieving the EOPOs. A </w:t>
      </w:r>
      <w:r w:rsidRPr="00351A46">
        <w:rPr>
          <w:lang w:val="en-AU"/>
        </w:rPr>
        <w:t>key initiative</w:t>
      </w:r>
      <w:r w:rsidR="003330EF" w:rsidRPr="00351A46">
        <w:rPr>
          <w:lang w:val="en-AU"/>
        </w:rPr>
        <w:t xml:space="preserve"> represents a cluster of activities and a number of </w:t>
      </w:r>
      <w:r w:rsidRPr="00351A46">
        <w:rPr>
          <w:lang w:val="en-AU"/>
        </w:rPr>
        <w:t>key initiative</w:t>
      </w:r>
      <w:r w:rsidR="003330EF" w:rsidRPr="00351A46">
        <w:rPr>
          <w:lang w:val="en-AU"/>
        </w:rPr>
        <w:t xml:space="preserve">s may contribute to each EOPO. These </w:t>
      </w:r>
      <w:r w:rsidRPr="00351A46">
        <w:rPr>
          <w:lang w:val="en-AU"/>
        </w:rPr>
        <w:t>key initiative</w:t>
      </w:r>
      <w:r w:rsidR="003330EF" w:rsidRPr="00351A46">
        <w:rPr>
          <w:lang w:val="en-AU"/>
        </w:rPr>
        <w:t xml:space="preserve">s will often be multi-year, but not always. </w:t>
      </w:r>
    </w:p>
    <w:p w14:paraId="282B7A05" w14:textId="1B0AFB74" w:rsidR="003330EF" w:rsidRPr="00351A46" w:rsidRDefault="003330EF">
      <w:pPr>
        <w:pStyle w:val="ListParagraph"/>
        <w:numPr>
          <w:ilvl w:val="0"/>
          <w:numId w:val="19"/>
        </w:numPr>
        <w:spacing w:before="120"/>
        <w:contextualSpacing w:val="0"/>
        <w:jc w:val="both"/>
        <w:rPr>
          <w:lang w:val="en-AU"/>
        </w:rPr>
      </w:pPr>
      <w:r w:rsidRPr="00351A46">
        <w:rPr>
          <w:b/>
          <w:i/>
          <w:lang w:val="en-AU"/>
        </w:rPr>
        <w:t xml:space="preserve">Activities: </w:t>
      </w:r>
      <w:r w:rsidRPr="00351A46">
        <w:rPr>
          <w:lang w:val="en-AU"/>
        </w:rPr>
        <w:t xml:space="preserve">All activities must fit within one of the </w:t>
      </w:r>
      <w:r w:rsidR="00E5110F" w:rsidRPr="00351A46">
        <w:rPr>
          <w:lang w:val="en-AU"/>
        </w:rPr>
        <w:t>key initiative</w:t>
      </w:r>
      <w:r w:rsidRPr="00351A46">
        <w:rPr>
          <w:lang w:val="en-AU"/>
        </w:rPr>
        <w:t xml:space="preserve">s. The KSI team assesses activities according to whether and how they contribute to the achievement of the relevant EOPO. </w:t>
      </w:r>
    </w:p>
    <w:p w14:paraId="73A530C0" w14:textId="36F86D25" w:rsidR="004441E0" w:rsidRPr="00351A46" w:rsidRDefault="004441E0">
      <w:pPr>
        <w:rPr>
          <w:rFonts w:asciiTheme="majorHAnsi" w:eastAsiaTheme="majorEastAsia" w:hAnsiTheme="majorHAnsi" w:cstheme="majorBidi"/>
          <w:color w:val="2E74B5" w:themeColor="accent1" w:themeShade="BF"/>
          <w:sz w:val="26"/>
          <w:szCs w:val="26"/>
          <w:lang w:val="en-AU"/>
        </w:rPr>
        <w:sectPr w:rsidR="004441E0" w:rsidRPr="00351A46" w:rsidSect="00147922">
          <w:type w:val="continuous"/>
          <w:pgSz w:w="11900" w:h="16850"/>
          <w:pgMar w:top="1440" w:right="1440" w:bottom="1440" w:left="1440" w:header="758" w:footer="0" w:gutter="0"/>
          <w:cols w:space="720"/>
          <w:docGrid w:linePitch="299"/>
        </w:sectPr>
      </w:pPr>
    </w:p>
    <w:p w14:paraId="43F19F47" w14:textId="073DFD29" w:rsidR="00C323EE" w:rsidRDefault="002265C4" w:rsidP="00B3138C">
      <w:pPr>
        <w:pStyle w:val="Heading1"/>
        <w:spacing w:before="0"/>
        <w:rPr>
          <w:lang w:val="en-AU"/>
        </w:rPr>
      </w:pPr>
      <w:bookmarkStart w:id="32" w:name="_Toc514418253"/>
      <w:r w:rsidRPr="00351A46">
        <w:rPr>
          <w:lang w:val="en-AU"/>
        </w:rPr>
        <w:t>A</w:t>
      </w:r>
      <w:r w:rsidR="007F2E22" w:rsidRPr="00351A46">
        <w:rPr>
          <w:lang w:val="en-AU"/>
        </w:rPr>
        <w:t>nnex 2</w:t>
      </w:r>
      <w:r w:rsidR="00C323EE" w:rsidRPr="00351A46">
        <w:rPr>
          <w:lang w:val="en-AU"/>
        </w:rPr>
        <w:t xml:space="preserve">: KSI </w:t>
      </w:r>
      <w:r w:rsidR="008C3312" w:rsidRPr="00351A46">
        <w:rPr>
          <w:lang w:val="en-AU"/>
        </w:rPr>
        <w:t>Program</w:t>
      </w:r>
      <w:r w:rsidR="00D0604A" w:rsidRPr="00351A46">
        <w:rPr>
          <w:lang w:val="en-AU"/>
        </w:rPr>
        <w:t xml:space="preserve"> </w:t>
      </w:r>
      <w:r w:rsidR="00C323EE" w:rsidRPr="00351A46">
        <w:rPr>
          <w:lang w:val="en-AU"/>
        </w:rPr>
        <w:t>Governance Structure</w:t>
      </w:r>
      <w:bookmarkEnd w:id="32"/>
    </w:p>
    <w:p w14:paraId="73B831F2" w14:textId="77777777" w:rsidR="00147922" w:rsidRPr="00B3138C" w:rsidRDefault="00147922" w:rsidP="00B3138C"/>
    <w:p w14:paraId="702EFE25" w14:textId="5C5F36E6" w:rsidR="00C323EE" w:rsidRPr="00351A46" w:rsidRDefault="00C323EE">
      <w:pPr>
        <w:jc w:val="center"/>
        <w:rPr>
          <w:b/>
          <w:bCs/>
          <w:sz w:val="28"/>
          <w:szCs w:val="28"/>
          <w:lang w:val="en-AU"/>
        </w:rPr>
      </w:pPr>
      <w:r w:rsidRPr="00351A46">
        <w:rPr>
          <w:b/>
          <w:bCs/>
          <w:sz w:val="28"/>
          <w:szCs w:val="28"/>
          <w:lang w:val="en-AU"/>
        </w:rPr>
        <w:t xml:space="preserve">KSI </w:t>
      </w:r>
      <w:r w:rsidR="008C3312" w:rsidRPr="00351A46">
        <w:rPr>
          <w:b/>
          <w:bCs/>
          <w:sz w:val="28"/>
          <w:szCs w:val="28"/>
          <w:lang w:val="en-AU"/>
        </w:rPr>
        <w:t>PROGRAM</w:t>
      </w:r>
      <w:r w:rsidR="00D0604A" w:rsidRPr="00351A46">
        <w:rPr>
          <w:b/>
          <w:bCs/>
          <w:sz w:val="28"/>
          <w:szCs w:val="28"/>
          <w:lang w:val="en-AU"/>
        </w:rPr>
        <w:t xml:space="preserve"> </w:t>
      </w:r>
      <w:r w:rsidRPr="00351A46">
        <w:rPr>
          <w:b/>
          <w:bCs/>
          <w:sz w:val="28"/>
          <w:szCs w:val="28"/>
          <w:lang w:val="en-AU"/>
        </w:rPr>
        <w:t>GOVERNANCE STRUCTURE</w:t>
      </w:r>
    </w:p>
    <w:p w14:paraId="55D8BBFD" w14:textId="77777777" w:rsidR="00C323EE" w:rsidRPr="00351A46" w:rsidRDefault="00C323EE">
      <w:pPr>
        <w:rPr>
          <w:b/>
          <w:sz w:val="28"/>
          <w:szCs w:val="28"/>
          <w:lang w:val="en-AU"/>
        </w:rPr>
      </w:pPr>
      <w:r w:rsidRPr="00381388">
        <w:rPr>
          <w:noProof/>
          <w:lang w:val="en-AU" w:eastAsia="en-AU"/>
        </w:rPr>
        <mc:AlternateContent>
          <mc:Choice Requires="wps">
            <w:drawing>
              <wp:anchor distT="45720" distB="45720" distL="114300" distR="114300" simplePos="0" relativeHeight="251681792" behindDoc="0" locked="0" layoutInCell="1" allowOverlap="1" wp14:anchorId="52C785AC" wp14:editId="4B5FF585">
                <wp:simplePos x="0" y="0"/>
                <wp:positionH relativeFrom="margin">
                  <wp:posOffset>3981450</wp:posOffset>
                </wp:positionH>
                <wp:positionV relativeFrom="paragraph">
                  <wp:posOffset>8255</wp:posOffset>
                </wp:positionV>
                <wp:extent cx="1933575" cy="1019175"/>
                <wp:effectExtent l="0" t="0" r="2857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019175"/>
                        </a:xfrm>
                        <a:prstGeom prst="rect">
                          <a:avLst/>
                        </a:prstGeom>
                        <a:solidFill>
                          <a:srgbClr val="5B9BD5">
                            <a:lumMod val="60000"/>
                            <a:lumOff val="40000"/>
                          </a:srgbClr>
                        </a:solidFill>
                        <a:ln w="9525">
                          <a:solidFill>
                            <a:srgbClr val="000000"/>
                          </a:solidFill>
                          <a:miter lim="800000"/>
                          <a:headEnd/>
                          <a:tailEnd/>
                        </a:ln>
                      </wps:spPr>
                      <wps:txbx>
                        <w:txbxContent>
                          <w:p w14:paraId="3F3F53A6" w14:textId="77777777" w:rsidR="00376822" w:rsidRDefault="00376822" w:rsidP="00C323EE">
                            <w:pPr>
                              <w:jc w:val="center"/>
                            </w:pPr>
                            <w:r>
                              <w:t>AUSTRALIAN GOVERNMENT</w:t>
                            </w:r>
                          </w:p>
                          <w:p w14:paraId="7B78E7F5" w14:textId="77777777" w:rsidR="00376822" w:rsidRDefault="00376822" w:rsidP="00C323EE">
                            <w:pPr>
                              <w:jc w:val="center"/>
                            </w:pPr>
                            <w:r>
                              <w:t>Department of Foreign Affairs and Trade (DFAT)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C785AC" id="_x0000_t202" coordsize="21600,21600" o:spt="202" path="m,l,21600r21600,l21600,xe">
                <v:stroke joinstyle="miter"/>
                <v:path gradientshapeok="t" o:connecttype="rect"/>
              </v:shapetype>
              <v:shape id="Text Box 8" o:spid="_x0000_s1026" type="#_x0000_t202" style="position:absolute;margin-left:313.5pt;margin-top:.65pt;width:152.25pt;height:80.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" fillcolor="#9dc3e6">
                <v:textbox>
                  <w:txbxContent>
                    <w:p w14:paraId="3F3F53A6" w14:textId="77777777" w:rsidR="00376822" w:rsidRDefault="00376822" w:rsidP="00C323EE">
                      <w:pPr>
                        <w:jc w:val="center"/>
                      </w:pPr>
                      <w:r>
                        <w:t>AUSTRALIAN GOVERNMENT</w:t>
                      </w:r>
                    </w:p>
                    <w:p w14:paraId="7B78E7F5" w14:textId="77777777" w:rsidR="00376822" w:rsidRDefault="00376822" w:rsidP="00C323EE">
                      <w:pPr>
                        <w:jc w:val="center"/>
                      </w:pPr>
                      <w:r>
                        <w:t>Department of Foreign Affairs and Trade (DFAT)</w:t>
                      </w:r>
                    </w:p>
                  </w:txbxContent>
                </v:textbox>
                <w10:wrap type="square" anchorx="margin"/>
              </v:shape>
            </w:pict>
          </mc:Fallback>
        </mc:AlternateContent>
      </w:r>
      <w:r w:rsidRPr="009E1C17">
        <w:rPr>
          <w:noProof/>
          <w:lang w:val="en-AU" w:eastAsia="en-AU"/>
        </w:rPr>
        <mc:AlternateContent>
          <mc:Choice Requires="wps">
            <w:drawing>
              <wp:anchor distT="45720" distB="45720" distL="114300" distR="114300" simplePos="0" relativeHeight="251680768" behindDoc="0" locked="0" layoutInCell="1" allowOverlap="1" wp14:anchorId="3B5AC795" wp14:editId="24A777EC">
                <wp:simplePos x="0" y="0"/>
                <wp:positionH relativeFrom="margin">
                  <wp:posOffset>0</wp:posOffset>
                </wp:positionH>
                <wp:positionV relativeFrom="paragraph">
                  <wp:posOffset>6985</wp:posOffset>
                </wp:positionV>
                <wp:extent cx="1933575" cy="1039495"/>
                <wp:effectExtent l="0" t="0" r="28575" b="2730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039495"/>
                        </a:xfrm>
                        <a:prstGeom prst="rect">
                          <a:avLst/>
                        </a:prstGeom>
                        <a:solidFill>
                          <a:srgbClr val="5B9BD5">
                            <a:lumMod val="60000"/>
                            <a:lumOff val="40000"/>
                          </a:srgbClr>
                        </a:solidFill>
                        <a:ln w="9525">
                          <a:solidFill>
                            <a:srgbClr val="000000"/>
                          </a:solidFill>
                          <a:miter lim="800000"/>
                          <a:headEnd/>
                          <a:tailEnd/>
                        </a:ln>
                      </wps:spPr>
                      <wps:txbx>
                        <w:txbxContent>
                          <w:p w14:paraId="6C98480C" w14:textId="77777777" w:rsidR="00376822" w:rsidRDefault="00376822" w:rsidP="00C323EE">
                            <w:r>
                              <w:t>INDONESIAN GOVERNMENT</w:t>
                            </w:r>
                          </w:p>
                          <w:p w14:paraId="2910EBA6" w14:textId="77777777" w:rsidR="00376822" w:rsidRDefault="00376822" w:rsidP="00C323EE">
                            <w:pPr>
                              <w:jc w:val="center"/>
                            </w:pPr>
                            <w:r>
                              <w:t>Ministry of National Development Planning (BAPPENAS)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5AC795" id="Text Box 9" o:spid="_x0000_s1027" type="#_x0000_t202" style="position:absolute;margin-left:0;margin-top:.55pt;width:152.25pt;height:81.85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" fillcolor="#9dc3e6">
                <v:textbox style="mso-fit-shape-to-text:t">
                  <w:txbxContent>
                    <w:p w14:paraId="6C98480C" w14:textId="77777777" w:rsidR="00376822" w:rsidRDefault="00376822" w:rsidP="00C323EE">
                      <w:r>
                        <w:t>INDONESIAN GOVERNMENT</w:t>
                      </w:r>
                    </w:p>
                    <w:p w14:paraId="2910EBA6" w14:textId="77777777" w:rsidR="00376822" w:rsidRDefault="00376822" w:rsidP="00C323EE">
                      <w:pPr>
                        <w:jc w:val="center"/>
                      </w:pPr>
                      <w:r>
                        <w:t>Ministry of National Development Planning (BAPPENAS)</w:t>
                      </w:r>
                    </w:p>
                  </w:txbxContent>
                </v:textbox>
                <w10:wrap type="square" anchorx="margin"/>
              </v:shape>
            </w:pict>
          </mc:Fallback>
        </mc:AlternateContent>
      </w:r>
    </w:p>
    <w:p w14:paraId="76B0BE23" w14:textId="77777777" w:rsidR="00C323EE" w:rsidRPr="00351A46" w:rsidRDefault="00C323EE">
      <w:pPr>
        <w:rPr>
          <w:b/>
          <w:sz w:val="28"/>
          <w:szCs w:val="28"/>
          <w:lang w:val="en-AU"/>
        </w:rPr>
      </w:pPr>
      <w:r w:rsidRPr="00381388">
        <w:rPr>
          <w:noProof/>
          <w:lang w:val="en-AU" w:eastAsia="en-AU"/>
        </w:rPr>
        <mc:AlternateContent>
          <mc:Choice Requires="wps">
            <w:drawing>
              <wp:anchor distT="0" distB="0" distL="114300" distR="114300" simplePos="0" relativeHeight="251684864" behindDoc="0" locked="0" layoutInCell="1" allowOverlap="1" wp14:anchorId="47B05593" wp14:editId="52CFD51F">
                <wp:simplePos x="0" y="0"/>
                <wp:positionH relativeFrom="column">
                  <wp:posOffset>1943100</wp:posOffset>
                </wp:positionH>
                <wp:positionV relativeFrom="paragraph">
                  <wp:posOffset>191135</wp:posOffset>
                </wp:positionV>
                <wp:extent cx="2038350" cy="0"/>
                <wp:effectExtent l="0" t="19050" r="19050" b="19050"/>
                <wp:wrapNone/>
                <wp:docPr id="10" name="Straight Connector 10"/>
                <wp:cNvGraphicFramePr/>
                <a:graphic xmlns:a="http://schemas.openxmlformats.org/drawingml/2006/main">
                  <a:graphicData uri="http://schemas.microsoft.com/office/word/2010/wordprocessingShape">
                    <wps:wsp>
                      <wps:cNvCnPr/>
                      <wps:spPr>
                        <a:xfrm>
                          <a:off x="0" y="0"/>
                          <a:ext cx="203835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8D58B7" id="Straight Connector 1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15.05pt" to="31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" strokecolor="windowText" strokeweight="2.25pt">
                <v:stroke joinstyle="miter"/>
              </v:line>
            </w:pict>
          </mc:Fallback>
        </mc:AlternateContent>
      </w:r>
      <w:r w:rsidRPr="009E1C17">
        <w:rPr>
          <w:noProof/>
          <w:lang w:val="en-AU" w:eastAsia="en-AU"/>
        </w:rPr>
        <mc:AlternateContent>
          <mc:Choice Requires="wps">
            <w:drawing>
              <wp:anchor distT="0" distB="0" distL="114300" distR="114300" simplePos="0" relativeHeight="251685888" behindDoc="0" locked="0" layoutInCell="1" allowOverlap="1" wp14:anchorId="0A2FF59C" wp14:editId="6CEE1200">
                <wp:simplePos x="0" y="0"/>
                <wp:positionH relativeFrom="column">
                  <wp:posOffset>2924175</wp:posOffset>
                </wp:positionH>
                <wp:positionV relativeFrom="paragraph">
                  <wp:posOffset>210185</wp:posOffset>
                </wp:positionV>
                <wp:extent cx="0" cy="609600"/>
                <wp:effectExtent l="19050" t="0" r="19050" b="19050"/>
                <wp:wrapNone/>
                <wp:docPr id="13" name="Straight Connector 13"/>
                <wp:cNvGraphicFramePr/>
                <a:graphic xmlns:a="http://schemas.openxmlformats.org/drawingml/2006/main">
                  <a:graphicData uri="http://schemas.microsoft.com/office/word/2010/wordprocessingShape">
                    <wps:wsp>
                      <wps:cNvCnPr/>
                      <wps:spPr>
                        <a:xfrm flipH="1">
                          <a:off x="0" y="0"/>
                          <a:ext cx="0" cy="60960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98014D" id="Straight Connector 13"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25pt,16.55pt" to="230.2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" strokecolor="windowText" strokeweight="2.25pt">
                <v:stroke joinstyle="miter"/>
              </v:line>
            </w:pict>
          </mc:Fallback>
        </mc:AlternateContent>
      </w:r>
    </w:p>
    <w:p w14:paraId="757B2DC3" w14:textId="77777777" w:rsidR="00C323EE" w:rsidRPr="00351A46" w:rsidRDefault="00C323EE">
      <w:pPr>
        <w:rPr>
          <w:b/>
          <w:sz w:val="28"/>
          <w:szCs w:val="28"/>
          <w:lang w:val="en-AU"/>
        </w:rPr>
      </w:pPr>
    </w:p>
    <w:p w14:paraId="11978528" w14:textId="77777777" w:rsidR="00C323EE" w:rsidRPr="00351A46" w:rsidRDefault="00C323EE">
      <w:pPr>
        <w:rPr>
          <w:b/>
          <w:sz w:val="28"/>
          <w:szCs w:val="28"/>
          <w:lang w:val="en-AU"/>
        </w:rPr>
      </w:pPr>
      <w:r w:rsidRPr="00381388">
        <w:rPr>
          <w:noProof/>
          <w:lang w:val="en-AU" w:eastAsia="en-AU"/>
        </w:rPr>
        <mc:AlternateContent>
          <mc:Choice Requires="wps">
            <w:drawing>
              <wp:anchor distT="45720" distB="45720" distL="114300" distR="114300" simplePos="0" relativeHeight="251682816" behindDoc="0" locked="0" layoutInCell="1" allowOverlap="1" wp14:anchorId="043569EA" wp14:editId="102CD64E">
                <wp:simplePos x="0" y="0"/>
                <wp:positionH relativeFrom="margin">
                  <wp:posOffset>646430</wp:posOffset>
                </wp:positionH>
                <wp:positionV relativeFrom="paragraph">
                  <wp:posOffset>152400</wp:posOffset>
                </wp:positionV>
                <wp:extent cx="4543425" cy="1610995"/>
                <wp:effectExtent l="0" t="0" r="28575" b="273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610995"/>
                        </a:xfrm>
                        <a:prstGeom prst="rect">
                          <a:avLst/>
                        </a:prstGeom>
                        <a:solidFill>
                          <a:sysClr val="window" lastClr="FFFFFF">
                            <a:lumMod val="75000"/>
                          </a:sysClr>
                        </a:solidFill>
                        <a:ln w="9525">
                          <a:solidFill>
                            <a:srgbClr val="000000"/>
                          </a:solidFill>
                          <a:miter lim="800000"/>
                          <a:headEnd/>
                          <a:tailEnd/>
                        </a:ln>
                      </wps:spPr>
                      <wps:txbx>
                        <w:txbxContent>
                          <w:p w14:paraId="1D67A8F3" w14:textId="64CF5AD1" w:rsidR="00376822" w:rsidRDefault="00376822" w:rsidP="00C323EE">
                            <w:pPr>
                              <w:jc w:val="center"/>
                            </w:pPr>
                            <w:r>
                              <w:t>PROGRAM STEERING COMMITTEE (PSC)</w:t>
                            </w:r>
                          </w:p>
                          <w:p w14:paraId="2CC93A49" w14:textId="77777777" w:rsidR="00376822" w:rsidRDefault="00376822" w:rsidP="00C323EE">
                            <w:pPr>
                              <w:jc w:val="center"/>
                            </w:pPr>
                            <w:r>
                              <w:t>Ministry of National Development Planning (BAPPENAS)</w:t>
                            </w:r>
                          </w:p>
                          <w:p w14:paraId="3ECDCB5A" w14:textId="1E9A4519" w:rsidR="00376822" w:rsidRDefault="00376822" w:rsidP="00C323EE">
                            <w:r>
                              <w:t xml:space="preserve">Co-Chaired by: Deputy Minister for Economic Affairs, Ministry of National Development Planning (BAPPENAS); </w:t>
                            </w:r>
                            <w:r w:rsidRPr="00E7181A">
                              <w:rPr>
                                <w:b/>
                              </w:rPr>
                              <w:t>and</w:t>
                            </w:r>
                            <w:r>
                              <w:t xml:space="preserve"> Minister </w:t>
                            </w:r>
                            <w:r w:rsidRPr="00B3138C">
                              <w:rPr>
                                <w:lang w:val="en-AU"/>
                              </w:rPr>
                              <w:t>Counsellor</w:t>
                            </w:r>
                            <w:r>
                              <w:t xml:space="preserve"> for Governance and Human Development, DFAT, Australian Embassy</w:t>
                            </w:r>
                          </w:p>
                          <w:p w14:paraId="77FF0473" w14:textId="4BEFC956" w:rsidR="00376822" w:rsidRDefault="00376822" w:rsidP="00C323EE">
                            <w:r>
                              <w:t xml:space="preserve">Members: Echelon 1 representative of ministry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3569EA" id="Text Box 14" o:spid="_x0000_s1028" type="#_x0000_t202" style="position:absolute;margin-left:50.9pt;margin-top:12pt;width:357.75pt;height:126.85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" fillcolor="#bfbfbf">
                <v:textbox style="mso-fit-shape-to-text:t">
                  <w:txbxContent>
                    <w:p w14:paraId="1D67A8F3" w14:textId="64CF5AD1" w:rsidR="00376822" w:rsidRDefault="00376822" w:rsidP="00C323EE">
                      <w:pPr>
                        <w:jc w:val="center"/>
                      </w:pPr>
                      <w:r>
                        <w:t>PROGRAM STEERING COMMITTEE (PSC)</w:t>
                      </w:r>
                    </w:p>
                    <w:p w14:paraId="2CC93A49" w14:textId="77777777" w:rsidR="00376822" w:rsidRDefault="00376822" w:rsidP="00C323EE">
                      <w:pPr>
                        <w:jc w:val="center"/>
                      </w:pPr>
                      <w:r>
                        <w:t>Ministry of National Development Planning (BAPPENAS)</w:t>
                      </w:r>
                    </w:p>
                    <w:p w14:paraId="3ECDCB5A" w14:textId="1E9A4519" w:rsidR="00376822" w:rsidRDefault="00376822" w:rsidP="00C323EE">
                      <w:r>
                        <w:t xml:space="preserve">Co-Chaired by: Deputy Minister for Economic Affairs, Ministry of National Development Planning (BAPPENAS); </w:t>
                      </w:r>
                      <w:r w:rsidRPr="00E7181A">
                        <w:rPr>
                          <w:b/>
                        </w:rPr>
                        <w:t>and</w:t>
                      </w:r>
                      <w:r>
                        <w:t xml:space="preserve"> Minister </w:t>
                      </w:r>
                      <w:r w:rsidRPr="00B3138C">
                        <w:rPr>
                          <w:lang w:val="en-AU"/>
                        </w:rPr>
                        <w:t>Counsellor</w:t>
                      </w:r>
                      <w:r>
                        <w:t xml:space="preserve"> for Governance and Human Development, DFAT, Australian Embassy</w:t>
                      </w:r>
                    </w:p>
                    <w:p w14:paraId="77FF0473" w14:textId="4BEFC956" w:rsidR="00376822" w:rsidRDefault="00376822" w:rsidP="00C323EE">
                      <w:r>
                        <w:t xml:space="preserve">Members: Echelon 1 representative of ministry </w:t>
                      </w:r>
                    </w:p>
                  </w:txbxContent>
                </v:textbox>
                <w10:wrap type="square" anchorx="margin"/>
              </v:shape>
            </w:pict>
          </mc:Fallback>
        </mc:AlternateContent>
      </w:r>
    </w:p>
    <w:p w14:paraId="7CDC17FC" w14:textId="77777777" w:rsidR="00C323EE" w:rsidRPr="00351A46" w:rsidRDefault="00C323EE">
      <w:pPr>
        <w:rPr>
          <w:b/>
          <w:sz w:val="28"/>
          <w:szCs w:val="28"/>
          <w:lang w:val="en-AU"/>
        </w:rPr>
      </w:pPr>
    </w:p>
    <w:p w14:paraId="22911130" w14:textId="77777777" w:rsidR="00C323EE" w:rsidRPr="00351A46" w:rsidRDefault="00C323EE">
      <w:pPr>
        <w:rPr>
          <w:b/>
          <w:sz w:val="28"/>
          <w:szCs w:val="28"/>
          <w:lang w:val="en-AU"/>
        </w:rPr>
      </w:pPr>
    </w:p>
    <w:p w14:paraId="324D34FB" w14:textId="77777777" w:rsidR="00C323EE" w:rsidRPr="00351A46" w:rsidRDefault="00C323EE">
      <w:pPr>
        <w:rPr>
          <w:b/>
          <w:sz w:val="28"/>
          <w:szCs w:val="28"/>
          <w:lang w:val="en-AU"/>
        </w:rPr>
      </w:pPr>
    </w:p>
    <w:p w14:paraId="56F65327" w14:textId="77777777" w:rsidR="00C323EE" w:rsidRPr="00351A46" w:rsidRDefault="00C323EE">
      <w:pPr>
        <w:rPr>
          <w:b/>
          <w:sz w:val="28"/>
          <w:szCs w:val="28"/>
          <w:lang w:val="en-AU"/>
        </w:rPr>
      </w:pPr>
      <w:r w:rsidRPr="00381388">
        <w:rPr>
          <w:noProof/>
          <w:lang w:val="en-AU" w:eastAsia="en-AU"/>
        </w:rPr>
        <mc:AlternateContent>
          <mc:Choice Requires="wps">
            <w:drawing>
              <wp:anchor distT="0" distB="0" distL="114300" distR="114300" simplePos="0" relativeHeight="251686912" behindDoc="0" locked="0" layoutInCell="1" allowOverlap="1" wp14:anchorId="23262CD4" wp14:editId="0A92873A">
                <wp:simplePos x="0" y="0"/>
                <wp:positionH relativeFrom="margin">
                  <wp:posOffset>2962275</wp:posOffset>
                </wp:positionH>
                <wp:positionV relativeFrom="paragraph">
                  <wp:posOffset>312420</wp:posOffset>
                </wp:positionV>
                <wp:extent cx="0" cy="304800"/>
                <wp:effectExtent l="1905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0" cy="30480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873CE7" id="Straight Connector 15" o:spid="_x0000_s1026"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3.25pt,24.6pt" to="233.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" strokecolor="windowText" strokeweight="2.25pt">
                <v:stroke joinstyle="miter"/>
                <w10:wrap anchorx="margin"/>
              </v:line>
            </w:pict>
          </mc:Fallback>
        </mc:AlternateContent>
      </w:r>
    </w:p>
    <w:p w14:paraId="42E0F46E" w14:textId="77777777" w:rsidR="00C323EE" w:rsidRPr="00351A46" w:rsidRDefault="00C323EE">
      <w:pPr>
        <w:rPr>
          <w:b/>
          <w:sz w:val="28"/>
          <w:szCs w:val="28"/>
          <w:lang w:val="en-AU"/>
        </w:rPr>
      </w:pPr>
      <w:r w:rsidRPr="00381388">
        <w:rPr>
          <w:noProof/>
          <w:lang w:val="en-AU" w:eastAsia="en-AU"/>
        </w:rPr>
        <mc:AlternateContent>
          <mc:Choice Requires="wps">
            <w:drawing>
              <wp:anchor distT="45720" distB="45720" distL="114300" distR="114300" simplePos="0" relativeHeight="251683840" behindDoc="0" locked="0" layoutInCell="1" allowOverlap="1" wp14:anchorId="325A771D" wp14:editId="53987278">
                <wp:simplePos x="0" y="0"/>
                <wp:positionH relativeFrom="margin">
                  <wp:posOffset>684530</wp:posOffset>
                </wp:positionH>
                <wp:positionV relativeFrom="paragraph">
                  <wp:posOffset>279400</wp:posOffset>
                </wp:positionV>
                <wp:extent cx="4543425" cy="1971675"/>
                <wp:effectExtent l="0" t="0" r="28575"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971675"/>
                        </a:xfrm>
                        <a:prstGeom prst="rect">
                          <a:avLst/>
                        </a:prstGeom>
                        <a:solidFill>
                          <a:sysClr val="window" lastClr="FFFFFF">
                            <a:lumMod val="95000"/>
                          </a:sysClr>
                        </a:solidFill>
                        <a:ln w="9525">
                          <a:solidFill>
                            <a:srgbClr val="000000"/>
                          </a:solidFill>
                          <a:miter lim="800000"/>
                          <a:headEnd/>
                          <a:tailEnd/>
                        </a:ln>
                      </wps:spPr>
                      <wps:txbx>
                        <w:txbxContent>
                          <w:p w14:paraId="67834B84" w14:textId="40889111" w:rsidR="00376822" w:rsidRPr="00B3138C" w:rsidRDefault="00376822" w:rsidP="00C323EE">
                            <w:pPr>
                              <w:jc w:val="center"/>
                              <w:rPr>
                                <w:lang w:val="en-AU"/>
                              </w:rPr>
                            </w:pPr>
                            <w:r w:rsidRPr="00B3138C">
                              <w:rPr>
                                <w:lang w:val="en-AU"/>
                              </w:rPr>
                              <w:t xml:space="preserve">PROGRAM TECHNICAL </w:t>
                            </w:r>
                            <w:r>
                              <w:rPr>
                                <w:lang w:val="en-AU"/>
                              </w:rPr>
                              <w:t>SECRATARIAT</w:t>
                            </w:r>
                            <w:r w:rsidRPr="00B3138C">
                              <w:rPr>
                                <w:lang w:val="en-AU"/>
                              </w:rPr>
                              <w:t xml:space="preserve"> (PTS)</w:t>
                            </w:r>
                          </w:p>
                          <w:p w14:paraId="32F500CA" w14:textId="659A776D" w:rsidR="00376822" w:rsidRPr="00B3138C" w:rsidRDefault="00376822" w:rsidP="00C323EE">
                            <w:pPr>
                              <w:rPr>
                                <w:lang w:val="en-AU"/>
                              </w:rPr>
                            </w:pPr>
                            <w:r w:rsidRPr="00B3138C">
                              <w:rPr>
                                <w:lang w:val="en-AU"/>
                              </w:rPr>
                              <w:t xml:space="preserve">Co-Chaired by: Director of Industry, Tourism and Creative Economy, Ministry of National Development Planning (BAPPENAS); </w:t>
                            </w:r>
                            <w:r w:rsidRPr="00B3138C">
                              <w:rPr>
                                <w:b/>
                                <w:lang w:val="en-AU"/>
                              </w:rPr>
                              <w:t>and</w:t>
                            </w:r>
                            <w:r w:rsidRPr="00B3138C">
                              <w:rPr>
                                <w:lang w:val="en-AU"/>
                              </w:rPr>
                              <w:t xml:space="preserve"> Counsellor, Poverty and Social Development at</w:t>
                            </w:r>
                            <w:r>
                              <w:rPr>
                                <w:lang w:val="en-AU"/>
                              </w:rPr>
                              <w:t xml:space="preserve"> </w:t>
                            </w:r>
                            <w:r w:rsidRPr="00B3138C">
                              <w:rPr>
                                <w:lang w:val="en-AU"/>
                              </w:rPr>
                              <w:t>DFAT, Australian Embassy</w:t>
                            </w:r>
                          </w:p>
                          <w:p w14:paraId="7C2C0631" w14:textId="1408A86B" w:rsidR="00376822" w:rsidRPr="00B3138C" w:rsidRDefault="00376822" w:rsidP="00C323EE">
                            <w:pPr>
                              <w:rPr>
                                <w:lang w:val="en-AU"/>
                              </w:rPr>
                            </w:pPr>
                            <w:r w:rsidRPr="00B3138C">
                              <w:rPr>
                                <w:lang w:val="en-AU"/>
                              </w:rPr>
                              <w:t xml:space="preserve">Members: Echelon 2 representatives of BAPPENAS Directorate (as head of cluster working groups/Pokja) and </w:t>
                            </w:r>
                            <w:r>
                              <w:rPr>
                                <w:lang w:val="en-AU"/>
                              </w:rPr>
                              <w:t>E</w:t>
                            </w:r>
                            <w:r w:rsidRPr="00B3138C">
                              <w:rPr>
                                <w:lang w:val="en-AU"/>
                              </w:rPr>
                              <w:t xml:space="preserve">chelon 2 representatives of related ministries/departments; a (rotating) representative of KSI PRI </w:t>
                            </w:r>
                            <w:r>
                              <w:rPr>
                                <w:lang w:val="en-AU"/>
                              </w:rPr>
                              <w:t>p</w:t>
                            </w:r>
                            <w:r w:rsidRPr="00B3138C">
                              <w:rPr>
                                <w:lang w:val="en-AU"/>
                              </w:rPr>
                              <w:t xml:space="preserve">artners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5A771D" id="Text Box 16" o:spid="_x0000_s1029" type="#_x0000_t202" style="position:absolute;margin-left:53.9pt;margin-top:22pt;width:357.75pt;height:155.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" fillcolor="#f2f2f2">
                <v:textbox>
                  <w:txbxContent>
                    <w:p w14:paraId="67834B84" w14:textId="40889111" w:rsidR="00376822" w:rsidRPr="00B3138C" w:rsidRDefault="00376822" w:rsidP="00C323EE">
                      <w:pPr>
                        <w:jc w:val="center"/>
                        <w:rPr>
                          <w:lang w:val="en-AU"/>
                        </w:rPr>
                      </w:pPr>
                      <w:r w:rsidRPr="00B3138C">
                        <w:rPr>
                          <w:lang w:val="en-AU"/>
                        </w:rPr>
                        <w:t xml:space="preserve">PROGRAM TECHNICAL </w:t>
                      </w:r>
                      <w:r>
                        <w:rPr>
                          <w:lang w:val="en-AU"/>
                        </w:rPr>
                        <w:t>SECRATARIAT</w:t>
                      </w:r>
                      <w:r w:rsidRPr="00B3138C">
                        <w:rPr>
                          <w:lang w:val="en-AU"/>
                        </w:rPr>
                        <w:t xml:space="preserve"> (PTS)</w:t>
                      </w:r>
                    </w:p>
                    <w:p w14:paraId="32F500CA" w14:textId="659A776D" w:rsidR="00376822" w:rsidRPr="00B3138C" w:rsidRDefault="00376822" w:rsidP="00C323EE">
                      <w:pPr>
                        <w:rPr>
                          <w:lang w:val="en-AU"/>
                        </w:rPr>
                      </w:pPr>
                      <w:r w:rsidRPr="00B3138C">
                        <w:rPr>
                          <w:lang w:val="en-AU"/>
                        </w:rPr>
                        <w:t xml:space="preserve">Co-Chaired by: Director of Industry, Tourism and Creative Economy, Ministry of National Development Planning (BAPPENAS); </w:t>
                      </w:r>
                      <w:r w:rsidRPr="00B3138C">
                        <w:rPr>
                          <w:b/>
                          <w:lang w:val="en-AU"/>
                        </w:rPr>
                        <w:t>and</w:t>
                      </w:r>
                      <w:r w:rsidRPr="00B3138C">
                        <w:rPr>
                          <w:lang w:val="en-AU"/>
                        </w:rPr>
                        <w:t xml:space="preserve"> Counsellor, Poverty and Social Development at</w:t>
                      </w:r>
                      <w:r>
                        <w:rPr>
                          <w:lang w:val="en-AU"/>
                        </w:rPr>
                        <w:t xml:space="preserve"> </w:t>
                      </w:r>
                      <w:r w:rsidRPr="00B3138C">
                        <w:rPr>
                          <w:lang w:val="en-AU"/>
                        </w:rPr>
                        <w:t>DFAT, Australian Embassy</w:t>
                      </w:r>
                    </w:p>
                    <w:p w14:paraId="7C2C0631" w14:textId="1408A86B" w:rsidR="00376822" w:rsidRPr="00B3138C" w:rsidRDefault="00376822" w:rsidP="00C323EE">
                      <w:pPr>
                        <w:rPr>
                          <w:lang w:val="en-AU"/>
                        </w:rPr>
                      </w:pPr>
                      <w:r w:rsidRPr="00B3138C">
                        <w:rPr>
                          <w:lang w:val="en-AU"/>
                        </w:rPr>
                        <w:t xml:space="preserve">Members: Echelon 2 representatives of BAPPENAS Directorate (as head of cluster working groups/Pokja) and </w:t>
                      </w:r>
                      <w:r>
                        <w:rPr>
                          <w:lang w:val="en-AU"/>
                        </w:rPr>
                        <w:t>E</w:t>
                      </w:r>
                      <w:r w:rsidRPr="00B3138C">
                        <w:rPr>
                          <w:lang w:val="en-AU"/>
                        </w:rPr>
                        <w:t xml:space="preserve">chelon 2 representatives of related ministries/departments; a (rotating) representative of KSI PRI </w:t>
                      </w:r>
                      <w:r>
                        <w:rPr>
                          <w:lang w:val="en-AU"/>
                        </w:rPr>
                        <w:t>p</w:t>
                      </w:r>
                      <w:r w:rsidRPr="00B3138C">
                        <w:rPr>
                          <w:lang w:val="en-AU"/>
                        </w:rPr>
                        <w:t xml:space="preserve">artners </w:t>
                      </w:r>
                    </w:p>
                  </w:txbxContent>
                </v:textbox>
                <w10:wrap type="square" anchorx="margin"/>
              </v:shape>
            </w:pict>
          </mc:Fallback>
        </mc:AlternateContent>
      </w:r>
    </w:p>
    <w:p w14:paraId="4B0E0411" w14:textId="77777777" w:rsidR="00C323EE" w:rsidRPr="00351A46" w:rsidRDefault="00C323EE">
      <w:pPr>
        <w:rPr>
          <w:b/>
          <w:sz w:val="28"/>
          <w:szCs w:val="28"/>
          <w:lang w:val="en-AU"/>
        </w:rPr>
      </w:pPr>
    </w:p>
    <w:p w14:paraId="73BECD6D" w14:textId="77777777" w:rsidR="00C323EE" w:rsidRPr="00351A46" w:rsidRDefault="00C323EE">
      <w:pPr>
        <w:rPr>
          <w:b/>
          <w:sz w:val="28"/>
          <w:szCs w:val="28"/>
          <w:lang w:val="en-AU"/>
        </w:rPr>
      </w:pPr>
    </w:p>
    <w:p w14:paraId="79DBB2D9" w14:textId="77777777" w:rsidR="00C323EE" w:rsidRPr="00351A46" w:rsidRDefault="00C323EE">
      <w:pPr>
        <w:rPr>
          <w:b/>
          <w:sz w:val="28"/>
          <w:szCs w:val="28"/>
          <w:lang w:val="en-AU"/>
        </w:rPr>
      </w:pPr>
    </w:p>
    <w:p w14:paraId="7C693088" w14:textId="77777777" w:rsidR="00C323EE" w:rsidRPr="00351A46" w:rsidRDefault="00C323EE">
      <w:pPr>
        <w:rPr>
          <w:b/>
          <w:sz w:val="28"/>
          <w:szCs w:val="28"/>
          <w:lang w:val="en-AU"/>
        </w:rPr>
      </w:pPr>
    </w:p>
    <w:p w14:paraId="6A77BB6D" w14:textId="77777777" w:rsidR="00C323EE" w:rsidRPr="00351A46" w:rsidRDefault="00C323EE">
      <w:pPr>
        <w:rPr>
          <w:b/>
          <w:sz w:val="28"/>
          <w:szCs w:val="28"/>
          <w:lang w:val="en-AU"/>
        </w:rPr>
      </w:pPr>
    </w:p>
    <w:p w14:paraId="0E5E45B4" w14:textId="77777777" w:rsidR="00C323EE" w:rsidRPr="00351A46" w:rsidRDefault="00C323EE">
      <w:pPr>
        <w:rPr>
          <w:b/>
          <w:sz w:val="28"/>
          <w:szCs w:val="28"/>
          <w:lang w:val="en-AU"/>
        </w:rPr>
      </w:pPr>
      <w:r w:rsidRPr="00381388">
        <w:rPr>
          <w:noProof/>
          <w:lang w:val="en-AU" w:eastAsia="en-AU"/>
        </w:rPr>
        <mc:AlternateContent>
          <mc:Choice Requires="wps">
            <w:drawing>
              <wp:anchor distT="0" distB="0" distL="114300" distR="114300" simplePos="0" relativeHeight="251687936" behindDoc="0" locked="0" layoutInCell="1" allowOverlap="1" wp14:anchorId="1A6C44C1" wp14:editId="46966DD0">
                <wp:simplePos x="0" y="0"/>
                <wp:positionH relativeFrom="margin">
                  <wp:posOffset>2914650</wp:posOffset>
                </wp:positionH>
                <wp:positionV relativeFrom="paragraph">
                  <wp:posOffset>265430</wp:posOffset>
                </wp:positionV>
                <wp:extent cx="0" cy="142875"/>
                <wp:effectExtent l="19050" t="0" r="19050" b="28575"/>
                <wp:wrapNone/>
                <wp:docPr id="17" name="Straight Connector 17"/>
                <wp:cNvGraphicFramePr/>
                <a:graphic xmlns:a="http://schemas.openxmlformats.org/drawingml/2006/main">
                  <a:graphicData uri="http://schemas.microsoft.com/office/word/2010/wordprocessingShape">
                    <wps:wsp>
                      <wps:cNvCnPr/>
                      <wps:spPr>
                        <a:xfrm flipH="1">
                          <a:off x="0" y="0"/>
                          <a:ext cx="0" cy="14287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3C7590" id="Straight Connector 17" o:spid="_x0000_s1026" style="position:absolute;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9.5pt,20.9pt" to="229.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" strokecolor="windowText" strokeweight="2.25pt">
                <v:stroke joinstyle="miter"/>
                <w10:wrap anchorx="margin"/>
              </v:line>
            </w:pict>
          </mc:Fallback>
        </mc:AlternateContent>
      </w:r>
      <w:r w:rsidRPr="009E1C17">
        <w:rPr>
          <w:noProof/>
          <w:lang w:val="en-AU" w:eastAsia="en-AU"/>
        </w:rPr>
        <mc:AlternateContent>
          <mc:Choice Requires="wps">
            <w:drawing>
              <wp:anchor distT="0" distB="0" distL="114300" distR="114300" simplePos="0" relativeHeight="251688960" behindDoc="0" locked="0" layoutInCell="1" allowOverlap="1" wp14:anchorId="13FFAC44" wp14:editId="52806F2A">
                <wp:simplePos x="0" y="0"/>
                <wp:positionH relativeFrom="column">
                  <wp:posOffset>619125</wp:posOffset>
                </wp:positionH>
                <wp:positionV relativeFrom="paragraph">
                  <wp:posOffset>433705</wp:posOffset>
                </wp:positionV>
                <wp:extent cx="430530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a:off x="0" y="0"/>
                          <a:ext cx="430530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8D1BFF" id="Straight Connector 1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34.15pt" to="387.7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" strokecolor="windowText" strokeweight="2.25pt">
                <v:stroke joinstyle="miter"/>
              </v:line>
            </w:pict>
          </mc:Fallback>
        </mc:AlternateContent>
      </w:r>
      <w:r w:rsidRPr="009E1C17">
        <w:rPr>
          <w:noProof/>
          <w:lang w:val="en-AU" w:eastAsia="en-AU"/>
        </w:rPr>
        <mc:AlternateContent>
          <mc:Choice Requires="wps">
            <w:drawing>
              <wp:anchor distT="0" distB="0" distL="114300" distR="114300" simplePos="0" relativeHeight="251689984" behindDoc="0" locked="0" layoutInCell="1" allowOverlap="1" wp14:anchorId="24357C85" wp14:editId="32F6C120">
                <wp:simplePos x="0" y="0"/>
                <wp:positionH relativeFrom="margin">
                  <wp:posOffset>2143125</wp:posOffset>
                </wp:positionH>
                <wp:positionV relativeFrom="paragraph">
                  <wp:posOffset>436245</wp:posOffset>
                </wp:positionV>
                <wp:extent cx="0" cy="209550"/>
                <wp:effectExtent l="19050" t="0" r="19050" b="19050"/>
                <wp:wrapNone/>
                <wp:docPr id="19" name="Straight Connector 19"/>
                <wp:cNvGraphicFramePr/>
                <a:graphic xmlns:a="http://schemas.openxmlformats.org/drawingml/2006/main">
                  <a:graphicData uri="http://schemas.microsoft.com/office/word/2010/wordprocessingShape">
                    <wps:wsp>
                      <wps:cNvCnPr/>
                      <wps:spPr>
                        <a:xfrm flipH="1">
                          <a:off x="0" y="0"/>
                          <a:ext cx="0" cy="20955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F8B64A" id="Straight Connector 19" o:spid="_x0000_s1026" style="position:absolute;flip:x;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75pt,34.35pt" to="168.7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" strokecolor="windowText" strokeweight="2.25pt">
                <v:stroke joinstyle="miter"/>
                <w10:wrap anchorx="margin"/>
              </v:line>
            </w:pict>
          </mc:Fallback>
        </mc:AlternateContent>
      </w:r>
      <w:r w:rsidRPr="009E1C17">
        <w:rPr>
          <w:noProof/>
          <w:lang w:val="en-AU" w:eastAsia="en-AU"/>
        </w:rPr>
        <mc:AlternateContent>
          <mc:Choice Requires="wps">
            <w:drawing>
              <wp:anchor distT="0" distB="0" distL="114300" distR="114300" simplePos="0" relativeHeight="251691008" behindDoc="0" locked="0" layoutInCell="1" allowOverlap="1" wp14:anchorId="3F5BB50D" wp14:editId="3C3D980D">
                <wp:simplePos x="0" y="0"/>
                <wp:positionH relativeFrom="margin">
                  <wp:posOffset>619125</wp:posOffset>
                </wp:positionH>
                <wp:positionV relativeFrom="paragraph">
                  <wp:posOffset>438150</wp:posOffset>
                </wp:positionV>
                <wp:extent cx="0" cy="209550"/>
                <wp:effectExtent l="19050" t="0" r="19050" b="19050"/>
                <wp:wrapNone/>
                <wp:docPr id="21" name="Straight Connector 21"/>
                <wp:cNvGraphicFramePr/>
                <a:graphic xmlns:a="http://schemas.openxmlformats.org/drawingml/2006/main">
                  <a:graphicData uri="http://schemas.microsoft.com/office/word/2010/wordprocessingShape">
                    <wps:wsp>
                      <wps:cNvCnPr/>
                      <wps:spPr>
                        <a:xfrm flipH="1">
                          <a:off x="0" y="0"/>
                          <a:ext cx="0" cy="20955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891A51" id="Straight Connector 21" o:spid="_x0000_s1026" style="position:absolute;flip:x;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75pt,34.5pt" to="48.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" strokecolor="windowText" strokeweight="2.25pt">
                <v:stroke joinstyle="miter"/>
                <w10:wrap anchorx="margin"/>
              </v:line>
            </w:pict>
          </mc:Fallback>
        </mc:AlternateContent>
      </w:r>
      <w:r w:rsidRPr="009E1C17">
        <w:rPr>
          <w:noProof/>
          <w:lang w:val="en-AU" w:eastAsia="en-AU"/>
        </w:rPr>
        <mc:AlternateContent>
          <mc:Choice Requires="wps">
            <w:drawing>
              <wp:anchor distT="0" distB="0" distL="114300" distR="114300" simplePos="0" relativeHeight="251692032" behindDoc="0" locked="0" layoutInCell="1" allowOverlap="1" wp14:anchorId="21FF0CE2" wp14:editId="509DEBA1">
                <wp:simplePos x="0" y="0"/>
                <wp:positionH relativeFrom="margin">
                  <wp:posOffset>3609975</wp:posOffset>
                </wp:positionH>
                <wp:positionV relativeFrom="paragraph">
                  <wp:posOffset>438150</wp:posOffset>
                </wp:positionV>
                <wp:extent cx="0" cy="209550"/>
                <wp:effectExtent l="19050" t="0" r="19050" b="19050"/>
                <wp:wrapNone/>
                <wp:docPr id="23" name="Straight Connector 23"/>
                <wp:cNvGraphicFramePr/>
                <a:graphic xmlns:a="http://schemas.openxmlformats.org/drawingml/2006/main">
                  <a:graphicData uri="http://schemas.microsoft.com/office/word/2010/wordprocessingShape">
                    <wps:wsp>
                      <wps:cNvCnPr/>
                      <wps:spPr>
                        <a:xfrm flipH="1">
                          <a:off x="0" y="0"/>
                          <a:ext cx="0" cy="20955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63C6D2" id="Straight Connector 23" o:spid="_x0000_s1026" style="position:absolute;flip:x;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4.25pt,34.5pt" to="284.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" strokecolor="windowText" strokeweight="2.25pt">
                <v:stroke joinstyle="miter"/>
                <w10:wrap anchorx="margin"/>
              </v:line>
            </w:pict>
          </mc:Fallback>
        </mc:AlternateContent>
      </w:r>
      <w:r w:rsidRPr="009E1C17">
        <w:rPr>
          <w:noProof/>
          <w:lang w:val="en-AU" w:eastAsia="en-AU"/>
        </w:rPr>
        <mc:AlternateContent>
          <mc:Choice Requires="wps">
            <w:drawing>
              <wp:anchor distT="0" distB="0" distL="114300" distR="114300" simplePos="0" relativeHeight="251693056" behindDoc="0" locked="0" layoutInCell="1" allowOverlap="1" wp14:anchorId="55655BCD" wp14:editId="2C7F98EC">
                <wp:simplePos x="0" y="0"/>
                <wp:positionH relativeFrom="margin">
                  <wp:posOffset>4924425</wp:posOffset>
                </wp:positionH>
                <wp:positionV relativeFrom="paragraph">
                  <wp:posOffset>436245</wp:posOffset>
                </wp:positionV>
                <wp:extent cx="0" cy="209550"/>
                <wp:effectExtent l="19050" t="0" r="19050" b="19050"/>
                <wp:wrapNone/>
                <wp:docPr id="24" name="Straight Connector 24"/>
                <wp:cNvGraphicFramePr/>
                <a:graphic xmlns:a="http://schemas.openxmlformats.org/drawingml/2006/main">
                  <a:graphicData uri="http://schemas.microsoft.com/office/word/2010/wordprocessingShape">
                    <wps:wsp>
                      <wps:cNvCnPr/>
                      <wps:spPr>
                        <a:xfrm flipH="1">
                          <a:off x="0" y="0"/>
                          <a:ext cx="0" cy="20955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284C0A" id="Straight Connector 24" o:spid="_x0000_s1026" style="position:absolute;flip:x;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7.75pt,34.35pt" to="387.7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" strokecolor="windowText" strokeweight="2.25pt">
                <v:stroke joinstyle="miter"/>
                <w10:wrap anchorx="margin"/>
              </v:line>
            </w:pict>
          </mc:Fallback>
        </mc:AlternateContent>
      </w:r>
    </w:p>
    <w:p w14:paraId="51A4BC98" w14:textId="77777777" w:rsidR="00C323EE" w:rsidRPr="00351A46" w:rsidRDefault="00C323EE">
      <w:pPr>
        <w:rPr>
          <w:b/>
          <w:sz w:val="28"/>
          <w:szCs w:val="28"/>
          <w:lang w:val="en-AU"/>
        </w:rPr>
      </w:pPr>
    </w:p>
    <w:tbl>
      <w:tblPr>
        <w:tblStyle w:val="TableGrid5"/>
        <w:tblW w:w="9265" w:type="dxa"/>
        <w:tblLook w:val="04A0" w:firstRow="1" w:lastRow="0" w:firstColumn="1" w:lastColumn="0" w:noHBand="0" w:noVBand="1"/>
      </w:tblPr>
      <w:tblGrid>
        <w:gridCol w:w="2291"/>
        <w:gridCol w:w="2384"/>
        <w:gridCol w:w="2430"/>
        <w:gridCol w:w="2160"/>
      </w:tblGrid>
      <w:tr w:rsidR="00C323EE" w:rsidRPr="00351A46" w14:paraId="18D68EB3" w14:textId="77777777" w:rsidTr="00943E2F">
        <w:tc>
          <w:tcPr>
            <w:tcW w:w="2291"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37E3E185" w14:textId="77777777" w:rsidR="00C323EE" w:rsidRPr="00351A46" w:rsidRDefault="00C323EE">
            <w:pPr>
              <w:spacing w:after="160" w:line="259" w:lineRule="auto"/>
              <w:rPr>
                <w:sz w:val="18"/>
                <w:szCs w:val="18"/>
                <w:lang w:val="en-AU"/>
              </w:rPr>
            </w:pPr>
            <w:r w:rsidRPr="00351A46">
              <w:rPr>
                <w:sz w:val="18"/>
                <w:szCs w:val="18"/>
                <w:lang w:val="en-AU"/>
              </w:rPr>
              <w:t>Working Group 1 – Research Agenda &amp; Funding</w:t>
            </w:r>
          </w:p>
          <w:p w14:paraId="3C4F7E0A" w14:textId="3145E980" w:rsidR="00C323EE" w:rsidRPr="00351A46" w:rsidRDefault="00E35ACB">
            <w:pPr>
              <w:spacing w:after="160" w:line="259" w:lineRule="auto"/>
              <w:rPr>
                <w:sz w:val="18"/>
                <w:szCs w:val="18"/>
                <w:lang w:val="en-AU"/>
              </w:rPr>
            </w:pPr>
            <w:r w:rsidRPr="00351A46">
              <w:rPr>
                <w:sz w:val="18"/>
                <w:szCs w:val="18"/>
                <w:lang w:val="en-AU"/>
              </w:rPr>
              <w:t>Coordinator:</w:t>
            </w:r>
            <w:r w:rsidR="00C323EE" w:rsidRPr="00351A46">
              <w:rPr>
                <w:sz w:val="18"/>
                <w:szCs w:val="18"/>
                <w:lang w:val="en-AU"/>
              </w:rPr>
              <w:t xml:space="preserve"> Dr. Amich Alhumami (Bappenas)</w:t>
            </w:r>
          </w:p>
          <w:p w14:paraId="50A30D7D" w14:textId="53BB2493" w:rsidR="00C323EE" w:rsidRPr="00351A46" w:rsidRDefault="00C323EE">
            <w:pPr>
              <w:spacing w:after="160" w:line="259" w:lineRule="auto"/>
              <w:rPr>
                <w:sz w:val="18"/>
                <w:szCs w:val="18"/>
                <w:lang w:val="en-AU"/>
              </w:rPr>
            </w:pPr>
            <w:r w:rsidRPr="00351A46">
              <w:rPr>
                <w:sz w:val="18"/>
                <w:szCs w:val="18"/>
                <w:lang w:val="en-AU"/>
              </w:rPr>
              <w:t>Vice Coord</w:t>
            </w:r>
            <w:r w:rsidR="00E7181A">
              <w:rPr>
                <w:sz w:val="18"/>
                <w:szCs w:val="18"/>
                <w:lang w:val="en-AU"/>
              </w:rPr>
              <w:t>inator</w:t>
            </w:r>
            <w:r w:rsidRPr="00351A46">
              <w:rPr>
                <w:sz w:val="18"/>
                <w:szCs w:val="18"/>
                <w:lang w:val="en-AU"/>
              </w:rPr>
              <w:t>: Dr.Trina Fizzanty (LIPI)</w:t>
            </w:r>
          </w:p>
        </w:tc>
        <w:tc>
          <w:tcPr>
            <w:tcW w:w="2384"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1A4955AB" w14:textId="77777777" w:rsidR="00C323EE" w:rsidRPr="00351A46" w:rsidRDefault="00C323EE">
            <w:pPr>
              <w:spacing w:after="160" w:line="259" w:lineRule="auto"/>
              <w:rPr>
                <w:sz w:val="18"/>
                <w:szCs w:val="18"/>
                <w:lang w:val="en-AU"/>
              </w:rPr>
            </w:pPr>
            <w:r w:rsidRPr="00351A46">
              <w:rPr>
                <w:sz w:val="18"/>
                <w:szCs w:val="18"/>
                <w:lang w:val="en-AU"/>
              </w:rPr>
              <w:t>Working Group 2- Research Quality</w:t>
            </w:r>
          </w:p>
          <w:p w14:paraId="0A68521F" w14:textId="77777777" w:rsidR="00C323EE" w:rsidRPr="00351A46" w:rsidRDefault="00C323EE">
            <w:pPr>
              <w:spacing w:after="160" w:line="259" w:lineRule="auto"/>
              <w:rPr>
                <w:rFonts w:eastAsia="Calibri" w:cs="Calibri"/>
                <w:sz w:val="18"/>
                <w:szCs w:val="18"/>
                <w:lang w:val="en-AU"/>
              </w:rPr>
            </w:pPr>
            <w:r w:rsidRPr="00351A46">
              <w:rPr>
                <w:sz w:val="18"/>
                <w:szCs w:val="18"/>
                <w:lang w:val="en-AU"/>
              </w:rPr>
              <w:t xml:space="preserve">Coordinator: </w:t>
            </w:r>
            <w:r w:rsidRPr="00351A46">
              <w:rPr>
                <w:rFonts w:eastAsia="Calibri" w:cs="Calibri"/>
                <w:sz w:val="18"/>
                <w:szCs w:val="18"/>
                <w:lang w:val="en-AU"/>
              </w:rPr>
              <w:t>Prof. Dr. Ocky K. Radjasa (Kemristekdikti)</w:t>
            </w:r>
          </w:p>
          <w:p w14:paraId="5F23304C" w14:textId="72817D7E" w:rsidR="00C323EE" w:rsidRPr="00351A46" w:rsidRDefault="00C323EE">
            <w:pPr>
              <w:spacing w:after="160" w:line="259" w:lineRule="auto"/>
              <w:rPr>
                <w:sz w:val="18"/>
                <w:szCs w:val="18"/>
                <w:lang w:val="en-AU"/>
              </w:rPr>
            </w:pPr>
            <w:r w:rsidRPr="00351A46">
              <w:rPr>
                <w:rFonts w:eastAsia="Calibri" w:cs="Calibri"/>
                <w:sz w:val="18"/>
                <w:szCs w:val="18"/>
                <w:lang w:val="en-AU"/>
              </w:rPr>
              <w:t>Vice Coor</w:t>
            </w:r>
            <w:r w:rsidR="00E7181A">
              <w:rPr>
                <w:rFonts w:eastAsia="Calibri" w:cs="Calibri"/>
                <w:sz w:val="18"/>
                <w:szCs w:val="18"/>
                <w:lang w:val="en-AU"/>
              </w:rPr>
              <w:t>dinator</w:t>
            </w:r>
            <w:r w:rsidRPr="00351A46">
              <w:rPr>
                <w:rFonts w:eastAsia="Calibri" w:cs="Calibri"/>
                <w:sz w:val="18"/>
                <w:szCs w:val="18"/>
                <w:lang w:val="en-AU"/>
              </w:rPr>
              <w:t>: Erna Irawati S. Sos, M.Pol.Adm (LAN)</w:t>
            </w:r>
          </w:p>
        </w:tc>
        <w:tc>
          <w:tcPr>
            <w:tcW w:w="2430"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6400C6EC" w14:textId="77777777" w:rsidR="00C323EE" w:rsidRPr="00351A46" w:rsidRDefault="00C323EE">
            <w:pPr>
              <w:spacing w:after="160" w:line="259" w:lineRule="auto"/>
              <w:rPr>
                <w:sz w:val="18"/>
                <w:szCs w:val="18"/>
                <w:lang w:val="en-AU"/>
              </w:rPr>
            </w:pPr>
            <w:r w:rsidRPr="00351A46">
              <w:rPr>
                <w:sz w:val="18"/>
                <w:szCs w:val="18"/>
                <w:lang w:val="en-AU"/>
              </w:rPr>
              <w:t>Working Group 3 – Knowledge Collaboration</w:t>
            </w:r>
          </w:p>
          <w:p w14:paraId="0CDC3A7B" w14:textId="77777777" w:rsidR="00C323EE" w:rsidRPr="00351A46" w:rsidRDefault="00C323EE">
            <w:pPr>
              <w:spacing w:after="160" w:line="259" w:lineRule="auto"/>
              <w:rPr>
                <w:sz w:val="18"/>
                <w:szCs w:val="18"/>
                <w:lang w:val="en-AU"/>
              </w:rPr>
            </w:pPr>
            <w:r w:rsidRPr="00351A46">
              <w:rPr>
                <w:sz w:val="18"/>
                <w:szCs w:val="18"/>
                <w:lang w:val="en-AU"/>
              </w:rPr>
              <w:t>Coordinator: Dr. Leornardo A. A. Teguh Sambodo (Bappenas)</w:t>
            </w:r>
          </w:p>
          <w:p w14:paraId="77BC45FD" w14:textId="133BA051" w:rsidR="00C323EE" w:rsidRPr="00351A46" w:rsidRDefault="00C323EE">
            <w:pPr>
              <w:spacing w:after="160" w:line="259" w:lineRule="auto"/>
              <w:rPr>
                <w:sz w:val="18"/>
                <w:szCs w:val="18"/>
                <w:lang w:val="en-AU"/>
              </w:rPr>
            </w:pPr>
            <w:r w:rsidRPr="00351A46">
              <w:rPr>
                <w:sz w:val="18"/>
                <w:szCs w:val="18"/>
                <w:lang w:val="en-AU"/>
              </w:rPr>
              <w:t>Deputy Coord</w:t>
            </w:r>
            <w:r w:rsidR="00E7181A">
              <w:rPr>
                <w:sz w:val="18"/>
                <w:szCs w:val="18"/>
                <w:lang w:val="en-AU"/>
              </w:rPr>
              <w:t>inator</w:t>
            </w:r>
            <w:r w:rsidRPr="00351A46">
              <w:rPr>
                <w:sz w:val="18"/>
                <w:szCs w:val="18"/>
                <w:lang w:val="en-AU"/>
              </w:rPr>
              <w:t>: Dr. Oktorialdi, MA, Ph.D (Bappenas)</w:t>
            </w:r>
          </w:p>
        </w:tc>
        <w:tc>
          <w:tcPr>
            <w:tcW w:w="216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0CD5FBCA" w14:textId="77777777" w:rsidR="00C323EE" w:rsidRPr="00351A46" w:rsidRDefault="00C323EE">
            <w:pPr>
              <w:spacing w:after="160" w:line="259" w:lineRule="auto"/>
              <w:rPr>
                <w:sz w:val="18"/>
                <w:szCs w:val="18"/>
                <w:lang w:val="en-AU"/>
              </w:rPr>
            </w:pPr>
            <w:r w:rsidRPr="00351A46">
              <w:rPr>
                <w:sz w:val="18"/>
                <w:szCs w:val="18"/>
                <w:lang w:val="en-AU"/>
              </w:rPr>
              <w:t xml:space="preserve">Working Group 4 – Integrated Planning &amp; Budgeting </w:t>
            </w:r>
          </w:p>
          <w:p w14:paraId="0829380C" w14:textId="77777777" w:rsidR="00C323EE" w:rsidRPr="00351A46" w:rsidRDefault="00C323EE">
            <w:pPr>
              <w:spacing w:after="160" w:line="259" w:lineRule="auto"/>
              <w:rPr>
                <w:sz w:val="18"/>
                <w:szCs w:val="18"/>
                <w:lang w:val="en-AU"/>
              </w:rPr>
            </w:pPr>
            <w:r w:rsidRPr="00351A46">
              <w:rPr>
                <w:sz w:val="18"/>
                <w:szCs w:val="18"/>
                <w:lang w:val="en-AU"/>
              </w:rPr>
              <w:t>Coordinator: Ir Basah Hernowo MA (Bappenas)</w:t>
            </w:r>
          </w:p>
          <w:p w14:paraId="351F9CFE" w14:textId="0D0AF864" w:rsidR="00C323EE" w:rsidRPr="00351A46" w:rsidRDefault="00C323EE">
            <w:pPr>
              <w:spacing w:after="160" w:line="259" w:lineRule="auto"/>
              <w:rPr>
                <w:sz w:val="18"/>
                <w:szCs w:val="18"/>
                <w:lang w:val="en-AU"/>
              </w:rPr>
            </w:pPr>
            <w:r w:rsidRPr="00351A46">
              <w:rPr>
                <w:sz w:val="18"/>
                <w:szCs w:val="18"/>
                <w:lang w:val="en-AU"/>
              </w:rPr>
              <w:t>Deputy Coord</w:t>
            </w:r>
            <w:r w:rsidR="00E7181A">
              <w:rPr>
                <w:sz w:val="18"/>
                <w:szCs w:val="18"/>
                <w:lang w:val="en-AU"/>
              </w:rPr>
              <w:t>inator</w:t>
            </w:r>
            <w:r w:rsidRPr="00351A46">
              <w:rPr>
                <w:sz w:val="18"/>
                <w:szCs w:val="18"/>
                <w:lang w:val="en-AU"/>
              </w:rPr>
              <w:t>:</w:t>
            </w:r>
            <w:r w:rsidR="004538A4" w:rsidRPr="00B3138C">
              <w:rPr>
                <w:lang w:val="en-AU"/>
              </w:rPr>
              <w:t xml:space="preserve"> </w:t>
            </w:r>
            <w:r w:rsidR="004538A4" w:rsidRPr="00B3138C">
              <w:rPr>
                <w:sz w:val="18"/>
                <w:szCs w:val="18"/>
                <w:lang w:val="en-AU"/>
              </w:rPr>
              <w:t>Agung Widiadi, Direktur Sistem Penganggaran, Direktorat Jenderal Anggaran, (Kemenkeu) (Deputy coordinator)</w:t>
            </w:r>
          </w:p>
        </w:tc>
      </w:tr>
      <w:tr w:rsidR="00C323EE" w:rsidRPr="00351A46" w14:paraId="33F92DE6" w14:textId="77777777" w:rsidTr="00943E2F">
        <w:tc>
          <w:tcPr>
            <w:tcW w:w="2291" w:type="dxa"/>
            <w:tcBorders>
              <w:top w:val="single" w:sz="4" w:space="0" w:color="auto"/>
              <w:left w:val="single" w:sz="4" w:space="0" w:color="auto"/>
              <w:bottom w:val="single" w:sz="4" w:space="0" w:color="auto"/>
              <w:right w:val="single" w:sz="4" w:space="0" w:color="auto"/>
            </w:tcBorders>
            <w:hideMark/>
          </w:tcPr>
          <w:p w14:paraId="7A2D1502" w14:textId="0BF07A06" w:rsidR="00C323EE" w:rsidRPr="00351A46" w:rsidRDefault="00322D67">
            <w:pPr>
              <w:spacing w:after="160" w:line="259" w:lineRule="auto"/>
              <w:rPr>
                <w:sz w:val="18"/>
                <w:szCs w:val="18"/>
                <w:lang w:val="en-AU"/>
              </w:rPr>
            </w:pPr>
            <w:r>
              <w:rPr>
                <w:sz w:val="18"/>
                <w:szCs w:val="18"/>
                <w:lang w:val="en-AU"/>
              </w:rPr>
              <w:t>B</w:t>
            </w:r>
            <w:r w:rsidRPr="00351A46">
              <w:rPr>
                <w:sz w:val="18"/>
                <w:szCs w:val="18"/>
                <w:lang w:val="en-AU"/>
              </w:rPr>
              <w:t>appenas; related ministries; key initiative working group reps</w:t>
            </w:r>
          </w:p>
        </w:tc>
        <w:tc>
          <w:tcPr>
            <w:tcW w:w="2384" w:type="dxa"/>
            <w:tcBorders>
              <w:top w:val="single" w:sz="4" w:space="0" w:color="auto"/>
              <w:left w:val="single" w:sz="4" w:space="0" w:color="auto"/>
              <w:bottom w:val="single" w:sz="4" w:space="0" w:color="auto"/>
              <w:right w:val="single" w:sz="4" w:space="0" w:color="auto"/>
            </w:tcBorders>
            <w:hideMark/>
          </w:tcPr>
          <w:p w14:paraId="2E8BDF78" w14:textId="239BF799" w:rsidR="00C323EE" w:rsidRPr="00351A46" w:rsidRDefault="00322D67">
            <w:pPr>
              <w:spacing w:after="160" w:line="259" w:lineRule="auto"/>
              <w:rPr>
                <w:sz w:val="18"/>
                <w:szCs w:val="18"/>
                <w:lang w:val="en-AU"/>
              </w:rPr>
            </w:pPr>
            <w:r>
              <w:rPr>
                <w:sz w:val="18"/>
                <w:szCs w:val="18"/>
                <w:lang w:val="en-AU"/>
              </w:rPr>
              <w:t>B</w:t>
            </w:r>
            <w:r w:rsidRPr="00351A46">
              <w:rPr>
                <w:sz w:val="18"/>
                <w:szCs w:val="18"/>
                <w:lang w:val="en-AU"/>
              </w:rPr>
              <w:t>appenas; related ministries; key initiative working group reps</w:t>
            </w:r>
          </w:p>
        </w:tc>
        <w:tc>
          <w:tcPr>
            <w:tcW w:w="2430" w:type="dxa"/>
            <w:tcBorders>
              <w:top w:val="single" w:sz="4" w:space="0" w:color="auto"/>
              <w:left w:val="single" w:sz="4" w:space="0" w:color="auto"/>
              <w:bottom w:val="single" w:sz="4" w:space="0" w:color="auto"/>
              <w:right w:val="single" w:sz="4" w:space="0" w:color="auto"/>
            </w:tcBorders>
            <w:hideMark/>
          </w:tcPr>
          <w:p w14:paraId="4708CE3E" w14:textId="615FD9EB" w:rsidR="00C323EE" w:rsidRPr="00351A46" w:rsidRDefault="00322D67">
            <w:pPr>
              <w:spacing w:after="160" w:line="259" w:lineRule="auto"/>
              <w:rPr>
                <w:sz w:val="18"/>
                <w:szCs w:val="18"/>
                <w:lang w:val="en-AU"/>
              </w:rPr>
            </w:pPr>
            <w:r>
              <w:rPr>
                <w:sz w:val="18"/>
                <w:szCs w:val="18"/>
                <w:lang w:val="en-AU"/>
              </w:rPr>
              <w:t>B</w:t>
            </w:r>
            <w:r w:rsidRPr="00351A46">
              <w:rPr>
                <w:sz w:val="18"/>
                <w:szCs w:val="18"/>
                <w:lang w:val="en-AU"/>
              </w:rPr>
              <w:t>appenas; related ministries; key initiative working group reps</w:t>
            </w:r>
          </w:p>
        </w:tc>
        <w:tc>
          <w:tcPr>
            <w:tcW w:w="2160" w:type="dxa"/>
            <w:tcBorders>
              <w:top w:val="single" w:sz="4" w:space="0" w:color="auto"/>
              <w:left w:val="single" w:sz="4" w:space="0" w:color="auto"/>
              <w:bottom w:val="single" w:sz="4" w:space="0" w:color="auto"/>
              <w:right w:val="single" w:sz="4" w:space="0" w:color="auto"/>
            </w:tcBorders>
            <w:hideMark/>
          </w:tcPr>
          <w:p w14:paraId="37DCFD96" w14:textId="77A3151D" w:rsidR="00C323EE" w:rsidRPr="00351A46" w:rsidRDefault="00322D67">
            <w:pPr>
              <w:spacing w:after="160" w:line="259" w:lineRule="auto"/>
              <w:rPr>
                <w:sz w:val="18"/>
                <w:szCs w:val="18"/>
                <w:lang w:val="en-AU"/>
              </w:rPr>
            </w:pPr>
            <w:r>
              <w:rPr>
                <w:sz w:val="18"/>
                <w:szCs w:val="18"/>
                <w:lang w:val="en-AU"/>
              </w:rPr>
              <w:t>B</w:t>
            </w:r>
            <w:r w:rsidRPr="00351A46">
              <w:rPr>
                <w:sz w:val="18"/>
                <w:szCs w:val="18"/>
                <w:lang w:val="en-AU"/>
              </w:rPr>
              <w:t>appenas; related ministries; key initiative working group reps</w:t>
            </w:r>
          </w:p>
        </w:tc>
      </w:tr>
      <w:tr w:rsidR="00C323EE" w:rsidRPr="00351A46" w14:paraId="74E6BC02" w14:textId="77777777" w:rsidTr="00943E2F">
        <w:tc>
          <w:tcPr>
            <w:tcW w:w="22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629230" w14:textId="6B4EDEB0" w:rsidR="00C323EE" w:rsidRPr="00351A46" w:rsidRDefault="00E5110F">
            <w:pPr>
              <w:keepNext/>
              <w:keepLines/>
              <w:spacing w:before="200" w:after="160" w:line="259" w:lineRule="auto"/>
              <w:outlineLvl w:val="8"/>
              <w:rPr>
                <w:i/>
                <w:iCs/>
                <w:sz w:val="18"/>
                <w:szCs w:val="18"/>
                <w:lang w:val="en-AU"/>
              </w:rPr>
            </w:pPr>
            <w:r w:rsidRPr="00351A46">
              <w:rPr>
                <w:i/>
                <w:iCs/>
                <w:sz w:val="18"/>
                <w:szCs w:val="18"/>
                <w:lang w:val="en-AU"/>
              </w:rPr>
              <w:t>Key initiative</w:t>
            </w:r>
            <w:r w:rsidR="00C323EE" w:rsidRPr="00351A46">
              <w:rPr>
                <w:i/>
                <w:iCs/>
                <w:sz w:val="18"/>
                <w:szCs w:val="18"/>
                <w:lang w:val="en-AU"/>
              </w:rPr>
              <w:t>s: (1)</w:t>
            </w:r>
            <w:r w:rsidR="006878E5" w:rsidRPr="00351A46">
              <w:rPr>
                <w:i/>
                <w:iCs/>
                <w:sz w:val="18"/>
                <w:szCs w:val="18"/>
                <w:lang w:val="en-AU"/>
              </w:rPr>
              <w:t xml:space="preserve"> </w:t>
            </w:r>
            <w:r w:rsidR="0073091D" w:rsidRPr="00351A46">
              <w:rPr>
                <w:i/>
                <w:iCs/>
                <w:sz w:val="18"/>
                <w:szCs w:val="18"/>
                <w:lang w:val="en-AU"/>
              </w:rPr>
              <w:t>RPJMN; (2) Shared Agenda for Research to Policy</w:t>
            </w:r>
            <w:r w:rsidR="00C323EE" w:rsidRPr="00351A46">
              <w:rPr>
                <w:i/>
                <w:iCs/>
                <w:sz w:val="18"/>
                <w:szCs w:val="18"/>
                <w:lang w:val="en-AU"/>
              </w:rPr>
              <w:t>; and (3) Private Sector Engagement</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8F4022" w14:textId="17C344F6" w:rsidR="00C323EE" w:rsidRPr="00351A46" w:rsidRDefault="00E5110F">
            <w:pPr>
              <w:keepNext/>
              <w:keepLines/>
              <w:spacing w:before="200" w:after="160" w:line="259" w:lineRule="auto"/>
              <w:outlineLvl w:val="8"/>
              <w:rPr>
                <w:i/>
                <w:iCs/>
                <w:sz w:val="18"/>
                <w:szCs w:val="18"/>
                <w:lang w:val="en-AU"/>
              </w:rPr>
            </w:pPr>
            <w:r w:rsidRPr="00351A46">
              <w:rPr>
                <w:i/>
                <w:iCs/>
                <w:sz w:val="18"/>
                <w:szCs w:val="18"/>
                <w:lang w:val="en-AU"/>
              </w:rPr>
              <w:t>Key initiative</w:t>
            </w:r>
            <w:r w:rsidR="00C323EE" w:rsidRPr="00351A46">
              <w:rPr>
                <w:i/>
                <w:iCs/>
                <w:sz w:val="18"/>
                <w:szCs w:val="18"/>
                <w:lang w:val="en-AU"/>
              </w:rPr>
              <w:t>s:</w:t>
            </w:r>
            <w:r w:rsidR="006878E5" w:rsidRPr="00351A46">
              <w:rPr>
                <w:i/>
                <w:iCs/>
                <w:sz w:val="18"/>
                <w:szCs w:val="18"/>
                <w:lang w:val="en-AU"/>
              </w:rPr>
              <w:t xml:space="preserve"> </w:t>
            </w:r>
            <w:r w:rsidR="00C323EE" w:rsidRPr="00351A46">
              <w:rPr>
                <w:i/>
                <w:iCs/>
                <w:sz w:val="18"/>
                <w:szCs w:val="18"/>
                <w:lang w:val="en-AU"/>
              </w:rPr>
              <w:t>(4) Policy Analysts; (5) University</w:t>
            </w:r>
            <w:r w:rsidR="006878E5" w:rsidRPr="00351A46">
              <w:rPr>
                <w:i/>
                <w:iCs/>
                <w:sz w:val="18"/>
                <w:szCs w:val="18"/>
                <w:lang w:val="en-AU"/>
              </w:rPr>
              <w:t xml:space="preserve"> Lecturers Incentives</w:t>
            </w:r>
            <w:r w:rsidR="00C323EE" w:rsidRPr="00351A46">
              <w:rPr>
                <w:i/>
                <w:iCs/>
                <w:sz w:val="18"/>
                <w:szCs w:val="18"/>
                <w:lang w:val="en-AU"/>
              </w:rPr>
              <w:t>; (8) Support for PRI Issues; Cross</w:t>
            </w:r>
            <w:r w:rsidR="00322D67">
              <w:rPr>
                <w:i/>
                <w:iCs/>
                <w:sz w:val="18"/>
                <w:szCs w:val="18"/>
                <w:lang w:val="en-AU"/>
              </w:rPr>
              <w:t>-</w:t>
            </w:r>
            <w:r w:rsidR="00C323EE" w:rsidRPr="00351A46">
              <w:rPr>
                <w:i/>
                <w:iCs/>
                <w:sz w:val="18"/>
                <w:szCs w:val="18"/>
                <w:lang w:val="en-AU"/>
              </w:rPr>
              <w:t>Cutting Strategies (</w:t>
            </w:r>
            <w:r w:rsidR="00322D67" w:rsidRPr="00351A46">
              <w:rPr>
                <w:i/>
                <w:iCs/>
                <w:sz w:val="18"/>
                <w:szCs w:val="18"/>
                <w:lang w:val="en-AU"/>
              </w:rPr>
              <w:t>sub</w:t>
            </w:r>
            <w:r w:rsidR="00322D67">
              <w:rPr>
                <w:i/>
                <w:iCs/>
                <w:sz w:val="18"/>
                <w:szCs w:val="18"/>
                <w:lang w:val="en-AU"/>
              </w:rPr>
              <w:t>-</w:t>
            </w:r>
            <w:r w:rsidR="00322D67" w:rsidRPr="00351A46">
              <w:rPr>
                <w:i/>
                <w:iCs/>
                <w:sz w:val="18"/>
                <w:szCs w:val="18"/>
                <w:lang w:val="en-AU"/>
              </w:rPr>
              <w:t>national engagement</w:t>
            </w:r>
            <w:r w:rsidR="00C323EE" w:rsidRPr="00351A46">
              <w:rPr>
                <w:i/>
                <w:iCs/>
                <w:sz w:val="18"/>
                <w:szCs w:val="18"/>
                <w:lang w:val="en-AU"/>
              </w:rPr>
              <w:t>)</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9C4C90" w14:textId="54DCEE7E" w:rsidR="00C323EE" w:rsidRPr="00351A46" w:rsidRDefault="00E5110F">
            <w:pPr>
              <w:keepNext/>
              <w:keepLines/>
              <w:spacing w:before="200" w:after="160" w:line="259" w:lineRule="auto"/>
              <w:outlineLvl w:val="8"/>
              <w:rPr>
                <w:i/>
                <w:iCs/>
                <w:sz w:val="18"/>
                <w:szCs w:val="18"/>
                <w:lang w:val="en-AU"/>
              </w:rPr>
            </w:pPr>
            <w:r w:rsidRPr="00351A46">
              <w:rPr>
                <w:i/>
                <w:iCs/>
                <w:sz w:val="18"/>
                <w:szCs w:val="18"/>
                <w:lang w:val="en-AU"/>
              </w:rPr>
              <w:t>Key initiative</w:t>
            </w:r>
            <w:r w:rsidR="00C323EE" w:rsidRPr="00351A46">
              <w:rPr>
                <w:i/>
                <w:iCs/>
                <w:sz w:val="18"/>
                <w:szCs w:val="18"/>
                <w:lang w:val="en-AU"/>
              </w:rPr>
              <w:t>s:</w:t>
            </w:r>
            <w:r w:rsidR="00322D67">
              <w:rPr>
                <w:i/>
                <w:iCs/>
                <w:sz w:val="18"/>
                <w:szCs w:val="18"/>
                <w:lang w:val="en-AU"/>
              </w:rPr>
              <w:t xml:space="preserve"> </w:t>
            </w:r>
            <w:r w:rsidR="00C323EE" w:rsidRPr="00351A46">
              <w:rPr>
                <w:i/>
                <w:iCs/>
                <w:sz w:val="18"/>
                <w:szCs w:val="18"/>
                <w:lang w:val="en-AU"/>
              </w:rPr>
              <w:t xml:space="preserve">(6) IDF and </w:t>
            </w:r>
            <w:r w:rsidR="00F02AFD" w:rsidRPr="00351A46">
              <w:rPr>
                <w:i/>
                <w:iCs/>
                <w:sz w:val="18"/>
                <w:szCs w:val="18"/>
                <w:lang w:val="en-AU"/>
              </w:rPr>
              <w:t>Online Knowledge Exchange Platform</w:t>
            </w:r>
            <w:r w:rsidR="00C323EE" w:rsidRPr="00351A46">
              <w:rPr>
                <w:i/>
                <w:iCs/>
                <w:sz w:val="18"/>
                <w:szCs w:val="18"/>
                <w:lang w:val="en-AU"/>
              </w:rPr>
              <w:t>; Cross</w:t>
            </w:r>
            <w:r w:rsidR="00322D67">
              <w:rPr>
                <w:i/>
                <w:iCs/>
                <w:sz w:val="18"/>
                <w:szCs w:val="18"/>
                <w:lang w:val="en-AU"/>
              </w:rPr>
              <w:t>-</w:t>
            </w:r>
            <w:r w:rsidR="00C323EE" w:rsidRPr="00351A46">
              <w:rPr>
                <w:i/>
                <w:iCs/>
                <w:sz w:val="18"/>
                <w:szCs w:val="18"/>
                <w:lang w:val="en-AU"/>
              </w:rPr>
              <w:t xml:space="preserve">Cutting </w:t>
            </w:r>
            <w:r w:rsidR="00E35ACB" w:rsidRPr="00351A46">
              <w:rPr>
                <w:i/>
                <w:iCs/>
                <w:sz w:val="18"/>
                <w:szCs w:val="18"/>
                <w:lang w:val="en-AU"/>
              </w:rPr>
              <w:t>Strategies (</w:t>
            </w:r>
            <w:r w:rsidR="00C323EE" w:rsidRPr="00351A46">
              <w:rPr>
                <w:i/>
                <w:iCs/>
                <w:sz w:val="18"/>
                <w:szCs w:val="18"/>
                <w:lang w:val="en-AU"/>
              </w:rPr>
              <w:t xml:space="preserve">GESI, </w:t>
            </w:r>
            <w:r w:rsidR="00322D67" w:rsidRPr="00351A46">
              <w:rPr>
                <w:i/>
                <w:iCs/>
                <w:sz w:val="18"/>
                <w:szCs w:val="18"/>
                <w:lang w:val="en-AU"/>
              </w:rPr>
              <w:t>media engagement, sub</w:t>
            </w:r>
            <w:r w:rsidR="00322D67">
              <w:rPr>
                <w:i/>
                <w:iCs/>
                <w:sz w:val="18"/>
                <w:szCs w:val="18"/>
                <w:lang w:val="en-AU"/>
              </w:rPr>
              <w:t>-</w:t>
            </w:r>
            <w:r w:rsidR="00322D67" w:rsidRPr="00351A46">
              <w:rPr>
                <w:i/>
                <w:iCs/>
                <w:sz w:val="18"/>
                <w:szCs w:val="18"/>
                <w:lang w:val="en-AU"/>
              </w:rPr>
              <w:t>national</w:t>
            </w:r>
            <w:r w:rsidR="00C323EE" w:rsidRPr="00351A46">
              <w:rPr>
                <w:i/>
                <w:iCs/>
                <w:sz w:val="18"/>
                <w:szCs w:val="18"/>
                <w:lang w:val="en-AU"/>
              </w:rPr>
              <w:t>)</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3225F3" w14:textId="2A84C69C" w:rsidR="00C323EE" w:rsidRPr="00351A46" w:rsidRDefault="00E5110F">
            <w:pPr>
              <w:keepNext/>
              <w:keepLines/>
              <w:spacing w:before="200" w:after="160" w:line="259" w:lineRule="auto"/>
              <w:outlineLvl w:val="8"/>
              <w:rPr>
                <w:i/>
                <w:iCs/>
                <w:sz w:val="18"/>
                <w:szCs w:val="18"/>
                <w:lang w:val="en-AU"/>
              </w:rPr>
            </w:pPr>
            <w:r w:rsidRPr="00351A46">
              <w:rPr>
                <w:i/>
                <w:iCs/>
                <w:sz w:val="18"/>
                <w:szCs w:val="18"/>
                <w:lang w:val="en-AU"/>
              </w:rPr>
              <w:t>Key initiative</w:t>
            </w:r>
            <w:r w:rsidR="00C323EE" w:rsidRPr="00351A46">
              <w:rPr>
                <w:i/>
                <w:iCs/>
                <w:sz w:val="18"/>
                <w:szCs w:val="18"/>
                <w:lang w:val="en-AU"/>
              </w:rPr>
              <w:t>s:</w:t>
            </w:r>
            <w:r w:rsidR="00322D67">
              <w:rPr>
                <w:i/>
                <w:iCs/>
                <w:sz w:val="18"/>
                <w:szCs w:val="18"/>
                <w:lang w:val="en-AU"/>
              </w:rPr>
              <w:t xml:space="preserve"> </w:t>
            </w:r>
            <w:r w:rsidR="00C323EE" w:rsidRPr="00351A46">
              <w:rPr>
                <w:i/>
                <w:iCs/>
                <w:sz w:val="18"/>
                <w:szCs w:val="18"/>
                <w:lang w:val="en-AU"/>
              </w:rPr>
              <w:t xml:space="preserve">(7) KRISNA: </w:t>
            </w:r>
            <w:r w:rsidR="00F02AFD" w:rsidRPr="00351A46">
              <w:rPr>
                <w:i/>
                <w:iCs/>
                <w:sz w:val="18"/>
                <w:szCs w:val="18"/>
                <w:lang w:val="en-AU"/>
              </w:rPr>
              <w:t>E-Planning, Budgeting and Performance</w:t>
            </w:r>
          </w:p>
        </w:tc>
      </w:tr>
    </w:tbl>
    <w:p w14:paraId="0E2EBC1E" w14:textId="77777777" w:rsidR="00E35ACB" w:rsidRPr="00351A46" w:rsidRDefault="00E35ACB">
      <w:pPr>
        <w:pStyle w:val="Heading1"/>
        <w:rPr>
          <w:lang w:val="en-AU"/>
        </w:rPr>
        <w:sectPr w:rsidR="00E35ACB" w:rsidRPr="00351A46" w:rsidSect="003F5EED">
          <w:pgSz w:w="11900" w:h="16850"/>
          <w:pgMar w:top="1440" w:right="1440" w:bottom="1440" w:left="1440" w:header="758" w:footer="0" w:gutter="0"/>
          <w:cols w:space="720"/>
          <w:docGrid w:linePitch="299"/>
        </w:sectPr>
      </w:pPr>
    </w:p>
    <w:p w14:paraId="7BD3EDB1" w14:textId="2B80FB20" w:rsidR="001E3532" w:rsidRPr="00351A46" w:rsidRDefault="009F52FD" w:rsidP="00B3138C">
      <w:pPr>
        <w:pStyle w:val="Heading1"/>
        <w:spacing w:before="0"/>
        <w:rPr>
          <w:lang w:val="en-AU"/>
        </w:rPr>
      </w:pPr>
      <w:bookmarkStart w:id="33" w:name="_Toc514418254"/>
      <w:r w:rsidRPr="00351A46">
        <w:rPr>
          <w:lang w:val="en-AU"/>
        </w:rPr>
        <w:t>Annex 3</w:t>
      </w:r>
      <w:r w:rsidR="001E3532" w:rsidRPr="00351A46">
        <w:rPr>
          <w:lang w:val="en-AU"/>
        </w:rPr>
        <w:t xml:space="preserve">: </w:t>
      </w:r>
      <w:r w:rsidR="00BA7F14" w:rsidRPr="00351A46">
        <w:rPr>
          <w:lang w:val="en-AU"/>
        </w:rPr>
        <w:t>Outline</w:t>
      </w:r>
      <w:r w:rsidR="001E3532" w:rsidRPr="00351A46">
        <w:rPr>
          <w:lang w:val="en-AU"/>
        </w:rPr>
        <w:t xml:space="preserve"> for Key Initiative Paper</w:t>
      </w:r>
      <w:bookmarkEnd w:id="33"/>
    </w:p>
    <w:p w14:paraId="51FD25AD" w14:textId="6D14CF76" w:rsidR="00B918D2" w:rsidRPr="00351A46" w:rsidRDefault="00B918D2">
      <w:pPr>
        <w:rPr>
          <w:lang w:val="en-AU"/>
        </w:rPr>
      </w:pPr>
      <w:r w:rsidRPr="00351A46">
        <w:rPr>
          <w:lang w:val="en-AU"/>
        </w:rPr>
        <w:t>Where new k</w:t>
      </w:r>
      <w:r w:rsidR="00C76135" w:rsidRPr="00351A46">
        <w:rPr>
          <w:lang w:val="en-AU"/>
        </w:rPr>
        <w:t>ey initiatives are proposed, a p</w:t>
      </w:r>
      <w:r w:rsidRPr="00351A46">
        <w:rPr>
          <w:lang w:val="en-AU"/>
        </w:rPr>
        <w:t>aper must be prepared that addresses the following questions: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5"/>
        <w:gridCol w:w="6623"/>
      </w:tblGrid>
      <w:tr w:rsidR="00B918D2" w:rsidRPr="00351A46" w14:paraId="1BED72B7" w14:textId="77777777" w:rsidTr="007B5EC1">
        <w:trPr>
          <w:trHeight w:val="292"/>
          <w:jc w:val="center"/>
        </w:trPr>
        <w:tc>
          <w:tcPr>
            <w:tcW w:w="2775" w:type="dxa"/>
          </w:tcPr>
          <w:p w14:paraId="779B3A15" w14:textId="77777777" w:rsidR="00B918D2" w:rsidRPr="00B3138C" w:rsidRDefault="00B918D2">
            <w:pPr>
              <w:numPr>
                <w:ilvl w:val="1"/>
                <w:numId w:val="0"/>
              </w:numPr>
              <w:rPr>
                <w:lang w:val="en-AU"/>
              </w:rPr>
            </w:pPr>
          </w:p>
        </w:tc>
        <w:tc>
          <w:tcPr>
            <w:tcW w:w="6623" w:type="dxa"/>
          </w:tcPr>
          <w:p w14:paraId="19102879" w14:textId="77777777" w:rsidR="00B918D2" w:rsidRPr="00351A46" w:rsidRDefault="00B918D2">
            <w:pPr>
              <w:rPr>
                <w:b/>
                <w:lang w:val="en-AU"/>
              </w:rPr>
            </w:pPr>
            <w:r w:rsidRPr="00351A46">
              <w:rPr>
                <w:b/>
                <w:lang w:val="en-AU"/>
              </w:rPr>
              <w:t>Content</w:t>
            </w:r>
          </w:p>
        </w:tc>
      </w:tr>
      <w:tr w:rsidR="00B918D2" w:rsidRPr="00351A46" w14:paraId="4EE7D427" w14:textId="77777777" w:rsidTr="007B5EC1">
        <w:trPr>
          <w:trHeight w:val="880"/>
          <w:jc w:val="center"/>
        </w:trPr>
        <w:tc>
          <w:tcPr>
            <w:tcW w:w="2775" w:type="dxa"/>
          </w:tcPr>
          <w:p w14:paraId="31F4C06E" w14:textId="018C6050" w:rsidR="00B918D2" w:rsidRPr="00351A46" w:rsidRDefault="00B918D2">
            <w:pPr>
              <w:rPr>
                <w:b/>
                <w:i/>
                <w:lang w:val="en-AU"/>
              </w:rPr>
            </w:pPr>
            <w:r w:rsidRPr="00351A46">
              <w:rPr>
                <w:b/>
                <w:i/>
                <w:lang w:val="en-AU"/>
              </w:rPr>
              <w:t>What?</w:t>
            </w:r>
            <w:r w:rsidR="001D26E1" w:rsidRPr="00351A46">
              <w:rPr>
                <w:b/>
                <w:i/>
                <w:lang w:val="en-AU"/>
              </w:rPr>
              <w:t xml:space="preserve"> </w:t>
            </w:r>
            <w:r w:rsidRPr="00351A46">
              <w:rPr>
                <w:i/>
                <w:lang w:val="en-AU"/>
              </w:rPr>
              <w:t xml:space="preserve">Description of the </w:t>
            </w:r>
            <w:r w:rsidR="00E5110F" w:rsidRPr="00351A46">
              <w:rPr>
                <w:i/>
                <w:lang w:val="en-AU"/>
              </w:rPr>
              <w:t>key initiative</w:t>
            </w:r>
          </w:p>
        </w:tc>
        <w:tc>
          <w:tcPr>
            <w:tcW w:w="6623" w:type="dxa"/>
          </w:tcPr>
          <w:p w14:paraId="78E39C15" w14:textId="3C5ADA35" w:rsidR="00B918D2" w:rsidRPr="00351A46" w:rsidRDefault="00B918D2">
            <w:pPr>
              <w:rPr>
                <w:lang w:val="en-AU"/>
              </w:rPr>
            </w:pPr>
            <w:r w:rsidRPr="00351A46">
              <w:rPr>
                <w:lang w:val="en-AU"/>
              </w:rPr>
              <w:t xml:space="preserve">Briefly describe the </w:t>
            </w:r>
            <w:r w:rsidR="00E5110F" w:rsidRPr="00351A46">
              <w:rPr>
                <w:lang w:val="en-AU"/>
              </w:rPr>
              <w:t>key initiative</w:t>
            </w:r>
            <w:r w:rsidRPr="00351A46">
              <w:rPr>
                <w:lang w:val="en-AU"/>
              </w:rPr>
              <w:t xml:space="preserve"> and some examples of activities/types of activities.</w:t>
            </w:r>
          </w:p>
        </w:tc>
      </w:tr>
      <w:tr w:rsidR="00B918D2" w:rsidRPr="00351A46" w14:paraId="2D7B7789" w14:textId="77777777" w:rsidTr="007B5EC1">
        <w:trPr>
          <w:trHeight w:val="980"/>
          <w:jc w:val="center"/>
        </w:trPr>
        <w:tc>
          <w:tcPr>
            <w:tcW w:w="2775" w:type="dxa"/>
          </w:tcPr>
          <w:p w14:paraId="2EC2C631" w14:textId="77777777" w:rsidR="00B918D2" w:rsidRPr="00351A46" w:rsidRDefault="00B918D2">
            <w:pPr>
              <w:rPr>
                <w:i/>
                <w:lang w:val="en-AU"/>
              </w:rPr>
            </w:pPr>
            <w:r w:rsidRPr="00351A46">
              <w:rPr>
                <w:b/>
                <w:i/>
                <w:lang w:val="en-AU"/>
              </w:rPr>
              <w:t xml:space="preserve">Why? </w:t>
            </w:r>
            <w:r w:rsidRPr="00351A46">
              <w:rPr>
                <w:i/>
                <w:lang w:val="en-AU"/>
              </w:rPr>
              <w:t>Contribution to knowledge sector improvement</w:t>
            </w:r>
          </w:p>
        </w:tc>
        <w:tc>
          <w:tcPr>
            <w:tcW w:w="6623" w:type="dxa"/>
          </w:tcPr>
          <w:p w14:paraId="2DFC46D4" w14:textId="0471F30E" w:rsidR="00B918D2" w:rsidRPr="00351A46" w:rsidRDefault="00B918D2">
            <w:pPr>
              <w:rPr>
                <w:lang w:val="en-AU"/>
              </w:rPr>
            </w:pPr>
            <w:r w:rsidRPr="00351A46">
              <w:rPr>
                <w:lang w:val="en-AU"/>
              </w:rPr>
              <w:t xml:space="preserve">Outline how the </w:t>
            </w:r>
            <w:r w:rsidR="00E5110F" w:rsidRPr="00351A46">
              <w:rPr>
                <w:lang w:val="en-AU"/>
              </w:rPr>
              <w:t>key initiative</w:t>
            </w:r>
            <w:r w:rsidRPr="00351A46">
              <w:rPr>
                <w:lang w:val="en-AU"/>
              </w:rPr>
              <w:t xml:space="preserve"> improves the knowledge sector including:</w:t>
            </w:r>
          </w:p>
          <w:p w14:paraId="42360570" w14:textId="0F3B8F5F" w:rsidR="00B918D2" w:rsidRPr="00351A46" w:rsidRDefault="00B918D2">
            <w:pPr>
              <w:rPr>
                <w:lang w:val="en-AU"/>
              </w:rPr>
            </w:pPr>
            <w:r w:rsidRPr="00351A46">
              <w:rPr>
                <w:lang w:val="en-AU"/>
              </w:rPr>
              <w:t xml:space="preserve">How it contributes to the achievement of the EOPOs and </w:t>
            </w:r>
            <w:r w:rsidR="00BB5B65" w:rsidRPr="00351A46">
              <w:rPr>
                <w:lang w:val="en-AU"/>
              </w:rPr>
              <w:t>f</w:t>
            </w:r>
            <w:r w:rsidRPr="00351A46">
              <w:rPr>
                <w:lang w:val="en-AU"/>
              </w:rPr>
              <w:t>ocus</w:t>
            </w:r>
            <w:r w:rsidRPr="00351A46">
              <w:rPr>
                <w:spacing w:val="-1"/>
                <w:lang w:val="en-AU"/>
              </w:rPr>
              <w:t xml:space="preserve"> </w:t>
            </w:r>
            <w:r w:rsidR="00BB5B65" w:rsidRPr="00351A46">
              <w:rPr>
                <w:lang w:val="en-AU"/>
              </w:rPr>
              <w:t>a</w:t>
            </w:r>
            <w:r w:rsidRPr="00351A46">
              <w:rPr>
                <w:lang w:val="en-AU"/>
              </w:rPr>
              <w:t>reas?</w:t>
            </w:r>
          </w:p>
        </w:tc>
      </w:tr>
      <w:tr w:rsidR="00B918D2" w:rsidRPr="00351A46" w14:paraId="5FB2ED1A" w14:textId="77777777" w:rsidTr="007B5EC1">
        <w:trPr>
          <w:trHeight w:val="600"/>
          <w:jc w:val="center"/>
        </w:trPr>
        <w:tc>
          <w:tcPr>
            <w:tcW w:w="2775" w:type="dxa"/>
          </w:tcPr>
          <w:p w14:paraId="74A59CD5" w14:textId="77777777" w:rsidR="00B918D2" w:rsidRPr="00351A46" w:rsidRDefault="00B918D2">
            <w:pPr>
              <w:rPr>
                <w:b/>
                <w:i/>
                <w:lang w:val="en-AU"/>
              </w:rPr>
            </w:pPr>
            <w:r w:rsidRPr="00351A46">
              <w:rPr>
                <w:b/>
                <w:i/>
                <w:lang w:val="en-AU"/>
              </w:rPr>
              <w:t>KSI’s role?</w:t>
            </w:r>
          </w:p>
        </w:tc>
        <w:tc>
          <w:tcPr>
            <w:tcW w:w="6623" w:type="dxa"/>
          </w:tcPr>
          <w:p w14:paraId="107E7DF5" w14:textId="7AF7F1E5" w:rsidR="00B918D2" w:rsidRPr="00351A46" w:rsidRDefault="00B918D2">
            <w:pPr>
              <w:rPr>
                <w:lang w:val="en-AU"/>
              </w:rPr>
            </w:pPr>
            <w:r w:rsidRPr="00351A46">
              <w:rPr>
                <w:lang w:val="en-AU"/>
              </w:rPr>
              <w:t xml:space="preserve">How can KSI play a catalytic role supporting this </w:t>
            </w:r>
            <w:r w:rsidR="00E5110F" w:rsidRPr="00351A46">
              <w:rPr>
                <w:lang w:val="en-AU"/>
              </w:rPr>
              <w:t>key initiative</w:t>
            </w:r>
            <w:r w:rsidRPr="00351A46">
              <w:rPr>
                <w:lang w:val="en-AU"/>
              </w:rPr>
              <w:t>?</w:t>
            </w:r>
          </w:p>
        </w:tc>
      </w:tr>
      <w:tr w:rsidR="00B918D2" w:rsidRPr="00351A46" w14:paraId="0134DE0F" w14:textId="77777777" w:rsidTr="007B5EC1">
        <w:trPr>
          <w:trHeight w:val="292"/>
          <w:jc w:val="center"/>
        </w:trPr>
        <w:tc>
          <w:tcPr>
            <w:tcW w:w="9398" w:type="dxa"/>
            <w:gridSpan w:val="2"/>
          </w:tcPr>
          <w:p w14:paraId="6E3EFB20" w14:textId="77777777" w:rsidR="00B918D2" w:rsidRPr="00351A46" w:rsidRDefault="00B918D2">
            <w:pPr>
              <w:rPr>
                <w:b/>
                <w:i/>
                <w:lang w:val="en-AU"/>
              </w:rPr>
            </w:pPr>
            <w:r w:rsidRPr="00351A46">
              <w:rPr>
                <w:b/>
                <w:i/>
                <w:lang w:val="en-AU"/>
              </w:rPr>
              <w:t>Can it be done?</w:t>
            </w:r>
          </w:p>
        </w:tc>
      </w:tr>
      <w:tr w:rsidR="00B918D2" w:rsidRPr="00351A46" w14:paraId="25C17080" w14:textId="77777777" w:rsidTr="007B5EC1">
        <w:trPr>
          <w:trHeight w:val="1492"/>
          <w:jc w:val="center"/>
        </w:trPr>
        <w:tc>
          <w:tcPr>
            <w:tcW w:w="2775" w:type="dxa"/>
          </w:tcPr>
          <w:p w14:paraId="64379A6C" w14:textId="77777777" w:rsidR="00B918D2" w:rsidRPr="00351A46" w:rsidRDefault="00B918D2">
            <w:pPr>
              <w:rPr>
                <w:i/>
                <w:lang w:val="en-AU"/>
              </w:rPr>
            </w:pPr>
            <w:r w:rsidRPr="00351A46">
              <w:rPr>
                <w:i/>
                <w:lang w:val="en-AU"/>
              </w:rPr>
              <w:t>Stakeholder and political feasibility</w:t>
            </w:r>
          </w:p>
        </w:tc>
        <w:tc>
          <w:tcPr>
            <w:tcW w:w="6623" w:type="dxa"/>
          </w:tcPr>
          <w:p w14:paraId="442C0B2F" w14:textId="1507DBD9" w:rsidR="00B918D2" w:rsidRPr="00351A46" w:rsidRDefault="00B918D2">
            <w:pPr>
              <w:rPr>
                <w:lang w:val="en-AU"/>
              </w:rPr>
            </w:pPr>
            <w:r w:rsidRPr="00351A46">
              <w:rPr>
                <w:lang w:val="en-AU"/>
              </w:rPr>
              <w:t xml:space="preserve">Who are the people that are key to the success of this </w:t>
            </w:r>
            <w:r w:rsidR="00E5110F" w:rsidRPr="00351A46">
              <w:rPr>
                <w:lang w:val="en-AU"/>
              </w:rPr>
              <w:t>key initiative</w:t>
            </w:r>
            <w:r w:rsidRPr="00351A46">
              <w:rPr>
                <w:lang w:val="en-AU"/>
              </w:rPr>
              <w:t>? Why are they key to success? (E.g. decision-making authority, influential</w:t>
            </w:r>
            <w:r w:rsidRPr="00351A46">
              <w:rPr>
                <w:spacing w:val="-4"/>
                <w:lang w:val="en-AU"/>
              </w:rPr>
              <w:t xml:space="preserve"> </w:t>
            </w:r>
            <w:r w:rsidRPr="00351A46">
              <w:rPr>
                <w:lang w:val="en-AU"/>
              </w:rPr>
              <w:t>voice)</w:t>
            </w:r>
          </w:p>
          <w:p w14:paraId="68B5E93B" w14:textId="6989DED5" w:rsidR="00B918D2" w:rsidRPr="00351A46" w:rsidRDefault="00B918D2">
            <w:pPr>
              <w:rPr>
                <w:lang w:val="en-AU"/>
              </w:rPr>
            </w:pPr>
            <w:r w:rsidRPr="00351A46">
              <w:rPr>
                <w:lang w:val="en-AU"/>
              </w:rPr>
              <w:t xml:space="preserve">Are they supporters? If not, is the </w:t>
            </w:r>
            <w:r w:rsidR="00E5110F" w:rsidRPr="00351A46">
              <w:rPr>
                <w:lang w:val="en-AU"/>
              </w:rPr>
              <w:t>key initiative</w:t>
            </w:r>
            <w:r w:rsidRPr="00351A46">
              <w:rPr>
                <w:lang w:val="en-AU"/>
              </w:rPr>
              <w:t xml:space="preserve"> likely to fail without their</w:t>
            </w:r>
            <w:r w:rsidRPr="00351A46">
              <w:rPr>
                <w:spacing w:val="-1"/>
                <w:lang w:val="en-AU"/>
              </w:rPr>
              <w:t xml:space="preserve"> </w:t>
            </w:r>
            <w:r w:rsidRPr="00351A46">
              <w:rPr>
                <w:lang w:val="en-AU"/>
              </w:rPr>
              <w:t>support?</w:t>
            </w:r>
          </w:p>
        </w:tc>
      </w:tr>
      <w:tr w:rsidR="00B918D2" w:rsidRPr="00351A46" w14:paraId="528A0B24" w14:textId="77777777" w:rsidTr="007B5EC1">
        <w:trPr>
          <w:trHeight w:val="2100"/>
          <w:jc w:val="center"/>
        </w:trPr>
        <w:tc>
          <w:tcPr>
            <w:tcW w:w="2775" w:type="dxa"/>
          </w:tcPr>
          <w:p w14:paraId="09059FD7" w14:textId="77777777" w:rsidR="00B918D2" w:rsidRPr="00351A46" w:rsidRDefault="00B918D2">
            <w:pPr>
              <w:rPr>
                <w:i/>
                <w:lang w:val="en-AU"/>
              </w:rPr>
            </w:pPr>
            <w:r w:rsidRPr="00351A46">
              <w:rPr>
                <w:i/>
                <w:lang w:val="en-AU"/>
              </w:rPr>
              <w:t>Regulatory feasibility</w:t>
            </w:r>
          </w:p>
        </w:tc>
        <w:tc>
          <w:tcPr>
            <w:tcW w:w="6623" w:type="dxa"/>
          </w:tcPr>
          <w:p w14:paraId="37D1BD91" w14:textId="69368AC3" w:rsidR="00B918D2" w:rsidRPr="00351A46" w:rsidRDefault="00B918D2">
            <w:pPr>
              <w:rPr>
                <w:lang w:val="en-AU"/>
              </w:rPr>
            </w:pPr>
            <w:r w:rsidRPr="00351A46">
              <w:rPr>
                <w:lang w:val="en-AU"/>
              </w:rPr>
              <w:t xml:space="preserve">What regulations and policies are relevant to this </w:t>
            </w:r>
            <w:r w:rsidR="00E5110F" w:rsidRPr="00351A46">
              <w:rPr>
                <w:lang w:val="en-AU"/>
              </w:rPr>
              <w:t>key initiative</w:t>
            </w:r>
            <w:r w:rsidRPr="00351A46">
              <w:rPr>
                <w:lang w:val="en-AU"/>
              </w:rPr>
              <w:t>? Are they in place? Or do they need to be in</w:t>
            </w:r>
            <w:r w:rsidRPr="00351A46">
              <w:rPr>
                <w:spacing w:val="-20"/>
                <w:lang w:val="en-AU"/>
              </w:rPr>
              <w:t xml:space="preserve"> </w:t>
            </w:r>
            <w:r w:rsidRPr="00351A46">
              <w:rPr>
                <w:lang w:val="en-AU"/>
              </w:rPr>
              <w:t>place?</w:t>
            </w:r>
          </w:p>
          <w:p w14:paraId="046241F1" w14:textId="77777777" w:rsidR="00B918D2" w:rsidRPr="00351A46" w:rsidRDefault="00B918D2">
            <w:pPr>
              <w:rPr>
                <w:lang w:val="en-AU"/>
              </w:rPr>
            </w:pPr>
            <w:r w:rsidRPr="00351A46">
              <w:rPr>
                <w:lang w:val="en-AU"/>
              </w:rPr>
              <w:t>Are the regulations knowledge-sector specific, or across a broad number of sectors?</w:t>
            </w:r>
          </w:p>
          <w:p w14:paraId="48885AFF" w14:textId="6C763E91" w:rsidR="00B918D2" w:rsidRPr="00351A46" w:rsidRDefault="00B918D2">
            <w:pPr>
              <w:rPr>
                <w:lang w:val="en-AU"/>
              </w:rPr>
            </w:pPr>
            <w:r w:rsidRPr="00351A46">
              <w:rPr>
                <w:lang w:val="en-AU"/>
              </w:rPr>
              <w:t xml:space="preserve">Do the regulations/policies hinder or support the </w:t>
            </w:r>
            <w:r w:rsidR="00E5110F" w:rsidRPr="00351A46">
              <w:rPr>
                <w:lang w:val="en-AU"/>
              </w:rPr>
              <w:t>key initiative</w:t>
            </w:r>
            <w:r w:rsidRPr="00351A46">
              <w:rPr>
                <w:lang w:val="en-AU"/>
              </w:rPr>
              <w:t>?</w:t>
            </w:r>
          </w:p>
          <w:p w14:paraId="3217B511" w14:textId="77777777" w:rsidR="00B918D2" w:rsidRPr="00351A46" w:rsidRDefault="00B918D2">
            <w:pPr>
              <w:rPr>
                <w:lang w:val="en-AU"/>
              </w:rPr>
            </w:pPr>
            <w:r w:rsidRPr="00351A46">
              <w:rPr>
                <w:lang w:val="en-AU"/>
              </w:rPr>
              <w:t>If hinder, are there ways to overcome this</w:t>
            </w:r>
            <w:r w:rsidRPr="00351A46">
              <w:rPr>
                <w:spacing w:val="-9"/>
                <w:lang w:val="en-AU"/>
              </w:rPr>
              <w:t xml:space="preserve"> </w:t>
            </w:r>
            <w:r w:rsidRPr="00351A46">
              <w:rPr>
                <w:lang w:val="en-AU"/>
              </w:rPr>
              <w:t>obstacle?</w:t>
            </w:r>
          </w:p>
        </w:tc>
      </w:tr>
      <w:tr w:rsidR="00B918D2" w:rsidRPr="00351A46" w14:paraId="1007CA97" w14:textId="77777777" w:rsidTr="007B5EC1">
        <w:trPr>
          <w:trHeight w:val="1785"/>
          <w:jc w:val="center"/>
        </w:trPr>
        <w:tc>
          <w:tcPr>
            <w:tcW w:w="2775" w:type="dxa"/>
          </w:tcPr>
          <w:p w14:paraId="14DA463D" w14:textId="77777777" w:rsidR="00B918D2" w:rsidRPr="00351A46" w:rsidRDefault="00B918D2">
            <w:pPr>
              <w:rPr>
                <w:i/>
                <w:lang w:val="en-AU"/>
              </w:rPr>
            </w:pPr>
            <w:r w:rsidRPr="00351A46">
              <w:rPr>
                <w:i/>
                <w:lang w:val="en-AU"/>
              </w:rPr>
              <w:t>Systemic feasibility</w:t>
            </w:r>
          </w:p>
        </w:tc>
        <w:tc>
          <w:tcPr>
            <w:tcW w:w="6623" w:type="dxa"/>
          </w:tcPr>
          <w:p w14:paraId="14C543B1" w14:textId="43968EE8" w:rsidR="00B918D2" w:rsidRPr="00351A46" w:rsidRDefault="00B918D2">
            <w:pPr>
              <w:rPr>
                <w:lang w:val="en-AU"/>
              </w:rPr>
            </w:pPr>
            <w:r w:rsidRPr="00351A46">
              <w:rPr>
                <w:lang w:val="en-AU"/>
              </w:rPr>
              <w:t xml:space="preserve">Are there other systemic issues that might affect the feasibility of the </w:t>
            </w:r>
            <w:r w:rsidR="00E5110F" w:rsidRPr="00351A46">
              <w:rPr>
                <w:lang w:val="en-AU"/>
              </w:rPr>
              <w:t>key initiative</w:t>
            </w:r>
            <w:r w:rsidRPr="00351A46">
              <w:rPr>
                <w:lang w:val="en-AU"/>
              </w:rPr>
              <w:t>? E.g. institutional culture, norms,</w:t>
            </w:r>
            <w:r w:rsidRPr="00351A46">
              <w:rPr>
                <w:spacing w:val="-3"/>
                <w:lang w:val="en-AU"/>
              </w:rPr>
              <w:t xml:space="preserve"> </w:t>
            </w:r>
            <w:r w:rsidRPr="00351A46">
              <w:rPr>
                <w:lang w:val="en-AU"/>
              </w:rPr>
              <w:t>practice</w:t>
            </w:r>
            <w:r w:rsidR="00322D67">
              <w:rPr>
                <w:lang w:val="en-AU"/>
              </w:rPr>
              <w:t>s</w:t>
            </w:r>
            <w:r w:rsidRPr="00351A46">
              <w:rPr>
                <w:lang w:val="en-AU"/>
              </w:rPr>
              <w:t>.</w:t>
            </w:r>
          </w:p>
          <w:p w14:paraId="6EC2933F" w14:textId="77777777" w:rsidR="00B918D2" w:rsidRPr="00351A46" w:rsidRDefault="00B918D2">
            <w:pPr>
              <w:rPr>
                <w:lang w:val="en-AU"/>
              </w:rPr>
            </w:pPr>
            <w:r w:rsidRPr="00351A46">
              <w:rPr>
                <w:lang w:val="en-AU"/>
              </w:rPr>
              <w:t>What motivations/incentives do the key stakeholders</w:t>
            </w:r>
            <w:r w:rsidRPr="00351A46">
              <w:rPr>
                <w:spacing w:val="-15"/>
                <w:lang w:val="en-AU"/>
              </w:rPr>
              <w:t xml:space="preserve"> </w:t>
            </w:r>
            <w:r w:rsidRPr="00351A46">
              <w:rPr>
                <w:lang w:val="en-AU"/>
              </w:rPr>
              <w:t>have?</w:t>
            </w:r>
          </w:p>
          <w:p w14:paraId="3997CFB3" w14:textId="53A8F935" w:rsidR="00B918D2" w:rsidRPr="00351A46" w:rsidRDefault="00B918D2">
            <w:pPr>
              <w:rPr>
                <w:lang w:val="en-AU"/>
              </w:rPr>
            </w:pPr>
            <w:r w:rsidRPr="00351A46">
              <w:rPr>
                <w:lang w:val="en-AU"/>
              </w:rPr>
              <w:t xml:space="preserve">How do those motivations/incentives support/hinder the success of this </w:t>
            </w:r>
            <w:r w:rsidR="00E5110F" w:rsidRPr="00351A46">
              <w:rPr>
                <w:lang w:val="en-AU"/>
              </w:rPr>
              <w:t>key initiative</w:t>
            </w:r>
            <w:r w:rsidRPr="00351A46">
              <w:rPr>
                <w:lang w:val="en-AU"/>
              </w:rPr>
              <w:t>?</w:t>
            </w:r>
          </w:p>
        </w:tc>
      </w:tr>
      <w:tr w:rsidR="00B918D2" w:rsidRPr="00351A46" w14:paraId="42257825" w14:textId="77777777" w:rsidTr="007B5EC1">
        <w:trPr>
          <w:trHeight w:val="904"/>
          <w:jc w:val="center"/>
        </w:trPr>
        <w:tc>
          <w:tcPr>
            <w:tcW w:w="2775" w:type="dxa"/>
          </w:tcPr>
          <w:p w14:paraId="15F3BE0D" w14:textId="77777777" w:rsidR="00B918D2" w:rsidRPr="00351A46" w:rsidRDefault="00B918D2">
            <w:pPr>
              <w:rPr>
                <w:i/>
                <w:lang w:val="en-AU"/>
              </w:rPr>
            </w:pPr>
            <w:r w:rsidRPr="00351A46">
              <w:rPr>
                <w:i/>
                <w:lang w:val="en-AU"/>
              </w:rPr>
              <w:t>Experience in KSI Phase 1</w:t>
            </w:r>
          </w:p>
        </w:tc>
        <w:tc>
          <w:tcPr>
            <w:tcW w:w="6623" w:type="dxa"/>
          </w:tcPr>
          <w:p w14:paraId="42CEBF3B" w14:textId="77777777" w:rsidR="00B918D2" w:rsidRPr="00351A46" w:rsidRDefault="00B918D2">
            <w:pPr>
              <w:rPr>
                <w:lang w:val="en-AU"/>
              </w:rPr>
            </w:pPr>
            <w:r w:rsidRPr="00351A46">
              <w:rPr>
                <w:lang w:val="en-AU"/>
              </w:rPr>
              <w:t>Does KSI already have experience working in this</w:t>
            </w:r>
            <w:r w:rsidRPr="00351A46">
              <w:rPr>
                <w:spacing w:val="-10"/>
                <w:lang w:val="en-AU"/>
              </w:rPr>
              <w:t xml:space="preserve"> </w:t>
            </w:r>
            <w:r w:rsidRPr="00351A46">
              <w:rPr>
                <w:lang w:val="en-AU"/>
              </w:rPr>
              <w:t>area?</w:t>
            </w:r>
          </w:p>
          <w:p w14:paraId="108B115B" w14:textId="77777777" w:rsidR="00B918D2" w:rsidRPr="00351A46" w:rsidRDefault="00B918D2">
            <w:pPr>
              <w:rPr>
                <w:lang w:val="en-AU"/>
              </w:rPr>
            </w:pPr>
            <w:r w:rsidRPr="00351A46">
              <w:rPr>
                <w:lang w:val="en-AU"/>
              </w:rPr>
              <w:t>If yes, please explain experience and some lessons learned from Phase</w:t>
            </w:r>
            <w:r w:rsidRPr="00351A46">
              <w:rPr>
                <w:spacing w:val="-4"/>
                <w:lang w:val="en-AU"/>
              </w:rPr>
              <w:t xml:space="preserve"> </w:t>
            </w:r>
            <w:r w:rsidRPr="00351A46">
              <w:rPr>
                <w:lang w:val="en-AU"/>
              </w:rPr>
              <w:t>1.</w:t>
            </w:r>
          </w:p>
        </w:tc>
      </w:tr>
      <w:tr w:rsidR="00B918D2" w:rsidRPr="00351A46" w14:paraId="5700F075" w14:textId="77777777" w:rsidTr="007B5EC1">
        <w:trPr>
          <w:trHeight w:val="585"/>
          <w:jc w:val="center"/>
        </w:trPr>
        <w:tc>
          <w:tcPr>
            <w:tcW w:w="2775" w:type="dxa"/>
          </w:tcPr>
          <w:p w14:paraId="4DCD190F" w14:textId="4F4F6B2E" w:rsidR="00B918D2" w:rsidRPr="00351A46" w:rsidRDefault="00B918D2">
            <w:pPr>
              <w:rPr>
                <w:b/>
                <w:i/>
                <w:lang w:val="en-AU"/>
              </w:rPr>
            </w:pPr>
            <w:r w:rsidRPr="00351A46">
              <w:rPr>
                <w:b/>
                <w:i/>
                <w:lang w:val="en-AU"/>
              </w:rPr>
              <w:t>How?</w:t>
            </w:r>
            <w:r w:rsidR="007B5EC1" w:rsidRPr="00351A46">
              <w:rPr>
                <w:b/>
                <w:i/>
                <w:lang w:val="en-AU"/>
              </w:rPr>
              <w:t xml:space="preserve"> </w:t>
            </w:r>
            <w:r w:rsidRPr="00351A46">
              <w:rPr>
                <w:i/>
                <w:lang w:val="en-AU"/>
              </w:rPr>
              <w:t>Entry points</w:t>
            </w:r>
          </w:p>
        </w:tc>
        <w:tc>
          <w:tcPr>
            <w:tcW w:w="6623" w:type="dxa"/>
          </w:tcPr>
          <w:p w14:paraId="1E61E661" w14:textId="77777777" w:rsidR="007B5EC1" w:rsidRPr="00351A46" w:rsidRDefault="007B5EC1">
            <w:pPr>
              <w:rPr>
                <w:lang w:val="en-AU"/>
              </w:rPr>
            </w:pPr>
            <w:r w:rsidRPr="00351A46">
              <w:rPr>
                <w:lang w:val="en-AU"/>
              </w:rPr>
              <w:t>Given the opportunities and constraints identified, what</w:t>
            </w:r>
            <w:r w:rsidRPr="00351A46">
              <w:rPr>
                <w:spacing w:val="-24"/>
                <w:lang w:val="en-AU"/>
              </w:rPr>
              <w:t xml:space="preserve"> </w:t>
            </w:r>
            <w:r w:rsidRPr="00351A46">
              <w:rPr>
                <w:lang w:val="en-AU"/>
              </w:rPr>
              <w:t>are the entry points for this work</w:t>
            </w:r>
            <w:r w:rsidRPr="00351A46">
              <w:rPr>
                <w:spacing w:val="-14"/>
                <w:lang w:val="en-AU"/>
              </w:rPr>
              <w:t xml:space="preserve"> </w:t>
            </w:r>
            <w:r w:rsidRPr="00351A46">
              <w:rPr>
                <w:lang w:val="en-AU"/>
              </w:rPr>
              <w:t>stream?</w:t>
            </w:r>
          </w:p>
          <w:p w14:paraId="50473674" w14:textId="2CCFE996" w:rsidR="00B918D2" w:rsidRPr="00351A46" w:rsidRDefault="007B5EC1">
            <w:pPr>
              <w:rPr>
                <w:sz w:val="24"/>
                <w:lang w:val="en-AU"/>
              </w:rPr>
            </w:pPr>
            <w:r w:rsidRPr="00351A46">
              <w:rPr>
                <w:lang w:val="en-AU"/>
              </w:rPr>
              <w:t>Does the entry point address a binding</w:t>
            </w:r>
            <w:r w:rsidRPr="00351A46">
              <w:rPr>
                <w:spacing w:val="-11"/>
                <w:lang w:val="en-AU"/>
              </w:rPr>
              <w:t xml:space="preserve"> </w:t>
            </w:r>
            <w:r w:rsidRPr="00351A46">
              <w:rPr>
                <w:lang w:val="en-AU"/>
              </w:rPr>
              <w:t>constraint?</w:t>
            </w:r>
          </w:p>
        </w:tc>
      </w:tr>
    </w:tbl>
    <w:p w14:paraId="5A159D0E" w14:textId="77777777" w:rsidR="00B918D2" w:rsidRPr="00351A46" w:rsidRDefault="00B918D2">
      <w:pPr>
        <w:rPr>
          <w:rFonts w:ascii="Times New Roman"/>
          <w:sz w:val="24"/>
          <w:lang w:val="en-AU"/>
        </w:rPr>
        <w:sectPr w:rsidR="00B918D2" w:rsidRPr="00351A46" w:rsidSect="003F5EED">
          <w:pgSz w:w="11900" w:h="16850"/>
          <w:pgMar w:top="1440" w:right="1440" w:bottom="1440" w:left="1440" w:header="758" w:footer="0" w:gutter="0"/>
          <w:cols w:space="720"/>
          <w:docGrid w:linePitch="299"/>
        </w:sectPr>
      </w:pPr>
    </w:p>
    <w:p w14:paraId="0A371927" w14:textId="77777777" w:rsidR="00B918D2" w:rsidRPr="00351A46" w:rsidRDefault="00B918D2">
      <w:pPr>
        <w:pStyle w:val="BodyText"/>
        <w:spacing w:before="5"/>
        <w:rPr>
          <w:sz w:val="7"/>
          <w:lang w:val="en-AU"/>
        </w:rPr>
      </w:pPr>
    </w:p>
    <w:tbl>
      <w:tblPr>
        <w:tblW w:w="9398"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75"/>
        <w:gridCol w:w="6623"/>
      </w:tblGrid>
      <w:tr w:rsidR="00B918D2" w:rsidRPr="00351A46" w14:paraId="1AEC3ED5" w14:textId="77777777" w:rsidTr="007B5EC1">
        <w:trPr>
          <w:trHeight w:val="292"/>
        </w:trPr>
        <w:tc>
          <w:tcPr>
            <w:tcW w:w="9398" w:type="dxa"/>
            <w:gridSpan w:val="2"/>
            <w:tcBorders>
              <w:top w:val="single" w:sz="4" w:space="0" w:color="000000"/>
              <w:left w:val="single" w:sz="4" w:space="0" w:color="000000"/>
              <w:bottom w:val="single" w:sz="4" w:space="0" w:color="000000"/>
              <w:right w:val="single" w:sz="4" w:space="0" w:color="000000"/>
            </w:tcBorders>
          </w:tcPr>
          <w:p w14:paraId="556B92D1" w14:textId="77777777" w:rsidR="00B918D2" w:rsidRPr="00351A46" w:rsidRDefault="00B918D2">
            <w:pPr>
              <w:rPr>
                <w:b/>
                <w:i/>
                <w:lang w:val="en-AU"/>
              </w:rPr>
            </w:pPr>
            <w:r w:rsidRPr="00351A46">
              <w:rPr>
                <w:b/>
                <w:i/>
                <w:lang w:val="en-AU"/>
              </w:rPr>
              <w:t>Cross-cutting considerations</w:t>
            </w:r>
          </w:p>
        </w:tc>
      </w:tr>
      <w:tr w:rsidR="00B918D2" w:rsidRPr="00351A46" w14:paraId="41599B2E" w14:textId="77777777" w:rsidTr="007B5EC1">
        <w:trPr>
          <w:trHeight w:val="587"/>
        </w:trPr>
        <w:tc>
          <w:tcPr>
            <w:tcW w:w="2775" w:type="dxa"/>
            <w:tcBorders>
              <w:top w:val="single" w:sz="4" w:space="0" w:color="000000"/>
              <w:left w:val="single" w:sz="4" w:space="0" w:color="000000"/>
              <w:bottom w:val="single" w:sz="4" w:space="0" w:color="000000"/>
              <w:right w:val="single" w:sz="4" w:space="0" w:color="000000"/>
            </w:tcBorders>
          </w:tcPr>
          <w:p w14:paraId="6D808488" w14:textId="55C30B20" w:rsidR="00B918D2" w:rsidRPr="00351A46" w:rsidRDefault="00B918D2">
            <w:pPr>
              <w:rPr>
                <w:i/>
                <w:lang w:val="en-AU"/>
              </w:rPr>
            </w:pPr>
            <w:r w:rsidRPr="00351A46">
              <w:rPr>
                <w:i/>
                <w:lang w:val="en-AU"/>
              </w:rPr>
              <w:t>Gender and social</w:t>
            </w:r>
            <w:r w:rsidR="007B5EC1" w:rsidRPr="00351A46">
              <w:rPr>
                <w:i/>
                <w:lang w:val="en-AU"/>
              </w:rPr>
              <w:t xml:space="preserve"> </w:t>
            </w:r>
            <w:r w:rsidRPr="00351A46">
              <w:rPr>
                <w:i/>
                <w:lang w:val="en-AU"/>
              </w:rPr>
              <w:t>inclusion</w:t>
            </w:r>
          </w:p>
        </w:tc>
        <w:tc>
          <w:tcPr>
            <w:tcW w:w="6623" w:type="dxa"/>
            <w:tcBorders>
              <w:top w:val="single" w:sz="4" w:space="0" w:color="000000"/>
              <w:left w:val="single" w:sz="4" w:space="0" w:color="000000"/>
              <w:bottom w:val="single" w:sz="4" w:space="0" w:color="000000"/>
              <w:right w:val="single" w:sz="4" w:space="0" w:color="000000"/>
            </w:tcBorders>
          </w:tcPr>
          <w:p w14:paraId="7669511C" w14:textId="77777777" w:rsidR="00B918D2" w:rsidRPr="00351A46" w:rsidRDefault="00B918D2">
            <w:pPr>
              <w:rPr>
                <w:lang w:val="en-AU"/>
              </w:rPr>
            </w:pPr>
            <w:r w:rsidRPr="00351A46">
              <w:rPr>
                <w:lang w:val="en-AU"/>
              </w:rPr>
              <w:t>How will gender equality and social inclusion be</w:t>
            </w:r>
            <w:r w:rsidRPr="00351A46">
              <w:rPr>
                <w:spacing w:val="-11"/>
                <w:lang w:val="en-AU"/>
              </w:rPr>
              <w:t xml:space="preserve"> </w:t>
            </w:r>
            <w:r w:rsidRPr="00351A46">
              <w:rPr>
                <w:lang w:val="en-AU"/>
              </w:rPr>
              <w:t>addressed?</w:t>
            </w:r>
          </w:p>
        </w:tc>
      </w:tr>
      <w:tr w:rsidR="00B918D2" w:rsidRPr="00351A46" w14:paraId="35BC3FB0" w14:textId="77777777" w:rsidTr="007B5EC1">
        <w:trPr>
          <w:trHeight w:val="197"/>
        </w:trPr>
        <w:tc>
          <w:tcPr>
            <w:tcW w:w="2775" w:type="dxa"/>
            <w:tcBorders>
              <w:top w:val="single" w:sz="4" w:space="0" w:color="000000"/>
              <w:left w:val="single" w:sz="4" w:space="0" w:color="000000"/>
              <w:bottom w:val="single" w:sz="4" w:space="0" w:color="000000"/>
              <w:right w:val="single" w:sz="4" w:space="0" w:color="000000"/>
            </w:tcBorders>
          </w:tcPr>
          <w:p w14:paraId="25A2FEDE" w14:textId="77777777" w:rsidR="00B918D2" w:rsidRPr="00351A46" w:rsidRDefault="00B918D2">
            <w:pPr>
              <w:rPr>
                <w:i/>
                <w:lang w:val="en-AU"/>
              </w:rPr>
            </w:pPr>
            <w:r w:rsidRPr="00351A46">
              <w:rPr>
                <w:i/>
                <w:lang w:val="en-AU"/>
              </w:rPr>
              <w:t>Sub-national issues</w:t>
            </w:r>
          </w:p>
        </w:tc>
        <w:tc>
          <w:tcPr>
            <w:tcW w:w="6623" w:type="dxa"/>
            <w:tcBorders>
              <w:top w:val="single" w:sz="4" w:space="0" w:color="000000"/>
              <w:left w:val="single" w:sz="4" w:space="0" w:color="000000"/>
              <w:bottom w:val="single" w:sz="4" w:space="0" w:color="000000"/>
              <w:right w:val="single" w:sz="4" w:space="0" w:color="000000"/>
            </w:tcBorders>
          </w:tcPr>
          <w:p w14:paraId="7918453D" w14:textId="77777777" w:rsidR="00B918D2" w:rsidRPr="00351A46" w:rsidRDefault="00B918D2">
            <w:pPr>
              <w:rPr>
                <w:lang w:val="en-AU"/>
              </w:rPr>
            </w:pPr>
            <w:r w:rsidRPr="00351A46">
              <w:rPr>
                <w:lang w:val="en-AU"/>
              </w:rPr>
              <w:t>Are there opportunities to work with sub-national partners or integrate sub-national</w:t>
            </w:r>
            <w:r w:rsidRPr="00351A46">
              <w:rPr>
                <w:spacing w:val="-5"/>
                <w:lang w:val="en-AU"/>
              </w:rPr>
              <w:t xml:space="preserve"> </w:t>
            </w:r>
            <w:r w:rsidRPr="00351A46">
              <w:rPr>
                <w:lang w:val="en-AU"/>
              </w:rPr>
              <w:t>perspectives?</w:t>
            </w:r>
          </w:p>
          <w:p w14:paraId="33253703" w14:textId="77777777" w:rsidR="00B918D2" w:rsidRPr="00351A46" w:rsidRDefault="00B918D2">
            <w:pPr>
              <w:rPr>
                <w:lang w:val="en-AU"/>
              </w:rPr>
            </w:pPr>
            <w:r w:rsidRPr="00351A46">
              <w:rPr>
                <w:lang w:val="en-AU"/>
              </w:rPr>
              <w:t>If so, how? Which sub-national</w:t>
            </w:r>
            <w:r w:rsidRPr="00351A46">
              <w:rPr>
                <w:spacing w:val="-7"/>
                <w:lang w:val="en-AU"/>
              </w:rPr>
              <w:t xml:space="preserve"> </w:t>
            </w:r>
            <w:r w:rsidRPr="00351A46">
              <w:rPr>
                <w:lang w:val="en-AU"/>
              </w:rPr>
              <w:t>partners?</w:t>
            </w:r>
          </w:p>
        </w:tc>
      </w:tr>
      <w:tr w:rsidR="00B918D2" w:rsidRPr="00351A46" w14:paraId="016C1CF3" w14:textId="77777777" w:rsidTr="007B5EC1">
        <w:trPr>
          <w:trHeight w:val="597"/>
        </w:trPr>
        <w:tc>
          <w:tcPr>
            <w:tcW w:w="2775" w:type="dxa"/>
            <w:tcBorders>
              <w:top w:val="single" w:sz="4" w:space="0" w:color="000000"/>
              <w:left w:val="single" w:sz="4" w:space="0" w:color="000000"/>
              <w:bottom w:val="single" w:sz="4" w:space="0" w:color="000000"/>
              <w:right w:val="single" w:sz="4" w:space="0" w:color="000000"/>
            </w:tcBorders>
          </w:tcPr>
          <w:p w14:paraId="11E4155D" w14:textId="77777777" w:rsidR="00B918D2" w:rsidRPr="00351A46" w:rsidRDefault="00B918D2">
            <w:pPr>
              <w:rPr>
                <w:i/>
                <w:lang w:val="en-AU"/>
              </w:rPr>
            </w:pPr>
            <w:r w:rsidRPr="00351A46">
              <w:rPr>
                <w:i/>
                <w:lang w:val="en-AU"/>
              </w:rPr>
              <w:t>Media engagement</w:t>
            </w:r>
          </w:p>
        </w:tc>
        <w:tc>
          <w:tcPr>
            <w:tcW w:w="6623" w:type="dxa"/>
            <w:tcBorders>
              <w:top w:val="single" w:sz="4" w:space="0" w:color="000000"/>
              <w:left w:val="single" w:sz="4" w:space="0" w:color="000000"/>
              <w:bottom w:val="single" w:sz="4" w:space="0" w:color="000000"/>
              <w:right w:val="single" w:sz="4" w:space="0" w:color="000000"/>
            </w:tcBorders>
          </w:tcPr>
          <w:p w14:paraId="76143CC4" w14:textId="146D4D82" w:rsidR="00B918D2" w:rsidRPr="00351A46" w:rsidRDefault="00B918D2">
            <w:pPr>
              <w:rPr>
                <w:lang w:val="en-AU"/>
              </w:rPr>
            </w:pPr>
            <w:r w:rsidRPr="00351A46">
              <w:rPr>
                <w:lang w:val="en-AU"/>
              </w:rPr>
              <w:t xml:space="preserve">How can this </w:t>
            </w:r>
            <w:r w:rsidR="00E5110F" w:rsidRPr="00351A46">
              <w:rPr>
                <w:lang w:val="en-AU"/>
              </w:rPr>
              <w:t>key initiative</w:t>
            </w:r>
            <w:r w:rsidRPr="00351A46">
              <w:rPr>
                <w:lang w:val="en-AU"/>
              </w:rPr>
              <w:t xml:space="preserve"> be used to promote the use</w:t>
            </w:r>
            <w:r w:rsidRPr="00351A46">
              <w:rPr>
                <w:spacing w:val="-29"/>
                <w:lang w:val="en-AU"/>
              </w:rPr>
              <w:t xml:space="preserve"> </w:t>
            </w:r>
            <w:r w:rsidRPr="00351A46">
              <w:rPr>
                <w:lang w:val="en-AU"/>
              </w:rPr>
              <w:t>of evidence in policy debates, including in the</w:t>
            </w:r>
            <w:r w:rsidRPr="00351A46">
              <w:rPr>
                <w:spacing w:val="-11"/>
                <w:lang w:val="en-AU"/>
              </w:rPr>
              <w:t xml:space="preserve"> </w:t>
            </w:r>
            <w:r w:rsidRPr="00351A46">
              <w:rPr>
                <w:lang w:val="en-AU"/>
              </w:rPr>
              <w:t>media?</w:t>
            </w:r>
          </w:p>
        </w:tc>
      </w:tr>
      <w:tr w:rsidR="00B918D2" w:rsidRPr="00351A46" w14:paraId="17565461" w14:textId="77777777" w:rsidTr="007B5EC1">
        <w:trPr>
          <w:trHeight w:val="292"/>
        </w:trPr>
        <w:tc>
          <w:tcPr>
            <w:tcW w:w="9398" w:type="dxa"/>
            <w:gridSpan w:val="2"/>
            <w:tcBorders>
              <w:top w:val="single" w:sz="4" w:space="0" w:color="000000"/>
              <w:left w:val="single" w:sz="4" w:space="0" w:color="000000"/>
              <w:bottom w:val="single" w:sz="4" w:space="0" w:color="000000"/>
              <w:right w:val="single" w:sz="4" w:space="0" w:color="000000"/>
            </w:tcBorders>
          </w:tcPr>
          <w:p w14:paraId="2B9F3F90" w14:textId="5C88F36D" w:rsidR="00B918D2" w:rsidRPr="00351A46" w:rsidRDefault="00B918D2">
            <w:pPr>
              <w:rPr>
                <w:b/>
                <w:i/>
                <w:lang w:val="en-AU"/>
              </w:rPr>
            </w:pPr>
            <w:r w:rsidRPr="00351A46">
              <w:rPr>
                <w:b/>
                <w:i/>
                <w:lang w:val="en-AU"/>
              </w:rPr>
              <w:t xml:space="preserve">Monitoring and evaluation and </w:t>
            </w:r>
            <w:r w:rsidR="00322D67" w:rsidRPr="00351A46">
              <w:rPr>
                <w:b/>
                <w:i/>
                <w:lang w:val="en-AU"/>
              </w:rPr>
              <w:t>risks</w:t>
            </w:r>
          </w:p>
        </w:tc>
      </w:tr>
      <w:tr w:rsidR="00B918D2" w:rsidRPr="00351A46" w14:paraId="56DAE548" w14:textId="77777777" w:rsidTr="007B5EC1">
        <w:trPr>
          <w:trHeight w:val="1504"/>
        </w:trPr>
        <w:tc>
          <w:tcPr>
            <w:tcW w:w="2775" w:type="dxa"/>
            <w:tcBorders>
              <w:top w:val="single" w:sz="4" w:space="0" w:color="000000"/>
              <w:left w:val="single" w:sz="4" w:space="0" w:color="000000"/>
              <w:bottom w:val="single" w:sz="4" w:space="0" w:color="000000"/>
              <w:right w:val="single" w:sz="4" w:space="0" w:color="000000"/>
            </w:tcBorders>
          </w:tcPr>
          <w:p w14:paraId="65EFBCC7" w14:textId="77777777" w:rsidR="00B918D2" w:rsidRPr="00351A46" w:rsidRDefault="00B918D2">
            <w:pPr>
              <w:rPr>
                <w:i/>
                <w:lang w:val="en-AU"/>
              </w:rPr>
            </w:pPr>
            <w:r w:rsidRPr="00351A46">
              <w:rPr>
                <w:i/>
                <w:lang w:val="en-AU"/>
              </w:rPr>
              <w:t>Monitoring and evaluation</w:t>
            </w:r>
          </w:p>
        </w:tc>
        <w:tc>
          <w:tcPr>
            <w:tcW w:w="6623" w:type="dxa"/>
            <w:tcBorders>
              <w:top w:val="single" w:sz="4" w:space="0" w:color="000000"/>
              <w:left w:val="single" w:sz="4" w:space="0" w:color="000000"/>
              <w:bottom w:val="single" w:sz="4" w:space="0" w:color="000000"/>
              <w:right w:val="single" w:sz="4" w:space="0" w:color="000000"/>
            </w:tcBorders>
          </w:tcPr>
          <w:p w14:paraId="392A14F1" w14:textId="49659359" w:rsidR="00B918D2" w:rsidRPr="00351A46" w:rsidRDefault="00B918D2">
            <w:pPr>
              <w:rPr>
                <w:lang w:val="en-AU"/>
              </w:rPr>
            </w:pPr>
            <w:r w:rsidRPr="00351A46">
              <w:rPr>
                <w:lang w:val="en-AU"/>
              </w:rPr>
              <w:t xml:space="preserve">How will the contribution of the </w:t>
            </w:r>
            <w:r w:rsidR="00E5110F" w:rsidRPr="00351A46">
              <w:rPr>
                <w:lang w:val="en-AU"/>
              </w:rPr>
              <w:t>key initiative</w:t>
            </w:r>
            <w:r w:rsidRPr="00351A46">
              <w:rPr>
                <w:lang w:val="en-AU"/>
              </w:rPr>
              <w:t xml:space="preserve"> to the EOPO be</w:t>
            </w:r>
            <w:r w:rsidRPr="00351A46">
              <w:rPr>
                <w:spacing w:val="-1"/>
                <w:lang w:val="en-AU"/>
              </w:rPr>
              <w:t xml:space="preserve"> </w:t>
            </w:r>
            <w:r w:rsidRPr="00351A46">
              <w:rPr>
                <w:lang w:val="en-AU"/>
              </w:rPr>
              <w:t>measured?</w:t>
            </w:r>
          </w:p>
          <w:p w14:paraId="1E724043" w14:textId="77777777" w:rsidR="00B918D2" w:rsidRPr="00351A46" w:rsidRDefault="00B918D2">
            <w:pPr>
              <w:rPr>
                <w:lang w:val="en-AU"/>
              </w:rPr>
            </w:pPr>
            <w:r w:rsidRPr="00351A46">
              <w:rPr>
                <w:lang w:val="en-AU"/>
              </w:rPr>
              <w:t>How will data be collected to measure achievement of</w:t>
            </w:r>
            <w:r w:rsidRPr="00351A46">
              <w:rPr>
                <w:spacing w:val="-23"/>
                <w:lang w:val="en-AU"/>
              </w:rPr>
              <w:t xml:space="preserve"> </w:t>
            </w:r>
            <w:r w:rsidRPr="00351A46">
              <w:rPr>
                <w:lang w:val="en-AU"/>
              </w:rPr>
              <w:t>EOPO?</w:t>
            </w:r>
          </w:p>
          <w:p w14:paraId="20181499" w14:textId="0595E4F1" w:rsidR="00B918D2" w:rsidRPr="00351A46" w:rsidRDefault="00B918D2">
            <w:pPr>
              <w:rPr>
                <w:lang w:val="en-AU"/>
              </w:rPr>
            </w:pPr>
            <w:r w:rsidRPr="00351A46">
              <w:rPr>
                <w:lang w:val="en-AU"/>
              </w:rPr>
              <w:t>How will the MERLA system support adaptive management to ensure</w:t>
            </w:r>
            <w:r w:rsidR="00322D67">
              <w:rPr>
                <w:lang w:val="en-AU"/>
              </w:rPr>
              <w:t xml:space="preserve"> that</w:t>
            </w:r>
            <w:r w:rsidRPr="00351A46">
              <w:rPr>
                <w:lang w:val="en-AU"/>
              </w:rPr>
              <w:t xml:space="preserve"> the </w:t>
            </w:r>
            <w:r w:rsidR="00E5110F" w:rsidRPr="00351A46">
              <w:rPr>
                <w:lang w:val="en-AU"/>
              </w:rPr>
              <w:t>key initiative</w:t>
            </w:r>
            <w:r w:rsidRPr="00351A46">
              <w:rPr>
                <w:lang w:val="en-AU"/>
              </w:rPr>
              <w:t xml:space="preserve"> contributes to the</w:t>
            </w:r>
            <w:r w:rsidRPr="00351A46">
              <w:rPr>
                <w:spacing w:val="-14"/>
                <w:lang w:val="en-AU"/>
              </w:rPr>
              <w:t xml:space="preserve"> </w:t>
            </w:r>
            <w:r w:rsidRPr="00351A46">
              <w:rPr>
                <w:lang w:val="en-AU"/>
              </w:rPr>
              <w:t>EOPO?</w:t>
            </w:r>
          </w:p>
        </w:tc>
      </w:tr>
      <w:tr w:rsidR="00B918D2" w:rsidRPr="00351A46" w14:paraId="14A95D81" w14:textId="77777777" w:rsidTr="007B5EC1">
        <w:trPr>
          <w:trHeight w:val="599"/>
        </w:trPr>
        <w:tc>
          <w:tcPr>
            <w:tcW w:w="2775" w:type="dxa"/>
            <w:tcBorders>
              <w:top w:val="single" w:sz="4" w:space="0" w:color="000000"/>
              <w:left w:val="single" w:sz="4" w:space="0" w:color="000000"/>
              <w:bottom w:val="single" w:sz="4" w:space="0" w:color="000000"/>
              <w:right w:val="single" w:sz="4" w:space="0" w:color="000000"/>
            </w:tcBorders>
          </w:tcPr>
          <w:p w14:paraId="269AE1BC" w14:textId="77777777" w:rsidR="00B918D2" w:rsidRPr="00351A46" w:rsidRDefault="00B918D2">
            <w:pPr>
              <w:rPr>
                <w:i/>
                <w:lang w:val="en-AU"/>
              </w:rPr>
            </w:pPr>
            <w:r w:rsidRPr="00351A46">
              <w:rPr>
                <w:i/>
                <w:lang w:val="en-AU"/>
              </w:rPr>
              <w:t>Risks</w:t>
            </w:r>
          </w:p>
        </w:tc>
        <w:tc>
          <w:tcPr>
            <w:tcW w:w="6623" w:type="dxa"/>
            <w:tcBorders>
              <w:top w:val="single" w:sz="4" w:space="0" w:color="000000"/>
              <w:left w:val="single" w:sz="4" w:space="0" w:color="000000"/>
              <w:bottom w:val="single" w:sz="4" w:space="0" w:color="000000"/>
              <w:right w:val="single" w:sz="4" w:space="0" w:color="000000"/>
            </w:tcBorders>
          </w:tcPr>
          <w:p w14:paraId="1ED2B653" w14:textId="20F010D1" w:rsidR="00B918D2" w:rsidRPr="00351A46" w:rsidRDefault="00B918D2">
            <w:pPr>
              <w:rPr>
                <w:lang w:val="en-AU"/>
              </w:rPr>
            </w:pPr>
            <w:r w:rsidRPr="00351A46">
              <w:rPr>
                <w:lang w:val="en-AU"/>
              </w:rPr>
              <w:t xml:space="preserve">What are the risks of this </w:t>
            </w:r>
            <w:r w:rsidR="00E5110F" w:rsidRPr="00351A46">
              <w:rPr>
                <w:lang w:val="en-AU"/>
              </w:rPr>
              <w:t>key initiative</w:t>
            </w:r>
            <w:r w:rsidRPr="00351A46">
              <w:rPr>
                <w:lang w:val="en-AU"/>
              </w:rPr>
              <w:t>? What strategies can be put in place mitigate these</w:t>
            </w:r>
            <w:r w:rsidRPr="00351A46">
              <w:rPr>
                <w:spacing w:val="-5"/>
                <w:lang w:val="en-AU"/>
              </w:rPr>
              <w:t xml:space="preserve"> </w:t>
            </w:r>
            <w:r w:rsidRPr="00351A46">
              <w:rPr>
                <w:lang w:val="en-AU"/>
              </w:rPr>
              <w:t>risks?</w:t>
            </w:r>
          </w:p>
        </w:tc>
      </w:tr>
    </w:tbl>
    <w:p w14:paraId="42407D57" w14:textId="77777777" w:rsidR="00B918D2" w:rsidRPr="00351A46" w:rsidRDefault="00B918D2">
      <w:pPr>
        <w:rPr>
          <w:lang w:val="en-AU"/>
        </w:rPr>
      </w:pPr>
    </w:p>
    <w:p w14:paraId="169A9545" w14:textId="77777777" w:rsidR="001E3532" w:rsidRPr="00351A46" w:rsidRDefault="001E3532">
      <w:pPr>
        <w:rPr>
          <w:rFonts w:asciiTheme="majorHAnsi" w:eastAsiaTheme="majorEastAsia" w:hAnsiTheme="majorHAnsi" w:cstheme="majorBidi"/>
          <w:color w:val="2E74B5" w:themeColor="accent1" w:themeShade="BF"/>
          <w:sz w:val="26"/>
          <w:szCs w:val="26"/>
          <w:lang w:val="en-AU"/>
        </w:rPr>
      </w:pPr>
      <w:r w:rsidRPr="00351A46">
        <w:rPr>
          <w:lang w:val="en-AU"/>
        </w:rPr>
        <w:br w:type="page"/>
      </w:r>
    </w:p>
    <w:p w14:paraId="2E941D9D" w14:textId="77777777" w:rsidR="00BF3440" w:rsidRPr="00351A46" w:rsidRDefault="00BF3440">
      <w:pPr>
        <w:pStyle w:val="Heading2"/>
        <w:rPr>
          <w:lang w:val="en-AU"/>
        </w:rPr>
        <w:sectPr w:rsidR="00BF3440" w:rsidRPr="00351A46" w:rsidSect="004441E0">
          <w:pgSz w:w="12240" w:h="15840"/>
          <w:pgMar w:top="1440" w:right="1440" w:bottom="1440" w:left="1440" w:header="720" w:footer="720" w:gutter="0"/>
          <w:cols w:space="720"/>
          <w:docGrid w:linePitch="360"/>
        </w:sectPr>
      </w:pPr>
    </w:p>
    <w:p w14:paraId="58533300" w14:textId="731DD033" w:rsidR="006113EE" w:rsidRPr="00351A46" w:rsidRDefault="009F52FD" w:rsidP="00B3138C">
      <w:pPr>
        <w:pStyle w:val="Heading1"/>
        <w:spacing w:before="0"/>
        <w:rPr>
          <w:lang w:val="en-AU"/>
        </w:rPr>
      </w:pPr>
      <w:bookmarkStart w:id="34" w:name="_Toc514418255"/>
      <w:r w:rsidRPr="00351A46">
        <w:rPr>
          <w:lang w:val="en-AU"/>
        </w:rPr>
        <w:t>Annex 4</w:t>
      </w:r>
      <w:r w:rsidR="001E3532" w:rsidRPr="00351A46">
        <w:rPr>
          <w:lang w:val="en-AU"/>
        </w:rPr>
        <w:t xml:space="preserve">: </w:t>
      </w:r>
      <w:r w:rsidR="006113EE" w:rsidRPr="00351A46">
        <w:rPr>
          <w:lang w:val="en-AU"/>
        </w:rPr>
        <w:t xml:space="preserve">Budget </w:t>
      </w:r>
      <w:r w:rsidR="008838F3" w:rsidRPr="00351A46">
        <w:rPr>
          <w:lang w:val="en-AU"/>
        </w:rPr>
        <w:t>Overview</w:t>
      </w:r>
      <w:bookmarkEnd w:id="34"/>
    </w:p>
    <w:p w14:paraId="0340EED3" w14:textId="60F68FB9" w:rsidR="00BF3440" w:rsidRPr="00351A46" w:rsidRDefault="00541C67">
      <w:pPr>
        <w:jc w:val="both"/>
        <w:rPr>
          <w:lang w:val="en-AU"/>
        </w:rPr>
      </w:pPr>
      <w:r>
        <w:rPr>
          <w:lang w:val="en-AU"/>
        </w:rPr>
        <w:br/>
      </w:r>
      <w:r w:rsidR="007641BD" w:rsidRPr="00351A46">
        <w:rPr>
          <w:lang w:val="en-AU"/>
        </w:rPr>
        <w:t xml:space="preserve">KSI Phase 2 has a total </w:t>
      </w:r>
      <w:r w:rsidR="00445C0F" w:rsidRPr="00351A46">
        <w:rPr>
          <w:lang w:val="en-AU"/>
        </w:rPr>
        <w:t xml:space="preserve">budget </w:t>
      </w:r>
      <w:r w:rsidR="00245DAA" w:rsidRPr="00351A46">
        <w:rPr>
          <w:lang w:val="en-AU"/>
        </w:rPr>
        <w:t>of AUD 45 million for the period</w:t>
      </w:r>
      <w:r w:rsidR="007641BD" w:rsidRPr="00351A46">
        <w:rPr>
          <w:lang w:val="en-AU"/>
        </w:rPr>
        <w:t xml:space="preserve"> June 2017 to July 2022. For the </w:t>
      </w:r>
      <w:r w:rsidR="00445C0F" w:rsidRPr="00351A46">
        <w:rPr>
          <w:lang w:val="en-AU"/>
        </w:rPr>
        <w:t xml:space="preserve">transition period from </w:t>
      </w:r>
      <w:r w:rsidR="00376822">
        <w:rPr>
          <w:lang w:val="en-AU"/>
        </w:rPr>
        <w:t>July 2017 until March</w:t>
      </w:r>
      <w:r w:rsidR="00445C0F" w:rsidRPr="00351A46">
        <w:rPr>
          <w:lang w:val="en-AU"/>
        </w:rPr>
        <w:t xml:space="preserve"> 2018</w:t>
      </w:r>
      <w:r w:rsidR="00F02AFD">
        <w:rPr>
          <w:lang w:val="en-AU"/>
        </w:rPr>
        <w:t>,</w:t>
      </w:r>
      <w:r w:rsidR="00445C0F" w:rsidRPr="00351A46">
        <w:rPr>
          <w:lang w:val="en-AU"/>
        </w:rPr>
        <w:t xml:space="preserve"> </w:t>
      </w:r>
      <w:r w:rsidR="00376822">
        <w:rPr>
          <w:lang w:val="en-AU"/>
        </w:rPr>
        <w:t xml:space="preserve">KSI has spent </w:t>
      </w:r>
      <w:r w:rsidR="00376822">
        <w:t xml:space="preserve">AUD 4,802,424 </w:t>
      </w:r>
      <w:r w:rsidR="00245DAA" w:rsidRPr="00351A46">
        <w:rPr>
          <w:lang w:val="en-AU"/>
        </w:rPr>
        <w:t>of the</w:t>
      </w:r>
      <w:r w:rsidR="008D50D9" w:rsidRPr="00351A46">
        <w:rPr>
          <w:lang w:val="en-AU"/>
        </w:rPr>
        <w:t xml:space="preserve"> AUD 9,000,000 a</w:t>
      </w:r>
      <w:r w:rsidR="007641BD" w:rsidRPr="00351A46">
        <w:rPr>
          <w:lang w:val="en-AU"/>
        </w:rPr>
        <w:t>nnual budget (period July 2017 until June 2018). For the remai</w:t>
      </w:r>
      <w:r w:rsidR="00445C0F" w:rsidRPr="00351A46">
        <w:rPr>
          <w:lang w:val="en-AU"/>
        </w:rPr>
        <w:t>ning period, a significant spend</w:t>
      </w:r>
      <w:r w:rsidR="007641BD" w:rsidRPr="00351A46">
        <w:rPr>
          <w:lang w:val="en-AU"/>
        </w:rPr>
        <w:t xml:space="preserve"> is anticipated </w:t>
      </w:r>
      <w:r w:rsidR="00245DAA" w:rsidRPr="00351A46">
        <w:rPr>
          <w:lang w:val="en-AU"/>
        </w:rPr>
        <w:t>through to December</w:t>
      </w:r>
      <w:r w:rsidR="007641BD" w:rsidRPr="00351A46">
        <w:rPr>
          <w:lang w:val="en-AU"/>
        </w:rPr>
        <w:t xml:space="preserve"> 2018</w:t>
      </w:r>
      <w:r w:rsidR="008D50D9" w:rsidRPr="00351A46">
        <w:rPr>
          <w:lang w:val="en-AU"/>
        </w:rPr>
        <w:t xml:space="preserve"> to allow for implementation of eight key initiatives, emerging priorities, cross-cutting strategies and </w:t>
      </w:r>
      <w:r w:rsidR="008C3312" w:rsidRPr="00351A46">
        <w:rPr>
          <w:lang w:val="en-AU"/>
        </w:rPr>
        <w:t>program</w:t>
      </w:r>
      <w:r w:rsidR="00D0604A" w:rsidRPr="00351A46">
        <w:rPr>
          <w:lang w:val="en-AU"/>
        </w:rPr>
        <w:t xml:space="preserve"> </w:t>
      </w:r>
      <w:r w:rsidR="008D50D9" w:rsidRPr="00351A46">
        <w:rPr>
          <w:lang w:val="en-AU"/>
        </w:rPr>
        <w:t>management (monitoring and evaluation</w:t>
      </w:r>
      <w:r w:rsidR="007641BD" w:rsidRPr="00351A46">
        <w:rPr>
          <w:lang w:val="en-AU"/>
        </w:rPr>
        <w:t xml:space="preserve">, </w:t>
      </w:r>
      <w:r w:rsidR="008D50D9" w:rsidRPr="00351A46">
        <w:rPr>
          <w:lang w:val="en-AU"/>
        </w:rPr>
        <w:t xml:space="preserve">knowledge exchange and learning, communications and </w:t>
      </w:r>
      <w:r w:rsidR="008C3312" w:rsidRPr="00351A46">
        <w:rPr>
          <w:lang w:val="en-AU"/>
        </w:rPr>
        <w:t>program</w:t>
      </w:r>
      <w:r w:rsidR="00D0604A" w:rsidRPr="00351A46">
        <w:rPr>
          <w:lang w:val="en-AU"/>
        </w:rPr>
        <w:t xml:space="preserve"> </w:t>
      </w:r>
      <w:r w:rsidR="008D50D9" w:rsidRPr="00351A46">
        <w:rPr>
          <w:lang w:val="en-AU"/>
        </w:rPr>
        <w:t>g</w:t>
      </w:r>
      <w:r w:rsidR="007641BD" w:rsidRPr="00351A46">
        <w:rPr>
          <w:lang w:val="en-AU"/>
        </w:rPr>
        <w:t xml:space="preserve">overnance). </w:t>
      </w:r>
      <w:r w:rsidR="00245DAA" w:rsidRPr="00351A46">
        <w:rPr>
          <w:lang w:val="en-AU"/>
        </w:rPr>
        <w:t xml:space="preserve">Expenditure is expected to decrease slightly in 2019 </w:t>
      </w:r>
      <w:r w:rsidR="00445C0F" w:rsidRPr="00351A46">
        <w:rPr>
          <w:lang w:val="en-AU"/>
        </w:rPr>
        <w:t xml:space="preserve">in anticipation of the </w:t>
      </w:r>
      <w:r w:rsidR="00322D67">
        <w:rPr>
          <w:lang w:val="en-AU"/>
        </w:rPr>
        <w:t>p</w:t>
      </w:r>
      <w:r w:rsidR="007641BD" w:rsidRPr="00351A46">
        <w:rPr>
          <w:lang w:val="en-AU"/>
        </w:rPr>
        <w:t>resident</w:t>
      </w:r>
      <w:r w:rsidR="00445C0F" w:rsidRPr="00351A46">
        <w:rPr>
          <w:lang w:val="en-AU"/>
        </w:rPr>
        <w:t>ial</w:t>
      </w:r>
      <w:r w:rsidR="007641BD" w:rsidRPr="00351A46">
        <w:rPr>
          <w:lang w:val="en-AU"/>
        </w:rPr>
        <w:t xml:space="preserve"> general election</w:t>
      </w:r>
      <w:r w:rsidR="00245DAA" w:rsidRPr="00351A46">
        <w:rPr>
          <w:lang w:val="en-AU"/>
        </w:rPr>
        <w:t>. During 2020, expenditure is expected to increase again as activity implementation intensifies.</w:t>
      </w:r>
      <w:r w:rsidR="00C20DD6" w:rsidRPr="00351A46">
        <w:rPr>
          <w:lang w:val="en-AU"/>
        </w:rPr>
        <w:t xml:space="preserve"> From 2021 to 2022 expenditure will steadily decrease as gains are consolidated and KSI prepares to </w:t>
      </w:r>
      <w:r w:rsidR="00C20DD6" w:rsidRPr="00B3138C">
        <w:rPr>
          <w:lang w:val="en-AU"/>
        </w:rPr>
        <w:t>ph</w:t>
      </w:r>
      <w:r w:rsidR="00B3138C" w:rsidRPr="00B3138C">
        <w:rPr>
          <w:lang w:val="en-AU"/>
        </w:rPr>
        <w:t>ase out of activities as Phase 2</w:t>
      </w:r>
      <w:r w:rsidR="00C20DD6" w:rsidRPr="00B3138C">
        <w:rPr>
          <w:lang w:val="en-AU"/>
        </w:rPr>
        <w:t xml:space="preserve"> ends. </w:t>
      </w:r>
      <w:r w:rsidR="00970F58" w:rsidRPr="00B3138C">
        <w:rPr>
          <w:lang w:val="en-AU"/>
        </w:rPr>
        <w:t>The</w:t>
      </w:r>
      <w:r w:rsidR="00970F58" w:rsidRPr="00351A46">
        <w:rPr>
          <w:lang w:val="en-AU"/>
        </w:rPr>
        <w:t xml:space="preserve"> tables below outline spending predictions per Government of Indonesia and Government of Australia financial years.</w:t>
      </w:r>
    </w:p>
    <w:tbl>
      <w:tblPr>
        <w:tblStyle w:val="TableGrid"/>
        <w:tblW w:w="13119" w:type="dxa"/>
        <w:tblLayout w:type="fixed"/>
        <w:tblLook w:val="04A0" w:firstRow="1" w:lastRow="0" w:firstColumn="1" w:lastColumn="0" w:noHBand="0" w:noVBand="1"/>
      </w:tblPr>
      <w:tblGrid>
        <w:gridCol w:w="483"/>
        <w:gridCol w:w="1852"/>
        <w:gridCol w:w="1350"/>
        <w:gridCol w:w="1350"/>
        <w:gridCol w:w="1350"/>
        <w:gridCol w:w="1350"/>
        <w:gridCol w:w="1350"/>
        <w:gridCol w:w="1350"/>
        <w:gridCol w:w="1351"/>
        <w:gridCol w:w="1333"/>
      </w:tblGrid>
      <w:tr w:rsidR="00C35737" w:rsidRPr="00AA269A" w14:paraId="08EFEB4A" w14:textId="77777777" w:rsidTr="00376822">
        <w:trPr>
          <w:trHeight w:val="270"/>
          <w:tblHeader/>
        </w:trPr>
        <w:tc>
          <w:tcPr>
            <w:tcW w:w="483" w:type="dxa"/>
            <w:vMerge w:val="restart"/>
            <w:hideMark/>
          </w:tcPr>
          <w:p w14:paraId="0FC61316" w14:textId="77777777" w:rsidR="00C35737" w:rsidRPr="00444D54" w:rsidRDefault="00C35737" w:rsidP="00376822">
            <w:pPr>
              <w:spacing w:line="259" w:lineRule="auto"/>
              <w:jc w:val="center"/>
              <w:rPr>
                <w:b/>
                <w:bCs/>
                <w:lang w:val="en-AU"/>
              </w:rPr>
            </w:pPr>
            <w:r w:rsidRPr="00444D54">
              <w:rPr>
                <w:b/>
                <w:bCs/>
                <w:lang w:val="en-AU"/>
              </w:rPr>
              <w:t>No</w:t>
            </w:r>
          </w:p>
        </w:tc>
        <w:tc>
          <w:tcPr>
            <w:tcW w:w="1852" w:type="dxa"/>
            <w:vMerge w:val="restart"/>
            <w:hideMark/>
          </w:tcPr>
          <w:p w14:paraId="3CD6E4F8" w14:textId="77777777" w:rsidR="00C35737" w:rsidRPr="00444D54" w:rsidRDefault="00C35737" w:rsidP="00376822">
            <w:pPr>
              <w:spacing w:line="259" w:lineRule="auto"/>
              <w:jc w:val="center"/>
              <w:rPr>
                <w:b/>
                <w:bCs/>
                <w:lang w:val="en-AU"/>
              </w:rPr>
            </w:pPr>
            <w:r w:rsidRPr="00444D54">
              <w:rPr>
                <w:b/>
                <w:bCs/>
                <w:lang w:val="en-AU"/>
              </w:rPr>
              <w:t>Description</w:t>
            </w:r>
          </w:p>
        </w:tc>
        <w:tc>
          <w:tcPr>
            <w:tcW w:w="1350" w:type="dxa"/>
            <w:vMerge w:val="restart"/>
            <w:hideMark/>
          </w:tcPr>
          <w:p w14:paraId="1B1ADDDB" w14:textId="77777777" w:rsidR="00C35737" w:rsidRPr="00444D54" w:rsidRDefault="00C35737" w:rsidP="00376822">
            <w:pPr>
              <w:spacing w:line="259" w:lineRule="auto"/>
              <w:jc w:val="center"/>
              <w:rPr>
                <w:b/>
                <w:bCs/>
                <w:lang w:val="en-AU"/>
              </w:rPr>
            </w:pPr>
            <w:r w:rsidRPr="00444D54">
              <w:rPr>
                <w:b/>
                <w:bCs/>
                <w:lang w:val="en-AU"/>
              </w:rPr>
              <w:t>TOTAL BUDGET</w:t>
            </w:r>
          </w:p>
        </w:tc>
        <w:tc>
          <w:tcPr>
            <w:tcW w:w="8101" w:type="dxa"/>
            <w:gridSpan w:val="6"/>
            <w:noWrap/>
            <w:hideMark/>
          </w:tcPr>
          <w:p w14:paraId="70BDD347" w14:textId="6BBA997B" w:rsidR="00C35737" w:rsidRPr="00444D54" w:rsidRDefault="00C35737" w:rsidP="00376822">
            <w:pPr>
              <w:spacing w:line="259" w:lineRule="auto"/>
              <w:jc w:val="center"/>
              <w:rPr>
                <w:b/>
                <w:bCs/>
                <w:lang w:val="en-AU"/>
              </w:rPr>
            </w:pPr>
            <w:r>
              <w:rPr>
                <w:b/>
                <w:bCs/>
                <w:lang w:val="en-AU"/>
              </w:rPr>
              <w:t>FORECAST GOVERNMENT OF INDONESIA</w:t>
            </w:r>
            <w:r w:rsidRPr="00444D54">
              <w:rPr>
                <w:b/>
                <w:bCs/>
                <w:lang w:val="en-AU"/>
              </w:rPr>
              <w:t xml:space="preserve"> FINANCIAL YEAR</w:t>
            </w:r>
          </w:p>
        </w:tc>
        <w:tc>
          <w:tcPr>
            <w:tcW w:w="1333" w:type="dxa"/>
            <w:vMerge w:val="restart"/>
            <w:hideMark/>
          </w:tcPr>
          <w:p w14:paraId="3D5F37E4" w14:textId="77777777" w:rsidR="00C35737" w:rsidRPr="00444D54" w:rsidRDefault="00C35737" w:rsidP="00376822">
            <w:pPr>
              <w:spacing w:line="259" w:lineRule="auto"/>
              <w:jc w:val="center"/>
              <w:rPr>
                <w:b/>
                <w:bCs/>
                <w:lang w:val="en-AU"/>
              </w:rPr>
            </w:pPr>
            <w:r w:rsidRPr="00444D54">
              <w:rPr>
                <w:b/>
                <w:bCs/>
                <w:lang w:val="en-AU"/>
              </w:rPr>
              <w:t>TOTAL</w:t>
            </w:r>
          </w:p>
        </w:tc>
      </w:tr>
      <w:tr w:rsidR="00C35737" w:rsidRPr="00AA269A" w14:paraId="3911F47D" w14:textId="77777777" w:rsidTr="00376822">
        <w:trPr>
          <w:trHeight w:val="270"/>
        </w:trPr>
        <w:tc>
          <w:tcPr>
            <w:tcW w:w="483" w:type="dxa"/>
            <w:vMerge/>
            <w:hideMark/>
          </w:tcPr>
          <w:p w14:paraId="772237F7" w14:textId="77777777" w:rsidR="00C35737" w:rsidRPr="00444D54" w:rsidRDefault="00C35737" w:rsidP="00376822">
            <w:pPr>
              <w:numPr>
                <w:ilvl w:val="1"/>
                <w:numId w:val="0"/>
              </w:numPr>
              <w:spacing w:line="259" w:lineRule="auto"/>
              <w:rPr>
                <w:b/>
                <w:bCs/>
                <w:lang w:val="en-AU"/>
              </w:rPr>
            </w:pPr>
          </w:p>
        </w:tc>
        <w:tc>
          <w:tcPr>
            <w:tcW w:w="1852" w:type="dxa"/>
            <w:vMerge/>
            <w:hideMark/>
          </w:tcPr>
          <w:p w14:paraId="76CA06DF" w14:textId="77777777" w:rsidR="00C35737" w:rsidRPr="00444D54" w:rsidRDefault="00C35737" w:rsidP="00376822">
            <w:pPr>
              <w:numPr>
                <w:ilvl w:val="1"/>
                <w:numId w:val="0"/>
              </w:numPr>
              <w:spacing w:line="259" w:lineRule="auto"/>
              <w:rPr>
                <w:b/>
                <w:bCs/>
                <w:lang w:val="en-AU"/>
              </w:rPr>
            </w:pPr>
          </w:p>
        </w:tc>
        <w:tc>
          <w:tcPr>
            <w:tcW w:w="1350" w:type="dxa"/>
            <w:vMerge/>
            <w:hideMark/>
          </w:tcPr>
          <w:p w14:paraId="3F769ADD" w14:textId="77777777" w:rsidR="00C35737" w:rsidRPr="00444D54" w:rsidRDefault="00C35737" w:rsidP="00376822">
            <w:pPr>
              <w:numPr>
                <w:ilvl w:val="1"/>
                <w:numId w:val="0"/>
              </w:numPr>
              <w:spacing w:line="259" w:lineRule="auto"/>
              <w:rPr>
                <w:b/>
                <w:bCs/>
                <w:lang w:val="en-AU"/>
              </w:rPr>
            </w:pPr>
          </w:p>
        </w:tc>
        <w:tc>
          <w:tcPr>
            <w:tcW w:w="1350" w:type="dxa"/>
            <w:hideMark/>
          </w:tcPr>
          <w:p w14:paraId="441FE1E2" w14:textId="77777777" w:rsidR="00C35737" w:rsidRPr="00444D54" w:rsidRDefault="00C35737" w:rsidP="00376822">
            <w:pPr>
              <w:spacing w:line="259" w:lineRule="auto"/>
              <w:jc w:val="center"/>
              <w:rPr>
                <w:b/>
                <w:bCs/>
                <w:lang w:val="en-AU"/>
              </w:rPr>
            </w:pPr>
            <w:r w:rsidRPr="00444D54">
              <w:rPr>
                <w:b/>
                <w:bCs/>
                <w:lang w:val="en-AU"/>
              </w:rPr>
              <w:t>Year 1 (6mos)</w:t>
            </w:r>
          </w:p>
        </w:tc>
        <w:tc>
          <w:tcPr>
            <w:tcW w:w="1350" w:type="dxa"/>
            <w:hideMark/>
          </w:tcPr>
          <w:p w14:paraId="16296D87" w14:textId="77777777" w:rsidR="00C35737" w:rsidRPr="00444D54" w:rsidRDefault="00C35737" w:rsidP="00376822">
            <w:pPr>
              <w:spacing w:line="259" w:lineRule="auto"/>
              <w:jc w:val="center"/>
              <w:rPr>
                <w:b/>
                <w:bCs/>
                <w:lang w:val="en-AU"/>
              </w:rPr>
            </w:pPr>
            <w:r w:rsidRPr="00444D54">
              <w:rPr>
                <w:b/>
                <w:bCs/>
                <w:lang w:val="en-AU"/>
              </w:rPr>
              <w:t>Year 2</w:t>
            </w:r>
          </w:p>
        </w:tc>
        <w:tc>
          <w:tcPr>
            <w:tcW w:w="1350" w:type="dxa"/>
            <w:hideMark/>
          </w:tcPr>
          <w:p w14:paraId="4E5B8006" w14:textId="77777777" w:rsidR="00C35737" w:rsidRPr="00444D54" w:rsidRDefault="00C35737" w:rsidP="00376822">
            <w:pPr>
              <w:spacing w:line="259" w:lineRule="auto"/>
              <w:jc w:val="center"/>
              <w:rPr>
                <w:b/>
                <w:bCs/>
                <w:lang w:val="en-AU"/>
              </w:rPr>
            </w:pPr>
            <w:r w:rsidRPr="00444D54">
              <w:rPr>
                <w:b/>
                <w:bCs/>
                <w:lang w:val="en-AU"/>
              </w:rPr>
              <w:t>Year 3</w:t>
            </w:r>
          </w:p>
        </w:tc>
        <w:tc>
          <w:tcPr>
            <w:tcW w:w="1350" w:type="dxa"/>
            <w:hideMark/>
          </w:tcPr>
          <w:p w14:paraId="274B57EC" w14:textId="77777777" w:rsidR="00C35737" w:rsidRPr="00444D54" w:rsidRDefault="00C35737" w:rsidP="00376822">
            <w:pPr>
              <w:spacing w:line="259" w:lineRule="auto"/>
              <w:jc w:val="center"/>
              <w:rPr>
                <w:b/>
                <w:bCs/>
                <w:lang w:val="en-AU"/>
              </w:rPr>
            </w:pPr>
            <w:r w:rsidRPr="00444D54">
              <w:rPr>
                <w:b/>
                <w:bCs/>
                <w:lang w:val="en-AU"/>
              </w:rPr>
              <w:t>Year 4</w:t>
            </w:r>
          </w:p>
        </w:tc>
        <w:tc>
          <w:tcPr>
            <w:tcW w:w="1350" w:type="dxa"/>
            <w:hideMark/>
          </w:tcPr>
          <w:p w14:paraId="1078C83D" w14:textId="77777777" w:rsidR="00C35737" w:rsidRPr="00444D54" w:rsidRDefault="00C35737" w:rsidP="00376822">
            <w:pPr>
              <w:spacing w:line="259" w:lineRule="auto"/>
              <w:jc w:val="center"/>
              <w:rPr>
                <w:b/>
                <w:bCs/>
                <w:lang w:val="en-AU"/>
              </w:rPr>
            </w:pPr>
            <w:r w:rsidRPr="00444D54">
              <w:rPr>
                <w:b/>
                <w:bCs/>
                <w:lang w:val="en-AU"/>
              </w:rPr>
              <w:t>Year 5</w:t>
            </w:r>
          </w:p>
        </w:tc>
        <w:tc>
          <w:tcPr>
            <w:tcW w:w="1351" w:type="dxa"/>
            <w:hideMark/>
          </w:tcPr>
          <w:p w14:paraId="04A674ED" w14:textId="77777777" w:rsidR="00C35737" w:rsidRPr="00444D54" w:rsidRDefault="00C35737" w:rsidP="00376822">
            <w:pPr>
              <w:spacing w:line="259" w:lineRule="auto"/>
              <w:jc w:val="center"/>
              <w:rPr>
                <w:b/>
                <w:bCs/>
                <w:lang w:val="en-AU"/>
              </w:rPr>
            </w:pPr>
            <w:r w:rsidRPr="00444D54">
              <w:rPr>
                <w:b/>
                <w:bCs/>
                <w:lang w:val="en-AU"/>
              </w:rPr>
              <w:t>Year 6 (mos)</w:t>
            </w:r>
          </w:p>
        </w:tc>
        <w:tc>
          <w:tcPr>
            <w:tcW w:w="1333" w:type="dxa"/>
            <w:vMerge/>
            <w:hideMark/>
          </w:tcPr>
          <w:p w14:paraId="00E05462" w14:textId="77777777" w:rsidR="00C35737" w:rsidRPr="00444D54" w:rsidRDefault="00C35737" w:rsidP="00376822">
            <w:pPr>
              <w:numPr>
                <w:ilvl w:val="1"/>
                <w:numId w:val="0"/>
              </w:numPr>
              <w:spacing w:line="259" w:lineRule="auto"/>
              <w:rPr>
                <w:b/>
                <w:bCs/>
                <w:lang w:val="en-AU"/>
              </w:rPr>
            </w:pPr>
          </w:p>
        </w:tc>
      </w:tr>
      <w:tr w:rsidR="00C35737" w:rsidRPr="00AA269A" w14:paraId="52569F01" w14:textId="77777777" w:rsidTr="00376822">
        <w:trPr>
          <w:trHeight w:val="270"/>
        </w:trPr>
        <w:tc>
          <w:tcPr>
            <w:tcW w:w="483" w:type="dxa"/>
            <w:vMerge/>
            <w:hideMark/>
          </w:tcPr>
          <w:p w14:paraId="00DD44CB" w14:textId="77777777" w:rsidR="00C35737" w:rsidRPr="00444D54" w:rsidRDefault="00C35737" w:rsidP="00376822">
            <w:pPr>
              <w:numPr>
                <w:ilvl w:val="1"/>
                <w:numId w:val="0"/>
              </w:numPr>
              <w:spacing w:line="259" w:lineRule="auto"/>
              <w:rPr>
                <w:b/>
                <w:bCs/>
                <w:lang w:val="en-AU"/>
              </w:rPr>
            </w:pPr>
          </w:p>
        </w:tc>
        <w:tc>
          <w:tcPr>
            <w:tcW w:w="1852" w:type="dxa"/>
            <w:vMerge/>
            <w:hideMark/>
          </w:tcPr>
          <w:p w14:paraId="43A4D578" w14:textId="77777777" w:rsidR="00C35737" w:rsidRPr="00444D54" w:rsidRDefault="00C35737" w:rsidP="00376822">
            <w:pPr>
              <w:numPr>
                <w:ilvl w:val="1"/>
                <w:numId w:val="0"/>
              </w:numPr>
              <w:spacing w:line="259" w:lineRule="auto"/>
              <w:rPr>
                <w:b/>
                <w:bCs/>
                <w:lang w:val="en-AU"/>
              </w:rPr>
            </w:pPr>
          </w:p>
        </w:tc>
        <w:tc>
          <w:tcPr>
            <w:tcW w:w="1350" w:type="dxa"/>
            <w:vMerge/>
            <w:hideMark/>
          </w:tcPr>
          <w:p w14:paraId="259E3F81" w14:textId="77777777" w:rsidR="00C35737" w:rsidRPr="00444D54" w:rsidRDefault="00C35737" w:rsidP="00376822">
            <w:pPr>
              <w:numPr>
                <w:ilvl w:val="1"/>
                <w:numId w:val="0"/>
              </w:numPr>
              <w:spacing w:line="259" w:lineRule="auto"/>
              <w:rPr>
                <w:b/>
                <w:bCs/>
                <w:lang w:val="en-AU"/>
              </w:rPr>
            </w:pPr>
          </w:p>
        </w:tc>
        <w:tc>
          <w:tcPr>
            <w:tcW w:w="1350" w:type="dxa"/>
            <w:hideMark/>
          </w:tcPr>
          <w:p w14:paraId="42F6EDD0" w14:textId="77777777" w:rsidR="00C35737" w:rsidRPr="00444D54" w:rsidRDefault="00C35737" w:rsidP="00376822">
            <w:pPr>
              <w:spacing w:line="259" w:lineRule="auto"/>
              <w:jc w:val="center"/>
              <w:rPr>
                <w:b/>
                <w:bCs/>
                <w:lang w:val="en-AU"/>
              </w:rPr>
            </w:pPr>
            <w:r w:rsidRPr="00444D54">
              <w:rPr>
                <w:b/>
                <w:bCs/>
                <w:lang w:val="en-AU"/>
              </w:rPr>
              <w:t>Jul - Dec 2017</w:t>
            </w:r>
          </w:p>
        </w:tc>
        <w:tc>
          <w:tcPr>
            <w:tcW w:w="1350" w:type="dxa"/>
            <w:hideMark/>
          </w:tcPr>
          <w:p w14:paraId="160E1603" w14:textId="77777777" w:rsidR="00C35737" w:rsidRPr="00444D54" w:rsidRDefault="00C35737" w:rsidP="00376822">
            <w:pPr>
              <w:spacing w:line="259" w:lineRule="auto"/>
              <w:jc w:val="center"/>
              <w:rPr>
                <w:b/>
                <w:bCs/>
                <w:lang w:val="en-AU"/>
              </w:rPr>
            </w:pPr>
            <w:r w:rsidRPr="00444D54">
              <w:rPr>
                <w:b/>
                <w:bCs/>
                <w:lang w:val="en-AU"/>
              </w:rPr>
              <w:t>Jan - Dec 2018</w:t>
            </w:r>
          </w:p>
        </w:tc>
        <w:tc>
          <w:tcPr>
            <w:tcW w:w="1350" w:type="dxa"/>
            <w:hideMark/>
          </w:tcPr>
          <w:p w14:paraId="356F3593" w14:textId="77777777" w:rsidR="00C35737" w:rsidRPr="00444D54" w:rsidRDefault="00C35737" w:rsidP="00376822">
            <w:pPr>
              <w:spacing w:line="259" w:lineRule="auto"/>
              <w:jc w:val="center"/>
              <w:rPr>
                <w:b/>
                <w:bCs/>
                <w:lang w:val="en-AU"/>
              </w:rPr>
            </w:pPr>
            <w:r w:rsidRPr="00444D54">
              <w:rPr>
                <w:b/>
                <w:bCs/>
                <w:lang w:val="en-AU"/>
              </w:rPr>
              <w:t>Jan - Dec 2019</w:t>
            </w:r>
          </w:p>
        </w:tc>
        <w:tc>
          <w:tcPr>
            <w:tcW w:w="1350" w:type="dxa"/>
            <w:hideMark/>
          </w:tcPr>
          <w:p w14:paraId="066722FF" w14:textId="77777777" w:rsidR="00C35737" w:rsidRPr="00444D54" w:rsidRDefault="00C35737" w:rsidP="00376822">
            <w:pPr>
              <w:spacing w:line="259" w:lineRule="auto"/>
              <w:jc w:val="center"/>
              <w:rPr>
                <w:b/>
                <w:bCs/>
                <w:lang w:val="en-AU"/>
              </w:rPr>
            </w:pPr>
            <w:r w:rsidRPr="00444D54">
              <w:rPr>
                <w:b/>
                <w:bCs/>
                <w:lang w:val="en-AU"/>
              </w:rPr>
              <w:t>Jan - Dec 2020</w:t>
            </w:r>
          </w:p>
        </w:tc>
        <w:tc>
          <w:tcPr>
            <w:tcW w:w="1350" w:type="dxa"/>
            <w:hideMark/>
          </w:tcPr>
          <w:p w14:paraId="3DB634E7" w14:textId="77777777" w:rsidR="00C35737" w:rsidRPr="00444D54" w:rsidRDefault="00C35737" w:rsidP="00376822">
            <w:pPr>
              <w:spacing w:line="259" w:lineRule="auto"/>
              <w:jc w:val="center"/>
              <w:rPr>
                <w:b/>
                <w:bCs/>
                <w:lang w:val="en-AU"/>
              </w:rPr>
            </w:pPr>
            <w:r w:rsidRPr="00444D54">
              <w:rPr>
                <w:b/>
                <w:bCs/>
                <w:lang w:val="en-AU"/>
              </w:rPr>
              <w:t>Jan - Dec 2021</w:t>
            </w:r>
          </w:p>
        </w:tc>
        <w:tc>
          <w:tcPr>
            <w:tcW w:w="1351" w:type="dxa"/>
            <w:hideMark/>
          </w:tcPr>
          <w:p w14:paraId="12185877" w14:textId="77777777" w:rsidR="00C35737" w:rsidRPr="00444D54" w:rsidRDefault="00C35737" w:rsidP="00376822">
            <w:pPr>
              <w:spacing w:line="259" w:lineRule="auto"/>
              <w:jc w:val="center"/>
              <w:rPr>
                <w:b/>
                <w:bCs/>
                <w:lang w:val="en-AU"/>
              </w:rPr>
            </w:pPr>
            <w:r w:rsidRPr="00444D54">
              <w:rPr>
                <w:b/>
                <w:bCs/>
                <w:lang w:val="en-AU"/>
              </w:rPr>
              <w:t>Jan - Jun 2022</w:t>
            </w:r>
          </w:p>
        </w:tc>
        <w:tc>
          <w:tcPr>
            <w:tcW w:w="1333" w:type="dxa"/>
            <w:hideMark/>
          </w:tcPr>
          <w:p w14:paraId="4B0678D7" w14:textId="77777777" w:rsidR="00C35737" w:rsidRPr="00444D54" w:rsidRDefault="00C35737" w:rsidP="00376822">
            <w:pPr>
              <w:numPr>
                <w:ilvl w:val="1"/>
                <w:numId w:val="0"/>
              </w:numPr>
              <w:spacing w:line="259" w:lineRule="auto"/>
              <w:rPr>
                <w:b/>
                <w:bCs/>
                <w:lang w:val="en-AU"/>
              </w:rPr>
            </w:pPr>
          </w:p>
        </w:tc>
      </w:tr>
      <w:tr w:rsidR="00C35737" w:rsidRPr="00AA269A" w14:paraId="09E65902" w14:textId="77777777" w:rsidTr="00376822">
        <w:trPr>
          <w:trHeight w:val="300"/>
        </w:trPr>
        <w:tc>
          <w:tcPr>
            <w:tcW w:w="483" w:type="dxa"/>
            <w:hideMark/>
          </w:tcPr>
          <w:p w14:paraId="601ECD77" w14:textId="77777777" w:rsidR="00C35737" w:rsidRPr="00444D54" w:rsidRDefault="00C35737" w:rsidP="00376822">
            <w:pPr>
              <w:keepNext/>
              <w:keepLines/>
              <w:spacing w:line="259" w:lineRule="auto"/>
              <w:jc w:val="center"/>
              <w:outlineLvl w:val="8"/>
              <w:rPr>
                <w:lang w:val="en-AU"/>
              </w:rPr>
            </w:pPr>
            <w:r w:rsidRPr="00444D54">
              <w:rPr>
                <w:lang w:val="en-AU"/>
              </w:rPr>
              <w:t>1</w:t>
            </w:r>
          </w:p>
        </w:tc>
        <w:tc>
          <w:tcPr>
            <w:tcW w:w="1852" w:type="dxa"/>
            <w:hideMark/>
          </w:tcPr>
          <w:p w14:paraId="18BD41D9" w14:textId="77777777" w:rsidR="00C35737" w:rsidRPr="00444D54" w:rsidRDefault="00C35737" w:rsidP="00376822">
            <w:pPr>
              <w:keepNext/>
              <w:keepLines/>
              <w:spacing w:line="259" w:lineRule="auto"/>
              <w:outlineLvl w:val="8"/>
              <w:rPr>
                <w:lang w:val="en-AU"/>
              </w:rPr>
            </w:pPr>
            <w:r>
              <w:rPr>
                <w:lang w:val="en-AU"/>
              </w:rPr>
              <w:t>Program</w:t>
            </w:r>
            <w:r w:rsidRPr="00444D54">
              <w:rPr>
                <w:lang w:val="en-AU"/>
              </w:rPr>
              <w:t xml:space="preserve"> Cost</w:t>
            </w:r>
          </w:p>
        </w:tc>
        <w:tc>
          <w:tcPr>
            <w:tcW w:w="1350" w:type="dxa"/>
            <w:hideMark/>
          </w:tcPr>
          <w:p w14:paraId="2F93DFB9" w14:textId="77777777" w:rsidR="00C35737" w:rsidRPr="00444D54" w:rsidRDefault="00C35737" w:rsidP="00376822">
            <w:pPr>
              <w:keepNext/>
              <w:keepLines/>
              <w:spacing w:line="259" w:lineRule="auto"/>
              <w:jc w:val="right"/>
              <w:outlineLvl w:val="8"/>
              <w:rPr>
                <w:lang w:val="en-AU"/>
              </w:rPr>
            </w:pPr>
            <w:r w:rsidRPr="00444D54">
              <w:rPr>
                <w:lang w:val="en-AU"/>
              </w:rPr>
              <w:t xml:space="preserve">$18,330,332 </w:t>
            </w:r>
          </w:p>
        </w:tc>
        <w:tc>
          <w:tcPr>
            <w:tcW w:w="1350" w:type="dxa"/>
            <w:hideMark/>
          </w:tcPr>
          <w:p w14:paraId="56FA9765" w14:textId="77777777" w:rsidR="00C35737" w:rsidRPr="00444D54" w:rsidRDefault="00C35737" w:rsidP="00376822">
            <w:pPr>
              <w:keepNext/>
              <w:keepLines/>
              <w:spacing w:line="259" w:lineRule="auto"/>
              <w:jc w:val="right"/>
              <w:outlineLvl w:val="8"/>
              <w:rPr>
                <w:lang w:val="en-AU"/>
              </w:rPr>
            </w:pPr>
            <w:r w:rsidRPr="00444D54">
              <w:rPr>
                <w:lang w:val="en-AU"/>
              </w:rPr>
              <w:t xml:space="preserve">$566,088 </w:t>
            </w:r>
          </w:p>
        </w:tc>
        <w:tc>
          <w:tcPr>
            <w:tcW w:w="1350" w:type="dxa"/>
            <w:hideMark/>
          </w:tcPr>
          <w:p w14:paraId="668ED9B4" w14:textId="77777777" w:rsidR="00C35737" w:rsidRPr="00444D54" w:rsidRDefault="00C35737" w:rsidP="00376822">
            <w:pPr>
              <w:keepNext/>
              <w:keepLines/>
              <w:spacing w:line="259" w:lineRule="auto"/>
              <w:jc w:val="right"/>
              <w:outlineLvl w:val="8"/>
              <w:rPr>
                <w:lang w:val="en-AU"/>
              </w:rPr>
            </w:pPr>
            <w:r w:rsidRPr="00444D54">
              <w:rPr>
                <w:lang w:val="en-AU"/>
              </w:rPr>
              <w:t xml:space="preserve">$4,957,102 </w:t>
            </w:r>
          </w:p>
        </w:tc>
        <w:tc>
          <w:tcPr>
            <w:tcW w:w="1350" w:type="dxa"/>
            <w:hideMark/>
          </w:tcPr>
          <w:p w14:paraId="1142AA55" w14:textId="77777777" w:rsidR="00C35737" w:rsidRPr="00444D54" w:rsidRDefault="00C35737" w:rsidP="00376822">
            <w:pPr>
              <w:keepNext/>
              <w:keepLines/>
              <w:spacing w:line="259" w:lineRule="auto"/>
              <w:jc w:val="right"/>
              <w:outlineLvl w:val="8"/>
              <w:rPr>
                <w:lang w:val="en-AU"/>
              </w:rPr>
            </w:pPr>
            <w:r w:rsidRPr="00444D54">
              <w:rPr>
                <w:lang w:val="en-AU"/>
              </w:rPr>
              <w:t xml:space="preserve">$3,086,143 </w:t>
            </w:r>
          </w:p>
        </w:tc>
        <w:tc>
          <w:tcPr>
            <w:tcW w:w="1350" w:type="dxa"/>
            <w:hideMark/>
          </w:tcPr>
          <w:p w14:paraId="458D2D7C" w14:textId="77777777" w:rsidR="00C35737" w:rsidRPr="00444D54" w:rsidRDefault="00C35737" w:rsidP="00376822">
            <w:pPr>
              <w:keepNext/>
              <w:keepLines/>
              <w:spacing w:line="259" w:lineRule="auto"/>
              <w:jc w:val="right"/>
              <w:outlineLvl w:val="8"/>
              <w:rPr>
                <w:lang w:val="en-AU"/>
              </w:rPr>
            </w:pPr>
            <w:r w:rsidRPr="00444D54">
              <w:rPr>
                <w:lang w:val="en-AU"/>
              </w:rPr>
              <w:t xml:space="preserve">$4,970,999 </w:t>
            </w:r>
          </w:p>
        </w:tc>
        <w:tc>
          <w:tcPr>
            <w:tcW w:w="1350" w:type="dxa"/>
            <w:hideMark/>
          </w:tcPr>
          <w:p w14:paraId="5416C723" w14:textId="77777777" w:rsidR="00C35737" w:rsidRPr="00444D54" w:rsidRDefault="00C35737" w:rsidP="00376822">
            <w:pPr>
              <w:keepNext/>
              <w:keepLines/>
              <w:spacing w:line="259" w:lineRule="auto"/>
              <w:jc w:val="right"/>
              <w:outlineLvl w:val="8"/>
              <w:rPr>
                <w:lang w:val="en-AU"/>
              </w:rPr>
            </w:pPr>
            <w:r w:rsidRPr="00444D54">
              <w:rPr>
                <w:lang w:val="en-AU"/>
              </w:rPr>
              <w:t xml:space="preserve">$3,500,000 </w:t>
            </w:r>
          </w:p>
        </w:tc>
        <w:tc>
          <w:tcPr>
            <w:tcW w:w="1351" w:type="dxa"/>
            <w:hideMark/>
          </w:tcPr>
          <w:p w14:paraId="08E2626F" w14:textId="77777777" w:rsidR="00C35737" w:rsidRPr="00444D54" w:rsidRDefault="00C35737" w:rsidP="00376822">
            <w:pPr>
              <w:keepNext/>
              <w:keepLines/>
              <w:spacing w:line="259" w:lineRule="auto"/>
              <w:jc w:val="right"/>
              <w:outlineLvl w:val="8"/>
              <w:rPr>
                <w:lang w:val="en-AU"/>
              </w:rPr>
            </w:pPr>
            <w:r w:rsidRPr="00444D54">
              <w:rPr>
                <w:lang w:val="en-AU"/>
              </w:rPr>
              <w:t xml:space="preserve">$1,250,000 </w:t>
            </w:r>
          </w:p>
        </w:tc>
        <w:tc>
          <w:tcPr>
            <w:tcW w:w="1333" w:type="dxa"/>
            <w:hideMark/>
          </w:tcPr>
          <w:p w14:paraId="6FE6F232" w14:textId="77777777" w:rsidR="00C35737" w:rsidRPr="00444D54" w:rsidRDefault="00C35737" w:rsidP="00376822">
            <w:pPr>
              <w:keepNext/>
              <w:keepLines/>
              <w:spacing w:line="259" w:lineRule="auto"/>
              <w:jc w:val="right"/>
              <w:outlineLvl w:val="8"/>
              <w:rPr>
                <w:lang w:val="en-AU"/>
              </w:rPr>
            </w:pPr>
            <w:r w:rsidRPr="00444D54">
              <w:rPr>
                <w:lang w:val="en-AU"/>
              </w:rPr>
              <w:t xml:space="preserve">$18,330,332 </w:t>
            </w:r>
          </w:p>
        </w:tc>
      </w:tr>
      <w:tr w:rsidR="00C35737" w:rsidRPr="00AA269A" w14:paraId="1AA2A730" w14:textId="77777777" w:rsidTr="00376822">
        <w:trPr>
          <w:trHeight w:val="255"/>
        </w:trPr>
        <w:tc>
          <w:tcPr>
            <w:tcW w:w="483" w:type="dxa"/>
            <w:hideMark/>
          </w:tcPr>
          <w:p w14:paraId="64F16A7B" w14:textId="77777777" w:rsidR="00C35737" w:rsidRPr="00444D54" w:rsidRDefault="00C35737" w:rsidP="00376822">
            <w:pPr>
              <w:keepNext/>
              <w:keepLines/>
              <w:spacing w:line="259" w:lineRule="auto"/>
              <w:jc w:val="center"/>
              <w:outlineLvl w:val="8"/>
              <w:rPr>
                <w:lang w:val="en-AU"/>
              </w:rPr>
            </w:pPr>
            <w:r w:rsidRPr="00444D54">
              <w:rPr>
                <w:lang w:val="en-AU"/>
              </w:rPr>
              <w:t>2</w:t>
            </w:r>
          </w:p>
        </w:tc>
        <w:tc>
          <w:tcPr>
            <w:tcW w:w="1852" w:type="dxa"/>
            <w:hideMark/>
          </w:tcPr>
          <w:p w14:paraId="1C8ED8D6" w14:textId="77777777" w:rsidR="00C35737" w:rsidRPr="00444D54" w:rsidRDefault="00C35737" w:rsidP="00376822">
            <w:pPr>
              <w:keepNext/>
              <w:keepLines/>
              <w:spacing w:line="259" w:lineRule="auto"/>
              <w:outlineLvl w:val="8"/>
              <w:rPr>
                <w:lang w:val="en-AU"/>
              </w:rPr>
            </w:pPr>
            <w:r w:rsidRPr="00444D54">
              <w:rPr>
                <w:lang w:val="en-AU"/>
              </w:rPr>
              <w:t>Labour Cost</w:t>
            </w:r>
          </w:p>
        </w:tc>
        <w:tc>
          <w:tcPr>
            <w:tcW w:w="1350" w:type="dxa"/>
            <w:hideMark/>
          </w:tcPr>
          <w:p w14:paraId="2F214FA7" w14:textId="77777777" w:rsidR="00C35737" w:rsidRPr="00444D54" w:rsidRDefault="00C35737" w:rsidP="00376822">
            <w:pPr>
              <w:keepNext/>
              <w:keepLines/>
              <w:spacing w:line="259" w:lineRule="auto"/>
              <w:jc w:val="right"/>
              <w:outlineLvl w:val="8"/>
              <w:rPr>
                <w:lang w:val="en-AU"/>
              </w:rPr>
            </w:pPr>
            <w:r w:rsidRPr="00444D54">
              <w:rPr>
                <w:lang w:val="en-AU"/>
              </w:rPr>
              <w:t xml:space="preserve">$11,825,496 </w:t>
            </w:r>
          </w:p>
        </w:tc>
        <w:tc>
          <w:tcPr>
            <w:tcW w:w="1350" w:type="dxa"/>
            <w:hideMark/>
          </w:tcPr>
          <w:p w14:paraId="2BF97F34" w14:textId="77777777" w:rsidR="00C35737" w:rsidRPr="00444D54" w:rsidRDefault="00C35737" w:rsidP="00376822">
            <w:pPr>
              <w:keepNext/>
              <w:keepLines/>
              <w:spacing w:line="259" w:lineRule="auto"/>
              <w:jc w:val="right"/>
              <w:outlineLvl w:val="8"/>
              <w:rPr>
                <w:lang w:val="en-AU"/>
              </w:rPr>
            </w:pPr>
            <w:r w:rsidRPr="00444D54">
              <w:rPr>
                <w:lang w:val="en-AU"/>
              </w:rPr>
              <w:t xml:space="preserve">$912,423 </w:t>
            </w:r>
          </w:p>
        </w:tc>
        <w:tc>
          <w:tcPr>
            <w:tcW w:w="1350" w:type="dxa"/>
            <w:hideMark/>
          </w:tcPr>
          <w:p w14:paraId="1D91B6F3" w14:textId="77777777" w:rsidR="00C35737" w:rsidRPr="00444D54" w:rsidRDefault="00C35737" w:rsidP="00376822">
            <w:pPr>
              <w:keepNext/>
              <w:keepLines/>
              <w:spacing w:line="259" w:lineRule="auto"/>
              <w:jc w:val="right"/>
              <w:outlineLvl w:val="8"/>
              <w:rPr>
                <w:lang w:val="en-AU"/>
              </w:rPr>
            </w:pPr>
            <w:r w:rsidRPr="00444D54">
              <w:rPr>
                <w:lang w:val="en-AU"/>
              </w:rPr>
              <w:t xml:space="preserve">$2,244,853 </w:t>
            </w:r>
          </w:p>
        </w:tc>
        <w:tc>
          <w:tcPr>
            <w:tcW w:w="1350" w:type="dxa"/>
            <w:hideMark/>
          </w:tcPr>
          <w:p w14:paraId="7A243F92" w14:textId="77777777" w:rsidR="00C35737" w:rsidRPr="00444D54" w:rsidRDefault="00C35737" w:rsidP="00376822">
            <w:pPr>
              <w:keepNext/>
              <w:keepLines/>
              <w:spacing w:line="259" w:lineRule="auto"/>
              <w:jc w:val="right"/>
              <w:outlineLvl w:val="8"/>
              <w:rPr>
                <w:lang w:val="en-AU"/>
              </w:rPr>
            </w:pPr>
            <w:r w:rsidRPr="00444D54">
              <w:rPr>
                <w:lang w:val="en-AU"/>
              </w:rPr>
              <w:t xml:space="preserve">$2,357,096 </w:t>
            </w:r>
          </w:p>
        </w:tc>
        <w:tc>
          <w:tcPr>
            <w:tcW w:w="1350" w:type="dxa"/>
            <w:hideMark/>
          </w:tcPr>
          <w:p w14:paraId="5BA7C630" w14:textId="77777777" w:rsidR="00C35737" w:rsidRPr="00444D54" w:rsidRDefault="00C35737" w:rsidP="00376822">
            <w:pPr>
              <w:keepNext/>
              <w:keepLines/>
              <w:spacing w:line="259" w:lineRule="auto"/>
              <w:jc w:val="right"/>
              <w:outlineLvl w:val="8"/>
              <w:rPr>
                <w:lang w:val="en-AU"/>
              </w:rPr>
            </w:pPr>
            <w:r w:rsidRPr="00444D54">
              <w:rPr>
                <w:lang w:val="en-AU"/>
              </w:rPr>
              <w:t xml:space="preserve">$2,474,951 </w:t>
            </w:r>
          </w:p>
        </w:tc>
        <w:tc>
          <w:tcPr>
            <w:tcW w:w="1350" w:type="dxa"/>
            <w:hideMark/>
          </w:tcPr>
          <w:p w14:paraId="4E6B0CE8" w14:textId="77777777" w:rsidR="00C35737" w:rsidRPr="00444D54" w:rsidRDefault="00C35737" w:rsidP="00376822">
            <w:pPr>
              <w:keepNext/>
              <w:keepLines/>
              <w:spacing w:line="259" w:lineRule="auto"/>
              <w:jc w:val="right"/>
              <w:outlineLvl w:val="8"/>
              <w:rPr>
                <w:lang w:val="en-AU"/>
              </w:rPr>
            </w:pPr>
            <w:r w:rsidRPr="00444D54">
              <w:rPr>
                <w:lang w:val="en-AU"/>
              </w:rPr>
              <w:t xml:space="preserve">$2,598,698 </w:t>
            </w:r>
          </w:p>
        </w:tc>
        <w:tc>
          <w:tcPr>
            <w:tcW w:w="1351" w:type="dxa"/>
            <w:hideMark/>
          </w:tcPr>
          <w:p w14:paraId="7BDB0894" w14:textId="77777777" w:rsidR="00C35737" w:rsidRPr="00444D54" w:rsidRDefault="00C35737" w:rsidP="00376822">
            <w:pPr>
              <w:keepNext/>
              <w:keepLines/>
              <w:spacing w:line="259" w:lineRule="auto"/>
              <w:jc w:val="right"/>
              <w:outlineLvl w:val="8"/>
              <w:rPr>
                <w:lang w:val="en-AU"/>
              </w:rPr>
            </w:pPr>
            <w:r w:rsidRPr="00444D54">
              <w:rPr>
                <w:lang w:val="en-AU"/>
              </w:rPr>
              <w:t xml:space="preserve">$1,237,475 </w:t>
            </w:r>
          </w:p>
        </w:tc>
        <w:tc>
          <w:tcPr>
            <w:tcW w:w="1333" w:type="dxa"/>
            <w:hideMark/>
          </w:tcPr>
          <w:p w14:paraId="1CE50FFA" w14:textId="77777777" w:rsidR="00C35737" w:rsidRPr="00444D54" w:rsidRDefault="00C35737" w:rsidP="00376822">
            <w:pPr>
              <w:keepNext/>
              <w:keepLines/>
              <w:spacing w:line="259" w:lineRule="auto"/>
              <w:jc w:val="right"/>
              <w:outlineLvl w:val="8"/>
              <w:rPr>
                <w:lang w:val="en-AU"/>
              </w:rPr>
            </w:pPr>
            <w:r w:rsidRPr="00444D54">
              <w:rPr>
                <w:lang w:val="en-AU"/>
              </w:rPr>
              <w:t xml:space="preserve">$11,825,496 </w:t>
            </w:r>
          </w:p>
        </w:tc>
      </w:tr>
      <w:tr w:rsidR="00C35737" w:rsidRPr="00AA269A" w14:paraId="71AE1EA4" w14:textId="77777777" w:rsidTr="00376822">
        <w:trPr>
          <w:trHeight w:val="255"/>
        </w:trPr>
        <w:tc>
          <w:tcPr>
            <w:tcW w:w="483" w:type="dxa"/>
            <w:hideMark/>
          </w:tcPr>
          <w:p w14:paraId="6CF4AD35" w14:textId="77777777" w:rsidR="00C35737" w:rsidRPr="00444D54" w:rsidRDefault="00C35737" w:rsidP="00376822">
            <w:pPr>
              <w:keepNext/>
              <w:keepLines/>
              <w:spacing w:line="259" w:lineRule="auto"/>
              <w:jc w:val="center"/>
              <w:outlineLvl w:val="8"/>
              <w:rPr>
                <w:lang w:val="en-AU"/>
              </w:rPr>
            </w:pPr>
            <w:r w:rsidRPr="00444D54">
              <w:rPr>
                <w:lang w:val="en-AU"/>
              </w:rPr>
              <w:t>3</w:t>
            </w:r>
          </w:p>
        </w:tc>
        <w:tc>
          <w:tcPr>
            <w:tcW w:w="1852" w:type="dxa"/>
            <w:hideMark/>
          </w:tcPr>
          <w:p w14:paraId="01A5C31E" w14:textId="77777777" w:rsidR="00C35737" w:rsidRPr="00444D54" w:rsidRDefault="00C35737" w:rsidP="00376822">
            <w:pPr>
              <w:keepNext/>
              <w:keepLines/>
              <w:spacing w:line="259" w:lineRule="auto"/>
              <w:outlineLvl w:val="8"/>
              <w:rPr>
                <w:lang w:val="en-AU"/>
              </w:rPr>
            </w:pPr>
            <w:r w:rsidRPr="00444D54">
              <w:rPr>
                <w:lang w:val="en-AU"/>
              </w:rPr>
              <w:t>Fixed Ops</w:t>
            </w:r>
          </w:p>
        </w:tc>
        <w:tc>
          <w:tcPr>
            <w:tcW w:w="1350" w:type="dxa"/>
            <w:hideMark/>
          </w:tcPr>
          <w:p w14:paraId="4F3B08ED" w14:textId="77777777" w:rsidR="00C35737" w:rsidRPr="00444D54" w:rsidRDefault="00C35737" w:rsidP="00376822">
            <w:pPr>
              <w:keepNext/>
              <w:keepLines/>
              <w:spacing w:line="259" w:lineRule="auto"/>
              <w:jc w:val="right"/>
              <w:outlineLvl w:val="8"/>
              <w:rPr>
                <w:lang w:val="en-AU"/>
              </w:rPr>
            </w:pPr>
            <w:r w:rsidRPr="00444D54">
              <w:rPr>
                <w:lang w:val="en-AU"/>
              </w:rPr>
              <w:t xml:space="preserve">$7,959,172 </w:t>
            </w:r>
          </w:p>
        </w:tc>
        <w:tc>
          <w:tcPr>
            <w:tcW w:w="1350" w:type="dxa"/>
            <w:hideMark/>
          </w:tcPr>
          <w:p w14:paraId="26D23A53" w14:textId="77777777" w:rsidR="00C35737" w:rsidRPr="00444D54" w:rsidRDefault="00C35737" w:rsidP="00376822">
            <w:pPr>
              <w:keepNext/>
              <w:keepLines/>
              <w:spacing w:line="259" w:lineRule="auto"/>
              <w:jc w:val="right"/>
              <w:outlineLvl w:val="8"/>
              <w:rPr>
                <w:lang w:val="en-AU"/>
              </w:rPr>
            </w:pPr>
            <w:r w:rsidRPr="00444D54">
              <w:rPr>
                <w:lang w:val="en-AU"/>
              </w:rPr>
              <w:t xml:space="preserve">$1,457,267 </w:t>
            </w:r>
          </w:p>
        </w:tc>
        <w:tc>
          <w:tcPr>
            <w:tcW w:w="1350" w:type="dxa"/>
            <w:hideMark/>
          </w:tcPr>
          <w:p w14:paraId="6A14595E" w14:textId="77777777" w:rsidR="00C35737" w:rsidRPr="00444D54" w:rsidRDefault="00C35737" w:rsidP="00376822">
            <w:pPr>
              <w:keepNext/>
              <w:keepLines/>
              <w:spacing w:line="259" w:lineRule="auto"/>
              <w:jc w:val="right"/>
              <w:outlineLvl w:val="8"/>
              <w:rPr>
                <w:lang w:val="en-AU"/>
              </w:rPr>
            </w:pPr>
            <w:r w:rsidRPr="00444D54">
              <w:rPr>
                <w:lang w:val="en-AU"/>
              </w:rPr>
              <w:t xml:space="preserve">$2,272,417 </w:t>
            </w:r>
          </w:p>
        </w:tc>
        <w:tc>
          <w:tcPr>
            <w:tcW w:w="1350" w:type="dxa"/>
            <w:hideMark/>
          </w:tcPr>
          <w:p w14:paraId="29B55579" w14:textId="77777777" w:rsidR="00C35737" w:rsidRPr="00444D54" w:rsidRDefault="00C35737" w:rsidP="00376822">
            <w:pPr>
              <w:keepNext/>
              <w:keepLines/>
              <w:spacing w:line="259" w:lineRule="auto"/>
              <w:jc w:val="right"/>
              <w:outlineLvl w:val="8"/>
              <w:rPr>
                <w:lang w:val="en-AU"/>
              </w:rPr>
            </w:pPr>
            <w:r w:rsidRPr="00444D54">
              <w:rPr>
                <w:lang w:val="en-AU"/>
              </w:rPr>
              <w:t xml:space="preserve">$1,125,000 </w:t>
            </w:r>
          </w:p>
        </w:tc>
        <w:tc>
          <w:tcPr>
            <w:tcW w:w="1350" w:type="dxa"/>
            <w:hideMark/>
          </w:tcPr>
          <w:p w14:paraId="2C9CD322" w14:textId="77777777" w:rsidR="00C35737" w:rsidRPr="00444D54" w:rsidRDefault="00C35737" w:rsidP="00376822">
            <w:pPr>
              <w:keepNext/>
              <w:keepLines/>
              <w:spacing w:line="259" w:lineRule="auto"/>
              <w:jc w:val="right"/>
              <w:outlineLvl w:val="8"/>
              <w:rPr>
                <w:lang w:val="en-AU"/>
              </w:rPr>
            </w:pPr>
            <w:r w:rsidRPr="00444D54">
              <w:rPr>
                <w:lang w:val="en-AU"/>
              </w:rPr>
              <w:t xml:space="preserve">$1,181,250 </w:t>
            </w:r>
          </w:p>
        </w:tc>
        <w:tc>
          <w:tcPr>
            <w:tcW w:w="1350" w:type="dxa"/>
            <w:hideMark/>
          </w:tcPr>
          <w:p w14:paraId="175C8078" w14:textId="77777777" w:rsidR="00C35737" w:rsidRPr="00444D54" w:rsidRDefault="00C35737" w:rsidP="00376822">
            <w:pPr>
              <w:keepNext/>
              <w:keepLines/>
              <w:spacing w:line="259" w:lineRule="auto"/>
              <w:jc w:val="right"/>
              <w:outlineLvl w:val="8"/>
              <w:rPr>
                <w:lang w:val="en-AU"/>
              </w:rPr>
            </w:pPr>
            <w:r w:rsidRPr="00444D54">
              <w:rPr>
                <w:lang w:val="en-AU"/>
              </w:rPr>
              <w:t xml:space="preserve">$1,240,313 </w:t>
            </w:r>
          </w:p>
        </w:tc>
        <w:tc>
          <w:tcPr>
            <w:tcW w:w="1351" w:type="dxa"/>
            <w:hideMark/>
          </w:tcPr>
          <w:p w14:paraId="52B92926" w14:textId="77777777" w:rsidR="00C35737" w:rsidRPr="00444D54" w:rsidRDefault="00C35737" w:rsidP="00376822">
            <w:pPr>
              <w:keepNext/>
              <w:keepLines/>
              <w:spacing w:line="259" w:lineRule="auto"/>
              <w:jc w:val="right"/>
              <w:outlineLvl w:val="8"/>
              <w:rPr>
                <w:lang w:val="en-AU"/>
              </w:rPr>
            </w:pPr>
            <w:r w:rsidRPr="00444D54">
              <w:rPr>
                <w:lang w:val="en-AU"/>
              </w:rPr>
              <w:t xml:space="preserve">$682,926 </w:t>
            </w:r>
          </w:p>
        </w:tc>
        <w:tc>
          <w:tcPr>
            <w:tcW w:w="1333" w:type="dxa"/>
            <w:hideMark/>
          </w:tcPr>
          <w:p w14:paraId="246C816E" w14:textId="77777777" w:rsidR="00C35737" w:rsidRPr="00444D54" w:rsidRDefault="00C35737" w:rsidP="00376822">
            <w:pPr>
              <w:keepNext/>
              <w:keepLines/>
              <w:spacing w:line="259" w:lineRule="auto"/>
              <w:jc w:val="right"/>
              <w:outlineLvl w:val="8"/>
              <w:rPr>
                <w:lang w:val="en-AU"/>
              </w:rPr>
            </w:pPr>
            <w:r w:rsidRPr="00444D54">
              <w:rPr>
                <w:lang w:val="en-AU"/>
              </w:rPr>
              <w:t xml:space="preserve">$7,959,172 </w:t>
            </w:r>
          </w:p>
        </w:tc>
      </w:tr>
      <w:tr w:rsidR="00C35737" w:rsidRPr="00AA269A" w14:paraId="18A131ED" w14:textId="77777777" w:rsidTr="00376822">
        <w:trPr>
          <w:trHeight w:val="255"/>
        </w:trPr>
        <w:tc>
          <w:tcPr>
            <w:tcW w:w="483" w:type="dxa"/>
            <w:hideMark/>
          </w:tcPr>
          <w:p w14:paraId="3FDA76EF" w14:textId="77777777" w:rsidR="00C35737" w:rsidRPr="00444D54" w:rsidRDefault="00C35737" w:rsidP="00376822">
            <w:pPr>
              <w:keepNext/>
              <w:keepLines/>
              <w:spacing w:line="259" w:lineRule="auto"/>
              <w:jc w:val="center"/>
              <w:outlineLvl w:val="8"/>
              <w:rPr>
                <w:lang w:val="en-AU"/>
              </w:rPr>
            </w:pPr>
          </w:p>
        </w:tc>
        <w:tc>
          <w:tcPr>
            <w:tcW w:w="1852" w:type="dxa"/>
            <w:hideMark/>
          </w:tcPr>
          <w:p w14:paraId="3B118451" w14:textId="77777777" w:rsidR="00C35737" w:rsidRPr="00444D54" w:rsidRDefault="00C35737" w:rsidP="00376822">
            <w:pPr>
              <w:spacing w:line="259" w:lineRule="auto"/>
              <w:rPr>
                <w:b/>
                <w:bCs/>
                <w:lang w:val="en-AU"/>
              </w:rPr>
            </w:pPr>
            <w:r w:rsidRPr="00444D54">
              <w:rPr>
                <w:b/>
                <w:bCs/>
                <w:lang w:val="en-AU"/>
              </w:rPr>
              <w:t>Sub-Total</w:t>
            </w:r>
          </w:p>
        </w:tc>
        <w:tc>
          <w:tcPr>
            <w:tcW w:w="1350" w:type="dxa"/>
            <w:hideMark/>
          </w:tcPr>
          <w:p w14:paraId="2A0DFAEF" w14:textId="77777777" w:rsidR="00C35737" w:rsidRPr="00444D54" w:rsidRDefault="00C35737" w:rsidP="00376822">
            <w:pPr>
              <w:spacing w:line="259" w:lineRule="auto"/>
              <w:jc w:val="right"/>
              <w:rPr>
                <w:b/>
                <w:bCs/>
                <w:lang w:val="en-AU"/>
              </w:rPr>
            </w:pPr>
            <w:r w:rsidRPr="00444D54">
              <w:rPr>
                <w:b/>
                <w:bCs/>
                <w:lang w:val="en-AU"/>
              </w:rPr>
              <w:t xml:space="preserve">$38,115,000 </w:t>
            </w:r>
          </w:p>
        </w:tc>
        <w:tc>
          <w:tcPr>
            <w:tcW w:w="1350" w:type="dxa"/>
            <w:hideMark/>
          </w:tcPr>
          <w:p w14:paraId="75605EB0" w14:textId="77777777" w:rsidR="00C35737" w:rsidRPr="00444D54" w:rsidRDefault="00C35737" w:rsidP="00376822">
            <w:pPr>
              <w:spacing w:line="259" w:lineRule="auto"/>
              <w:jc w:val="right"/>
              <w:rPr>
                <w:b/>
                <w:bCs/>
                <w:lang w:val="en-AU"/>
              </w:rPr>
            </w:pPr>
            <w:r w:rsidRPr="00444D54">
              <w:rPr>
                <w:b/>
                <w:bCs/>
                <w:lang w:val="en-AU"/>
              </w:rPr>
              <w:t xml:space="preserve">$2,935,778 </w:t>
            </w:r>
          </w:p>
        </w:tc>
        <w:tc>
          <w:tcPr>
            <w:tcW w:w="1350" w:type="dxa"/>
            <w:hideMark/>
          </w:tcPr>
          <w:p w14:paraId="0D1D8B2A" w14:textId="77777777" w:rsidR="00C35737" w:rsidRPr="00444D54" w:rsidRDefault="00C35737" w:rsidP="00376822">
            <w:pPr>
              <w:spacing w:line="259" w:lineRule="auto"/>
              <w:jc w:val="right"/>
              <w:rPr>
                <w:b/>
                <w:bCs/>
                <w:lang w:val="en-AU"/>
              </w:rPr>
            </w:pPr>
            <w:r w:rsidRPr="00444D54">
              <w:rPr>
                <w:b/>
                <w:bCs/>
                <w:lang w:val="en-AU"/>
              </w:rPr>
              <w:t xml:space="preserve">$9,474,372 </w:t>
            </w:r>
          </w:p>
        </w:tc>
        <w:tc>
          <w:tcPr>
            <w:tcW w:w="1350" w:type="dxa"/>
            <w:hideMark/>
          </w:tcPr>
          <w:p w14:paraId="41707C3C" w14:textId="77777777" w:rsidR="00C35737" w:rsidRPr="00444D54" w:rsidRDefault="00C35737" w:rsidP="00376822">
            <w:pPr>
              <w:spacing w:line="259" w:lineRule="auto"/>
              <w:jc w:val="right"/>
              <w:rPr>
                <w:b/>
                <w:bCs/>
                <w:lang w:val="en-AU"/>
              </w:rPr>
            </w:pPr>
            <w:r w:rsidRPr="00444D54">
              <w:rPr>
                <w:b/>
                <w:bCs/>
                <w:lang w:val="en-AU"/>
              </w:rPr>
              <w:t xml:space="preserve">$6,568,239 </w:t>
            </w:r>
          </w:p>
        </w:tc>
        <w:tc>
          <w:tcPr>
            <w:tcW w:w="1350" w:type="dxa"/>
            <w:hideMark/>
          </w:tcPr>
          <w:p w14:paraId="135AE98F" w14:textId="77777777" w:rsidR="00C35737" w:rsidRPr="00444D54" w:rsidRDefault="00C35737" w:rsidP="00376822">
            <w:pPr>
              <w:spacing w:line="259" w:lineRule="auto"/>
              <w:jc w:val="right"/>
              <w:rPr>
                <w:b/>
                <w:bCs/>
                <w:lang w:val="en-AU"/>
              </w:rPr>
            </w:pPr>
            <w:r w:rsidRPr="00444D54">
              <w:rPr>
                <w:b/>
                <w:bCs/>
                <w:lang w:val="en-AU"/>
              </w:rPr>
              <w:t xml:space="preserve">$8,627,200 </w:t>
            </w:r>
          </w:p>
        </w:tc>
        <w:tc>
          <w:tcPr>
            <w:tcW w:w="1350" w:type="dxa"/>
            <w:hideMark/>
          </w:tcPr>
          <w:p w14:paraId="21BECBAC" w14:textId="77777777" w:rsidR="00C35737" w:rsidRPr="00444D54" w:rsidRDefault="00C35737" w:rsidP="00376822">
            <w:pPr>
              <w:spacing w:line="259" w:lineRule="auto"/>
              <w:jc w:val="right"/>
              <w:rPr>
                <w:b/>
                <w:bCs/>
                <w:lang w:val="en-AU"/>
              </w:rPr>
            </w:pPr>
            <w:r w:rsidRPr="00444D54">
              <w:rPr>
                <w:b/>
                <w:bCs/>
                <w:lang w:val="en-AU"/>
              </w:rPr>
              <w:t xml:space="preserve">$7,339,011 </w:t>
            </w:r>
          </w:p>
        </w:tc>
        <w:tc>
          <w:tcPr>
            <w:tcW w:w="1351" w:type="dxa"/>
            <w:hideMark/>
          </w:tcPr>
          <w:p w14:paraId="2F984C38" w14:textId="77777777" w:rsidR="00C35737" w:rsidRPr="00444D54" w:rsidRDefault="00C35737" w:rsidP="00376822">
            <w:pPr>
              <w:spacing w:line="259" w:lineRule="auto"/>
              <w:jc w:val="right"/>
              <w:rPr>
                <w:b/>
                <w:bCs/>
                <w:lang w:val="en-AU"/>
              </w:rPr>
            </w:pPr>
            <w:r w:rsidRPr="00444D54">
              <w:rPr>
                <w:b/>
                <w:bCs/>
                <w:lang w:val="en-AU"/>
              </w:rPr>
              <w:t xml:space="preserve">$3,170,402 </w:t>
            </w:r>
          </w:p>
        </w:tc>
        <w:tc>
          <w:tcPr>
            <w:tcW w:w="1333" w:type="dxa"/>
            <w:hideMark/>
          </w:tcPr>
          <w:p w14:paraId="00B0C5CE" w14:textId="77777777" w:rsidR="00C35737" w:rsidRPr="00444D54" w:rsidRDefault="00C35737" w:rsidP="00376822">
            <w:pPr>
              <w:spacing w:line="259" w:lineRule="auto"/>
              <w:jc w:val="right"/>
              <w:rPr>
                <w:b/>
                <w:bCs/>
                <w:lang w:val="en-AU"/>
              </w:rPr>
            </w:pPr>
            <w:r w:rsidRPr="00444D54">
              <w:rPr>
                <w:b/>
                <w:bCs/>
                <w:lang w:val="en-AU"/>
              </w:rPr>
              <w:t xml:space="preserve">$38,115,000 </w:t>
            </w:r>
          </w:p>
        </w:tc>
      </w:tr>
      <w:tr w:rsidR="00C35737" w:rsidRPr="00AA269A" w14:paraId="690E1CA8" w14:textId="77777777" w:rsidTr="00376822">
        <w:trPr>
          <w:trHeight w:val="143"/>
        </w:trPr>
        <w:tc>
          <w:tcPr>
            <w:tcW w:w="483" w:type="dxa"/>
            <w:hideMark/>
          </w:tcPr>
          <w:p w14:paraId="7B050C84" w14:textId="77777777" w:rsidR="00C35737" w:rsidRPr="00444D54" w:rsidRDefault="00C35737" w:rsidP="00376822">
            <w:pPr>
              <w:keepNext/>
              <w:keepLines/>
              <w:spacing w:line="259" w:lineRule="auto"/>
              <w:jc w:val="center"/>
              <w:outlineLvl w:val="8"/>
              <w:rPr>
                <w:lang w:val="en-AU"/>
              </w:rPr>
            </w:pPr>
          </w:p>
        </w:tc>
        <w:tc>
          <w:tcPr>
            <w:tcW w:w="1852" w:type="dxa"/>
            <w:hideMark/>
          </w:tcPr>
          <w:p w14:paraId="0BBE0ADF" w14:textId="77777777" w:rsidR="00C35737" w:rsidRPr="00444D54" w:rsidRDefault="00C35737" w:rsidP="00376822">
            <w:pPr>
              <w:spacing w:line="259" w:lineRule="auto"/>
              <w:rPr>
                <w:b/>
                <w:bCs/>
                <w:lang w:val="en-AU"/>
              </w:rPr>
            </w:pPr>
            <w:r w:rsidRPr="00444D54">
              <w:rPr>
                <w:b/>
                <w:bCs/>
                <w:lang w:val="en-AU"/>
              </w:rPr>
              <w:t> </w:t>
            </w:r>
          </w:p>
        </w:tc>
        <w:tc>
          <w:tcPr>
            <w:tcW w:w="1350" w:type="dxa"/>
            <w:hideMark/>
          </w:tcPr>
          <w:p w14:paraId="14B3BFE4" w14:textId="77777777" w:rsidR="00C35737" w:rsidRPr="00444D54" w:rsidRDefault="00C35737" w:rsidP="00376822">
            <w:pPr>
              <w:spacing w:line="259" w:lineRule="auto"/>
              <w:jc w:val="right"/>
              <w:rPr>
                <w:b/>
                <w:bCs/>
                <w:lang w:val="en-AU"/>
              </w:rPr>
            </w:pPr>
            <w:r w:rsidRPr="00444D54">
              <w:rPr>
                <w:b/>
                <w:bCs/>
                <w:lang w:val="en-AU"/>
              </w:rPr>
              <w:t> </w:t>
            </w:r>
          </w:p>
        </w:tc>
        <w:tc>
          <w:tcPr>
            <w:tcW w:w="1350" w:type="dxa"/>
            <w:hideMark/>
          </w:tcPr>
          <w:p w14:paraId="4ED54E1E" w14:textId="77777777" w:rsidR="00C35737" w:rsidRPr="00444D54" w:rsidRDefault="00C35737" w:rsidP="00376822">
            <w:pPr>
              <w:spacing w:line="259" w:lineRule="auto"/>
              <w:jc w:val="right"/>
              <w:rPr>
                <w:b/>
                <w:bCs/>
                <w:lang w:val="en-AU"/>
              </w:rPr>
            </w:pPr>
            <w:r w:rsidRPr="00444D54">
              <w:rPr>
                <w:b/>
                <w:bCs/>
                <w:lang w:val="en-AU"/>
              </w:rPr>
              <w:t> </w:t>
            </w:r>
          </w:p>
        </w:tc>
        <w:tc>
          <w:tcPr>
            <w:tcW w:w="1350" w:type="dxa"/>
            <w:hideMark/>
          </w:tcPr>
          <w:p w14:paraId="6822A8E4" w14:textId="77777777" w:rsidR="00C35737" w:rsidRPr="00444D54" w:rsidRDefault="00C35737" w:rsidP="00376822">
            <w:pPr>
              <w:spacing w:line="259" w:lineRule="auto"/>
              <w:jc w:val="right"/>
              <w:rPr>
                <w:b/>
                <w:bCs/>
                <w:lang w:val="en-AU"/>
              </w:rPr>
            </w:pPr>
            <w:r w:rsidRPr="00444D54">
              <w:rPr>
                <w:b/>
                <w:bCs/>
                <w:lang w:val="en-AU"/>
              </w:rPr>
              <w:t> </w:t>
            </w:r>
          </w:p>
        </w:tc>
        <w:tc>
          <w:tcPr>
            <w:tcW w:w="1350" w:type="dxa"/>
            <w:hideMark/>
          </w:tcPr>
          <w:p w14:paraId="14B6246C" w14:textId="77777777" w:rsidR="00C35737" w:rsidRPr="00444D54" w:rsidRDefault="00C35737" w:rsidP="00376822">
            <w:pPr>
              <w:spacing w:line="259" w:lineRule="auto"/>
              <w:jc w:val="right"/>
              <w:rPr>
                <w:b/>
                <w:bCs/>
                <w:lang w:val="en-AU"/>
              </w:rPr>
            </w:pPr>
            <w:r w:rsidRPr="00444D54">
              <w:rPr>
                <w:b/>
                <w:bCs/>
                <w:lang w:val="en-AU"/>
              </w:rPr>
              <w:t> </w:t>
            </w:r>
          </w:p>
        </w:tc>
        <w:tc>
          <w:tcPr>
            <w:tcW w:w="1350" w:type="dxa"/>
            <w:hideMark/>
          </w:tcPr>
          <w:p w14:paraId="2AA004CC" w14:textId="77777777" w:rsidR="00C35737" w:rsidRPr="00444D54" w:rsidRDefault="00C35737" w:rsidP="00376822">
            <w:pPr>
              <w:spacing w:line="259" w:lineRule="auto"/>
              <w:jc w:val="right"/>
              <w:rPr>
                <w:b/>
                <w:bCs/>
                <w:lang w:val="en-AU"/>
              </w:rPr>
            </w:pPr>
            <w:r w:rsidRPr="00444D54">
              <w:rPr>
                <w:b/>
                <w:bCs/>
                <w:lang w:val="en-AU"/>
              </w:rPr>
              <w:t> </w:t>
            </w:r>
          </w:p>
        </w:tc>
        <w:tc>
          <w:tcPr>
            <w:tcW w:w="1350" w:type="dxa"/>
            <w:hideMark/>
          </w:tcPr>
          <w:p w14:paraId="57E4DD7A" w14:textId="77777777" w:rsidR="00C35737" w:rsidRPr="00444D54" w:rsidRDefault="00C35737" w:rsidP="00376822">
            <w:pPr>
              <w:spacing w:line="259" w:lineRule="auto"/>
              <w:jc w:val="right"/>
              <w:rPr>
                <w:b/>
                <w:bCs/>
                <w:lang w:val="en-AU"/>
              </w:rPr>
            </w:pPr>
            <w:r w:rsidRPr="00444D54">
              <w:rPr>
                <w:b/>
                <w:bCs/>
                <w:lang w:val="en-AU"/>
              </w:rPr>
              <w:t> </w:t>
            </w:r>
          </w:p>
        </w:tc>
        <w:tc>
          <w:tcPr>
            <w:tcW w:w="1351" w:type="dxa"/>
            <w:hideMark/>
          </w:tcPr>
          <w:p w14:paraId="02116339" w14:textId="77777777" w:rsidR="00C35737" w:rsidRPr="00444D54" w:rsidRDefault="00C35737" w:rsidP="00376822">
            <w:pPr>
              <w:spacing w:line="259" w:lineRule="auto"/>
              <w:jc w:val="right"/>
              <w:rPr>
                <w:b/>
                <w:bCs/>
                <w:lang w:val="en-AU"/>
              </w:rPr>
            </w:pPr>
            <w:r w:rsidRPr="00444D54">
              <w:rPr>
                <w:b/>
                <w:bCs/>
                <w:lang w:val="en-AU"/>
              </w:rPr>
              <w:t> </w:t>
            </w:r>
          </w:p>
        </w:tc>
        <w:tc>
          <w:tcPr>
            <w:tcW w:w="1333" w:type="dxa"/>
            <w:hideMark/>
          </w:tcPr>
          <w:p w14:paraId="70182346" w14:textId="77777777" w:rsidR="00C35737" w:rsidRPr="00444D54" w:rsidRDefault="00C35737" w:rsidP="00376822">
            <w:pPr>
              <w:spacing w:line="259" w:lineRule="auto"/>
              <w:jc w:val="right"/>
              <w:rPr>
                <w:b/>
                <w:bCs/>
                <w:lang w:val="en-AU"/>
              </w:rPr>
            </w:pPr>
            <w:r w:rsidRPr="00444D54">
              <w:rPr>
                <w:b/>
                <w:bCs/>
                <w:lang w:val="en-AU"/>
              </w:rPr>
              <w:t> </w:t>
            </w:r>
          </w:p>
        </w:tc>
      </w:tr>
      <w:tr w:rsidR="00C35737" w:rsidRPr="00AA269A" w14:paraId="6B6B4BFE" w14:textId="77777777" w:rsidTr="00376822">
        <w:trPr>
          <w:trHeight w:val="300"/>
        </w:trPr>
        <w:tc>
          <w:tcPr>
            <w:tcW w:w="483" w:type="dxa"/>
            <w:hideMark/>
          </w:tcPr>
          <w:p w14:paraId="5D6E3CE9" w14:textId="77777777" w:rsidR="00C35737" w:rsidRPr="00444D54" w:rsidRDefault="00C35737" w:rsidP="00376822">
            <w:pPr>
              <w:keepNext/>
              <w:keepLines/>
              <w:spacing w:line="259" w:lineRule="auto"/>
              <w:jc w:val="center"/>
              <w:outlineLvl w:val="8"/>
              <w:rPr>
                <w:lang w:val="en-AU"/>
              </w:rPr>
            </w:pPr>
            <w:r w:rsidRPr="00444D54">
              <w:rPr>
                <w:lang w:val="en-AU"/>
              </w:rPr>
              <w:t>4</w:t>
            </w:r>
          </w:p>
        </w:tc>
        <w:tc>
          <w:tcPr>
            <w:tcW w:w="1852" w:type="dxa"/>
            <w:hideMark/>
          </w:tcPr>
          <w:p w14:paraId="6923955A" w14:textId="77777777" w:rsidR="00C35737" w:rsidRPr="00444D54" w:rsidRDefault="00C35737" w:rsidP="00376822">
            <w:pPr>
              <w:keepNext/>
              <w:keepLines/>
              <w:spacing w:line="259" w:lineRule="auto"/>
              <w:outlineLvl w:val="8"/>
              <w:rPr>
                <w:lang w:val="en-AU"/>
              </w:rPr>
            </w:pPr>
            <w:r w:rsidRPr="00444D54">
              <w:rPr>
                <w:lang w:val="en-AU"/>
              </w:rPr>
              <w:t>Management Fee</w:t>
            </w:r>
          </w:p>
        </w:tc>
        <w:tc>
          <w:tcPr>
            <w:tcW w:w="1350" w:type="dxa"/>
            <w:hideMark/>
          </w:tcPr>
          <w:p w14:paraId="15258E51" w14:textId="77777777" w:rsidR="00C35737" w:rsidRPr="00444D54" w:rsidRDefault="00C35737" w:rsidP="00376822">
            <w:pPr>
              <w:keepNext/>
              <w:keepLines/>
              <w:spacing w:line="259" w:lineRule="auto"/>
              <w:jc w:val="right"/>
              <w:outlineLvl w:val="8"/>
              <w:rPr>
                <w:lang w:val="en-AU"/>
              </w:rPr>
            </w:pPr>
            <w:r w:rsidRPr="00444D54">
              <w:rPr>
                <w:lang w:val="en-AU"/>
              </w:rPr>
              <w:t xml:space="preserve">$6,885,000 </w:t>
            </w:r>
          </w:p>
        </w:tc>
        <w:tc>
          <w:tcPr>
            <w:tcW w:w="1350" w:type="dxa"/>
            <w:hideMark/>
          </w:tcPr>
          <w:p w14:paraId="5CD16D20" w14:textId="77777777" w:rsidR="00C35737" w:rsidRPr="00444D54" w:rsidRDefault="00C35737" w:rsidP="00376822">
            <w:pPr>
              <w:keepNext/>
              <w:keepLines/>
              <w:spacing w:line="259" w:lineRule="auto"/>
              <w:jc w:val="right"/>
              <w:outlineLvl w:val="8"/>
              <w:rPr>
                <w:lang w:val="en-AU"/>
              </w:rPr>
            </w:pPr>
            <w:r w:rsidRPr="00444D54">
              <w:rPr>
                <w:lang w:val="en-AU"/>
              </w:rPr>
              <w:t xml:space="preserve">$0 </w:t>
            </w:r>
          </w:p>
        </w:tc>
        <w:tc>
          <w:tcPr>
            <w:tcW w:w="1350" w:type="dxa"/>
            <w:hideMark/>
          </w:tcPr>
          <w:p w14:paraId="69544B33" w14:textId="77777777" w:rsidR="00C35737" w:rsidRPr="00444D54" w:rsidRDefault="00C35737" w:rsidP="00376822">
            <w:pPr>
              <w:keepNext/>
              <w:keepLines/>
              <w:spacing w:line="259" w:lineRule="auto"/>
              <w:jc w:val="right"/>
              <w:outlineLvl w:val="8"/>
              <w:rPr>
                <w:lang w:val="en-AU"/>
              </w:rPr>
            </w:pPr>
            <w:r w:rsidRPr="00444D54">
              <w:rPr>
                <w:lang w:val="en-AU"/>
              </w:rPr>
              <w:t xml:space="preserve">$1,032,750 </w:t>
            </w:r>
          </w:p>
        </w:tc>
        <w:tc>
          <w:tcPr>
            <w:tcW w:w="1350" w:type="dxa"/>
            <w:hideMark/>
          </w:tcPr>
          <w:p w14:paraId="61D5D6EA" w14:textId="77777777" w:rsidR="00C35737" w:rsidRPr="00444D54" w:rsidRDefault="00C35737" w:rsidP="00376822">
            <w:pPr>
              <w:keepNext/>
              <w:keepLines/>
              <w:spacing w:line="259" w:lineRule="auto"/>
              <w:jc w:val="right"/>
              <w:outlineLvl w:val="8"/>
              <w:rPr>
                <w:lang w:val="en-AU"/>
              </w:rPr>
            </w:pPr>
            <w:r w:rsidRPr="00444D54">
              <w:rPr>
                <w:lang w:val="en-AU"/>
              </w:rPr>
              <w:t xml:space="preserve">$1,583,550 </w:t>
            </w:r>
          </w:p>
        </w:tc>
        <w:tc>
          <w:tcPr>
            <w:tcW w:w="1350" w:type="dxa"/>
            <w:hideMark/>
          </w:tcPr>
          <w:p w14:paraId="63A2C4B8" w14:textId="77777777" w:rsidR="00C35737" w:rsidRPr="00444D54" w:rsidRDefault="00C35737" w:rsidP="00376822">
            <w:pPr>
              <w:keepNext/>
              <w:keepLines/>
              <w:spacing w:line="259" w:lineRule="auto"/>
              <w:jc w:val="right"/>
              <w:outlineLvl w:val="8"/>
              <w:rPr>
                <w:lang w:val="en-AU"/>
              </w:rPr>
            </w:pPr>
            <w:r w:rsidRPr="00444D54">
              <w:rPr>
                <w:lang w:val="en-AU"/>
              </w:rPr>
              <w:t xml:space="preserve">$1,308,150 </w:t>
            </w:r>
          </w:p>
        </w:tc>
        <w:tc>
          <w:tcPr>
            <w:tcW w:w="1350" w:type="dxa"/>
            <w:hideMark/>
          </w:tcPr>
          <w:p w14:paraId="7661AE64" w14:textId="77777777" w:rsidR="00C35737" w:rsidRPr="00444D54" w:rsidRDefault="00C35737" w:rsidP="00376822">
            <w:pPr>
              <w:keepNext/>
              <w:keepLines/>
              <w:spacing w:line="259" w:lineRule="auto"/>
              <w:jc w:val="right"/>
              <w:outlineLvl w:val="8"/>
              <w:rPr>
                <w:lang w:val="en-AU"/>
              </w:rPr>
            </w:pPr>
            <w:r w:rsidRPr="00444D54">
              <w:rPr>
                <w:lang w:val="en-AU"/>
              </w:rPr>
              <w:t xml:space="preserve">$1,308,150 </w:t>
            </w:r>
          </w:p>
        </w:tc>
        <w:tc>
          <w:tcPr>
            <w:tcW w:w="1351" w:type="dxa"/>
            <w:hideMark/>
          </w:tcPr>
          <w:p w14:paraId="1C6C3395" w14:textId="77777777" w:rsidR="00C35737" w:rsidRPr="00444D54" w:rsidRDefault="00C35737" w:rsidP="00376822">
            <w:pPr>
              <w:keepNext/>
              <w:keepLines/>
              <w:spacing w:line="259" w:lineRule="auto"/>
              <w:jc w:val="right"/>
              <w:outlineLvl w:val="8"/>
              <w:rPr>
                <w:lang w:val="en-AU"/>
              </w:rPr>
            </w:pPr>
            <w:r w:rsidRPr="00444D54">
              <w:rPr>
                <w:lang w:val="en-AU"/>
              </w:rPr>
              <w:t xml:space="preserve">$1,652,400 </w:t>
            </w:r>
          </w:p>
        </w:tc>
        <w:tc>
          <w:tcPr>
            <w:tcW w:w="1333" w:type="dxa"/>
            <w:hideMark/>
          </w:tcPr>
          <w:p w14:paraId="7E039B57" w14:textId="77777777" w:rsidR="00C35737" w:rsidRPr="00444D54" w:rsidRDefault="00C35737" w:rsidP="00376822">
            <w:pPr>
              <w:keepNext/>
              <w:keepLines/>
              <w:spacing w:line="259" w:lineRule="auto"/>
              <w:jc w:val="right"/>
              <w:outlineLvl w:val="8"/>
              <w:rPr>
                <w:lang w:val="en-AU"/>
              </w:rPr>
            </w:pPr>
            <w:r w:rsidRPr="00444D54">
              <w:rPr>
                <w:lang w:val="en-AU"/>
              </w:rPr>
              <w:t xml:space="preserve">$6,885,000 </w:t>
            </w:r>
          </w:p>
        </w:tc>
      </w:tr>
      <w:tr w:rsidR="00C35737" w:rsidRPr="00AA269A" w14:paraId="4F943E71" w14:textId="77777777" w:rsidTr="00376822">
        <w:trPr>
          <w:trHeight w:val="255"/>
        </w:trPr>
        <w:tc>
          <w:tcPr>
            <w:tcW w:w="483" w:type="dxa"/>
            <w:noWrap/>
            <w:hideMark/>
          </w:tcPr>
          <w:p w14:paraId="0E4F44FD" w14:textId="77777777" w:rsidR="00C35737" w:rsidRPr="00444D54" w:rsidRDefault="00C35737" w:rsidP="00376822">
            <w:pPr>
              <w:keepNext/>
              <w:keepLines/>
              <w:spacing w:line="259" w:lineRule="auto"/>
              <w:outlineLvl w:val="8"/>
              <w:rPr>
                <w:lang w:val="en-AU"/>
              </w:rPr>
            </w:pPr>
            <w:r w:rsidRPr="00444D54">
              <w:rPr>
                <w:lang w:val="en-AU"/>
              </w:rPr>
              <w:t> </w:t>
            </w:r>
          </w:p>
        </w:tc>
        <w:tc>
          <w:tcPr>
            <w:tcW w:w="1852" w:type="dxa"/>
            <w:hideMark/>
          </w:tcPr>
          <w:p w14:paraId="12165F2D" w14:textId="77777777" w:rsidR="00C35737" w:rsidRPr="00444D54" w:rsidRDefault="00C35737" w:rsidP="00376822">
            <w:pPr>
              <w:spacing w:line="259" w:lineRule="auto"/>
              <w:rPr>
                <w:b/>
                <w:bCs/>
                <w:lang w:val="en-AU"/>
              </w:rPr>
            </w:pPr>
            <w:r w:rsidRPr="00444D54">
              <w:rPr>
                <w:b/>
                <w:bCs/>
                <w:lang w:val="en-AU"/>
              </w:rPr>
              <w:t>Sub-Total</w:t>
            </w:r>
          </w:p>
        </w:tc>
        <w:tc>
          <w:tcPr>
            <w:tcW w:w="1350" w:type="dxa"/>
            <w:noWrap/>
            <w:hideMark/>
          </w:tcPr>
          <w:p w14:paraId="7F4DFCD6" w14:textId="77777777" w:rsidR="00C35737" w:rsidRPr="00444D54" w:rsidRDefault="00C35737" w:rsidP="00376822">
            <w:pPr>
              <w:spacing w:line="259" w:lineRule="auto"/>
              <w:jc w:val="right"/>
              <w:rPr>
                <w:b/>
                <w:bCs/>
                <w:lang w:val="en-AU"/>
              </w:rPr>
            </w:pPr>
            <w:r w:rsidRPr="00444D54">
              <w:rPr>
                <w:b/>
                <w:bCs/>
                <w:lang w:val="en-AU"/>
              </w:rPr>
              <w:t xml:space="preserve">$6,885,000 </w:t>
            </w:r>
          </w:p>
        </w:tc>
        <w:tc>
          <w:tcPr>
            <w:tcW w:w="1350" w:type="dxa"/>
            <w:noWrap/>
            <w:hideMark/>
          </w:tcPr>
          <w:p w14:paraId="6DE9A67C" w14:textId="77777777" w:rsidR="00C35737" w:rsidRPr="00444D54" w:rsidRDefault="00C35737" w:rsidP="00376822">
            <w:pPr>
              <w:spacing w:line="259" w:lineRule="auto"/>
              <w:jc w:val="right"/>
              <w:rPr>
                <w:b/>
                <w:bCs/>
                <w:lang w:val="en-AU"/>
              </w:rPr>
            </w:pPr>
            <w:r w:rsidRPr="00444D54">
              <w:rPr>
                <w:b/>
                <w:bCs/>
                <w:lang w:val="en-AU"/>
              </w:rPr>
              <w:t xml:space="preserve">$0 </w:t>
            </w:r>
          </w:p>
        </w:tc>
        <w:tc>
          <w:tcPr>
            <w:tcW w:w="1350" w:type="dxa"/>
            <w:noWrap/>
            <w:hideMark/>
          </w:tcPr>
          <w:p w14:paraId="37A4CFEB" w14:textId="77777777" w:rsidR="00C35737" w:rsidRPr="00444D54" w:rsidRDefault="00C35737" w:rsidP="00376822">
            <w:pPr>
              <w:spacing w:line="259" w:lineRule="auto"/>
              <w:jc w:val="right"/>
              <w:rPr>
                <w:b/>
                <w:bCs/>
                <w:lang w:val="en-AU"/>
              </w:rPr>
            </w:pPr>
            <w:r w:rsidRPr="00444D54">
              <w:rPr>
                <w:b/>
                <w:bCs/>
                <w:lang w:val="en-AU"/>
              </w:rPr>
              <w:t xml:space="preserve">$1,032,750 </w:t>
            </w:r>
          </w:p>
        </w:tc>
        <w:tc>
          <w:tcPr>
            <w:tcW w:w="1350" w:type="dxa"/>
            <w:noWrap/>
            <w:hideMark/>
          </w:tcPr>
          <w:p w14:paraId="48C9415D" w14:textId="77777777" w:rsidR="00C35737" w:rsidRPr="00444D54" w:rsidRDefault="00C35737" w:rsidP="00376822">
            <w:pPr>
              <w:spacing w:line="259" w:lineRule="auto"/>
              <w:jc w:val="right"/>
              <w:rPr>
                <w:b/>
                <w:bCs/>
                <w:lang w:val="en-AU"/>
              </w:rPr>
            </w:pPr>
            <w:r w:rsidRPr="00444D54">
              <w:rPr>
                <w:b/>
                <w:bCs/>
                <w:lang w:val="en-AU"/>
              </w:rPr>
              <w:t xml:space="preserve">$1,583,550 </w:t>
            </w:r>
          </w:p>
        </w:tc>
        <w:tc>
          <w:tcPr>
            <w:tcW w:w="1350" w:type="dxa"/>
            <w:noWrap/>
            <w:hideMark/>
          </w:tcPr>
          <w:p w14:paraId="6BDD6233" w14:textId="77777777" w:rsidR="00C35737" w:rsidRPr="00444D54" w:rsidRDefault="00C35737" w:rsidP="00376822">
            <w:pPr>
              <w:spacing w:line="259" w:lineRule="auto"/>
              <w:jc w:val="right"/>
              <w:rPr>
                <w:b/>
                <w:bCs/>
                <w:lang w:val="en-AU"/>
              </w:rPr>
            </w:pPr>
            <w:r w:rsidRPr="00444D54">
              <w:rPr>
                <w:b/>
                <w:bCs/>
                <w:lang w:val="en-AU"/>
              </w:rPr>
              <w:t xml:space="preserve">$1,308,150 </w:t>
            </w:r>
          </w:p>
        </w:tc>
        <w:tc>
          <w:tcPr>
            <w:tcW w:w="1350" w:type="dxa"/>
            <w:noWrap/>
            <w:hideMark/>
          </w:tcPr>
          <w:p w14:paraId="270D416E" w14:textId="77777777" w:rsidR="00C35737" w:rsidRPr="00444D54" w:rsidRDefault="00C35737" w:rsidP="00376822">
            <w:pPr>
              <w:spacing w:line="259" w:lineRule="auto"/>
              <w:jc w:val="right"/>
              <w:rPr>
                <w:b/>
                <w:bCs/>
                <w:lang w:val="en-AU"/>
              </w:rPr>
            </w:pPr>
            <w:r w:rsidRPr="00444D54">
              <w:rPr>
                <w:b/>
                <w:bCs/>
                <w:lang w:val="en-AU"/>
              </w:rPr>
              <w:t xml:space="preserve">$1,308,150 </w:t>
            </w:r>
          </w:p>
        </w:tc>
        <w:tc>
          <w:tcPr>
            <w:tcW w:w="1351" w:type="dxa"/>
            <w:noWrap/>
            <w:hideMark/>
          </w:tcPr>
          <w:p w14:paraId="4293D906" w14:textId="77777777" w:rsidR="00C35737" w:rsidRPr="00444D54" w:rsidRDefault="00C35737" w:rsidP="00376822">
            <w:pPr>
              <w:spacing w:line="259" w:lineRule="auto"/>
              <w:jc w:val="right"/>
              <w:rPr>
                <w:b/>
                <w:bCs/>
                <w:lang w:val="en-AU"/>
              </w:rPr>
            </w:pPr>
            <w:r w:rsidRPr="00444D54">
              <w:rPr>
                <w:b/>
                <w:bCs/>
                <w:lang w:val="en-AU"/>
              </w:rPr>
              <w:t xml:space="preserve">$1,652,400 </w:t>
            </w:r>
          </w:p>
        </w:tc>
        <w:tc>
          <w:tcPr>
            <w:tcW w:w="1333" w:type="dxa"/>
            <w:noWrap/>
            <w:hideMark/>
          </w:tcPr>
          <w:p w14:paraId="3CF9A0A2" w14:textId="77777777" w:rsidR="00C35737" w:rsidRPr="00444D54" w:rsidRDefault="00C35737" w:rsidP="00376822">
            <w:pPr>
              <w:spacing w:line="259" w:lineRule="auto"/>
              <w:jc w:val="right"/>
              <w:rPr>
                <w:b/>
                <w:bCs/>
                <w:lang w:val="en-AU"/>
              </w:rPr>
            </w:pPr>
            <w:r w:rsidRPr="00444D54">
              <w:rPr>
                <w:b/>
                <w:bCs/>
                <w:lang w:val="en-AU"/>
              </w:rPr>
              <w:t xml:space="preserve">$6,885,000 </w:t>
            </w:r>
          </w:p>
        </w:tc>
      </w:tr>
      <w:tr w:rsidR="00C35737" w:rsidRPr="00AA269A" w14:paraId="0D86A55F" w14:textId="77777777" w:rsidTr="00376822">
        <w:trPr>
          <w:trHeight w:val="270"/>
        </w:trPr>
        <w:tc>
          <w:tcPr>
            <w:tcW w:w="483" w:type="dxa"/>
            <w:noWrap/>
            <w:hideMark/>
          </w:tcPr>
          <w:p w14:paraId="052C5BDB" w14:textId="77777777" w:rsidR="00C35737" w:rsidRPr="00444D54" w:rsidRDefault="00C35737" w:rsidP="00376822">
            <w:pPr>
              <w:keepNext/>
              <w:keepLines/>
              <w:spacing w:line="259" w:lineRule="auto"/>
              <w:outlineLvl w:val="8"/>
              <w:rPr>
                <w:lang w:val="en-AU"/>
              </w:rPr>
            </w:pPr>
            <w:r w:rsidRPr="00444D54">
              <w:rPr>
                <w:lang w:val="en-AU"/>
              </w:rPr>
              <w:t> </w:t>
            </w:r>
          </w:p>
        </w:tc>
        <w:tc>
          <w:tcPr>
            <w:tcW w:w="1852" w:type="dxa"/>
            <w:hideMark/>
          </w:tcPr>
          <w:p w14:paraId="11CC9C21" w14:textId="77777777" w:rsidR="00C35737" w:rsidRPr="00444D54" w:rsidRDefault="00C35737" w:rsidP="00376822">
            <w:pPr>
              <w:spacing w:line="259" w:lineRule="auto"/>
              <w:rPr>
                <w:b/>
                <w:bCs/>
                <w:lang w:val="en-AU"/>
              </w:rPr>
            </w:pPr>
            <w:r w:rsidRPr="00444D54">
              <w:rPr>
                <w:b/>
                <w:bCs/>
                <w:lang w:val="en-AU"/>
              </w:rPr>
              <w:t> </w:t>
            </w:r>
          </w:p>
        </w:tc>
        <w:tc>
          <w:tcPr>
            <w:tcW w:w="1350" w:type="dxa"/>
            <w:noWrap/>
            <w:hideMark/>
          </w:tcPr>
          <w:p w14:paraId="718E60F9" w14:textId="77777777" w:rsidR="00C35737" w:rsidRPr="00444D54" w:rsidRDefault="00C35737" w:rsidP="00376822">
            <w:pPr>
              <w:spacing w:line="259" w:lineRule="auto"/>
              <w:jc w:val="right"/>
              <w:rPr>
                <w:b/>
                <w:bCs/>
                <w:lang w:val="en-AU"/>
              </w:rPr>
            </w:pPr>
            <w:r w:rsidRPr="00444D54">
              <w:rPr>
                <w:b/>
                <w:bCs/>
                <w:lang w:val="en-AU"/>
              </w:rPr>
              <w:t> </w:t>
            </w:r>
          </w:p>
        </w:tc>
        <w:tc>
          <w:tcPr>
            <w:tcW w:w="1350" w:type="dxa"/>
            <w:noWrap/>
            <w:hideMark/>
          </w:tcPr>
          <w:p w14:paraId="7E2B1921" w14:textId="77777777" w:rsidR="00C35737" w:rsidRPr="00444D54" w:rsidRDefault="00C35737" w:rsidP="00376822">
            <w:pPr>
              <w:spacing w:line="259" w:lineRule="auto"/>
              <w:jc w:val="right"/>
              <w:rPr>
                <w:b/>
                <w:bCs/>
                <w:lang w:val="en-AU"/>
              </w:rPr>
            </w:pPr>
            <w:r w:rsidRPr="00444D54">
              <w:rPr>
                <w:b/>
                <w:bCs/>
                <w:lang w:val="en-AU"/>
              </w:rPr>
              <w:t> </w:t>
            </w:r>
          </w:p>
        </w:tc>
        <w:tc>
          <w:tcPr>
            <w:tcW w:w="1350" w:type="dxa"/>
            <w:noWrap/>
            <w:hideMark/>
          </w:tcPr>
          <w:p w14:paraId="566FFDC0" w14:textId="77777777" w:rsidR="00C35737" w:rsidRPr="00444D54" w:rsidRDefault="00C35737" w:rsidP="00376822">
            <w:pPr>
              <w:spacing w:line="259" w:lineRule="auto"/>
              <w:jc w:val="right"/>
              <w:rPr>
                <w:b/>
                <w:bCs/>
                <w:lang w:val="en-AU"/>
              </w:rPr>
            </w:pPr>
            <w:r w:rsidRPr="00444D54">
              <w:rPr>
                <w:b/>
                <w:bCs/>
                <w:lang w:val="en-AU"/>
              </w:rPr>
              <w:t> </w:t>
            </w:r>
          </w:p>
        </w:tc>
        <w:tc>
          <w:tcPr>
            <w:tcW w:w="1350" w:type="dxa"/>
            <w:noWrap/>
            <w:hideMark/>
          </w:tcPr>
          <w:p w14:paraId="216684D8" w14:textId="77777777" w:rsidR="00C35737" w:rsidRPr="00444D54" w:rsidRDefault="00C35737" w:rsidP="00376822">
            <w:pPr>
              <w:spacing w:line="259" w:lineRule="auto"/>
              <w:jc w:val="right"/>
              <w:rPr>
                <w:b/>
                <w:bCs/>
                <w:lang w:val="en-AU"/>
              </w:rPr>
            </w:pPr>
            <w:r w:rsidRPr="00444D54">
              <w:rPr>
                <w:b/>
                <w:bCs/>
                <w:lang w:val="en-AU"/>
              </w:rPr>
              <w:t> </w:t>
            </w:r>
          </w:p>
        </w:tc>
        <w:tc>
          <w:tcPr>
            <w:tcW w:w="1350" w:type="dxa"/>
            <w:noWrap/>
            <w:hideMark/>
          </w:tcPr>
          <w:p w14:paraId="750320FE" w14:textId="77777777" w:rsidR="00C35737" w:rsidRPr="00444D54" w:rsidRDefault="00C35737" w:rsidP="00376822">
            <w:pPr>
              <w:spacing w:line="259" w:lineRule="auto"/>
              <w:jc w:val="right"/>
              <w:rPr>
                <w:b/>
                <w:bCs/>
                <w:lang w:val="en-AU"/>
              </w:rPr>
            </w:pPr>
            <w:r w:rsidRPr="00444D54">
              <w:rPr>
                <w:b/>
                <w:bCs/>
                <w:lang w:val="en-AU"/>
              </w:rPr>
              <w:t> </w:t>
            </w:r>
          </w:p>
        </w:tc>
        <w:tc>
          <w:tcPr>
            <w:tcW w:w="1350" w:type="dxa"/>
            <w:noWrap/>
            <w:hideMark/>
          </w:tcPr>
          <w:p w14:paraId="141597E7" w14:textId="77777777" w:rsidR="00C35737" w:rsidRPr="00444D54" w:rsidRDefault="00C35737" w:rsidP="00376822">
            <w:pPr>
              <w:spacing w:line="259" w:lineRule="auto"/>
              <w:jc w:val="right"/>
              <w:rPr>
                <w:b/>
                <w:bCs/>
                <w:lang w:val="en-AU"/>
              </w:rPr>
            </w:pPr>
            <w:r w:rsidRPr="00444D54">
              <w:rPr>
                <w:b/>
                <w:bCs/>
                <w:lang w:val="en-AU"/>
              </w:rPr>
              <w:t> </w:t>
            </w:r>
          </w:p>
        </w:tc>
        <w:tc>
          <w:tcPr>
            <w:tcW w:w="1351" w:type="dxa"/>
            <w:noWrap/>
            <w:hideMark/>
          </w:tcPr>
          <w:p w14:paraId="1B71347D" w14:textId="77777777" w:rsidR="00C35737" w:rsidRPr="00444D54" w:rsidRDefault="00C35737" w:rsidP="00376822">
            <w:pPr>
              <w:spacing w:line="259" w:lineRule="auto"/>
              <w:jc w:val="right"/>
              <w:rPr>
                <w:b/>
                <w:bCs/>
                <w:lang w:val="en-AU"/>
              </w:rPr>
            </w:pPr>
            <w:r w:rsidRPr="00444D54">
              <w:rPr>
                <w:b/>
                <w:bCs/>
                <w:lang w:val="en-AU"/>
              </w:rPr>
              <w:t> </w:t>
            </w:r>
          </w:p>
        </w:tc>
        <w:tc>
          <w:tcPr>
            <w:tcW w:w="1333" w:type="dxa"/>
            <w:noWrap/>
            <w:hideMark/>
          </w:tcPr>
          <w:p w14:paraId="60F76265" w14:textId="77777777" w:rsidR="00C35737" w:rsidRPr="00444D54" w:rsidRDefault="00C35737" w:rsidP="00376822">
            <w:pPr>
              <w:spacing w:line="259" w:lineRule="auto"/>
              <w:jc w:val="right"/>
              <w:rPr>
                <w:b/>
                <w:bCs/>
                <w:lang w:val="en-AU"/>
              </w:rPr>
            </w:pPr>
            <w:r w:rsidRPr="00444D54">
              <w:rPr>
                <w:b/>
                <w:bCs/>
                <w:lang w:val="en-AU"/>
              </w:rPr>
              <w:t> </w:t>
            </w:r>
          </w:p>
        </w:tc>
      </w:tr>
      <w:tr w:rsidR="00C35737" w:rsidRPr="00AA269A" w14:paraId="05555100" w14:textId="77777777" w:rsidTr="00376822">
        <w:trPr>
          <w:trHeight w:val="270"/>
        </w:trPr>
        <w:tc>
          <w:tcPr>
            <w:tcW w:w="2335" w:type="dxa"/>
            <w:gridSpan w:val="2"/>
            <w:noWrap/>
            <w:hideMark/>
          </w:tcPr>
          <w:p w14:paraId="0182D77A" w14:textId="77777777" w:rsidR="00C35737" w:rsidRPr="00444D54" w:rsidRDefault="00C35737" w:rsidP="00376822">
            <w:pPr>
              <w:spacing w:line="259" w:lineRule="auto"/>
              <w:rPr>
                <w:b/>
                <w:bCs/>
                <w:lang w:val="en-AU"/>
              </w:rPr>
            </w:pPr>
            <w:r w:rsidRPr="00444D54">
              <w:rPr>
                <w:b/>
                <w:bCs/>
                <w:lang w:val="en-AU"/>
              </w:rPr>
              <w:t>TOTAL</w:t>
            </w:r>
          </w:p>
        </w:tc>
        <w:tc>
          <w:tcPr>
            <w:tcW w:w="1350" w:type="dxa"/>
            <w:noWrap/>
            <w:hideMark/>
          </w:tcPr>
          <w:p w14:paraId="13910C02" w14:textId="77777777" w:rsidR="00C35737" w:rsidRPr="00444D54" w:rsidRDefault="00C35737" w:rsidP="00376822">
            <w:pPr>
              <w:spacing w:line="259" w:lineRule="auto"/>
              <w:jc w:val="right"/>
              <w:rPr>
                <w:b/>
                <w:bCs/>
                <w:lang w:val="en-AU"/>
              </w:rPr>
            </w:pPr>
            <w:r w:rsidRPr="00444D54">
              <w:rPr>
                <w:b/>
                <w:bCs/>
                <w:lang w:val="en-AU"/>
              </w:rPr>
              <w:t xml:space="preserve">$45,000,000 </w:t>
            </w:r>
          </w:p>
        </w:tc>
        <w:tc>
          <w:tcPr>
            <w:tcW w:w="1350" w:type="dxa"/>
            <w:noWrap/>
            <w:hideMark/>
          </w:tcPr>
          <w:p w14:paraId="3E867468" w14:textId="77777777" w:rsidR="00C35737" w:rsidRPr="00444D54" w:rsidRDefault="00C35737" w:rsidP="00376822">
            <w:pPr>
              <w:spacing w:line="259" w:lineRule="auto"/>
              <w:jc w:val="right"/>
              <w:rPr>
                <w:b/>
                <w:bCs/>
                <w:lang w:val="en-AU"/>
              </w:rPr>
            </w:pPr>
            <w:r w:rsidRPr="00444D54">
              <w:rPr>
                <w:b/>
                <w:bCs/>
                <w:lang w:val="en-AU"/>
              </w:rPr>
              <w:t xml:space="preserve">$2,935,778 </w:t>
            </w:r>
          </w:p>
        </w:tc>
        <w:tc>
          <w:tcPr>
            <w:tcW w:w="1350" w:type="dxa"/>
            <w:noWrap/>
            <w:hideMark/>
          </w:tcPr>
          <w:p w14:paraId="472C8A4B" w14:textId="77777777" w:rsidR="00C35737" w:rsidRPr="00444D54" w:rsidRDefault="00C35737" w:rsidP="00376822">
            <w:pPr>
              <w:spacing w:line="259" w:lineRule="auto"/>
              <w:jc w:val="right"/>
              <w:rPr>
                <w:b/>
                <w:bCs/>
                <w:lang w:val="en-AU"/>
              </w:rPr>
            </w:pPr>
            <w:r w:rsidRPr="00444D54">
              <w:rPr>
                <w:b/>
                <w:bCs/>
                <w:lang w:val="en-AU"/>
              </w:rPr>
              <w:t xml:space="preserve">$10,507,122 </w:t>
            </w:r>
          </w:p>
        </w:tc>
        <w:tc>
          <w:tcPr>
            <w:tcW w:w="1350" w:type="dxa"/>
            <w:noWrap/>
            <w:hideMark/>
          </w:tcPr>
          <w:p w14:paraId="12C22C93" w14:textId="77777777" w:rsidR="00C35737" w:rsidRPr="00444D54" w:rsidRDefault="00C35737" w:rsidP="00376822">
            <w:pPr>
              <w:spacing w:line="259" w:lineRule="auto"/>
              <w:jc w:val="right"/>
              <w:rPr>
                <w:b/>
                <w:bCs/>
                <w:lang w:val="en-AU"/>
              </w:rPr>
            </w:pPr>
            <w:r w:rsidRPr="00444D54">
              <w:rPr>
                <w:b/>
                <w:bCs/>
                <w:lang w:val="en-AU"/>
              </w:rPr>
              <w:t xml:space="preserve">$8,151,789 </w:t>
            </w:r>
          </w:p>
        </w:tc>
        <w:tc>
          <w:tcPr>
            <w:tcW w:w="1350" w:type="dxa"/>
            <w:noWrap/>
            <w:hideMark/>
          </w:tcPr>
          <w:p w14:paraId="3E34C843" w14:textId="77777777" w:rsidR="00C35737" w:rsidRPr="00444D54" w:rsidRDefault="00C35737" w:rsidP="00376822">
            <w:pPr>
              <w:spacing w:line="259" w:lineRule="auto"/>
              <w:jc w:val="right"/>
              <w:rPr>
                <w:b/>
                <w:bCs/>
                <w:lang w:val="en-AU"/>
              </w:rPr>
            </w:pPr>
            <w:r w:rsidRPr="00444D54">
              <w:rPr>
                <w:b/>
                <w:bCs/>
                <w:lang w:val="en-AU"/>
              </w:rPr>
              <w:t xml:space="preserve">$9,935,350 </w:t>
            </w:r>
          </w:p>
        </w:tc>
        <w:tc>
          <w:tcPr>
            <w:tcW w:w="1350" w:type="dxa"/>
            <w:noWrap/>
            <w:hideMark/>
          </w:tcPr>
          <w:p w14:paraId="09F38969" w14:textId="77777777" w:rsidR="00C35737" w:rsidRPr="00444D54" w:rsidRDefault="00C35737" w:rsidP="00376822">
            <w:pPr>
              <w:spacing w:line="259" w:lineRule="auto"/>
              <w:jc w:val="right"/>
              <w:rPr>
                <w:b/>
                <w:bCs/>
                <w:lang w:val="en-AU"/>
              </w:rPr>
            </w:pPr>
            <w:r w:rsidRPr="00444D54">
              <w:rPr>
                <w:b/>
                <w:bCs/>
                <w:lang w:val="en-AU"/>
              </w:rPr>
              <w:t xml:space="preserve">$8,647,161 </w:t>
            </w:r>
          </w:p>
        </w:tc>
        <w:tc>
          <w:tcPr>
            <w:tcW w:w="1351" w:type="dxa"/>
            <w:noWrap/>
            <w:hideMark/>
          </w:tcPr>
          <w:p w14:paraId="5EEB372B" w14:textId="77777777" w:rsidR="00C35737" w:rsidRPr="00444D54" w:rsidRDefault="00C35737" w:rsidP="00376822">
            <w:pPr>
              <w:spacing w:line="259" w:lineRule="auto"/>
              <w:jc w:val="right"/>
              <w:rPr>
                <w:b/>
                <w:bCs/>
                <w:lang w:val="en-AU"/>
              </w:rPr>
            </w:pPr>
            <w:r w:rsidRPr="00444D54">
              <w:rPr>
                <w:b/>
                <w:bCs/>
                <w:lang w:val="en-AU"/>
              </w:rPr>
              <w:t xml:space="preserve">$4,822,802 </w:t>
            </w:r>
          </w:p>
        </w:tc>
        <w:tc>
          <w:tcPr>
            <w:tcW w:w="1333" w:type="dxa"/>
            <w:noWrap/>
            <w:hideMark/>
          </w:tcPr>
          <w:p w14:paraId="00B0450A" w14:textId="77777777" w:rsidR="00C35737" w:rsidRPr="00444D54" w:rsidRDefault="00C35737" w:rsidP="00376822">
            <w:pPr>
              <w:spacing w:line="259" w:lineRule="auto"/>
              <w:jc w:val="right"/>
              <w:rPr>
                <w:b/>
                <w:bCs/>
                <w:lang w:val="en-AU"/>
              </w:rPr>
            </w:pPr>
            <w:r w:rsidRPr="00444D54">
              <w:rPr>
                <w:b/>
                <w:bCs/>
                <w:lang w:val="en-AU"/>
              </w:rPr>
              <w:t xml:space="preserve">$45,000,000 </w:t>
            </w:r>
          </w:p>
        </w:tc>
      </w:tr>
    </w:tbl>
    <w:p w14:paraId="2D43C488" w14:textId="6E9F75AE" w:rsidR="00C35737" w:rsidRDefault="00C35737">
      <w:pPr>
        <w:rPr>
          <w:lang w:val="en-AU"/>
        </w:rPr>
      </w:pPr>
    </w:p>
    <w:p w14:paraId="767273BE" w14:textId="77777777" w:rsidR="00C35737" w:rsidRDefault="00C35737">
      <w:pPr>
        <w:rPr>
          <w:lang w:val="en-AU"/>
        </w:rPr>
      </w:pPr>
      <w:r>
        <w:rPr>
          <w:lang w:val="en-AU"/>
        </w:rPr>
        <w:br w:type="page"/>
      </w:r>
    </w:p>
    <w:tbl>
      <w:tblPr>
        <w:tblStyle w:val="TableGrid"/>
        <w:tblW w:w="13045" w:type="dxa"/>
        <w:tblLayout w:type="fixed"/>
        <w:tblLook w:val="04A0" w:firstRow="1" w:lastRow="0" w:firstColumn="1" w:lastColumn="0" w:noHBand="0" w:noVBand="1"/>
      </w:tblPr>
      <w:tblGrid>
        <w:gridCol w:w="518"/>
        <w:gridCol w:w="1817"/>
        <w:gridCol w:w="1530"/>
        <w:gridCol w:w="1566"/>
        <w:gridCol w:w="1566"/>
        <w:gridCol w:w="1566"/>
        <w:gridCol w:w="1566"/>
        <w:gridCol w:w="1566"/>
        <w:gridCol w:w="1350"/>
      </w:tblGrid>
      <w:tr w:rsidR="00C35737" w:rsidRPr="00AA269A" w14:paraId="185B7D88" w14:textId="77777777" w:rsidTr="00376822">
        <w:trPr>
          <w:trHeight w:val="270"/>
        </w:trPr>
        <w:tc>
          <w:tcPr>
            <w:tcW w:w="518" w:type="dxa"/>
            <w:vMerge w:val="restart"/>
            <w:hideMark/>
          </w:tcPr>
          <w:p w14:paraId="1FCF30A5" w14:textId="77777777" w:rsidR="00C35737" w:rsidRPr="00444D54" w:rsidRDefault="00C35737" w:rsidP="00376822">
            <w:pPr>
              <w:spacing w:line="259" w:lineRule="auto"/>
              <w:jc w:val="center"/>
              <w:rPr>
                <w:b/>
                <w:bCs/>
                <w:lang w:val="en-AU"/>
              </w:rPr>
            </w:pPr>
            <w:r w:rsidRPr="00444D54">
              <w:rPr>
                <w:b/>
                <w:bCs/>
                <w:lang w:val="en-AU"/>
              </w:rPr>
              <w:t>No</w:t>
            </w:r>
          </w:p>
        </w:tc>
        <w:tc>
          <w:tcPr>
            <w:tcW w:w="1817" w:type="dxa"/>
            <w:vMerge w:val="restart"/>
            <w:hideMark/>
          </w:tcPr>
          <w:p w14:paraId="6A89DDB7" w14:textId="77777777" w:rsidR="00C35737" w:rsidRPr="00444D54" w:rsidRDefault="00C35737" w:rsidP="00376822">
            <w:pPr>
              <w:spacing w:line="259" w:lineRule="auto"/>
              <w:jc w:val="center"/>
              <w:rPr>
                <w:b/>
                <w:bCs/>
                <w:lang w:val="en-AU"/>
              </w:rPr>
            </w:pPr>
            <w:r w:rsidRPr="00444D54">
              <w:rPr>
                <w:b/>
                <w:bCs/>
                <w:lang w:val="en-AU"/>
              </w:rPr>
              <w:t>Description</w:t>
            </w:r>
          </w:p>
        </w:tc>
        <w:tc>
          <w:tcPr>
            <w:tcW w:w="1530" w:type="dxa"/>
            <w:vMerge w:val="restart"/>
            <w:hideMark/>
          </w:tcPr>
          <w:p w14:paraId="460BA307" w14:textId="77777777" w:rsidR="00C35737" w:rsidRPr="00444D54" w:rsidRDefault="00C35737" w:rsidP="00376822">
            <w:pPr>
              <w:spacing w:line="259" w:lineRule="auto"/>
              <w:jc w:val="center"/>
              <w:rPr>
                <w:b/>
                <w:bCs/>
                <w:lang w:val="en-AU"/>
              </w:rPr>
            </w:pPr>
            <w:r w:rsidRPr="00444D54">
              <w:rPr>
                <w:b/>
                <w:bCs/>
                <w:lang w:val="en-AU"/>
              </w:rPr>
              <w:t>TOTAL BUDGET</w:t>
            </w:r>
          </w:p>
        </w:tc>
        <w:tc>
          <w:tcPr>
            <w:tcW w:w="7830" w:type="dxa"/>
            <w:gridSpan w:val="5"/>
            <w:noWrap/>
            <w:hideMark/>
          </w:tcPr>
          <w:p w14:paraId="477A0C73" w14:textId="4B3AE63E" w:rsidR="00C35737" w:rsidRPr="00444D54" w:rsidRDefault="00C35737" w:rsidP="00376822">
            <w:pPr>
              <w:spacing w:line="259" w:lineRule="auto"/>
              <w:jc w:val="center"/>
              <w:rPr>
                <w:b/>
                <w:bCs/>
                <w:lang w:val="en-AU"/>
              </w:rPr>
            </w:pPr>
            <w:r>
              <w:rPr>
                <w:b/>
                <w:bCs/>
                <w:lang w:val="en-AU"/>
              </w:rPr>
              <w:t>FORECAST GOVERNMENT OF AUSTRALIA</w:t>
            </w:r>
            <w:r w:rsidRPr="00444D54">
              <w:rPr>
                <w:b/>
                <w:bCs/>
                <w:lang w:val="en-AU"/>
              </w:rPr>
              <w:t xml:space="preserve"> FINANCIAL YEAR</w:t>
            </w:r>
          </w:p>
        </w:tc>
        <w:tc>
          <w:tcPr>
            <w:tcW w:w="1350" w:type="dxa"/>
            <w:vMerge w:val="restart"/>
            <w:hideMark/>
          </w:tcPr>
          <w:p w14:paraId="303C6781" w14:textId="77777777" w:rsidR="00C35737" w:rsidRPr="00444D54" w:rsidRDefault="00C35737" w:rsidP="00376822">
            <w:pPr>
              <w:spacing w:line="259" w:lineRule="auto"/>
              <w:jc w:val="center"/>
              <w:rPr>
                <w:b/>
                <w:bCs/>
                <w:lang w:val="en-AU"/>
              </w:rPr>
            </w:pPr>
            <w:r w:rsidRPr="00444D54">
              <w:rPr>
                <w:b/>
                <w:bCs/>
                <w:lang w:val="en-AU"/>
              </w:rPr>
              <w:t>TOTAL</w:t>
            </w:r>
          </w:p>
        </w:tc>
      </w:tr>
      <w:tr w:rsidR="00C35737" w:rsidRPr="00AA269A" w14:paraId="28907782" w14:textId="77777777" w:rsidTr="00376822">
        <w:trPr>
          <w:trHeight w:val="270"/>
        </w:trPr>
        <w:tc>
          <w:tcPr>
            <w:tcW w:w="518" w:type="dxa"/>
            <w:vMerge/>
            <w:hideMark/>
          </w:tcPr>
          <w:p w14:paraId="08EB90B1" w14:textId="77777777" w:rsidR="00C35737" w:rsidRPr="00444D54" w:rsidRDefault="00C35737" w:rsidP="00376822">
            <w:pPr>
              <w:numPr>
                <w:ilvl w:val="1"/>
                <w:numId w:val="0"/>
              </w:numPr>
              <w:spacing w:line="259" w:lineRule="auto"/>
              <w:rPr>
                <w:b/>
                <w:bCs/>
                <w:lang w:val="en-AU"/>
              </w:rPr>
            </w:pPr>
          </w:p>
        </w:tc>
        <w:tc>
          <w:tcPr>
            <w:tcW w:w="1817" w:type="dxa"/>
            <w:vMerge/>
            <w:hideMark/>
          </w:tcPr>
          <w:p w14:paraId="501A9850" w14:textId="77777777" w:rsidR="00C35737" w:rsidRPr="00444D54" w:rsidRDefault="00C35737" w:rsidP="00376822">
            <w:pPr>
              <w:numPr>
                <w:ilvl w:val="1"/>
                <w:numId w:val="0"/>
              </w:numPr>
              <w:spacing w:line="259" w:lineRule="auto"/>
              <w:rPr>
                <w:b/>
                <w:bCs/>
                <w:lang w:val="en-AU"/>
              </w:rPr>
            </w:pPr>
          </w:p>
        </w:tc>
        <w:tc>
          <w:tcPr>
            <w:tcW w:w="1530" w:type="dxa"/>
            <w:vMerge/>
            <w:hideMark/>
          </w:tcPr>
          <w:p w14:paraId="27520FE1" w14:textId="77777777" w:rsidR="00C35737" w:rsidRPr="00444D54" w:rsidRDefault="00C35737" w:rsidP="00376822">
            <w:pPr>
              <w:numPr>
                <w:ilvl w:val="1"/>
                <w:numId w:val="0"/>
              </w:numPr>
              <w:spacing w:line="259" w:lineRule="auto"/>
              <w:rPr>
                <w:b/>
                <w:bCs/>
                <w:lang w:val="en-AU"/>
              </w:rPr>
            </w:pPr>
          </w:p>
        </w:tc>
        <w:tc>
          <w:tcPr>
            <w:tcW w:w="1566" w:type="dxa"/>
            <w:hideMark/>
          </w:tcPr>
          <w:p w14:paraId="1237E3E9" w14:textId="77777777" w:rsidR="00C35737" w:rsidRPr="00444D54" w:rsidRDefault="00C35737" w:rsidP="00376822">
            <w:pPr>
              <w:spacing w:line="259" w:lineRule="auto"/>
              <w:jc w:val="center"/>
              <w:rPr>
                <w:b/>
                <w:bCs/>
                <w:lang w:val="en-AU"/>
              </w:rPr>
            </w:pPr>
            <w:r w:rsidRPr="00444D54">
              <w:rPr>
                <w:b/>
                <w:bCs/>
                <w:lang w:val="en-AU"/>
              </w:rPr>
              <w:t>Year 1</w:t>
            </w:r>
          </w:p>
        </w:tc>
        <w:tc>
          <w:tcPr>
            <w:tcW w:w="1566" w:type="dxa"/>
            <w:hideMark/>
          </w:tcPr>
          <w:p w14:paraId="052F2BD4" w14:textId="77777777" w:rsidR="00C35737" w:rsidRPr="00444D54" w:rsidRDefault="00C35737" w:rsidP="00376822">
            <w:pPr>
              <w:spacing w:line="259" w:lineRule="auto"/>
              <w:jc w:val="center"/>
              <w:rPr>
                <w:b/>
                <w:bCs/>
                <w:lang w:val="en-AU"/>
              </w:rPr>
            </w:pPr>
            <w:r w:rsidRPr="00444D54">
              <w:rPr>
                <w:b/>
                <w:bCs/>
                <w:lang w:val="en-AU"/>
              </w:rPr>
              <w:t>Year 2</w:t>
            </w:r>
          </w:p>
        </w:tc>
        <w:tc>
          <w:tcPr>
            <w:tcW w:w="1566" w:type="dxa"/>
            <w:hideMark/>
          </w:tcPr>
          <w:p w14:paraId="7DB110BF" w14:textId="77777777" w:rsidR="00C35737" w:rsidRPr="00444D54" w:rsidRDefault="00C35737" w:rsidP="00376822">
            <w:pPr>
              <w:spacing w:line="259" w:lineRule="auto"/>
              <w:jc w:val="center"/>
              <w:rPr>
                <w:b/>
                <w:bCs/>
                <w:lang w:val="en-AU"/>
              </w:rPr>
            </w:pPr>
            <w:r w:rsidRPr="00444D54">
              <w:rPr>
                <w:b/>
                <w:bCs/>
                <w:lang w:val="en-AU"/>
              </w:rPr>
              <w:t>Year 3</w:t>
            </w:r>
          </w:p>
        </w:tc>
        <w:tc>
          <w:tcPr>
            <w:tcW w:w="1566" w:type="dxa"/>
            <w:hideMark/>
          </w:tcPr>
          <w:p w14:paraId="0CDC5A17" w14:textId="77777777" w:rsidR="00C35737" w:rsidRPr="00444D54" w:rsidRDefault="00C35737" w:rsidP="00376822">
            <w:pPr>
              <w:spacing w:line="259" w:lineRule="auto"/>
              <w:jc w:val="center"/>
              <w:rPr>
                <w:b/>
                <w:bCs/>
                <w:lang w:val="en-AU"/>
              </w:rPr>
            </w:pPr>
            <w:r w:rsidRPr="00444D54">
              <w:rPr>
                <w:b/>
                <w:bCs/>
                <w:lang w:val="en-AU"/>
              </w:rPr>
              <w:t>Year 4</w:t>
            </w:r>
          </w:p>
        </w:tc>
        <w:tc>
          <w:tcPr>
            <w:tcW w:w="1566" w:type="dxa"/>
            <w:hideMark/>
          </w:tcPr>
          <w:p w14:paraId="7C78CAA4" w14:textId="77777777" w:rsidR="00C35737" w:rsidRPr="00444D54" w:rsidRDefault="00C35737" w:rsidP="00376822">
            <w:pPr>
              <w:spacing w:line="259" w:lineRule="auto"/>
              <w:jc w:val="center"/>
              <w:rPr>
                <w:b/>
                <w:bCs/>
                <w:lang w:val="en-AU"/>
              </w:rPr>
            </w:pPr>
            <w:r w:rsidRPr="00444D54">
              <w:rPr>
                <w:b/>
                <w:bCs/>
                <w:lang w:val="en-AU"/>
              </w:rPr>
              <w:t>Year 5</w:t>
            </w:r>
          </w:p>
        </w:tc>
        <w:tc>
          <w:tcPr>
            <w:tcW w:w="1350" w:type="dxa"/>
            <w:vMerge/>
            <w:hideMark/>
          </w:tcPr>
          <w:p w14:paraId="4102EED0" w14:textId="77777777" w:rsidR="00C35737" w:rsidRPr="00444D54" w:rsidRDefault="00C35737" w:rsidP="00376822">
            <w:pPr>
              <w:numPr>
                <w:ilvl w:val="1"/>
                <w:numId w:val="0"/>
              </w:numPr>
              <w:spacing w:line="259" w:lineRule="auto"/>
              <w:rPr>
                <w:b/>
                <w:bCs/>
                <w:lang w:val="en-AU"/>
              </w:rPr>
            </w:pPr>
          </w:p>
        </w:tc>
      </w:tr>
      <w:tr w:rsidR="00C35737" w:rsidRPr="00AA269A" w14:paraId="14C298C4" w14:textId="77777777" w:rsidTr="00376822">
        <w:trPr>
          <w:trHeight w:val="270"/>
        </w:trPr>
        <w:tc>
          <w:tcPr>
            <w:tcW w:w="518" w:type="dxa"/>
            <w:vMerge/>
            <w:hideMark/>
          </w:tcPr>
          <w:p w14:paraId="494576D1" w14:textId="77777777" w:rsidR="00C35737" w:rsidRPr="00444D54" w:rsidRDefault="00C35737" w:rsidP="00376822">
            <w:pPr>
              <w:numPr>
                <w:ilvl w:val="1"/>
                <w:numId w:val="0"/>
              </w:numPr>
              <w:spacing w:line="259" w:lineRule="auto"/>
              <w:rPr>
                <w:b/>
                <w:bCs/>
                <w:lang w:val="en-AU"/>
              </w:rPr>
            </w:pPr>
          </w:p>
        </w:tc>
        <w:tc>
          <w:tcPr>
            <w:tcW w:w="1817" w:type="dxa"/>
            <w:vMerge/>
            <w:hideMark/>
          </w:tcPr>
          <w:p w14:paraId="08EBF96F" w14:textId="77777777" w:rsidR="00C35737" w:rsidRPr="00444D54" w:rsidRDefault="00C35737" w:rsidP="00376822">
            <w:pPr>
              <w:numPr>
                <w:ilvl w:val="1"/>
                <w:numId w:val="0"/>
              </w:numPr>
              <w:spacing w:line="259" w:lineRule="auto"/>
              <w:rPr>
                <w:b/>
                <w:bCs/>
                <w:lang w:val="en-AU"/>
              </w:rPr>
            </w:pPr>
          </w:p>
        </w:tc>
        <w:tc>
          <w:tcPr>
            <w:tcW w:w="1530" w:type="dxa"/>
            <w:vMerge/>
            <w:hideMark/>
          </w:tcPr>
          <w:p w14:paraId="5FCCD211" w14:textId="77777777" w:rsidR="00C35737" w:rsidRPr="00444D54" w:rsidRDefault="00C35737" w:rsidP="00376822">
            <w:pPr>
              <w:numPr>
                <w:ilvl w:val="1"/>
                <w:numId w:val="0"/>
              </w:numPr>
              <w:spacing w:line="259" w:lineRule="auto"/>
              <w:rPr>
                <w:b/>
                <w:bCs/>
                <w:lang w:val="en-AU"/>
              </w:rPr>
            </w:pPr>
          </w:p>
        </w:tc>
        <w:tc>
          <w:tcPr>
            <w:tcW w:w="1566" w:type="dxa"/>
            <w:hideMark/>
          </w:tcPr>
          <w:p w14:paraId="4FA3BF99" w14:textId="77777777" w:rsidR="00C35737" w:rsidRPr="00444D54" w:rsidRDefault="00C35737" w:rsidP="00376822">
            <w:pPr>
              <w:spacing w:line="259" w:lineRule="auto"/>
              <w:jc w:val="center"/>
              <w:rPr>
                <w:b/>
                <w:bCs/>
                <w:lang w:val="en-AU"/>
              </w:rPr>
            </w:pPr>
            <w:r w:rsidRPr="00444D54">
              <w:rPr>
                <w:b/>
                <w:bCs/>
                <w:lang w:val="en-AU"/>
              </w:rPr>
              <w:t>Jul 17 - Jun 18</w:t>
            </w:r>
          </w:p>
        </w:tc>
        <w:tc>
          <w:tcPr>
            <w:tcW w:w="1566" w:type="dxa"/>
            <w:hideMark/>
          </w:tcPr>
          <w:p w14:paraId="57FA4039" w14:textId="77777777" w:rsidR="00C35737" w:rsidRPr="00444D54" w:rsidRDefault="00C35737" w:rsidP="00376822">
            <w:pPr>
              <w:spacing w:line="259" w:lineRule="auto"/>
              <w:jc w:val="center"/>
              <w:rPr>
                <w:b/>
                <w:bCs/>
                <w:lang w:val="en-AU"/>
              </w:rPr>
            </w:pPr>
            <w:r w:rsidRPr="00444D54">
              <w:rPr>
                <w:b/>
                <w:bCs/>
                <w:lang w:val="en-AU"/>
              </w:rPr>
              <w:t>Jul 18 - Jun 19</w:t>
            </w:r>
          </w:p>
        </w:tc>
        <w:tc>
          <w:tcPr>
            <w:tcW w:w="1566" w:type="dxa"/>
            <w:hideMark/>
          </w:tcPr>
          <w:p w14:paraId="367EBD46" w14:textId="77777777" w:rsidR="00C35737" w:rsidRPr="00444D54" w:rsidRDefault="00C35737" w:rsidP="00376822">
            <w:pPr>
              <w:spacing w:line="259" w:lineRule="auto"/>
              <w:jc w:val="center"/>
              <w:rPr>
                <w:b/>
                <w:bCs/>
                <w:lang w:val="en-AU"/>
              </w:rPr>
            </w:pPr>
            <w:r w:rsidRPr="00444D54">
              <w:rPr>
                <w:b/>
                <w:bCs/>
                <w:lang w:val="en-AU"/>
              </w:rPr>
              <w:t>Jul 19 - Jun 20</w:t>
            </w:r>
          </w:p>
        </w:tc>
        <w:tc>
          <w:tcPr>
            <w:tcW w:w="1566" w:type="dxa"/>
            <w:hideMark/>
          </w:tcPr>
          <w:p w14:paraId="372FF5DB" w14:textId="77777777" w:rsidR="00C35737" w:rsidRPr="00444D54" w:rsidRDefault="00C35737" w:rsidP="00376822">
            <w:pPr>
              <w:spacing w:line="259" w:lineRule="auto"/>
              <w:jc w:val="center"/>
              <w:rPr>
                <w:b/>
                <w:bCs/>
                <w:lang w:val="en-AU"/>
              </w:rPr>
            </w:pPr>
            <w:r w:rsidRPr="00444D54">
              <w:rPr>
                <w:b/>
                <w:bCs/>
                <w:lang w:val="en-AU"/>
              </w:rPr>
              <w:t>Jul 20- Jun 21</w:t>
            </w:r>
          </w:p>
        </w:tc>
        <w:tc>
          <w:tcPr>
            <w:tcW w:w="1566" w:type="dxa"/>
            <w:hideMark/>
          </w:tcPr>
          <w:p w14:paraId="45F79AB7" w14:textId="77777777" w:rsidR="00C35737" w:rsidRPr="00444D54" w:rsidRDefault="00C35737" w:rsidP="00376822">
            <w:pPr>
              <w:spacing w:line="259" w:lineRule="auto"/>
              <w:jc w:val="center"/>
              <w:rPr>
                <w:b/>
                <w:bCs/>
                <w:lang w:val="en-AU"/>
              </w:rPr>
            </w:pPr>
            <w:r w:rsidRPr="00444D54">
              <w:rPr>
                <w:b/>
                <w:bCs/>
                <w:lang w:val="en-AU"/>
              </w:rPr>
              <w:t>Jul 21 - Jun 22</w:t>
            </w:r>
          </w:p>
        </w:tc>
        <w:tc>
          <w:tcPr>
            <w:tcW w:w="1350" w:type="dxa"/>
            <w:vMerge/>
            <w:hideMark/>
          </w:tcPr>
          <w:p w14:paraId="46F7353F" w14:textId="77777777" w:rsidR="00C35737" w:rsidRPr="00444D54" w:rsidRDefault="00C35737" w:rsidP="00376822">
            <w:pPr>
              <w:numPr>
                <w:ilvl w:val="1"/>
                <w:numId w:val="0"/>
              </w:numPr>
              <w:spacing w:line="259" w:lineRule="auto"/>
              <w:rPr>
                <w:b/>
                <w:bCs/>
                <w:lang w:val="en-AU"/>
              </w:rPr>
            </w:pPr>
          </w:p>
        </w:tc>
      </w:tr>
      <w:tr w:rsidR="00C35737" w:rsidRPr="00AA269A" w14:paraId="1C66A732" w14:textId="77777777" w:rsidTr="00376822">
        <w:trPr>
          <w:trHeight w:val="300"/>
        </w:trPr>
        <w:tc>
          <w:tcPr>
            <w:tcW w:w="518" w:type="dxa"/>
            <w:hideMark/>
          </w:tcPr>
          <w:p w14:paraId="086B59BE" w14:textId="77777777" w:rsidR="00C35737" w:rsidRPr="00444D54" w:rsidRDefault="00C35737" w:rsidP="00376822">
            <w:pPr>
              <w:keepNext/>
              <w:keepLines/>
              <w:spacing w:line="259" w:lineRule="auto"/>
              <w:jc w:val="center"/>
              <w:outlineLvl w:val="8"/>
              <w:rPr>
                <w:lang w:val="en-AU"/>
              </w:rPr>
            </w:pPr>
            <w:r w:rsidRPr="00444D54">
              <w:rPr>
                <w:lang w:val="en-AU"/>
              </w:rPr>
              <w:t>1</w:t>
            </w:r>
          </w:p>
        </w:tc>
        <w:tc>
          <w:tcPr>
            <w:tcW w:w="1817" w:type="dxa"/>
            <w:hideMark/>
          </w:tcPr>
          <w:p w14:paraId="195E8CE4" w14:textId="77777777" w:rsidR="00C35737" w:rsidRPr="00444D54" w:rsidRDefault="00C35737" w:rsidP="00376822">
            <w:pPr>
              <w:spacing w:line="259" w:lineRule="auto"/>
              <w:rPr>
                <w:lang w:val="en-AU"/>
              </w:rPr>
            </w:pPr>
            <w:r>
              <w:rPr>
                <w:lang w:val="en-AU"/>
              </w:rPr>
              <w:t>Program</w:t>
            </w:r>
            <w:r w:rsidRPr="00444D54">
              <w:rPr>
                <w:lang w:val="en-AU"/>
              </w:rPr>
              <w:t xml:space="preserve"> Cost</w:t>
            </w:r>
          </w:p>
        </w:tc>
        <w:tc>
          <w:tcPr>
            <w:tcW w:w="1530" w:type="dxa"/>
            <w:hideMark/>
          </w:tcPr>
          <w:p w14:paraId="5B4FC983" w14:textId="77777777" w:rsidR="00C35737" w:rsidRPr="00444D54" w:rsidRDefault="00C35737" w:rsidP="00376822">
            <w:pPr>
              <w:keepNext/>
              <w:keepLines/>
              <w:spacing w:line="259" w:lineRule="auto"/>
              <w:jc w:val="right"/>
              <w:outlineLvl w:val="8"/>
              <w:rPr>
                <w:lang w:val="en-AU"/>
              </w:rPr>
            </w:pPr>
            <w:r w:rsidRPr="00444D54">
              <w:rPr>
                <w:lang w:val="en-AU"/>
              </w:rPr>
              <w:t xml:space="preserve">$17,588,117 </w:t>
            </w:r>
          </w:p>
        </w:tc>
        <w:tc>
          <w:tcPr>
            <w:tcW w:w="1566" w:type="dxa"/>
            <w:hideMark/>
          </w:tcPr>
          <w:p w14:paraId="1EF299C2" w14:textId="77777777" w:rsidR="00C35737" w:rsidRPr="00444D54" w:rsidRDefault="00C35737" w:rsidP="00376822">
            <w:pPr>
              <w:keepNext/>
              <w:keepLines/>
              <w:spacing w:line="259" w:lineRule="auto"/>
              <w:jc w:val="right"/>
              <w:outlineLvl w:val="8"/>
              <w:rPr>
                <w:lang w:val="en-AU"/>
              </w:rPr>
            </w:pPr>
            <w:r w:rsidRPr="00444D54">
              <w:rPr>
                <w:lang w:val="en-AU"/>
              </w:rPr>
              <w:t xml:space="preserve">$3,440,768 </w:t>
            </w:r>
          </w:p>
        </w:tc>
        <w:tc>
          <w:tcPr>
            <w:tcW w:w="1566" w:type="dxa"/>
            <w:hideMark/>
          </w:tcPr>
          <w:p w14:paraId="5C0161EB" w14:textId="77777777" w:rsidR="00C35737" w:rsidRPr="00444D54" w:rsidRDefault="00C35737" w:rsidP="00376822">
            <w:pPr>
              <w:keepNext/>
              <w:keepLines/>
              <w:spacing w:line="259" w:lineRule="auto"/>
              <w:jc w:val="right"/>
              <w:outlineLvl w:val="8"/>
              <w:rPr>
                <w:lang w:val="en-AU"/>
              </w:rPr>
            </w:pPr>
            <w:r w:rsidRPr="00444D54">
              <w:rPr>
                <w:lang w:val="en-AU"/>
              </w:rPr>
              <w:t xml:space="preserve">$4,888,920 </w:t>
            </w:r>
          </w:p>
        </w:tc>
        <w:tc>
          <w:tcPr>
            <w:tcW w:w="1566" w:type="dxa"/>
            <w:hideMark/>
          </w:tcPr>
          <w:p w14:paraId="3C166849" w14:textId="77777777" w:rsidR="00C35737" w:rsidRPr="00444D54" w:rsidRDefault="00C35737" w:rsidP="00376822">
            <w:pPr>
              <w:keepNext/>
              <w:keepLines/>
              <w:spacing w:line="259" w:lineRule="auto"/>
              <w:jc w:val="right"/>
              <w:outlineLvl w:val="8"/>
              <w:rPr>
                <w:lang w:val="en-AU"/>
              </w:rPr>
            </w:pPr>
            <w:r w:rsidRPr="00444D54">
              <w:rPr>
                <w:lang w:val="en-AU"/>
              </w:rPr>
              <w:t xml:space="preserve">$3,086,143 </w:t>
            </w:r>
          </w:p>
        </w:tc>
        <w:tc>
          <w:tcPr>
            <w:tcW w:w="1566" w:type="dxa"/>
            <w:hideMark/>
          </w:tcPr>
          <w:p w14:paraId="42AB9249" w14:textId="77777777" w:rsidR="00C35737" w:rsidRPr="00444D54" w:rsidRDefault="00C35737" w:rsidP="00376822">
            <w:pPr>
              <w:keepNext/>
              <w:keepLines/>
              <w:spacing w:line="259" w:lineRule="auto"/>
              <w:jc w:val="right"/>
              <w:outlineLvl w:val="8"/>
              <w:rPr>
                <w:lang w:val="en-AU"/>
              </w:rPr>
            </w:pPr>
            <w:r w:rsidRPr="00444D54">
              <w:rPr>
                <w:lang w:val="en-AU"/>
              </w:rPr>
              <w:t xml:space="preserve">$3,672,286 </w:t>
            </w:r>
          </w:p>
        </w:tc>
        <w:tc>
          <w:tcPr>
            <w:tcW w:w="1566" w:type="dxa"/>
            <w:hideMark/>
          </w:tcPr>
          <w:p w14:paraId="4B17C539" w14:textId="77777777" w:rsidR="00C35737" w:rsidRPr="00444D54" w:rsidRDefault="00C35737" w:rsidP="00376822">
            <w:pPr>
              <w:keepNext/>
              <w:keepLines/>
              <w:spacing w:line="259" w:lineRule="auto"/>
              <w:jc w:val="right"/>
              <w:outlineLvl w:val="8"/>
              <w:rPr>
                <w:lang w:val="en-AU"/>
              </w:rPr>
            </w:pPr>
            <w:r w:rsidRPr="00444D54">
              <w:rPr>
                <w:lang w:val="en-AU"/>
              </w:rPr>
              <w:t xml:space="preserve">$2,500,000 </w:t>
            </w:r>
          </w:p>
        </w:tc>
        <w:tc>
          <w:tcPr>
            <w:tcW w:w="1350" w:type="dxa"/>
            <w:hideMark/>
          </w:tcPr>
          <w:p w14:paraId="69F5F937" w14:textId="77777777" w:rsidR="00C35737" w:rsidRPr="00444D54" w:rsidRDefault="00C35737" w:rsidP="00376822">
            <w:pPr>
              <w:keepNext/>
              <w:keepLines/>
              <w:spacing w:line="259" w:lineRule="auto"/>
              <w:jc w:val="right"/>
              <w:outlineLvl w:val="8"/>
              <w:rPr>
                <w:lang w:val="en-AU"/>
              </w:rPr>
            </w:pPr>
            <w:r w:rsidRPr="00444D54">
              <w:rPr>
                <w:lang w:val="en-AU"/>
              </w:rPr>
              <w:t xml:space="preserve">$17,588,117 </w:t>
            </w:r>
          </w:p>
        </w:tc>
      </w:tr>
      <w:tr w:rsidR="00C35737" w:rsidRPr="00AA269A" w14:paraId="47815254" w14:textId="77777777" w:rsidTr="00376822">
        <w:trPr>
          <w:trHeight w:val="255"/>
        </w:trPr>
        <w:tc>
          <w:tcPr>
            <w:tcW w:w="518" w:type="dxa"/>
            <w:hideMark/>
          </w:tcPr>
          <w:p w14:paraId="2928F871" w14:textId="77777777" w:rsidR="00C35737" w:rsidRPr="00444D54" w:rsidRDefault="00C35737" w:rsidP="00376822">
            <w:pPr>
              <w:keepNext/>
              <w:keepLines/>
              <w:spacing w:line="259" w:lineRule="auto"/>
              <w:jc w:val="center"/>
              <w:outlineLvl w:val="8"/>
              <w:rPr>
                <w:lang w:val="en-AU"/>
              </w:rPr>
            </w:pPr>
            <w:r w:rsidRPr="00444D54">
              <w:rPr>
                <w:lang w:val="en-AU"/>
              </w:rPr>
              <w:t>2</w:t>
            </w:r>
          </w:p>
        </w:tc>
        <w:tc>
          <w:tcPr>
            <w:tcW w:w="1817" w:type="dxa"/>
            <w:hideMark/>
          </w:tcPr>
          <w:p w14:paraId="23CFC146" w14:textId="77777777" w:rsidR="00C35737" w:rsidRPr="00444D54" w:rsidRDefault="00C35737" w:rsidP="00376822">
            <w:pPr>
              <w:keepNext/>
              <w:keepLines/>
              <w:spacing w:line="259" w:lineRule="auto"/>
              <w:outlineLvl w:val="8"/>
              <w:rPr>
                <w:lang w:val="en-AU"/>
              </w:rPr>
            </w:pPr>
            <w:r w:rsidRPr="00444D54">
              <w:rPr>
                <w:lang w:val="en-AU"/>
              </w:rPr>
              <w:t>Labour Cost</w:t>
            </w:r>
          </w:p>
        </w:tc>
        <w:tc>
          <w:tcPr>
            <w:tcW w:w="1530" w:type="dxa"/>
            <w:hideMark/>
          </w:tcPr>
          <w:p w14:paraId="74365313" w14:textId="77777777" w:rsidR="00C35737" w:rsidRPr="00444D54" w:rsidRDefault="00C35737" w:rsidP="00376822">
            <w:pPr>
              <w:keepNext/>
              <w:keepLines/>
              <w:spacing w:line="259" w:lineRule="auto"/>
              <w:jc w:val="right"/>
              <w:outlineLvl w:val="8"/>
              <w:rPr>
                <w:lang w:val="en-AU"/>
              </w:rPr>
            </w:pPr>
            <w:r w:rsidRPr="00444D54">
              <w:rPr>
                <w:lang w:val="en-AU"/>
              </w:rPr>
              <w:t xml:space="preserve">$11,760,595 </w:t>
            </w:r>
          </w:p>
        </w:tc>
        <w:tc>
          <w:tcPr>
            <w:tcW w:w="1566" w:type="dxa"/>
            <w:hideMark/>
          </w:tcPr>
          <w:p w14:paraId="631DE607" w14:textId="77777777" w:rsidR="00C35737" w:rsidRPr="00444D54" w:rsidRDefault="00C35737" w:rsidP="00376822">
            <w:pPr>
              <w:keepNext/>
              <w:keepLines/>
              <w:spacing w:line="259" w:lineRule="auto"/>
              <w:jc w:val="right"/>
              <w:outlineLvl w:val="8"/>
              <w:rPr>
                <w:lang w:val="en-AU"/>
              </w:rPr>
            </w:pPr>
            <w:r w:rsidRPr="00444D54">
              <w:rPr>
                <w:lang w:val="en-AU"/>
              </w:rPr>
              <w:t xml:space="preserve">$2,070,345 </w:t>
            </w:r>
          </w:p>
        </w:tc>
        <w:tc>
          <w:tcPr>
            <w:tcW w:w="1566" w:type="dxa"/>
            <w:hideMark/>
          </w:tcPr>
          <w:p w14:paraId="0D0E8A90" w14:textId="77777777" w:rsidR="00C35737" w:rsidRPr="00444D54" w:rsidRDefault="00C35737" w:rsidP="00376822">
            <w:pPr>
              <w:keepNext/>
              <w:keepLines/>
              <w:spacing w:line="259" w:lineRule="auto"/>
              <w:jc w:val="right"/>
              <w:outlineLvl w:val="8"/>
              <w:rPr>
                <w:lang w:val="en-AU"/>
              </w:rPr>
            </w:pPr>
            <w:r w:rsidRPr="00444D54">
              <w:rPr>
                <w:lang w:val="en-AU"/>
              </w:rPr>
              <w:t xml:space="preserve">$2,277,380 </w:t>
            </w:r>
          </w:p>
        </w:tc>
        <w:tc>
          <w:tcPr>
            <w:tcW w:w="1566" w:type="dxa"/>
            <w:hideMark/>
          </w:tcPr>
          <w:p w14:paraId="01E67EFF" w14:textId="77777777" w:rsidR="00C35737" w:rsidRPr="00444D54" w:rsidRDefault="00C35737" w:rsidP="00376822">
            <w:pPr>
              <w:keepNext/>
              <w:keepLines/>
              <w:spacing w:line="259" w:lineRule="auto"/>
              <w:jc w:val="right"/>
              <w:outlineLvl w:val="8"/>
              <w:rPr>
                <w:lang w:val="en-AU"/>
              </w:rPr>
            </w:pPr>
            <w:r w:rsidRPr="00444D54">
              <w:rPr>
                <w:lang w:val="en-AU"/>
              </w:rPr>
              <w:t xml:space="preserve">$2,391,248 </w:t>
            </w:r>
          </w:p>
        </w:tc>
        <w:tc>
          <w:tcPr>
            <w:tcW w:w="1566" w:type="dxa"/>
            <w:hideMark/>
          </w:tcPr>
          <w:p w14:paraId="02A2B776" w14:textId="77777777" w:rsidR="00C35737" w:rsidRPr="00444D54" w:rsidRDefault="00C35737" w:rsidP="00376822">
            <w:pPr>
              <w:keepNext/>
              <w:keepLines/>
              <w:spacing w:line="259" w:lineRule="auto"/>
              <w:jc w:val="right"/>
              <w:outlineLvl w:val="8"/>
              <w:rPr>
                <w:lang w:val="en-AU"/>
              </w:rPr>
            </w:pPr>
            <w:r w:rsidRPr="00444D54">
              <w:rPr>
                <w:lang w:val="en-AU"/>
              </w:rPr>
              <w:t xml:space="preserve">$2,510,811 </w:t>
            </w:r>
          </w:p>
        </w:tc>
        <w:tc>
          <w:tcPr>
            <w:tcW w:w="1566" w:type="dxa"/>
            <w:hideMark/>
          </w:tcPr>
          <w:p w14:paraId="3764CD89" w14:textId="77777777" w:rsidR="00C35737" w:rsidRPr="00444D54" w:rsidRDefault="00C35737" w:rsidP="00376822">
            <w:pPr>
              <w:keepNext/>
              <w:keepLines/>
              <w:spacing w:line="259" w:lineRule="auto"/>
              <w:jc w:val="right"/>
              <w:outlineLvl w:val="8"/>
              <w:rPr>
                <w:lang w:val="en-AU"/>
              </w:rPr>
            </w:pPr>
            <w:r w:rsidRPr="00444D54">
              <w:rPr>
                <w:lang w:val="en-AU"/>
              </w:rPr>
              <w:t xml:space="preserve">$2,510,811 </w:t>
            </w:r>
          </w:p>
        </w:tc>
        <w:tc>
          <w:tcPr>
            <w:tcW w:w="1350" w:type="dxa"/>
            <w:hideMark/>
          </w:tcPr>
          <w:p w14:paraId="312DDCEE" w14:textId="77777777" w:rsidR="00C35737" w:rsidRPr="00444D54" w:rsidRDefault="00C35737" w:rsidP="00376822">
            <w:pPr>
              <w:keepNext/>
              <w:keepLines/>
              <w:spacing w:line="259" w:lineRule="auto"/>
              <w:jc w:val="right"/>
              <w:outlineLvl w:val="8"/>
              <w:rPr>
                <w:lang w:val="en-AU"/>
              </w:rPr>
            </w:pPr>
            <w:r w:rsidRPr="00444D54">
              <w:rPr>
                <w:lang w:val="en-AU"/>
              </w:rPr>
              <w:t xml:space="preserve">$11,760,595 </w:t>
            </w:r>
          </w:p>
        </w:tc>
      </w:tr>
      <w:tr w:rsidR="00C35737" w:rsidRPr="00AA269A" w14:paraId="06D05EF7" w14:textId="77777777" w:rsidTr="00376822">
        <w:trPr>
          <w:trHeight w:val="255"/>
        </w:trPr>
        <w:tc>
          <w:tcPr>
            <w:tcW w:w="518" w:type="dxa"/>
            <w:hideMark/>
          </w:tcPr>
          <w:p w14:paraId="47403F60" w14:textId="77777777" w:rsidR="00C35737" w:rsidRPr="00444D54" w:rsidRDefault="00C35737" w:rsidP="00376822">
            <w:pPr>
              <w:keepNext/>
              <w:keepLines/>
              <w:spacing w:line="259" w:lineRule="auto"/>
              <w:jc w:val="center"/>
              <w:outlineLvl w:val="8"/>
              <w:rPr>
                <w:lang w:val="en-AU"/>
              </w:rPr>
            </w:pPr>
            <w:r w:rsidRPr="00444D54">
              <w:rPr>
                <w:lang w:val="en-AU"/>
              </w:rPr>
              <w:t>3</w:t>
            </w:r>
          </w:p>
        </w:tc>
        <w:tc>
          <w:tcPr>
            <w:tcW w:w="1817" w:type="dxa"/>
            <w:hideMark/>
          </w:tcPr>
          <w:p w14:paraId="06CC1E12" w14:textId="77777777" w:rsidR="00C35737" w:rsidRPr="00444D54" w:rsidRDefault="00C35737" w:rsidP="00376822">
            <w:pPr>
              <w:keepNext/>
              <w:keepLines/>
              <w:spacing w:line="259" w:lineRule="auto"/>
              <w:outlineLvl w:val="8"/>
              <w:rPr>
                <w:lang w:val="en-AU"/>
              </w:rPr>
            </w:pPr>
            <w:r w:rsidRPr="00444D54">
              <w:rPr>
                <w:lang w:val="en-AU"/>
              </w:rPr>
              <w:t>Fixed Ops</w:t>
            </w:r>
          </w:p>
        </w:tc>
        <w:tc>
          <w:tcPr>
            <w:tcW w:w="1530" w:type="dxa"/>
            <w:hideMark/>
          </w:tcPr>
          <w:p w14:paraId="5FAA43FF" w14:textId="77777777" w:rsidR="00C35737" w:rsidRPr="00444D54" w:rsidRDefault="00C35737" w:rsidP="00376822">
            <w:pPr>
              <w:keepNext/>
              <w:keepLines/>
              <w:spacing w:line="259" w:lineRule="auto"/>
              <w:jc w:val="right"/>
              <w:outlineLvl w:val="8"/>
              <w:rPr>
                <w:lang w:val="en-AU"/>
              </w:rPr>
            </w:pPr>
            <w:r w:rsidRPr="00444D54">
              <w:rPr>
                <w:lang w:val="en-AU"/>
              </w:rPr>
              <w:t xml:space="preserve">$8,766,289 </w:t>
            </w:r>
          </w:p>
        </w:tc>
        <w:tc>
          <w:tcPr>
            <w:tcW w:w="1566" w:type="dxa"/>
            <w:hideMark/>
          </w:tcPr>
          <w:p w14:paraId="21FF74F7" w14:textId="77777777" w:rsidR="00C35737" w:rsidRPr="00444D54" w:rsidRDefault="00C35737" w:rsidP="00376822">
            <w:pPr>
              <w:keepNext/>
              <w:keepLines/>
              <w:spacing w:line="259" w:lineRule="auto"/>
              <w:jc w:val="right"/>
              <w:outlineLvl w:val="8"/>
              <w:rPr>
                <w:lang w:val="en-AU"/>
              </w:rPr>
            </w:pPr>
            <w:r w:rsidRPr="00444D54">
              <w:rPr>
                <w:lang w:val="en-AU"/>
              </w:rPr>
              <w:t xml:space="preserve">$2,456,137 </w:t>
            </w:r>
          </w:p>
        </w:tc>
        <w:tc>
          <w:tcPr>
            <w:tcW w:w="1566" w:type="dxa"/>
            <w:hideMark/>
          </w:tcPr>
          <w:p w14:paraId="6036EDB6" w14:textId="77777777" w:rsidR="00C35737" w:rsidRPr="00444D54" w:rsidRDefault="00C35737" w:rsidP="00376822">
            <w:pPr>
              <w:keepNext/>
              <w:keepLines/>
              <w:spacing w:line="259" w:lineRule="auto"/>
              <w:jc w:val="right"/>
              <w:outlineLvl w:val="8"/>
              <w:rPr>
                <w:lang w:val="en-AU"/>
              </w:rPr>
            </w:pPr>
            <w:r w:rsidRPr="00444D54">
              <w:rPr>
                <w:lang w:val="en-AU"/>
              </w:rPr>
              <w:t xml:space="preserve">$2,638,049 </w:t>
            </w:r>
          </w:p>
        </w:tc>
        <w:tc>
          <w:tcPr>
            <w:tcW w:w="1566" w:type="dxa"/>
            <w:hideMark/>
          </w:tcPr>
          <w:p w14:paraId="364A51FC" w14:textId="77777777" w:rsidR="00C35737" w:rsidRPr="00444D54" w:rsidRDefault="00C35737" w:rsidP="00376822">
            <w:pPr>
              <w:keepNext/>
              <w:keepLines/>
              <w:spacing w:line="259" w:lineRule="auto"/>
              <w:jc w:val="right"/>
              <w:outlineLvl w:val="8"/>
              <w:rPr>
                <w:lang w:val="en-AU"/>
              </w:rPr>
            </w:pPr>
            <w:r w:rsidRPr="00444D54">
              <w:rPr>
                <w:lang w:val="en-AU"/>
              </w:rPr>
              <w:t xml:space="preserve">$1,125,000 </w:t>
            </w:r>
          </w:p>
        </w:tc>
        <w:tc>
          <w:tcPr>
            <w:tcW w:w="1566" w:type="dxa"/>
            <w:hideMark/>
          </w:tcPr>
          <w:p w14:paraId="5C37F57B" w14:textId="77777777" w:rsidR="00C35737" w:rsidRPr="00444D54" w:rsidRDefault="00C35737" w:rsidP="00376822">
            <w:pPr>
              <w:keepNext/>
              <w:keepLines/>
              <w:spacing w:line="259" w:lineRule="auto"/>
              <w:jc w:val="right"/>
              <w:outlineLvl w:val="8"/>
              <w:rPr>
                <w:lang w:val="en-AU"/>
              </w:rPr>
            </w:pPr>
            <w:r w:rsidRPr="00444D54">
              <w:rPr>
                <w:lang w:val="en-AU"/>
              </w:rPr>
              <w:t xml:space="preserve">$1,181,250 </w:t>
            </w:r>
          </w:p>
        </w:tc>
        <w:tc>
          <w:tcPr>
            <w:tcW w:w="1566" w:type="dxa"/>
            <w:hideMark/>
          </w:tcPr>
          <w:p w14:paraId="69D14DB7" w14:textId="77777777" w:rsidR="00C35737" w:rsidRPr="00444D54" w:rsidRDefault="00C35737" w:rsidP="00376822">
            <w:pPr>
              <w:keepNext/>
              <w:keepLines/>
              <w:spacing w:line="259" w:lineRule="auto"/>
              <w:jc w:val="right"/>
              <w:outlineLvl w:val="8"/>
              <w:rPr>
                <w:lang w:val="en-AU"/>
              </w:rPr>
            </w:pPr>
            <w:r w:rsidRPr="00444D54">
              <w:rPr>
                <w:lang w:val="en-AU"/>
              </w:rPr>
              <w:t xml:space="preserve">$1,365,853 </w:t>
            </w:r>
          </w:p>
        </w:tc>
        <w:tc>
          <w:tcPr>
            <w:tcW w:w="1350" w:type="dxa"/>
            <w:hideMark/>
          </w:tcPr>
          <w:p w14:paraId="1D9F641D" w14:textId="77777777" w:rsidR="00C35737" w:rsidRPr="00444D54" w:rsidRDefault="00C35737" w:rsidP="00376822">
            <w:pPr>
              <w:keepNext/>
              <w:keepLines/>
              <w:spacing w:line="259" w:lineRule="auto"/>
              <w:jc w:val="right"/>
              <w:outlineLvl w:val="8"/>
              <w:rPr>
                <w:lang w:val="en-AU"/>
              </w:rPr>
            </w:pPr>
            <w:r w:rsidRPr="00444D54">
              <w:rPr>
                <w:lang w:val="en-AU"/>
              </w:rPr>
              <w:t xml:space="preserve">$8,766,289 </w:t>
            </w:r>
          </w:p>
        </w:tc>
      </w:tr>
      <w:tr w:rsidR="00C35737" w:rsidRPr="00AA269A" w14:paraId="7246C18C" w14:textId="77777777" w:rsidTr="00376822">
        <w:trPr>
          <w:trHeight w:val="255"/>
        </w:trPr>
        <w:tc>
          <w:tcPr>
            <w:tcW w:w="518" w:type="dxa"/>
            <w:hideMark/>
          </w:tcPr>
          <w:p w14:paraId="02D7E694" w14:textId="77777777" w:rsidR="00C35737" w:rsidRPr="00444D54" w:rsidRDefault="00C35737" w:rsidP="00376822">
            <w:pPr>
              <w:keepNext/>
              <w:keepLines/>
              <w:spacing w:line="259" w:lineRule="auto"/>
              <w:jc w:val="center"/>
              <w:outlineLvl w:val="8"/>
              <w:rPr>
                <w:lang w:val="en-AU"/>
              </w:rPr>
            </w:pPr>
          </w:p>
        </w:tc>
        <w:tc>
          <w:tcPr>
            <w:tcW w:w="1817" w:type="dxa"/>
            <w:hideMark/>
          </w:tcPr>
          <w:p w14:paraId="2FB55BC3" w14:textId="77777777" w:rsidR="00C35737" w:rsidRPr="00444D54" w:rsidRDefault="00C35737" w:rsidP="00376822">
            <w:pPr>
              <w:spacing w:line="259" w:lineRule="auto"/>
              <w:rPr>
                <w:b/>
                <w:bCs/>
                <w:lang w:val="en-AU"/>
              </w:rPr>
            </w:pPr>
            <w:r w:rsidRPr="00444D54">
              <w:rPr>
                <w:b/>
                <w:bCs/>
                <w:lang w:val="en-AU"/>
              </w:rPr>
              <w:t>Sub-Total</w:t>
            </w:r>
          </w:p>
        </w:tc>
        <w:tc>
          <w:tcPr>
            <w:tcW w:w="1530" w:type="dxa"/>
            <w:hideMark/>
          </w:tcPr>
          <w:p w14:paraId="5B8E10D2" w14:textId="77777777" w:rsidR="00C35737" w:rsidRPr="00444D54" w:rsidRDefault="00C35737" w:rsidP="00376822">
            <w:pPr>
              <w:spacing w:line="259" w:lineRule="auto"/>
              <w:jc w:val="right"/>
              <w:rPr>
                <w:b/>
                <w:bCs/>
                <w:lang w:val="en-AU"/>
              </w:rPr>
            </w:pPr>
            <w:r w:rsidRPr="00444D54">
              <w:rPr>
                <w:b/>
                <w:bCs/>
                <w:lang w:val="en-AU"/>
              </w:rPr>
              <w:t xml:space="preserve">$38,115,000 </w:t>
            </w:r>
          </w:p>
        </w:tc>
        <w:tc>
          <w:tcPr>
            <w:tcW w:w="1566" w:type="dxa"/>
            <w:hideMark/>
          </w:tcPr>
          <w:p w14:paraId="742835FB" w14:textId="77777777" w:rsidR="00C35737" w:rsidRPr="00444D54" w:rsidRDefault="00C35737" w:rsidP="00376822">
            <w:pPr>
              <w:spacing w:line="259" w:lineRule="auto"/>
              <w:jc w:val="right"/>
              <w:rPr>
                <w:b/>
                <w:bCs/>
                <w:lang w:val="en-AU"/>
              </w:rPr>
            </w:pPr>
            <w:r w:rsidRPr="00444D54">
              <w:rPr>
                <w:b/>
                <w:bCs/>
                <w:lang w:val="en-AU"/>
              </w:rPr>
              <w:t xml:space="preserve">$7,967,250 </w:t>
            </w:r>
          </w:p>
        </w:tc>
        <w:tc>
          <w:tcPr>
            <w:tcW w:w="1566" w:type="dxa"/>
            <w:hideMark/>
          </w:tcPr>
          <w:p w14:paraId="45ABDB64" w14:textId="77777777" w:rsidR="00C35737" w:rsidRPr="00444D54" w:rsidRDefault="00C35737" w:rsidP="00376822">
            <w:pPr>
              <w:spacing w:line="259" w:lineRule="auto"/>
              <w:jc w:val="right"/>
              <w:rPr>
                <w:b/>
                <w:bCs/>
                <w:lang w:val="en-AU"/>
              </w:rPr>
            </w:pPr>
            <w:r w:rsidRPr="00444D54">
              <w:rPr>
                <w:b/>
                <w:bCs/>
                <w:lang w:val="en-AU"/>
              </w:rPr>
              <w:t xml:space="preserve">$9,804,349 </w:t>
            </w:r>
          </w:p>
        </w:tc>
        <w:tc>
          <w:tcPr>
            <w:tcW w:w="1566" w:type="dxa"/>
            <w:hideMark/>
          </w:tcPr>
          <w:p w14:paraId="6D0C52E2" w14:textId="77777777" w:rsidR="00C35737" w:rsidRPr="00444D54" w:rsidRDefault="00C35737" w:rsidP="00376822">
            <w:pPr>
              <w:spacing w:line="259" w:lineRule="auto"/>
              <w:jc w:val="right"/>
              <w:rPr>
                <w:b/>
                <w:bCs/>
                <w:lang w:val="en-AU"/>
              </w:rPr>
            </w:pPr>
            <w:r w:rsidRPr="00444D54">
              <w:rPr>
                <w:b/>
                <w:bCs/>
                <w:lang w:val="en-AU"/>
              </w:rPr>
              <w:t xml:space="preserve">$6,602,391 </w:t>
            </w:r>
          </w:p>
        </w:tc>
        <w:tc>
          <w:tcPr>
            <w:tcW w:w="1566" w:type="dxa"/>
            <w:hideMark/>
          </w:tcPr>
          <w:p w14:paraId="0CD493DA" w14:textId="77777777" w:rsidR="00C35737" w:rsidRPr="00444D54" w:rsidRDefault="00C35737" w:rsidP="00376822">
            <w:pPr>
              <w:spacing w:line="259" w:lineRule="auto"/>
              <w:jc w:val="right"/>
              <w:rPr>
                <w:b/>
                <w:bCs/>
                <w:lang w:val="en-AU"/>
              </w:rPr>
            </w:pPr>
            <w:r w:rsidRPr="00444D54">
              <w:rPr>
                <w:b/>
                <w:bCs/>
                <w:lang w:val="en-AU"/>
              </w:rPr>
              <w:t xml:space="preserve">$7,364,347 </w:t>
            </w:r>
          </w:p>
        </w:tc>
        <w:tc>
          <w:tcPr>
            <w:tcW w:w="1566" w:type="dxa"/>
            <w:hideMark/>
          </w:tcPr>
          <w:p w14:paraId="5238CD76" w14:textId="77777777" w:rsidR="00C35737" w:rsidRPr="00444D54" w:rsidRDefault="00C35737" w:rsidP="00376822">
            <w:pPr>
              <w:spacing w:line="259" w:lineRule="auto"/>
              <w:jc w:val="right"/>
              <w:rPr>
                <w:b/>
                <w:bCs/>
                <w:lang w:val="en-AU"/>
              </w:rPr>
            </w:pPr>
            <w:r w:rsidRPr="00444D54">
              <w:rPr>
                <w:b/>
                <w:bCs/>
                <w:lang w:val="en-AU"/>
              </w:rPr>
              <w:t xml:space="preserve">$6,376,663 </w:t>
            </w:r>
          </w:p>
        </w:tc>
        <w:tc>
          <w:tcPr>
            <w:tcW w:w="1350" w:type="dxa"/>
            <w:hideMark/>
          </w:tcPr>
          <w:p w14:paraId="682F1BB4" w14:textId="77777777" w:rsidR="00C35737" w:rsidRPr="00444D54" w:rsidRDefault="00C35737" w:rsidP="00376822">
            <w:pPr>
              <w:spacing w:line="259" w:lineRule="auto"/>
              <w:jc w:val="right"/>
              <w:rPr>
                <w:b/>
                <w:bCs/>
                <w:lang w:val="en-AU"/>
              </w:rPr>
            </w:pPr>
            <w:r w:rsidRPr="00444D54">
              <w:rPr>
                <w:b/>
                <w:bCs/>
                <w:lang w:val="en-AU"/>
              </w:rPr>
              <w:t xml:space="preserve">$38,115,000 </w:t>
            </w:r>
          </w:p>
        </w:tc>
      </w:tr>
      <w:tr w:rsidR="00C35737" w:rsidRPr="00AA269A" w14:paraId="42EEFB1D" w14:textId="77777777" w:rsidTr="00376822">
        <w:trPr>
          <w:trHeight w:val="255"/>
        </w:trPr>
        <w:tc>
          <w:tcPr>
            <w:tcW w:w="518" w:type="dxa"/>
            <w:hideMark/>
          </w:tcPr>
          <w:p w14:paraId="1F7C0D0D" w14:textId="77777777" w:rsidR="00C35737" w:rsidRPr="00444D54" w:rsidRDefault="00C35737" w:rsidP="00376822">
            <w:pPr>
              <w:keepNext/>
              <w:keepLines/>
              <w:spacing w:line="259" w:lineRule="auto"/>
              <w:jc w:val="center"/>
              <w:outlineLvl w:val="8"/>
              <w:rPr>
                <w:lang w:val="en-AU"/>
              </w:rPr>
            </w:pPr>
          </w:p>
        </w:tc>
        <w:tc>
          <w:tcPr>
            <w:tcW w:w="1817" w:type="dxa"/>
            <w:hideMark/>
          </w:tcPr>
          <w:p w14:paraId="750D627E" w14:textId="77777777" w:rsidR="00C35737" w:rsidRPr="00444D54" w:rsidRDefault="00C35737" w:rsidP="00376822">
            <w:pPr>
              <w:spacing w:line="259" w:lineRule="auto"/>
              <w:rPr>
                <w:b/>
                <w:bCs/>
                <w:lang w:val="en-AU"/>
              </w:rPr>
            </w:pPr>
            <w:r w:rsidRPr="00444D54">
              <w:rPr>
                <w:b/>
                <w:bCs/>
                <w:lang w:val="en-AU"/>
              </w:rPr>
              <w:t> </w:t>
            </w:r>
          </w:p>
        </w:tc>
        <w:tc>
          <w:tcPr>
            <w:tcW w:w="1530" w:type="dxa"/>
            <w:hideMark/>
          </w:tcPr>
          <w:p w14:paraId="1D887383" w14:textId="77777777" w:rsidR="00C35737" w:rsidRPr="00444D54" w:rsidRDefault="00C35737" w:rsidP="00376822">
            <w:pPr>
              <w:spacing w:line="259" w:lineRule="auto"/>
              <w:jc w:val="right"/>
              <w:rPr>
                <w:b/>
                <w:bCs/>
                <w:lang w:val="en-AU"/>
              </w:rPr>
            </w:pPr>
            <w:r w:rsidRPr="00444D54">
              <w:rPr>
                <w:b/>
                <w:bCs/>
                <w:lang w:val="en-AU"/>
              </w:rPr>
              <w:t> </w:t>
            </w:r>
          </w:p>
        </w:tc>
        <w:tc>
          <w:tcPr>
            <w:tcW w:w="1566" w:type="dxa"/>
            <w:hideMark/>
          </w:tcPr>
          <w:p w14:paraId="16C42642" w14:textId="77777777" w:rsidR="00C35737" w:rsidRPr="00444D54" w:rsidRDefault="00C35737" w:rsidP="00376822">
            <w:pPr>
              <w:spacing w:line="259" w:lineRule="auto"/>
              <w:jc w:val="right"/>
              <w:rPr>
                <w:b/>
                <w:bCs/>
                <w:lang w:val="en-AU"/>
              </w:rPr>
            </w:pPr>
            <w:r w:rsidRPr="00444D54">
              <w:rPr>
                <w:b/>
                <w:bCs/>
                <w:lang w:val="en-AU"/>
              </w:rPr>
              <w:t> </w:t>
            </w:r>
          </w:p>
        </w:tc>
        <w:tc>
          <w:tcPr>
            <w:tcW w:w="1566" w:type="dxa"/>
            <w:hideMark/>
          </w:tcPr>
          <w:p w14:paraId="7DFC7841" w14:textId="77777777" w:rsidR="00C35737" w:rsidRPr="00444D54" w:rsidRDefault="00C35737" w:rsidP="00376822">
            <w:pPr>
              <w:spacing w:line="259" w:lineRule="auto"/>
              <w:jc w:val="right"/>
              <w:rPr>
                <w:b/>
                <w:bCs/>
                <w:lang w:val="en-AU"/>
              </w:rPr>
            </w:pPr>
            <w:r w:rsidRPr="00444D54">
              <w:rPr>
                <w:b/>
                <w:bCs/>
                <w:lang w:val="en-AU"/>
              </w:rPr>
              <w:t> </w:t>
            </w:r>
          </w:p>
        </w:tc>
        <w:tc>
          <w:tcPr>
            <w:tcW w:w="1566" w:type="dxa"/>
            <w:hideMark/>
          </w:tcPr>
          <w:p w14:paraId="599E645A" w14:textId="77777777" w:rsidR="00C35737" w:rsidRPr="00444D54" w:rsidRDefault="00C35737" w:rsidP="00376822">
            <w:pPr>
              <w:spacing w:line="259" w:lineRule="auto"/>
              <w:jc w:val="right"/>
              <w:rPr>
                <w:b/>
                <w:bCs/>
                <w:lang w:val="en-AU"/>
              </w:rPr>
            </w:pPr>
            <w:r w:rsidRPr="00444D54">
              <w:rPr>
                <w:b/>
                <w:bCs/>
                <w:lang w:val="en-AU"/>
              </w:rPr>
              <w:t> </w:t>
            </w:r>
          </w:p>
        </w:tc>
        <w:tc>
          <w:tcPr>
            <w:tcW w:w="1566" w:type="dxa"/>
            <w:hideMark/>
          </w:tcPr>
          <w:p w14:paraId="2C7CAB96" w14:textId="77777777" w:rsidR="00C35737" w:rsidRPr="00444D54" w:rsidRDefault="00C35737" w:rsidP="00376822">
            <w:pPr>
              <w:spacing w:line="259" w:lineRule="auto"/>
              <w:jc w:val="right"/>
              <w:rPr>
                <w:b/>
                <w:bCs/>
                <w:lang w:val="en-AU"/>
              </w:rPr>
            </w:pPr>
            <w:r w:rsidRPr="00444D54">
              <w:rPr>
                <w:b/>
                <w:bCs/>
                <w:lang w:val="en-AU"/>
              </w:rPr>
              <w:t> </w:t>
            </w:r>
          </w:p>
        </w:tc>
        <w:tc>
          <w:tcPr>
            <w:tcW w:w="1566" w:type="dxa"/>
            <w:hideMark/>
          </w:tcPr>
          <w:p w14:paraId="45CF59A1" w14:textId="77777777" w:rsidR="00C35737" w:rsidRPr="00444D54" w:rsidRDefault="00C35737" w:rsidP="00376822">
            <w:pPr>
              <w:spacing w:line="259" w:lineRule="auto"/>
              <w:jc w:val="right"/>
              <w:rPr>
                <w:b/>
                <w:bCs/>
                <w:lang w:val="en-AU"/>
              </w:rPr>
            </w:pPr>
            <w:r w:rsidRPr="00444D54">
              <w:rPr>
                <w:b/>
                <w:bCs/>
                <w:lang w:val="en-AU"/>
              </w:rPr>
              <w:t> </w:t>
            </w:r>
          </w:p>
        </w:tc>
        <w:tc>
          <w:tcPr>
            <w:tcW w:w="1350" w:type="dxa"/>
            <w:hideMark/>
          </w:tcPr>
          <w:p w14:paraId="3EAE61E9" w14:textId="77777777" w:rsidR="00C35737" w:rsidRPr="00444D54" w:rsidRDefault="00C35737" w:rsidP="00376822">
            <w:pPr>
              <w:spacing w:line="259" w:lineRule="auto"/>
              <w:jc w:val="right"/>
              <w:rPr>
                <w:b/>
                <w:bCs/>
                <w:lang w:val="en-AU"/>
              </w:rPr>
            </w:pPr>
            <w:r w:rsidRPr="00444D54">
              <w:rPr>
                <w:b/>
                <w:bCs/>
                <w:lang w:val="en-AU"/>
              </w:rPr>
              <w:t> </w:t>
            </w:r>
          </w:p>
        </w:tc>
      </w:tr>
      <w:tr w:rsidR="00C35737" w:rsidRPr="00AA269A" w14:paraId="30A70D2D" w14:textId="77777777" w:rsidTr="00376822">
        <w:trPr>
          <w:trHeight w:val="300"/>
        </w:trPr>
        <w:tc>
          <w:tcPr>
            <w:tcW w:w="518" w:type="dxa"/>
            <w:hideMark/>
          </w:tcPr>
          <w:p w14:paraId="65246EB6" w14:textId="77777777" w:rsidR="00C35737" w:rsidRPr="00444D54" w:rsidRDefault="00C35737" w:rsidP="00376822">
            <w:pPr>
              <w:keepNext/>
              <w:keepLines/>
              <w:spacing w:line="259" w:lineRule="auto"/>
              <w:jc w:val="center"/>
              <w:outlineLvl w:val="8"/>
              <w:rPr>
                <w:lang w:val="en-AU"/>
              </w:rPr>
            </w:pPr>
            <w:r w:rsidRPr="00444D54">
              <w:rPr>
                <w:lang w:val="en-AU"/>
              </w:rPr>
              <w:t>4</w:t>
            </w:r>
          </w:p>
        </w:tc>
        <w:tc>
          <w:tcPr>
            <w:tcW w:w="1817" w:type="dxa"/>
            <w:hideMark/>
          </w:tcPr>
          <w:p w14:paraId="41B81A87" w14:textId="77777777" w:rsidR="00C35737" w:rsidRPr="00444D54" w:rsidRDefault="00C35737" w:rsidP="00376822">
            <w:pPr>
              <w:keepNext/>
              <w:keepLines/>
              <w:spacing w:line="259" w:lineRule="auto"/>
              <w:outlineLvl w:val="8"/>
              <w:rPr>
                <w:lang w:val="en-AU"/>
              </w:rPr>
            </w:pPr>
            <w:r w:rsidRPr="00444D54">
              <w:rPr>
                <w:lang w:val="en-AU"/>
              </w:rPr>
              <w:t>Management Fee</w:t>
            </w:r>
          </w:p>
        </w:tc>
        <w:tc>
          <w:tcPr>
            <w:tcW w:w="1530" w:type="dxa"/>
            <w:hideMark/>
          </w:tcPr>
          <w:p w14:paraId="4EDE81C9" w14:textId="77777777" w:rsidR="00C35737" w:rsidRPr="00444D54" w:rsidRDefault="00C35737" w:rsidP="00376822">
            <w:pPr>
              <w:keepNext/>
              <w:keepLines/>
              <w:spacing w:line="259" w:lineRule="auto"/>
              <w:jc w:val="right"/>
              <w:outlineLvl w:val="8"/>
              <w:rPr>
                <w:lang w:val="en-AU"/>
              </w:rPr>
            </w:pPr>
            <w:r w:rsidRPr="00444D54">
              <w:rPr>
                <w:lang w:val="en-AU"/>
              </w:rPr>
              <w:t xml:space="preserve">$6,885,000 </w:t>
            </w:r>
          </w:p>
        </w:tc>
        <w:tc>
          <w:tcPr>
            <w:tcW w:w="1566" w:type="dxa"/>
            <w:hideMark/>
          </w:tcPr>
          <w:p w14:paraId="4925E691" w14:textId="77777777" w:rsidR="00C35737" w:rsidRPr="00444D54" w:rsidRDefault="00C35737" w:rsidP="00376822">
            <w:pPr>
              <w:keepNext/>
              <w:keepLines/>
              <w:spacing w:line="259" w:lineRule="auto"/>
              <w:jc w:val="right"/>
              <w:outlineLvl w:val="8"/>
              <w:rPr>
                <w:lang w:val="en-AU"/>
              </w:rPr>
            </w:pPr>
            <w:r w:rsidRPr="00444D54">
              <w:rPr>
                <w:lang w:val="en-AU"/>
              </w:rPr>
              <w:t xml:space="preserve">$1,032,750 </w:t>
            </w:r>
          </w:p>
        </w:tc>
        <w:tc>
          <w:tcPr>
            <w:tcW w:w="1566" w:type="dxa"/>
            <w:hideMark/>
          </w:tcPr>
          <w:p w14:paraId="4E0B2DC1" w14:textId="77777777" w:rsidR="00C35737" w:rsidRPr="00444D54" w:rsidRDefault="00C35737" w:rsidP="00376822">
            <w:pPr>
              <w:keepNext/>
              <w:keepLines/>
              <w:spacing w:line="259" w:lineRule="auto"/>
              <w:jc w:val="right"/>
              <w:outlineLvl w:val="8"/>
              <w:rPr>
                <w:lang w:val="en-AU"/>
              </w:rPr>
            </w:pPr>
            <w:r w:rsidRPr="00444D54">
              <w:rPr>
                <w:lang w:val="en-AU"/>
              </w:rPr>
              <w:t xml:space="preserve">$1,583,550 </w:t>
            </w:r>
          </w:p>
        </w:tc>
        <w:tc>
          <w:tcPr>
            <w:tcW w:w="1566" w:type="dxa"/>
            <w:hideMark/>
          </w:tcPr>
          <w:p w14:paraId="1DE7203A" w14:textId="77777777" w:rsidR="00C35737" w:rsidRPr="00444D54" w:rsidRDefault="00C35737" w:rsidP="00376822">
            <w:pPr>
              <w:keepNext/>
              <w:keepLines/>
              <w:spacing w:line="259" w:lineRule="auto"/>
              <w:jc w:val="right"/>
              <w:outlineLvl w:val="8"/>
              <w:rPr>
                <w:lang w:val="en-AU"/>
              </w:rPr>
            </w:pPr>
            <w:r w:rsidRPr="00444D54">
              <w:rPr>
                <w:lang w:val="en-AU"/>
              </w:rPr>
              <w:t xml:space="preserve">$1,308,150 </w:t>
            </w:r>
          </w:p>
        </w:tc>
        <w:tc>
          <w:tcPr>
            <w:tcW w:w="1566" w:type="dxa"/>
            <w:hideMark/>
          </w:tcPr>
          <w:p w14:paraId="46CC261D" w14:textId="77777777" w:rsidR="00C35737" w:rsidRPr="00444D54" w:rsidRDefault="00C35737" w:rsidP="00376822">
            <w:pPr>
              <w:keepNext/>
              <w:keepLines/>
              <w:spacing w:line="259" w:lineRule="auto"/>
              <w:jc w:val="right"/>
              <w:outlineLvl w:val="8"/>
              <w:rPr>
                <w:lang w:val="en-AU"/>
              </w:rPr>
            </w:pPr>
            <w:r w:rsidRPr="00444D54">
              <w:rPr>
                <w:lang w:val="en-AU"/>
              </w:rPr>
              <w:t xml:space="preserve">$1,308,150 </w:t>
            </w:r>
          </w:p>
        </w:tc>
        <w:tc>
          <w:tcPr>
            <w:tcW w:w="1566" w:type="dxa"/>
            <w:hideMark/>
          </w:tcPr>
          <w:p w14:paraId="20DF0698" w14:textId="77777777" w:rsidR="00C35737" w:rsidRPr="00444D54" w:rsidRDefault="00C35737" w:rsidP="00376822">
            <w:pPr>
              <w:keepNext/>
              <w:keepLines/>
              <w:spacing w:line="259" w:lineRule="auto"/>
              <w:jc w:val="right"/>
              <w:outlineLvl w:val="8"/>
              <w:rPr>
                <w:lang w:val="en-AU"/>
              </w:rPr>
            </w:pPr>
            <w:r w:rsidRPr="00444D54">
              <w:rPr>
                <w:lang w:val="en-AU"/>
              </w:rPr>
              <w:t xml:space="preserve">$1,652,400 </w:t>
            </w:r>
          </w:p>
        </w:tc>
        <w:tc>
          <w:tcPr>
            <w:tcW w:w="1350" w:type="dxa"/>
            <w:hideMark/>
          </w:tcPr>
          <w:p w14:paraId="270CC9D1" w14:textId="77777777" w:rsidR="00C35737" w:rsidRPr="00444D54" w:rsidRDefault="00C35737" w:rsidP="00376822">
            <w:pPr>
              <w:keepNext/>
              <w:keepLines/>
              <w:spacing w:line="259" w:lineRule="auto"/>
              <w:jc w:val="right"/>
              <w:outlineLvl w:val="8"/>
              <w:rPr>
                <w:lang w:val="en-AU"/>
              </w:rPr>
            </w:pPr>
            <w:r w:rsidRPr="00444D54">
              <w:rPr>
                <w:lang w:val="en-AU"/>
              </w:rPr>
              <w:t xml:space="preserve">$6,885,000 </w:t>
            </w:r>
          </w:p>
        </w:tc>
      </w:tr>
      <w:tr w:rsidR="00C35737" w:rsidRPr="00AA269A" w14:paraId="589A314F" w14:textId="77777777" w:rsidTr="00376822">
        <w:trPr>
          <w:trHeight w:val="255"/>
        </w:trPr>
        <w:tc>
          <w:tcPr>
            <w:tcW w:w="518" w:type="dxa"/>
            <w:noWrap/>
            <w:hideMark/>
          </w:tcPr>
          <w:p w14:paraId="13B13E4F" w14:textId="77777777" w:rsidR="00C35737" w:rsidRPr="00444D54" w:rsidRDefault="00C35737" w:rsidP="00376822">
            <w:pPr>
              <w:keepNext/>
              <w:keepLines/>
              <w:spacing w:line="259" w:lineRule="auto"/>
              <w:outlineLvl w:val="8"/>
              <w:rPr>
                <w:lang w:val="en-AU"/>
              </w:rPr>
            </w:pPr>
            <w:r w:rsidRPr="00444D54">
              <w:rPr>
                <w:lang w:val="en-AU"/>
              </w:rPr>
              <w:t> </w:t>
            </w:r>
          </w:p>
        </w:tc>
        <w:tc>
          <w:tcPr>
            <w:tcW w:w="1817" w:type="dxa"/>
            <w:hideMark/>
          </w:tcPr>
          <w:p w14:paraId="11B010B4" w14:textId="77777777" w:rsidR="00C35737" w:rsidRPr="00444D54" w:rsidRDefault="00C35737" w:rsidP="00376822">
            <w:pPr>
              <w:spacing w:line="259" w:lineRule="auto"/>
              <w:rPr>
                <w:b/>
                <w:bCs/>
                <w:lang w:val="en-AU"/>
              </w:rPr>
            </w:pPr>
            <w:r w:rsidRPr="00444D54">
              <w:rPr>
                <w:b/>
                <w:bCs/>
                <w:lang w:val="en-AU"/>
              </w:rPr>
              <w:t>Sub-Total</w:t>
            </w:r>
          </w:p>
        </w:tc>
        <w:tc>
          <w:tcPr>
            <w:tcW w:w="1530" w:type="dxa"/>
            <w:noWrap/>
            <w:hideMark/>
          </w:tcPr>
          <w:p w14:paraId="2A7D7F1E" w14:textId="77777777" w:rsidR="00C35737" w:rsidRPr="00444D54" w:rsidRDefault="00C35737" w:rsidP="00376822">
            <w:pPr>
              <w:spacing w:line="259" w:lineRule="auto"/>
              <w:jc w:val="right"/>
              <w:rPr>
                <w:b/>
                <w:bCs/>
                <w:lang w:val="en-AU"/>
              </w:rPr>
            </w:pPr>
            <w:r w:rsidRPr="00444D54">
              <w:rPr>
                <w:b/>
                <w:bCs/>
                <w:lang w:val="en-AU"/>
              </w:rPr>
              <w:t xml:space="preserve">$6,885,000 </w:t>
            </w:r>
          </w:p>
        </w:tc>
        <w:tc>
          <w:tcPr>
            <w:tcW w:w="1566" w:type="dxa"/>
            <w:noWrap/>
            <w:hideMark/>
          </w:tcPr>
          <w:p w14:paraId="2B825E71" w14:textId="77777777" w:rsidR="00C35737" w:rsidRPr="00444D54" w:rsidRDefault="00C35737" w:rsidP="00376822">
            <w:pPr>
              <w:spacing w:line="259" w:lineRule="auto"/>
              <w:jc w:val="right"/>
              <w:rPr>
                <w:b/>
                <w:bCs/>
                <w:lang w:val="en-AU"/>
              </w:rPr>
            </w:pPr>
            <w:r w:rsidRPr="00444D54">
              <w:rPr>
                <w:b/>
                <w:bCs/>
                <w:lang w:val="en-AU"/>
              </w:rPr>
              <w:t xml:space="preserve">$1,032,750 </w:t>
            </w:r>
          </w:p>
        </w:tc>
        <w:tc>
          <w:tcPr>
            <w:tcW w:w="1566" w:type="dxa"/>
            <w:noWrap/>
            <w:hideMark/>
          </w:tcPr>
          <w:p w14:paraId="436DE5E6" w14:textId="77777777" w:rsidR="00C35737" w:rsidRPr="00444D54" w:rsidRDefault="00C35737" w:rsidP="00376822">
            <w:pPr>
              <w:spacing w:line="259" w:lineRule="auto"/>
              <w:jc w:val="right"/>
              <w:rPr>
                <w:b/>
                <w:bCs/>
                <w:lang w:val="en-AU"/>
              </w:rPr>
            </w:pPr>
            <w:r w:rsidRPr="00444D54">
              <w:rPr>
                <w:b/>
                <w:bCs/>
                <w:lang w:val="en-AU"/>
              </w:rPr>
              <w:t xml:space="preserve">$1,583,550 </w:t>
            </w:r>
          </w:p>
        </w:tc>
        <w:tc>
          <w:tcPr>
            <w:tcW w:w="1566" w:type="dxa"/>
            <w:noWrap/>
            <w:hideMark/>
          </w:tcPr>
          <w:p w14:paraId="6A198204" w14:textId="77777777" w:rsidR="00C35737" w:rsidRPr="00444D54" w:rsidRDefault="00C35737" w:rsidP="00376822">
            <w:pPr>
              <w:spacing w:line="259" w:lineRule="auto"/>
              <w:jc w:val="right"/>
              <w:rPr>
                <w:b/>
                <w:bCs/>
                <w:lang w:val="en-AU"/>
              </w:rPr>
            </w:pPr>
            <w:r w:rsidRPr="00444D54">
              <w:rPr>
                <w:b/>
                <w:bCs/>
                <w:lang w:val="en-AU"/>
              </w:rPr>
              <w:t xml:space="preserve">$1,308,150 </w:t>
            </w:r>
          </w:p>
        </w:tc>
        <w:tc>
          <w:tcPr>
            <w:tcW w:w="1566" w:type="dxa"/>
            <w:noWrap/>
            <w:hideMark/>
          </w:tcPr>
          <w:p w14:paraId="6F9DCF02" w14:textId="77777777" w:rsidR="00C35737" w:rsidRPr="00444D54" w:rsidRDefault="00C35737" w:rsidP="00376822">
            <w:pPr>
              <w:spacing w:line="259" w:lineRule="auto"/>
              <w:jc w:val="right"/>
              <w:rPr>
                <w:b/>
                <w:bCs/>
                <w:lang w:val="en-AU"/>
              </w:rPr>
            </w:pPr>
            <w:r w:rsidRPr="00444D54">
              <w:rPr>
                <w:b/>
                <w:bCs/>
                <w:lang w:val="en-AU"/>
              </w:rPr>
              <w:t xml:space="preserve">$1,308,150 </w:t>
            </w:r>
          </w:p>
        </w:tc>
        <w:tc>
          <w:tcPr>
            <w:tcW w:w="1566" w:type="dxa"/>
            <w:noWrap/>
            <w:hideMark/>
          </w:tcPr>
          <w:p w14:paraId="141B6DB9" w14:textId="77777777" w:rsidR="00C35737" w:rsidRPr="00444D54" w:rsidRDefault="00C35737" w:rsidP="00376822">
            <w:pPr>
              <w:spacing w:line="259" w:lineRule="auto"/>
              <w:jc w:val="right"/>
              <w:rPr>
                <w:b/>
                <w:bCs/>
                <w:lang w:val="en-AU"/>
              </w:rPr>
            </w:pPr>
            <w:r w:rsidRPr="00444D54">
              <w:rPr>
                <w:b/>
                <w:bCs/>
                <w:lang w:val="en-AU"/>
              </w:rPr>
              <w:t xml:space="preserve">$1,652,400 </w:t>
            </w:r>
          </w:p>
        </w:tc>
        <w:tc>
          <w:tcPr>
            <w:tcW w:w="1350" w:type="dxa"/>
            <w:noWrap/>
            <w:hideMark/>
          </w:tcPr>
          <w:p w14:paraId="7B4D1E8E" w14:textId="77777777" w:rsidR="00C35737" w:rsidRPr="00444D54" w:rsidRDefault="00C35737" w:rsidP="00376822">
            <w:pPr>
              <w:spacing w:line="259" w:lineRule="auto"/>
              <w:jc w:val="right"/>
              <w:rPr>
                <w:b/>
                <w:bCs/>
                <w:lang w:val="en-AU"/>
              </w:rPr>
            </w:pPr>
            <w:r w:rsidRPr="00444D54">
              <w:rPr>
                <w:b/>
                <w:bCs/>
                <w:lang w:val="en-AU"/>
              </w:rPr>
              <w:t xml:space="preserve">$6,885,000 </w:t>
            </w:r>
          </w:p>
        </w:tc>
      </w:tr>
      <w:tr w:rsidR="00C35737" w:rsidRPr="00AA269A" w14:paraId="1D6BC0EE" w14:textId="77777777" w:rsidTr="00376822">
        <w:trPr>
          <w:trHeight w:val="270"/>
        </w:trPr>
        <w:tc>
          <w:tcPr>
            <w:tcW w:w="518" w:type="dxa"/>
            <w:noWrap/>
            <w:hideMark/>
          </w:tcPr>
          <w:p w14:paraId="2E628A21" w14:textId="77777777" w:rsidR="00C35737" w:rsidRPr="00444D54" w:rsidRDefault="00C35737" w:rsidP="00376822">
            <w:pPr>
              <w:keepNext/>
              <w:keepLines/>
              <w:spacing w:line="259" w:lineRule="auto"/>
              <w:outlineLvl w:val="8"/>
              <w:rPr>
                <w:lang w:val="en-AU"/>
              </w:rPr>
            </w:pPr>
            <w:r w:rsidRPr="00444D54">
              <w:rPr>
                <w:lang w:val="en-AU"/>
              </w:rPr>
              <w:t> </w:t>
            </w:r>
          </w:p>
        </w:tc>
        <w:tc>
          <w:tcPr>
            <w:tcW w:w="1817" w:type="dxa"/>
            <w:hideMark/>
          </w:tcPr>
          <w:p w14:paraId="1559D315" w14:textId="77777777" w:rsidR="00C35737" w:rsidRPr="00444D54" w:rsidRDefault="00C35737" w:rsidP="00376822">
            <w:pPr>
              <w:spacing w:line="259" w:lineRule="auto"/>
              <w:rPr>
                <w:b/>
                <w:bCs/>
                <w:lang w:val="en-AU"/>
              </w:rPr>
            </w:pPr>
            <w:r w:rsidRPr="00444D54">
              <w:rPr>
                <w:b/>
                <w:bCs/>
                <w:lang w:val="en-AU"/>
              </w:rPr>
              <w:t> </w:t>
            </w:r>
          </w:p>
        </w:tc>
        <w:tc>
          <w:tcPr>
            <w:tcW w:w="1530" w:type="dxa"/>
            <w:noWrap/>
            <w:hideMark/>
          </w:tcPr>
          <w:p w14:paraId="32037DDC" w14:textId="77777777" w:rsidR="00C35737" w:rsidRPr="00444D54" w:rsidRDefault="00C35737" w:rsidP="00376822">
            <w:pPr>
              <w:spacing w:line="259" w:lineRule="auto"/>
              <w:jc w:val="right"/>
              <w:rPr>
                <w:b/>
                <w:bCs/>
                <w:lang w:val="en-AU"/>
              </w:rPr>
            </w:pPr>
            <w:r w:rsidRPr="00444D54">
              <w:rPr>
                <w:b/>
                <w:bCs/>
                <w:lang w:val="en-AU"/>
              </w:rPr>
              <w:t> </w:t>
            </w:r>
          </w:p>
        </w:tc>
        <w:tc>
          <w:tcPr>
            <w:tcW w:w="1566" w:type="dxa"/>
            <w:noWrap/>
            <w:hideMark/>
          </w:tcPr>
          <w:p w14:paraId="4B00215C" w14:textId="77777777" w:rsidR="00C35737" w:rsidRPr="00444D54" w:rsidRDefault="00C35737" w:rsidP="00376822">
            <w:pPr>
              <w:spacing w:line="259" w:lineRule="auto"/>
              <w:jc w:val="right"/>
              <w:rPr>
                <w:b/>
                <w:bCs/>
                <w:lang w:val="en-AU"/>
              </w:rPr>
            </w:pPr>
            <w:r w:rsidRPr="00444D54">
              <w:rPr>
                <w:b/>
                <w:bCs/>
                <w:lang w:val="en-AU"/>
              </w:rPr>
              <w:t> </w:t>
            </w:r>
          </w:p>
        </w:tc>
        <w:tc>
          <w:tcPr>
            <w:tcW w:w="1566" w:type="dxa"/>
            <w:noWrap/>
            <w:hideMark/>
          </w:tcPr>
          <w:p w14:paraId="5F0CA85A" w14:textId="77777777" w:rsidR="00C35737" w:rsidRPr="00444D54" w:rsidRDefault="00C35737" w:rsidP="00376822">
            <w:pPr>
              <w:spacing w:line="259" w:lineRule="auto"/>
              <w:jc w:val="right"/>
              <w:rPr>
                <w:b/>
                <w:bCs/>
                <w:lang w:val="en-AU"/>
              </w:rPr>
            </w:pPr>
            <w:r w:rsidRPr="00444D54">
              <w:rPr>
                <w:b/>
                <w:bCs/>
                <w:lang w:val="en-AU"/>
              </w:rPr>
              <w:t> </w:t>
            </w:r>
          </w:p>
        </w:tc>
        <w:tc>
          <w:tcPr>
            <w:tcW w:w="1566" w:type="dxa"/>
            <w:noWrap/>
            <w:hideMark/>
          </w:tcPr>
          <w:p w14:paraId="03A36E0C" w14:textId="77777777" w:rsidR="00C35737" w:rsidRPr="00444D54" w:rsidRDefault="00C35737" w:rsidP="00376822">
            <w:pPr>
              <w:spacing w:line="259" w:lineRule="auto"/>
              <w:jc w:val="right"/>
              <w:rPr>
                <w:b/>
                <w:bCs/>
                <w:lang w:val="en-AU"/>
              </w:rPr>
            </w:pPr>
            <w:r w:rsidRPr="00444D54">
              <w:rPr>
                <w:b/>
                <w:bCs/>
                <w:lang w:val="en-AU"/>
              </w:rPr>
              <w:t> </w:t>
            </w:r>
          </w:p>
        </w:tc>
        <w:tc>
          <w:tcPr>
            <w:tcW w:w="1566" w:type="dxa"/>
            <w:noWrap/>
            <w:hideMark/>
          </w:tcPr>
          <w:p w14:paraId="2FC184AC" w14:textId="77777777" w:rsidR="00C35737" w:rsidRPr="00444D54" w:rsidRDefault="00C35737" w:rsidP="00376822">
            <w:pPr>
              <w:spacing w:line="259" w:lineRule="auto"/>
              <w:jc w:val="right"/>
              <w:rPr>
                <w:b/>
                <w:bCs/>
                <w:lang w:val="en-AU"/>
              </w:rPr>
            </w:pPr>
            <w:r w:rsidRPr="00444D54">
              <w:rPr>
                <w:b/>
                <w:bCs/>
                <w:lang w:val="en-AU"/>
              </w:rPr>
              <w:t> </w:t>
            </w:r>
          </w:p>
        </w:tc>
        <w:tc>
          <w:tcPr>
            <w:tcW w:w="1566" w:type="dxa"/>
            <w:noWrap/>
            <w:hideMark/>
          </w:tcPr>
          <w:p w14:paraId="2E0B8ACF" w14:textId="77777777" w:rsidR="00C35737" w:rsidRPr="00444D54" w:rsidRDefault="00C35737" w:rsidP="00376822">
            <w:pPr>
              <w:spacing w:line="259" w:lineRule="auto"/>
              <w:jc w:val="right"/>
              <w:rPr>
                <w:b/>
                <w:bCs/>
                <w:lang w:val="en-AU"/>
              </w:rPr>
            </w:pPr>
            <w:r w:rsidRPr="00444D54">
              <w:rPr>
                <w:b/>
                <w:bCs/>
                <w:lang w:val="en-AU"/>
              </w:rPr>
              <w:t> </w:t>
            </w:r>
          </w:p>
        </w:tc>
        <w:tc>
          <w:tcPr>
            <w:tcW w:w="1350" w:type="dxa"/>
            <w:noWrap/>
            <w:hideMark/>
          </w:tcPr>
          <w:p w14:paraId="0BD8F641" w14:textId="77777777" w:rsidR="00C35737" w:rsidRPr="00444D54" w:rsidRDefault="00C35737" w:rsidP="00376822">
            <w:pPr>
              <w:spacing w:line="259" w:lineRule="auto"/>
              <w:jc w:val="right"/>
              <w:rPr>
                <w:b/>
                <w:bCs/>
                <w:lang w:val="en-AU"/>
              </w:rPr>
            </w:pPr>
            <w:r w:rsidRPr="00444D54">
              <w:rPr>
                <w:b/>
                <w:bCs/>
                <w:lang w:val="en-AU"/>
              </w:rPr>
              <w:t> </w:t>
            </w:r>
          </w:p>
        </w:tc>
      </w:tr>
      <w:tr w:rsidR="00C35737" w:rsidRPr="00AA269A" w14:paraId="557DA792" w14:textId="77777777" w:rsidTr="00376822">
        <w:trPr>
          <w:trHeight w:val="270"/>
        </w:trPr>
        <w:tc>
          <w:tcPr>
            <w:tcW w:w="2335" w:type="dxa"/>
            <w:gridSpan w:val="2"/>
            <w:noWrap/>
            <w:hideMark/>
          </w:tcPr>
          <w:p w14:paraId="49D52F78" w14:textId="77777777" w:rsidR="00C35737" w:rsidRPr="00444D54" w:rsidRDefault="00C35737" w:rsidP="00376822">
            <w:pPr>
              <w:spacing w:line="259" w:lineRule="auto"/>
              <w:rPr>
                <w:b/>
                <w:bCs/>
                <w:lang w:val="en-AU"/>
              </w:rPr>
            </w:pPr>
            <w:r w:rsidRPr="00444D54">
              <w:rPr>
                <w:b/>
                <w:bCs/>
                <w:lang w:val="en-AU"/>
              </w:rPr>
              <w:t>TOTAL</w:t>
            </w:r>
          </w:p>
        </w:tc>
        <w:tc>
          <w:tcPr>
            <w:tcW w:w="1530" w:type="dxa"/>
            <w:noWrap/>
            <w:hideMark/>
          </w:tcPr>
          <w:p w14:paraId="128AF39A" w14:textId="77777777" w:rsidR="00C35737" w:rsidRPr="00444D54" w:rsidRDefault="00C35737" w:rsidP="00376822">
            <w:pPr>
              <w:spacing w:line="259" w:lineRule="auto"/>
              <w:jc w:val="right"/>
              <w:rPr>
                <w:b/>
                <w:bCs/>
                <w:lang w:val="en-AU"/>
              </w:rPr>
            </w:pPr>
            <w:r w:rsidRPr="00444D54">
              <w:rPr>
                <w:b/>
                <w:bCs/>
                <w:lang w:val="en-AU"/>
              </w:rPr>
              <w:t xml:space="preserve">$45,000,000 </w:t>
            </w:r>
          </w:p>
        </w:tc>
        <w:tc>
          <w:tcPr>
            <w:tcW w:w="1566" w:type="dxa"/>
            <w:noWrap/>
            <w:hideMark/>
          </w:tcPr>
          <w:p w14:paraId="77B008B9" w14:textId="77777777" w:rsidR="00C35737" w:rsidRPr="00444D54" w:rsidRDefault="00C35737" w:rsidP="00376822">
            <w:pPr>
              <w:spacing w:line="259" w:lineRule="auto"/>
              <w:jc w:val="right"/>
              <w:rPr>
                <w:b/>
                <w:bCs/>
                <w:lang w:val="en-AU"/>
              </w:rPr>
            </w:pPr>
            <w:r w:rsidRPr="00444D54">
              <w:rPr>
                <w:b/>
                <w:bCs/>
                <w:lang w:val="en-AU"/>
              </w:rPr>
              <w:t xml:space="preserve">$9,000,000 </w:t>
            </w:r>
          </w:p>
        </w:tc>
        <w:tc>
          <w:tcPr>
            <w:tcW w:w="1566" w:type="dxa"/>
            <w:noWrap/>
            <w:hideMark/>
          </w:tcPr>
          <w:p w14:paraId="374BA0BC" w14:textId="77777777" w:rsidR="00C35737" w:rsidRPr="00444D54" w:rsidRDefault="00C35737" w:rsidP="00376822">
            <w:pPr>
              <w:spacing w:line="259" w:lineRule="auto"/>
              <w:jc w:val="right"/>
              <w:rPr>
                <w:b/>
                <w:bCs/>
                <w:lang w:val="en-AU"/>
              </w:rPr>
            </w:pPr>
            <w:r w:rsidRPr="00444D54">
              <w:rPr>
                <w:b/>
                <w:bCs/>
                <w:lang w:val="en-AU"/>
              </w:rPr>
              <w:t xml:space="preserve">$11,387,899 </w:t>
            </w:r>
          </w:p>
        </w:tc>
        <w:tc>
          <w:tcPr>
            <w:tcW w:w="1566" w:type="dxa"/>
            <w:noWrap/>
            <w:hideMark/>
          </w:tcPr>
          <w:p w14:paraId="6B622C21" w14:textId="77777777" w:rsidR="00C35737" w:rsidRPr="00444D54" w:rsidRDefault="00C35737" w:rsidP="00376822">
            <w:pPr>
              <w:spacing w:line="259" w:lineRule="auto"/>
              <w:jc w:val="right"/>
              <w:rPr>
                <w:b/>
                <w:bCs/>
                <w:lang w:val="en-AU"/>
              </w:rPr>
            </w:pPr>
            <w:r w:rsidRPr="00444D54">
              <w:rPr>
                <w:b/>
                <w:bCs/>
                <w:lang w:val="en-AU"/>
              </w:rPr>
              <w:t xml:space="preserve">$7,910,541 </w:t>
            </w:r>
          </w:p>
        </w:tc>
        <w:tc>
          <w:tcPr>
            <w:tcW w:w="1566" w:type="dxa"/>
            <w:noWrap/>
            <w:hideMark/>
          </w:tcPr>
          <w:p w14:paraId="3043D40B" w14:textId="77777777" w:rsidR="00C35737" w:rsidRPr="00444D54" w:rsidRDefault="00C35737" w:rsidP="00376822">
            <w:pPr>
              <w:spacing w:line="259" w:lineRule="auto"/>
              <w:jc w:val="right"/>
              <w:rPr>
                <w:b/>
                <w:bCs/>
                <w:lang w:val="en-AU"/>
              </w:rPr>
            </w:pPr>
            <w:r w:rsidRPr="00444D54">
              <w:rPr>
                <w:b/>
                <w:bCs/>
                <w:lang w:val="en-AU"/>
              </w:rPr>
              <w:t xml:space="preserve">$8,672,497 </w:t>
            </w:r>
          </w:p>
        </w:tc>
        <w:tc>
          <w:tcPr>
            <w:tcW w:w="1566" w:type="dxa"/>
            <w:noWrap/>
            <w:hideMark/>
          </w:tcPr>
          <w:p w14:paraId="352A6CC2" w14:textId="77777777" w:rsidR="00C35737" w:rsidRPr="00444D54" w:rsidRDefault="00C35737" w:rsidP="00376822">
            <w:pPr>
              <w:spacing w:line="259" w:lineRule="auto"/>
              <w:jc w:val="right"/>
              <w:rPr>
                <w:b/>
                <w:bCs/>
                <w:lang w:val="en-AU"/>
              </w:rPr>
            </w:pPr>
            <w:r w:rsidRPr="00444D54">
              <w:rPr>
                <w:b/>
                <w:bCs/>
                <w:lang w:val="en-AU"/>
              </w:rPr>
              <w:t xml:space="preserve">$8,029,063 </w:t>
            </w:r>
          </w:p>
        </w:tc>
        <w:tc>
          <w:tcPr>
            <w:tcW w:w="1350" w:type="dxa"/>
            <w:noWrap/>
            <w:hideMark/>
          </w:tcPr>
          <w:p w14:paraId="379B223F" w14:textId="77777777" w:rsidR="00C35737" w:rsidRPr="00444D54" w:rsidRDefault="00C35737" w:rsidP="00376822">
            <w:pPr>
              <w:spacing w:line="259" w:lineRule="auto"/>
              <w:jc w:val="right"/>
              <w:rPr>
                <w:b/>
                <w:bCs/>
                <w:lang w:val="en-AU"/>
              </w:rPr>
            </w:pPr>
            <w:r w:rsidRPr="00444D54">
              <w:rPr>
                <w:b/>
                <w:bCs/>
                <w:lang w:val="en-AU"/>
              </w:rPr>
              <w:t xml:space="preserve">$45,000,000 </w:t>
            </w:r>
          </w:p>
        </w:tc>
      </w:tr>
    </w:tbl>
    <w:p w14:paraId="221DDC77" w14:textId="77777777" w:rsidR="006113EE" w:rsidRPr="00351A46" w:rsidRDefault="006113EE">
      <w:pPr>
        <w:rPr>
          <w:lang w:val="en-AU"/>
        </w:rPr>
      </w:pPr>
    </w:p>
    <w:sectPr w:rsidR="006113EE" w:rsidRPr="00351A46" w:rsidSect="002265C4">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A79A3" w14:textId="77777777" w:rsidR="00B138CD" w:rsidRDefault="00B138CD" w:rsidP="004D0AC7">
      <w:pPr>
        <w:spacing w:after="0" w:line="240" w:lineRule="auto"/>
      </w:pPr>
      <w:r>
        <w:separator/>
      </w:r>
    </w:p>
  </w:endnote>
  <w:endnote w:type="continuationSeparator" w:id="0">
    <w:p w14:paraId="6D4F5343" w14:textId="77777777" w:rsidR="00B138CD" w:rsidRDefault="00B138CD" w:rsidP="004D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4299A" w14:textId="77777777" w:rsidR="004D3A39" w:rsidRDefault="004D3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806647"/>
      <w:docPartObj>
        <w:docPartGallery w:val="Page Numbers (Bottom of Page)"/>
        <w:docPartUnique/>
      </w:docPartObj>
    </w:sdtPr>
    <w:sdtEndPr>
      <w:rPr>
        <w:noProof/>
      </w:rPr>
    </w:sdtEndPr>
    <w:sdtContent>
      <w:p w14:paraId="35AF8539" w14:textId="4784B426" w:rsidR="00376822" w:rsidRDefault="00376822">
        <w:pPr>
          <w:pStyle w:val="Footer"/>
          <w:jc w:val="right"/>
        </w:pPr>
        <w:r>
          <w:fldChar w:fldCharType="begin"/>
        </w:r>
        <w:r>
          <w:instrText xml:space="preserve"> PAGE   \* MERGEFORMAT </w:instrText>
        </w:r>
        <w:r>
          <w:fldChar w:fldCharType="separate"/>
        </w:r>
        <w:r w:rsidR="004D3A39">
          <w:rPr>
            <w:noProof/>
          </w:rPr>
          <w:t>1</w:t>
        </w:r>
        <w:r>
          <w:rPr>
            <w:noProof/>
          </w:rPr>
          <w:fldChar w:fldCharType="end"/>
        </w:r>
      </w:p>
    </w:sdtContent>
  </w:sdt>
  <w:p w14:paraId="65CAFCE3" w14:textId="77777777" w:rsidR="00376822" w:rsidRDefault="00376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F9FEB" w14:textId="77777777" w:rsidR="004D3A39" w:rsidRDefault="004D3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F878E" w14:textId="77777777" w:rsidR="00B138CD" w:rsidRDefault="00B138CD" w:rsidP="004D0AC7">
      <w:pPr>
        <w:spacing w:after="0" w:line="240" w:lineRule="auto"/>
      </w:pPr>
      <w:r>
        <w:separator/>
      </w:r>
    </w:p>
  </w:footnote>
  <w:footnote w:type="continuationSeparator" w:id="0">
    <w:p w14:paraId="42A53E3A" w14:textId="77777777" w:rsidR="00B138CD" w:rsidRDefault="00B138CD" w:rsidP="004D0AC7">
      <w:pPr>
        <w:spacing w:after="0" w:line="240" w:lineRule="auto"/>
      </w:pPr>
      <w:r>
        <w:continuationSeparator/>
      </w:r>
    </w:p>
  </w:footnote>
  <w:footnote w:id="1">
    <w:p w14:paraId="6E17AE04" w14:textId="05BE9CC2" w:rsidR="00376822" w:rsidRDefault="00376822">
      <w:pPr>
        <w:pStyle w:val="FootnoteText"/>
      </w:pPr>
      <w:r>
        <w:rPr>
          <w:rStyle w:val="FootnoteReference"/>
        </w:rPr>
        <w:footnoteRef/>
      </w:r>
      <w:r>
        <w:t xml:space="preserve"> </w:t>
      </w:r>
      <w:hyperlink r:id="rId1" w:history="1">
        <w:r w:rsidRPr="00304395">
          <w:rPr>
            <w:rStyle w:val="Hyperlink"/>
          </w:rPr>
          <w:t>https://www.cnnindonesia.com/ekonomi/20180409171951-532-289503/jokowi-pertanyakan-penelitian-k-l-yang-habiskan-rp249-t</w:t>
        </w:r>
      </w:hyperlink>
      <w:r>
        <w:t xml:space="preserve"> </w:t>
      </w:r>
    </w:p>
  </w:footnote>
  <w:footnote w:id="2">
    <w:p w14:paraId="67843312" w14:textId="77777777" w:rsidR="00376822" w:rsidRDefault="00376822" w:rsidP="00787E11">
      <w:pPr>
        <w:pStyle w:val="FootnoteText"/>
      </w:pPr>
      <w:r>
        <w:rPr>
          <w:rStyle w:val="FootnoteReference"/>
        </w:rPr>
        <w:footnoteRef/>
      </w:r>
      <w:r>
        <w:t xml:space="preserve"> </w:t>
      </w:r>
      <w:r w:rsidRPr="007B3307">
        <w:t>http://www.beritasatu.com/nasional/491759-megawati-dorong-riset-wajib-jadi-dasar-kebijakan-pembangunan.html</w:t>
      </w:r>
    </w:p>
  </w:footnote>
  <w:footnote w:id="3">
    <w:p w14:paraId="7D3173B2" w14:textId="0A1F7C1C" w:rsidR="00376822" w:rsidRPr="009F3092" w:rsidRDefault="00376822">
      <w:pPr>
        <w:pStyle w:val="FootnoteText"/>
        <w:rPr>
          <w:lang w:val="en-AU"/>
        </w:rPr>
      </w:pPr>
      <w:r>
        <w:rPr>
          <w:rStyle w:val="FootnoteReference"/>
        </w:rPr>
        <w:footnoteRef/>
      </w:r>
      <w:r>
        <w:t xml:space="preserve"> </w:t>
      </w:r>
      <w:r>
        <w:rPr>
          <w:lang w:val="en-AU"/>
        </w:rPr>
        <w:t xml:space="preserve">‘Local’ means Indonesian stakeholders or institutions at the national or local level. </w:t>
      </w:r>
    </w:p>
  </w:footnote>
  <w:footnote w:id="4">
    <w:p w14:paraId="67395E85" w14:textId="7523BA70" w:rsidR="00376822" w:rsidRPr="00066BDD" w:rsidRDefault="00376822" w:rsidP="00346AA3">
      <w:pPr>
        <w:spacing w:after="0" w:line="240" w:lineRule="auto"/>
        <w:jc w:val="both"/>
        <w:rPr>
          <w:sz w:val="20"/>
          <w:szCs w:val="20"/>
        </w:rPr>
      </w:pPr>
      <w:r w:rsidRPr="00066BDD">
        <w:rPr>
          <w:rStyle w:val="FootnoteReference"/>
        </w:rPr>
        <w:footnoteRef/>
      </w:r>
      <w:r w:rsidRPr="00066BDD">
        <w:t xml:space="preserve"> </w:t>
      </w:r>
      <w:r w:rsidRPr="00066BDD">
        <w:rPr>
          <w:sz w:val="20"/>
          <w:szCs w:val="20"/>
        </w:rPr>
        <w:t>Indonesia’s GERD in 2016 was 0.25</w:t>
      </w:r>
      <w:r>
        <w:rPr>
          <w:sz w:val="20"/>
          <w:szCs w:val="20"/>
        </w:rPr>
        <w:t xml:space="preserve"> percent</w:t>
      </w:r>
      <w:r w:rsidRPr="00066BDD">
        <w:rPr>
          <w:sz w:val="20"/>
          <w:szCs w:val="20"/>
        </w:rPr>
        <w:t xml:space="preserve"> of GDP. This compares to an average of 0.5</w:t>
      </w:r>
      <w:r>
        <w:rPr>
          <w:sz w:val="20"/>
          <w:szCs w:val="20"/>
        </w:rPr>
        <w:t xml:space="preserve"> percent</w:t>
      </w:r>
      <w:r w:rsidRPr="00066BDD">
        <w:rPr>
          <w:sz w:val="20"/>
          <w:szCs w:val="20"/>
        </w:rPr>
        <w:t xml:space="preserve"> in other lower-middle-income countries and 1.4</w:t>
      </w:r>
      <w:r>
        <w:rPr>
          <w:sz w:val="20"/>
          <w:szCs w:val="20"/>
        </w:rPr>
        <w:t xml:space="preserve"> percent</w:t>
      </w:r>
      <w:r w:rsidRPr="00066BDD">
        <w:rPr>
          <w:sz w:val="20"/>
          <w:szCs w:val="20"/>
        </w:rPr>
        <w:t xml:space="preserve"> in upper-middle-income countries.</w:t>
      </w:r>
    </w:p>
  </w:footnote>
  <w:footnote w:id="5">
    <w:p w14:paraId="6B92FD5A" w14:textId="47EC15A4" w:rsidR="00376822" w:rsidRDefault="00376822">
      <w:pPr>
        <w:pStyle w:val="FootnoteText"/>
      </w:pPr>
      <w:r>
        <w:rPr>
          <w:rStyle w:val="FootnoteReference"/>
        </w:rPr>
        <w:footnoteRef/>
      </w:r>
      <w:r>
        <w:t xml:space="preserve"> </w:t>
      </w:r>
      <w:r w:rsidRPr="004B23C4">
        <w:rPr>
          <w:rFonts w:cstheme="minorHAnsi"/>
          <w:i/>
          <w:lang w:val="en-AU"/>
        </w:rPr>
        <w:t>Perhitungan Belanja Litbang Nasional 2016</w:t>
      </w:r>
      <w:r w:rsidRPr="004B23C4">
        <w:rPr>
          <w:rFonts w:cstheme="minorHAnsi"/>
          <w:lang w:val="en-AU"/>
        </w:rPr>
        <w:t xml:space="preserve"> (Calculation </w:t>
      </w:r>
      <w:r>
        <w:rPr>
          <w:rFonts w:cstheme="minorHAnsi"/>
          <w:lang w:val="en-AU"/>
        </w:rPr>
        <w:t>of</w:t>
      </w:r>
      <w:r w:rsidRPr="004B23C4">
        <w:rPr>
          <w:rFonts w:cstheme="minorHAnsi"/>
          <w:lang w:val="en-AU"/>
        </w:rPr>
        <w:t xml:space="preserve"> National Resear</w:t>
      </w:r>
      <w:r>
        <w:rPr>
          <w:rFonts w:cstheme="minorHAnsi"/>
          <w:lang w:val="en-AU"/>
        </w:rPr>
        <w:t>ch and Development Expenditure).</w:t>
      </w:r>
    </w:p>
  </w:footnote>
  <w:footnote w:id="6">
    <w:p w14:paraId="6CB28AB1" w14:textId="6230BFA9" w:rsidR="00376822" w:rsidRPr="009E1C17" w:rsidRDefault="00376822" w:rsidP="00A62990">
      <w:pPr>
        <w:pStyle w:val="CommentText"/>
        <w:rPr>
          <w:rFonts w:cstheme="minorHAnsi"/>
          <w:lang w:val="en-AU"/>
        </w:rPr>
      </w:pPr>
      <w:r w:rsidRPr="001C1496">
        <w:rPr>
          <w:rStyle w:val="FootnoteReference"/>
          <w:rFonts w:cstheme="minorHAnsi"/>
          <w:lang w:val="en-AU"/>
        </w:rPr>
        <w:footnoteRef/>
      </w:r>
      <w:r w:rsidRPr="001C1496">
        <w:rPr>
          <w:rFonts w:cstheme="minorHAnsi"/>
          <w:lang w:val="en-AU"/>
        </w:rPr>
        <w:t xml:space="preserve"> This figure comprises </w:t>
      </w:r>
      <w:r w:rsidRPr="001C1496">
        <w:rPr>
          <w:lang w:val="en-AU"/>
        </w:rPr>
        <w:t xml:space="preserve">9.15 percent from the manufacturing industry and 4.33 percent from private non-profit organisations. The private sector’s contribution to research in Indonesia </w:t>
      </w:r>
      <w:r w:rsidRPr="00381388">
        <w:rPr>
          <w:lang w:val="en-AU"/>
        </w:rPr>
        <w:t xml:space="preserve">compares to around 52 percent in Vietnam and Malaysia, 60 percent in Singapore, and more than 70 percent in Thailand, China, Korea and Japan. </w:t>
      </w:r>
      <w:r w:rsidRPr="00354BC0">
        <w:rPr>
          <w:rFonts w:cstheme="minorHAnsi"/>
          <w:lang w:val="en-AU"/>
        </w:rPr>
        <w:t xml:space="preserve">See </w:t>
      </w:r>
      <w:r w:rsidRPr="009E1C17">
        <w:rPr>
          <w:rFonts w:cstheme="minorHAnsi"/>
          <w:i/>
          <w:lang w:val="en-AU"/>
        </w:rPr>
        <w:t>Perhitungan Belanja Litbang Nasional 2016</w:t>
      </w:r>
      <w:r w:rsidRPr="009E1C17">
        <w:rPr>
          <w:rFonts w:cstheme="minorHAnsi"/>
          <w:lang w:val="en-AU"/>
        </w:rPr>
        <w:t xml:space="preserve"> (Calculation of National Research and Development Expenditure), a booklet published by the Indonesian Institute of Sciences (</w:t>
      </w:r>
      <w:r w:rsidRPr="009E1C17">
        <w:rPr>
          <w:rFonts w:cstheme="minorHAnsi"/>
          <w:i/>
          <w:lang w:val="en-AU"/>
        </w:rPr>
        <w:t>Lembaga Ilmu Pengetahuan Indonesia</w:t>
      </w:r>
      <w:r w:rsidRPr="009E1C17">
        <w:rPr>
          <w:rFonts w:cstheme="minorHAnsi"/>
          <w:lang w:val="en-AU"/>
        </w:rPr>
        <w:t xml:space="preserve">, LIPI) and the Ministry of Research, Technology and Higher Education, October 2017. </w:t>
      </w:r>
    </w:p>
  </w:footnote>
  <w:footnote w:id="7">
    <w:p w14:paraId="5CCE7E2F" w14:textId="77777777" w:rsidR="00376822" w:rsidRPr="001C1496" w:rsidRDefault="00376822" w:rsidP="00346AA3">
      <w:pPr>
        <w:pStyle w:val="FootnoteText"/>
        <w:jc w:val="both"/>
        <w:rPr>
          <w:rFonts w:cstheme="minorHAnsi"/>
          <w:lang w:val="en-AU"/>
        </w:rPr>
      </w:pPr>
      <w:r w:rsidRPr="009E1C17">
        <w:rPr>
          <w:rStyle w:val="FootnoteReference"/>
          <w:rFonts w:cstheme="minorHAnsi"/>
          <w:lang w:val="en-AU"/>
        </w:rPr>
        <w:footnoteRef/>
      </w:r>
      <w:r w:rsidRPr="009E1C17">
        <w:rPr>
          <w:rFonts w:cstheme="minorHAnsi"/>
          <w:lang w:val="en-AU"/>
        </w:rPr>
        <w:t xml:space="preserve"> See </w:t>
      </w:r>
      <w:r w:rsidRPr="009E1C17">
        <w:rPr>
          <w:rFonts w:cstheme="minorHAnsi"/>
          <w:i/>
          <w:lang w:val="en-AU"/>
        </w:rPr>
        <w:t>Mapping Philanthropic Organisations for Research in Indonesia</w:t>
      </w:r>
      <w:r w:rsidRPr="009E1C17">
        <w:rPr>
          <w:rFonts w:cstheme="minorHAnsi"/>
          <w:lang w:val="en-AU"/>
        </w:rPr>
        <w:t xml:space="preserve"> by the </w:t>
      </w:r>
      <w:bookmarkStart w:id="26" w:name="_Hlk505927748"/>
      <w:r w:rsidRPr="009E1C17">
        <w:rPr>
          <w:rFonts w:cstheme="minorHAnsi"/>
          <w:lang w:val="en-AU"/>
        </w:rPr>
        <w:t xml:space="preserve">Public Interest Research and Advocacy Centre (PIRAC), </w:t>
      </w:r>
      <w:bookmarkEnd w:id="26"/>
      <w:r w:rsidRPr="009E1C17">
        <w:rPr>
          <w:rFonts w:cstheme="minorHAnsi"/>
          <w:lang w:val="en-AU"/>
        </w:rPr>
        <w:t>April 2017.</w:t>
      </w:r>
    </w:p>
  </w:footnote>
  <w:footnote w:id="8">
    <w:p w14:paraId="27B6BA60" w14:textId="7D06FEB4" w:rsidR="00376822" w:rsidRPr="003E09C2" w:rsidRDefault="00376822" w:rsidP="003E09C2">
      <w:pPr>
        <w:spacing w:before="120" w:after="0"/>
        <w:jc w:val="both"/>
        <w:rPr>
          <w:sz w:val="18"/>
          <w:szCs w:val="18"/>
        </w:rPr>
      </w:pPr>
      <w:r>
        <w:rPr>
          <w:rStyle w:val="FootnoteReference"/>
        </w:rPr>
        <w:footnoteRef/>
      </w:r>
      <w:r>
        <w:t xml:space="preserve"> </w:t>
      </w:r>
      <w:r w:rsidRPr="0079320B">
        <w:rPr>
          <w:sz w:val="20"/>
          <w:szCs w:val="20"/>
        </w:rPr>
        <w:t xml:space="preserve">There is a possibility </w:t>
      </w:r>
      <w:r>
        <w:rPr>
          <w:sz w:val="20"/>
          <w:szCs w:val="20"/>
        </w:rPr>
        <w:t xml:space="preserve">that </w:t>
      </w:r>
      <w:r w:rsidRPr="0079320B">
        <w:rPr>
          <w:sz w:val="20"/>
          <w:szCs w:val="20"/>
        </w:rPr>
        <w:t>Kemenpan RB’s review of Balitbang</w:t>
      </w:r>
      <w:r>
        <w:rPr>
          <w:sz w:val="20"/>
          <w:szCs w:val="20"/>
        </w:rPr>
        <w:t>s</w:t>
      </w:r>
      <w:r w:rsidRPr="0079320B">
        <w:rPr>
          <w:sz w:val="20"/>
          <w:szCs w:val="20"/>
        </w:rPr>
        <w:t xml:space="preserve"> may recommend these be converted into policy analysis units. Should this happen, researchers in Balitbang</w:t>
      </w:r>
      <w:r>
        <w:rPr>
          <w:sz w:val="20"/>
          <w:szCs w:val="20"/>
        </w:rPr>
        <w:t>s</w:t>
      </w:r>
      <w:r w:rsidRPr="0079320B">
        <w:rPr>
          <w:sz w:val="20"/>
          <w:szCs w:val="20"/>
        </w:rPr>
        <w:t xml:space="preserve"> may either convert to policy analysts or remain as researchers but move to LIPI. This would significantly boost the role of policy analysts and mean</w:t>
      </w:r>
      <w:r>
        <w:rPr>
          <w:sz w:val="20"/>
          <w:szCs w:val="20"/>
        </w:rPr>
        <w:t>s</w:t>
      </w:r>
      <w:r w:rsidRPr="0079320B">
        <w:rPr>
          <w:sz w:val="20"/>
          <w:szCs w:val="20"/>
        </w:rPr>
        <w:t xml:space="preserve"> </w:t>
      </w:r>
      <w:r>
        <w:rPr>
          <w:sz w:val="20"/>
          <w:szCs w:val="20"/>
        </w:rPr>
        <w:t xml:space="preserve">the </w:t>
      </w:r>
      <w:r w:rsidRPr="0079320B">
        <w:rPr>
          <w:sz w:val="20"/>
          <w:szCs w:val="20"/>
        </w:rPr>
        <w:t>government may rely more on external research (e</w:t>
      </w:r>
      <w:r>
        <w:rPr>
          <w:sz w:val="20"/>
          <w:szCs w:val="20"/>
        </w:rPr>
        <w:t>.</w:t>
      </w:r>
      <w:r w:rsidRPr="0079320B">
        <w:rPr>
          <w:sz w:val="20"/>
          <w:szCs w:val="20"/>
        </w:rPr>
        <w:t>g</w:t>
      </w:r>
      <w:r>
        <w:rPr>
          <w:sz w:val="20"/>
          <w:szCs w:val="20"/>
        </w:rPr>
        <w:t>.</w:t>
      </w:r>
      <w:r w:rsidRPr="0079320B">
        <w:rPr>
          <w:sz w:val="20"/>
          <w:szCs w:val="20"/>
        </w:rPr>
        <w:t xml:space="preserve"> by universities or </w:t>
      </w:r>
      <w:r>
        <w:rPr>
          <w:sz w:val="20"/>
          <w:szCs w:val="20"/>
        </w:rPr>
        <w:t>PRIs</w:t>
      </w:r>
      <w:r w:rsidRPr="0079320B">
        <w:rPr>
          <w:sz w:val="20"/>
          <w:szCs w:val="20"/>
        </w:rPr>
        <w:t>). The recent passage of the procurement regulations also gives external research providers a greater role in providing evidence to inform policy. There have been some suggestions that LIPI be converted into a National Research Body.</w:t>
      </w:r>
      <w:r>
        <w:rPr>
          <w:sz w:val="18"/>
          <w:szCs w:val="18"/>
        </w:rPr>
        <w:t xml:space="preserve"> </w:t>
      </w:r>
    </w:p>
  </w:footnote>
  <w:footnote w:id="9">
    <w:p w14:paraId="28FD2009" w14:textId="240B76C4" w:rsidR="00376822" w:rsidRPr="005B412A" w:rsidRDefault="00376822" w:rsidP="00DB7B57">
      <w:pPr>
        <w:pStyle w:val="FootnoteText"/>
        <w:jc w:val="both"/>
      </w:pPr>
      <w:r>
        <w:rPr>
          <w:rStyle w:val="FootnoteReference"/>
        </w:rPr>
        <w:footnoteRef/>
      </w:r>
      <w:r>
        <w:t xml:space="preserve"> </w:t>
      </w:r>
      <w:r w:rsidRPr="004B23C4">
        <w:rPr>
          <w:lang w:val="en-AU"/>
        </w:rPr>
        <w:t xml:space="preserve">See </w:t>
      </w:r>
      <w:r w:rsidRPr="004B23C4">
        <w:rPr>
          <w:i/>
          <w:lang w:val="en-AU"/>
        </w:rPr>
        <w:t>Addressing Barriers to University Research</w:t>
      </w:r>
      <w:r>
        <w:rPr>
          <w:i/>
          <w:lang w:val="en-AU"/>
        </w:rPr>
        <w:t>,</w:t>
      </w:r>
      <w:r w:rsidRPr="004B23C4">
        <w:rPr>
          <w:lang w:val="en-AU"/>
        </w:rPr>
        <w:t xml:space="preserve"> by Yanuar Nugroho, Budiati Prasetiamartati and Siti Ruhanawati, KSI Working Paper, May 2016. See </w:t>
      </w:r>
      <w:r w:rsidRPr="004B23C4">
        <w:rPr>
          <w:i/>
          <w:lang w:val="en-AU"/>
        </w:rPr>
        <w:t>Addressing Barriers to University Research: A Case Study of Four Universities in Indonesia</w:t>
      </w:r>
      <w:r>
        <w:rPr>
          <w:i/>
          <w:lang w:val="en-AU"/>
        </w:rPr>
        <w:t>,</w:t>
      </w:r>
      <w:r w:rsidRPr="004B23C4">
        <w:rPr>
          <w:i/>
          <w:lang w:val="en-AU"/>
        </w:rPr>
        <w:t xml:space="preserve"> </w:t>
      </w:r>
      <w:r w:rsidRPr="004B23C4">
        <w:rPr>
          <w:lang w:val="en-AU"/>
        </w:rPr>
        <w:t xml:space="preserve">by Sri Hartati Suradijono, Ari Probandari, Didin Syafrudin, Hana Panggabean and Teguh Kurniawan, KSI Working Paper, April 2017. See the two White Papers produced by the Indonesian Academy of Sciences, </w:t>
      </w:r>
      <w:r w:rsidRPr="004B23C4">
        <w:rPr>
          <w:i/>
          <w:lang w:val="en-AU"/>
        </w:rPr>
        <w:t>Science, Technology and Higher Education towards Indonesia 2045,</w:t>
      </w:r>
      <w:r w:rsidRPr="004B23C4">
        <w:rPr>
          <w:lang w:val="en-AU"/>
        </w:rPr>
        <w:t xml:space="preserve"> and </w:t>
      </w:r>
      <w:r w:rsidRPr="004B23C4">
        <w:rPr>
          <w:i/>
          <w:lang w:val="en-AU"/>
        </w:rPr>
        <w:t>The Era of Disruption: Opportunities and Challenges for Higher Education in Indonesia</w:t>
      </w:r>
      <w:r w:rsidRPr="004B23C4">
        <w:rPr>
          <w:lang w:val="en-AU"/>
        </w:rPr>
        <w:t>.</w:t>
      </w:r>
    </w:p>
  </w:footnote>
  <w:footnote w:id="10">
    <w:p w14:paraId="5FB68DB5" w14:textId="6EFE428F" w:rsidR="00376822" w:rsidRPr="00661601" w:rsidRDefault="00376822" w:rsidP="00DA51E8">
      <w:pPr>
        <w:pStyle w:val="FootnoteText"/>
        <w:jc w:val="both"/>
      </w:pPr>
      <w:r>
        <w:rPr>
          <w:rStyle w:val="FootnoteReference"/>
        </w:rPr>
        <w:footnoteRef/>
      </w:r>
      <w:r w:rsidRPr="227F443A">
        <w:t xml:space="preserve"> </w:t>
      </w:r>
      <w:r>
        <w:t xml:space="preserve">See </w:t>
      </w:r>
      <w:r w:rsidRPr="00DF368F">
        <w:rPr>
          <w:i/>
        </w:rPr>
        <w:t>The Acquisition of Research Knowledge by National-Level Decision Makers in Indonesia</w:t>
      </w:r>
      <w:r>
        <w:rPr>
          <w:i/>
        </w:rPr>
        <w:t>,</w:t>
      </w:r>
      <w:r>
        <w:t xml:space="preserve"> by Ajoy Datta, Medelina K. Hendytio, Vidhyandika Perkasa and Tobias Basuki, KSI Working Paper, November 2016, and </w:t>
      </w:r>
      <w:r w:rsidRPr="00D02FDE">
        <w:rPr>
          <w:i/>
          <w:iCs/>
        </w:rPr>
        <w:t>Indonesia’s Knowledge Sector: A Stocktake</w:t>
      </w:r>
      <w:r>
        <w:rPr>
          <w:i/>
          <w:iCs/>
        </w:rPr>
        <w:t>,</w:t>
      </w:r>
      <w:r w:rsidRPr="00472435">
        <w:t xml:space="preserve"> by Daniel Suryadarma</w:t>
      </w:r>
      <w:r w:rsidRPr="227F443A">
        <w:t xml:space="preserve">, </w:t>
      </w:r>
      <w:r w:rsidRPr="00472435">
        <w:t>Rivandra</w:t>
      </w:r>
      <w:r w:rsidRPr="227F443A">
        <w:t xml:space="preserve"> </w:t>
      </w:r>
      <w:r w:rsidRPr="00472435">
        <w:t xml:space="preserve">Royono and Diane </w:t>
      </w:r>
      <w:r>
        <w:t>Z</w:t>
      </w:r>
      <w:r w:rsidRPr="00472435">
        <w:t>hang</w:t>
      </w:r>
      <w:r>
        <w:t>,</w:t>
      </w:r>
      <w:r w:rsidRPr="00472435">
        <w:t xml:space="preserve"> December 2017.</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36E4B" w14:textId="77777777" w:rsidR="004D3A39" w:rsidRDefault="004D3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79F43" w14:textId="77777777" w:rsidR="00376822" w:rsidRDefault="0037682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B5182" w14:textId="77777777" w:rsidR="004D3A39" w:rsidRDefault="004D3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16BF2"/>
    <w:multiLevelType w:val="hybridMultilevel"/>
    <w:tmpl w:val="FF4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C4504"/>
    <w:multiLevelType w:val="hybridMultilevel"/>
    <w:tmpl w:val="6AF841EC"/>
    <w:lvl w:ilvl="0" w:tplc="502E5DC4">
      <w:start w:val="1"/>
      <w:numFmt w:val="decimal"/>
      <w:lvlText w:val="%1."/>
      <w:lvlJc w:val="left"/>
      <w:pPr>
        <w:ind w:left="768" w:hanging="360"/>
      </w:pPr>
      <w:rPr>
        <w:rFonts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AFA238A"/>
    <w:multiLevelType w:val="hybridMultilevel"/>
    <w:tmpl w:val="423EB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E11C8"/>
    <w:multiLevelType w:val="hybridMultilevel"/>
    <w:tmpl w:val="C5F0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766CF"/>
    <w:multiLevelType w:val="hybridMultilevel"/>
    <w:tmpl w:val="B5FE7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21467"/>
    <w:multiLevelType w:val="hybridMultilevel"/>
    <w:tmpl w:val="B614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6588E"/>
    <w:multiLevelType w:val="hybridMultilevel"/>
    <w:tmpl w:val="4B320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B69B7"/>
    <w:multiLevelType w:val="hybridMultilevel"/>
    <w:tmpl w:val="DB88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250C5"/>
    <w:multiLevelType w:val="hybridMultilevel"/>
    <w:tmpl w:val="BA98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978FC"/>
    <w:multiLevelType w:val="hybridMultilevel"/>
    <w:tmpl w:val="8A7E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2049A"/>
    <w:multiLevelType w:val="hybridMultilevel"/>
    <w:tmpl w:val="5608D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C31D0"/>
    <w:multiLevelType w:val="hybridMultilevel"/>
    <w:tmpl w:val="72301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811E0"/>
    <w:multiLevelType w:val="hybridMultilevel"/>
    <w:tmpl w:val="80AA5804"/>
    <w:lvl w:ilvl="0" w:tplc="502E5D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317C8F"/>
    <w:multiLevelType w:val="hybridMultilevel"/>
    <w:tmpl w:val="910E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A1EE4"/>
    <w:multiLevelType w:val="hybridMultilevel"/>
    <w:tmpl w:val="8BF6FB2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40652715"/>
    <w:multiLevelType w:val="hybridMultilevel"/>
    <w:tmpl w:val="074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20F8D"/>
    <w:multiLevelType w:val="hybridMultilevel"/>
    <w:tmpl w:val="93F0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14B8E"/>
    <w:multiLevelType w:val="hybridMultilevel"/>
    <w:tmpl w:val="7204885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54061FEF"/>
    <w:multiLevelType w:val="hybridMultilevel"/>
    <w:tmpl w:val="71D4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434E5"/>
    <w:multiLevelType w:val="hybridMultilevel"/>
    <w:tmpl w:val="F1609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447236"/>
    <w:multiLevelType w:val="hybridMultilevel"/>
    <w:tmpl w:val="AA26D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84EAF"/>
    <w:multiLevelType w:val="hybridMultilevel"/>
    <w:tmpl w:val="ACF2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F5717"/>
    <w:multiLevelType w:val="hybridMultilevel"/>
    <w:tmpl w:val="88907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0F771F"/>
    <w:multiLevelType w:val="hybridMultilevel"/>
    <w:tmpl w:val="5A18B4EA"/>
    <w:lvl w:ilvl="0" w:tplc="D4C872F4">
      <w:numFmt w:val="bullet"/>
      <w:lvlText w:val="-"/>
      <w:lvlJc w:val="left"/>
      <w:pPr>
        <w:ind w:left="720" w:hanging="360"/>
      </w:pPr>
      <w:rPr>
        <w:rFonts w:ascii="Calibri" w:eastAsia="Calibr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6952408B"/>
    <w:multiLevelType w:val="hybridMultilevel"/>
    <w:tmpl w:val="B85C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A5986"/>
    <w:multiLevelType w:val="hybridMultilevel"/>
    <w:tmpl w:val="83F4C1B0"/>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6FE3316C"/>
    <w:multiLevelType w:val="hybridMultilevel"/>
    <w:tmpl w:val="55B2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D3BB4"/>
    <w:multiLevelType w:val="hybridMultilevel"/>
    <w:tmpl w:val="E5628088"/>
    <w:lvl w:ilvl="0" w:tplc="74D69EAA">
      <w:start w:val="1"/>
      <w:numFmt w:val="upperLetter"/>
      <w:lvlText w:val="%1."/>
      <w:lvlJc w:val="left"/>
      <w:pPr>
        <w:ind w:left="468" w:hanging="360"/>
      </w:pPr>
      <w:rPr>
        <w:rFonts w:ascii="Calibri Light" w:eastAsia="Calibri Light" w:hAnsi="Calibri Light" w:cs="Calibri Light" w:hint="default"/>
        <w:color w:val="2E5395"/>
        <w:spacing w:val="-3"/>
        <w:w w:val="100"/>
        <w:sz w:val="28"/>
        <w:szCs w:val="28"/>
      </w:rPr>
    </w:lvl>
    <w:lvl w:ilvl="1" w:tplc="4792049E">
      <w:start w:val="1"/>
      <w:numFmt w:val="decimal"/>
      <w:lvlText w:val="%2."/>
      <w:lvlJc w:val="left"/>
      <w:pPr>
        <w:ind w:left="821" w:hanging="356"/>
      </w:pPr>
      <w:rPr>
        <w:rFonts w:ascii="Calibri" w:eastAsia="Calibri" w:hAnsi="Calibri" w:cs="Calibri" w:hint="default"/>
        <w:spacing w:val="-3"/>
        <w:w w:val="100"/>
        <w:sz w:val="22"/>
        <w:szCs w:val="24"/>
      </w:rPr>
    </w:lvl>
    <w:lvl w:ilvl="2" w:tplc="E0360794">
      <w:numFmt w:val="bullet"/>
      <w:lvlText w:val="•"/>
      <w:lvlJc w:val="left"/>
      <w:pPr>
        <w:ind w:left="1799" w:hanging="356"/>
      </w:pPr>
      <w:rPr>
        <w:rFonts w:hint="default"/>
      </w:rPr>
    </w:lvl>
    <w:lvl w:ilvl="3" w:tplc="398AE8A4">
      <w:numFmt w:val="bullet"/>
      <w:lvlText w:val="•"/>
      <w:lvlJc w:val="left"/>
      <w:pPr>
        <w:ind w:left="2779" w:hanging="356"/>
      </w:pPr>
      <w:rPr>
        <w:rFonts w:hint="default"/>
      </w:rPr>
    </w:lvl>
    <w:lvl w:ilvl="4" w:tplc="98F20C6E">
      <w:numFmt w:val="bullet"/>
      <w:lvlText w:val="•"/>
      <w:lvlJc w:val="left"/>
      <w:pPr>
        <w:ind w:left="3759" w:hanging="356"/>
      </w:pPr>
      <w:rPr>
        <w:rFonts w:hint="default"/>
      </w:rPr>
    </w:lvl>
    <w:lvl w:ilvl="5" w:tplc="304C61D8">
      <w:numFmt w:val="bullet"/>
      <w:lvlText w:val="•"/>
      <w:lvlJc w:val="left"/>
      <w:pPr>
        <w:ind w:left="4739" w:hanging="356"/>
      </w:pPr>
      <w:rPr>
        <w:rFonts w:hint="default"/>
      </w:rPr>
    </w:lvl>
    <w:lvl w:ilvl="6" w:tplc="2D266EE6">
      <w:numFmt w:val="bullet"/>
      <w:lvlText w:val="•"/>
      <w:lvlJc w:val="left"/>
      <w:pPr>
        <w:ind w:left="5719" w:hanging="356"/>
      </w:pPr>
      <w:rPr>
        <w:rFonts w:hint="default"/>
      </w:rPr>
    </w:lvl>
    <w:lvl w:ilvl="7" w:tplc="F6F8356E">
      <w:numFmt w:val="bullet"/>
      <w:lvlText w:val="•"/>
      <w:lvlJc w:val="left"/>
      <w:pPr>
        <w:ind w:left="6699" w:hanging="356"/>
      </w:pPr>
      <w:rPr>
        <w:rFonts w:hint="default"/>
      </w:rPr>
    </w:lvl>
    <w:lvl w:ilvl="8" w:tplc="096E1B14">
      <w:numFmt w:val="bullet"/>
      <w:lvlText w:val="•"/>
      <w:lvlJc w:val="left"/>
      <w:pPr>
        <w:ind w:left="7679" w:hanging="356"/>
      </w:pPr>
      <w:rPr>
        <w:rFonts w:hint="default"/>
      </w:rPr>
    </w:lvl>
  </w:abstractNum>
  <w:abstractNum w:abstractNumId="28" w15:restartNumberingAfterBreak="0">
    <w:nsid w:val="760D1925"/>
    <w:multiLevelType w:val="hybridMultilevel"/>
    <w:tmpl w:val="A80AF360"/>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773C1A7D"/>
    <w:multiLevelType w:val="hybridMultilevel"/>
    <w:tmpl w:val="A4DA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93E65"/>
    <w:multiLevelType w:val="hybridMultilevel"/>
    <w:tmpl w:val="F192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033CC"/>
    <w:multiLevelType w:val="hybridMultilevel"/>
    <w:tmpl w:val="A17A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CD7028"/>
    <w:multiLevelType w:val="hybridMultilevel"/>
    <w:tmpl w:val="F01C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C00E3"/>
    <w:multiLevelType w:val="hybridMultilevel"/>
    <w:tmpl w:val="79FC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8"/>
  </w:num>
  <w:num w:numId="4">
    <w:abstractNumId w:val="13"/>
  </w:num>
  <w:num w:numId="5">
    <w:abstractNumId w:val="27"/>
  </w:num>
  <w:num w:numId="6">
    <w:abstractNumId w:val="11"/>
  </w:num>
  <w:num w:numId="7">
    <w:abstractNumId w:val="5"/>
  </w:num>
  <w:num w:numId="8">
    <w:abstractNumId w:val="28"/>
  </w:num>
  <w:num w:numId="9">
    <w:abstractNumId w:val="22"/>
  </w:num>
  <w:num w:numId="10">
    <w:abstractNumId w:val="30"/>
  </w:num>
  <w:num w:numId="11">
    <w:abstractNumId w:val="14"/>
  </w:num>
  <w:num w:numId="12">
    <w:abstractNumId w:val="6"/>
  </w:num>
  <w:num w:numId="13">
    <w:abstractNumId w:val="16"/>
  </w:num>
  <w:num w:numId="14">
    <w:abstractNumId w:val="25"/>
  </w:num>
  <w:num w:numId="15">
    <w:abstractNumId w:val="9"/>
  </w:num>
  <w:num w:numId="16">
    <w:abstractNumId w:val="33"/>
  </w:num>
  <w:num w:numId="17">
    <w:abstractNumId w:val="29"/>
  </w:num>
  <w:num w:numId="18">
    <w:abstractNumId w:val="1"/>
  </w:num>
  <w:num w:numId="19">
    <w:abstractNumId w:val="18"/>
  </w:num>
  <w:num w:numId="20">
    <w:abstractNumId w:val="26"/>
  </w:num>
  <w:num w:numId="21">
    <w:abstractNumId w:val="3"/>
  </w:num>
  <w:num w:numId="22">
    <w:abstractNumId w:val="24"/>
  </w:num>
  <w:num w:numId="23">
    <w:abstractNumId w:val="19"/>
  </w:num>
  <w:num w:numId="24">
    <w:abstractNumId w:val="2"/>
  </w:num>
  <w:num w:numId="25">
    <w:abstractNumId w:val="20"/>
  </w:num>
  <w:num w:numId="26">
    <w:abstractNumId w:val="0"/>
  </w:num>
  <w:num w:numId="27">
    <w:abstractNumId w:val="7"/>
  </w:num>
  <w:num w:numId="28">
    <w:abstractNumId w:val="12"/>
  </w:num>
  <w:num w:numId="29">
    <w:abstractNumId w:val="21"/>
  </w:num>
  <w:num w:numId="30">
    <w:abstractNumId w:val="31"/>
  </w:num>
  <w:num w:numId="31">
    <w:abstractNumId w:val="10"/>
  </w:num>
  <w:num w:numId="32">
    <w:abstractNumId w:val="15"/>
  </w:num>
  <w:num w:numId="33">
    <w:abstractNumId w:val="23"/>
  </w:num>
  <w:num w:numId="34">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25"/>
    <w:rsid w:val="0000069B"/>
    <w:rsid w:val="00000E28"/>
    <w:rsid w:val="00001065"/>
    <w:rsid w:val="00001185"/>
    <w:rsid w:val="000011FE"/>
    <w:rsid w:val="00001217"/>
    <w:rsid w:val="00001324"/>
    <w:rsid w:val="00001BC7"/>
    <w:rsid w:val="000028FB"/>
    <w:rsid w:val="00003CB2"/>
    <w:rsid w:val="0000645A"/>
    <w:rsid w:val="00011273"/>
    <w:rsid w:val="0001134F"/>
    <w:rsid w:val="000121B3"/>
    <w:rsid w:val="00012C21"/>
    <w:rsid w:val="00013952"/>
    <w:rsid w:val="00015D3C"/>
    <w:rsid w:val="000162EF"/>
    <w:rsid w:val="00020E92"/>
    <w:rsid w:val="00020F39"/>
    <w:rsid w:val="00022F73"/>
    <w:rsid w:val="000238A4"/>
    <w:rsid w:val="00024301"/>
    <w:rsid w:val="00025649"/>
    <w:rsid w:val="00031D9A"/>
    <w:rsid w:val="000321C4"/>
    <w:rsid w:val="00037C2D"/>
    <w:rsid w:val="00041058"/>
    <w:rsid w:val="000422F5"/>
    <w:rsid w:val="00047E72"/>
    <w:rsid w:val="000525C6"/>
    <w:rsid w:val="0005354B"/>
    <w:rsid w:val="00053732"/>
    <w:rsid w:val="00055815"/>
    <w:rsid w:val="0005761B"/>
    <w:rsid w:val="00060A88"/>
    <w:rsid w:val="00060DDC"/>
    <w:rsid w:val="00060E04"/>
    <w:rsid w:val="000614B7"/>
    <w:rsid w:val="000625A9"/>
    <w:rsid w:val="00063BDC"/>
    <w:rsid w:val="00063C7C"/>
    <w:rsid w:val="000651ED"/>
    <w:rsid w:val="0006547A"/>
    <w:rsid w:val="00065756"/>
    <w:rsid w:val="00066438"/>
    <w:rsid w:val="000664D7"/>
    <w:rsid w:val="000670AE"/>
    <w:rsid w:val="00067B83"/>
    <w:rsid w:val="00067EC7"/>
    <w:rsid w:val="000725DD"/>
    <w:rsid w:val="00072885"/>
    <w:rsid w:val="000732CC"/>
    <w:rsid w:val="00073C3C"/>
    <w:rsid w:val="000744F0"/>
    <w:rsid w:val="000774C1"/>
    <w:rsid w:val="00077E49"/>
    <w:rsid w:val="00077F19"/>
    <w:rsid w:val="00080E4B"/>
    <w:rsid w:val="00081AA4"/>
    <w:rsid w:val="00083E8B"/>
    <w:rsid w:val="0008540A"/>
    <w:rsid w:val="00085C43"/>
    <w:rsid w:val="000864E7"/>
    <w:rsid w:val="00087605"/>
    <w:rsid w:val="000906E3"/>
    <w:rsid w:val="000929DB"/>
    <w:rsid w:val="00094ADC"/>
    <w:rsid w:val="000959D4"/>
    <w:rsid w:val="000971A2"/>
    <w:rsid w:val="00097C6D"/>
    <w:rsid w:val="000A190A"/>
    <w:rsid w:val="000A2AAC"/>
    <w:rsid w:val="000A2E8E"/>
    <w:rsid w:val="000A5E3B"/>
    <w:rsid w:val="000A6FDE"/>
    <w:rsid w:val="000A7365"/>
    <w:rsid w:val="000B095F"/>
    <w:rsid w:val="000B0AE9"/>
    <w:rsid w:val="000B1F59"/>
    <w:rsid w:val="000B3BD0"/>
    <w:rsid w:val="000B4BE6"/>
    <w:rsid w:val="000B610A"/>
    <w:rsid w:val="000B740E"/>
    <w:rsid w:val="000C12CE"/>
    <w:rsid w:val="000C2166"/>
    <w:rsid w:val="000C3157"/>
    <w:rsid w:val="000C42C1"/>
    <w:rsid w:val="000C4BD6"/>
    <w:rsid w:val="000C6990"/>
    <w:rsid w:val="000C6C6A"/>
    <w:rsid w:val="000C777B"/>
    <w:rsid w:val="000C7B2A"/>
    <w:rsid w:val="000D0101"/>
    <w:rsid w:val="000D1480"/>
    <w:rsid w:val="000D1AA1"/>
    <w:rsid w:val="000D2385"/>
    <w:rsid w:val="000D2BEE"/>
    <w:rsid w:val="000D45FC"/>
    <w:rsid w:val="000D4A71"/>
    <w:rsid w:val="000D71CF"/>
    <w:rsid w:val="000E09F0"/>
    <w:rsid w:val="000E2085"/>
    <w:rsid w:val="000E3996"/>
    <w:rsid w:val="000E48B1"/>
    <w:rsid w:val="000E56BC"/>
    <w:rsid w:val="000E64BB"/>
    <w:rsid w:val="000E6592"/>
    <w:rsid w:val="000F05C2"/>
    <w:rsid w:val="000F1AB1"/>
    <w:rsid w:val="000F1B5B"/>
    <w:rsid w:val="000F27F3"/>
    <w:rsid w:val="000F316E"/>
    <w:rsid w:val="000F39A0"/>
    <w:rsid w:val="000F5B2D"/>
    <w:rsid w:val="000F5C18"/>
    <w:rsid w:val="000F5EDF"/>
    <w:rsid w:val="000F66BD"/>
    <w:rsid w:val="000F7245"/>
    <w:rsid w:val="000F7E2A"/>
    <w:rsid w:val="00100500"/>
    <w:rsid w:val="00100DA6"/>
    <w:rsid w:val="001025C1"/>
    <w:rsid w:val="00102E5C"/>
    <w:rsid w:val="00102EC1"/>
    <w:rsid w:val="001045A8"/>
    <w:rsid w:val="001058FB"/>
    <w:rsid w:val="00107FC1"/>
    <w:rsid w:val="00112F9D"/>
    <w:rsid w:val="00113F9A"/>
    <w:rsid w:val="0011473F"/>
    <w:rsid w:val="001153AB"/>
    <w:rsid w:val="001160CF"/>
    <w:rsid w:val="00120D47"/>
    <w:rsid w:val="00122A86"/>
    <w:rsid w:val="00124641"/>
    <w:rsid w:val="00125F7A"/>
    <w:rsid w:val="001325A0"/>
    <w:rsid w:val="00134A19"/>
    <w:rsid w:val="001366C9"/>
    <w:rsid w:val="00137C7E"/>
    <w:rsid w:val="00140DDE"/>
    <w:rsid w:val="00142860"/>
    <w:rsid w:val="00145262"/>
    <w:rsid w:val="00145575"/>
    <w:rsid w:val="00146721"/>
    <w:rsid w:val="0014676F"/>
    <w:rsid w:val="00147922"/>
    <w:rsid w:val="00150180"/>
    <w:rsid w:val="0015069D"/>
    <w:rsid w:val="001510CF"/>
    <w:rsid w:val="00151A84"/>
    <w:rsid w:val="00151EA2"/>
    <w:rsid w:val="001572CC"/>
    <w:rsid w:val="00157AD5"/>
    <w:rsid w:val="00162517"/>
    <w:rsid w:val="00165B6E"/>
    <w:rsid w:val="00166339"/>
    <w:rsid w:val="00172590"/>
    <w:rsid w:val="0017424C"/>
    <w:rsid w:val="0017642F"/>
    <w:rsid w:val="001777AF"/>
    <w:rsid w:val="001803AC"/>
    <w:rsid w:val="0018193A"/>
    <w:rsid w:val="001820A3"/>
    <w:rsid w:val="0018468B"/>
    <w:rsid w:val="001853B4"/>
    <w:rsid w:val="0018564A"/>
    <w:rsid w:val="001861F8"/>
    <w:rsid w:val="001869AD"/>
    <w:rsid w:val="00187D1C"/>
    <w:rsid w:val="0019138C"/>
    <w:rsid w:val="001941F0"/>
    <w:rsid w:val="001945F8"/>
    <w:rsid w:val="00194900"/>
    <w:rsid w:val="00195903"/>
    <w:rsid w:val="00195BAC"/>
    <w:rsid w:val="00197DFD"/>
    <w:rsid w:val="001A553C"/>
    <w:rsid w:val="001A6140"/>
    <w:rsid w:val="001A7207"/>
    <w:rsid w:val="001B1337"/>
    <w:rsid w:val="001B2DD8"/>
    <w:rsid w:val="001B5836"/>
    <w:rsid w:val="001B7ECE"/>
    <w:rsid w:val="001C090C"/>
    <w:rsid w:val="001C1496"/>
    <w:rsid w:val="001C436B"/>
    <w:rsid w:val="001C6AE7"/>
    <w:rsid w:val="001C7960"/>
    <w:rsid w:val="001C7E3F"/>
    <w:rsid w:val="001D007D"/>
    <w:rsid w:val="001D10BB"/>
    <w:rsid w:val="001D133B"/>
    <w:rsid w:val="001D18F8"/>
    <w:rsid w:val="001D26E1"/>
    <w:rsid w:val="001D384C"/>
    <w:rsid w:val="001D3DA1"/>
    <w:rsid w:val="001D7A93"/>
    <w:rsid w:val="001E3532"/>
    <w:rsid w:val="001F01E9"/>
    <w:rsid w:val="001F3050"/>
    <w:rsid w:val="001F455F"/>
    <w:rsid w:val="001F7A12"/>
    <w:rsid w:val="00202517"/>
    <w:rsid w:val="002028E3"/>
    <w:rsid w:val="00202EF2"/>
    <w:rsid w:val="002039DA"/>
    <w:rsid w:val="00204F96"/>
    <w:rsid w:val="002056F5"/>
    <w:rsid w:val="0020579B"/>
    <w:rsid w:val="00207374"/>
    <w:rsid w:val="00211820"/>
    <w:rsid w:val="00212052"/>
    <w:rsid w:val="00214813"/>
    <w:rsid w:val="00217802"/>
    <w:rsid w:val="00217DCF"/>
    <w:rsid w:val="00224186"/>
    <w:rsid w:val="002248C6"/>
    <w:rsid w:val="002265C4"/>
    <w:rsid w:val="0022723F"/>
    <w:rsid w:val="00233066"/>
    <w:rsid w:val="002345E5"/>
    <w:rsid w:val="00235F3F"/>
    <w:rsid w:val="00242C10"/>
    <w:rsid w:val="00243A56"/>
    <w:rsid w:val="002445CF"/>
    <w:rsid w:val="00245BE0"/>
    <w:rsid w:val="00245DAA"/>
    <w:rsid w:val="00247658"/>
    <w:rsid w:val="002515AD"/>
    <w:rsid w:val="00252052"/>
    <w:rsid w:val="00252C68"/>
    <w:rsid w:val="0025389D"/>
    <w:rsid w:val="00253D24"/>
    <w:rsid w:val="002541CB"/>
    <w:rsid w:val="002566E6"/>
    <w:rsid w:val="00261051"/>
    <w:rsid w:val="002617F6"/>
    <w:rsid w:val="00262DF0"/>
    <w:rsid w:val="00265CF6"/>
    <w:rsid w:val="0027032D"/>
    <w:rsid w:val="00271043"/>
    <w:rsid w:val="002713BF"/>
    <w:rsid w:val="0027236B"/>
    <w:rsid w:val="00273628"/>
    <w:rsid w:val="00273B74"/>
    <w:rsid w:val="0027567F"/>
    <w:rsid w:val="00277A99"/>
    <w:rsid w:val="002815B5"/>
    <w:rsid w:val="00283B89"/>
    <w:rsid w:val="00284178"/>
    <w:rsid w:val="002850B8"/>
    <w:rsid w:val="00287F9A"/>
    <w:rsid w:val="002906CE"/>
    <w:rsid w:val="00290C2B"/>
    <w:rsid w:val="00291721"/>
    <w:rsid w:val="00291F8A"/>
    <w:rsid w:val="00293545"/>
    <w:rsid w:val="002936A9"/>
    <w:rsid w:val="0029519F"/>
    <w:rsid w:val="002A0C6F"/>
    <w:rsid w:val="002A0EBC"/>
    <w:rsid w:val="002A2056"/>
    <w:rsid w:val="002A23B8"/>
    <w:rsid w:val="002A2BFA"/>
    <w:rsid w:val="002A4881"/>
    <w:rsid w:val="002A582F"/>
    <w:rsid w:val="002A71DD"/>
    <w:rsid w:val="002B12E5"/>
    <w:rsid w:val="002B4955"/>
    <w:rsid w:val="002B5F33"/>
    <w:rsid w:val="002B7176"/>
    <w:rsid w:val="002C107E"/>
    <w:rsid w:val="002C2279"/>
    <w:rsid w:val="002C2FA5"/>
    <w:rsid w:val="002C315E"/>
    <w:rsid w:val="002C497A"/>
    <w:rsid w:val="002D0272"/>
    <w:rsid w:val="002D03BF"/>
    <w:rsid w:val="002D0A48"/>
    <w:rsid w:val="002D0DE0"/>
    <w:rsid w:val="002D2A18"/>
    <w:rsid w:val="002D3D6C"/>
    <w:rsid w:val="002D3D7D"/>
    <w:rsid w:val="002D444E"/>
    <w:rsid w:val="002D4F56"/>
    <w:rsid w:val="002D5DB5"/>
    <w:rsid w:val="002D6AE0"/>
    <w:rsid w:val="002D7F3A"/>
    <w:rsid w:val="002E0D40"/>
    <w:rsid w:val="002E1D1A"/>
    <w:rsid w:val="002E2242"/>
    <w:rsid w:val="002E486D"/>
    <w:rsid w:val="002E5226"/>
    <w:rsid w:val="002E6060"/>
    <w:rsid w:val="002E619C"/>
    <w:rsid w:val="002E6CCC"/>
    <w:rsid w:val="002E6F74"/>
    <w:rsid w:val="002E739E"/>
    <w:rsid w:val="002E758D"/>
    <w:rsid w:val="002E765B"/>
    <w:rsid w:val="002E7F18"/>
    <w:rsid w:val="002F143B"/>
    <w:rsid w:val="002F1686"/>
    <w:rsid w:val="002F4316"/>
    <w:rsid w:val="002F4E43"/>
    <w:rsid w:val="002F5298"/>
    <w:rsid w:val="002F5F38"/>
    <w:rsid w:val="002F7DC8"/>
    <w:rsid w:val="003001BF"/>
    <w:rsid w:val="00301765"/>
    <w:rsid w:val="00302A25"/>
    <w:rsid w:val="00302AB0"/>
    <w:rsid w:val="0030526A"/>
    <w:rsid w:val="00306F06"/>
    <w:rsid w:val="003104D6"/>
    <w:rsid w:val="00310C23"/>
    <w:rsid w:val="003117E5"/>
    <w:rsid w:val="00312F2B"/>
    <w:rsid w:val="00313473"/>
    <w:rsid w:val="00315A29"/>
    <w:rsid w:val="00316B5F"/>
    <w:rsid w:val="00316D23"/>
    <w:rsid w:val="00317D0C"/>
    <w:rsid w:val="00320172"/>
    <w:rsid w:val="0032126C"/>
    <w:rsid w:val="00322D67"/>
    <w:rsid w:val="003235C5"/>
    <w:rsid w:val="00324423"/>
    <w:rsid w:val="003259D4"/>
    <w:rsid w:val="00326565"/>
    <w:rsid w:val="0032745F"/>
    <w:rsid w:val="00330C9B"/>
    <w:rsid w:val="00331EB8"/>
    <w:rsid w:val="00332DF5"/>
    <w:rsid w:val="003330EF"/>
    <w:rsid w:val="0033646B"/>
    <w:rsid w:val="00337256"/>
    <w:rsid w:val="00337C1C"/>
    <w:rsid w:val="00346129"/>
    <w:rsid w:val="003468BE"/>
    <w:rsid w:val="00346AA3"/>
    <w:rsid w:val="00347147"/>
    <w:rsid w:val="00347A6D"/>
    <w:rsid w:val="003508BA"/>
    <w:rsid w:val="00350A66"/>
    <w:rsid w:val="003512D6"/>
    <w:rsid w:val="00351A46"/>
    <w:rsid w:val="00352CF7"/>
    <w:rsid w:val="00354BC0"/>
    <w:rsid w:val="00355475"/>
    <w:rsid w:val="00355519"/>
    <w:rsid w:val="00356608"/>
    <w:rsid w:val="003568F8"/>
    <w:rsid w:val="00356D9F"/>
    <w:rsid w:val="00360DC7"/>
    <w:rsid w:val="00361F2C"/>
    <w:rsid w:val="00363576"/>
    <w:rsid w:val="00372400"/>
    <w:rsid w:val="003725C8"/>
    <w:rsid w:val="00373935"/>
    <w:rsid w:val="00376822"/>
    <w:rsid w:val="00381388"/>
    <w:rsid w:val="00381771"/>
    <w:rsid w:val="00383433"/>
    <w:rsid w:val="00384646"/>
    <w:rsid w:val="00385657"/>
    <w:rsid w:val="003921F7"/>
    <w:rsid w:val="00394D4F"/>
    <w:rsid w:val="003A13FD"/>
    <w:rsid w:val="003A2993"/>
    <w:rsid w:val="003A360E"/>
    <w:rsid w:val="003A7A23"/>
    <w:rsid w:val="003B08AF"/>
    <w:rsid w:val="003B0A4E"/>
    <w:rsid w:val="003B2747"/>
    <w:rsid w:val="003B6F64"/>
    <w:rsid w:val="003B7151"/>
    <w:rsid w:val="003C03E9"/>
    <w:rsid w:val="003C1AC9"/>
    <w:rsid w:val="003C2039"/>
    <w:rsid w:val="003D01E9"/>
    <w:rsid w:val="003D0441"/>
    <w:rsid w:val="003D09FE"/>
    <w:rsid w:val="003D3011"/>
    <w:rsid w:val="003D3C90"/>
    <w:rsid w:val="003D5976"/>
    <w:rsid w:val="003D64D7"/>
    <w:rsid w:val="003D68EE"/>
    <w:rsid w:val="003D6BBD"/>
    <w:rsid w:val="003D74A3"/>
    <w:rsid w:val="003E09C2"/>
    <w:rsid w:val="003E2864"/>
    <w:rsid w:val="003E4C8C"/>
    <w:rsid w:val="003E4EA4"/>
    <w:rsid w:val="003E5716"/>
    <w:rsid w:val="003E6C56"/>
    <w:rsid w:val="003E6FBC"/>
    <w:rsid w:val="003F0669"/>
    <w:rsid w:val="003F0C45"/>
    <w:rsid w:val="003F0D33"/>
    <w:rsid w:val="003F2038"/>
    <w:rsid w:val="003F251E"/>
    <w:rsid w:val="003F32A3"/>
    <w:rsid w:val="003F371A"/>
    <w:rsid w:val="003F4224"/>
    <w:rsid w:val="003F558E"/>
    <w:rsid w:val="003F5EED"/>
    <w:rsid w:val="003F73E0"/>
    <w:rsid w:val="004017BE"/>
    <w:rsid w:val="004019E5"/>
    <w:rsid w:val="0040273E"/>
    <w:rsid w:val="00402B1D"/>
    <w:rsid w:val="0040738E"/>
    <w:rsid w:val="004109FA"/>
    <w:rsid w:val="00412091"/>
    <w:rsid w:val="00420140"/>
    <w:rsid w:val="00420BCE"/>
    <w:rsid w:val="0042246F"/>
    <w:rsid w:val="00423257"/>
    <w:rsid w:val="00424170"/>
    <w:rsid w:val="0042424E"/>
    <w:rsid w:val="00424333"/>
    <w:rsid w:val="00426305"/>
    <w:rsid w:val="004268C4"/>
    <w:rsid w:val="0043050C"/>
    <w:rsid w:val="00430947"/>
    <w:rsid w:val="00430BE3"/>
    <w:rsid w:val="0044242F"/>
    <w:rsid w:val="00442BDB"/>
    <w:rsid w:val="00443F25"/>
    <w:rsid w:val="004441E0"/>
    <w:rsid w:val="00444D54"/>
    <w:rsid w:val="00445C0F"/>
    <w:rsid w:val="00445DB7"/>
    <w:rsid w:val="0044673D"/>
    <w:rsid w:val="004517BC"/>
    <w:rsid w:val="00452A52"/>
    <w:rsid w:val="004534B0"/>
    <w:rsid w:val="004538A4"/>
    <w:rsid w:val="00453E32"/>
    <w:rsid w:val="00456865"/>
    <w:rsid w:val="0045698F"/>
    <w:rsid w:val="00457971"/>
    <w:rsid w:val="00463E84"/>
    <w:rsid w:val="004640BF"/>
    <w:rsid w:val="00464B0D"/>
    <w:rsid w:val="00464EC8"/>
    <w:rsid w:val="00465349"/>
    <w:rsid w:val="004707A9"/>
    <w:rsid w:val="00472D9B"/>
    <w:rsid w:val="00473642"/>
    <w:rsid w:val="004747A0"/>
    <w:rsid w:val="0047497A"/>
    <w:rsid w:val="004758E9"/>
    <w:rsid w:val="00476F04"/>
    <w:rsid w:val="00481698"/>
    <w:rsid w:val="004818DF"/>
    <w:rsid w:val="00482578"/>
    <w:rsid w:val="00485A8B"/>
    <w:rsid w:val="00485BB2"/>
    <w:rsid w:val="0048665C"/>
    <w:rsid w:val="0048678D"/>
    <w:rsid w:val="004876B0"/>
    <w:rsid w:val="00487FD8"/>
    <w:rsid w:val="00490627"/>
    <w:rsid w:val="00490B00"/>
    <w:rsid w:val="00490EF8"/>
    <w:rsid w:val="00491CCB"/>
    <w:rsid w:val="004925C1"/>
    <w:rsid w:val="00492A3B"/>
    <w:rsid w:val="004A0040"/>
    <w:rsid w:val="004A1B48"/>
    <w:rsid w:val="004A1EF2"/>
    <w:rsid w:val="004A2CDE"/>
    <w:rsid w:val="004A475D"/>
    <w:rsid w:val="004A6649"/>
    <w:rsid w:val="004A6A82"/>
    <w:rsid w:val="004A7AA9"/>
    <w:rsid w:val="004A7CA5"/>
    <w:rsid w:val="004B09E9"/>
    <w:rsid w:val="004B17A2"/>
    <w:rsid w:val="004B23C4"/>
    <w:rsid w:val="004B3FFD"/>
    <w:rsid w:val="004B472E"/>
    <w:rsid w:val="004B5B8E"/>
    <w:rsid w:val="004B600A"/>
    <w:rsid w:val="004B7FEE"/>
    <w:rsid w:val="004C0EF7"/>
    <w:rsid w:val="004C1A6F"/>
    <w:rsid w:val="004C2303"/>
    <w:rsid w:val="004C29DD"/>
    <w:rsid w:val="004C48FC"/>
    <w:rsid w:val="004C5427"/>
    <w:rsid w:val="004D0AC7"/>
    <w:rsid w:val="004D0E0B"/>
    <w:rsid w:val="004D1145"/>
    <w:rsid w:val="004D196D"/>
    <w:rsid w:val="004D3A39"/>
    <w:rsid w:val="004D46AB"/>
    <w:rsid w:val="004D7795"/>
    <w:rsid w:val="004E1701"/>
    <w:rsid w:val="004E1BB1"/>
    <w:rsid w:val="004E4342"/>
    <w:rsid w:val="004E462F"/>
    <w:rsid w:val="004E5022"/>
    <w:rsid w:val="004E511D"/>
    <w:rsid w:val="004E7CAF"/>
    <w:rsid w:val="004F0C39"/>
    <w:rsid w:val="004F0FCB"/>
    <w:rsid w:val="004F1B92"/>
    <w:rsid w:val="004F2309"/>
    <w:rsid w:val="004F237B"/>
    <w:rsid w:val="004F44DA"/>
    <w:rsid w:val="004F5725"/>
    <w:rsid w:val="004F6684"/>
    <w:rsid w:val="00500934"/>
    <w:rsid w:val="00500A86"/>
    <w:rsid w:val="00501143"/>
    <w:rsid w:val="00502E37"/>
    <w:rsid w:val="0050658F"/>
    <w:rsid w:val="00510EBA"/>
    <w:rsid w:val="0051144C"/>
    <w:rsid w:val="00511FD8"/>
    <w:rsid w:val="005129BA"/>
    <w:rsid w:val="00512F3D"/>
    <w:rsid w:val="00517436"/>
    <w:rsid w:val="00521798"/>
    <w:rsid w:val="00524271"/>
    <w:rsid w:val="00524BE3"/>
    <w:rsid w:val="0052516B"/>
    <w:rsid w:val="005265FF"/>
    <w:rsid w:val="0052691A"/>
    <w:rsid w:val="00527009"/>
    <w:rsid w:val="00527AB1"/>
    <w:rsid w:val="00527B51"/>
    <w:rsid w:val="0053000D"/>
    <w:rsid w:val="005300C3"/>
    <w:rsid w:val="005310EE"/>
    <w:rsid w:val="00531186"/>
    <w:rsid w:val="00532038"/>
    <w:rsid w:val="0053241F"/>
    <w:rsid w:val="0053422C"/>
    <w:rsid w:val="00540CD6"/>
    <w:rsid w:val="00541C67"/>
    <w:rsid w:val="0054491B"/>
    <w:rsid w:val="00546991"/>
    <w:rsid w:val="00550053"/>
    <w:rsid w:val="00550201"/>
    <w:rsid w:val="005503C2"/>
    <w:rsid w:val="0055094E"/>
    <w:rsid w:val="00550B44"/>
    <w:rsid w:val="00551F3B"/>
    <w:rsid w:val="00553F77"/>
    <w:rsid w:val="00555A16"/>
    <w:rsid w:val="00556250"/>
    <w:rsid w:val="00560281"/>
    <w:rsid w:val="00562D4A"/>
    <w:rsid w:val="00563114"/>
    <w:rsid w:val="00564B64"/>
    <w:rsid w:val="005711EF"/>
    <w:rsid w:val="00573347"/>
    <w:rsid w:val="005762F1"/>
    <w:rsid w:val="00580CA5"/>
    <w:rsid w:val="00581418"/>
    <w:rsid w:val="005835DC"/>
    <w:rsid w:val="00584480"/>
    <w:rsid w:val="00584682"/>
    <w:rsid w:val="00584F60"/>
    <w:rsid w:val="00586281"/>
    <w:rsid w:val="00587448"/>
    <w:rsid w:val="00587599"/>
    <w:rsid w:val="005876BD"/>
    <w:rsid w:val="005924AC"/>
    <w:rsid w:val="00595921"/>
    <w:rsid w:val="00596E06"/>
    <w:rsid w:val="0059763A"/>
    <w:rsid w:val="00597B37"/>
    <w:rsid w:val="005A2BD9"/>
    <w:rsid w:val="005A351B"/>
    <w:rsid w:val="005A7B07"/>
    <w:rsid w:val="005B1068"/>
    <w:rsid w:val="005B39E9"/>
    <w:rsid w:val="005B42DD"/>
    <w:rsid w:val="005B673C"/>
    <w:rsid w:val="005B68E0"/>
    <w:rsid w:val="005B6A43"/>
    <w:rsid w:val="005B7E65"/>
    <w:rsid w:val="005C2362"/>
    <w:rsid w:val="005C2EC1"/>
    <w:rsid w:val="005C456F"/>
    <w:rsid w:val="005C45F5"/>
    <w:rsid w:val="005C6517"/>
    <w:rsid w:val="005C6FDB"/>
    <w:rsid w:val="005D46F6"/>
    <w:rsid w:val="005D5F35"/>
    <w:rsid w:val="005D6ADA"/>
    <w:rsid w:val="005D6F79"/>
    <w:rsid w:val="005D7195"/>
    <w:rsid w:val="005D7896"/>
    <w:rsid w:val="005E53C5"/>
    <w:rsid w:val="005E5E55"/>
    <w:rsid w:val="005E7B74"/>
    <w:rsid w:val="005F04A4"/>
    <w:rsid w:val="005F082C"/>
    <w:rsid w:val="005F5593"/>
    <w:rsid w:val="00601BB4"/>
    <w:rsid w:val="00602130"/>
    <w:rsid w:val="00603E06"/>
    <w:rsid w:val="0060488D"/>
    <w:rsid w:val="0060551E"/>
    <w:rsid w:val="006113EE"/>
    <w:rsid w:val="0061210A"/>
    <w:rsid w:val="006174AF"/>
    <w:rsid w:val="006243F7"/>
    <w:rsid w:val="006262B6"/>
    <w:rsid w:val="00630276"/>
    <w:rsid w:val="0063101F"/>
    <w:rsid w:val="0063164C"/>
    <w:rsid w:val="00632738"/>
    <w:rsid w:val="0063365D"/>
    <w:rsid w:val="0063459F"/>
    <w:rsid w:val="006353E0"/>
    <w:rsid w:val="00640825"/>
    <w:rsid w:val="0064190B"/>
    <w:rsid w:val="00641A52"/>
    <w:rsid w:val="00641FDD"/>
    <w:rsid w:val="00642243"/>
    <w:rsid w:val="006436BD"/>
    <w:rsid w:val="0064494D"/>
    <w:rsid w:val="0064722E"/>
    <w:rsid w:val="00651343"/>
    <w:rsid w:val="006514D7"/>
    <w:rsid w:val="0065285E"/>
    <w:rsid w:val="0065754A"/>
    <w:rsid w:val="00657DBB"/>
    <w:rsid w:val="00663695"/>
    <w:rsid w:val="00666344"/>
    <w:rsid w:val="006675AF"/>
    <w:rsid w:val="006701A3"/>
    <w:rsid w:val="00672706"/>
    <w:rsid w:val="006732C3"/>
    <w:rsid w:val="006739F6"/>
    <w:rsid w:val="00677CCE"/>
    <w:rsid w:val="006807A4"/>
    <w:rsid w:val="00680904"/>
    <w:rsid w:val="00681C15"/>
    <w:rsid w:val="006826EE"/>
    <w:rsid w:val="006878E5"/>
    <w:rsid w:val="00690F97"/>
    <w:rsid w:val="00690FC3"/>
    <w:rsid w:val="00691555"/>
    <w:rsid w:val="00693C99"/>
    <w:rsid w:val="006A1460"/>
    <w:rsid w:val="006A14A9"/>
    <w:rsid w:val="006A16EB"/>
    <w:rsid w:val="006A2203"/>
    <w:rsid w:val="006A2CEC"/>
    <w:rsid w:val="006A4118"/>
    <w:rsid w:val="006B0085"/>
    <w:rsid w:val="006B2323"/>
    <w:rsid w:val="006B2592"/>
    <w:rsid w:val="006B31EA"/>
    <w:rsid w:val="006B3AF5"/>
    <w:rsid w:val="006B496A"/>
    <w:rsid w:val="006B5CA7"/>
    <w:rsid w:val="006B5EAF"/>
    <w:rsid w:val="006B6AC9"/>
    <w:rsid w:val="006B6F67"/>
    <w:rsid w:val="006C25C8"/>
    <w:rsid w:val="006C2606"/>
    <w:rsid w:val="006C4937"/>
    <w:rsid w:val="006C4EBA"/>
    <w:rsid w:val="006C5450"/>
    <w:rsid w:val="006C5545"/>
    <w:rsid w:val="006C574F"/>
    <w:rsid w:val="006D1BA0"/>
    <w:rsid w:val="006D2B90"/>
    <w:rsid w:val="006D30B8"/>
    <w:rsid w:val="006D410B"/>
    <w:rsid w:val="006D5554"/>
    <w:rsid w:val="006D5775"/>
    <w:rsid w:val="006E15BB"/>
    <w:rsid w:val="006E2803"/>
    <w:rsid w:val="006E4348"/>
    <w:rsid w:val="006E7FAF"/>
    <w:rsid w:val="006F0AD5"/>
    <w:rsid w:val="006F0E8B"/>
    <w:rsid w:val="006F45B3"/>
    <w:rsid w:val="006F5E07"/>
    <w:rsid w:val="006F7245"/>
    <w:rsid w:val="00700D16"/>
    <w:rsid w:val="0070123B"/>
    <w:rsid w:val="0070199D"/>
    <w:rsid w:val="0070369A"/>
    <w:rsid w:val="007056CB"/>
    <w:rsid w:val="007057DD"/>
    <w:rsid w:val="00707AC8"/>
    <w:rsid w:val="0071026E"/>
    <w:rsid w:val="007114D0"/>
    <w:rsid w:val="00712BEB"/>
    <w:rsid w:val="00715004"/>
    <w:rsid w:val="00716250"/>
    <w:rsid w:val="007163B1"/>
    <w:rsid w:val="007173AC"/>
    <w:rsid w:val="00720358"/>
    <w:rsid w:val="00720F61"/>
    <w:rsid w:val="007224EA"/>
    <w:rsid w:val="0072494D"/>
    <w:rsid w:val="00725927"/>
    <w:rsid w:val="00725A05"/>
    <w:rsid w:val="0073091D"/>
    <w:rsid w:val="00731CE4"/>
    <w:rsid w:val="0073374E"/>
    <w:rsid w:val="00733790"/>
    <w:rsid w:val="00733D4D"/>
    <w:rsid w:val="007341FA"/>
    <w:rsid w:val="00734225"/>
    <w:rsid w:val="007349F3"/>
    <w:rsid w:val="00735C90"/>
    <w:rsid w:val="007368DB"/>
    <w:rsid w:val="00750414"/>
    <w:rsid w:val="007504A1"/>
    <w:rsid w:val="00750C42"/>
    <w:rsid w:val="0075295D"/>
    <w:rsid w:val="00753545"/>
    <w:rsid w:val="007535B9"/>
    <w:rsid w:val="00753CBD"/>
    <w:rsid w:val="00755DB0"/>
    <w:rsid w:val="007570CB"/>
    <w:rsid w:val="007578FE"/>
    <w:rsid w:val="007579E3"/>
    <w:rsid w:val="00760FEB"/>
    <w:rsid w:val="007641BD"/>
    <w:rsid w:val="00765E67"/>
    <w:rsid w:val="00765F7B"/>
    <w:rsid w:val="0077008F"/>
    <w:rsid w:val="00770535"/>
    <w:rsid w:val="007710F9"/>
    <w:rsid w:val="007741A2"/>
    <w:rsid w:val="00777B9B"/>
    <w:rsid w:val="00780406"/>
    <w:rsid w:val="007842C6"/>
    <w:rsid w:val="00785C84"/>
    <w:rsid w:val="00786120"/>
    <w:rsid w:val="00787E11"/>
    <w:rsid w:val="00791FB8"/>
    <w:rsid w:val="0079320B"/>
    <w:rsid w:val="00793C9E"/>
    <w:rsid w:val="00795909"/>
    <w:rsid w:val="007A1067"/>
    <w:rsid w:val="007A3887"/>
    <w:rsid w:val="007A551A"/>
    <w:rsid w:val="007A6A17"/>
    <w:rsid w:val="007B1804"/>
    <w:rsid w:val="007B2045"/>
    <w:rsid w:val="007B2783"/>
    <w:rsid w:val="007B2C67"/>
    <w:rsid w:val="007B3AAA"/>
    <w:rsid w:val="007B420F"/>
    <w:rsid w:val="007B5EC1"/>
    <w:rsid w:val="007B7533"/>
    <w:rsid w:val="007C10BC"/>
    <w:rsid w:val="007C3990"/>
    <w:rsid w:val="007C3998"/>
    <w:rsid w:val="007C3C05"/>
    <w:rsid w:val="007C715C"/>
    <w:rsid w:val="007C7785"/>
    <w:rsid w:val="007D1C67"/>
    <w:rsid w:val="007D2763"/>
    <w:rsid w:val="007D3EB4"/>
    <w:rsid w:val="007D6220"/>
    <w:rsid w:val="007D7E37"/>
    <w:rsid w:val="007E0CF5"/>
    <w:rsid w:val="007E1130"/>
    <w:rsid w:val="007E1AD6"/>
    <w:rsid w:val="007E49BA"/>
    <w:rsid w:val="007E49E3"/>
    <w:rsid w:val="007E57EC"/>
    <w:rsid w:val="007E6870"/>
    <w:rsid w:val="007E7B5A"/>
    <w:rsid w:val="007E7C22"/>
    <w:rsid w:val="007F0906"/>
    <w:rsid w:val="007F2C2F"/>
    <w:rsid w:val="007F2E22"/>
    <w:rsid w:val="007F46D0"/>
    <w:rsid w:val="007F4D59"/>
    <w:rsid w:val="007F635F"/>
    <w:rsid w:val="007F68A8"/>
    <w:rsid w:val="007F6E4F"/>
    <w:rsid w:val="00803D2C"/>
    <w:rsid w:val="008054D9"/>
    <w:rsid w:val="00807469"/>
    <w:rsid w:val="00811729"/>
    <w:rsid w:val="00812D72"/>
    <w:rsid w:val="008143EF"/>
    <w:rsid w:val="00814E38"/>
    <w:rsid w:val="0081538A"/>
    <w:rsid w:val="0081559A"/>
    <w:rsid w:val="00816023"/>
    <w:rsid w:val="00816819"/>
    <w:rsid w:val="00817975"/>
    <w:rsid w:val="0082196E"/>
    <w:rsid w:val="00821C30"/>
    <w:rsid w:val="008222E1"/>
    <w:rsid w:val="008226C8"/>
    <w:rsid w:val="00824CB0"/>
    <w:rsid w:val="00825AAB"/>
    <w:rsid w:val="008263CD"/>
    <w:rsid w:val="00830263"/>
    <w:rsid w:val="00830DBA"/>
    <w:rsid w:val="00833873"/>
    <w:rsid w:val="0083448D"/>
    <w:rsid w:val="00834596"/>
    <w:rsid w:val="008359A5"/>
    <w:rsid w:val="00837705"/>
    <w:rsid w:val="00843371"/>
    <w:rsid w:val="00845FCF"/>
    <w:rsid w:val="00846FBA"/>
    <w:rsid w:val="00847459"/>
    <w:rsid w:val="008476DB"/>
    <w:rsid w:val="0085095D"/>
    <w:rsid w:val="00854415"/>
    <w:rsid w:val="00856ABC"/>
    <w:rsid w:val="008573FC"/>
    <w:rsid w:val="0085747B"/>
    <w:rsid w:val="00857FC9"/>
    <w:rsid w:val="00860985"/>
    <w:rsid w:val="00860D5A"/>
    <w:rsid w:val="0086160A"/>
    <w:rsid w:val="008626FA"/>
    <w:rsid w:val="00862EF7"/>
    <w:rsid w:val="00864002"/>
    <w:rsid w:val="00873B34"/>
    <w:rsid w:val="00876245"/>
    <w:rsid w:val="00880970"/>
    <w:rsid w:val="00882881"/>
    <w:rsid w:val="008838F3"/>
    <w:rsid w:val="00890A4A"/>
    <w:rsid w:val="008919A6"/>
    <w:rsid w:val="00892774"/>
    <w:rsid w:val="00893412"/>
    <w:rsid w:val="00894556"/>
    <w:rsid w:val="00896202"/>
    <w:rsid w:val="008A2D13"/>
    <w:rsid w:val="008A3205"/>
    <w:rsid w:val="008A5B30"/>
    <w:rsid w:val="008A6B52"/>
    <w:rsid w:val="008A724B"/>
    <w:rsid w:val="008B05A5"/>
    <w:rsid w:val="008B1833"/>
    <w:rsid w:val="008B36F1"/>
    <w:rsid w:val="008B4744"/>
    <w:rsid w:val="008B65AB"/>
    <w:rsid w:val="008B68A8"/>
    <w:rsid w:val="008C06ED"/>
    <w:rsid w:val="008C3312"/>
    <w:rsid w:val="008C40DB"/>
    <w:rsid w:val="008C541E"/>
    <w:rsid w:val="008D4C24"/>
    <w:rsid w:val="008D4E96"/>
    <w:rsid w:val="008D50D9"/>
    <w:rsid w:val="008D6746"/>
    <w:rsid w:val="008D77E8"/>
    <w:rsid w:val="008D79B2"/>
    <w:rsid w:val="008D7C9A"/>
    <w:rsid w:val="008E02E5"/>
    <w:rsid w:val="008E351D"/>
    <w:rsid w:val="008E3CFA"/>
    <w:rsid w:val="008E499E"/>
    <w:rsid w:val="008F3CF8"/>
    <w:rsid w:val="008F4103"/>
    <w:rsid w:val="008F4E4D"/>
    <w:rsid w:val="009016F2"/>
    <w:rsid w:val="009023A9"/>
    <w:rsid w:val="009029C2"/>
    <w:rsid w:val="00902EBC"/>
    <w:rsid w:val="00905716"/>
    <w:rsid w:val="00907B08"/>
    <w:rsid w:val="00912DA2"/>
    <w:rsid w:val="00912ED5"/>
    <w:rsid w:val="009133B8"/>
    <w:rsid w:val="00914DB3"/>
    <w:rsid w:val="0091511A"/>
    <w:rsid w:val="00917110"/>
    <w:rsid w:val="00920BFB"/>
    <w:rsid w:val="0093128C"/>
    <w:rsid w:val="00932EAA"/>
    <w:rsid w:val="00933F66"/>
    <w:rsid w:val="009342E1"/>
    <w:rsid w:val="00934B2D"/>
    <w:rsid w:val="00935B28"/>
    <w:rsid w:val="00935EFB"/>
    <w:rsid w:val="00936ABD"/>
    <w:rsid w:val="00936D04"/>
    <w:rsid w:val="00937367"/>
    <w:rsid w:val="00937564"/>
    <w:rsid w:val="00937D22"/>
    <w:rsid w:val="00940F23"/>
    <w:rsid w:val="00941558"/>
    <w:rsid w:val="009417B0"/>
    <w:rsid w:val="00943458"/>
    <w:rsid w:val="00943E2F"/>
    <w:rsid w:val="00944392"/>
    <w:rsid w:val="00944A77"/>
    <w:rsid w:val="00945331"/>
    <w:rsid w:val="00945C6E"/>
    <w:rsid w:val="009469AB"/>
    <w:rsid w:val="00947815"/>
    <w:rsid w:val="00947E90"/>
    <w:rsid w:val="009509BA"/>
    <w:rsid w:val="00954E00"/>
    <w:rsid w:val="00955146"/>
    <w:rsid w:val="00956998"/>
    <w:rsid w:val="00956D3F"/>
    <w:rsid w:val="009570FE"/>
    <w:rsid w:val="009644AE"/>
    <w:rsid w:val="00964FC9"/>
    <w:rsid w:val="00970F58"/>
    <w:rsid w:val="00971AA8"/>
    <w:rsid w:val="00971B40"/>
    <w:rsid w:val="00971BE3"/>
    <w:rsid w:val="0097272E"/>
    <w:rsid w:val="00973701"/>
    <w:rsid w:val="00974338"/>
    <w:rsid w:val="00975212"/>
    <w:rsid w:val="009759F3"/>
    <w:rsid w:val="00980D28"/>
    <w:rsid w:val="00980DE4"/>
    <w:rsid w:val="00984897"/>
    <w:rsid w:val="00986458"/>
    <w:rsid w:val="00987726"/>
    <w:rsid w:val="009878F8"/>
    <w:rsid w:val="00990011"/>
    <w:rsid w:val="00993A1F"/>
    <w:rsid w:val="0099624F"/>
    <w:rsid w:val="00996AB5"/>
    <w:rsid w:val="00996F70"/>
    <w:rsid w:val="009978EE"/>
    <w:rsid w:val="009A4AAF"/>
    <w:rsid w:val="009A51C8"/>
    <w:rsid w:val="009A5902"/>
    <w:rsid w:val="009A7ECB"/>
    <w:rsid w:val="009B1EB2"/>
    <w:rsid w:val="009B421D"/>
    <w:rsid w:val="009B7A3D"/>
    <w:rsid w:val="009C0C7A"/>
    <w:rsid w:val="009C283C"/>
    <w:rsid w:val="009C39D0"/>
    <w:rsid w:val="009C5CF4"/>
    <w:rsid w:val="009C604D"/>
    <w:rsid w:val="009C7455"/>
    <w:rsid w:val="009D0EEA"/>
    <w:rsid w:val="009D13AD"/>
    <w:rsid w:val="009D2A35"/>
    <w:rsid w:val="009D4C0A"/>
    <w:rsid w:val="009D524C"/>
    <w:rsid w:val="009D652B"/>
    <w:rsid w:val="009E104D"/>
    <w:rsid w:val="009E1C17"/>
    <w:rsid w:val="009E5F28"/>
    <w:rsid w:val="009F3092"/>
    <w:rsid w:val="009F3675"/>
    <w:rsid w:val="009F44D5"/>
    <w:rsid w:val="009F49A5"/>
    <w:rsid w:val="009F49FB"/>
    <w:rsid w:val="009F52FD"/>
    <w:rsid w:val="00A002AB"/>
    <w:rsid w:val="00A01C79"/>
    <w:rsid w:val="00A01E60"/>
    <w:rsid w:val="00A025B7"/>
    <w:rsid w:val="00A02BC0"/>
    <w:rsid w:val="00A0405D"/>
    <w:rsid w:val="00A04AA4"/>
    <w:rsid w:val="00A05AC6"/>
    <w:rsid w:val="00A06BD0"/>
    <w:rsid w:val="00A139BF"/>
    <w:rsid w:val="00A147C7"/>
    <w:rsid w:val="00A164A1"/>
    <w:rsid w:val="00A17541"/>
    <w:rsid w:val="00A2021B"/>
    <w:rsid w:val="00A23A03"/>
    <w:rsid w:val="00A2647F"/>
    <w:rsid w:val="00A26BCC"/>
    <w:rsid w:val="00A33934"/>
    <w:rsid w:val="00A3582F"/>
    <w:rsid w:val="00A36004"/>
    <w:rsid w:val="00A36444"/>
    <w:rsid w:val="00A374CD"/>
    <w:rsid w:val="00A41684"/>
    <w:rsid w:val="00A42830"/>
    <w:rsid w:val="00A442D9"/>
    <w:rsid w:val="00A46122"/>
    <w:rsid w:val="00A4626A"/>
    <w:rsid w:val="00A51208"/>
    <w:rsid w:val="00A516FA"/>
    <w:rsid w:val="00A53020"/>
    <w:rsid w:val="00A53412"/>
    <w:rsid w:val="00A53FD2"/>
    <w:rsid w:val="00A551F3"/>
    <w:rsid w:val="00A56A59"/>
    <w:rsid w:val="00A56F16"/>
    <w:rsid w:val="00A57B0F"/>
    <w:rsid w:val="00A57E40"/>
    <w:rsid w:val="00A604AA"/>
    <w:rsid w:val="00A6050E"/>
    <w:rsid w:val="00A6105D"/>
    <w:rsid w:val="00A62990"/>
    <w:rsid w:val="00A62FFD"/>
    <w:rsid w:val="00A6314A"/>
    <w:rsid w:val="00A67868"/>
    <w:rsid w:val="00A708EB"/>
    <w:rsid w:val="00A72407"/>
    <w:rsid w:val="00A75406"/>
    <w:rsid w:val="00A805ED"/>
    <w:rsid w:val="00A83669"/>
    <w:rsid w:val="00A836EC"/>
    <w:rsid w:val="00A8431A"/>
    <w:rsid w:val="00A8624E"/>
    <w:rsid w:val="00A86581"/>
    <w:rsid w:val="00A86899"/>
    <w:rsid w:val="00A87069"/>
    <w:rsid w:val="00A875A3"/>
    <w:rsid w:val="00A91CAC"/>
    <w:rsid w:val="00A937F9"/>
    <w:rsid w:val="00A951C4"/>
    <w:rsid w:val="00AA02A8"/>
    <w:rsid w:val="00AA031B"/>
    <w:rsid w:val="00AA1062"/>
    <w:rsid w:val="00AA1BCD"/>
    <w:rsid w:val="00AA1BF3"/>
    <w:rsid w:val="00AA269A"/>
    <w:rsid w:val="00AA405F"/>
    <w:rsid w:val="00AA6887"/>
    <w:rsid w:val="00AB1C53"/>
    <w:rsid w:val="00AB2DD5"/>
    <w:rsid w:val="00AB3118"/>
    <w:rsid w:val="00AB3E0A"/>
    <w:rsid w:val="00AB7AB5"/>
    <w:rsid w:val="00AC2110"/>
    <w:rsid w:val="00AC26EF"/>
    <w:rsid w:val="00AC383E"/>
    <w:rsid w:val="00AC3A93"/>
    <w:rsid w:val="00AC484B"/>
    <w:rsid w:val="00AC4873"/>
    <w:rsid w:val="00AC7C65"/>
    <w:rsid w:val="00AD26B3"/>
    <w:rsid w:val="00AD3B8A"/>
    <w:rsid w:val="00AD4F1A"/>
    <w:rsid w:val="00AD5C6A"/>
    <w:rsid w:val="00AD6B96"/>
    <w:rsid w:val="00AD6BC7"/>
    <w:rsid w:val="00AE0702"/>
    <w:rsid w:val="00AE12F3"/>
    <w:rsid w:val="00AE2232"/>
    <w:rsid w:val="00AE2C8A"/>
    <w:rsid w:val="00AE52FE"/>
    <w:rsid w:val="00AE535E"/>
    <w:rsid w:val="00AE5B4B"/>
    <w:rsid w:val="00AE7BF4"/>
    <w:rsid w:val="00AF02C4"/>
    <w:rsid w:val="00AF1CE8"/>
    <w:rsid w:val="00AF27AF"/>
    <w:rsid w:val="00AF3B8D"/>
    <w:rsid w:val="00AF6140"/>
    <w:rsid w:val="00AF6634"/>
    <w:rsid w:val="00AF706E"/>
    <w:rsid w:val="00B00B38"/>
    <w:rsid w:val="00B01DB6"/>
    <w:rsid w:val="00B02284"/>
    <w:rsid w:val="00B04944"/>
    <w:rsid w:val="00B11F11"/>
    <w:rsid w:val="00B124D9"/>
    <w:rsid w:val="00B138CD"/>
    <w:rsid w:val="00B1430A"/>
    <w:rsid w:val="00B1770B"/>
    <w:rsid w:val="00B17A1F"/>
    <w:rsid w:val="00B26290"/>
    <w:rsid w:val="00B27B4D"/>
    <w:rsid w:val="00B3138C"/>
    <w:rsid w:val="00B31B24"/>
    <w:rsid w:val="00B31B61"/>
    <w:rsid w:val="00B33040"/>
    <w:rsid w:val="00B36553"/>
    <w:rsid w:val="00B42513"/>
    <w:rsid w:val="00B475F8"/>
    <w:rsid w:val="00B516F3"/>
    <w:rsid w:val="00B51C69"/>
    <w:rsid w:val="00B52581"/>
    <w:rsid w:val="00B545A2"/>
    <w:rsid w:val="00B54A28"/>
    <w:rsid w:val="00B54DAE"/>
    <w:rsid w:val="00B571A6"/>
    <w:rsid w:val="00B600FC"/>
    <w:rsid w:val="00B6222C"/>
    <w:rsid w:val="00B62454"/>
    <w:rsid w:val="00B64FFD"/>
    <w:rsid w:val="00B65904"/>
    <w:rsid w:val="00B67A02"/>
    <w:rsid w:val="00B67BAC"/>
    <w:rsid w:val="00B71B42"/>
    <w:rsid w:val="00B728A2"/>
    <w:rsid w:val="00B72B16"/>
    <w:rsid w:val="00B73FEC"/>
    <w:rsid w:val="00B74414"/>
    <w:rsid w:val="00B77DAB"/>
    <w:rsid w:val="00B80E79"/>
    <w:rsid w:val="00B81324"/>
    <w:rsid w:val="00B8223C"/>
    <w:rsid w:val="00B84DAD"/>
    <w:rsid w:val="00B84F0E"/>
    <w:rsid w:val="00B86DFA"/>
    <w:rsid w:val="00B90048"/>
    <w:rsid w:val="00B9034B"/>
    <w:rsid w:val="00B918D2"/>
    <w:rsid w:val="00B94452"/>
    <w:rsid w:val="00BA3EAD"/>
    <w:rsid w:val="00BA7F14"/>
    <w:rsid w:val="00BB3845"/>
    <w:rsid w:val="00BB40C2"/>
    <w:rsid w:val="00BB5B65"/>
    <w:rsid w:val="00BB5C56"/>
    <w:rsid w:val="00BB7221"/>
    <w:rsid w:val="00BC0E8F"/>
    <w:rsid w:val="00BC10D9"/>
    <w:rsid w:val="00BC2881"/>
    <w:rsid w:val="00BC3B5D"/>
    <w:rsid w:val="00BC5A0F"/>
    <w:rsid w:val="00BD2987"/>
    <w:rsid w:val="00BD34B2"/>
    <w:rsid w:val="00BD39FC"/>
    <w:rsid w:val="00BD573A"/>
    <w:rsid w:val="00BD6394"/>
    <w:rsid w:val="00BD76A8"/>
    <w:rsid w:val="00BD787E"/>
    <w:rsid w:val="00BD7CF7"/>
    <w:rsid w:val="00BD7E50"/>
    <w:rsid w:val="00BE1DE9"/>
    <w:rsid w:val="00BE443F"/>
    <w:rsid w:val="00BE4610"/>
    <w:rsid w:val="00BE4A09"/>
    <w:rsid w:val="00BF0A08"/>
    <w:rsid w:val="00BF0DDC"/>
    <w:rsid w:val="00BF0EA8"/>
    <w:rsid w:val="00BF28E0"/>
    <w:rsid w:val="00BF2B3B"/>
    <w:rsid w:val="00BF3420"/>
    <w:rsid w:val="00BF3440"/>
    <w:rsid w:val="00BF35F7"/>
    <w:rsid w:val="00BF512D"/>
    <w:rsid w:val="00C012BC"/>
    <w:rsid w:val="00C025CE"/>
    <w:rsid w:val="00C065F7"/>
    <w:rsid w:val="00C068A7"/>
    <w:rsid w:val="00C077F7"/>
    <w:rsid w:val="00C07D9E"/>
    <w:rsid w:val="00C10E77"/>
    <w:rsid w:val="00C11B0C"/>
    <w:rsid w:val="00C140D2"/>
    <w:rsid w:val="00C14574"/>
    <w:rsid w:val="00C14700"/>
    <w:rsid w:val="00C168AD"/>
    <w:rsid w:val="00C17F36"/>
    <w:rsid w:val="00C209FC"/>
    <w:rsid w:val="00C20DD6"/>
    <w:rsid w:val="00C211AE"/>
    <w:rsid w:val="00C21BB9"/>
    <w:rsid w:val="00C22F0E"/>
    <w:rsid w:val="00C24031"/>
    <w:rsid w:val="00C24CE8"/>
    <w:rsid w:val="00C31B01"/>
    <w:rsid w:val="00C323EE"/>
    <w:rsid w:val="00C32AB7"/>
    <w:rsid w:val="00C34B1E"/>
    <w:rsid w:val="00C3549E"/>
    <w:rsid w:val="00C35737"/>
    <w:rsid w:val="00C37DD2"/>
    <w:rsid w:val="00C432F1"/>
    <w:rsid w:val="00C44500"/>
    <w:rsid w:val="00C44F36"/>
    <w:rsid w:val="00C46CDD"/>
    <w:rsid w:val="00C510D0"/>
    <w:rsid w:val="00C51699"/>
    <w:rsid w:val="00C51DE8"/>
    <w:rsid w:val="00C529E1"/>
    <w:rsid w:val="00C5376B"/>
    <w:rsid w:val="00C541BB"/>
    <w:rsid w:val="00C563FA"/>
    <w:rsid w:val="00C56A5A"/>
    <w:rsid w:val="00C61177"/>
    <w:rsid w:val="00C626A9"/>
    <w:rsid w:val="00C652EF"/>
    <w:rsid w:val="00C70681"/>
    <w:rsid w:val="00C71E19"/>
    <w:rsid w:val="00C71EF4"/>
    <w:rsid w:val="00C74945"/>
    <w:rsid w:val="00C76135"/>
    <w:rsid w:val="00C762FD"/>
    <w:rsid w:val="00C76496"/>
    <w:rsid w:val="00C77F9D"/>
    <w:rsid w:val="00C80195"/>
    <w:rsid w:val="00C8189A"/>
    <w:rsid w:val="00C82234"/>
    <w:rsid w:val="00C82973"/>
    <w:rsid w:val="00C831AD"/>
    <w:rsid w:val="00C84CB0"/>
    <w:rsid w:val="00C902A4"/>
    <w:rsid w:val="00C9328F"/>
    <w:rsid w:val="00C936EE"/>
    <w:rsid w:val="00C940BE"/>
    <w:rsid w:val="00C959E7"/>
    <w:rsid w:val="00C95E74"/>
    <w:rsid w:val="00C96096"/>
    <w:rsid w:val="00C960EA"/>
    <w:rsid w:val="00C96C28"/>
    <w:rsid w:val="00CA030B"/>
    <w:rsid w:val="00CA228E"/>
    <w:rsid w:val="00CA49BB"/>
    <w:rsid w:val="00CA7F82"/>
    <w:rsid w:val="00CB0D27"/>
    <w:rsid w:val="00CB2626"/>
    <w:rsid w:val="00CB386B"/>
    <w:rsid w:val="00CB4F15"/>
    <w:rsid w:val="00CB5D8E"/>
    <w:rsid w:val="00CB60AC"/>
    <w:rsid w:val="00CC0329"/>
    <w:rsid w:val="00CC0B0A"/>
    <w:rsid w:val="00CC0F56"/>
    <w:rsid w:val="00CC1FC3"/>
    <w:rsid w:val="00CC254A"/>
    <w:rsid w:val="00CC3EAC"/>
    <w:rsid w:val="00CC620F"/>
    <w:rsid w:val="00CC7246"/>
    <w:rsid w:val="00CC7EFC"/>
    <w:rsid w:val="00CD1A8E"/>
    <w:rsid w:val="00CD2A55"/>
    <w:rsid w:val="00CD2F2B"/>
    <w:rsid w:val="00CD3591"/>
    <w:rsid w:val="00CD3E12"/>
    <w:rsid w:val="00CD521C"/>
    <w:rsid w:val="00CD6B46"/>
    <w:rsid w:val="00CD78A9"/>
    <w:rsid w:val="00CE2154"/>
    <w:rsid w:val="00CE663A"/>
    <w:rsid w:val="00CE6959"/>
    <w:rsid w:val="00CE7E1C"/>
    <w:rsid w:val="00CF1706"/>
    <w:rsid w:val="00CF2DEB"/>
    <w:rsid w:val="00CF4207"/>
    <w:rsid w:val="00CF50F9"/>
    <w:rsid w:val="00CF6637"/>
    <w:rsid w:val="00CF6807"/>
    <w:rsid w:val="00CF743F"/>
    <w:rsid w:val="00CF7ABD"/>
    <w:rsid w:val="00D007DD"/>
    <w:rsid w:val="00D01B03"/>
    <w:rsid w:val="00D031AF"/>
    <w:rsid w:val="00D035DD"/>
    <w:rsid w:val="00D05165"/>
    <w:rsid w:val="00D05AE7"/>
    <w:rsid w:val="00D0604A"/>
    <w:rsid w:val="00D0679C"/>
    <w:rsid w:val="00D113BB"/>
    <w:rsid w:val="00D12172"/>
    <w:rsid w:val="00D13373"/>
    <w:rsid w:val="00D151CF"/>
    <w:rsid w:val="00D225D1"/>
    <w:rsid w:val="00D2274D"/>
    <w:rsid w:val="00D242C8"/>
    <w:rsid w:val="00D247E4"/>
    <w:rsid w:val="00D25480"/>
    <w:rsid w:val="00D27E84"/>
    <w:rsid w:val="00D30915"/>
    <w:rsid w:val="00D31579"/>
    <w:rsid w:val="00D317B2"/>
    <w:rsid w:val="00D33FF5"/>
    <w:rsid w:val="00D34103"/>
    <w:rsid w:val="00D3453E"/>
    <w:rsid w:val="00D35700"/>
    <w:rsid w:val="00D358C2"/>
    <w:rsid w:val="00D37A00"/>
    <w:rsid w:val="00D425CD"/>
    <w:rsid w:val="00D4417C"/>
    <w:rsid w:val="00D4508D"/>
    <w:rsid w:val="00D543DF"/>
    <w:rsid w:val="00D552E3"/>
    <w:rsid w:val="00D56874"/>
    <w:rsid w:val="00D56BA9"/>
    <w:rsid w:val="00D605CC"/>
    <w:rsid w:val="00D64B76"/>
    <w:rsid w:val="00D66942"/>
    <w:rsid w:val="00D67286"/>
    <w:rsid w:val="00D70C6E"/>
    <w:rsid w:val="00D74DE1"/>
    <w:rsid w:val="00D750F0"/>
    <w:rsid w:val="00D751A9"/>
    <w:rsid w:val="00D7540D"/>
    <w:rsid w:val="00D77E39"/>
    <w:rsid w:val="00D80E46"/>
    <w:rsid w:val="00D82E1B"/>
    <w:rsid w:val="00D84F86"/>
    <w:rsid w:val="00D856CB"/>
    <w:rsid w:val="00D87AC2"/>
    <w:rsid w:val="00D90EDC"/>
    <w:rsid w:val="00D94FDA"/>
    <w:rsid w:val="00D9654D"/>
    <w:rsid w:val="00D96785"/>
    <w:rsid w:val="00D97CA4"/>
    <w:rsid w:val="00DA0ED1"/>
    <w:rsid w:val="00DA24A3"/>
    <w:rsid w:val="00DA4C03"/>
    <w:rsid w:val="00DA4D0B"/>
    <w:rsid w:val="00DA51E8"/>
    <w:rsid w:val="00DA6DC5"/>
    <w:rsid w:val="00DA75BB"/>
    <w:rsid w:val="00DA7851"/>
    <w:rsid w:val="00DA788B"/>
    <w:rsid w:val="00DA7BE0"/>
    <w:rsid w:val="00DA7E0E"/>
    <w:rsid w:val="00DB29C3"/>
    <w:rsid w:val="00DB50D3"/>
    <w:rsid w:val="00DB599B"/>
    <w:rsid w:val="00DB6608"/>
    <w:rsid w:val="00DB69DB"/>
    <w:rsid w:val="00DB780D"/>
    <w:rsid w:val="00DB7B57"/>
    <w:rsid w:val="00DC11ED"/>
    <w:rsid w:val="00DC4196"/>
    <w:rsid w:val="00DC4873"/>
    <w:rsid w:val="00DD01A9"/>
    <w:rsid w:val="00DD09E5"/>
    <w:rsid w:val="00DD3291"/>
    <w:rsid w:val="00DD5FCE"/>
    <w:rsid w:val="00DD7F5F"/>
    <w:rsid w:val="00DE2CB7"/>
    <w:rsid w:val="00DE315A"/>
    <w:rsid w:val="00DE3DF1"/>
    <w:rsid w:val="00DF4A17"/>
    <w:rsid w:val="00DF540B"/>
    <w:rsid w:val="00DF54E4"/>
    <w:rsid w:val="00DF5C76"/>
    <w:rsid w:val="00DF6806"/>
    <w:rsid w:val="00DF728D"/>
    <w:rsid w:val="00E000BE"/>
    <w:rsid w:val="00E01313"/>
    <w:rsid w:val="00E0139C"/>
    <w:rsid w:val="00E029AC"/>
    <w:rsid w:val="00E030A4"/>
    <w:rsid w:val="00E05507"/>
    <w:rsid w:val="00E07F34"/>
    <w:rsid w:val="00E12250"/>
    <w:rsid w:val="00E1511C"/>
    <w:rsid w:val="00E20446"/>
    <w:rsid w:val="00E2052D"/>
    <w:rsid w:val="00E20C47"/>
    <w:rsid w:val="00E2110C"/>
    <w:rsid w:val="00E21200"/>
    <w:rsid w:val="00E228E6"/>
    <w:rsid w:val="00E258CC"/>
    <w:rsid w:val="00E276F6"/>
    <w:rsid w:val="00E2778A"/>
    <w:rsid w:val="00E27A85"/>
    <w:rsid w:val="00E31827"/>
    <w:rsid w:val="00E32773"/>
    <w:rsid w:val="00E35ACB"/>
    <w:rsid w:val="00E417E3"/>
    <w:rsid w:val="00E42145"/>
    <w:rsid w:val="00E44A58"/>
    <w:rsid w:val="00E47AF5"/>
    <w:rsid w:val="00E5110F"/>
    <w:rsid w:val="00E535CB"/>
    <w:rsid w:val="00E536AA"/>
    <w:rsid w:val="00E54809"/>
    <w:rsid w:val="00E5649D"/>
    <w:rsid w:val="00E56743"/>
    <w:rsid w:val="00E57B2F"/>
    <w:rsid w:val="00E60416"/>
    <w:rsid w:val="00E6042B"/>
    <w:rsid w:val="00E60728"/>
    <w:rsid w:val="00E60BAE"/>
    <w:rsid w:val="00E638F2"/>
    <w:rsid w:val="00E643F5"/>
    <w:rsid w:val="00E65BCC"/>
    <w:rsid w:val="00E66DA5"/>
    <w:rsid w:val="00E67CE7"/>
    <w:rsid w:val="00E701D4"/>
    <w:rsid w:val="00E7181A"/>
    <w:rsid w:val="00E73ABA"/>
    <w:rsid w:val="00E73D5A"/>
    <w:rsid w:val="00E73FE8"/>
    <w:rsid w:val="00E752A0"/>
    <w:rsid w:val="00E75FBE"/>
    <w:rsid w:val="00E77950"/>
    <w:rsid w:val="00E83950"/>
    <w:rsid w:val="00E87B66"/>
    <w:rsid w:val="00E941A1"/>
    <w:rsid w:val="00E948E1"/>
    <w:rsid w:val="00E9563C"/>
    <w:rsid w:val="00E95A2C"/>
    <w:rsid w:val="00E97390"/>
    <w:rsid w:val="00E97E2C"/>
    <w:rsid w:val="00EA034F"/>
    <w:rsid w:val="00EA04F0"/>
    <w:rsid w:val="00EA0F31"/>
    <w:rsid w:val="00EA29EC"/>
    <w:rsid w:val="00EA3121"/>
    <w:rsid w:val="00EA4047"/>
    <w:rsid w:val="00EA423D"/>
    <w:rsid w:val="00EA4775"/>
    <w:rsid w:val="00EB07B9"/>
    <w:rsid w:val="00EB12AE"/>
    <w:rsid w:val="00EB37DC"/>
    <w:rsid w:val="00EB3878"/>
    <w:rsid w:val="00EB4B73"/>
    <w:rsid w:val="00EC12BD"/>
    <w:rsid w:val="00EC2385"/>
    <w:rsid w:val="00EC28E0"/>
    <w:rsid w:val="00EC4F0F"/>
    <w:rsid w:val="00ED3019"/>
    <w:rsid w:val="00ED5485"/>
    <w:rsid w:val="00ED5FFB"/>
    <w:rsid w:val="00EE05C7"/>
    <w:rsid w:val="00EE1467"/>
    <w:rsid w:val="00EE3F0A"/>
    <w:rsid w:val="00EE43AF"/>
    <w:rsid w:val="00EE4BCB"/>
    <w:rsid w:val="00EE4F68"/>
    <w:rsid w:val="00EF0BEE"/>
    <w:rsid w:val="00EF1CE5"/>
    <w:rsid w:val="00EF250E"/>
    <w:rsid w:val="00EF2964"/>
    <w:rsid w:val="00EF4E2B"/>
    <w:rsid w:val="00F0276F"/>
    <w:rsid w:val="00F02AFD"/>
    <w:rsid w:val="00F03D5E"/>
    <w:rsid w:val="00F0540B"/>
    <w:rsid w:val="00F05A20"/>
    <w:rsid w:val="00F05B4F"/>
    <w:rsid w:val="00F0677B"/>
    <w:rsid w:val="00F10D9E"/>
    <w:rsid w:val="00F13A20"/>
    <w:rsid w:val="00F157CA"/>
    <w:rsid w:val="00F15F7D"/>
    <w:rsid w:val="00F21159"/>
    <w:rsid w:val="00F21A0F"/>
    <w:rsid w:val="00F25353"/>
    <w:rsid w:val="00F26917"/>
    <w:rsid w:val="00F26F26"/>
    <w:rsid w:val="00F317E5"/>
    <w:rsid w:val="00F31CBC"/>
    <w:rsid w:val="00F32056"/>
    <w:rsid w:val="00F332B1"/>
    <w:rsid w:val="00F33BCB"/>
    <w:rsid w:val="00F37494"/>
    <w:rsid w:val="00F42405"/>
    <w:rsid w:val="00F425C0"/>
    <w:rsid w:val="00F42636"/>
    <w:rsid w:val="00F4347C"/>
    <w:rsid w:val="00F45573"/>
    <w:rsid w:val="00F512AF"/>
    <w:rsid w:val="00F51991"/>
    <w:rsid w:val="00F51ACC"/>
    <w:rsid w:val="00F5379E"/>
    <w:rsid w:val="00F546C9"/>
    <w:rsid w:val="00F5658B"/>
    <w:rsid w:val="00F57CF6"/>
    <w:rsid w:val="00F613EF"/>
    <w:rsid w:val="00F61431"/>
    <w:rsid w:val="00F61E8A"/>
    <w:rsid w:val="00F66E59"/>
    <w:rsid w:val="00F70008"/>
    <w:rsid w:val="00F71618"/>
    <w:rsid w:val="00F7456A"/>
    <w:rsid w:val="00F75E26"/>
    <w:rsid w:val="00F76A72"/>
    <w:rsid w:val="00F777C9"/>
    <w:rsid w:val="00F823DD"/>
    <w:rsid w:val="00F84F34"/>
    <w:rsid w:val="00F857D9"/>
    <w:rsid w:val="00F90486"/>
    <w:rsid w:val="00F912D4"/>
    <w:rsid w:val="00F9220F"/>
    <w:rsid w:val="00F94A2D"/>
    <w:rsid w:val="00F967B1"/>
    <w:rsid w:val="00FA07B1"/>
    <w:rsid w:val="00FA1AF8"/>
    <w:rsid w:val="00FA3ACA"/>
    <w:rsid w:val="00FA3D99"/>
    <w:rsid w:val="00FA5532"/>
    <w:rsid w:val="00FB5515"/>
    <w:rsid w:val="00FB6321"/>
    <w:rsid w:val="00FB6B1F"/>
    <w:rsid w:val="00FB74B7"/>
    <w:rsid w:val="00FC248B"/>
    <w:rsid w:val="00FC3CDC"/>
    <w:rsid w:val="00FC6D41"/>
    <w:rsid w:val="00FC7D62"/>
    <w:rsid w:val="00FD065E"/>
    <w:rsid w:val="00FD639B"/>
    <w:rsid w:val="00FD7D2A"/>
    <w:rsid w:val="00FE075E"/>
    <w:rsid w:val="00FE191B"/>
    <w:rsid w:val="00FE222D"/>
    <w:rsid w:val="00FE3D2B"/>
    <w:rsid w:val="00FE4253"/>
    <w:rsid w:val="00FE4CF9"/>
    <w:rsid w:val="00FE6F41"/>
    <w:rsid w:val="00FE6F6E"/>
    <w:rsid w:val="00FE7CD7"/>
    <w:rsid w:val="00FF15C1"/>
    <w:rsid w:val="00FF1D20"/>
    <w:rsid w:val="00FF1DC6"/>
    <w:rsid w:val="00FF3CF5"/>
    <w:rsid w:val="00FF429E"/>
    <w:rsid w:val="00FF4B44"/>
    <w:rsid w:val="00FF58F5"/>
    <w:rsid w:val="00FF616E"/>
    <w:rsid w:val="00FF6D34"/>
    <w:rsid w:val="00FF6EBD"/>
    <w:rsid w:val="00FF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D0A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08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00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47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D0A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825"/>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6408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40825"/>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1D007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47C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D0AC7"/>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unhideWhenUsed/>
    <w:rsid w:val="004D0AC7"/>
    <w:pPr>
      <w:spacing w:after="0" w:line="240" w:lineRule="auto"/>
    </w:pPr>
    <w:rPr>
      <w:sz w:val="20"/>
      <w:szCs w:val="20"/>
    </w:rPr>
  </w:style>
  <w:style w:type="character" w:customStyle="1" w:styleId="FootnoteTextChar">
    <w:name w:val="Footnote Text Char"/>
    <w:basedOn w:val="DefaultParagraphFont"/>
    <w:link w:val="FootnoteText"/>
    <w:uiPriority w:val="99"/>
    <w:rsid w:val="004D0AC7"/>
    <w:rPr>
      <w:sz w:val="20"/>
      <w:szCs w:val="20"/>
    </w:rPr>
  </w:style>
  <w:style w:type="character" w:styleId="FootnoteReference">
    <w:name w:val="footnote reference"/>
    <w:aliases w:val="Normal + Font:9 Point,Superscript 3 Point Times,ftref,Footnote Reference Number,Footnote Reference_LVL6,Footnote Reference_LVL61,Footnote Reference_LVL62,Footnote Reference_LVL63,Footnote Reference_LVL64,fr,16 Point"/>
    <w:basedOn w:val="DefaultParagraphFont"/>
    <w:uiPriority w:val="99"/>
    <w:unhideWhenUsed/>
    <w:qFormat/>
    <w:rsid w:val="004D0AC7"/>
    <w:rPr>
      <w:rFonts w:asciiTheme="minorHAnsi" w:hAnsiTheme="minorHAnsi"/>
      <w:sz w:val="20"/>
      <w:vertAlign w:val="superscript"/>
    </w:rPr>
  </w:style>
  <w:style w:type="paragraph" w:styleId="ListParagraph">
    <w:name w:val="List Paragraph"/>
    <w:basedOn w:val="Normal"/>
    <w:link w:val="ListParagraphChar"/>
    <w:uiPriority w:val="34"/>
    <w:qFormat/>
    <w:rsid w:val="00B11F11"/>
    <w:pPr>
      <w:ind w:left="720"/>
      <w:contextualSpacing/>
    </w:pPr>
  </w:style>
  <w:style w:type="paragraph" w:styleId="BodyText">
    <w:name w:val="Body Text"/>
    <w:basedOn w:val="Normal"/>
    <w:link w:val="BodyTextChar"/>
    <w:uiPriority w:val="1"/>
    <w:qFormat/>
    <w:rsid w:val="00AD5C6A"/>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D5C6A"/>
    <w:rPr>
      <w:rFonts w:ascii="Calibri" w:eastAsia="Calibri" w:hAnsi="Calibri" w:cs="Calibri"/>
      <w:sz w:val="24"/>
      <w:szCs w:val="24"/>
    </w:rPr>
  </w:style>
  <w:style w:type="character" w:styleId="CommentReference">
    <w:name w:val="annotation reference"/>
    <w:basedOn w:val="DefaultParagraphFont"/>
    <w:uiPriority w:val="99"/>
    <w:semiHidden/>
    <w:unhideWhenUsed/>
    <w:rsid w:val="00AD5C6A"/>
    <w:rPr>
      <w:sz w:val="16"/>
      <w:szCs w:val="16"/>
    </w:rPr>
  </w:style>
  <w:style w:type="paragraph" w:styleId="CommentText">
    <w:name w:val="annotation text"/>
    <w:basedOn w:val="Normal"/>
    <w:link w:val="CommentTextChar"/>
    <w:uiPriority w:val="99"/>
    <w:unhideWhenUsed/>
    <w:rsid w:val="00AD5C6A"/>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D5C6A"/>
    <w:rPr>
      <w:rFonts w:ascii="Calibri" w:eastAsia="Calibri" w:hAnsi="Calibri" w:cs="Calibri"/>
      <w:sz w:val="20"/>
      <w:szCs w:val="20"/>
    </w:rPr>
  </w:style>
  <w:style w:type="paragraph" w:styleId="BalloonText">
    <w:name w:val="Balloon Text"/>
    <w:basedOn w:val="Normal"/>
    <w:link w:val="BalloonTextChar"/>
    <w:uiPriority w:val="99"/>
    <w:semiHidden/>
    <w:unhideWhenUsed/>
    <w:rsid w:val="00AD5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C6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37C1C"/>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7C1C"/>
    <w:rPr>
      <w:rFonts w:ascii="Calibri" w:eastAsia="Calibri" w:hAnsi="Calibri" w:cs="Calibri"/>
      <w:b/>
      <w:bCs/>
      <w:sz w:val="20"/>
      <w:szCs w:val="20"/>
    </w:rPr>
  </w:style>
  <w:style w:type="paragraph" w:styleId="Revision">
    <w:name w:val="Revision"/>
    <w:hidden/>
    <w:uiPriority w:val="99"/>
    <w:semiHidden/>
    <w:rsid w:val="00337C1C"/>
    <w:pPr>
      <w:spacing w:after="0" w:line="240" w:lineRule="auto"/>
    </w:pPr>
  </w:style>
  <w:style w:type="table" w:styleId="TableGrid">
    <w:name w:val="Table Grid"/>
    <w:basedOn w:val="TableNormal"/>
    <w:uiPriority w:val="39"/>
    <w:rsid w:val="00346AA3"/>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B7B57"/>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A51E8"/>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29DD"/>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D46F6"/>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31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918D2"/>
    <w:pPr>
      <w:widowControl w:val="0"/>
      <w:autoSpaceDE w:val="0"/>
      <w:autoSpaceDN w:val="0"/>
      <w:spacing w:after="0" w:line="240" w:lineRule="auto"/>
      <w:ind w:left="465"/>
    </w:pPr>
    <w:rPr>
      <w:rFonts w:ascii="Calibri" w:eastAsia="Calibri" w:hAnsi="Calibri" w:cs="Calibri"/>
    </w:rPr>
  </w:style>
  <w:style w:type="paragraph" w:styleId="TOCHeading">
    <w:name w:val="TOC Heading"/>
    <w:basedOn w:val="Heading1"/>
    <w:next w:val="Normal"/>
    <w:uiPriority w:val="39"/>
    <w:unhideWhenUsed/>
    <w:qFormat/>
    <w:rsid w:val="00FD639B"/>
    <w:pPr>
      <w:outlineLvl w:val="9"/>
    </w:pPr>
  </w:style>
  <w:style w:type="paragraph" w:styleId="TOC1">
    <w:name w:val="toc 1"/>
    <w:basedOn w:val="Normal"/>
    <w:next w:val="Normal"/>
    <w:autoRedefine/>
    <w:uiPriority w:val="39"/>
    <w:unhideWhenUsed/>
    <w:rsid w:val="00FD639B"/>
    <w:pPr>
      <w:spacing w:after="100"/>
    </w:pPr>
  </w:style>
  <w:style w:type="paragraph" w:styleId="TOC2">
    <w:name w:val="toc 2"/>
    <w:basedOn w:val="Normal"/>
    <w:next w:val="Normal"/>
    <w:autoRedefine/>
    <w:uiPriority w:val="39"/>
    <w:unhideWhenUsed/>
    <w:rsid w:val="00FD639B"/>
    <w:pPr>
      <w:spacing w:after="100"/>
      <w:ind w:left="220"/>
    </w:pPr>
  </w:style>
  <w:style w:type="paragraph" w:styleId="TOC3">
    <w:name w:val="toc 3"/>
    <w:basedOn w:val="Normal"/>
    <w:next w:val="Normal"/>
    <w:autoRedefine/>
    <w:uiPriority w:val="39"/>
    <w:unhideWhenUsed/>
    <w:rsid w:val="00FD639B"/>
    <w:pPr>
      <w:spacing w:after="100"/>
      <w:ind w:left="440"/>
    </w:pPr>
  </w:style>
  <w:style w:type="character" w:styleId="Hyperlink">
    <w:name w:val="Hyperlink"/>
    <w:basedOn w:val="DefaultParagraphFont"/>
    <w:uiPriority w:val="99"/>
    <w:unhideWhenUsed/>
    <w:rsid w:val="00FD639B"/>
    <w:rPr>
      <w:color w:val="0563C1" w:themeColor="hyperlink"/>
      <w:u w:val="single"/>
    </w:rPr>
  </w:style>
  <w:style w:type="paragraph" w:styleId="Header">
    <w:name w:val="header"/>
    <w:basedOn w:val="Normal"/>
    <w:link w:val="HeaderChar"/>
    <w:uiPriority w:val="99"/>
    <w:unhideWhenUsed/>
    <w:rsid w:val="00B62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454"/>
  </w:style>
  <w:style w:type="paragraph" w:styleId="Footer">
    <w:name w:val="footer"/>
    <w:basedOn w:val="Normal"/>
    <w:link w:val="FooterChar"/>
    <w:uiPriority w:val="99"/>
    <w:unhideWhenUsed/>
    <w:rsid w:val="00B62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454"/>
  </w:style>
  <w:style w:type="character" w:customStyle="1" w:styleId="normaltextrun">
    <w:name w:val="normaltextrun"/>
    <w:basedOn w:val="DefaultParagraphFont"/>
    <w:rsid w:val="00F61431"/>
  </w:style>
  <w:style w:type="character" w:customStyle="1" w:styleId="eop">
    <w:name w:val="eop"/>
    <w:basedOn w:val="DefaultParagraphFont"/>
    <w:rsid w:val="00F61431"/>
  </w:style>
  <w:style w:type="paragraph" w:customStyle="1" w:styleId="paragraph">
    <w:name w:val="paragraph"/>
    <w:basedOn w:val="Normal"/>
    <w:rsid w:val="00F61431"/>
    <w:pPr>
      <w:spacing w:before="100" w:beforeAutospacing="1" w:after="100" w:afterAutospacing="1" w:line="240" w:lineRule="auto"/>
    </w:pPr>
    <w:rPr>
      <w:rFonts w:ascii="Times New Roman" w:eastAsia="Times New Roman" w:hAnsi="Times New Roman" w:cs="Times New Roman"/>
      <w:sz w:val="24"/>
      <w:szCs w:val="24"/>
      <w:lang w:val="en-AU"/>
    </w:rPr>
  </w:style>
  <w:style w:type="paragraph" w:styleId="NormalWeb">
    <w:name w:val="Normal (Web)"/>
    <w:basedOn w:val="Normal"/>
    <w:uiPriority w:val="99"/>
    <w:unhideWhenUsed/>
    <w:rsid w:val="003F371A"/>
    <w:pPr>
      <w:spacing w:after="0" w:line="240" w:lineRule="auto"/>
    </w:pPr>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D0604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0604A"/>
    <w:rPr>
      <w:rFonts w:ascii="Lucida Grande" w:hAnsi="Lucida Grande" w:cs="Lucida Grande"/>
      <w:sz w:val="24"/>
      <w:szCs w:val="24"/>
    </w:rPr>
  </w:style>
  <w:style w:type="character" w:customStyle="1" w:styleId="st">
    <w:name w:val="st"/>
    <w:basedOn w:val="DefaultParagraphFont"/>
    <w:rsid w:val="0063365D"/>
  </w:style>
  <w:style w:type="character" w:customStyle="1" w:styleId="UnresolvedMention1">
    <w:name w:val="Unresolved Mention1"/>
    <w:basedOn w:val="DefaultParagraphFont"/>
    <w:uiPriority w:val="99"/>
    <w:semiHidden/>
    <w:unhideWhenUsed/>
    <w:rsid w:val="00787E11"/>
    <w:rPr>
      <w:color w:val="808080"/>
      <w:shd w:val="clear" w:color="auto" w:fill="E6E6E6"/>
    </w:rPr>
  </w:style>
  <w:style w:type="character" w:customStyle="1" w:styleId="a1">
    <w:name w:val="a1"/>
    <w:basedOn w:val="DefaultParagraphFont"/>
    <w:rsid w:val="00166339"/>
    <w:rPr>
      <w:rFonts w:ascii="Times New Roman" w:hAnsi="Times New Roman" w:cs="Times New Roman" w:hint="default"/>
      <w:b w:val="0"/>
      <w:bCs w:val="0"/>
      <w:i w:val="0"/>
      <w:iCs w:val="0"/>
      <w:bdr w:val="none" w:sz="0" w:space="0" w:color="auto" w:frame="1"/>
    </w:rPr>
  </w:style>
  <w:style w:type="character" w:customStyle="1" w:styleId="ListParagraphChar">
    <w:name w:val="List Paragraph Char"/>
    <w:basedOn w:val="DefaultParagraphFont"/>
    <w:link w:val="ListParagraph"/>
    <w:uiPriority w:val="34"/>
    <w:locked/>
    <w:rsid w:val="00350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5433">
      <w:bodyDiv w:val="1"/>
      <w:marLeft w:val="0"/>
      <w:marRight w:val="0"/>
      <w:marTop w:val="0"/>
      <w:marBottom w:val="0"/>
      <w:divBdr>
        <w:top w:val="none" w:sz="0" w:space="0" w:color="auto"/>
        <w:left w:val="none" w:sz="0" w:space="0" w:color="auto"/>
        <w:bottom w:val="none" w:sz="0" w:space="0" w:color="auto"/>
        <w:right w:val="none" w:sz="0" w:space="0" w:color="auto"/>
      </w:divBdr>
    </w:div>
    <w:div w:id="569853458">
      <w:bodyDiv w:val="1"/>
      <w:marLeft w:val="0"/>
      <w:marRight w:val="0"/>
      <w:marTop w:val="0"/>
      <w:marBottom w:val="0"/>
      <w:divBdr>
        <w:top w:val="none" w:sz="0" w:space="0" w:color="auto"/>
        <w:left w:val="none" w:sz="0" w:space="0" w:color="auto"/>
        <w:bottom w:val="none" w:sz="0" w:space="0" w:color="auto"/>
        <w:right w:val="none" w:sz="0" w:space="0" w:color="auto"/>
      </w:divBdr>
    </w:div>
    <w:div w:id="964507403">
      <w:bodyDiv w:val="1"/>
      <w:marLeft w:val="0"/>
      <w:marRight w:val="0"/>
      <w:marTop w:val="0"/>
      <w:marBottom w:val="0"/>
      <w:divBdr>
        <w:top w:val="none" w:sz="0" w:space="0" w:color="auto"/>
        <w:left w:val="none" w:sz="0" w:space="0" w:color="auto"/>
        <w:bottom w:val="none" w:sz="0" w:space="0" w:color="auto"/>
        <w:right w:val="none" w:sz="0" w:space="0" w:color="auto"/>
      </w:divBdr>
    </w:div>
    <w:div w:id="1374768963">
      <w:bodyDiv w:val="1"/>
      <w:marLeft w:val="0"/>
      <w:marRight w:val="0"/>
      <w:marTop w:val="0"/>
      <w:marBottom w:val="0"/>
      <w:divBdr>
        <w:top w:val="none" w:sz="0" w:space="0" w:color="auto"/>
        <w:left w:val="none" w:sz="0" w:space="0" w:color="auto"/>
        <w:bottom w:val="none" w:sz="0" w:space="0" w:color="auto"/>
        <w:right w:val="none" w:sz="0" w:space="0" w:color="auto"/>
      </w:divBdr>
    </w:div>
    <w:div w:id="1616935819">
      <w:bodyDiv w:val="1"/>
      <w:marLeft w:val="0"/>
      <w:marRight w:val="0"/>
      <w:marTop w:val="0"/>
      <w:marBottom w:val="0"/>
      <w:divBdr>
        <w:top w:val="none" w:sz="0" w:space="0" w:color="auto"/>
        <w:left w:val="none" w:sz="0" w:space="0" w:color="auto"/>
        <w:bottom w:val="none" w:sz="0" w:space="0" w:color="auto"/>
        <w:right w:val="none" w:sz="0" w:space="0" w:color="auto"/>
      </w:divBdr>
    </w:div>
    <w:div w:id="16753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cnnindonesia.com/ekonomi/20180409171951-532-289503/jokowi-pertanyakan-penelitian-k-l-yang-habiskan-rp249-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E47F78-F9B7-41D6-8CB9-2340C38C3074}"/>
</file>

<file path=customXml/itemProps2.xml><?xml version="1.0" encoding="utf-8"?>
<ds:datastoreItem xmlns:ds="http://schemas.openxmlformats.org/officeDocument/2006/customXml" ds:itemID="{D3FB0337-E21C-49FC-9A89-B924CD97F0F4}"/>
</file>

<file path=customXml/itemProps3.xml><?xml version="1.0" encoding="utf-8"?>
<ds:datastoreItem xmlns:ds="http://schemas.openxmlformats.org/officeDocument/2006/customXml" ds:itemID="{3954F1F9-B708-44D4-9861-2A02696FE49B}"/>
</file>

<file path=customXml/itemProps4.xml><?xml version="1.0" encoding="utf-8"?>
<ds:datastoreItem xmlns:ds="http://schemas.openxmlformats.org/officeDocument/2006/customXml" ds:itemID="{1DA1EF59-A298-4C4F-8BC5-F60AB4181EA1}"/>
</file>

<file path=docProps/app.xml><?xml version="1.0" encoding="utf-8"?>
<Properties xmlns="http://schemas.openxmlformats.org/officeDocument/2006/extended-properties" xmlns:vt="http://schemas.openxmlformats.org/officeDocument/2006/docPropsVTypes">
  <Template>Normal.dotm</Template>
  <TotalTime>0</TotalTime>
  <Pages>46</Pages>
  <Words>16906</Words>
  <Characters>96369</Characters>
  <Application>Microsoft Office Word</Application>
  <DocSecurity>0</DocSecurity>
  <Lines>803</Lines>
  <Paragraphs>226</Paragraphs>
  <ScaleCrop>false</ScaleCrop>
  <Company/>
  <LinksUpToDate>false</LinksUpToDate>
  <CharactersWithSpaces>113049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2019-02-18T00:44:00Z</dcterms:created>
  <dcterms:modified xsi:type="dcterms:W3CDTF">2019-02-18T00:44:00Z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ce09170f-952e-4b1a-814b-7980d5f3b4a7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1229700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