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2A" w:rsidRPr="000A7024" w:rsidRDefault="001D12EF" w:rsidP="003D3ACC">
      <w:pPr>
        <w:pStyle w:val="Title"/>
      </w:pPr>
      <w:bookmarkStart w:id="0" w:name="_GoBack"/>
      <w:bookmarkEnd w:id="0"/>
      <w:r w:rsidRPr="000A7024">
        <w:t xml:space="preserve">Management Response – </w:t>
      </w:r>
      <w:r w:rsidR="00D662E0" w:rsidRPr="000A7024">
        <w:t>I</w:t>
      </w:r>
      <w:r w:rsidR="00D662E0">
        <w:t>ndonesia Infrastructure Initiative (I</w:t>
      </w:r>
      <w:r w:rsidRPr="000A7024">
        <w:t>ndII</w:t>
      </w:r>
      <w:r w:rsidR="00D662E0">
        <w:t>)</w:t>
      </w:r>
      <w:r w:rsidRPr="000A7024">
        <w:t xml:space="preserve"> I</w:t>
      </w:r>
      <w:r w:rsidR="000F209C">
        <w:t>mpact Assessment Team</w:t>
      </w:r>
      <w:r w:rsidR="001E670B">
        <w:t xml:space="preserve"> (IAT)</w:t>
      </w:r>
      <w:r w:rsidR="000F209C">
        <w:t>, Mission 2</w:t>
      </w:r>
    </w:p>
    <w:p w:rsidR="00F148D4" w:rsidRDefault="00490087" w:rsidP="00A25769">
      <w:pPr>
        <w:pStyle w:val="Heading1"/>
      </w:pPr>
      <w:r>
        <w:t>Background:</w:t>
      </w:r>
    </w:p>
    <w:p w:rsidR="00DF11DF" w:rsidRDefault="00490087" w:rsidP="003A4F6E">
      <w:pPr>
        <w:spacing w:before="120" w:after="0" w:line="240" w:lineRule="auto"/>
      </w:pPr>
      <w:r>
        <w:t xml:space="preserve">The second IAT mission was conducted between 19 August to 8 September 2014. </w:t>
      </w:r>
      <w:r w:rsidR="00DF11DF">
        <w:t>The same three consultants</w:t>
      </w:r>
      <w:r w:rsidR="00CA730D">
        <w:t xml:space="preserve"> </w:t>
      </w:r>
      <w:r w:rsidR="00DF11DF">
        <w:t xml:space="preserve">who conducted the first IAT mission, returned for the second mission. </w:t>
      </w:r>
    </w:p>
    <w:p w:rsidR="0005124A" w:rsidRDefault="00ED3972" w:rsidP="00490087">
      <w:pPr>
        <w:spacing w:before="120" w:after="0" w:line="240" w:lineRule="auto"/>
      </w:pPr>
      <w:r>
        <w:t>DFAT’s focus for the second IAT mission was to document the achievements and lessons learned from the current phase of IndII to inform the designs of Australia</w:t>
      </w:r>
      <w:r w:rsidR="00CA730D">
        <w:t>’s next I</w:t>
      </w:r>
      <w:r>
        <w:t xml:space="preserve">nfrastructure </w:t>
      </w:r>
      <w:r w:rsidR="00CA730D">
        <w:t>S</w:t>
      </w:r>
      <w:r>
        <w:t>upport and Performance Monitoring program</w:t>
      </w:r>
      <w:r w:rsidR="00CA730D">
        <w:t>s</w:t>
      </w:r>
      <w:r>
        <w:t xml:space="preserve">. </w:t>
      </w:r>
      <w:r w:rsidR="00490087">
        <w:t>As such, the</w:t>
      </w:r>
      <w:r w:rsidR="00BA18A4">
        <w:t xml:space="preserve"> second mission comprised of t</w:t>
      </w:r>
      <w:r w:rsidR="00490087">
        <w:t>wo key evaluation questions. The first evaluation question requested the IAT to identify what Australia ha</w:t>
      </w:r>
      <w:r>
        <w:t>d</w:t>
      </w:r>
      <w:r w:rsidR="00490087">
        <w:t xml:space="preserve"> been able to leverage and influence in its key policies and grants programs and how internal and external factors influenced these efforts. The second evaluation question focused on outlining what lessons ha</w:t>
      </w:r>
      <w:r>
        <w:t>d</w:t>
      </w:r>
      <w:r w:rsidR="00490087">
        <w:t xml:space="preserve"> been learned from the implementation of IndII’s</w:t>
      </w:r>
      <w:r w:rsidR="00A25769">
        <w:t xml:space="preserve"> monitoring and evaluation (</w:t>
      </w:r>
      <w:r w:rsidR="00490087">
        <w:t>M&amp;E</w:t>
      </w:r>
      <w:r w:rsidR="00A25769">
        <w:t>)</w:t>
      </w:r>
      <w:r w:rsidR="00490087">
        <w:t xml:space="preserve"> framework. </w:t>
      </w:r>
      <w:r>
        <w:t>The IAT was also requested to assess progress on the recommendations made in their first IAT report.</w:t>
      </w:r>
    </w:p>
    <w:p w:rsidR="005E6A35" w:rsidRDefault="005E6A35" w:rsidP="005E6A35">
      <w:pPr>
        <w:spacing w:before="120" w:after="0" w:line="240" w:lineRule="auto"/>
      </w:pPr>
      <w:r>
        <w:t>The final IAT report was accepted by DFAT on 1 April 2015. This final report addresses DFAT’s concerns and comments</w:t>
      </w:r>
      <w:r w:rsidR="00B76A03">
        <w:t xml:space="preserve"> raised</w:t>
      </w:r>
      <w:r>
        <w:t xml:space="preserve"> on earlier versions of the report.</w:t>
      </w:r>
      <w:r w:rsidR="00B76A03">
        <w:t xml:space="preserve"> This management response was finalised in June 2015. </w:t>
      </w:r>
    </w:p>
    <w:p w:rsidR="003D3ACC" w:rsidRDefault="003D3ACC" w:rsidP="003D3ACC">
      <w:pPr>
        <w:pStyle w:val="Heading1"/>
      </w:pPr>
      <w:r>
        <w:t>Response to Findings:</w:t>
      </w:r>
    </w:p>
    <w:p w:rsidR="003D3ACC" w:rsidRPr="00583FEA" w:rsidRDefault="003D3ACC" w:rsidP="003A4F6E">
      <w:pPr>
        <w:spacing w:before="120"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991"/>
      </w:tblGrid>
      <w:tr w:rsidR="003C5A2A" w:rsidRPr="00BA2EDF" w:rsidTr="00122504">
        <w:trPr>
          <w:trHeight w:val="6144"/>
        </w:trPr>
        <w:tc>
          <w:tcPr>
            <w:tcW w:w="534" w:type="dxa"/>
          </w:tcPr>
          <w:p w:rsidR="003C5A2A" w:rsidRPr="00BA2EDF" w:rsidRDefault="003C5A2A" w:rsidP="008D1E92">
            <w:pPr>
              <w:pStyle w:val="Heading2"/>
              <w:numPr>
                <w:ilvl w:val="0"/>
                <w:numId w:val="0"/>
              </w:numPr>
              <w:pBdr>
                <w:bottom w:val="none" w:sz="0" w:space="0" w:color="auto"/>
              </w:pBdr>
              <w:spacing w:before="120" w:after="0"/>
              <w:jc w:val="center"/>
              <w:rPr>
                <w:rFonts w:asciiTheme="minorHAnsi" w:hAnsiTheme="minorHAnsi" w:cstheme="minorHAnsi"/>
                <w:b w:val="0"/>
                <w:color w:val="auto"/>
                <w:sz w:val="22"/>
                <w:szCs w:val="22"/>
                <w:lang w:val="en-GB"/>
              </w:rPr>
            </w:pPr>
            <w:r w:rsidRPr="00BA2EDF">
              <w:rPr>
                <w:rFonts w:asciiTheme="minorHAnsi" w:hAnsiTheme="minorHAnsi" w:cstheme="minorHAnsi"/>
                <w:b w:val="0"/>
                <w:color w:val="auto"/>
                <w:sz w:val="22"/>
                <w:szCs w:val="22"/>
                <w:lang w:val="en-GB"/>
              </w:rPr>
              <w:t>1</w:t>
            </w:r>
          </w:p>
        </w:tc>
        <w:tc>
          <w:tcPr>
            <w:tcW w:w="7991" w:type="dxa"/>
          </w:tcPr>
          <w:p w:rsidR="00F95376" w:rsidRDefault="00F95376" w:rsidP="008D1E92">
            <w:pPr>
              <w:spacing w:before="120" w:after="0" w:line="240" w:lineRule="auto"/>
              <w:rPr>
                <w:rFonts w:cstheme="minorHAnsi"/>
              </w:rPr>
            </w:pPr>
            <w:r w:rsidRPr="00BA2EDF">
              <w:rPr>
                <w:rFonts w:cstheme="minorHAnsi"/>
              </w:rPr>
              <w:t>IndII should explore more creative ways to ‘socialise’ (promote and explain) the sAIIG and build demand at local government level. A more comprehensive local government engagement strategy could help to improve uptake and expenditure of the sAIIG; and it would likely yield valuable lessons for a new phase of infrastructure investment by DFAT, if such a future program aims to influence local government implementation of public works</w:t>
            </w:r>
            <w:r w:rsidR="00FD0932">
              <w:rPr>
                <w:rFonts w:cstheme="minorHAnsi"/>
              </w:rPr>
              <w:t>.</w:t>
            </w:r>
          </w:p>
          <w:p w:rsidR="00FD0932" w:rsidRPr="00BA2EDF" w:rsidRDefault="00FD0932" w:rsidP="008D1E92">
            <w:pPr>
              <w:spacing w:before="120" w:after="0" w:line="240" w:lineRule="auto"/>
              <w:rPr>
                <w:rFonts w:cstheme="minorHAnsi"/>
              </w:rPr>
            </w:pPr>
          </w:p>
          <w:p w:rsidR="00D03DB0" w:rsidRPr="00FD0932" w:rsidRDefault="006B0C42" w:rsidP="008D1E92">
            <w:pPr>
              <w:pStyle w:val="Heading2"/>
              <w:numPr>
                <w:ilvl w:val="0"/>
                <w:numId w:val="0"/>
              </w:numPr>
              <w:pBdr>
                <w:bottom w:val="none" w:sz="0" w:space="0" w:color="auto"/>
              </w:pBdr>
              <w:spacing w:before="120" w:after="0"/>
              <w:rPr>
                <w:rFonts w:asciiTheme="minorHAnsi" w:hAnsiTheme="minorHAnsi" w:cstheme="minorHAnsi"/>
                <w:i/>
                <w:caps w:val="0"/>
                <w:color w:val="1F497D" w:themeColor="text2"/>
                <w:sz w:val="22"/>
                <w:szCs w:val="22"/>
                <w:lang w:val="en-GB"/>
              </w:rPr>
            </w:pPr>
            <w:r w:rsidRPr="00FD0932">
              <w:rPr>
                <w:rFonts w:asciiTheme="minorHAnsi" w:hAnsiTheme="minorHAnsi" w:cstheme="minorHAnsi"/>
                <w:i/>
                <w:caps w:val="0"/>
                <w:color w:val="1F497D" w:themeColor="text2"/>
                <w:sz w:val="22"/>
                <w:szCs w:val="22"/>
                <w:lang w:val="en-GB"/>
              </w:rPr>
              <w:t>Accepted</w:t>
            </w:r>
            <w:r w:rsidR="00D03DB0" w:rsidRPr="00FD0932">
              <w:rPr>
                <w:rFonts w:asciiTheme="minorHAnsi" w:hAnsiTheme="minorHAnsi" w:cstheme="minorHAnsi"/>
                <w:i/>
                <w:caps w:val="0"/>
                <w:color w:val="1F497D" w:themeColor="text2"/>
                <w:sz w:val="22"/>
                <w:szCs w:val="22"/>
                <w:lang w:val="en-GB"/>
              </w:rPr>
              <w:t>.</w:t>
            </w:r>
            <w:r w:rsidR="00412E55">
              <w:rPr>
                <w:rFonts w:asciiTheme="minorHAnsi" w:hAnsiTheme="minorHAnsi" w:cstheme="minorHAnsi"/>
                <w:i/>
                <w:caps w:val="0"/>
                <w:color w:val="1F497D" w:themeColor="text2"/>
                <w:sz w:val="22"/>
                <w:szCs w:val="22"/>
                <w:lang w:val="en-GB"/>
              </w:rPr>
              <w:t xml:space="preserve"> Implemented. </w:t>
            </w:r>
          </w:p>
          <w:p w:rsidR="006153B3" w:rsidRPr="00FD0932" w:rsidRDefault="006153B3" w:rsidP="008D1E92">
            <w:pPr>
              <w:pStyle w:val="Heading2"/>
              <w:numPr>
                <w:ilvl w:val="0"/>
                <w:numId w:val="0"/>
              </w:numPr>
              <w:pBdr>
                <w:bottom w:val="none" w:sz="0" w:space="0" w:color="auto"/>
              </w:pBdr>
              <w:spacing w:before="120" w:after="0"/>
              <w:rPr>
                <w:rFonts w:asciiTheme="minorHAnsi" w:hAnsiTheme="minorHAnsi" w:cstheme="minorHAnsi"/>
                <w:b w:val="0"/>
                <w:i/>
                <w:caps w:val="0"/>
                <w:color w:val="1F497D" w:themeColor="text2"/>
                <w:sz w:val="22"/>
                <w:szCs w:val="22"/>
                <w:lang w:val="en-GB"/>
              </w:rPr>
            </w:pPr>
            <w:r w:rsidRPr="00FD0932">
              <w:rPr>
                <w:rFonts w:asciiTheme="minorHAnsi" w:hAnsiTheme="minorHAnsi" w:cstheme="minorHAnsi"/>
                <w:b w:val="0"/>
                <w:i/>
                <w:caps w:val="0"/>
                <w:color w:val="1F497D" w:themeColor="text2"/>
                <w:sz w:val="22"/>
                <w:szCs w:val="22"/>
                <w:lang w:val="en-GB"/>
              </w:rPr>
              <w:t>Since the IAT mission</w:t>
            </w:r>
            <w:r w:rsidR="00122504">
              <w:rPr>
                <w:rFonts w:asciiTheme="minorHAnsi" w:hAnsiTheme="minorHAnsi" w:cstheme="minorHAnsi"/>
                <w:b w:val="0"/>
                <w:i/>
                <w:caps w:val="0"/>
                <w:color w:val="1F497D" w:themeColor="text2"/>
                <w:sz w:val="22"/>
                <w:szCs w:val="22"/>
                <w:lang w:val="en-GB"/>
              </w:rPr>
              <w:t xml:space="preserve"> in September 2014</w:t>
            </w:r>
            <w:r w:rsidRPr="00FD0932">
              <w:rPr>
                <w:rFonts w:asciiTheme="minorHAnsi" w:hAnsiTheme="minorHAnsi" w:cstheme="minorHAnsi"/>
                <w:b w:val="0"/>
                <w:i/>
                <w:caps w:val="0"/>
                <w:color w:val="1F497D" w:themeColor="text2"/>
                <w:sz w:val="22"/>
                <w:szCs w:val="22"/>
                <w:lang w:val="en-GB"/>
              </w:rPr>
              <w:t>, IndII has implemented a public diplomacy and outreach campaign in eight local governments that has involved Mayors and/or their Deputies, senior officials and thousands of school students. IndII has also participated in television talk show</w:t>
            </w:r>
            <w:r w:rsidR="00122504">
              <w:rPr>
                <w:rFonts w:asciiTheme="minorHAnsi" w:hAnsiTheme="minorHAnsi" w:cstheme="minorHAnsi"/>
                <w:b w:val="0"/>
                <w:i/>
                <w:caps w:val="0"/>
                <w:color w:val="1F497D" w:themeColor="text2"/>
                <w:sz w:val="22"/>
                <w:szCs w:val="22"/>
                <w:lang w:val="en-GB"/>
              </w:rPr>
              <w:t>s</w:t>
            </w:r>
            <w:r w:rsidRPr="00FD0932">
              <w:rPr>
                <w:rFonts w:asciiTheme="minorHAnsi" w:hAnsiTheme="minorHAnsi" w:cstheme="minorHAnsi"/>
                <w:b w:val="0"/>
                <w:i/>
                <w:caps w:val="0"/>
                <w:color w:val="1F497D" w:themeColor="text2"/>
                <w:sz w:val="22"/>
                <w:szCs w:val="22"/>
                <w:lang w:val="en-GB"/>
              </w:rPr>
              <w:t xml:space="preserve"> promoting the sAIIG program. The impact of this public diplomacy program will be evaluated by IndII through interviews, surveys and tracking of media coverage.  </w:t>
            </w:r>
          </w:p>
          <w:p w:rsidR="00412E55" w:rsidRPr="00412E55" w:rsidRDefault="006153B3" w:rsidP="008D1E92">
            <w:pPr>
              <w:pStyle w:val="Heading2"/>
              <w:numPr>
                <w:ilvl w:val="0"/>
                <w:numId w:val="0"/>
              </w:numPr>
              <w:pBdr>
                <w:bottom w:val="none" w:sz="0" w:space="0" w:color="auto"/>
              </w:pBdr>
              <w:spacing w:before="120" w:after="0"/>
              <w:rPr>
                <w:rFonts w:asciiTheme="minorHAnsi" w:hAnsiTheme="minorHAnsi" w:cstheme="minorHAnsi"/>
                <w:b w:val="0"/>
                <w:i/>
                <w:caps w:val="0"/>
                <w:color w:val="1F497D" w:themeColor="text2"/>
                <w:sz w:val="22"/>
                <w:szCs w:val="22"/>
                <w:lang w:val="en-GB"/>
              </w:rPr>
            </w:pPr>
            <w:r w:rsidRPr="00FD0932">
              <w:rPr>
                <w:rFonts w:asciiTheme="minorHAnsi" w:hAnsiTheme="minorHAnsi" w:cstheme="minorHAnsi"/>
                <w:b w:val="0"/>
                <w:i/>
                <w:caps w:val="0"/>
                <w:color w:val="1F497D" w:themeColor="text2"/>
                <w:sz w:val="22"/>
                <w:szCs w:val="22"/>
                <w:lang w:val="en-GB"/>
              </w:rPr>
              <w:t xml:space="preserve">Moving forward, </w:t>
            </w:r>
            <w:r w:rsidR="00326821" w:rsidRPr="00FD0932">
              <w:rPr>
                <w:rFonts w:asciiTheme="minorHAnsi" w:hAnsiTheme="minorHAnsi" w:cstheme="minorHAnsi"/>
                <w:b w:val="0"/>
                <w:i/>
                <w:caps w:val="0"/>
                <w:color w:val="1F497D" w:themeColor="text2"/>
                <w:sz w:val="22"/>
                <w:szCs w:val="22"/>
                <w:lang w:val="en-GB"/>
              </w:rPr>
              <w:t xml:space="preserve">DFAT will work with IndII to explore other options for building demand at the local government level, including increasing the role of the Ministry of Public Works </w:t>
            </w:r>
            <w:r w:rsidR="00122504">
              <w:rPr>
                <w:rFonts w:asciiTheme="minorHAnsi" w:hAnsiTheme="minorHAnsi" w:cstheme="minorHAnsi"/>
                <w:b w:val="0"/>
                <w:i/>
                <w:caps w:val="0"/>
                <w:color w:val="1F497D" w:themeColor="text2"/>
                <w:sz w:val="22"/>
                <w:szCs w:val="22"/>
                <w:lang w:val="en-GB"/>
              </w:rPr>
              <w:t>to promote</w:t>
            </w:r>
            <w:r w:rsidR="00326821" w:rsidRPr="00FD0932">
              <w:rPr>
                <w:rFonts w:asciiTheme="minorHAnsi" w:hAnsiTheme="minorHAnsi" w:cstheme="minorHAnsi"/>
                <w:b w:val="0"/>
                <w:i/>
                <w:caps w:val="0"/>
                <w:color w:val="1F497D" w:themeColor="text2"/>
                <w:sz w:val="22"/>
                <w:szCs w:val="22"/>
                <w:lang w:val="en-GB"/>
              </w:rPr>
              <w:t xml:space="preserve"> the program</w:t>
            </w:r>
            <w:r w:rsidR="00581646" w:rsidRPr="00FD0932">
              <w:rPr>
                <w:rFonts w:asciiTheme="minorHAnsi" w:hAnsiTheme="minorHAnsi" w:cstheme="minorHAnsi"/>
                <w:b w:val="0"/>
                <w:i/>
                <w:caps w:val="0"/>
                <w:color w:val="1F497D" w:themeColor="text2"/>
                <w:sz w:val="22"/>
                <w:szCs w:val="22"/>
                <w:lang w:val="en-GB"/>
              </w:rPr>
              <w:t xml:space="preserve"> to local governments</w:t>
            </w:r>
            <w:r w:rsidR="00326821" w:rsidRPr="00FD0932">
              <w:rPr>
                <w:rFonts w:asciiTheme="minorHAnsi" w:hAnsiTheme="minorHAnsi" w:cstheme="minorHAnsi"/>
                <w:b w:val="0"/>
                <w:i/>
                <w:caps w:val="0"/>
                <w:color w:val="1F497D" w:themeColor="text2"/>
                <w:sz w:val="22"/>
                <w:szCs w:val="22"/>
                <w:lang w:val="en-GB"/>
              </w:rPr>
              <w:t xml:space="preserve"> as part of its efforts to achieve the 2019 universal access goal. </w:t>
            </w:r>
          </w:p>
        </w:tc>
      </w:tr>
      <w:tr w:rsidR="003C5A2A" w:rsidRPr="00BA2EDF" w:rsidTr="002F49DA">
        <w:trPr>
          <w:trHeight w:val="4385"/>
        </w:trPr>
        <w:tc>
          <w:tcPr>
            <w:tcW w:w="534" w:type="dxa"/>
          </w:tcPr>
          <w:p w:rsidR="003C5A2A" w:rsidRPr="00BA2EDF" w:rsidRDefault="003C5A2A" w:rsidP="008D1E92">
            <w:pPr>
              <w:spacing w:before="120" w:after="0" w:line="240" w:lineRule="auto"/>
              <w:rPr>
                <w:lang w:val="en-GB"/>
              </w:rPr>
            </w:pPr>
            <w:r w:rsidRPr="00BA2EDF">
              <w:rPr>
                <w:lang w:val="en-GB"/>
              </w:rPr>
              <w:lastRenderedPageBreak/>
              <w:t>2</w:t>
            </w:r>
          </w:p>
        </w:tc>
        <w:tc>
          <w:tcPr>
            <w:tcW w:w="7991" w:type="dxa"/>
          </w:tcPr>
          <w:p w:rsidR="00F95376" w:rsidRPr="00BA2EDF" w:rsidRDefault="00F95376" w:rsidP="008D1E92">
            <w:pPr>
              <w:spacing w:before="120" w:after="0" w:line="240" w:lineRule="auto"/>
            </w:pPr>
            <w:r w:rsidRPr="00BA2EDF">
              <w:t>IndII should study the most viable and sustainable institutional arrangements for local governments to administer sanitation services, and develop a package of support to help LGs to implement the preferred arrangements. Such clarity will be of particular relevance in focusing any future DFAT support in the sanitation sector.</w:t>
            </w:r>
          </w:p>
          <w:p w:rsidR="00FD0932" w:rsidRDefault="00FD0932" w:rsidP="008D1E92">
            <w:pPr>
              <w:spacing w:before="120" w:after="0" w:line="240" w:lineRule="auto"/>
              <w:rPr>
                <w:b/>
                <w:color w:val="4F81BD" w:themeColor="accent1"/>
                <w:lang w:val="en-GB"/>
              </w:rPr>
            </w:pPr>
          </w:p>
          <w:p w:rsidR="00D03DB0" w:rsidRPr="00FD0932" w:rsidRDefault="00D03DB0" w:rsidP="008D1E92">
            <w:pPr>
              <w:spacing w:before="120" w:after="0" w:line="240" w:lineRule="auto"/>
              <w:rPr>
                <w:b/>
                <w:i/>
                <w:caps/>
                <w:color w:val="1F497D" w:themeColor="text2"/>
                <w:lang w:val="en-GB"/>
              </w:rPr>
            </w:pPr>
            <w:r w:rsidRPr="00FD0932">
              <w:rPr>
                <w:b/>
                <w:i/>
                <w:color w:val="1F497D" w:themeColor="text2"/>
                <w:lang w:val="en-GB"/>
              </w:rPr>
              <w:t>Accepted</w:t>
            </w:r>
            <w:r w:rsidR="00231737" w:rsidRPr="00FD0932">
              <w:rPr>
                <w:b/>
                <w:i/>
                <w:color w:val="1F497D" w:themeColor="text2"/>
                <w:lang w:val="en-GB"/>
              </w:rPr>
              <w:t>.</w:t>
            </w:r>
            <w:r w:rsidR="00412E55">
              <w:rPr>
                <w:b/>
                <w:i/>
                <w:color w:val="1F497D" w:themeColor="text2"/>
                <w:lang w:val="en-GB"/>
              </w:rPr>
              <w:t xml:space="preserve"> Implemented. </w:t>
            </w:r>
          </w:p>
          <w:p w:rsidR="002D45F5" w:rsidRPr="00FD0932" w:rsidRDefault="00FD0932" w:rsidP="008D1E92">
            <w:pPr>
              <w:spacing w:before="120" w:after="0" w:line="240" w:lineRule="auto"/>
              <w:rPr>
                <w:i/>
                <w:color w:val="1F497D" w:themeColor="text2"/>
                <w:lang w:val="en-GB"/>
              </w:rPr>
            </w:pPr>
            <w:r w:rsidRPr="00FD0932">
              <w:rPr>
                <w:i/>
                <w:color w:val="1F497D" w:themeColor="text2"/>
                <w:lang w:val="en-GB"/>
              </w:rPr>
              <w:t>A</w:t>
            </w:r>
            <w:r w:rsidR="00281BE3" w:rsidRPr="00FD0932">
              <w:rPr>
                <w:i/>
                <w:color w:val="1F497D" w:themeColor="text2"/>
                <w:lang w:val="en-GB"/>
              </w:rPr>
              <w:t xml:space="preserve"> package of su</w:t>
            </w:r>
            <w:r w:rsidRPr="00FD0932">
              <w:rPr>
                <w:i/>
                <w:color w:val="1F497D" w:themeColor="text2"/>
                <w:lang w:val="en-GB"/>
              </w:rPr>
              <w:t>pport to help local governments</w:t>
            </w:r>
            <w:r w:rsidR="002D45F5" w:rsidRPr="00FD0932">
              <w:rPr>
                <w:i/>
                <w:color w:val="1F497D" w:themeColor="text2"/>
                <w:lang w:val="en-GB"/>
              </w:rPr>
              <w:t xml:space="preserve"> is being </w:t>
            </w:r>
            <w:r w:rsidR="00281BE3" w:rsidRPr="00FD0932">
              <w:rPr>
                <w:i/>
                <w:color w:val="1F497D" w:themeColor="text2"/>
                <w:lang w:val="en-GB"/>
              </w:rPr>
              <w:t>implemented</w:t>
            </w:r>
            <w:r w:rsidR="002D45F5" w:rsidRPr="00FD0932">
              <w:rPr>
                <w:i/>
                <w:color w:val="1F497D" w:themeColor="text2"/>
                <w:lang w:val="en-GB"/>
              </w:rPr>
              <w:t xml:space="preserve">. IndII consultants working in the sAIIG program provide advice to local governments on their institutional options, including the pros and cons of each option. </w:t>
            </w:r>
            <w:r w:rsidR="00281BE3" w:rsidRPr="00FD0932">
              <w:rPr>
                <w:i/>
                <w:color w:val="1F497D" w:themeColor="text2"/>
                <w:lang w:val="en-GB"/>
              </w:rPr>
              <w:t xml:space="preserve">This advice is based on the premise that each local government is different, with different sector plans/goals, different levels of demand from the community and many other different variables. Once an arrangement has been selected by a local government, it is supported by sAIIG consultants. </w:t>
            </w:r>
            <w:r w:rsidR="007B2E07">
              <w:rPr>
                <w:i/>
                <w:color w:val="1F497D" w:themeColor="text2"/>
                <w:lang w:val="en-GB"/>
              </w:rPr>
              <w:t>An independent evaluation will be undertaken on the sAIIG program in the second half of 2015 and DFAT will consider including an evaluation question on the institutional issues in sAIIG.</w:t>
            </w:r>
          </w:p>
          <w:p w:rsidR="006E62DD" w:rsidRPr="00BA2EDF" w:rsidRDefault="006E62DD" w:rsidP="008D1E92">
            <w:pPr>
              <w:spacing w:before="120" w:after="0" w:line="240" w:lineRule="auto"/>
              <w:rPr>
                <w:caps/>
                <w:color w:val="548DD4" w:themeColor="text2" w:themeTint="99"/>
                <w:lang w:val="en-GB"/>
              </w:rPr>
            </w:pPr>
          </w:p>
        </w:tc>
      </w:tr>
      <w:tr w:rsidR="003C5A2A" w:rsidRPr="00BA2EDF" w:rsidTr="00F05662">
        <w:trPr>
          <w:trHeight w:val="3960"/>
        </w:trPr>
        <w:tc>
          <w:tcPr>
            <w:tcW w:w="534" w:type="dxa"/>
          </w:tcPr>
          <w:p w:rsidR="003C5A2A" w:rsidRPr="00BA2EDF" w:rsidRDefault="003C5A2A" w:rsidP="008D1E92">
            <w:pPr>
              <w:spacing w:before="120" w:after="0" w:line="240" w:lineRule="auto"/>
              <w:rPr>
                <w:lang w:val="en-GB"/>
              </w:rPr>
            </w:pPr>
            <w:r w:rsidRPr="00BA2EDF">
              <w:rPr>
                <w:lang w:val="en-GB"/>
              </w:rPr>
              <w:t>3</w:t>
            </w:r>
          </w:p>
        </w:tc>
        <w:tc>
          <w:tcPr>
            <w:tcW w:w="7991" w:type="dxa"/>
          </w:tcPr>
          <w:p w:rsidR="00BA2EDF" w:rsidRPr="00BA2EDF" w:rsidRDefault="00BA2EDF" w:rsidP="008D1E92">
            <w:pPr>
              <w:spacing w:before="120" w:after="0" w:line="240" w:lineRule="auto"/>
            </w:pPr>
            <w:r w:rsidRPr="00BA2EDF">
              <w:t>Given the successful ‘demonstration effect’ of IndII, DFAT should consider a progressive process to appropriately transition away from funding hibahs; and increasingly support GoI in rolling out its own performance-based systems rather than resourcing the mechanism directly.</w:t>
            </w:r>
          </w:p>
          <w:p w:rsidR="00BA2EDF" w:rsidRPr="00BA2EDF" w:rsidRDefault="00BA2EDF" w:rsidP="008D1E92">
            <w:pPr>
              <w:spacing w:before="120" w:after="0" w:line="240" w:lineRule="auto"/>
            </w:pPr>
          </w:p>
          <w:p w:rsidR="008B22D1" w:rsidRPr="00FD0932" w:rsidRDefault="00412E55" w:rsidP="008D1E92">
            <w:pPr>
              <w:spacing w:before="120" w:after="0" w:line="240" w:lineRule="auto"/>
              <w:rPr>
                <w:b/>
                <w:i/>
                <w:caps/>
                <w:color w:val="1F497D" w:themeColor="text2"/>
                <w:lang w:val="en-GB"/>
              </w:rPr>
            </w:pPr>
            <w:r>
              <w:rPr>
                <w:b/>
                <w:i/>
                <w:color w:val="1F497D" w:themeColor="text2"/>
                <w:lang w:val="en-GB"/>
              </w:rPr>
              <w:t xml:space="preserve">Accepted. In implementation. </w:t>
            </w:r>
          </w:p>
          <w:p w:rsidR="001A0298" w:rsidRPr="00FD0932" w:rsidRDefault="007B2E07" w:rsidP="008D1E92">
            <w:pPr>
              <w:spacing w:before="120" w:after="0" w:line="240" w:lineRule="auto"/>
              <w:rPr>
                <w:i/>
                <w:caps/>
                <w:color w:val="1F497D" w:themeColor="text2"/>
                <w:lang w:val="en-GB"/>
              </w:rPr>
            </w:pPr>
            <w:r>
              <w:rPr>
                <w:i/>
                <w:color w:val="1F497D" w:themeColor="text2"/>
                <w:lang w:val="en-GB"/>
              </w:rPr>
              <w:t xml:space="preserve">This is now happening with the Water and Sanitation Hibah program. </w:t>
            </w:r>
            <w:r w:rsidR="001A0298" w:rsidRPr="00FD0932">
              <w:rPr>
                <w:i/>
                <w:color w:val="1F497D" w:themeColor="text2"/>
                <w:lang w:val="en-GB"/>
              </w:rPr>
              <w:t>DFAT</w:t>
            </w:r>
            <w:r w:rsidR="00FD0932" w:rsidRPr="00FD0932">
              <w:rPr>
                <w:i/>
                <w:color w:val="1F497D" w:themeColor="text2"/>
                <w:lang w:val="en-GB"/>
              </w:rPr>
              <w:t>/IndII</w:t>
            </w:r>
            <w:r w:rsidR="001A0298" w:rsidRPr="00FD0932">
              <w:rPr>
                <w:i/>
                <w:color w:val="1F497D" w:themeColor="text2"/>
                <w:lang w:val="en-GB"/>
              </w:rPr>
              <w:t xml:space="preserve"> is </w:t>
            </w:r>
            <w:r w:rsidR="00003EDE" w:rsidRPr="00FD0932">
              <w:rPr>
                <w:i/>
                <w:color w:val="1F497D" w:themeColor="text2"/>
                <w:lang w:val="en-GB"/>
              </w:rPr>
              <w:t xml:space="preserve">providing technical assistance to </w:t>
            </w:r>
            <w:r w:rsidR="001A0298" w:rsidRPr="00FD0932">
              <w:rPr>
                <w:i/>
                <w:color w:val="1F497D" w:themeColor="text2"/>
                <w:lang w:val="en-GB"/>
              </w:rPr>
              <w:t>support the Government of Indonesia to pilot the Hibah mechanism with their own APBN funds in 2015 and to mainstream the mechanism into their budget processes starting from 2016. The Government intends to use this mechanism with water first, then sanitation before including other sectors.</w:t>
            </w:r>
            <w:r w:rsidR="00003EDE" w:rsidRPr="00FD0932">
              <w:rPr>
                <w:i/>
                <w:color w:val="1F497D" w:themeColor="text2"/>
                <w:lang w:val="en-GB"/>
              </w:rPr>
              <w:t xml:space="preserve"> </w:t>
            </w:r>
            <w:r w:rsidR="001A0298" w:rsidRPr="00FD0932">
              <w:rPr>
                <w:i/>
                <w:color w:val="1F497D" w:themeColor="text2"/>
                <w:lang w:val="en-GB"/>
              </w:rPr>
              <w:t>DFAT will determine, with the Government of Indonesia, whether further grants are necessary to support this mainstreaming and if so, over what duration.</w:t>
            </w:r>
          </w:p>
          <w:p w:rsidR="00E71A3C" w:rsidRPr="003F4BA5" w:rsidRDefault="00E71A3C" w:rsidP="008D1E92">
            <w:pPr>
              <w:spacing w:before="120" w:after="0" w:line="240" w:lineRule="auto"/>
              <w:rPr>
                <w:color w:val="4F81BD" w:themeColor="accent1"/>
                <w:lang w:val="en-GB"/>
              </w:rPr>
            </w:pPr>
          </w:p>
        </w:tc>
      </w:tr>
      <w:tr w:rsidR="003C5A2A" w:rsidRPr="00BA2EDF" w:rsidTr="00F05662">
        <w:trPr>
          <w:trHeight w:val="2207"/>
        </w:trPr>
        <w:tc>
          <w:tcPr>
            <w:tcW w:w="534" w:type="dxa"/>
            <w:shd w:val="clear" w:color="auto" w:fill="FFFFFF" w:themeFill="background1"/>
          </w:tcPr>
          <w:p w:rsidR="003C5A2A" w:rsidRPr="00BA2EDF" w:rsidRDefault="003C5A2A" w:rsidP="008D1E92">
            <w:pPr>
              <w:spacing w:before="120" w:after="0" w:line="240" w:lineRule="auto"/>
              <w:rPr>
                <w:lang w:val="en-GB"/>
              </w:rPr>
            </w:pPr>
            <w:r w:rsidRPr="00BA2EDF">
              <w:rPr>
                <w:lang w:val="en-GB"/>
              </w:rPr>
              <w:t>4</w:t>
            </w:r>
          </w:p>
        </w:tc>
        <w:tc>
          <w:tcPr>
            <w:tcW w:w="7991" w:type="dxa"/>
            <w:shd w:val="clear" w:color="auto" w:fill="FFFFFF" w:themeFill="background1"/>
          </w:tcPr>
          <w:p w:rsidR="003F4BA5" w:rsidRDefault="00BA2EDF" w:rsidP="008D1E92">
            <w:pPr>
              <w:spacing w:before="120" w:after="0" w:line="240" w:lineRule="auto"/>
            </w:pPr>
            <w:r w:rsidRPr="00BA2EDF">
              <w:t>IndII (or AIPD, as directed by DFAT) should respond to the request by MoF for TA support to help reconcile and streamline the inter-ministerial approval process that is currently delaying the 20 PDAMs project.</w:t>
            </w:r>
          </w:p>
          <w:p w:rsidR="008D1E92" w:rsidRDefault="008D1E92" w:rsidP="008D1E92">
            <w:pPr>
              <w:spacing w:before="120" w:after="0" w:line="240" w:lineRule="auto"/>
              <w:rPr>
                <w:b/>
                <w:i/>
                <w:color w:val="1F497D" w:themeColor="text2"/>
                <w:lang w:val="en-GB"/>
              </w:rPr>
            </w:pPr>
          </w:p>
          <w:p w:rsidR="00FC57E1" w:rsidRPr="008D1E92" w:rsidRDefault="00FB2219" w:rsidP="008D1E92">
            <w:pPr>
              <w:spacing w:before="120" w:after="0" w:line="240" w:lineRule="auto"/>
              <w:rPr>
                <w:color w:val="1F497D" w:themeColor="text2"/>
              </w:rPr>
            </w:pPr>
            <w:r w:rsidRPr="008D1E92">
              <w:rPr>
                <w:b/>
                <w:i/>
                <w:color w:val="1F497D" w:themeColor="text2"/>
                <w:lang w:val="en-GB"/>
              </w:rPr>
              <w:t>Accepted</w:t>
            </w:r>
            <w:r w:rsidR="00792757" w:rsidRPr="008D1E92">
              <w:rPr>
                <w:b/>
                <w:i/>
                <w:color w:val="1F497D" w:themeColor="text2"/>
                <w:lang w:val="en-GB"/>
              </w:rPr>
              <w:t xml:space="preserve"> in principle</w:t>
            </w:r>
            <w:r w:rsidRPr="008D1E92">
              <w:rPr>
                <w:b/>
                <w:i/>
                <w:color w:val="1F497D" w:themeColor="text2"/>
                <w:lang w:val="en-GB"/>
              </w:rPr>
              <w:t xml:space="preserve">. </w:t>
            </w:r>
            <w:r w:rsidR="00412E55">
              <w:rPr>
                <w:b/>
                <w:i/>
                <w:color w:val="1F497D" w:themeColor="text2"/>
                <w:lang w:val="en-GB"/>
              </w:rPr>
              <w:t xml:space="preserve">To be further discussed in June/July 2015. </w:t>
            </w:r>
          </w:p>
          <w:p w:rsidR="007B2E07" w:rsidRDefault="00980B78" w:rsidP="00F05662">
            <w:pPr>
              <w:spacing w:before="120" w:after="0" w:line="240" w:lineRule="auto"/>
              <w:rPr>
                <w:i/>
                <w:color w:val="1F497D" w:themeColor="text2"/>
                <w:lang w:val="en-GB"/>
              </w:rPr>
            </w:pPr>
            <w:r w:rsidRPr="008D1E92">
              <w:rPr>
                <w:i/>
                <w:color w:val="1F497D" w:themeColor="text2"/>
                <w:lang w:val="en-GB"/>
              </w:rPr>
              <w:t xml:space="preserve">DFAT will investigate </w:t>
            </w:r>
            <w:r w:rsidR="008D1E92">
              <w:rPr>
                <w:i/>
                <w:color w:val="1F497D" w:themeColor="text2"/>
                <w:lang w:val="en-GB"/>
              </w:rPr>
              <w:t>th</w:t>
            </w:r>
            <w:r w:rsidR="00F05662">
              <w:rPr>
                <w:i/>
                <w:color w:val="1F497D" w:themeColor="text2"/>
                <w:lang w:val="en-GB"/>
              </w:rPr>
              <w:t>e ongoing relevance of this</w:t>
            </w:r>
            <w:r w:rsidR="008D1E92">
              <w:rPr>
                <w:i/>
                <w:color w:val="1F497D" w:themeColor="text2"/>
                <w:lang w:val="en-GB"/>
              </w:rPr>
              <w:t xml:space="preserve"> request</w:t>
            </w:r>
            <w:r w:rsidR="00F05662">
              <w:rPr>
                <w:i/>
                <w:color w:val="1F497D" w:themeColor="text2"/>
                <w:lang w:val="en-GB"/>
              </w:rPr>
              <w:t xml:space="preserve"> noting that IndII has provided support to a Government focus group to streamline the PerPres 29 process</w:t>
            </w:r>
            <w:r w:rsidR="007B2E07">
              <w:rPr>
                <w:i/>
                <w:color w:val="1F497D" w:themeColor="text2"/>
                <w:lang w:val="en-GB"/>
              </w:rPr>
              <w:t>.</w:t>
            </w:r>
            <w:r w:rsidR="00F05662">
              <w:rPr>
                <w:i/>
                <w:color w:val="1F497D" w:themeColor="text2"/>
                <w:lang w:val="en-GB"/>
              </w:rPr>
              <w:t xml:space="preserve"> Government is </w:t>
            </w:r>
            <w:r w:rsidR="00F4090B">
              <w:rPr>
                <w:i/>
                <w:color w:val="1F497D" w:themeColor="text2"/>
                <w:lang w:val="en-GB"/>
              </w:rPr>
              <w:t xml:space="preserve">also </w:t>
            </w:r>
            <w:r w:rsidR="00F05662">
              <w:rPr>
                <w:i/>
                <w:color w:val="1F497D" w:themeColor="text2"/>
                <w:lang w:val="en-GB"/>
              </w:rPr>
              <w:t>currently in the process of reviewing/revising PerPres 29</w:t>
            </w:r>
            <w:r w:rsidR="007B2E07">
              <w:rPr>
                <w:i/>
                <w:color w:val="1F497D" w:themeColor="text2"/>
                <w:lang w:val="en-GB"/>
              </w:rPr>
              <w:t xml:space="preserve"> which will influence future support</w:t>
            </w:r>
            <w:r w:rsidR="00F05662">
              <w:rPr>
                <w:i/>
                <w:color w:val="1F497D" w:themeColor="text2"/>
                <w:lang w:val="en-GB"/>
              </w:rPr>
              <w:t xml:space="preserve">. </w:t>
            </w:r>
            <w:r w:rsidR="007B2E07">
              <w:rPr>
                <w:i/>
                <w:color w:val="1F497D" w:themeColor="text2"/>
                <w:lang w:val="en-GB"/>
              </w:rPr>
              <w:t xml:space="preserve">In mid-2015, DFAT will hold discussions with IndII and Government of Indonesia to outline the shape of future IndII support to the 20 PDAM project. </w:t>
            </w:r>
          </w:p>
          <w:p w:rsidR="00F05662" w:rsidRPr="00BA2EDF" w:rsidRDefault="00F05662" w:rsidP="007B2E07">
            <w:pPr>
              <w:spacing w:before="120" w:after="0" w:line="240" w:lineRule="auto"/>
              <w:rPr>
                <w:caps/>
                <w:color w:val="4F81BD" w:themeColor="accent1"/>
                <w:lang w:val="en-GB"/>
              </w:rPr>
            </w:pPr>
          </w:p>
        </w:tc>
      </w:tr>
      <w:tr w:rsidR="003C5A2A" w:rsidRPr="00BA2EDF" w:rsidTr="00F4090B">
        <w:trPr>
          <w:trHeight w:val="3534"/>
        </w:trPr>
        <w:tc>
          <w:tcPr>
            <w:tcW w:w="534" w:type="dxa"/>
          </w:tcPr>
          <w:p w:rsidR="003C5A2A" w:rsidRPr="00BA2EDF" w:rsidRDefault="003C5A2A" w:rsidP="008D1E92">
            <w:pPr>
              <w:spacing w:before="120" w:after="0" w:line="240" w:lineRule="auto"/>
              <w:rPr>
                <w:lang w:val="en-GB"/>
              </w:rPr>
            </w:pPr>
            <w:r w:rsidRPr="00BA2EDF">
              <w:rPr>
                <w:lang w:val="en-GB"/>
              </w:rPr>
              <w:lastRenderedPageBreak/>
              <w:t>5</w:t>
            </w:r>
          </w:p>
        </w:tc>
        <w:tc>
          <w:tcPr>
            <w:tcW w:w="7991" w:type="dxa"/>
          </w:tcPr>
          <w:p w:rsidR="00BA2EDF" w:rsidRPr="00BA2EDF" w:rsidRDefault="00BA2EDF" w:rsidP="008D1E92">
            <w:pPr>
              <w:spacing w:before="120" w:after="0" w:line="240" w:lineRule="auto"/>
            </w:pPr>
            <w:r w:rsidRPr="00BA2EDF">
              <w:t>In the new phase of infrastructure investment, DFAT should prioritise interventions to reduce the complexity of intra and inter-Ministerial processes that complicate central – local government engagement in infrastructure planning and delivery. Such support to streamlining GoI processes would significantly enable extension of performance-based mechanisms of support to local governments; even beyond targeted sectors.</w:t>
            </w:r>
          </w:p>
          <w:p w:rsidR="00BA2EDF" w:rsidRPr="00BA2EDF" w:rsidRDefault="00BA2EDF" w:rsidP="008D1E92">
            <w:pPr>
              <w:spacing w:before="120" w:after="0" w:line="240" w:lineRule="auto"/>
            </w:pPr>
          </w:p>
          <w:p w:rsidR="006B0C42" w:rsidRPr="008D1E92" w:rsidRDefault="001342BE" w:rsidP="008D1E92">
            <w:pPr>
              <w:spacing w:before="120" w:after="0" w:line="240" w:lineRule="auto"/>
              <w:rPr>
                <w:b/>
                <w:i/>
                <w:caps/>
                <w:color w:val="1F497D" w:themeColor="text2"/>
                <w:lang w:val="en-GB"/>
              </w:rPr>
            </w:pPr>
            <w:r w:rsidRPr="008D1E92">
              <w:rPr>
                <w:b/>
                <w:i/>
                <w:color w:val="1F497D" w:themeColor="text2"/>
                <w:lang w:val="en-GB"/>
              </w:rPr>
              <w:t>Accepted</w:t>
            </w:r>
            <w:r w:rsidR="008D1E92" w:rsidRPr="008D1E92">
              <w:rPr>
                <w:b/>
                <w:i/>
                <w:color w:val="1F497D" w:themeColor="text2"/>
                <w:lang w:val="en-GB"/>
              </w:rPr>
              <w:t xml:space="preserve"> in principle</w:t>
            </w:r>
            <w:r w:rsidRPr="008D1E92">
              <w:rPr>
                <w:b/>
                <w:i/>
                <w:color w:val="1F497D" w:themeColor="text2"/>
                <w:lang w:val="en-GB"/>
              </w:rPr>
              <w:t>.</w:t>
            </w:r>
            <w:r w:rsidR="00412E55">
              <w:rPr>
                <w:b/>
                <w:i/>
                <w:color w:val="1F497D" w:themeColor="text2"/>
                <w:lang w:val="en-GB"/>
              </w:rPr>
              <w:t xml:space="preserve"> To be discussed during the new design process – 2016. </w:t>
            </w:r>
          </w:p>
          <w:p w:rsidR="008D1E92" w:rsidRPr="00BA2EDF" w:rsidRDefault="00B42B6D" w:rsidP="00F05662">
            <w:pPr>
              <w:spacing w:before="120" w:after="0" w:line="240" w:lineRule="auto"/>
              <w:rPr>
                <w:caps/>
                <w:color w:val="4F81BD" w:themeColor="accent1"/>
                <w:lang w:val="en-GB"/>
              </w:rPr>
            </w:pPr>
            <w:r w:rsidRPr="008D1E92">
              <w:rPr>
                <w:i/>
                <w:color w:val="1F497D" w:themeColor="text2"/>
                <w:lang w:val="en-GB"/>
              </w:rPr>
              <w:t xml:space="preserve">Infrastructure planning and delivery along with other project areas will be considered </w:t>
            </w:r>
            <w:r w:rsidR="00CC531E" w:rsidRPr="008D1E92">
              <w:rPr>
                <w:i/>
                <w:color w:val="1F497D" w:themeColor="text2"/>
                <w:lang w:val="en-GB"/>
              </w:rPr>
              <w:t xml:space="preserve">during the </w:t>
            </w:r>
            <w:r w:rsidR="008D1E92">
              <w:rPr>
                <w:i/>
                <w:color w:val="1F497D" w:themeColor="text2"/>
                <w:lang w:val="en-GB"/>
              </w:rPr>
              <w:t>IndII extension</w:t>
            </w:r>
            <w:r w:rsidR="00CC531E" w:rsidRPr="008D1E92">
              <w:rPr>
                <w:i/>
                <w:color w:val="1F497D" w:themeColor="text2"/>
                <w:lang w:val="en-GB"/>
              </w:rPr>
              <w:t xml:space="preserve"> and </w:t>
            </w:r>
            <w:r w:rsidRPr="008D1E92">
              <w:rPr>
                <w:i/>
                <w:color w:val="1F497D" w:themeColor="text2"/>
                <w:lang w:val="en-GB"/>
              </w:rPr>
              <w:t>next phase of Infrastructure support</w:t>
            </w:r>
            <w:r w:rsidR="00467DBC">
              <w:rPr>
                <w:i/>
                <w:color w:val="1F497D" w:themeColor="text2"/>
                <w:lang w:val="en-GB"/>
              </w:rPr>
              <w:t xml:space="preserve"> depending on Government of Indonesia buy-in, commitment and other priorities</w:t>
            </w:r>
            <w:r w:rsidR="008D1E92">
              <w:rPr>
                <w:i/>
                <w:color w:val="1F497D" w:themeColor="text2"/>
                <w:lang w:val="en-GB"/>
              </w:rPr>
              <w:t xml:space="preserve">. </w:t>
            </w:r>
            <w:r w:rsidR="00F05662">
              <w:rPr>
                <w:i/>
                <w:color w:val="1F497D" w:themeColor="text2"/>
                <w:lang w:val="en-GB"/>
              </w:rPr>
              <w:t xml:space="preserve"> </w:t>
            </w:r>
          </w:p>
        </w:tc>
      </w:tr>
      <w:tr w:rsidR="003C5A2A" w:rsidRPr="00BA2EDF" w:rsidTr="003340D5">
        <w:trPr>
          <w:trHeight w:val="3256"/>
        </w:trPr>
        <w:tc>
          <w:tcPr>
            <w:tcW w:w="534" w:type="dxa"/>
          </w:tcPr>
          <w:p w:rsidR="003C5A2A" w:rsidRPr="00BA2EDF" w:rsidRDefault="003C5A2A" w:rsidP="008D1E92">
            <w:pPr>
              <w:spacing w:before="120" w:after="0" w:line="240" w:lineRule="auto"/>
              <w:rPr>
                <w:lang w:val="en-GB"/>
              </w:rPr>
            </w:pPr>
            <w:r w:rsidRPr="00BA2EDF">
              <w:rPr>
                <w:lang w:val="en-GB"/>
              </w:rPr>
              <w:t>6</w:t>
            </w:r>
          </w:p>
        </w:tc>
        <w:tc>
          <w:tcPr>
            <w:tcW w:w="7991" w:type="dxa"/>
          </w:tcPr>
          <w:p w:rsidR="00BA2EDF" w:rsidRPr="00BA2EDF" w:rsidRDefault="00BA2EDF" w:rsidP="008D1E92">
            <w:pPr>
              <w:spacing w:before="120" w:after="0" w:line="240" w:lineRule="auto"/>
            </w:pPr>
            <w:r w:rsidRPr="00BA2EDF">
              <w:t>IndII should explore ways to provide follow-up support for poor performing PDAMs identified by the WSSI to improve their ‘health’. The complexity of such support may necessitate engagement in the next phase of infrastructure investment.</w:t>
            </w:r>
          </w:p>
          <w:p w:rsidR="00BA2EDF" w:rsidRPr="00BA2EDF" w:rsidRDefault="00BA2EDF" w:rsidP="008D1E92">
            <w:pPr>
              <w:spacing w:before="120" w:after="0" w:line="240" w:lineRule="auto"/>
            </w:pPr>
          </w:p>
          <w:p w:rsidR="003C5A2A" w:rsidRPr="003340D5" w:rsidRDefault="00921298" w:rsidP="008D1E92">
            <w:pPr>
              <w:spacing w:before="120" w:after="0" w:line="240" w:lineRule="auto"/>
              <w:rPr>
                <w:b/>
                <w:i/>
                <w:color w:val="1F497D" w:themeColor="text2"/>
                <w:lang w:val="en-GB"/>
              </w:rPr>
            </w:pPr>
            <w:r w:rsidRPr="003340D5">
              <w:rPr>
                <w:b/>
                <w:i/>
                <w:color w:val="1F497D" w:themeColor="text2"/>
                <w:lang w:val="en-GB"/>
              </w:rPr>
              <w:t>Accepted</w:t>
            </w:r>
            <w:r w:rsidR="00AF45D0" w:rsidRPr="003340D5">
              <w:rPr>
                <w:b/>
                <w:i/>
                <w:color w:val="1F497D" w:themeColor="text2"/>
                <w:lang w:val="en-GB"/>
              </w:rPr>
              <w:t xml:space="preserve"> in principle</w:t>
            </w:r>
            <w:r w:rsidRPr="003340D5">
              <w:rPr>
                <w:b/>
                <w:i/>
                <w:color w:val="1F497D" w:themeColor="text2"/>
                <w:lang w:val="en-GB"/>
              </w:rPr>
              <w:t xml:space="preserve">. </w:t>
            </w:r>
            <w:r w:rsidR="00412E55">
              <w:rPr>
                <w:b/>
                <w:i/>
                <w:color w:val="1F497D" w:themeColor="text2"/>
                <w:lang w:val="en-GB"/>
              </w:rPr>
              <w:t xml:space="preserve">To be further discussed with GoI in June/July 2015. </w:t>
            </w:r>
          </w:p>
          <w:p w:rsidR="00AB2050" w:rsidRPr="00BA2EDF" w:rsidRDefault="00AB2050" w:rsidP="00A853EF">
            <w:pPr>
              <w:spacing w:before="120" w:after="0" w:line="240" w:lineRule="auto"/>
              <w:rPr>
                <w:color w:val="4F81BD" w:themeColor="accent1"/>
                <w:lang w:val="en-GB"/>
              </w:rPr>
            </w:pPr>
            <w:r w:rsidRPr="003340D5">
              <w:rPr>
                <w:i/>
                <w:color w:val="1F497D" w:themeColor="text2"/>
                <w:lang w:val="en-GB"/>
              </w:rPr>
              <w:t xml:space="preserve">Support is </w:t>
            </w:r>
            <w:r w:rsidR="00A853EF">
              <w:rPr>
                <w:i/>
                <w:color w:val="1F497D" w:themeColor="text2"/>
                <w:lang w:val="en-GB"/>
              </w:rPr>
              <w:t xml:space="preserve">currently </w:t>
            </w:r>
            <w:r w:rsidRPr="003340D5">
              <w:rPr>
                <w:i/>
                <w:color w:val="1F497D" w:themeColor="text2"/>
                <w:lang w:val="en-GB"/>
              </w:rPr>
              <w:t>being provided through the 20 PDAMs activity to improve the health of some PDAMs.</w:t>
            </w:r>
            <w:r w:rsidR="00E32F07" w:rsidRPr="003340D5">
              <w:rPr>
                <w:i/>
                <w:color w:val="1F497D" w:themeColor="text2"/>
                <w:lang w:val="en-GB"/>
              </w:rPr>
              <w:t xml:space="preserve"> DFAT will consider follow-up support if this is seen as a priority</w:t>
            </w:r>
            <w:r w:rsidR="00A853EF">
              <w:rPr>
                <w:i/>
                <w:color w:val="1F497D" w:themeColor="text2"/>
                <w:lang w:val="en-GB"/>
              </w:rPr>
              <w:t xml:space="preserve"> and led</w:t>
            </w:r>
            <w:r w:rsidR="00E32F07" w:rsidRPr="003340D5">
              <w:rPr>
                <w:i/>
                <w:color w:val="1F497D" w:themeColor="text2"/>
                <w:lang w:val="en-GB"/>
              </w:rPr>
              <w:t xml:space="preserve"> by </w:t>
            </w:r>
            <w:r w:rsidR="00600061" w:rsidRPr="003340D5">
              <w:rPr>
                <w:i/>
                <w:color w:val="1F497D" w:themeColor="text2"/>
                <w:lang w:val="en-GB"/>
              </w:rPr>
              <w:t xml:space="preserve">Government of Indonesia, </w:t>
            </w:r>
            <w:r w:rsidR="00E32F07" w:rsidRPr="003340D5">
              <w:rPr>
                <w:i/>
                <w:color w:val="1F497D" w:themeColor="text2"/>
                <w:lang w:val="en-GB"/>
              </w:rPr>
              <w:t>and</w:t>
            </w:r>
            <w:r w:rsidR="00600061" w:rsidRPr="003340D5">
              <w:rPr>
                <w:i/>
                <w:color w:val="1F497D" w:themeColor="text2"/>
                <w:lang w:val="en-GB"/>
              </w:rPr>
              <w:t xml:space="preserve"> if it is considered</w:t>
            </w:r>
            <w:r w:rsidR="00A853EF">
              <w:rPr>
                <w:i/>
                <w:color w:val="1F497D" w:themeColor="text2"/>
                <w:lang w:val="en-GB"/>
              </w:rPr>
              <w:t xml:space="preserve"> a</w:t>
            </w:r>
            <w:r w:rsidR="00600061" w:rsidRPr="003340D5">
              <w:rPr>
                <w:i/>
                <w:color w:val="1F497D" w:themeColor="text2"/>
                <w:lang w:val="en-GB"/>
              </w:rPr>
              <w:t xml:space="preserve"> high enough priority against other activity options</w:t>
            </w:r>
            <w:r w:rsidR="00E32F07" w:rsidRPr="003340D5">
              <w:rPr>
                <w:i/>
                <w:color w:val="1F497D" w:themeColor="text2"/>
                <w:lang w:val="en-GB"/>
              </w:rPr>
              <w:t>.</w:t>
            </w:r>
          </w:p>
        </w:tc>
      </w:tr>
      <w:tr w:rsidR="003C5A2A" w:rsidRPr="00BA2EDF" w:rsidTr="00A853EF">
        <w:trPr>
          <w:trHeight w:val="2537"/>
        </w:trPr>
        <w:tc>
          <w:tcPr>
            <w:tcW w:w="534" w:type="dxa"/>
          </w:tcPr>
          <w:p w:rsidR="003C5A2A" w:rsidRPr="00BA2EDF" w:rsidRDefault="003C5A2A" w:rsidP="008D1E92">
            <w:pPr>
              <w:spacing w:before="120" w:after="0" w:line="240" w:lineRule="auto"/>
              <w:rPr>
                <w:lang w:val="en-GB"/>
              </w:rPr>
            </w:pPr>
            <w:r w:rsidRPr="00BA2EDF">
              <w:rPr>
                <w:lang w:val="en-GB"/>
              </w:rPr>
              <w:t>7</w:t>
            </w:r>
          </w:p>
        </w:tc>
        <w:tc>
          <w:tcPr>
            <w:tcW w:w="7991" w:type="dxa"/>
          </w:tcPr>
          <w:p w:rsidR="00A61B84" w:rsidRPr="00BA2EDF" w:rsidRDefault="000F209C" w:rsidP="008D1E92">
            <w:pPr>
              <w:spacing w:before="120" w:after="0" w:line="240" w:lineRule="auto"/>
              <w:rPr>
                <w:caps/>
                <w:lang w:val="en-GB"/>
              </w:rPr>
            </w:pPr>
            <w:r w:rsidRPr="00BA2EDF">
              <w:rPr>
                <w:lang w:val="en-GB"/>
              </w:rPr>
              <w:t xml:space="preserve">IndII should maintain TA support for DGH </w:t>
            </w:r>
            <w:r w:rsidR="00A853EF">
              <w:rPr>
                <w:lang w:val="en-GB"/>
              </w:rPr>
              <w:t>[</w:t>
            </w:r>
            <w:r w:rsidR="00165335" w:rsidRPr="00BA2EDF">
              <w:rPr>
                <w:lang w:val="en-GB"/>
              </w:rPr>
              <w:t xml:space="preserve">Directorate General of Highways] </w:t>
            </w:r>
            <w:r w:rsidRPr="00BA2EDF">
              <w:rPr>
                <w:lang w:val="en-GB"/>
              </w:rPr>
              <w:t xml:space="preserve">to ensure that reforms proposed in the RENSTRA </w:t>
            </w:r>
            <w:r w:rsidR="00165335" w:rsidRPr="00BA2EDF">
              <w:rPr>
                <w:lang w:val="en-GB"/>
              </w:rPr>
              <w:t xml:space="preserve">[5yr strategic plan] </w:t>
            </w:r>
            <w:r w:rsidRPr="00BA2EDF">
              <w:rPr>
                <w:lang w:val="en-GB"/>
              </w:rPr>
              <w:t>are fully adopted by the incoming new government and borne out in changed practices.</w:t>
            </w:r>
          </w:p>
          <w:p w:rsidR="00A853EF" w:rsidRDefault="00A853EF" w:rsidP="008D1E92">
            <w:pPr>
              <w:spacing w:before="120" w:after="0" w:line="240" w:lineRule="auto"/>
              <w:rPr>
                <w:color w:val="4F81BD" w:themeColor="accent1"/>
                <w:lang w:val="en-GB"/>
              </w:rPr>
            </w:pPr>
          </w:p>
          <w:p w:rsidR="003A4F6E" w:rsidRPr="00A853EF" w:rsidRDefault="003A4F6E" w:rsidP="008D1E92">
            <w:pPr>
              <w:spacing w:before="120" w:after="0" w:line="240" w:lineRule="auto"/>
              <w:rPr>
                <w:b/>
                <w:i/>
                <w:caps/>
                <w:color w:val="1F497D" w:themeColor="text2"/>
                <w:lang w:val="en-GB"/>
              </w:rPr>
            </w:pPr>
            <w:r w:rsidRPr="00A853EF">
              <w:rPr>
                <w:b/>
                <w:i/>
                <w:color w:val="1F497D" w:themeColor="text2"/>
                <w:lang w:val="en-GB"/>
              </w:rPr>
              <w:t xml:space="preserve">Accepted. </w:t>
            </w:r>
            <w:r w:rsidR="00412E55">
              <w:rPr>
                <w:b/>
                <w:i/>
                <w:color w:val="1F497D" w:themeColor="text2"/>
                <w:lang w:val="en-GB"/>
              </w:rPr>
              <w:t xml:space="preserve">To be discussed with Directorate General of Highways in July 2015. </w:t>
            </w:r>
          </w:p>
          <w:p w:rsidR="00940ED3" w:rsidRDefault="00A853EF" w:rsidP="002F49DA">
            <w:pPr>
              <w:spacing w:before="120" w:after="0" w:line="240" w:lineRule="auto"/>
              <w:rPr>
                <w:i/>
                <w:color w:val="1F497D" w:themeColor="text2"/>
                <w:lang w:val="en-GB"/>
              </w:rPr>
            </w:pPr>
            <w:r>
              <w:rPr>
                <w:i/>
                <w:color w:val="1F497D" w:themeColor="text2"/>
                <w:lang w:val="en-GB"/>
              </w:rPr>
              <w:t>DFAT</w:t>
            </w:r>
            <w:r w:rsidR="00165335" w:rsidRPr="00A853EF">
              <w:rPr>
                <w:i/>
                <w:color w:val="1F497D" w:themeColor="text2"/>
                <w:lang w:val="en-GB"/>
              </w:rPr>
              <w:t xml:space="preserve"> </w:t>
            </w:r>
            <w:r w:rsidR="002F49DA">
              <w:rPr>
                <w:i/>
                <w:color w:val="1F497D" w:themeColor="text2"/>
                <w:lang w:val="en-GB"/>
              </w:rPr>
              <w:t>will</w:t>
            </w:r>
            <w:r w:rsidR="00165335" w:rsidRPr="00A853EF">
              <w:rPr>
                <w:i/>
                <w:color w:val="1F497D" w:themeColor="text2"/>
                <w:lang w:val="en-GB"/>
              </w:rPr>
              <w:t xml:space="preserve"> continue</w:t>
            </w:r>
            <w:r>
              <w:rPr>
                <w:i/>
                <w:color w:val="1F497D" w:themeColor="text2"/>
                <w:lang w:val="en-GB"/>
              </w:rPr>
              <w:t xml:space="preserve"> IndII </w:t>
            </w:r>
            <w:r w:rsidR="00165335" w:rsidRPr="00A853EF">
              <w:rPr>
                <w:i/>
                <w:color w:val="1F497D" w:themeColor="text2"/>
                <w:lang w:val="en-GB"/>
              </w:rPr>
              <w:t xml:space="preserve">support for DGH to implement </w:t>
            </w:r>
            <w:r>
              <w:rPr>
                <w:i/>
                <w:color w:val="1F497D" w:themeColor="text2"/>
                <w:lang w:val="en-GB"/>
              </w:rPr>
              <w:t>its</w:t>
            </w:r>
            <w:r w:rsidR="00165335" w:rsidRPr="00A853EF">
              <w:rPr>
                <w:i/>
                <w:color w:val="1F497D" w:themeColor="text2"/>
                <w:lang w:val="en-GB"/>
              </w:rPr>
              <w:t xml:space="preserve"> </w:t>
            </w:r>
            <w:r w:rsidR="002F49DA">
              <w:rPr>
                <w:i/>
                <w:color w:val="1F497D" w:themeColor="text2"/>
                <w:lang w:val="en-GB"/>
              </w:rPr>
              <w:t>RENSTRA</w:t>
            </w:r>
            <w:r w:rsidR="00412E55">
              <w:rPr>
                <w:i/>
                <w:color w:val="1F497D" w:themeColor="text2"/>
                <w:lang w:val="en-GB"/>
              </w:rPr>
              <w:t xml:space="preserve"> in the IndII extension to January 2017</w:t>
            </w:r>
            <w:r w:rsidR="00165335" w:rsidRPr="00A853EF">
              <w:rPr>
                <w:i/>
                <w:color w:val="1F497D" w:themeColor="text2"/>
                <w:lang w:val="en-GB"/>
              </w:rPr>
              <w:t>.</w:t>
            </w:r>
            <w:r w:rsidR="002F49DA">
              <w:rPr>
                <w:i/>
                <w:color w:val="1F497D" w:themeColor="text2"/>
                <w:lang w:val="en-GB"/>
              </w:rPr>
              <w:t xml:space="preserve"> The nature of this support will be dependent on the priorities of the new Director General and strong buy-in from DGH. </w:t>
            </w:r>
            <w:r w:rsidR="00412E55">
              <w:rPr>
                <w:i/>
                <w:color w:val="1F497D" w:themeColor="text2"/>
                <w:lang w:val="en-GB"/>
              </w:rPr>
              <w:t xml:space="preserve">DFAT will hold discussions with the new Directorate General to discuss the nature of IndII support to DGH in the third quarter of 2015. </w:t>
            </w:r>
          </w:p>
          <w:p w:rsidR="002F49DA" w:rsidRPr="00BA2EDF" w:rsidRDefault="002F49DA" w:rsidP="002F49DA">
            <w:pPr>
              <w:spacing w:before="120" w:after="0" w:line="240" w:lineRule="auto"/>
              <w:rPr>
                <w:caps/>
                <w:color w:val="4F81BD" w:themeColor="accent1"/>
                <w:lang w:val="en-GB"/>
              </w:rPr>
            </w:pPr>
          </w:p>
        </w:tc>
      </w:tr>
      <w:tr w:rsidR="00C96102" w:rsidRPr="00BA2EDF" w:rsidTr="00C96102">
        <w:trPr>
          <w:trHeight w:val="2258"/>
        </w:trPr>
        <w:tc>
          <w:tcPr>
            <w:tcW w:w="534" w:type="dxa"/>
            <w:tcBorders>
              <w:top w:val="single" w:sz="4" w:space="0" w:color="auto"/>
              <w:left w:val="single" w:sz="4" w:space="0" w:color="auto"/>
              <w:bottom w:val="single" w:sz="4" w:space="0" w:color="auto"/>
              <w:right w:val="single" w:sz="4" w:space="0" w:color="auto"/>
            </w:tcBorders>
          </w:tcPr>
          <w:p w:rsidR="00C96102" w:rsidRPr="00BA2EDF" w:rsidRDefault="00C96102" w:rsidP="008D1E92">
            <w:pPr>
              <w:spacing w:before="120" w:after="0" w:line="240" w:lineRule="auto"/>
              <w:rPr>
                <w:lang w:val="en-GB"/>
              </w:rPr>
            </w:pPr>
            <w:r w:rsidRPr="00BA2EDF">
              <w:rPr>
                <w:lang w:val="en-GB"/>
              </w:rPr>
              <w:t>8</w:t>
            </w:r>
          </w:p>
        </w:tc>
        <w:tc>
          <w:tcPr>
            <w:tcW w:w="7991" w:type="dxa"/>
            <w:tcBorders>
              <w:top w:val="single" w:sz="4" w:space="0" w:color="auto"/>
              <w:left w:val="single" w:sz="4" w:space="0" w:color="auto"/>
              <w:bottom w:val="single" w:sz="4" w:space="0" w:color="auto"/>
              <w:right w:val="single" w:sz="4" w:space="0" w:color="auto"/>
            </w:tcBorders>
          </w:tcPr>
          <w:p w:rsidR="00BA2EDF" w:rsidRPr="00BA2EDF" w:rsidRDefault="00BA2EDF" w:rsidP="008D1E92">
            <w:pPr>
              <w:spacing w:before="120" w:after="0" w:line="240" w:lineRule="auto"/>
            </w:pPr>
            <w:r w:rsidRPr="00BA2EDF">
              <w:t>In the next phase of infrastructure investment, DFAT should consider a national roads package as a practical demonstration of innovations in policy, planning and delivery introduced by IndII.</w:t>
            </w:r>
          </w:p>
          <w:p w:rsidR="00BA2EDF" w:rsidRPr="00BA2EDF" w:rsidRDefault="00BA2EDF" w:rsidP="008D1E92">
            <w:pPr>
              <w:spacing w:before="120" w:after="0" w:line="240" w:lineRule="auto"/>
            </w:pPr>
          </w:p>
          <w:p w:rsidR="00C96102" w:rsidRPr="007277E8" w:rsidRDefault="00C96102" w:rsidP="008D1E92">
            <w:pPr>
              <w:spacing w:before="120" w:after="0" w:line="240" w:lineRule="auto"/>
              <w:rPr>
                <w:b/>
                <w:i/>
                <w:caps/>
                <w:color w:val="1F497D" w:themeColor="text2"/>
                <w:lang w:val="en-GB"/>
              </w:rPr>
            </w:pPr>
            <w:r w:rsidRPr="006E6B61">
              <w:rPr>
                <w:b/>
                <w:i/>
                <w:color w:val="1F497D" w:themeColor="text2"/>
                <w:lang w:val="en-GB"/>
              </w:rPr>
              <w:t>Accepted.</w:t>
            </w:r>
            <w:r w:rsidR="00412E55">
              <w:rPr>
                <w:b/>
                <w:i/>
                <w:color w:val="1F497D" w:themeColor="text2"/>
                <w:lang w:val="en-GB"/>
              </w:rPr>
              <w:t xml:space="preserve"> To be discussed during the new design process – 2016.</w:t>
            </w:r>
          </w:p>
          <w:p w:rsidR="00C96102" w:rsidRPr="007277E8" w:rsidRDefault="00C96102" w:rsidP="008D1E92">
            <w:pPr>
              <w:spacing w:before="120" w:after="0" w:line="240" w:lineRule="auto"/>
              <w:rPr>
                <w:i/>
                <w:color w:val="1F497D" w:themeColor="text2"/>
                <w:lang w:val="en-GB"/>
              </w:rPr>
            </w:pPr>
            <w:r w:rsidRPr="007277E8">
              <w:rPr>
                <w:i/>
                <w:color w:val="1F497D" w:themeColor="text2"/>
                <w:lang w:val="en-GB"/>
              </w:rPr>
              <w:t xml:space="preserve">A national roads package is being developed as part of the IndII </w:t>
            </w:r>
            <w:r w:rsidR="00E5486D" w:rsidRPr="007277E8">
              <w:rPr>
                <w:i/>
                <w:color w:val="1F497D" w:themeColor="text2"/>
                <w:lang w:val="en-GB"/>
              </w:rPr>
              <w:t xml:space="preserve">extension to 2017 and will also be included in the scope of the new infrastructure assistance design. </w:t>
            </w:r>
          </w:p>
          <w:p w:rsidR="002F49DA" w:rsidRPr="00BA2EDF" w:rsidRDefault="002F49DA" w:rsidP="008D1E92">
            <w:pPr>
              <w:spacing w:before="120" w:after="0" w:line="240" w:lineRule="auto"/>
              <w:rPr>
                <w:caps/>
                <w:lang w:val="en-GB"/>
              </w:rPr>
            </w:pPr>
          </w:p>
        </w:tc>
      </w:tr>
      <w:tr w:rsidR="003C5A2A" w:rsidRPr="00BA2EDF" w:rsidTr="007277E8">
        <w:trPr>
          <w:trHeight w:val="3392"/>
        </w:trPr>
        <w:tc>
          <w:tcPr>
            <w:tcW w:w="534" w:type="dxa"/>
          </w:tcPr>
          <w:p w:rsidR="003C5A2A" w:rsidRPr="00BA2EDF" w:rsidRDefault="003C5A2A" w:rsidP="008D1E92">
            <w:pPr>
              <w:spacing w:before="120" w:after="0" w:line="240" w:lineRule="auto"/>
              <w:rPr>
                <w:lang w:val="en-GB"/>
              </w:rPr>
            </w:pPr>
            <w:r w:rsidRPr="00BA2EDF">
              <w:rPr>
                <w:lang w:val="en-GB"/>
              </w:rPr>
              <w:lastRenderedPageBreak/>
              <w:t>9</w:t>
            </w:r>
          </w:p>
        </w:tc>
        <w:tc>
          <w:tcPr>
            <w:tcW w:w="7991" w:type="dxa"/>
          </w:tcPr>
          <w:p w:rsidR="00BA2EDF" w:rsidRPr="00BA2EDF" w:rsidRDefault="00BA2EDF" w:rsidP="008D1E92">
            <w:pPr>
              <w:spacing w:before="120" w:after="0" w:line="240" w:lineRule="auto"/>
            </w:pPr>
            <w:r w:rsidRPr="00BA2EDF">
              <w:t>IndII should succinctly document all plans for outcome and impact evaluations so that DFAT can appreciate what information will be available to support the design of a new infrastructure investment</w:t>
            </w:r>
          </w:p>
          <w:p w:rsidR="00BA2EDF" w:rsidRPr="00BA2EDF" w:rsidRDefault="00BA2EDF" w:rsidP="008D1E92">
            <w:pPr>
              <w:spacing w:before="120" w:after="0" w:line="240" w:lineRule="auto"/>
            </w:pPr>
          </w:p>
          <w:p w:rsidR="003C0A5E" w:rsidRPr="007277E8" w:rsidRDefault="0059202E" w:rsidP="008D1E92">
            <w:pPr>
              <w:spacing w:before="120" w:after="0" w:line="240" w:lineRule="auto"/>
              <w:rPr>
                <w:b/>
                <w:i/>
                <w:color w:val="1F497D" w:themeColor="text2"/>
                <w:lang w:val="en-GB"/>
              </w:rPr>
            </w:pPr>
            <w:r w:rsidRPr="007277E8">
              <w:rPr>
                <w:b/>
                <w:i/>
                <w:color w:val="1F497D" w:themeColor="text2"/>
                <w:lang w:val="en-GB"/>
              </w:rPr>
              <w:t>Accepted.</w:t>
            </w:r>
            <w:r w:rsidR="00412E55">
              <w:rPr>
                <w:b/>
                <w:i/>
                <w:color w:val="1F497D" w:themeColor="text2"/>
                <w:lang w:val="en-GB"/>
              </w:rPr>
              <w:t xml:space="preserve"> To be implemented during the January 2017 extension and built into the new design – 2016. </w:t>
            </w:r>
          </w:p>
          <w:p w:rsidR="007277E8" w:rsidRPr="007277E8" w:rsidRDefault="00414C4C" w:rsidP="007277E8">
            <w:pPr>
              <w:spacing w:before="120" w:after="0" w:line="240" w:lineRule="auto"/>
              <w:rPr>
                <w:i/>
                <w:color w:val="1F497D" w:themeColor="text2"/>
                <w:lang w:val="en-GB"/>
              </w:rPr>
            </w:pPr>
            <w:r w:rsidRPr="007277E8">
              <w:rPr>
                <w:i/>
                <w:color w:val="1F497D" w:themeColor="text2"/>
                <w:lang w:val="en-GB"/>
              </w:rPr>
              <w:t xml:space="preserve">DFAT </w:t>
            </w:r>
            <w:r w:rsidR="007277E8" w:rsidRPr="007277E8">
              <w:rPr>
                <w:i/>
                <w:color w:val="1F497D" w:themeColor="text2"/>
                <w:lang w:val="en-GB"/>
              </w:rPr>
              <w:t>has</w:t>
            </w:r>
            <w:r w:rsidRPr="007277E8">
              <w:rPr>
                <w:i/>
                <w:color w:val="1F497D" w:themeColor="text2"/>
                <w:lang w:val="en-GB"/>
              </w:rPr>
              <w:t xml:space="preserve"> initiate</w:t>
            </w:r>
            <w:r w:rsidR="007277E8" w:rsidRPr="007277E8">
              <w:rPr>
                <w:i/>
                <w:color w:val="1F497D" w:themeColor="text2"/>
                <w:lang w:val="en-GB"/>
              </w:rPr>
              <w:t>d</w:t>
            </w:r>
            <w:r w:rsidRPr="007277E8">
              <w:rPr>
                <w:i/>
                <w:color w:val="1F497D" w:themeColor="text2"/>
                <w:lang w:val="en-GB"/>
              </w:rPr>
              <w:t xml:space="preserve"> discussions with IndII</w:t>
            </w:r>
            <w:r w:rsidR="007277E8" w:rsidRPr="007277E8">
              <w:rPr>
                <w:i/>
                <w:color w:val="1F497D" w:themeColor="text2"/>
                <w:lang w:val="en-GB"/>
              </w:rPr>
              <w:t xml:space="preserve"> </w:t>
            </w:r>
            <w:r w:rsidR="008450B0" w:rsidRPr="007277E8">
              <w:rPr>
                <w:i/>
                <w:color w:val="1F497D" w:themeColor="text2"/>
                <w:lang w:val="en-GB"/>
              </w:rPr>
              <w:t>about</w:t>
            </w:r>
            <w:r w:rsidRPr="007277E8">
              <w:rPr>
                <w:i/>
                <w:color w:val="1F497D" w:themeColor="text2"/>
                <w:lang w:val="en-GB"/>
              </w:rPr>
              <w:t xml:space="preserve"> </w:t>
            </w:r>
            <w:r w:rsidR="007277E8" w:rsidRPr="007277E8">
              <w:rPr>
                <w:i/>
                <w:color w:val="1F497D" w:themeColor="text2"/>
                <w:lang w:val="en-GB"/>
              </w:rPr>
              <w:t>its</w:t>
            </w:r>
            <w:r w:rsidRPr="007277E8">
              <w:rPr>
                <w:i/>
                <w:color w:val="1F497D" w:themeColor="text2"/>
                <w:lang w:val="en-GB"/>
              </w:rPr>
              <w:t xml:space="preserve"> evaluati</w:t>
            </w:r>
            <w:r w:rsidR="00E5486D" w:rsidRPr="007277E8">
              <w:rPr>
                <w:i/>
                <w:color w:val="1F497D" w:themeColor="text2"/>
                <w:lang w:val="en-GB"/>
              </w:rPr>
              <w:t>on plan for the extension to January 2017</w:t>
            </w:r>
            <w:r w:rsidRPr="007277E8">
              <w:rPr>
                <w:i/>
                <w:color w:val="1F497D" w:themeColor="text2"/>
                <w:lang w:val="en-GB"/>
              </w:rPr>
              <w:t xml:space="preserve">. </w:t>
            </w:r>
            <w:r w:rsidR="007277E8" w:rsidRPr="007277E8">
              <w:rPr>
                <w:i/>
                <w:color w:val="1F497D" w:themeColor="text2"/>
                <w:lang w:val="en-GB"/>
              </w:rPr>
              <w:t>Ongoing discussions with IndII will</w:t>
            </w:r>
            <w:r w:rsidR="008450B0" w:rsidRPr="007277E8">
              <w:rPr>
                <w:i/>
                <w:color w:val="1F497D" w:themeColor="text2"/>
                <w:lang w:val="en-GB"/>
              </w:rPr>
              <w:t xml:space="preserve"> focus on the purpose</w:t>
            </w:r>
            <w:r w:rsidR="00E5486D" w:rsidRPr="007277E8">
              <w:rPr>
                <w:i/>
                <w:color w:val="1F497D" w:themeColor="text2"/>
                <w:lang w:val="en-GB"/>
              </w:rPr>
              <w:t xml:space="preserve"> and expected results</w:t>
            </w:r>
            <w:r w:rsidR="008450B0" w:rsidRPr="007277E8">
              <w:rPr>
                <w:i/>
                <w:color w:val="1F497D" w:themeColor="text2"/>
                <w:lang w:val="en-GB"/>
              </w:rPr>
              <w:t xml:space="preserve"> of each evaluation and how the results of those evaluations will be communicated with GoI and </w:t>
            </w:r>
            <w:r w:rsidR="00E5486D" w:rsidRPr="007277E8">
              <w:rPr>
                <w:i/>
                <w:color w:val="1F497D" w:themeColor="text2"/>
                <w:lang w:val="en-GB"/>
              </w:rPr>
              <w:t xml:space="preserve">be </w:t>
            </w:r>
            <w:r w:rsidR="007277E8" w:rsidRPr="007277E8">
              <w:rPr>
                <w:i/>
                <w:color w:val="1F497D" w:themeColor="text2"/>
                <w:lang w:val="en-GB"/>
              </w:rPr>
              <w:t>used</w:t>
            </w:r>
            <w:r w:rsidR="00E5486D" w:rsidRPr="007277E8">
              <w:rPr>
                <w:i/>
                <w:color w:val="1F497D" w:themeColor="text2"/>
                <w:lang w:val="en-GB"/>
              </w:rPr>
              <w:t xml:space="preserve"> for the design of the new infrastructure investment. </w:t>
            </w:r>
            <w:r w:rsidR="007277E8" w:rsidRPr="007277E8">
              <w:rPr>
                <w:i/>
                <w:color w:val="1F497D" w:themeColor="text2"/>
                <w:lang w:val="en-GB"/>
              </w:rPr>
              <w:t>DFAT has also sort external advice about how the evaluation arrangements within</w:t>
            </w:r>
            <w:r w:rsidR="007277E8">
              <w:rPr>
                <w:i/>
                <w:color w:val="1F497D" w:themeColor="text2"/>
                <w:lang w:val="en-GB"/>
              </w:rPr>
              <w:t xml:space="preserve"> the</w:t>
            </w:r>
            <w:r w:rsidR="007277E8" w:rsidRPr="007277E8">
              <w:rPr>
                <w:i/>
                <w:color w:val="1F497D" w:themeColor="text2"/>
                <w:lang w:val="en-GB"/>
              </w:rPr>
              <w:t xml:space="preserve"> IndII</w:t>
            </w:r>
            <w:r w:rsidR="007277E8">
              <w:rPr>
                <w:i/>
                <w:color w:val="1F497D" w:themeColor="text2"/>
                <w:lang w:val="en-GB"/>
              </w:rPr>
              <w:t xml:space="preserve"> program can be improved to meet the information needs of all stakeholders.  </w:t>
            </w:r>
            <w:r w:rsidR="007277E8" w:rsidRPr="007277E8">
              <w:rPr>
                <w:i/>
                <w:color w:val="1F497D" w:themeColor="text2"/>
                <w:lang w:val="en-GB"/>
              </w:rPr>
              <w:t xml:space="preserve"> </w:t>
            </w:r>
          </w:p>
          <w:p w:rsidR="007D0D69" w:rsidRPr="005E6A35" w:rsidRDefault="007277E8" w:rsidP="007277E8">
            <w:pPr>
              <w:spacing w:before="120" w:after="0" w:line="240" w:lineRule="auto"/>
              <w:rPr>
                <w:color w:val="548DD4" w:themeColor="text2" w:themeTint="99"/>
                <w:lang w:val="en-GB"/>
              </w:rPr>
            </w:pPr>
            <w:r>
              <w:rPr>
                <w:color w:val="1F497D" w:themeColor="text2"/>
                <w:lang w:val="en-GB"/>
              </w:rPr>
              <w:t xml:space="preserve"> </w:t>
            </w:r>
          </w:p>
        </w:tc>
      </w:tr>
      <w:tr w:rsidR="003C5A2A" w:rsidRPr="00BA2EDF" w:rsidTr="00C25885">
        <w:trPr>
          <w:trHeight w:val="1363"/>
        </w:trPr>
        <w:tc>
          <w:tcPr>
            <w:tcW w:w="534" w:type="dxa"/>
          </w:tcPr>
          <w:p w:rsidR="003C5A2A" w:rsidRPr="00BA2EDF" w:rsidRDefault="003C5A2A" w:rsidP="008D1E92">
            <w:pPr>
              <w:spacing w:before="120" w:after="0" w:line="240" w:lineRule="auto"/>
              <w:rPr>
                <w:lang w:val="en-GB"/>
              </w:rPr>
            </w:pPr>
            <w:r w:rsidRPr="00BA2EDF">
              <w:rPr>
                <w:lang w:val="en-GB"/>
              </w:rPr>
              <w:t>10</w:t>
            </w:r>
          </w:p>
        </w:tc>
        <w:tc>
          <w:tcPr>
            <w:tcW w:w="7991" w:type="dxa"/>
          </w:tcPr>
          <w:p w:rsidR="00BA2EDF" w:rsidRPr="00BA2EDF" w:rsidRDefault="00BA2EDF" w:rsidP="008D1E92">
            <w:pPr>
              <w:spacing w:before="120" w:after="0" w:line="240" w:lineRule="auto"/>
            </w:pPr>
            <w:r w:rsidRPr="00BA2EDF">
              <w:t>IndII should ensure that planned impact studies capture evidence of gender equality impacts; and identify the implications and lessons of the gender categorisations</w:t>
            </w:r>
          </w:p>
          <w:p w:rsidR="00BA2EDF" w:rsidRPr="00BA2EDF" w:rsidRDefault="00BA2EDF" w:rsidP="008D1E92">
            <w:pPr>
              <w:spacing w:before="120" w:after="0" w:line="240" w:lineRule="auto"/>
            </w:pPr>
          </w:p>
          <w:p w:rsidR="00940ED3" w:rsidRPr="007277E8" w:rsidRDefault="0059202E" w:rsidP="008D1E92">
            <w:pPr>
              <w:spacing w:before="120" w:after="0" w:line="240" w:lineRule="auto"/>
              <w:rPr>
                <w:b/>
                <w:i/>
                <w:color w:val="1F497D" w:themeColor="text2"/>
                <w:lang w:val="en-GB"/>
              </w:rPr>
            </w:pPr>
            <w:r w:rsidRPr="007277E8">
              <w:rPr>
                <w:b/>
                <w:i/>
                <w:color w:val="1F497D" w:themeColor="text2"/>
                <w:lang w:val="en-GB"/>
              </w:rPr>
              <w:t>Accepted</w:t>
            </w:r>
            <w:r w:rsidR="00C25885" w:rsidRPr="007277E8">
              <w:rPr>
                <w:b/>
                <w:i/>
                <w:color w:val="1F497D" w:themeColor="text2"/>
                <w:lang w:val="en-GB"/>
              </w:rPr>
              <w:t>.</w:t>
            </w:r>
            <w:r w:rsidR="00412E55">
              <w:rPr>
                <w:b/>
                <w:i/>
                <w:color w:val="1F497D" w:themeColor="text2"/>
                <w:lang w:val="en-GB"/>
              </w:rPr>
              <w:t xml:space="preserve"> To be discussed with IndII in June/July 2015.  </w:t>
            </w:r>
          </w:p>
          <w:p w:rsidR="009A6AB2" w:rsidRPr="007277E8" w:rsidRDefault="00963997" w:rsidP="008D1E92">
            <w:pPr>
              <w:spacing w:before="120" w:after="0" w:line="240" w:lineRule="auto"/>
              <w:rPr>
                <w:i/>
                <w:color w:val="1F497D" w:themeColor="text2"/>
                <w:lang w:val="en-GB"/>
              </w:rPr>
            </w:pPr>
            <w:r w:rsidRPr="007277E8">
              <w:rPr>
                <w:i/>
                <w:color w:val="1F497D" w:themeColor="text2"/>
                <w:lang w:val="en-GB"/>
              </w:rPr>
              <w:t xml:space="preserve">This has already been partially implemented. In 2012, IndII undertook a gender evaluation of the Water Hibah program. In early 2014, IndII also undertook an internal review of how gender was being integrated into IndII activities. </w:t>
            </w:r>
            <w:r w:rsidR="00650A3D" w:rsidRPr="007277E8">
              <w:rPr>
                <w:i/>
                <w:color w:val="1F497D" w:themeColor="text2"/>
                <w:lang w:val="en-GB"/>
              </w:rPr>
              <w:t xml:space="preserve">This latter report (which was provided to the IAT), will also be provided to </w:t>
            </w:r>
            <w:r w:rsidR="009A6AB2" w:rsidRPr="007277E8">
              <w:rPr>
                <w:i/>
                <w:color w:val="1F497D" w:themeColor="text2"/>
                <w:lang w:val="en-GB"/>
              </w:rPr>
              <w:t xml:space="preserve">the team designing the new infrastructure assistance package in 2015. </w:t>
            </w:r>
          </w:p>
          <w:p w:rsidR="00963997" w:rsidRPr="007277E8" w:rsidRDefault="009A6AB2" w:rsidP="008D1E92">
            <w:pPr>
              <w:spacing w:before="120" w:after="0" w:line="240" w:lineRule="auto"/>
              <w:rPr>
                <w:i/>
                <w:color w:val="1F497D" w:themeColor="text2"/>
                <w:lang w:val="en-GB"/>
              </w:rPr>
            </w:pPr>
            <w:r w:rsidRPr="007277E8">
              <w:rPr>
                <w:i/>
                <w:color w:val="1F497D" w:themeColor="text2"/>
                <w:lang w:val="en-GB"/>
              </w:rPr>
              <w:t>In its discussions with IndII on IndII’s evaluation plan for the extension, DFAT will also discuss h</w:t>
            </w:r>
            <w:r w:rsidR="003B10CF">
              <w:rPr>
                <w:i/>
                <w:color w:val="1F497D" w:themeColor="text2"/>
                <w:lang w:val="en-GB"/>
              </w:rPr>
              <w:t xml:space="preserve">ow gender indicators are being </w:t>
            </w:r>
            <w:r w:rsidRPr="007277E8">
              <w:rPr>
                <w:i/>
                <w:color w:val="1F497D" w:themeColor="text2"/>
                <w:lang w:val="en-GB"/>
              </w:rPr>
              <w:t xml:space="preserve">collected and reported on. </w:t>
            </w:r>
          </w:p>
          <w:p w:rsidR="007277E8" w:rsidRPr="00BA2EDF" w:rsidRDefault="007277E8" w:rsidP="008D1E92">
            <w:pPr>
              <w:spacing w:before="120" w:after="0" w:line="240" w:lineRule="auto"/>
              <w:rPr>
                <w:caps/>
                <w:color w:val="4F81BD" w:themeColor="accent1"/>
                <w:lang w:val="en-GB"/>
              </w:rPr>
            </w:pPr>
          </w:p>
        </w:tc>
      </w:tr>
    </w:tbl>
    <w:p w:rsidR="00EE2D11" w:rsidRPr="00BA2EDF" w:rsidRDefault="00EE2D11" w:rsidP="008D1E92">
      <w:pPr>
        <w:spacing w:before="120" w:after="0" w:line="240" w:lineRule="auto"/>
        <w:rPr>
          <w:rFonts w:cstheme="minorHAnsi"/>
        </w:rPr>
      </w:pPr>
    </w:p>
    <w:p w:rsidR="00105964" w:rsidRDefault="00105964" w:rsidP="008D1E92">
      <w:pPr>
        <w:spacing w:before="120" w:after="0" w:line="240" w:lineRule="auto"/>
      </w:pPr>
    </w:p>
    <w:sectPr w:rsidR="00105964" w:rsidSect="00240A65">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78E" w:rsidRDefault="0031178E" w:rsidP="002B0554">
      <w:pPr>
        <w:spacing w:after="0" w:line="240" w:lineRule="auto"/>
      </w:pPr>
      <w:r>
        <w:separator/>
      </w:r>
    </w:p>
  </w:endnote>
  <w:endnote w:type="continuationSeparator" w:id="0">
    <w:p w:rsidR="0031178E" w:rsidRDefault="0031178E" w:rsidP="002B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E" w:rsidRDefault="00AE0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E" w:rsidRDefault="00AE0F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E" w:rsidRDefault="00AE0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78E" w:rsidRDefault="0031178E" w:rsidP="002B0554">
      <w:pPr>
        <w:spacing w:after="0" w:line="240" w:lineRule="auto"/>
      </w:pPr>
      <w:r>
        <w:separator/>
      </w:r>
    </w:p>
  </w:footnote>
  <w:footnote w:type="continuationSeparator" w:id="0">
    <w:p w:rsidR="0031178E" w:rsidRDefault="0031178E" w:rsidP="002B0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E" w:rsidRDefault="00AE0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E" w:rsidRDefault="00AE0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3E" w:rsidRDefault="00AE0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4F44"/>
    <w:multiLevelType w:val="hybridMultilevel"/>
    <w:tmpl w:val="70E8E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A427DE7"/>
    <w:multiLevelType w:val="hybridMultilevel"/>
    <w:tmpl w:val="2DD4A3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E7B0BCF"/>
    <w:multiLevelType w:val="hybridMultilevel"/>
    <w:tmpl w:val="27D0D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7302501"/>
    <w:multiLevelType w:val="hybridMultilevel"/>
    <w:tmpl w:val="9620B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C643045"/>
    <w:multiLevelType w:val="hybridMultilevel"/>
    <w:tmpl w:val="1DDE5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2011F8F"/>
    <w:multiLevelType w:val="hybridMultilevel"/>
    <w:tmpl w:val="E2C4FB96"/>
    <w:lvl w:ilvl="0" w:tplc="CBB4388A">
      <w:start w:val="1"/>
      <w:numFmt w:val="decimal"/>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C32175"/>
    <w:multiLevelType w:val="hybridMultilevel"/>
    <w:tmpl w:val="6F207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A491802"/>
    <w:multiLevelType w:val="hybridMultilevel"/>
    <w:tmpl w:val="96C8F4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nsid w:val="4BB640B8"/>
    <w:multiLevelType w:val="hybridMultilevel"/>
    <w:tmpl w:val="BFC0E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CA33A2"/>
    <w:multiLevelType w:val="hybridMultilevel"/>
    <w:tmpl w:val="7C846B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4E23055"/>
    <w:multiLevelType w:val="hybridMultilevel"/>
    <w:tmpl w:val="834A2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6967D4E"/>
    <w:multiLevelType w:val="hybridMultilevel"/>
    <w:tmpl w:val="CE36775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12">
    <w:nsid w:val="64CE117F"/>
    <w:multiLevelType w:val="hybridMultilevel"/>
    <w:tmpl w:val="A48C04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7B762BF7"/>
    <w:multiLevelType w:val="hybridMultilevel"/>
    <w:tmpl w:val="D08AC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7"/>
  </w:num>
  <w:num w:numId="4">
    <w:abstractNumId w:val="4"/>
  </w:num>
  <w:num w:numId="5">
    <w:abstractNumId w:val="3"/>
  </w:num>
  <w:num w:numId="6">
    <w:abstractNumId w:val="6"/>
  </w:num>
  <w:num w:numId="7">
    <w:abstractNumId w:val="0"/>
  </w:num>
  <w:num w:numId="8">
    <w:abstractNumId w:val="10"/>
  </w:num>
  <w:num w:numId="9">
    <w:abstractNumId w:val="8"/>
  </w:num>
  <w:num w:numId="10">
    <w:abstractNumId w:val="11"/>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EF"/>
    <w:rsid w:val="00003EDE"/>
    <w:rsid w:val="00007AD4"/>
    <w:rsid w:val="00013E10"/>
    <w:rsid w:val="00015D83"/>
    <w:rsid w:val="0005124A"/>
    <w:rsid w:val="00060AC4"/>
    <w:rsid w:val="000707A2"/>
    <w:rsid w:val="00084107"/>
    <w:rsid w:val="00085F5E"/>
    <w:rsid w:val="00095781"/>
    <w:rsid w:val="000A7024"/>
    <w:rsid w:val="000B22FC"/>
    <w:rsid w:val="000D18B6"/>
    <w:rsid w:val="000E2BAD"/>
    <w:rsid w:val="000F209C"/>
    <w:rsid w:val="00105964"/>
    <w:rsid w:val="00107760"/>
    <w:rsid w:val="00115E7A"/>
    <w:rsid w:val="00122504"/>
    <w:rsid w:val="00131572"/>
    <w:rsid w:val="00133824"/>
    <w:rsid w:val="001342BE"/>
    <w:rsid w:val="00134372"/>
    <w:rsid w:val="00161A7B"/>
    <w:rsid w:val="00165335"/>
    <w:rsid w:val="00174F2F"/>
    <w:rsid w:val="00181109"/>
    <w:rsid w:val="001974A6"/>
    <w:rsid w:val="001A0298"/>
    <w:rsid w:val="001A7500"/>
    <w:rsid w:val="001D12EF"/>
    <w:rsid w:val="001E1B59"/>
    <w:rsid w:val="001E670B"/>
    <w:rsid w:val="001F37C1"/>
    <w:rsid w:val="00231737"/>
    <w:rsid w:val="00240A65"/>
    <w:rsid w:val="00242A27"/>
    <w:rsid w:val="00261EF2"/>
    <w:rsid w:val="002724F4"/>
    <w:rsid w:val="00281BE3"/>
    <w:rsid w:val="002B0554"/>
    <w:rsid w:val="002B632B"/>
    <w:rsid w:val="002D45F5"/>
    <w:rsid w:val="002E2BAB"/>
    <w:rsid w:val="002E6869"/>
    <w:rsid w:val="002F1922"/>
    <w:rsid w:val="002F3CDC"/>
    <w:rsid w:val="002F49DA"/>
    <w:rsid w:val="002F7EED"/>
    <w:rsid w:val="0031178E"/>
    <w:rsid w:val="003201D4"/>
    <w:rsid w:val="00326821"/>
    <w:rsid w:val="003340D5"/>
    <w:rsid w:val="003A0B6F"/>
    <w:rsid w:val="003A10B7"/>
    <w:rsid w:val="003A4F6E"/>
    <w:rsid w:val="003A7FEA"/>
    <w:rsid w:val="003B10CF"/>
    <w:rsid w:val="003C0A5E"/>
    <w:rsid w:val="003C5A2A"/>
    <w:rsid w:val="003D3ACC"/>
    <w:rsid w:val="003E28C9"/>
    <w:rsid w:val="003F2376"/>
    <w:rsid w:val="003F4BA5"/>
    <w:rsid w:val="00412E55"/>
    <w:rsid w:val="00414C4C"/>
    <w:rsid w:val="00451AA7"/>
    <w:rsid w:val="00467DBC"/>
    <w:rsid w:val="00490087"/>
    <w:rsid w:val="004965B6"/>
    <w:rsid w:val="00503852"/>
    <w:rsid w:val="00504DF6"/>
    <w:rsid w:val="00507BB4"/>
    <w:rsid w:val="00531BA5"/>
    <w:rsid w:val="00533C7E"/>
    <w:rsid w:val="005453D6"/>
    <w:rsid w:val="00567918"/>
    <w:rsid w:val="00581646"/>
    <w:rsid w:val="00583FEA"/>
    <w:rsid w:val="00591077"/>
    <w:rsid w:val="0059202E"/>
    <w:rsid w:val="005A4A99"/>
    <w:rsid w:val="005B2962"/>
    <w:rsid w:val="005D12FC"/>
    <w:rsid w:val="005E3411"/>
    <w:rsid w:val="005E6612"/>
    <w:rsid w:val="005E6A35"/>
    <w:rsid w:val="00600061"/>
    <w:rsid w:val="00600304"/>
    <w:rsid w:val="006132A5"/>
    <w:rsid w:val="006135E3"/>
    <w:rsid w:val="006153B3"/>
    <w:rsid w:val="00617BE8"/>
    <w:rsid w:val="00650A3D"/>
    <w:rsid w:val="00657E18"/>
    <w:rsid w:val="0066606F"/>
    <w:rsid w:val="006668CA"/>
    <w:rsid w:val="00670325"/>
    <w:rsid w:val="00671C90"/>
    <w:rsid w:val="00676670"/>
    <w:rsid w:val="00677421"/>
    <w:rsid w:val="006834B3"/>
    <w:rsid w:val="0069136F"/>
    <w:rsid w:val="006B032B"/>
    <w:rsid w:val="006B0C42"/>
    <w:rsid w:val="006B7A0D"/>
    <w:rsid w:val="006E62DD"/>
    <w:rsid w:val="006E6B61"/>
    <w:rsid w:val="007277E8"/>
    <w:rsid w:val="00740A4C"/>
    <w:rsid w:val="007523D5"/>
    <w:rsid w:val="00766EC6"/>
    <w:rsid w:val="00792757"/>
    <w:rsid w:val="007B2E07"/>
    <w:rsid w:val="007C3AD7"/>
    <w:rsid w:val="007D0D69"/>
    <w:rsid w:val="007D2F63"/>
    <w:rsid w:val="007E18DF"/>
    <w:rsid w:val="007F40B9"/>
    <w:rsid w:val="008247D4"/>
    <w:rsid w:val="008450B0"/>
    <w:rsid w:val="00845797"/>
    <w:rsid w:val="00865444"/>
    <w:rsid w:val="008B22D1"/>
    <w:rsid w:val="008B26B7"/>
    <w:rsid w:val="008D1E92"/>
    <w:rsid w:val="008E3BCD"/>
    <w:rsid w:val="00921298"/>
    <w:rsid w:val="00925894"/>
    <w:rsid w:val="00930EE9"/>
    <w:rsid w:val="00936675"/>
    <w:rsid w:val="00940ED3"/>
    <w:rsid w:val="00963997"/>
    <w:rsid w:val="00980AB7"/>
    <w:rsid w:val="00980B78"/>
    <w:rsid w:val="009A6AB2"/>
    <w:rsid w:val="009D1A49"/>
    <w:rsid w:val="009E4001"/>
    <w:rsid w:val="00A25769"/>
    <w:rsid w:val="00A40936"/>
    <w:rsid w:val="00A6141C"/>
    <w:rsid w:val="00A61B84"/>
    <w:rsid w:val="00A7313E"/>
    <w:rsid w:val="00A853EF"/>
    <w:rsid w:val="00AA61A9"/>
    <w:rsid w:val="00AB1C3E"/>
    <w:rsid w:val="00AB2050"/>
    <w:rsid w:val="00AE0F3E"/>
    <w:rsid w:val="00AF45D0"/>
    <w:rsid w:val="00B161ED"/>
    <w:rsid w:val="00B42B6D"/>
    <w:rsid w:val="00B43DF0"/>
    <w:rsid w:val="00B54593"/>
    <w:rsid w:val="00B74403"/>
    <w:rsid w:val="00B76A03"/>
    <w:rsid w:val="00B77609"/>
    <w:rsid w:val="00BA0E7C"/>
    <w:rsid w:val="00BA18A4"/>
    <w:rsid w:val="00BA2EDF"/>
    <w:rsid w:val="00BE0EFE"/>
    <w:rsid w:val="00BF0E9C"/>
    <w:rsid w:val="00C11B2F"/>
    <w:rsid w:val="00C25885"/>
    <w:rsid w:val="00C375A8"/>
    <w:rsid w:val="00C601A4"/>
    <w:rsid w:val="00C67DC0"/>
    <w:rsid w:val="00C824D3"/>
    <w:rsid w:val="00C96102"/>
    <w:rsid w:val="00CA135F"/>
    <w:rsid w:val="00CA730D"/>
    <w:rsid w:val="00CB7DD1"/>
    <w:rsid w:val="00CC531E"/>
    <w:rsid w:val="00D013B1"/>
    <w:rsid w:val="00D03DB0"/>
    <w:rsid w:val="00D108DD"/>
    <w:rsid w:val="00D662E0"/>
    <w:rsid w:val="00D672EE"/>
    <w:rsid w:val="00D7521F"/>
    <w:rsid w:val="00D80739"/>
    <w:rsid w:val="00DA1431"/>
    <w:rsid w:val="00DB2DB9"/>
    <w:rsid w:val="00DC0531"/>
    <w:rsid w:val="00DC20CC"/>
    <w:rsid w:val="00DC576A"/>
    <w:rsid w:val="00DE76E0"/>
    <w:rsid w:val="00DF11DF"/>
    <w:rsid w:val="00E02058"/>
    <w:rsid w:val="00E24548"/>
    <w:rsid w:val="00E32F07"/>
    <w:rsid w:val="00E377FB"/>
    <w:rsid w:val="00E510E4"/>
    <w:rsid w:val="00E5486D"/>
    <w:rsid w:val="00E670D3"/>
    <w:rsid w:val="00E71A3C"/>
    <w:rsid w:val="00E85E43"/>
    <w:rsid w:val="00E928A2"/>
    <w:rsid w:val="00EA7B55"/>
    <w:rsid w:val="00EC52E2"/>
    <w:rsid w:val="00ED2E4B"/>
    <w:rsid w:val="00ED3972"/>
    <w:rsid w:val="00EE2D11"/>
    <w:rsid w:val="00F05662"/>
    <w:rsid w:val="00F148D4"/>
    <w:rsid w:val="00F4090B"/>
    <w:rsid w:val="00F6617E"/>
    <w:rsid w:val="00F94DF6"/>
    <w:rsid w:val="00F95376"/>
    <w:rsid w:val="00FB2219"/>
    <w:rsid w:val="00FB405C"/>
    <w:rsid w:val="00FC57E1"/>
    <w:rsid w:val="00FC5B37"/>
    <w:rsid w:val="00FD0932"/>
    <w:rsid w:val="00FF4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3A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0">
    <w:name w:val="heading 2"/>
    <w:basedOn w:val="Normal"/>
    <w:next w:val="Normal"/>
    <w:link w:val="Heading2Char"/>
    <w:uiPriority w:val="9"/>
    <w:unhideWhenUsed/>
    <w:qFormat/>
    <w:rsid w:val="003D3A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Normal"/>
    <w:rsid w:val="003C5A2A"/>
    <w:pPr>
      <w:numPr>
        <w:numId w:val="1"/>
      </w:numPr>
      <w:pBdr>
        <w:bottom w:val="single" w:sz="8" w:space="1" w:color="17365D"/>
      </w:pBdr>
      <w:spacing w:after="120" w:line="240" w:lineRule="auto"/>
    </w:pPr>
    <w:rPr>
      <w:rFonts w:ascii="Cambria" w:eastAsia="Times New Roman" w:hAnsi="Cambria" w:cs="Times New Roman"/>
      <w:b/>
      <w:caps/>
      <w:color w:val="17365D"/>
      <w:sz w:val="32"/>
      <w:szCs w:val="24"/>
    </w:rPr>
  </w:style>
  <w:style w:type="character" w:styleId="CommentReference">
    <w:name w:val="annotation reference"/>
    <w:basedOn w:val="DefaultParagraphFont"/>
    <w:uiPriority w:val="99"/>
    <w:semiHidden/>
    <w:unhideWhenUsed/>
    <w:rsid w:val="008E3BCD"/>
    <w:rPr>
      <w:sz w:val="16"/>
      <w:szCs w:val="16"/>
    </w:rPr>
  </w:style>
  <w:style w:type="paragraph" w:styleId="CommentText">
    <w:name w:val="annotation text"/>
    <w:basedOn w:val="Normal"/>
    <w:link w:val="CommentTextChar"/>
    <w:uiPriority w:val="99"/>
    <w:semiHidden/>
    <w:unhideWhenUsed/>
    <w:rsid w:val="008E3BCD"/>
    <w:pPr>
      <w:spacing w:line="240" w:lineRule="auto"/>
    </w:pPr>
    <w:rPr>
      <w:sz w:val="20"/>
      <w:szCs w:val="20"/>
    </w:rPr>
  </w:style>
  <w:style w:type="character" w:customStyle="1" w:styleId="CommentTextChar">
    <w:name w:val="Comment Text Char"/>
    <w:basedOn w:val="DefaultParagraphFont"/>
    <w:link w:val="CommentText"/>
    <w:uiPriority w:val="99"/>
    <w:semiHidden/>
    <w:rsid w:val="008E3BCD"/>
    <w:rPr>
      <w:sz w:val="20"/>
      <w:szCs w:val="20"/>
    </w:rPr>
  </w:style>
  <w:style w:type="paragraph" w:styleId="CommentSubject">
    <w:name w:val="annotation subject"/>
    <w:basedOn w:val="CommentText"/>
    <w:next w:val="CommentText"/>
    <w:link w:val="CommentSubjectChar"/>
    <w:uiPriority w:val="99"/>
    <w:semiHidden/>
    <w:unhideWhenUsed/>
    <w:rsid w:val="008E3BCD"/>
    <w:rPr>
      <w:b/>
      <w:bCs/>
    </w:rPr>
  </w:style>
  <w:style w:type="character" w:customStyle="1" w:styleId="CommentSubjectChar">
    <w:name w:val="Comment Subject Char"/>
    <w:basedOn w:val="CommentTextChar"/>
    <w:link w:val="CommentSubject"/>
    <w:uiPriority w:val="99"/>
    <w:semiHidden/>
    <w:rsid w:val="008E3BCD"/>
    <w:rPr>
      <w:b/>
      <w:bCs/>
      <w:sz w:val="20"/>
      <w:szCs w:val="20"/>
    </w:rPr>
  </w:style>
  <w:style w:type="paragraph" w:styleId="BalloonText">
    <w:name w:val="Balloon Text"/>
    <w:basedOn w:val="Normal"/>
    <w:link w:val="BalloonTextChar"/>
    <w:uiPriority w:val="99"/>
    <w:semiHidden/>
    <w:unhideWhenUsed/>
    <w:rsid w:val="008E3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BCD"/>
    <w:rPr>
      <w:rFonts w:ascii="Tahoma" w:hAnsi="Tahoma" w:cs="Tahoma"/>
      <w:sz w:val="16"/>
      <w:szCs w:val="16"/>
    </w:rPr>
  </w:style>
  <w:style w:type="paragraph" w:customStyle="1" w:styleId="Bodytxt">
    <w:name w:val="Bodytxt"/>
    <w:basedOn w:val="Normal"/>
    <w:link w:val="BodytxtChar"/>
    <w:rsid w:val="002B0554"/>
    <w:pPr>
      <w:spacing w:after="120" w:line="240" w:lineRule="auto"/>
      <w:ind w:left="720"/>
      <w:jc w:val="both"/>
    </w:pPr>
    <w:rPr>
      <w:rFonts w:ascii="Calibri" w:eastAsia="Times New Roman" w:hAnsi="Calibri" w:cs="Times New Roman"/>
      <w:szCs w:val="24"/>
    </w:rPr>
  </w:style>
  <w:style w:type="paragraph" w:styleId="FootnoteText">
    <w:name w:val="footnote text"/>
    <w:basedOn w:val="Normal"/>
    <w:link w:val="FootnoteTextChar"/>
    <w:uiPriority w:val="99"/>
    <w:rsid w:val="002B0554"/>
    <w:pPr>
      <w:spacing w:after="0" w:line="240" w:lineRule="auto"/>
    </w:pPr>
    <w:rPr>
      <w:rFonts w:ascii="Calibri" w:eastAsia="Times New Roman" w:hAnsi="Calibri" w:cs="Times New Roman"/>
      <w:sz w:val="16"/>
      <w:szCs w:val="20"/>
    </w:rPr>
  </w:style>
  <w:style w:type="character" w:customStyle="1" w:styleId="FootnoteTextChar">
    <w:name w:val="Footnote Text Char"/>
    <w:basedOn w:val="DefaultParagraphFont"/>
    <w:link w:val="FootnoteText"/>
    <w:uiPriority w:val="99"/>
    <w:rsid w:val="002B0554"/>
    <w:rPr>
      <w:rFonts w:ascii="Calibri" w:eastAsia="Times New Roman" w:hAnsi="Calibri" w:cs="Times New Roman"/>
      <w:sz w:val="16"/>
      <w:szCs w:val="20"/>
    </w:rPr>
  </w:style>
  <w:style w:type="character" w:styleId="FootnoteReference">
    <w:name w:val="footnote reference"/>
    <w:uiPriority w:val="99"/>
    <w:rsid w:val="002B0554"/>
    <w:rPr>
      <w:vertAlign w:val="superscript"/>
    </w:rPr>
  </w:style>
  <w:style w:type="character" w:customStyle="1" w:styleId="BodytxtChar">
    <w:name w:val="Bodytxt Char"/>
    <w:link w:val="Bodytxt"/>
    <w:rsid w:val="002B0554"/>
    <w:rPr>
      <w:rFonts w:ascii="Calibri" w:eastAsia="Times New Roman" w:hAnsi="Calibri" w:cs="Times New Roman"/>
      <w:szCs w:val="24"/>
    </w:rPr>
  </w:style>
  <w:style w:type="paragraph" w:styleId="ListParagraph">
    <w:name w:val="List Paragraph"/>
    <w:aliases w:val="DWA List 1,List Paragraph1,List Paragraph11"/>
    <w:basedOn w:val="Normal"/>
    <w:link w:val="ListParagraphChar"/>
    <w:uiPriority w:val="34"/>
    <w:qFormat/>
    <w:rsid w:val="002B0554"/>
    <w:pPr>
      <w:ind w:left="720"/>
      <w:contextualSpacing/>
    </w:pPr>
    <w:rPr>
      <w:rFonts w:ascii="Calibri" w:eastAsia="Calibri" w:hAnsi="Calibri" w:cs="Times New Roman"/>
    </w:rPr>
  </w:style>
  <w:style w:type="character" w:customStyle="1" w:styleId="ListParagraphChar">
    <w:name w:val="List Paragraph Char"/>
    <w:aliases w:val="DWA List 1 Char,List Paragraph1 Char,List Paragraph11 Char"/>
    <w:link w:val="ListParagraph"/>
    <w:uiPriority w:val="34"/>
    <w:rsid w:val="002B0554"/>
    <w:rPr>
      <w:rFonts w:ascii="Calibri" w:eastAsia="Calibri" w:hAnsi="Calibri" w:cs="Times New Roman"/>
    </w:rPr>
  </w:style>
  <w:style w:type="paragraph" w:styleId="Title">
    <w:name w:val="Title"/>
    <w:basedOn w:val="Normal"/>
    <w:next w:val="Normal"/>
    <w:link w:val="TitleChar"/>
    <w:uiPriority w:val="10"/>
    <w:qFormat/>
    <w:rsid w:val="003D3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3A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D3A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3A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D3A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0"/>
    <w:uiPriority w:val="9"/>
    <w:rsid w:val="003D3A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E0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F3E"/>
  </w:style>
  <w:style w:type="paragraph" w:styleId="Footer">
    <w:name w:val="footer"/>
    <w:basedOn w:val="Normal"/>
    <w:link w:val="FooterChar"/>
    <w:uiPriority w:val="99"/>
    <w:unhideWhenUsed/>
    <w:rsid w:val="00AE0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3A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0">
    <w:name w:val="heading 2"/>
    <w:basedOn w:val="Normal"/>
    <w:next w:val="Normal"/>
    <w:link w:val="Heading2Char"/>
    <w:uiPriority w:val="9"/>
    <w:unhideWhenUsed/>
    <w:qFormat/>
    <w:rsid w:val="003D3A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Normal"/>
    <w:rsid w:val="003C5A2A"/>
    <w:pPr>
      <w:numPr>
        <w:numId w:val="1"/>
      </w:numPr>
      <w:pBdr>
        <w:bottom w:val="single" w:sz="8" w:space="1" w:color="17365D"/>
      </w:pBdr>
      <w:spacing w:after="120" w:line="240" w:lineRule="auto"/>
    </w:pPr>
    <w:rPr>
      <w:rFonts w:ascii="Cambria" w:eastAsia="Times New Roman" w:hAnsi="Cambria" w:cs="Times New Roman"/>
      <w:b/>
      <w:caps/>
      <w:color w:val="17365D"/>
      <w:sz w:val="32"/>
      <w:szCs w:val="24"/>
    </w:rPr>
  </w:style>
  <w:style w:type="character" w:styleId="CommentReference">
    <w:name w:val="annotation reference"/>
    <w:basedOn w:val="DefaultParagraphFont"/>
    <w:uiPriority w:val="99"/>
    <w:semiHidden/>
    <w:unhideWhenUsed/>
    <w:rsid w:val="008E3BCD"/>
    <w:rPr>
      <w:sz w:val="16"/>
      <w:szCs w:val="16"/>
    </w:rPr>
  </w:style>
  <w:style w:type="paragraph" w:styleId="CommentText">
    <w:name w:val="annotation text"/>
    <w:basedOn w:val="Normal"/>
    <w:link w:val="CommentTextChar"/>
    <w:uiPriority w:val="99"/>
    <w:semiHidden/>
    <w:unhideWhenUsed/>
    <w:rsid w:val="008E3BCD"/>
    <w:pPr>
      <w:spacing w:line="240" w:lineRule="auto"/>
    </w:pPr>
    <w:rPr>
      <w:sz w:val="20"/>
      <w:szCs w:val="20"/>
    </w:rPr>
  </w:style>
  <w:style w:type="character" w:customStyle="1" w:styleId="CommentTextChar">
    <w:name w:val="Comment Text Char"/>
    <w:basedOn w:val="DefaultParagraphFont"/>
    <w:link w:val="CommentText"/>
    <w:uiPriority w:val="99"/>
    <w:semiHidden/>
    <w:rsid w:val="008E3BCD"/>
    <w:rPr>
      <w:sz w:val="20"/>
      <w:szCs w:val="20"/>
    </w:rPr>
  </w:style>
  <w:style w:type="paragraph" w:styleId="CommentSubject">
    <w:name w:val="annotation subject"/>
    <w:basedOn w:val="CommentText"/>
    <w:next w:val="CommentText"/>
    <w:link w:val="CommentSubjectChar"/>
    <w:uiPriority w:val="99"/>
    <w:semiHidden/>
    <w:unhideWhenUsed/>
    <w:rsid w:val="008E3BCD"/>
    <w:rPr>
      <w:b/>
      <w:bCs/>
    </w:rPr>
  </w:style>
  <w:style w:type="character" w:customStyle="1" w:styleId="CommentSubjectChar">
    <w:name w:val="Comment Subject Char"/>
    <w:basedOn w:val="CommentTextChar"/>
    <w:link w:val="CommentSubject"/>
    <w:uiPriority w:val="99"/>
    <w:semiHidden/>
    <w:rsid w:val="008E3BCD"/>
    <w:rPr>
      <w:b/>
      <w:bCs/>
      <w:sz w:val="20"/>
      <w:szCs w:val="20"/>
    </w:rPr>
  </w:style>
  <w:style w:type="paragraph" w:styleId="BalloonText">
    <w:name w:val="Balloon Text"/>
    <w:basedOn w:val="Normal"/>
    <w:link w:val="BalloonTextChar"/>
    <w:uiPriority w:val="99"/>
    <w:semiHidden/>
    <w:unhideWhenUsed/>
    <w:rsid w:val="008E3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BCD"/>
    <w:rPr>
      <w:rFonts w:ascii="Tahoma" w:hAnsi="Tahoma" w:cs="Tahoma"/>
      <w:sz w:val="16"/>
      <w:szCs w:val="16"/>
    </w:rPr>
  </w:style>
  <w:style w:type="paragraph" w:customStyle="1" w:styleId="Bodytxt">
    <w:name w:val="Bodytxt"/>
    <w:basedOn w:val="Normal"/>
    <w:link w:val="BodytxtChar"/>
    <w:rsid w:val="002B0554"/>
    <w:pPr>
      <w:spacing w:after="120" w:line="240" w:lineRule="auto"/>
      <w:ind w:left="720"/>
      <w:jc w:val="both"/>
    </w:pPr>
    <w:rPr>
      <w:rFonts w:ascii="Calibri" w:eastAsia="Times New Roman" w:hAnsi="Calibri" w:cs="Times New Roman"/>
      <w:szCs w:val="24"/>
    </w:rPr>
  </w:style>
  <w:style w:type="paragraph" w:styleId="FootnoteText">
    <w:name w:val="footnote text"/>
    <w:basedOn w:val="Normal"/>
    <w:link w:val="FootnoteTextChar"/>
    <w:uiPriority w:val="99"/>
    <w:rsid w:val="002B0554"/>
    <w:pPr>
      <w:spacing w:after="0" w:line="240" w:lineRule="auto"/>
    </w:pPr>
    <w:rPr>
      <w:rFonts w:ascii="Calibri" w:eastAsia="Times New Roman" w:hAnsi="Calibri" w:cs="Times New Roman"/>
      <w:sz w:val="16"/>
      <w:szCs w:val="20"/>
    </w:rPr>
  </w:style>
  <w:style w:type="character" w:customStyle="1" w:styleId="FootnoteTextChar">
    <w:name w:val="Footnote Text Char"/>
    <w:basedOn w:val="DefaultParagraphFont"/>
    <w:link w:val="FootnoteText"/>
    <w:uiPriority w:val="99"/>
    <w:rsid w:val="002B0554"/>
    <w:rPr>
      <w:rFonts w:ascii="Calibri" w:eastAsia="Times New Roman" w:hAnsi="Calibri" w:cs="Times New Roman"/>
      <w:sz w:val="16"/>
      <w:szCs w:val="20"/>
    </w:rPr>
  </w:style>
  <w:style w:type="character" w:styleId="FootnoteReference">
    <w:name w:val="footnote reference"/>
    <w:uiPriority w:val="99"/>
    <w:rsid w:val="002B0554"/>
    <w:rPr>
      <w:vertAlign w:val="superscript"/>
    </w:rPr>
  </w:style>
  <w:style w:type="character" w:customStyle="1" w:styleId="BodytxtChar">
    <w:name w:val="Bodytxt Char"/>
    <w:link w:val="Bodytxt"/>
    <w:rsid w:val="002B0554"/>
    <w:rPr>
      <w:rFonts w:ascii="Calibri" w:eastAsia="Times New Roman" w:hAnsi="Calibri" w:cs="Times New Roman"/>
      <w:szCs w:val="24"/>
    </w:rPr>
  </w:style>
  <w:style w:type="paragraph" w:styleId="ListParagraph">
    <w:name w:val="List Paragraph"/>
    <w:aliases w:val="DWA List 1,List Paragraph1,List Paragraph11"/>
    <w:basedOn w:val="Normal"/>
    <w:link w:val="ListParagraphChar"/>
    <w:uiPriority w:val="34"/>
    <w:qFormat/>
    <w:rsid w:val="002B0554"/>
    <w:pPr>
      <w:ind w:left="720"/>
      <w:contextualSpacing/>
    </w:pPr>
    <w:rPr>
      <w:rFonts w:ascii="Calibri" w:eastAsia="Calibri" w:hAnsi="Calibri" w:cs="Times New Roman"/>
    </w:rPr>
  </w:style>
  <w:style w:type="character" w:customStyle="1" w:styleId="ListParagraphChar">
    <w:name w:val="List Paragraph Char"/>
    <w:aliases w:val="DWA List 1 Char,List Paragraph1 Char,List Paragraph11 Char"/>
    <w:link w:val="ListParagraph"/>
    <w:uiPriority w:val="34"/>
    <w:rsid w:val="002B0554"/>
    <w:rPr>
      <w:rFonts w:ascii="Calibri" w:eastAsia="Calibri" w:hAnsi="Calibri" w:cs="Times New Roman"/>
    </w:rPr>
  </w:style>
  <w:style w:type="paragraph" w:styleId="Title">
    <w:name w:val="Title"/>
    <w:basedOn w:val="Normal"/>
    <w:next w:val="Normal"/>
    <w:link w:val="TitleChar"/>
    <w:uiPriority w:val="10"/>
    <w:qFormat/>
    <w:rsid w:val="003D3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3A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D3A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3A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D3A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0"/>
    <w:uiPriority w:val="9"/>
    <w:rsid w:val="003D3A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E0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F3E"/>
  </w:style>
  <w:style w:type="paragraph" w:styleId="Footer">
    <w:name w:val="footer"/>
    <w:basedOn w:val="Normal"/>
    <w:link w:val="FooterChar"/>
    <w:uiPriority w:val="99"/>
    <w:unhideWhenUsed/>
    <w:rsid w:val="00AE0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14599">
      <w:bodyDiv w:val="1"/>
      <w:marLeft w:val="0"/>
      <w:marRight w:val="0"/>
      <w:marTop w:val="0"/>
      <w:marBottom w:val="0"/>
      <w:divBdr>
        <w:top w:val="none" w:sz="0" w:space="0" w:color="auto"/>
        <w:left w:val="none" w:sz="0" w:space="0" w:color="auto"/>
        <w:bottom w:val="none" w:sz="0" w:space="0" w:color="auto"/>
        <w:right w:val="none" w:sz="0" w:space="0" w:color="auto"/>
      </w:divBdr>
    </w:div>
    <w:div w:id="680206438">
      <w:bodyDiv w:val="1"/>
      <w:marLeft w:val="0"/>
      <w:marRight w:val="0"/>
      <w:marTop w:val="0"/>
      <w:marBottom w:val="0"/>
      <w:divBdr>
        <w:top w:val="none" w:sz="0" w:space="0" w:color="auto"/>
        <w:left w:val="none" w:sz="0" w:space="0" w:color="auto"/>
        <w:bottom w:val="none" w:sz="0" w:space="0" w:color="auto"/>
        <w:right w:val="none" w:sz="0" w:space="0" w:color="auto"/>
      </w:divBdr>
    </w:div>
    <w:div w:id="135148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D22BB-1E7D-447F-B2AC-3893C74F3555}"/>
</file>

<file path=customXml/itemProps2.xml><?xml version="1.0" encoding="utf-8"?>
<ds:datastoreItem xmlns:ds="http://schemas.openxmlformats.org/officeDocument/2006/customXml" ds:itemID="{54630CCC-F6BA-49F7-B68A-1FB542E13589}"/>
</file>

<file path=customXml/itemProps3.xml><?xml version="1.0" encoding="utf-8"?>
<ds:datastoreItem xmlns:ds="http://schemas.openxmlformats.org/officeDocument/2006/customXml" ds:itemID="{6A0A09C7-6DDA-4F90-B592-387126650894}"/>
</file>

<file path=customXml/itemProps4.xml><?xml version="1.0" encoding="utf-8"?>
<ds:datastoreItem xmlns:ds="http://schemas.openxmlformats.org/officeDocument/2006/customXml" ds:itemID="{5100064B-91D2-4F1D-A20B-37B5144010A0}"/>
</file>

<file path=docProps/app.xml><?xml version="1.0" encoding="utf-8"?>
<Properties xmlns="http://schemas.openxmlformats.org/officeDocument/2006/extended-properties" xmlns:vt="http://schemas.openxmlformats.org/officeDocument/2006/docPropsVTypes">
  <Template>78056458</Template>
  <TotalTime>2</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Sue-Ellen O'Farrell</dc:creator>
  <cp:lastModifiedBy>Junck, Erin</cp:lastModifiedBy>
  <cp:revision>3</cp:revision>
  <dcterms:created xsi:type="dcterms:W3CDTF">2016-05-12T01:46:00Z</dcterms:created>
  <dcterms:modified xsi:type="dcterms:W3CDTF">2016-05-17T06:17:00Z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0064ce7a-5219-4404-a335-fe51c1d68398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1035400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