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2A" w:rsidRPr="000A7024" w:rsidRDefault="001D12EF" w:rsidP="003A4F6E">
      <w:pPr>
        <w:spacing w:before="120" w:after="0" w:line="240" w:lineRule="auto"/>
        <w:rPr>
          <w:b/>
          <w:sz w:val="24"/>
          <w:szCs w:val="24"/>
        </w:rPr>
      </w:pPr>
      <w:bookmarkStart w:id="0" w:name="_GoBack"/>
      <w:bookmarkEnd w:id="0"/>
      <w:r w:rsidRPr="000A7024">
        <w:rPr>
          <w:b/>
          <w:sz w:val="24"/>
          <w:szCs w:val="24"/>
        </w:rPr>
        <w:t>Management Response – IndII Impact Assessment Team, Mission 1</w:t>
      </w:r>
    </w:p>
    <w:p w:rsidR="00F148D4" w:rsidRPr="00583FEA" w:rsidRDefault="00F148D4" w:rsidP="003A4F6E">
      <w:pPr>
        <w:spacing w:before="120"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991"/>
      </w:tblGrid>
      <w:tr w:rsidR="003C5A2A" w:rsidRPr="00172727" w:rsidTr="00921298">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1</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IndII should provide DFAT with high, medium and low forecast scenarios—outlining key contingencies that may influence expenditure.  Regular updates to account for evolving circumstances will help the infrastructure unit to manage internal expectations and risks.</w:t>
            </w:r>
          </w:p>
          <w:p w:rsidR="00D03DB0" w:rsidRPr="003E28C9" w:rsidRDefault="006B0C42"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Accepted</w:t>
            </w:r>
            <w:r w:rsidR="00D03DB0" w:rsidRPr="003E28C9">
              <w:rPr>
                <w:rFonts w:ascii="Calibri" w:hAnsi="Calibri" w:cs="Calibri"/>
                <w:b w:val="0"/>
                <w:caps w:val="0"/>
                <w:color w:val="4F81BD" w:themeColor="accent1"/>
                <w:sz w:val="22"/>
                <w:szCs w:val="22"/>
                <w:lang w:val="en-GB"/>
              </w:rPr>
              <w:t xml:space="preserve">. </w:t>
            </w:r>
          </w:p>
          <w:p w:rsidR="006E62DD" w:rsidRPr="003E28C9" w:rsidRDefault="006132A5"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 xml:space="preserve">DFAT notes that IndII </w:t>
            </w:r>
            <w:r w:rsidR="00591077" w:rsidRPr="003E28C9">
              <w:rPr>
                <w:rFonts w:ascii="Calibri" w:hAnsi="Calibri" w:cs="Calibri"/>
                <w:b w:val="0"/>
                <w:caps w:val="0"/>
                <w:color w:val="4F81BD" w:themeColor="accent1"/>
                <w:sz w:val="22"/>
                <w:szCs w:val="22"/>
                <w:lang w:val="en-GB"/>
              </w:rPr>
              <w:t xml:space="preserve">has recently introduced </w:t>
            </w:r>
            <w:r w:rsidR="00115E7A" w:rsidRPr="003E28C9">
              <w:rPr>
                <w:rFonts w:ascii="Calibri" w:hAnsi="Calibri" w:cs="Calibri"/>
                <w:b w:val="0"/>
                <w:caps w:val="0"/>
                <w:color w:val="4F81BD" w:themeColor="accent1"/>
                <w:sz w:val="22"/>
                <w:szCs w:val="22"/>
                <w:lang w:val="en-GB"/>
              </w:rPr>
              <w:t xml:space="preserve">an </w:t>
            </w:r>
            <w:r w:rsidR="00591077" w:rsidRPr="003E28C9">
              <w:rPr>
                <w:rFonts w:ascii="Calibri" w:hAnsi="Calibri" w:cs="Calibri"/>
                <w:b w:val="0"/>
                <w:caps w:val="0"/>
                <w:color w:val="4F81BD" w:themeColor="accent1"/>
                <w:sz w:val="22"/>
                <w:szCs w:val="22"/>
                <w:lang w:val="en-GB"/>
              </w:rPr>
              <w:t>enhanced</w:t>
            </w:r>
            <w:r w:rsidRPr="003E28C9">
              <w:rPr>
                <w:rFonts w:ascii="Calibri" w:hAnsi="Calibri" w:cs="Calibri"/>
                <w:b w:val="0"/>
                <w:caps w:val="0"/>
                <w:color w:val="4F81BD" w:themeColor="accent1"/>
                <w:sz w:val="22"/>
                <w:szCs w:val="22"/>
                <w:lang w:val="en-GB"/>
              </w:rPr>
              <w:t xml:space="preserve"> </w:t>
            </w:r>
            <w:r w:rsidR="00591077" w:rsidRPr="003E28C9">
              <w:rPr>
                <w:rFonts w:ascii="Calibri" w:hAnsi="Calibri" w:cs="Calibri"/>
                <w:b w:val="0"/>
                <w:caps w:val="0"/>
                <w:color w:val="4F81BD" w:themeColor="accent1"/>
                <w:sz w:val="22"/>
                <w:szCs w:val="22"/>
                <w:lang w:val="en-GB"/>
              </w:rPr>
              <w:t xml:space="preserve">system of </w:t>
            </w:r>
            <w:r w:rsidRPr="003E28C9">
              <w:rPr>
                <w:rFonts w:ascii="Calibri" w:hAnsi="Calibri" w:cs="Calibri"/>
                <w:b w:val="0"/>
                <w:caps w:val="0"/>
                <w:color w:val="4F81BD" w:themeColor="accent1"/>
                <w:sz w:val="22"/>
                <w:szCs w:val="22"/>
                <w:lang w:val="en-GB"/>
              </w:rPr>
              <w:t xml:space="preserve">budget </w:t>
            </w:r>
            <w:r w:rsidR="00E510E4" w:rsidRPr="003E28C9">
              <w:rPr>
                <w:rFonts w:ascii="Calibri" w:hAnsi="Calibri" w:cs="Calibri"/>
                <w:b w:val="0"/>
                <w:caps w:val="0"/>
                <w:color w:val="4F81BD" w:themeColor="accent1"/>
                <w:sz w:val="22"/>
                <w:szCs w:val="22"/>
                <w:lang w:val="en-GB"/>
              </w:rPr>
              <w:t xml:space="preserve">forecasts and </w:t>
            </w:r>
            <w:r w:rsidRPr="003E28C9">
              <w:rPr>
                <w:rFonts w:ascii="Calibri" w:hAnsi="Calibri" w:cs="Calibri"/>
                <w:b w:val="0"/>
                <w:caps w:val="0"/>
                <w:color w:val="4F81BD" w:themeColor="accent1"/>
                <w:sz w:val="22"/>
                <w:szCs w:val="22"/>
                <w:lang w:val="en-GB"/>
              </w:rPr>
              <w:t>expenditure</w:t>
            </w:r>
            <w:r w:rsidR="00591077" w:rsidRPr="003E28C9">
              <w:rPr>
                <w:rFonts w:ascii="Calibri" w:hAnsi="Calibri" w:cs="Calibri"/>
                <w:b w:val="0"/>
                <w:caps w:val="0"/>
                <w:color w:val="4F81BD" w:themeColor="accent1"/>
                <w:sz w:val="22"/>
                <w:szCs w:val="22"/>
                <w:lang w:val="en-GB"/>
              </w:rPr>
              <w:t xml:space="preserve"> reporting</w:t>
            </w:r>
            <w:r w:rsidRPr="003E28C9">
              <w:rPr>
                <w:rFonts w:ascii="Calibri" w:hAnsi="Calibri" w:cs="Calibri"/>
                <w:b w:val="0"/>
                <w:caps w:val="0"/>
                <w:color w:val="4F81BD" w:themeColor="accent1"/>
                <w:sz w:val="22"/>
                <w:szCs w:val="22"/>
                <w:lang w:val="en-GB"/>
              </w:rPr>
              <w:t xml:space="preserve"> based on the different stages of approval or contracting. </w:t>
            </w:r>
            <w:r w:rsidR="00B74403" w:rsidRPr="003E28C9">
              <w:rPr>
                <w:rFonts w:ascii="Calibri" w:hAnsi="Calibri" w:cs="Calibri"/>
                <w:b w:val="0"/>
                <w:caps w:val="0"/>
                <w:color w:val="4F81BD" w:themeColor="accent1"/>
                <w:sz w:val="22"/>
                <w:szCs w:val="22"/>
                <w:lang w:val="en-GB"/>
              </w:rPr>
              <w:t xml:space="preserve">This has been incorporated into the dashboard and discussed in monthly management meetings. </w:t>
            </w:r>
          </w:p>
          <w:p w:rsidR="006132A5" w:rsidRPr="00172727" w:rsidRDefault="006132A5" w:rsidP="006132A5">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p>
        </w:tc>
      </w:tr>
      <w:tr w:rsidR="003C5A2A" w:rsidRPr="00172727" w:rsidTr="00921298">
        <w:trPr>
          <w:trHeight w:val="1964"/>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2</w:t>
            </w:r>
          </w:p>
        </w:tc>
        <w:tc>
          <w:tcPr>
            <w:tcW w:w="7991" w:type="dxa"/>
          </w:tcPr>
          <w:p w:rsidR="003C5A2A"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should consider nominating a band for acceptable financial forecast accuracy.</w:t>
            </w:r>
          </w:p>
          <w:p w:rsidR="00D03DB0" w:rsidRPr="003E28C9" w:rsidRDefault="00D03DB0"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Accepted</w:t>
            </w:r>
            <w:r w:rsidR="00231737" w:rsidRPr="003E28C9">
              <w:rPr>
                <w:rFonts w:ascii="Calibri" w:hAnsi="Calibri" w:cs="Calibri"/>
                <w:b w:val="0"/>
                <w:caps w:val="0"/>
                <w:color w:val="4F81BD" w:themeColor="accent1"/>
                <w:sz w:val="22"/>
                <w:szCs w:val="22"/>
                <w:lang w:val="en-GB"/>
              </w:rPr>
              <w:t>.</w:t>
            </w:r>
          </w:p>
          <w:p w:rsidR="00940ED3" w:rsidRPr="003E28C9" w:rsidRDefault="006E62DD" w:rsidP="00231737">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 xml:space="preserve">DFAT will </w:t>
            </w:r>
            <w:r w:rsidR="00600304" w:rsidRPr="003E28C9">
              <w:rPr>
                <w:rFonts w:ascii="Calibri" w:hAnsi="Calibri" w:cs="Calibri"/>
                <w:b w:val="0"/>
                <w:caps w:val="0"/>
                <w:color w:val="4F81BD" w:themeColor="accent1"/>
                <w:sz w:val="22"/>
                <w:szCs w:val="22"/>
                <w:lang w:val="en-GB"/>
              </w:rPr>
              <w:t xml:space="preserve">discuss </w:t>
            </w:r>
            <w:r w:rsidRPr="003E28C9">
              <w:rPr>
                <w:rFonts w:ascii="Calibri" w:hAnsi="Calibri" w:cs="Calibri"/>
                <w:b w:val="0"/>
                <w:caps w:val="0"/>
                <w:color w:val="4F81BD" w:themeColor="accent1"/>
                <w:sz w:val="22"/>
                <w:szCs w:val="22"/>
                <w:lang w:val="en-GB"/>
              </w:rPr>
              <w:t xml:space="preserve">nominating a band of 10% at the beginning of each financial year. As the year progresses, this band will be reduced, reflecting the need for increased accuracy towards the end of the financial year. </w:t>
            </w:r>
          </w:p>
          <w:p w:rsidR="006E62DD" w:rsidRPr="002E6869" w:rsidRDefault="006E62DD" w:rsidP="00531BA5">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p>
        </w:tc>
      </w:tr>
      <w:tr w:rsidR="003C5A2A" w:rsidRPr="00172727" w:rsidTr="00921298">
        <w:trPr>
          <w:trHeight w:val="1985"/>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3</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should ensure that any future contract of this kind appropriately includes performance measures and incentives for grant program delivery as well as TA delivery.</w:t>
            </w:r>
          </w:p>
          <w:p w:rsidR="00583FEA" w:rsidRPr="003E28C9" w:rsidRDefault="00583FEA"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 xml:space="preserve">Accepted. </w:t>
            </w:r>
          </w:p>
          <w:p w:rsidR="00115E7A" w:rsidRPr="003E28C9" w:rsidRDefault="006B0C42" w:rsidP="008B22D1">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This will be a feature of the contract in the next program</w:t>
            </w:r>
            <w:r w:rsidR="008B22D1" w:rsidRPr="003E28C9">
              <w:rPr>
                <w:rFonts w:ascii="Calibri" w:hAnsi="Calibri" w:cs="Calibri"/>
                <w:b w:val="0"/>
                <w:caps w:val="0"/>
                <w:color w:val="4F81BD" w:themeColor="accent1"/>
                <w:sz w:val="22"/>
                <w:szCs w:val="22"/>
                <w:lang w:val="en-GB"/>
              </w:rPr>
              <w:t xml:space="preserve"> which will be based on </w:t>
            </w:r>
            <w:r w:rsidR="006E62DD" w:rsidRPr="003E28C9">
              <w:rPr>
                <w:rFonts w:ascii="Calibri" w:hAnsi="Calibri" w:cs="Calibri"/>
                <w:b w:val="0"/>
                <w:caps w:val="0"/>
                <w:color w:val="4F81BD" w:themeColor="accent1"/>
                <w:sz w:val="22"/>
                <w:szCs w:val="22"/>
                <w:lang w:val="en-GB"/>
              </w:rPr>
              <w:t>lessons learned through Phase 2</w:t>
            </w:r>
            <w:r w:rsidR="008B22D1" w:rsidRPr="003E28C9">
              <w:rPr>
                <w:rFonts w:ascii="Calibri" w:hAnsi="Calibri" w:cs="Calibri"/>
                <w:b w:val="0"/>
                <w:caps w:val="0"/>
                <w:color w:val="4F81BD" w:themeColor="accent1"/>
                <w:sz w:val="22"/>
                <w:szCs w:val="22"/>
                <w:lang w:val="en-GB"/>
              </w:rPr>
              <w:t xml:space="preserve">. DFAT will </w:t>
            </w:r>
            <w:r w:rsidR="00115E7A" w:rsidRPr="003E28C9">
              <w:rPr>
                <w:rFonts w:ascii="Calibri" w:hAnsi="Calibri" w:cs="Calibri"/>
                <w:b w:val="0"/>
                <w:caps w:val="0"/>
                <w:color w:val="4F81BD" w:themeColor="accent1"/>
                <w:sz w:val="22"/>
                <w:szCs w:val="22"/>
                <w:lang w:val="en-GB"/>
              </w:rPr>
              <w:t>be considering:</w:t>
            </w:r>
          </w:p>
          <w:p w:rsidR="00115E7A" w:rsidRPr="003E28C9" w:rsidRDefault="00115E7A" w:rsidP="00451AA7">
            <w:pPr>
              <w:pStyle w:val="Heading2"/>
              <w:numPr>
                <w:ilvl w:val="0"/>
                <w:numId w:val="3"/>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 xml:space="preserve">including </w:t>
            </w:r>
            <w:r w:rsidR="008B22D1" w:rsidRPr="003E28C9">
              <w:rPr>
                <w:rFonts w:ascii="Calibri" w:hAnsi="Calibri" w:cs="Calibri"/>
                <w:b w:val="0"/>
                <w:caps w:val="0"/>
                <w:color w:val="4F81BD" w:themeColor="accent1"/>
                <w:sz w:val="22"/>
                <w:szCs w:val="22"/>
                <w:lang w:val="en-GB"/>
              </w:rPr>
              <w:t>mutually agreed indicators regarding grant program delivery in annual Contractor Performance Assessments</w:t>
            </w:r>
            <w:r w:rsidRPr="003E28C9">
              <w:rPr>
                <w:rFonts w:ascii="Calibri" w:hAnsi="Calibri" w:cs="Calibri"/>
                <w:b w:val="0"/>
                <w:caps w:val="0"/>
                <w:color w:val="4F81BD" w:themeColor="accent1"/>
                <w:sz w:val="22"/>
                <w:szCs w:val="22"/>
                <w:lang w:val="en-GB"/>
              </w:rPr>
              <w:t>; and</w:t>
            </w:r>
          </w:p>
          <w:p w:rsidR="00115E7A" w:rsidRPr="003E28C9" w:rsidRDefault="00115E7A" w:rsidP="00115E7A">
            <w:pPr>
              <w:pStyle w:val="Heading2"/>
              <w:numPr>
                <w:ilvl w:val="0"/>
                <w:numId w:val="3"/>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securing formal G</w:t>
            </w:r>
            <w:r w:rsidR="006834B3">
              <w:rPr>
                <w:rFonts w:ascii="Calibri" w:hAnsi="Calibri" w:cs="Calibri"/>
                <w:b w:val="0"/>
                <w:caps w:val="0"/>
                <w:color w:val="4F81BD" w:themeColor="accent1"/>
                <w:sz w:val="22"/>
                <w:szCs w:val="22"/>
                <w:lang w:val="en-GB"/>
              </w:rPr>
              <w:t>o</w:t>
            </w:r>
            <w:r w:rsidRPr="003E28C9">
              <w:rPr>
                <w:rFonts w:ascii="Calibri" w:hAnsi="Calibri" w:cs="Calibri"/>
                <w:b w:val="0"/>
                <w:caps w:val="0"/>
                <w:color w:val="4F81BD" w:themeColor="accent1"/>
                <w:sz w:val="22"/>
                <w:szCs w:val="22"/>
                <w:lang w:val="en-GB"/>
              </w:rPr>
              <w:t>I agreement to the implementation plan and milestones.</w:t>
            </w:r>
          </w:p>
          <w:p w:rsidR="008B22D1" w:rsidRPr="00583FEA" w:rsidRDefault="008B22D1" w:rsidP="00115E7A">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p>
        </w:tc>
      </w:tr>
      <w:tr w:rsidR="003C5A2A" w:rsidRPr="00172727" w:rsidTr="003E28C9">
        <w:trPr>
          <w:trHeight w:val="2947"/>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4</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should ensure that performance feedback is provided in a timely manner to enable meaningful engagement.  Both DFAT and IndII should build the good will necessary for a joint approach to improving performance.</w:t>
            </w:r>
          </w:p>
          <w:p w:rsidR="00FC57E1" w:rsidRPr="003E28C9" w:rsidRDefault="00FB2219"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 xml:space="preserve">Accepted. </w:t>
            </w:r>
          </w:p>
          <w:p w:rsidR="00940ED3" w:rsidRPr="00FC57E1" w:rsidRDefault="009D1A49" w:rsidP="003F2376">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E28C9">
              <w:rPr>
                <w:rFonts w:ascii="Calibri" w:hAnsi="Calibri" w:cs="Calibri"/>
                <w:b w:val="0"/>
                <w:caps w:val="0"/>
                <w:color w:val="4F81BD" w:themeColor="accent1"/>
                <w:sz w:val="22"/>
                <w:szCs w:val="22"/>
                <w:lang w:val="en-GB"/>
              </w:rPr>
              <w:t>DFAT will follow the guidelines outlined for Contractor Performance Assessments</w:t>
            </w:r>
            <w:r w:rsidR="00261EF2" w:rsidRPr="003E28C9">
              <w:rPr>
                <w:rFonts w:ascii="Calibri" w:hAnsi="Calibri" w:cs="Calibri"/>
                <w:b w:val="0"/>
                <w:caps w:val="0"/>
                <w:color w:val="4F81BD" w:themeColor="accent1"/>
                <w:sz w:val="22"/>
                <w:szCs w:val="22"/>
                <w:lang w:val="en-GB"/>
              </w:rPr>
              <w:t>, including providing the contract</w:t>
            </w:r>
            <w:r w:rsidR="00657E18" w:rsidRPr="003E28C9">
              <w:rPr>
                <w:rFonts w:ascii="Calibri" w:hAnsi="Calibri" w:cs="Calibri"/>
                <w:b w:val="0"/>
                <w:caps w:val="0"/>
                <w:color w:val="4F81BD" w:themeColor="accent1"/>
                <w:sz w:val="22"/>
                <w:szCs w:val="22"/>
                <w:lang w:val="en-GB"/>
              </w:rPr>
              <w:t>or</w:t>
            </w:r>
            <w:r w:rsidR="00261EF2" w:rsidRPr="003E28C9">
              <w:rPr>
                <w:rFonts w:ascii="Calibri" w:hAnsi="Calibri" w:cs="Calibri"/>
                <w:b w:val="0"/>
                <w:caps w:val="0"/>
                <w:color w:val="4F81BD" w:themeColor="accent1"/>
                <w:sz w:val="22"/>
                <w:szCs w:val="22"/>
                <w:lang w:val="en-GB"/>
              </w:rPr>
              <w:t xml:space="preserve"> 28 days to respond to DFAT’s written assessment</w:t>
            </w:r>
            <w:r w:rsidR="00AB1C3E" w:rsidRPr="003E28C9">
              <w:rPr>
                <w:rFonts w:ascii="Calibri" w:hAnsi="Calibri" w:cs="Calibri"/>
                <w:b w:val="0"/>
                <w:caps w:val="0"/>
                <w:color w:val="4F81BD" w:themeColor="accent1"/>
                <w:sz w:val="22"/>
                <w:szCs w:val="22"/>
                <w:lang w:val="en-GB"/>
              </w:rPr>
              <w:t xml:space="preserve">. DFAT will finalise </w:t>
            </w:r>
            <w:r w:rsidR="00095781" w:rsidRPr="003E28C9">
              <w:rPr>
                <w:rFonts w:ascii="Calibri" w:hAnsi="Calibri" w:cs="Calibri"/>
                <w:b w:val="0"/>
                <w:caps w:val="0"/>
                <w:color w:val="4F81BD" w:themeColor="accent1"/>
                <w:sz w:val="22"/>
                <w:szCs w:val="22"/>
                <w:lang w:val="en-GB"/>
              </w:rPr>
              <w:t xml:space="preserve">future </w:t>
            </w:r>
            <w:r w:rsidR="00AB1C3E" w:rsidRPr="003E28C9">
              <w:rPr>
                <w:rFonts w:ascii="Calibri" w:hAnsi="Calibri" w:cs="Calibri"/>
                <w:b w:val="0"/>
                <w:caps w:val="0"/>
                <w:color w:val="4F81BD" w:themeColor="accent1"/>
                <w:sz w:val="22"/>
                <w:szCs w:val="22"/>
                <w:lang w:val="en-GB"/>
              </w:rPr>
              <w:t>assessment</w:t>
            </w:r>
            <w:r w:rsidR="00095781" w:rsidRPr="003E28C9">
              <w:rPr>
                <w:rFonts w:ascii="Calibri" w:hAnsi="Calibri" w:cs="Calibri"/>
                <w:b w:val="0"/>
                <w:caps w:val="0"/>
                <w:color w:val="4F81BD" w:themeColor="accent1"/>
                <w:sz w:val="22"/>
                <w:szCs w:val="22"/>
                <w:lang w:val="en-GB"/>
              </w:rPr>
              <w:t>s</w:t>
            </w:r>
            <w:r w:rsidR="00AB1C3E" w:rsidRPr="003E28C9">
              <w:rPr>
                <w:rFonts w:ascii="Calibri" w:hAnsi="Calibri" w:cs="Calibri"/>
                <w:b w:val="0"/>
                <w:caps w:val="0"/>
                <w:color w:val="4F81BD" w:themeColor="accent1"/>
                <w:sz w:val="22"/>
                <w:szCs w:val="22"/>
                <w:lang w:val="en-GB"/>
              </w:rPr>
              <w:t xml:space="preserve"> within three months of the </w:t>
            </w:r>
            <w:r w:rsidR="008E3BCD" w:rsidRPr="003E28C9">
              <w:rPr>
                <w:rFonts w:ascii="Calibri" w:hAnsi="Calibri" w:cs="Calibri"/>
                <w:b w:val="0"/>
                <w:caps w:val="0"/>
                <w:color w:val="4F81BD" w:themeColor="accent1"/>
                <w:sz w:val="22"/>
                <w:szCs w:val="22"/>
                <w:lang w:val="en-GB"/>
              </w:rPr>
              <w:t>end of the period being assessed</w:t>
            </w:r>
            <w:r w:rsidRPr="003E28C9">
              <w:rPr>
                <w:rFonts w:ascii="Calibri" w:hAnsi="Calibri" w:cs="Calibri"/>
                <w:b w:val="0"/>
                <w:caps w:val="0"/>
                <w:color w:val="4F81BD" w:themeColor="accent1"/>
                <w:sz w:val="22"/>
                <w:szCs w:val="22"/>
                <w:lang w:val="en-GB"/>
              </w:rPr>
              <w:t>.</w:t>
            </w:r>
          </w:p>
        </w:tc>
      </w:tr>
    </w:tbl>
    <w:p w:rsidR="003F2376" w:rsidRDefault="003F2376">
      <w:r>
        <w:rPr>
          <w:b/>
          <w: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991"/>
      </w:tblGrid>
      <w:tr w:rsidR="003C5A2A" w:rsidRPr="00172727" w:rsidTr="006834B3">
        <w:trPr>
          <w:trHeight w:val="3109"/>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lastRenderedPageBreak/>
              <w:t>5</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IndII board members should discuss and agree on the board’s terms of reference during the implementation phase of the facility.</w:t>
            </w:r>
          </w:p>
          <w:p w:rsidR="006B0C42" w:rsidRDefault="001342BE"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Accepted.</w:t>
            </w:r>
          </w:p>
          <w:p w:rsidR="00AB1C3E" w:rsidRDefault="00AB1C3E" w:rsidP="006B0C42">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For the current phase</w:t>
            </w:r>
            <w:r w:rsidR="00657E18">
              <w:rPr>
                <w:rFonts w:ascii="Calibri" w:hAnsi="Calibri" w:cs="Calibri"/>
                <w:b w:val="0"/>
                <w:caps w:val="0"/>
                <w:color w:val="4F81BD" w:themeColor="accent1"/>
                <w:sz w:val="22"/>
                <w:szCs w:val="22"/>
                <w:lang w:val="en-GB"/>
              </w:rPr>
              <w:t xml:space="preserve"> of IndII</w:t>
            </w:r>
            <w:r>
              <w:rPr>
                <w:rFonts w:ascii="Calibri" w:hAnsi="Calibri" w:cs="Calibri"/>
                <w:b w:val="0"/>
                <w:caps w:val="0"/>
                <w:color w:val="4F81BD" w:themeColor="accent1"/>
                <w:sz w:val="22"/>
                <w:szCs w:val="22"/>
                <w:lang w:val="en-GB"/>
              </w:rPr>
              <w:t>, DFAT will</w:t>
            </w:r>
            <w:r w:rsidR="00657E18">
              <w:rPr>
                <w:rFonts w:ascii="Calibri" w:hAnsi="Calibri" w:cs="Calibri"/>
                <w:b w:val="0"/>
                <w:caps w:val="0"/>
                <w:color w:val="4F81BD" w:themeColor="accent1"/>
                <w:sz w:val="22"/>
                <w:szCs w:val="22"/>
                <w:lang w:val="en-GB"/>
              </w:rPr>
              <w:t xml:space="preserve"> discuss in the next</w:t>
            </w:r>
            <w:r w:rsidR="000D18B6">
              <w:rPr>
                <w:rFonts w:ascii="Calibri" w:hAnsi="Calibri" w:cs="Calibri"/>
                <w:b w:val="0"/>
                <w:caps w:val="0"/>
                <w:color w:val="4F81BD" w:themeColor="accent1"/>
                <w:sz w:val="22"/>
                <w:szCs w:val="22"/>
                <w:lang w:val="en-GB"/>
              </w:rPr>
              <w:t xml:space="preserve"> 2014</w:t>
            </w:r>
            <w:r w:rsidR="00657E18">
              <w:rPr>
                <w:rFonts w:ascii="Calibri" w:hAnsi="Calibri" w:cs="Calibri"/>
                <w:b w:val="0"/>
                <w:caps w:val="0"/>
                <w:color w:val="4F81BD" w:themeColor="accent1"/>
                <w:sz w:val="22"/>
                <w:szCs w:val="22"/>
                <w:lang w:val="en-GB"/>
              </w:rPr>
              <w:t xml:space="preserve"> Board meeting</w:t>
            </w:r>
            <w:r w:rsidR="00095781">
              <w:rPr>
                <w:rFonts w:ascii="Calibri" w:hAnsi="Calibri" w:cs="Calibri"/>
                <w:b w:val="0"/>
                <w:caps w:val="0"/>
                <w:color w:val="4F81BD" w:themeColor="accent1"/>
                <w:sz w:val="22"/>
                <w:szCs w:val="22"/>
                <w:lang w:val="en-GB"/>
              </w:rPr>
              <w:t xml:space="preserve"> (notionally scheduled for August 2014)</w:t>
            </w:r>
            <w:r w:rsidR="00657E18">
              <w:rPr>
                <w:rFonts w:ascii="Calibri" w:hAnsi="Calibri" w:cs="Calibri"/>
                <w:b w:val="0"/>
                <w:caps w:val="0"/>
                <w:color w:val="4F81BD" w:themeColor="accent1"/>
                <w:sz w:val="22"/>
                <w:szCs w:val="22"/>
                <w:lang w:val="en-GB"/>
              </w:rPr>
              <w:t xml:space="preserve"> the changing role of the Board. DFAT will consider providing outline ToRs for the Board’s </w:t>
            </w:r>
            <w:r w:rsidR="008E3BCD">
              <w:rPr>
                <w:rFonts w:ascii="Calibri" w:hAnsi="Calibri" w:cs="Calibri"/>
                <w:b w:val="0"/>
                <w:caps w:val="0"/>
                <w:color w:val="4F81BD" w:themeColor="accent1"/>
                <w:sz w:val="22"/>
                <w:szCs w:val="22"/>
                <w:lang w:val="en-GB"/>
              </w:rPr>
              <w:t>consideration in this meeting.</w:t>
            </w:r>
            <w:r w:rsidR="00242A27">
              <w:rPr>
                <w:rFonts w:ascii="Calibri" w:hAnsi="Calibri" w:cs="Calibri"/>
                <w:b w:val="0"/>
                <w:caps w:val="0"/>
                <w:color w:val="4F81BD" w:themeColor="accent1"/>
                <w:sz w:val="22"/>
                <w:szCs w:val="22"/>
                <w:lang w:val="en-GB"/>
              </w:rPr>
              <w:t xml:space="preserve"> </w:t>
            </w:r>
          </w:p>
          <w:p w:rsidR="00600304" w:rsidRPr="001342BE" w:rsidRDefault="008247D4" w:rsidP="00531BA5">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This recommendation </w:t>
            </w:r>
            <w:r w:rsidR="00657E18">
              <w:rPr>
                <w:rFonts w:ascii="Calibri" w:hAnsi="Calibri" w:cs="Calibri"/>
                <w:b w:val="0"/>
                <w:caps w:val="0"/>
                <w:color w:val="4F81BD" w:themeColor="accent1"/>
                <w:sz w:val="22"/>
                <w:szCs w:val="22"/>
                <w:lang w:val="en-GB"/>
              </w:rPr>
              <w:t>will be applied to</w:t>
            </w:r>
            <w:r>
              <w:rPr>
                <w:rFonts w:ascii="Calibri" w:hAnsi="Calibri" w:cs="Calibri"/>
                <w:b w:val="0"/>
                <w:caps w:val="0"/>
                <w:color w:val="4F81BD" w:themeColor="accent1"/>
                <w:sz w:val="22"/>
                <w:szCs w:val="22"/>
                <w:lang w:val="en-GB"/>
              </w:rPr>
              <w:t xml:space="preserve"> the governance structures of the next phase of infrastructure support and will therefore be included in the project design document of that investment. </w:t>
            </w:r>
          </w:p>
        </w:tc>
      </w:tr>
      <w:tr w:rsidR="003C5A2A" w:rsidRPr="00172727" w:rsidTr="00921298">
        <w:trPr>
          <w:trHeight w:val="2687"/>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6</w:t>
            </w:r>
          </w:p>
        </w:tc>
        <w:tc>
          <w:tcPr>
            <w:tcW w:w="7991" w:type="dxa"/>
          </w:tcPr>
          <w:p w:rsidR="00A61B84" w:rsidRDefault="00A61B84" w:rsidP="003A4F6E">
            <w:pPr>
              <w:spacing w:before="120" w:after="0" w:line="240" w:lineRule="auto"/>
              <w:rPr>
                <w:rFonts w:ascii="Calibri" w:eastAsia="Times New Roman" w:hAnsi="Calibri" w:cs="Calibri"/>
                <w:lang w:val="en-GB"/>
              </w:rPr>
            </w:pPr>
            <w:r w:rsidRPr="00A61B84">
              <w:rPr>
                <w:rFonts w:ascii="Calibri" w:eastAsia="Times New Roman" w:hAnsi="Calibri" w:cs="Calibri"/>
                <w:lang w:val="en-GB"/>
              </w:rPr>
              <w:t>IndII should adopt a ‘communications’ approach to board briefing.  This may include a series of short briefing sessions by IndII staff leading up to board meetings to ensure that board discussions are focussed on resolution of strategic issues.  The FRPD could be reduced to a series of succinct, accessible and tightly focussed briefing materials for the board that describe the context and highlight the implications of various courses of action.</w:t>
            </w:r>
          </w:p>
          <w:p w:rsidR="003C5A2A" w:rsidRDefault="00921298" w:rsidP="003A4F6E">
            <w:pPr>
              <w:spacing w:before="120" w:after="0" w:line="240" w:lineRule="auto"/>
              <w:rPr>
                <w:color w:val="4F81BD" w:themeColor="accent1"/>
                <w:lang w:val="en-GB"/>
              </w:rPr>
            </w:pPr>
            <w:r>
              <w:rPr>
                <w:color w:val="4F81BD" w:themeColor="accent1"/>
                <w:lang w:val="en-GB"/>
              </w:rPr>
              <w:t>Accepted</w:t>
            </w:r>
            <w:r w:rsidR="00E85E43">
              <w:rPr>
                <w:color w:val="4F81BD" w:themeColor="accent1"/>
                <w:lang w:val="en-GB"/>
              </w:rPr>
              <w:t xml:space="preserve"> in principle</w:t>
            </w:r>
            <w:r>
              <w:rPr>
                <w:color w:val="4F81BD" w:themeColor="accent1"/>
                <w:lang w:val="en-GB"/>
              </w:rPr>
              <w:t xml:space="preserve">. </w:t>
            </w:r>
          </w:p>
          <w:p w:rsidR="00940ED3" w:rsidRDefault="00E85E43" w:rsidP="003A4F6E">
            <w:pPr>
              <w:spacing w:before="120" w:after="0" w:line="240" w:lineRule="auto"/>
              <w:rPr>
                <w:color w:val="4F81BD" w:themeColor="accent1"/>
                <w:lang w:val="en-GB"/>
              </w:rPr>
            </w:pPr>
            <w:r>
              <w:rPr>
                <w:color w:val="4F81BD" w:themeColor="accent1"/>
                <w:lang w:val="en-GB"/>
              </w:rPr>
              <w:t>I</w:t>
            </w:r>
            <w:r w:rsidR="00095781">
              <w:rPr>
                <w:color w:val="4F81BD" w:themeColor="accent1"/>
                <w:lang w:val="en-GB"/>
              </w:rPr>
              <w:t>n the past</w:t>
            </w:r>
            <w:r w:rsidR="006834B3">
              <w:rPr>
                <w:color w:val="4F81BD" w:themeColor="accent1"/>
                <w:lang w:val="en-GB"/>
              </w:rPr>
              <w:t>,</w:t>
            </w:r>
            <w:r w:rsidR="00095781">
              <w:rPr>
                <w:color w:val="4F81BD" w:themeColor="accent1"/>
                <w:lang w:val="en-GB"/>
              </w:rPr>
              <w:t xml:space="preserve"> key</w:t>
            </w:r>
            <w:r>
              <w:rPr>
                <w:color w:val="4F81BD" w:themeColor="accent1"/>
                <w:lang w:val="en-GB"/>
              </w:rPr>
              <w:t xml:space="preserve"> Board members</w:t>
            </w:r>
            <w:r w:rsidR="00095781">
              <w:rPr>
                <w:color w:val="4F81BD" w:themeColor="accent1"/>
                <w:lang w:val="en-GB"/>
              </w:rPr>
              <w:t xml:space="preserve"> have had limited availability for pre-board briefings. DFAT does however acknowledge the need to increase the on-going</w:t>
            </w:r>
            <w:r w:rsidR="006834B3">
              <w:rPr>
                <w:color w:val="4F81BD" w:themeColor="accent1"/>
                <w:lang w:val="en-GB"/>
              </w:rPr>
              <w:t xml:space="preserve"> engagement of B</w:t>
            </w:r>
            <w:r w:rsidR="00095781">
              <w:rPr>
                <w:color w:val="4F81BD" w:themeColor="accent1"/>
                <w:lang w:val="en-GB"/>
              </w:rPr>
              <w:t>oard members in the strategic direction of In</w:t>
            </w:r>
            <w:r w:rsidR="003F2376">
              <w:rPr>
                <w:color w:val="4F81BD" w:themeColor="accent1"/>
                <w:lang w:val="en-GB"/>
              </w:rPr>
              <w:t>d</w:t>
            </w:r>
            <w:r w:rsidR="00095781">
              <w:rPr>
                <w:color w:val="4F81BD" w:themeColor="accent1"/>
                <w:lang w:val="en-GB"/>
              </w:rPr>
              <w:t>II activities</w:t>
            </w:r>
            <w:r w:rsidR="00CA135F">
              <w:rPr>
                <w:color w:val="4F81BD" w:themeColor="accent1"/>
                <w:lang w:val="en-GB"/>
              </w:rPr>
              <w:t xml:space="preserve"> – ensuring active involvement from all G</w:t>
            </w:r>
            <w:r w:rsidR="006834B3">
              <w:rPr>
                <w:color w:val="4F81BD" w:themeColor="accent1"/>
                <w:lang w:val="en-GB"/>
              </w:rPr>
              <w:t>o</w:t>
            </w:r>
            <w:r w:rsidR="00CA135F">
              <w:rPr>
                <w:color w:val="4F81BD" w:themeColor="accent1"/>
                <w:lang w:val="en-GB"/>
              </w:rPr>
              <w:t xml:space="preserve">I agencies represented on the </w:t>
            </w:r>
            <w:r w:rsidR="006834B3">
              <w:rPr>
                <w:color w:val="4F81BD" w:themeColor="accent1"/>
                <w:lang w:val="en-GB"/>
              </w:rPr>
              <w:t>B</w:t>
            </w:r>
            <w:r w:rsidR="00CA135F">
              <w:rPr>
                <w:color w:val="4F81BD" w:themeColor="accent1"/>
                <w:lang w:val="en-GB"/>
              </w:rPr>
              <w:t>oard will be a priority</w:t>
            </w:r>
            <w:r>
              <w:rPr>
                <w:color w:val="4F81BD" w:themeColor="accent1"/>
                <w:lang w:val="en-GB"/>
              </w:rPr>
              <w:t xml:space="preserve">. IndII and DFAT are considering ways of improving the readability of the FRPD, including providing the </w:t>
            </w:r>
            <w:r w:rsidR="006834B3">
              <w:rPr>
                <w:color w:val="4F81BD" w:themeColor="accent1"/>
                <w:lang w:val="en-GB"/>
              </w:rPr>
              <w:t>B</w:t>
            </w:r>
            <w:r>
              <w:rPr>
                <w:color w:val="4F81BD" w:themeColor="accent1"/>
                <w:lang w:val="en-GB"/>
              </w:rPr>
              <w:t xml:space="preserve">oard with succinct briefing notes. This will be trialled in the next </w:t>
            </w:r>
            <w:r w:rsidR="000D18B6">
              <w:rPr>
                <w:color w:val="4F81BD" w:themeColor="accent1"/>
                <w:lang w:val="en-GB"/>
              </w:rPr>
              <w:t xml:space="preserve">2014 </w:t>
            </w:r>
            <w:r>
              <w:rPr>
                <w:color w:val="4F81BD" w:themeColor="accent1"/>
                <w:lang w:val="en-GB"/>
              </w:rPr>
              <w:t>Board meeting.</w:t>
            </w:r>
          </w:p>
          <w:p w:rsidR="00940ED3" w:rsidRPr="00921298" w:rsidRDefault="00940ED3" w:rsidP="003A4F6E">
            <w:pPr>
              <w:spacing w:before="120" w:after="0" w:line="240" w:lineRule="auto"/>
              <w:rPr>
                <w:color w:val="4F81BD" w:themeColor="accent1"/>
                <w:lang w:val="en-GB"/>
              </w:rPr>
            </w:pPr>
          </w:p>
        </w:tc>
      </w:tr>
      <w:tr w:rsidR="003C5A2A" w:rsidRPr="00172727" w:rsidTr="00921298">
        <w:trPr>
          <w:trHeight w:val="2542"/>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7</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and IndII should actively engage with CMEA to understand factors in the ministry’s disengagement, and seek to remedy any issues with the aim of seeking CMEA’s proactive involvement in supporting IndII’s implementation.</w:t>
            </w:r>
          </w:p>
          <w:p w:rsidR="003A4F6E" w:rsidRDefault="003A4F6E"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Accepted. </w:t>
            </w:r>
          </w:p>
          <w:p w:rsidR="001A7500" w:rsidRDefault="003A4F6E" w:rsidP="00DE76E0">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DFAT notes that since the IAT, IndII has held discussions with CMEA to </w:t>
            </w:r>
            <w:r w:rsidR="002724F4">
              <w:rPr>
                <w:rFonts w:ascii="Calibri" w:hAnsi="Calibri" w:cs="Calibri"/>
                <w:b w:val="0"/>
                <w:caps w:val="0"/>
                <w:color w:val="4F81BD" w:themeColor="accent1"/>
                <w:sz w:val="22"/>
                <w:szCs w:val="22"/>
                <w:lang w:val="en-GB"/>
              </w:rPr>
              <w:t>discuss</w:t>
            </w:r>
            <w:r>
              <w:rPr>
                <w:rFonts w:ascii="Calibri" w:hAnsi="Calibri" w:cs="Calibri"/>
                <w:b w:val="0"/>
                <w:caps w:val="0"/>
                <w:color w:val="4F81BD" w:themeColor="accent1"/>
                <w:sz w:val="22"/>
                <w:szCs w:val="22"/>
                <w:lang w:val="en-GB"/>
              </w:rPr>
              <w:t xml:space="preserve"> how CMEA can be more eng</w:t>
            </w:r>
            <w:r w:rsidR="002724F4">
              <w:rPr>
                <w:rFonts w:ascii="Calibri" w:hAnsi="Calibri" w:cs="Calibri"/>
                <w:b w:val="0"/>
                <w:caps w:val="0"/>
                <w:color w:val="4F81BD" w:themeColor="accent1"/>
                <w:sz w:val="22"/>
                <w:szCs w:val="22"/>
                <w:lang w:val="en-GB"/>
              </w:rPr>
              <w:t>aged in IndII’s implementation.</w:t>
            </w:r>
            <w:r w:rsidR="00925894">
              <w:rPr>
                <w:rFonts w:ascii="Calibri" w:hAnsi="Calibri" w:cs="Calibri"/>
                <w:b w:val="0"/>
                <w:caps w:val="0"/>
                <w:color w:val="4F81BD" w:themeColor="accent1"/>
                <w:sz w:val="22"/>
                <w:szCs w:val="22"/>
                <w:lang w:val="en-GB"/>
              </w:rPr>
              <w:t xml:space="preserve"> DFAT will coordinate with IndII on this matter.</w:t>
            </w:r>
          </w:p>
          <w:p w:rsidR="00940ED3" w:rsidRPr="003A4F6E" w:rsidRDefault="00940ED3" w:rsidP="00DE76E0">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p>
        </w:tc>
      </w:tr>
      <w:tr w:rsidR="003C5A2A" w:rsidRPr="00172727" w:rsidTr="006834B3">
        <w:trPr>
          <w:trHeight w:val="3325"/>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8</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and the IndII board should explore potential avenues for fostering MoHA’s engagement in implementation.</w:t>
            </w:r>
          </w:p>
          <w:p w:rsidR="003A4F6E" w:rsidRDefault="003A4F6E"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Accepted in principle. </w:t>
            </w:r>
          </w:p>
          <w:p w:rsidR="00940ED3" w:rsidRPr="003A4F6E" w:rsidRDefault="00DE76E0" w:rsidP="003C0A5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DFAT</w:t>
            </w:r>
            <w:r w:rsidR="00CA135F">
              <w:rPr>
                <w:rFonts w:ascii="Calibri" w:hAnsi="Calibri" w:cs="Calibri"/>
                <w:b w:val="0"/>
                <w:caps w:val="0"/>
                <w:color w:val="4F81BD" w:themeColor="accent1"/>
                <w:sz w:val="22"/>
                <w:szCs w:val="22"/>
                <w:lang w:val="en-GB"/>
              </w:rPr>
              <w:t xml:space="preserve"> proposes to increase engagement with </w:t>
            </w:r>
            <w:r w:rsidR="001A7500">
              <w:rPr>
                <w:rFonts w:ascii="Calibri" w:hAnsi="Calibri" w:cs="Calibri"/>
                <w:b w:val="0"/>
                <w:caps w:val="0"/>
                <w:color w:val="4F81BD" w:themeColor="accent1"/>
                <w:sz w:val="22"/>
                <w:szCs w:val="22"/>
                <w:lang w:val="en-GB"/>
              </w:rPr>
              <w:t xml:space="preserve">MoHA </w:t>
            </w:r>
            <w:r w:rsidR="000707A2">
              <w:rPr>
                <w:rFonts w:ascii="Calibri" w:hAnsi="Calibri" w:cs="Calibri"/>
                <w:b w:val="0"/>
                <w:caps w:val="0"/>
                <w:color w:val="4F81BD" w:themeColor="accent1"/>
                <w:sz w:val="22"/>
                <w:szCs w:val="22"/>
                <w:lang w:val="en-GB"/>
              </w:rPr>
              <w:t>on projects involving provision of direct support to sub-</w:t>
            </w:r>
            <w:r w:rsidR="006834B3">
              <w:rPr>
                <w:rFonts w:ascii="Calibri" w:hAnsi="Calibri" w:cs="Calibri"/>
                <w:b w:val="0"/>
                <w:caps w:val="0"/>
                <w:color w:val="4F81BD" w:themeColor="accent1"/>
                <w:sz w:val="22"/>
                <w:szCs w:val="22"/>
                <w:lang w:val="en-GB"/>
              </w:rPr>
              <w:t>national</w:t>
            </w:r>
            <w:r w:rsidR="000707A2">
              <w:rPr>
                <w:rFonts w:ascii="Calibri" w:hAnsi="Calibri" w:cs="Calibri"/>
                <w:b w:val="0"/>
                <w:caps w:val="0"/>
                <w:color w:val="4F81BD" w:themeColor="accent1"/>
                <w:sz w:val="22"/>
                <w:szCs w:val="22"/>
                <w:lang w:val="en-GB"/>
              </w:rPr>
              <w:t xml:space="preserve"> governments </w:t>
            </w:r>
            <w:r w:rsidR="001A7500">
              <w:rPr>
                <w:rFonts w:ascii="Calibri" w:hAnsi="Calibri" w:cs="Calibri"/>
                <w:b w:val="0"/>
                <w:caps w:val="0"/>
                <w:color w:val="4F81BD" w:themeColor="accent1"/>
                <w:sz w:val="22"/>
                <w:szCs w:val="22"/>
                <w:lang w:val="en-GB"/>
              </w:rPr>
              <w:t xml:space="preserve">through the </w:t>
            </w:r>
            <w:r w:rsidR="00FB405C">
              <w:rPr>
                <w:rFonts w:ascii="Calibri" w:hAnsi="Calibri" w:cs="Calibri"/>
                <w:b w:val="0"/>
                <w:caps w:val="0"/>
                <w:color w:val="4F81BD" w:themeColor="accent1"/>
                <w:sz w:val="22"/>
                <w:szCs w:val="22"/>
                <w:lang w:val="en-GB"/>
              </w:rPr>
              <w:t xml:space="preserve">IndII </w:t>
            </w:r>
            <w:r w:rsidR="001A7500">
              <w:rPr>
                <w:rFonts w:ascii="Calibri" w:hAnsi="Calibri" w:cs="Calibri"/>
                <w:b w:val="0"/>
                <w:caps w:val="0"/>
                <w:color w:val="4F81BD" w:themeColor="accent1"/>
                <w:sz w:val="22"/>
                <w:szCs w:val="22"/>
                <w:lang w:val="en-GB"/>
              </w:rPr>
              <w:t xml:space="preserve">advisor currently working in MoHA on the sAIIG program. For more strategic </w:t>
            </w:r>
            <w:r w:rsidR="003C0A5E">
              <w:rPr>
                <w:rFonts w:ascii="Calibri" w:hAnsi="Calibri" w:cs="Calibri"/>
                <w:b w:val="0"/>
                <w:caps w:val="0"/>
                <w:color w:val="4F81BD" w:themeColor="accent1"/>
                <w:sz w:val="22"/>
                <w:szCs w:val="22"/>
                <w:lang w:val="en-GB"/>
              </w:rPr>
              <w:t>engagement with MoHA</w:t>
            </w:r>
            <w:r w:rsidR="001A7500">
              <w:rPr>
                <w:rFonts w:ascii="Calibri" w:hAnsi="Calibri" w:cs="Calibri"/>
                <w:b w:val="0"/>
                <w:caps w:val="0"/>
                <w:color w:val="4F81BD" w:themeColor="accent1"/>
                <w:sz w:val="22"/>
                <w:szCs w:val="22"/>
                <w:lang w:val="en-GB"/>
              </w:rPr>
              <w:t xml:space="preserve">, DFAT will look towards working through the governance arrangements already established with MoHA through </w:t>
            </w:r>
            <w:r w:rsidR="003C0A5E">
              <w:rPr>
                <w:rFonts w:ascii="Calibri" w:hAnsi="Calibri" w:cs="Calibri"/>
                <w:b w:val="0"/>
                <w:caps w:val="0"/>
                <w:color w:val="4F81BD" w:themeColor="accent1"/>
                <w:sz w:val="22"/>
                <w:szCs w:val="22"/>
                <w:lang w:val="en-GB"/>
              </w:rPr>
              <w:t xml:space="preserve">the Australia-Indonesia Partnership for Decentralisation (AIPD) program. </w:t>
            </w:r>
            <w:r w:rsidR="0059202E">
              <w:rPr>
                <w:rFonts w:ascii="Calibri" w:hAnsi="Calibri" w:cs="Calibri"/>
                <w:b w:val="0"/>
                <w:caps w:val="0"/>
                <w:color w:val="4F81BD" w:themeColor="accent1"/>
                <w:sz w:val="22"/>
                <w:szCs w:val="22"/>
                <w:lang w:val="en-GB"/>
              </w:rPr>
              <w:t>Engagement with MoHA will be</w:t>
            </w:r>
            <w:r w:rsidR="00CA135F">
              <w:rPr>
                <w:rFonts w:ascii="Calibri" w:hAnsi="Calibri" w:cs="Calibri"/>
                <w:b w:val="0"/>
                <w:caps w:val="0"/>
                <w:color w:val="4F81BD" w:themeColor="accent1"/>
                <w:sz w:val="22"/>
                <w:szCs w:val="22"/>
                <w:lang w:val="en-GB"/>
              </w:rPr>
              <w:t xml:space="preserve"> separately</w:t>
            </w:r>
            <w:r w:rsidR="0059202E">
              <w:rPr>
                <w:rFonts w:ascii="Calibri" w:hAnsi="Calibri" w:cs="Calibri"/>
                <w:b w:val="0"/>
                <w:caps w:val="0"/>
                <w:color w:val="4F81BD" w:themeColor="accent1"/>
                <w:sz w:val="22"/>
                <w:szCs w:val="22"/>
                <w:lang w:val="en-GB"/>
              </w:rPr>
              <w:t xml:space="preserve"> considered in the design of the next phase of Infrastructure support. </w:t>
            </w:r>
          </w:p>
        </w:tc>
      </w:tr>
      <w:tr w:rsidR="003C5A2A" w:rsidRPr="00172727" w:rsidTr="006834B3">
        <w:trPr>
          <w:trHeight w:val="2117"/>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lastRenderedPageBreak/>
              <w:t>9</w:t>
            </w:r>
          </w:p>
        </w:tc>
        <w:tc>
          <w:tcPr>
            <w:tcW w:w="7991" w:type="dxa"/>
          </w:tcPr>
          <w:p w:rsidR="003C5A2A"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should consider raising the financial threshold at which IndII can direct appoint consultants from facility pool to AUD200,000.</w:t>
            </w:r>
          </w:p>
          <w:p w:rsidR="003C0A5E" w:rsidRDefault="0059202E"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sidRPr="0059202E">
              <w:rPr>
                <w:rFonts w:ascii="Calibri" w:hAnsi="Calibri" w:cs="Calibri"/>
                <w:b w:val="0"/>
                <w:caps w:val="0"/>
                <w:color w:val="548DD4" w:themeColor="text2" w:themeTint="99"/>
                <w:sz w:val="22"/>
                <w:szCs w:val="22"/>
                <w:lang w:val="en-GB"/>
              </w:rPr>
              <w:t>Accepted.</w:t>
            </w:r>
          </w:p>
          <w:p w:rsidR="007D0D69" w:rsidRPr="00B43DF0" w:rsidRDefault="00FB405C" w:rsidP="00FB405C">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 xml:space="preserve">DFAT will discuss with IndII about raising the financial threshold for direct appointment, noting that all appointments will still be required to demonstrate value for money. </w:t>
            </w:r>
          </w:p>
        </w:tc>
      </w:tr>
      <w:tr w:rsidR="003C5A2A" w:rsidRPr="00172727" w:rsidTr="006834B3">
        <w:trPr>
          <w:trHeight w:val="2260"/>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10</w:t>
            </w:r>
          </w:p>
        </w:tc>
        <w:tc>
          <w:tcPr>
            <w:tcW w:w="7991" w:type="dxa"/>
          </w:tcPr>
          <w:p w:rsidR="00A61B84" w:rsidRDefault="00A61B84"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A61B84">
              <w:rPr>
                <w:rFonts w:ascii="Calibri" w:hAnsi="Calibri" w:cs="Calibri"/>
                <w:b w:val="0"/>
                <w:caps w:val="0"/>
                <w:color w:val="auto"/>
                <w:sz w:val="22"/>
                <w:szCs w:val="22"/>
                <w:lang w:val="en-GB"/>
              </w:rPr>
              <w:t>DFAT should consider permitting IndII to release EoIs on a ‘no commitment’ basis after TT approval while the ADD is being appraised.</w:t>
            </w:r>
          </w:p>
          <w:p w:rsidR="00940ED3" w:rsidRDefault="0059202E"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59202E">
              <w:rPr>
                <w:rFonts w:ascii="Calibri" w:hAnsi="Calibri" w:cs="Calibri"/>
                <w:b w:val="0"/>
                <w:caps w:val="0"/>
                <w:color w:val="4F81BD" w:themeColor="accent1"/>
                <w:sz w:val="22"/>
                <w:szCs w:val="22"/>
                <w:lang w:val="en-GB"/>
              </w:rPr>
              <w:t>Accepted on a</w:t>
            </w:r>
            <w:r>
              <w:rPr>
                <w:rFonts w:ascii="Calibri" w:hAnsi="Calibri" w:cs="Calibri"/>
                <w:b w:val="0"/>
                <w:caps w:val="0"/>
                <w:color w:val="4F81BD" w:themeColor="accent1"/>
                <w:sz w:val="22"/>
                <w:szCs w:val="22"/>
                <w:lang w:val="en-GB"/>
              </w:rPr>
              <w:t xml:space="preserve"> case by case basis. </w:t>
            </w:r>
          </w:p>
          <w:p w:rsidR="00567918" w:rsidRDefault="00567918"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DFAT will permit IndII to release EoIs on a ‘no commitment’ basis while the ADD is being appraised in cases where DFAT has been consulted early in activity development and feels comfortable with the activity’s approach. </w:t>
            </w:r>
          </w:p>
          <w:p w:rsidR="00940ED3" w:rsidRPr="003A4F6E" w:rsidRDefault="00940ED3" w:rsidP="008E3BCD">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p>
        </w:tc>
      </w:tr>
      <w:tr w:rsidR="003C5A2A" w:rsidRPr="00172727" w:rsidTr="006834B3">
        <w:trPr>
          <w:trHeight w:val="3428"/>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11</w:t>
            </w:r>
          </w:p>
        </w:tc>
        <w:tc>
          <w:tcPr>
            <w:tcW w:w="7991" w:type="dxa"/>
          </w:tcPr>
          <w:p w:rsidR="003C5A2A" w:rsidRDefault="003C5A2A"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172727">
              <w:rPr>
                <w:rFonts w:ascii="Calibri" w:hAnsi="Calibri" w:cs="Calibri"/>
                <w:b w:val="0"/>
                <w:caps w:val="0"/>
                <w:color w:val="auto"/>
                <w:sz w:val="22"/>
                <w:szCs w:val="22"/>
                <w:lang w:val="en-GB"/>
              </w:rPr>
              <w:t xml:space="preserve">DFAT and IndII should review and evolve the process for streamlining project development and approval proposed in Appendix </w:t>
            </w:r>
            <w:r w:rsidR="00DC576A">
              <w:rPr>
                <w:rFonts w:ascii="Calibri" w:hAnsi="Calibri" w:cs="Calibri"/>
                <w:b w:val="0"/>
                <w:caps w:val="0"/>
                <w:color w:val="auto"/>
                <w:sz w:val="22"/>
                <w:szCs w:val="22"/>
                <w:lang w:val="en-GB"/>
              </w:rPr>
              <w:t>G</w:t>
            </w:r>
            <w:r w:rsidRPr="00172727">
              <w:rPr>
                <w:rFonts w:ascii="Calibri" w:hAnsi="Calibri" w:cs="Calibri"/>
                <w:b w:val="0"/>
                <w:caps w:val="0"/>
                <w:color w:val="auto"/>
                <w:sz w:val="22"/>
                <w:szCs w:val="22"/>
                <w:lang w:val="en-GB"/>
              </w:rPr>
              <w:t>.</w:t>
            </w:r>
          </w:p>
          <w:p w:rsidR="00451AA7" w:rsidRPr="003F2376" w:rsidRDefault="00451AA7"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sidRPr="003F2376">
              <w:rPr>
                <w:rFonts w:ascii="Calibri" w:hAnsi="Calibri" w:cs="Calibri"/>
                <w:b w:val="0"/>
                <w:caps w:val="0"/>
                <w:color w:val="4F81BD" w:themeColor="accent1"/>
                <w:sz w:val="22"/>
                <w:szCs w:val="22"/>
                <w:lang w:val="en-GB"/>
              </w:rPr>
              <w:t>Accepted in principle.</w:t>
            </w:r>
          </w:p>
          <w:p w:rsidR="000707A2" w:rsidRPr="003F2376" w:rsidRDefault="000707A2"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highlight w:val="yellow"/>
                <w:lang w:val="en-GB"/>
              </w:rPr>
            </w:pPr>
            <w:r w:rsidRPr="003F2376">
              <w:rPr>
                <w:rFonts w:ascii="Calibri" w:hAnsi="Calibri" w:cs="Calibri"/>
                <w:b w:val="0"/>
                <w:caps w:val="0"/>
                <w:color w:val="4F81BD" w:themeColor="accent1"/>
                <w:sz w:val="22"/>
                <w:szCs w:val="22"/>
                <w:lang w:val="en-GB"/>
              </w:rPr>
              <w:t xml:space="preserve">DFAT and IndII will </w:t>
            </w:r>
            <w:r w:rsidR="00925894" w:rsidRPr="003F2376">
              <w:rPr>
                <w:rFonts w:ascii="Calibri" w:hAnsi="Calibri" w:cs="Calibri"/>
                <w:b w:val="0"/>
                <w:caps w:val="0"/>
                <w:color w:val="4F81BD" w:themeColor="accent1"/>
                <w:sz w:val="22"/>
                <w:szCs w:val="22"/>
                <w:lang w:val="en-GB"/>
              </w:rPr>
              <w:t xml:space="preserve">consider approaches to increased coordination around project development including the possibility of </w:t>
            </w:r>
            <w:r w:rsidRPr="003F2376">
              <w:rPr>
                <w:rFonts w:ascii="Calibri" w:hAnsi="Calibri" w:cs="Calibri"/>
                <w:b w:val="0"/>
                <w:caps w:val="0"/>
                <w:color w:val="4F81BD" w:themeColor="accent1"/>
                <w:sz w:val="22"/>
                <w:szCs w:val="22"/>
                <w:lang w:val="en-GB"/>
              </w:rPr>
              <w:t>increased approval thresholds with greater downstream scrutiny during the extension period in which new activities are likely to be developed.</w:t>
            </w:r>
          </w:p>
          <w:p w:rsidR="00600304" w:rsidRPr="00DC576A" w:rsidRDefault="00451AA7" w:rsidP="00451AA7">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 xml:space="preserve">A streamlined governance and </w:t>
            </w:r>
            <w:r w:rsidR="00D108DD">
              <w:rPr>
                <w:rFonts w:ascii="Calibri" w:hAnsi="Calibri" w:cs="Calibri"/>
                <w:b w:val="0"/>
                <w:caps w:val="0"/>
                <w:color w:val="548DD4" w:themeColor="text2" w:themeTint="99"/>
                <w:sz w:val="22"/>
                <w:szCs w:val="22"/>
                <w:lang w:val="en-GB"/>
              </w:rPr>
              <w:t>approvals process will be consid</w:t>
            </w:r>
            <w:r w:rsidR="006834B3">
              <w:rPr>
                <w:rFonts w:ascii="Calibri" w:hAnsi="Calibri" w:cs="Calibri"/>
                <w:b w:val="0"/>
                <w:caps w:val="0"/>
                <w:color w:val="548DD4" w:themeColor="text2" w:themeTint="99"/>
                <w:sz w:val="22"/>
                <w:szCs w:val="22"/>
                <w:lang w:val="en-GB"/>
              </w:rPr>
              <w:t>ered for the design of the post-</w:t>
            </w:r>
            <w:r w:rsidR="00D108DD">
              <w:rPr>
                <w:rFonts w:ascii="Calibri" w:hAnsi="Calibri" w:cs="Calibri"/>
                <w:b w:val="0"/>
                <w:caps w:val="0"/>
                <w:color w:val="548DD4" w:themeColor="text2" w:themeTint="99"/>
                <w:sz w:val="22"/>
                <w:szCs w:val="22"/>
                <w:lang w:val="en-GB"/>
              </w:rPr>
              <w:t>2015 infrastructure program. DFAT will decide on a model that is in line with its future budget and</w:t>
            </w:r>
            <w:r w:rsidR="005D12FC">
              <w:rPr>
                <w:rFonts w:ascii="Calibri" w:hAnsi="Calibri" w:cs="Calibri"/>
                <w:b w:val="0"/>
                <w:caps w:val="0"/>
                <w:color w:val="548DD4" w:themeColor="text2" w:themeTint="99"/>
                <w:sz w:val="22"/>
                <w:szCs w:val="22"/>
                <w:lang w:val="en-GB"/>
              </w:rPr>
              <w:t xml:space="preserve"> staff</w:t>
            </w:r>
            <w:r w:rsidR="00D108DD">
              <w:rPr>
                <w:rFonts w:ascii="Calibri" w:hAnsi="Calibri" w:cs="Calibri"/>
                <w:b w:val="0"/>
                <w:caps w:val="0"/>
                <w:color w:val="548DD4" w:themeColor="text2" w:themeTint="99"/>
                <w:sz w:val="22"/>
                <w:szCs w:val="22"/>
                <w:lang w:val="en-GB"/>
              </w:rPr>
              <w:t xml:space="preserve"> resources.</w:t>
            </w:r>
            <w:r w:rsidR="00600304" w:rsidRPr="00600304">
              <w:rPr>
                <w:rFonts w:ascii="Calibri" w:hAnsi="Calibri" w:cs="Calibri"/>
                <w:b w:val="0"/>
                <w:caps w:val="0"/>
                <w:color w:val="548DD4" w:themeColor="text2" w:themeTint="99"/>
                <w:sz w:val="22"/>
                <w:szCs w:val="22"/>
                <w:lang w:val="en-GB"/>
              </w:rPr>
              <w:t xml:space="preserve"> </w:t>
            </w:r>
          </w:p>
        </w:tc>
      </w:tr>
      <w:tr w:rsidR="003C5A2A" w:rsidRPr="00172727" w:rsidTr="007F40B9">
        <w:trPr>
          <w:trHeight w:val="2535"/>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12</w:t>
            </w:r>
          </w:p>
        </w:tc>
        <w:tc>
          <w:tcPr>
            <w:tcW w:w="7991" w:type="dxa"/>
          </w:tcPr>
          <w:p w:rsidR="00677421" w:rsidRDefault="00677421"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677421">
              <w:rPr>
                <w:rFonts w:ascii="Calibri" w:hAnsi="Calibri" w:cs="Calibri"/>
                <w:b w:val="0"/>
                <w:caps w:val="0"/>
                <w:color w:val="auto"/>
                <w:sz w:val="22"/>
                <w:szCs w:val="22"/>
                <w:lang w:val="en-GB"/>
              </w:rPr>
              <w:t>DFAT and IndII should convene a professionally facilitated workshop along the lines of the indicative agenda proposed in Appendix H to address key sources of conflict, and align expectations.</w:t>
            </w:r>
          </w:p>
          <w:p w:rsidR="00133824" w:rsidRDefault="00133824" w:rsidP="003A4F6E">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Accepted. </w:t>
            </w:r>
          </w:p>
          <w:p w:rsidR="00B161ED" w:rsidRPr="00B161ED" w:rsidRDefault="00B161ED"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DFAT will coordinate with IndII on logistics for this workshop. DFAT</w:t>
            </w:r>
            <w:r w:rsidR="00CA135F">
              <w:rPr>
                <w:rFonts w:ascii="Calibri" w:hAnsi="Calibri" w:cs="Calibri"/>
                <w:b w:val="0"/>
                <w:caps w:val="0"/>
                <w:color w:val="548DD4" w:themeColor="text2" w:themeTint="99"/>
                <w:sz w:val="22"/>
                <w:szCs w:val="22"/>
                <w:lang w:val="en-GB"/>
              </w:rPr>
              <w:t xml:space="preserve"> will seek to schedule a</w:t>
            </w:r>
            <w:r>
              <w:rPr>
                <w:rFonts w:ascii="Calibri" w:hAnsi="Calibri" w:cs="Calibri"/>
                <w:b w:val="0"/>
                <w:caps w:val="0"/>
                <w:color w:val="548DD4" w:themeColor="text2" w:themeTint="99"/>
                <w:sz w:val="22"/>
                <w:szCs w:val="22"/>
                <w:lang w:val="en-GB"/>
              </w:rPr>
              <w:t xml:space="preserve"> workshop in the third quarter of 2014, following the </w:t>
            </w:r>
            <w:r w:rsidR="00865444">
              <w:rPr>
                <w:rFonts w:ascii="Calibri" w:hAnsi="Calibri" w:cs="Calibri"/>
                <w:b w:val="0"/>
                <w:caps w:val="0"/>
                <w:color w:val="548DD4" w:themeColor="text2" w:themeTint="99"/>
                <w:sz w:val="22"/>
                <w:szCs w:val="22"/>
                <w:lang w:val="en-GB"/>
              </w:rPr>
              <w:t>2014</w:t>
            </w:r>
            <w:r>
              <w:rPr>
                <w:rFonts w:ascii="Calibri" w:hAnsi="Calibri" w:cs="Calibri"/>
                <w:b w:val="0"/>
                <w:caps w:val="0"/>
                <w:color w:val="548DD4" w:themeColor="text2" w:themeTint="99"/>
                <w:sz w:val="22"/>
                <w:szCs w:val="22"/>
                <w:lang w:val="en-GB"/>
              </w:rPr>
              <w:t xml:space="preserve"> IndII Board meeting</w:t>
            </w:r>
            <w:r w:rsidR="006834B3">
              <w:rPr>
                <w:rFonts w:ascii="Calibri" w:hAnsi="Calibri" w:cs="Calibri"/>
                <w:b w:val="0"/>
                <w:caps w:val="0"/>
                <w:color w:val="548DD4" w:themeColor="text2" w:themeTint="99"/>
                <w:sz w:val="22"/>
                <w:szCs w:val="22"/>
                <w:lang w:val="en-GB"/>
              </w:rPr>
              <w:t>.</w:t>
            </w:r>
            <w:r w:rsidR="00CA135F">
              <w:rPr>
                <w:rFonts w:ascii="Calibri" w:hAnsi="Calibri" w:cs="Calibri"/>
                <w:b w:val="0"/>
                <w:caps w:val="0"/>
                <w:color w:val="548DD4" w:themeColor="text2" w:themeTint="99"/>
                <w:sz w:val="22"/>
                <w:szCs w:val="22"/>
                <w:lang w:val="en-GB"/>
              </w:rPr>
              <w:t xml:space="preserve"> </w:t>
            </w:r>
            <w:r w:rsidR="006834B3">
              <w:rPr>
                <w:rFonts w:ascii="Calibri" w:hAnsi="Calibri" w:cs="Calibri"/>
                <w:b w:val="0"/>
                <w:caps w:val="0"/>
                <w:color w:val="548DD4" w:themeColor="text2" w:themeTint="99"/>
                <w:sz w:val="22"/>
                <w:szCs w:val="22"/>
                <w:lang w:val="en-GB"/>
              </w:rPr>
              <w:t>The</w:t>
            </w:r>
            <w:r w:rsidR="00CA135F">
              <w:rPr>
                <w:rFonts w:ascii="Calibri" w:hAnsi="Calibri" w:cs="Calibri"/>
                <w:b w:val="0"/>
                <w:caps w:val="0"/>
                <w:color w:val="548DD4" w:themeColor="text2" w:themeTint="99"/>
                <w:sz w:val="22"/>
                <w:szCs w:val="22"/>
                <w:lang w:val="en-GB"/>
              </w:rPr>
              <w:t xml:space="preserve"> focus</w:t>
            </w:r>
            <w:r w:rsidR="006834B3">
              <w:rPr>
                <w:rFonts w:ascii="Calibri" w:hAnsi="Calibri" w:cs="Calibri"/>
                <w:b w:val="0"/>
                <w:caps w:val="0"/>
                <w:color w:val="548DD4" w:themeColor="text2" w:themeTint="99"/>
                <w:sz w:val="22"/>
                <w:szCs w:val="22"/>
                <w:lang w:val="en-GB"/>
              </w:rPr>
              <w:t xml:space="preserve"> of this workshop will be</w:t>
            </w:r>
            <w:r w:rsidR="00CA135F">
              <w:rPr>
                <w:rFonts w:ascii="Calibri" w:hAnsi="Calibri" w:cs="Calibri"/>
                <w:b w:val="0"/>
                <w:caps w:val="0"/>
                <w:color w:val="548DD4" w:themeColor="text2" w:themeTint="99"/>
                <w:sz w:val="22"/>
                <w:szCs w:val="22"/>
                <w:lang w:val="en-GB"/>
              </w:rPr>
              <w:t xml:space="preserve"> on agreeing working arrangements for the remainder of the IndII contract (including the proposed seven month extension period)</w:t>
            </w:r>
            <w:r>
              <w:rPr>
                <w:rFonts w:ascii="Calibri" w:hAnsi="Calibri" w:cs="Calibri"/>
                <w:b w:val="0"/>
                <w:caps w:val="0"/>
                <w:color w:val="548DD4" w:themeColor="text2" w:themeTint="99"/>
                <w:sz w:val="22"/>
                <w:szCs w:val="22"/>
                <w:lang w:val="en-GB"/>
              </w:rPr>
              <w:t>.</w:t>
            </w:r>
          </w:p>
          <w:p w:rsidR="00940ED3" w:rsidRPr="00DC20CC" w:rsidRDefault="00940ED3"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p>
        </w:tc>
      </w:tr>
      <w:tr w:rsidR="003C5A2A" w:rsidRPr="00172727" w:rsidTr="00921298">
        <w:trPr>
          <w:trHeight w:val="2271"/>
        </w:trPr>
        <w:tc>
          <w:tcPr>
            <w:tcW w:w="534" w:type="dxa"/>
          </w:tcPr>
          <w:p w:rsidR="003C5A2A" w:rsidRPr="00172727" w:rsidRDefault="003C5A2A"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t>13</w:t>
            </w:r>
          </w:p>
        </w:tc>
        <w:tc>
          <w:tcPr>
            <w:tcW w:w="7991" w:type="dxa"/>
          </w:tcPr>
          <w:p w:rsidR="00677421" w:rsidRDefault="00677421"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677421">
              <w:rPr>
                <w:rFonts w:ascii="Calibri" w:hAnsi="Calibri" w:cs="Calibri"/>
                <w:b w:val="0"/>
                <w:caps w:val="0"/>
                <w:color w:val="auto"/>
                <w:sz w:val="22"/>
                <w:szCs w:val="22"/>
                <w:lang w:val="en-GB"/>
              </w:rPr>
              <w:t>DFAT should extend the facility to permit the ‘demonstration effect’ from output-based engagements. If DFAT agrees to extend the facility, this decision should be finalised before May 2014 to avoid having the implementation value of the extension truncated by the effect of local government planning and budgeting processes.</w:t>
            </w:r>
          </w:p>
          <w:p w:rsidR="00DC20CC" w:rsidRDefault="00133824" w:rsidP="00DC20CC">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Accepted.</w:t>
            </w:r>
          </w:p>
          <w:p w:rsidR="00845797" w:rsidRDefault="00DC20CC" w:rsidP="00676670">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As of </w:t>
            </w:r>
            <w:r w:rsidR="00AA61A9">
              <w:rPr>
                <w:rFonts w:ascii="Calibri" w:hAnsi="Calibri" w:cs="Calibri"/>
                <w:b w:val="0"/>
                <w:caps w:val="0"/>
                <w:color w:val="4F81BD" w:themeColor="accent1"/>
                <w:sz w:val="22"/>
                <w:szCs w:val="22"/>
                <w:lang w:val="en-GB"/>
              </w:rPr>
              <w:t>May</w:t>
            </w:r>
            <w:r>
              <w:rPr>
                <w:rFonts w:ascii="Calibri" w:hAnsi="Calibri" w:cs="Calibri"/>
                <w:b w:val="0"/>
                <w:caps w:val="0"/>
                <w:color w:val="4F81BD" w:themeColor="accent1"/>
                <w:sz w:val="22"/>
                <w:szCs w:val="22"/>
                <w:lang w:val="en-GB"/>
              </w:rPr>
              <w:t>, DFAT has secured approval to extend the IndII/SMEC contrac</w:t>
            </w:r>
            <w:r w:rsidR="007F40B9">
              <w:rPr>
                <w:rFonts w:ascii="Calibri" w:hAnsi="Calibri" w:cs="Calibri"/>
                <w:b w:val="0"/>
                <w:caps w:val="0"/>
                <w:color w:val="4F81BD" w:themeColor="accent1"/>
                <w:sz w:val="22"/>
                <w:szCs w:val="22"/>
                <w:lang w:val="en-GB"/>
              </w:rPr>
              <w:t xml:space="preserve">t for another </w:t>
            </w:r>
            <w:r w:rsidR="00B161ED">
              <w:rPr>
                <w:rFonts w:ascii="Calibri" w:hAnsi="Calibri" w:cs="Calibri"/>
                <w:b w:val="0"/>
                <w:caps w:val="0"/>
                <w:color w:val="4F81BD" w:themeColor="accent1"/>
                <w:sz w:val="22"/>
                <w:szCs w:val="22"/>
                <w:lang w:val="en-GB"/>
              </w:rPr>
              <w:t>7</w:t>
            </w:r>
            <w:r w:rsidR="007F40B9">
              <w:rPr>
                <w:rFonts w:ascii="Calibri" w:hAnsi="Calibri" w:cs="Calibri"/>
                <w:b w:val="0"/>
                <w:caps w:val="0"/>
                <w:color w:val="4F81BD" w:themeColor="accent1"/>
                <w:sz w:val="22"/>
                <w:szCs w:val="22"/>
                <w:lang w:val="en-GB"/>
              </w:rPr>
              <w:t xml:space="preserve"> months</w:t>
            </w:r>
            <w:r w:rsidR="00B161ED">
              <w:rPr>
                <w:rFonts w:ascii="Calibri" w:hAnsi="Calibri" w:cs="Calibri"/>
                <w:b w:val="0"/>
                <w:caps w:val="0"/>
                <w:color w:val="4F81BD" w:themeColor="accent1"/>
                <w:sz w:val="22"/>
                <w:szCs w:val="22"/>
                <w:lang w:val="en-GB"/>
              </w:rPr>
              <w:t xml:space="preserve"> following June 2015</w:t>
            </w:r>
            <w:r w:rsidR="007F40B9">
              <w:rPr>
                <w:rFonts w:ascii="Calibri" w:hAnsi="Calibri" w:cs="Calibri"/>
                <w:b w:val="0"/>
                <w:caps w:val="0"/>
                <w:color w:val="4F81BD" w:themeColor="accent1"/>
                <w:sz w:val="22"/>
                <w:szCs w:val="22"/>
                <w:lang w:val="en-GB"/>
              </w:rPr>
              <w:t xml:space="preserve">. </w:t>
            </w:r>
            <w:r w:rsidR="00845797">
              <w:rPr>
                <w:rFonts w:ascii="Calibri" w:hAnsi="Calibri" w:cs="Calibri"/>
                <w:b w:val="0"/>
                <w:caps w:val="0"/>
                <w:color w:val="4F81BD" w:themeColor="accent1"/>
                <w:sz w:val="22"/>
                <w:szCs w:val="22"/>
                <w:lang w:val="en-GB"/>
              </w:rPr>
              <w:t>The extension will enable the design of the new program to incorporate the new Ind</w:t>
            </w:r>
            <w:r w:rsidR="00DB2DB9">
              <w:rPr>
                <w:rFonts w:ascii="Calibri" w:hAnsi="Calibri" w:cs="Calibri"/>
                <w:b w:val="0"/>
                <w:caps w:val="0"/>
                <w:color w:val="4F81BD" w:themeColor="accent1"/>
                <w:sz w:val="22"/>
                <w:szCs w:val="22"/>
                <w:lang w:val="en-GB"/>
              </w:rPr>
              <w:t>onesian President’s priorities and provide continuity of programming during procurement for the new program.</w:t>
            </w:r>
          </w:p>
          <w:p w:rsidR="00676670" w:rsidRPr="00133824" w:rsidRDefault="00676670" w:rsidP="00925894">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p>
        </w:tc>
      </w:tr>
      <w:tr w:rsidR="003C5A2A" w:rsidRPr="00172727" w:rsidTr="000B22FC">
        <w:trPr>
          <w:trHeight w:val="2684"/>
        </w:trPr>
        <w:tc>
          <w:tcPr>
            <w:tcW w:w="534" w:type="dxa"/>
          </w:tcPr>
          <w:p w:rsidR="003C5A2A" w:rsidRPr="00172727" w:rsidRDefault="003C5A2A" w:rsidP="00677421">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sidRPr="00172727">
              <w:rPr>
                <w:rFonts w:ascii="Calibri" w:hAnsi="Calibri" w:cs="Calibri"/>
                <w:b w:val="0"/>
                <w:color w:val="auto"/>
                <w:sz w:val="22"/>
                <w:szCs w:val="22"/>
                <w:lang w:val="en-GB"/>
              </w:rPr>
              <w:lastRenderedPageBreak/>
              <w:t>1</w:t>
            </w:r>
            <w:r w:rsidR="00677421">
              <w:rPr>
                <w:rFonts w:ascii="Calibri" w:hAnsi="Calibri" w:cs="Calibri"/>
                <w:b w:val="0"/>
                <w:color w:val="auto"/>
                <w:sz w:val="22"/>
                <w:szCs w:val="22"/>
                <w:lang w:val="en-GB"/>
              </w:rPr>
              <w:t>4</w:t>
            </w:r>
          </w:p>
        </w:tc>
        <w:tc>
          <w:tcPr>
            <w:tcW w:w="7991" w:type="dxa"/>
          </w:tcPr>
          <w:p w:rsidR="003C5A2A" w:rsidRDefault="00677421"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677421">
              <w:rPr>
                <w:rFonts w:ascii="Calibri" w:hAnsi="Calibri" w:cs="Calibri"/>
                <w:b w:val="0"/>
                <w:caps w:val="0"/>
                <w:color w:val="auto"/>
                <w:sz w:val="22"/>
                <w:szCs w:val="22"/>
                <w:lang w:val="en-GB"/>
              </w:rPr>
              <w:t>DFAT, through the board, should make representations to GoI stakeholders (a) to identify ways in which larger and more consolidated grant nominations are provided; and (b) to ensure internal impediments to implementation are removed.</w:t>
            </w:r>
          </w:p>
          <w:p w:rsidR="007F40B9" w:rsidRDefault="007F40B9"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Accepted</w:t>
            </w:r>
            <w:r w:rsidR="00676670">
              <w:rPr>
                <w:rFonts w:ascii="Calibri" w:hAnsi="Calibri" w:cs="Calibri"/>
                <w:b w:val="0"/>
                <w:caps w:val="0"/>
                <w:color w:val="548DD4" w:themeColor="text2" w:themeTint="99"/>
                <w:sz w:val="22"/>
                <w:szCs w:val="22"/>
                <w:lang w:val="en-GB"/>
              </w:rPr>
              <w:t xml:space="preserve"> in principle</w:t>
            </w:r>
            <w:r>
              <w:rPr>
                <w:rFonts w:ascii="Calibri" w:hAnsi="Calibri" w:cs="Calibri"/>
                <w:b w:val="0"/>
                <w:caps w:val="0"/>
                <w:color w:val="548DD4" w:themeColor="text2" w:themeTint="99"/>
                <w:sz w:val="22"/>
                <w:szCs w:val="22"/>
                <w:lang w:val="en-GB"/>
              </w:rPr>
              <w:t xml:space="preserve">. </w:t>
            </w:r>
          </w:p>
          <w:p w:rsidR="007F40B9" w:rsidRDefault="00676670" w:rsidP="000B22FC">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sidRPr="00676670">
              <w:rPr>
                <w:rFonts w:ascii="Calibri" w:hAnsi="Calibri" w:cs="Calibri"/>
                <w:b w:val="0"/>
                <w:caps w:val="0"/>
                <w:color w:val="548DD4" w:themeColor="text2" w:themeTint="99"/>
                <w:sz w:val="22"/>
                <w:szCs w:val="22"/>
                <w:lang w:val="en-GB"/>
              </w:rPr>
              <w:t>Performance issues relating to IndII programs will be discussed in Board</w:t>
            </w:r>
            <w:r w:rsidR="000B22FC">
              <w:rPr>
                <w:rFonts w:ascii="Calibri" w:hAnsi="Calibri" w:cs="Calibri"/>
                <w:b w:val="0"/>
                <w:caps w:val="0"/>
                <w:color w:val="548DD4" w:themeColor="text2" w:themeTint="99"/>
                <w:sz w:val="22"/>
                <w:szCs w:val="22"/>
                <w:lang w:val="en-GB"/>
              </w:rPr>
              <w:t xml:space="preserve"> meetings</w:t>
            </w:r>
            <w:r w:rsidRPr="00676670">
              <w:rPr>
                <w:rFonts w:ascii="Calibri" w:hAnsi="Calibri" w:cs="Calibri"/>
                <w:b w:val="0"/>
                <w:caps w:val="0"/>
                <w:color w:val="548DD4" w:themeColor="text2" w:themeTint="99"/>
                <w:sz w:val="22"/>
                <w:szCs w:val="22"/>
                <w:lang w:val="en-GB"/>
              </w:rPr>
              <w:t xml:space="preserve"> and GoI representatives will be requested to assist </w:t>
            </w:r>
            <w:r w:rsidR="000B22FC">
              <w:rPr>
                <w:rFonts w:ascii="Calibri" w:hAnsi="Calibri" w:cs="Calibri"/>
                <w:b w:val="0"/>
                <w:caps w:val="0"/>
                <w:color w:val="548DD4" w:themeColor="text2" w:themeTint="99"/>
                <w:sz w:val="22"/>
                <w:szCs w:val="22"/>
                <w:lang w:val="en-GB"/>
              </w:rPr>
              <w:t>resolve</w:t>
            </w:r>
            <w:r w:rsidRPr="00676670">
              <w:rPr>
                <w:rFonts w:ascii="Calibri" w:hAnsi="Calibri" w:cs="Calibri"/>
                <w:b w:val="0"/>
                <w:caps w:val="0"/>
                <w:color w:val="548DD4" w:themeColor="text2" w:themeTint="99"/>
                <w:sz w:val="22"/>
                <w:szCs w:val="22"/>
                <w:lang w:val="en-GB"/>
              </w:rPr>
              <w:t xml:space="preserve"> these issues.</w:t>
            </w:r>
            <w:r w:rsidR="000B22FC">
              <w:rPr>
                <w:rFonts w:ascii="Calibri" w:hAnsi="Calibri" w:cs="Calibri"/>
                <w:b w:val="0"/>
                <w:caps w:val="0"/>
                <w:color w:val="548DD4" w:themeColor="text2" w:themeTint="99"/>
                <w:sz w:val="22"/>
                <w:szCs w:val="22"/>
                <w:lang w:val="en-GB"/>
              </w:rPr>
              <w:t xml:space="preserve"> DFAT will also pursue ways to address impediments in between Board meetings by reinitiating monthly meetings with the implementing agencies. </w:t>
            </w:r>
          </w:p>
          <w:p w:rsidR="00600304" w:rsidRPr="00172727" w:rsidRDefault="00600304" w:rsidP="000B22FC">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p>
        </w:tc>
      </w:tr>
      <w:tr w:rsidR="003C5A2A" w:rsidRPr="00172727" w:rsidTr="006834B3">
        <w:trPr>
          <w:trHeight w:val="2106"/>
        </w:trPr>
        <w:tc>
          <w:tcPr>
            <w:tcW w:w="534" w:type="dxa"/>
          </w:tcPr>
          <w:p w:rsidR="003C5A2A" w:rsidRPr="00172727" w:rsidRDefault="00677421"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Pr>
                <w:rFonts w:ascii="Calibri" w:hAnsi="Calibri" w:cs="Calibri"/>
                <w:b w:val="0"/>
                <w:color w:val="auto"/>
                <w:sz w:val="22"/>
                <w:szCs w:val="22"/>
                <w:lang w:val="en-GB"/>
              </w:rPr>
              <w:t>15</w:t>
            </w:r>
          </w:p>
        </w:tc>
        <w:tc>
          <w:tcPr>
            <w:tcW w:w="7991" w:type="dxa"/>
            <w:tcBorders>
              <w:bottom w:val="single" w:sz="4" w:space="0" w:color="auto"/>
            </w:tcBorders>
          </w:tcPr>
          <w:p w:rsidR="00133824" w:rsidRDefault="00677421" w:rsidP="003A4F6E">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677421">
              <w:rPr>
                <w:rFonts w:ascii="Calibri" w:hAnsi="Calibri" w:cs="Calibri"/>
                <w:b w:val="0"/>
                <w:caps w:val="0"/>
                <w:color w:val="auto"/>
                <w:sz w:val="22"/>
                <w:szCs w:val="22"/>
                <w:lang w:val="en-GB"/>
              </w:rPr>
              <w:t>DFAT should ensure that a future infrastructure support design explicates the roles and responsibilities of all GoI and DFAT stakeholders to promote clarity and ensure implementation efficiency.</w:t>
            </w:r>
          </w:p>
          <w:p w:rsidR="007F40B9" w:rsidRDefault="00A40936"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 xml:space="preserve">Accepted. </w:t>
            </w:r>
          </w:p>
          <w:p w:rsidR="00A40936" w:rsidRPr="00A40936" w:rsidRDefault="00A40936" w:rsidP="003A4F6E">
            <w:pPr>
              <w:pStyle w:val="Heading2"/>
              <w:numPr>
                <w:ilvl w:val="0"/>
                <w:numId w:val="0"/>
              </w:numPr>
              <w:pBdr>
                <w:bottom w:val="none" w:sz="0" w:space="0" w:color="auto"/>
              </w:pBdr>
              <w:spacing w:before="120" w:after="0"/>
              <w:rPr>
                <w:rFonts w:ascii="Calibri" w:hAnsi="Calibri" w:cs="Calibri"/>
                <w:b w:val="0"/>
                <w:caps w:val="0"/>
                <w:color w:val="548DD4" w:themeColor="text2" w:themeTint="99"/>
                <w:sz w:val="22"/>
                <w:szCs w:val="22"/>
                <w:lang w:val="en-GB"/>
              </w:rPr>
            </w:pPr>
            <w:r>
              <w:rPr>
                <w:rFonts w:ascii="Calibri" w:hAnsi="Calibri" w:cs="Calibri"/>
                <w:b w:val="0"/>
                <w:caps w:val="0"/>
                <w:color w:val="548DD4" w:themeColor="text2" w:themeTint="99"/>
                <w:sz w:val="22"/>
                <w:szCs w:val="22"/>
                <w:lang w:val="en-GB"/>
              </w:rPr>
              <w:t xml:space="preserve">This will form a key feature of the Post-2015 Infrastructure Program Design document. </w:t>
            </w:r>
          </w:p>
        </w:tc>
      </w:tr>
      <w:tr w:rsidR="00677421" w:rsidRPr="00172727" w:rsidTr="006834B3">
        <w:trPr>
          <w:trHeight w:val="2769"/>
        </w:trPr>
        <w:tc>
          <w:tcPr>
            <w:tcW w:w="534" w:type="dxa"/>
          </w:tcPr>
          <w:p w:rsidR="00677421" w:rsidRDefault="00677421" w:rsidP="003A4F6E">
            <w:pPr>
              <w:pStyle w:val="Heading2"/>
              <w:numPr>
                <w:ilvl w:val="0"/>
                <w:numId w:val="0"/>
              </w:numPr>
              <w:pBdr>
                <w:bottom w:val="none" w:sz="0" w:space="0" w:color="auto"/>
              </w:pBdr>
              <w:spacing w:before="120" w:after="0"/>
              <w:jc w:val="center"/>
              <w:rPr>
                <w:rFonts w:ascii="Calibri" w:hAnsi="Calibri" w:cs="Calibri"/>
                <w:b w:val="0"/>
                <w:color w:val="auto"/>
                <w:sz w:val="22"/>
                <w:szCs w:val="22"/>
                <w:lang w:val="en-GB"/>
              </w:rPr>
            </w:pPr>
            <w:r>
              <w:rPr>
                <w:rFonts w:ascii="Calibri" w:hAnsi="Calibri" w:cs="Calibri"/>
                <w:b w:val="0"/>
                <w:color w:val="auto"/>
                <w:sz w:val="22"/>
                <w:szCs w:val="22"/>
                <w:lang w:val="en-GB"/>
              </w:rPr>
              <w:t>16</w:t>
            </w:r>
          </w:p>
        </w:tc>
        <w:tc>
          <w:tcPr>
            <w:tcW w:w="7991" w:type="dxa"/>
            <w:tcBorders>
              <w:bottom w:val="single" w:sz="4" w:space="0" w:color="auto"/>
            </w:tcBorders>
          </w:tcPr>
          <w:p w:rsidR="00677421" w:rsidRDefault="00677421" w:rsidP="00677421">
            <w:pPr>
              <w:pStyle w:val="Heading2"/>
              <w:numPr>
                <w:ilvl w:val="0"/>
                <w:numId w:val="0"/>
              </w:numPr>
              <w:pBdr>
                <w:bottom w:val="none" w:sz="0" w:space="0" w:color="auto"/>
              </w:pBdr>
              <w:spacing w:before="120" w:after="0"/>
              <w:rPr>
                <w:rFonts w:ascii="Calibri" w:hAnsi="Calibri" w:cs="Calibri"/>
                <w:b w:val="0"/>
                <w:caps w:val="0"/>
                <w:color w:val="auto"/>
                <w:sz w:val="22"/>
                <w:szCs w:val="22"/>
                <w:lang w:val="en-GB"/>
              </w:rPr>
            </w:pPr>
            <w:r w:rsidRPr="00677421">
              <w:rPr>
                <w:rFonts w:ascii="Calibri" w:hAnsi="Calibri" w:cs="Calibri"/>
                <w:b w:val="0"/>
                <w:caps w:val="0"/>
                <w:color w:val="auto"/>
                <w:sz w:val="22"/>
                <w:szCs w:val="22"/>
                <w:lang w:val="en-GB"/>
              </w:rPr>
              <w:t>DFAT should nominate opportunities (stakeholders, issues, events) for which IndII may be able to facilitate contact; IndII staff should be mindful of and proactive with systematic and opportunistic ways of facilitating contact between DFAT and GoI.</w:t>
            </w:r>
          </w:p>
          <w:p w:rsidR="00677421" w:rsidRDefault="00677421" w:rsidP="00677421">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Accepted.</w:t>
            </w:r>
          </w:p>
          <w:p w:rsidR="00940ED3" w:rsidRDefault="000B22FC" w:rsidP="00677421">
            <w:pPr>
              <w:pStyle w:val="Heading2"/>
              <w:numPr>
                <w:ilvl w:val="0"/>
                <w:numId w:val="0"/>
              </w:numPr>
              <w:pBdr>
                <w:bottom w:val="none" w:sz="0" w:space="0" w:color="auto"/>
              </w:pBdr>
              <w:spacing w:before="120" w:after="0"/>
              <w:rPr>
                <w:rFonts w:ascii="Calibri" w:hAnsi="Calibri" w:cs="Calibri"/>
                <w:b w:val="0"/>
                <w:caps w:val="0"/>
                <w:color w:val="4F81BD" w:themeColor="accent1"/>
                <w:sz w:val="22"/>
                <w:szCs w:val="22"/>
                <w:lang w:val="en-GB"/>
              </w:rPr>
            </w:pPr>
            <w:r>
              <w:rPr>
                <w:rFonts w:ascii="Calibri" w:hAnsi="Calibri" w:cs="Calibri"/>
                <w:b w:val="0"/>
                <w:caps w:val="0"/>
                <w:color w:val="4F81BD" w:themeColor="accent1"/>
                <w:sz w:val="22"/>
                <w:szCs w:val="22"/>
                <w:lang w:val="en-GB"/>
              </w:rPr>
              <w:t xml:space="preserve">DFAT </w:t>
            </w:r>
            <w:r w:rsidR="00BA0E7C">
              <w:rPr>
                <w:rFonts w:ascii="Calibri" w:hAnsi="Calibri" w:cs="Calibri"/>
                <w:b w:val="0"/>
                <w:caps w:val="0"/>
                <w:color w:val="4F81BD" w:themeColor="accent1"/>
                <w:sz w:val="22"/>
                <w:szCs w:val="22"/>
                <w:lang w:val="en-GB"/>
              </w:rPr>
              <w:t xml:space="preserve">has </w:t>
            </w:r>
            <w:r>
              <w:rPr>
                <w:rFonts w:ascii="Calibri" w:hAnsi="Calibri" w:cs="Calibri"/>
                <w:b w:val="0"/>
                <w:caps w:val="0"/>
                <w:color w:val="4F81BD" w:themeColor="accent1"/>
                <w:sz w:val="22"/>
                <w:szCs w:val="22"/>
                <w:lang w:val="en-GB"/>
              </w:rPr>
              <w:t>request</w:t>
            </w:r>
            <w:r w:rsidR="00BA0E7C">
              <w:rPr>
                <w:rFonts w:ascii="Calibri" w:hAnsi="Calibri" w:cs="Calibri"/>
                <w:b w:val="0"/>
                <w:caps w:val="0"/>
                <w:color w:val="4F81BD" w:themeColor="accent1"/>
                <w:sz w:val="22"/>
                <w:szCs w:val="22"/>
                <w:lang w:val="en-GB"/>
              </w:rPr>
              <w:t>ed</w:t>
            </w:r>
            <w:r>
              <w:rPr>
                <w:rFonts w:ascii="Calibri" w:hAnsi="Calibri" w:cs="Calibri"/>
                <w:b w:val="0"/>
                <w:caps w:val="0"/>
                <w:color w:val="4F81BD" w:themeColor="accent1"/>
                <w:sz w:val="22"/>
                <w:szCs w:val="22"/>
                <w:lang w:val="en-GB"/>
              </w:rPr>
              <w:t xml:space="preserve"> that IndII identifies</w:t>
            </w:r>
            <w:r w:rsidR="00BA0E7C">
              <w:rPr>
                <w:rFonts w:ascii="Calibri" w:hAnsi="Calibri" w:cs="Calibri"/>
                <w:b w:val="0"/>
                <w:caps w:val="0"/>
                <w:color w:val="4F81BD" w:themeColor="accent1"/>
                <w:sz w:val="22"/>
                <w:szCs w:val="22"/>
                <w:lang w:val="en-GB"/>
              </w:rPr>
              <w:t xml:space="preserve"> upcoming </w:t>
            </w:r>
            <w:r w:rsidR="006834B3">
              <w:rPr>
                <w:rFonts w:ascii="Calibri" w:hAnsi="Calibri" w:cs="Calibri"/>
                <w:b w:val="0"/>
                <w:caps w:val="0"/>
                <w:color w:val="4F81BD" w:themeColor="accent1"/>
                <w:sz w:val="22"/>
                <w:szCs w:val="22"/>
                <w:lang w:val="en-GB"/>
              </w:rPr>
              <w:t xml:space="preserve">key </w:t>
            </w:r>
            <w:r w:rsidR="00BA0E7C">
              <w:rPr>
                <w:rFonts w:ascii="Calibri" w:hAnsi="Calibri" w:cs="Calibri"/>
                <w:b w:val="0"/>
                <w:caps w:val="0"/>
                <w:color w:val="4F81BD" w:themeColor="accent1"/>
                <w:sz w:val="22"/>
                <w:szCs w:val="22"/>
                <w:lang w:val="en-GB"/>
              </w:rPr>
              <w:t>meetings</w:t>
            </w:r>
            <w:r>
              <w:rPr>
                <w:rFonts w:ascii="Calibri" w:hAnsi="Calibri" w:cs="Calibri"/>
                <w:b w:val="0"/>
                <w:caps w:val="0"/>
                <w:color w:val="4F81BD" w:themeColor="accent1"/>
                <w:sz w:val="22"/>
                <w:szCs w:val="22"/>
                <w:lang w:val="en-GB"/>
              </w:rPr>
              <w:t xml:space="preserve"> in the monthly dashboard as well as what key meetings were held the previous month</w:t>
            </w:r>
            <w:r w:rsidR="00BA0E7C">
              <w:rPr>
                <w:rFonts w:ascii="Calibri" w:hAnsi="Calibri" w:cs="Calibri"/>
                <w:b w:val="0"/>
                <w:caps w:val="0"/>
                <w:color w:val="4F81BD" w:themeColor="accent1"/>
                <w:sz w:val="22"/>
                <w:szCs w:val="22"/>
                <w:lang w:val="en-GB"/>
              </w:rPr>
              <w:t>. DFAT will also now require</w:t>
            </w:r>
            <w:r w:rsidR="000707A2">
              <w:rPr>
                <w:rFonts w:ascii="Calibri" w:hAnsi="Calibri" w:cs="Calibri"/>
                <w:b w:val="0"/>
                <w:caps w:val="0"/>
                <w:color w:val="4F81BD" w:themeColor="accent1"/>
                <w:sz w:val="22"/>
                <w:szCs w:val="22"/>
                <w:lang w:val="en-GB"/>
              </w:rPr>
              <w:t xml:space="preserve"> brief minutes of any meetings that DFAT has elected not to attend.</w:t>
            </w:r>
          </w:p>
          <w:p w:rsidR="00940ED3" w:rsidRPr="00172727" w:rsidRDefault="00940ED3" w:rsidP="00C824D3">
            <w:pPr>
              <w:pStyle w:val="Heading2"/>
              <w:numPr>
                <w:ilvl w:val="0"/>
                <w:numId w:val="0"/>
              </w:numPr>
              <w:spacing w:before="120" w:after="0"/>
              <w:rPr>
                <w:rFonts w:ascii="Calibri" w:hAnsi="Calibri" w:cs="Calibri"/>
                <w:b w:val="0"/>
                <w:caps w:val="0"/>
                <w:color w:val="auto"/>
                <w:sz w:val="22"/>
                <w:szCs w:val="22"/>
                <w:lang w:val="en-GB"/>
              </w:rPr>
            </w:pPr>
          </w:p>
        </w:tc>
      </w:tr>
    </w:tbl>
    <w:p w:rsidR="00105964" w:rsidRDefault="00105964" w:rsidP="00940ED3"/>
    <w:p w:rsidR="00105964" w:rsidRPr="00105964" w:rsidRDefault="00105964" w:rsidP="00105964"/>
    <w:p w:rsidR="00105964" w:rsidRDefault="00105964" w:rsidP="00105964"/>
    <w:sectPr w:rsidR="00105964" w:rsidSect="00676670">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3B1" w:rsidRDefault="007D03B1" w:rsidP="007D03B1">
      <w:pPr>
        <w:spacing w:after="0" w:line="240" w:lineRule="auto"/>
      </w:pPr>
      <w:r>
        <w:separator/>
      </w:r>
    </w:p>
  </w:endnote>
  <w:endnote w:type="continuationSeparator" w:id="0">
    <w:p w:rsidR="007D03B1" w:rsidRDefault="007D03B1" w:rsidP="007D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3B1" w:rsidRDefault="007D03B1" w:rsidP="007D03B1">
      <w:pPr>
        <w:spacing w:after="0" w:line="240" w:lineRule="auto"/>
      </w:pPr>
      <w:r>
        <w:separator/>
      </w:r>
    </w:p>
  </w:footnote>
  <w:footnote w:type="continuationSeparator" w:id="0">
    <w:p w:rsidR="007D03B1" w:rsidRDefault="007D03B1" w:rsidP="007D0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B1" w:rsidRDefault="007D0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11F8F"/>
    <w:multiLevelType w:val="hybridMultilevel"/>
    <w:tmpl w:val="E2C4FB96"/>
    <w:lvl w:ilvl="0" w:tplc="CBB4388A">
      <w:start w:val="1"/>
      <w:numFmt w:val="decimal"/>
      <w:pStyle w:val="Heading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491802"/>
    <w:multiLevelType w:val="hybridMultilevel"/>
    <w:tmpl w:val="96C8F4A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7B762BF7"/>
    <w:multiLevelType w:val="hybridMultilevel"/>
    <w:tmpl w:val="D08AC2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EF"/>
    <w:rsid w:val="00007AD4"/>
    <w:rsid w:val="00015D83"/>
    <w:rsid w:val="000707A2"/>
    <w:rsid w:val="00095781"/>
    <w:rsid w:val="000A7024"/>
    <w:rsid w:val="000B22FC"/>
    <w:rsid w:val="000D18B6"/>
    <w:rsid w:val="00105964"/>
    <w:rsid w:val="00115E7A"/>
    <w:rsid w:val="00133824"/>
    <w:rsid w:val="001342BE"/>
    <w:rsid w:val="001A7500"/>
    <w:rsid w:val="001D12EF"/>
    <w:rsid w:val="00231737"/>
    <w:rsid w:val="00242A27"/>
    <w:rsid w:val="00261EF2"/>
    <w:rsid w:val="002724F4"/>
    <w:rsid w:val="002E2BAB"/>
    <w:rsid w:val="002E6869"/>
    <w:rsid w:val="003A4F6E"/>
    <w:rsid w:val="003C0A5E"/>
    <w:rsid w:val="003C5A2A"/>
    <w:rsid w:val="003E28C9"/>
    <w:rsid w:val="003F2376"/>
    <w:rsid w:val="00451AA7"/>
    <w:rsid w:val="00503852"/>
    <w:rsid w:val="00531BA5"/>
    <w:rsid w:val="00567918"/>
    <w:rsid w:val="00583FEA"/>
    <w:rsid w:val="00591077"/>
    <w:rsid w:val="0059202E"/>
    <w:rsid w:val="005D12FC"/>
    <w:rsid w:val="00600304"/>
    <w:rsid w:val="006132A5"/>
    <w:rsid w:val="00617BE8"/>
    <w:rsid w:val="00657E18"/>
    <w:rsid w:val="006668CA"/>
    <w:rsid w:val="00671C90"/>
    <w:rsid w:val="00676670"/>
    <w:rsid w:val="00677421"/>
    <w:rsid w:val="006834B3"/>
    <w:rsid w:val="0069136F"/>
    <w:rsid w:val="006B0C42"/>
    <w:rsid w:val="006E62DD"/>
    <w:rsid w:val="007D03B1"/>
    <w:rsid w:val="007D0D69"/>
    <w:rsid w:val="007D2F63"/>
    <w:rsid w:val="007F40B9"/>
    <w:rsid w:val="008247D4"/>
    <w:rsid w:val="00845797"/>
    <w:rsid w:val="00865444"/>
    <w:rsid w:val="008B22D1"/>
    <w:rsid w:val="008C0EAB"/>
    <w:rsid w:val="008E3BCD"/>
    <w:rsid w:val="00921298"/>
    <w:rsid w:val="00925894"/>
    <w:rsid w:val="00940ED3"/>
    <w:rsid w:val="00980AB7"/>
    <w:rsid w:val="009D1A49"/>
    <w:rsid w:val="00A40936"/>
    <w:rsid w:val="00A61B84"/>
    <w:rsid w:val="00AA61A9"/>
    <w:rsid w:val="00AB1C3E"/>
    <w:rsid w:val="00B161ED"/>
    <w:rsid w:val="00B3329B"/>
    <w:rsid w:val="00B43DF0"/>
    <w:rsid w:val="00B74403"/>
    <w:rsid w:val="00BA0E7C"/>
    <w:rsid w:val="00C11B2F"/>
    <w:rsid w:val="00C824D3"/>
    <w:rsid w:val="00CA135F"/>
    <w:rsid w:val="00D03DB0"/>
    <w:rsid w:val="00D108DD"/>
    <w:rsid w:val="00D80739"/>
    <w:rsid w:val="00DA1431"/>
    <w:rsid w:val="00DB2DB9"/>
    <w:rsid w:val="00DC0531"/>
    <w:rsid w:val="00DC20CC"/>
    <w:rsid w:val="00DC576A"/>
    <w:rsid w:val="00DE76E0"/>
    <w:rsid w:val="00E02058"/>
    <w:rsid w:val="00E24548"/>
    <w:rsid w:val="00E510E4"/>
    <w:rsid w:val="00E85E43"/>
    <w:rsid w:val="00F148D4"/>
    <w:rsid w:val="00FB2219"/>
    <w:rsid w:val="00FB405C"/>
    <w:rsid w:val="00FC5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Normal"/>
    <w:rsid w:val="003C5A2A"/>
    <w:pPr>
      <w:numPr>
        <w:numId w:val="1"/>
      </w:numPr>
      <w:pBdr>
        <w:bottom w:val="single" w:sz="8" w:space="1" w:color="17365D"/>
      </w:pBdr>
      <w:spacing w:after="120" w:line="240" w:lineRule="auto"/>
    </w:pPr>
    <w:rPr>
      <w:rFonts w:ascii="Cambria" w:eastAsia="Times New Roman" w:hAnsi="Cambria" w:cs="Times New Roman"/>
      <w:b/>
      <w:caps/>
      <w:color w:val="17365D"/>
      <w:sz w:val="32"/>
      <w:szCs w:val="24"/>
    </w:rPr>
  </w:style>
  <w:style w:type="character" w:styleId="CommentReference">
    <w:name w:val="annotation reference"/>
    <w:basedOn w:val="DefaultParagraphFont"/>
    <w:uiPriority w:val="99"/>
    <w:semiHidden/>
    <w:unhideWhenUsed/>
    <w:rsid w:val="008E3BCD"/>
    <w:rPr>
      <w:sz w:val="16"/>
      <w:szCs w:val="16"/>
    </w:rPr>
  </w:style>
  <w:style w:type="paragraph" w:styleId="CommentText">
    <w:name w:val="annotation text"/>
    <w:basedOn w:val="Normal"/>
    <w:link w:val="CommentTextChar"/>
    <w:uiPriority w:val="99"/>
    <w:semiHidden/>
    <w:unhideWhenUsed/>
    <w:rsid w:val="008E3BCD"/>
    <w:pPr>
      <w:spacing w:line="240" w:lineRule="auto"/>
    </w:pPr>
    <w:rPr>
      <w:sz w:val="20"/>
      <w:szCs w:val="20"/>
    </w:rPr>
  </w:style>
  <w:style w:type="character" w:customStyle="1" w:styleId="CommentTextChar">
    <w:name w:val="Comment Text Char"/>
    <w:basedOn w:val="DefaultParagraphFont"/>
    <w:link w:val="CommentText"/>
    <w:uiPriority w:val="99"/>
    <w:semiHidden/>
    <w:rsid w:val="008E3BCD"/>
    <w:rPr>
      <w:sz w:val="20"/>
      <w:szCs w:val="20"/>
    </w:rPr>
  </w:style>
  <w:style w:type="paragraph" w:styleId="CommentSubject">
    <w:name w:val="annotation subject"/>
    <w:basedOn w:val="CommentText"/>
    <w:next w:val="CommentText"/>
    <w:link w:val="CommentSubjectChar"/>
    <w:uiPriority w:val="99"/>
    <w:semiHidden/>
    <w:unhideWhenUsed/>
    <w:rsid w:val="008E3BCD"/>
    <w:rPr>
      <w:b/>
      <w:bCs/>
    </w:rPr>
  </w:style>
  <w:style w:type="character" w:customStyle="1" w:styleId="CommentSubjectChar">
    <w:name w:val="Comment Subject Char"/>
    <w:basedOn w:val="CommentTextChar"/>
    <w:link w:val="CommentSubject"/>
    <w:uiPriority w:val="99"/>
    <w:semiHidden/>
    <w:rsid w:val="008E3BCD"/>
    <w:rPr>
      <w:b/>
      <w:bCs/>
      <w:sz w:val="20"/>
      <w:szCs w:val="20"/>
    </w:rPr>
  </w:style>
  <w:style w:type="paragraph" w:styleId="BalloonText">
    <w:name w:val="Balloon Text"/>
    <w:basedOn w:val="Normal"/>
    <w:link w:val="BalloonTextChar"/>
    <w:uiPriority w:val="99"/>
    <w:semiHidden/>
    <w:unhideWhenUsed/>
    <w:rsid w:val="008E3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CD"/>
    <w:rPr>
      <w:rFonts w:ascii="Tahoma" w:hAnsi="Tahoma" w:cs="Tahoma"/>
      <w:sz w:val="16"/>
      <w:szCs w:val="16"/>
    </w:rPr>
  </w:style>
  <w:style w:type="paragraph" w:styleId="Header">
    <w:name w:val="header"/>
    <w:basedOn w:val="Normal"/>
    <w:link w:val="HeaderChar"/>
    <w:uiPriority w:val="99"/>
    <w:unhideWhenUsed/>
    <w:rsid w:val="007D0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3B1"/>
  </w:style>
  <w:style w:type="paragraph" w:styleId="Footer">
    <w:name w:val="footer"/>
    <w:basedOn w:val="Normal"/>
    <w:link w:val="FooterChar"/>
    <w:uiPriority w:val="99"/>
    <w:unhideWhenUsed/>
    <w:rsid w:val="007D0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3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
    <w:name w:val="Heading2"/>
    <w:basedOn w:val="Normal"/>
    <w:rsid w:val="003C5A2A"/>
    <w:pPr>
      <w:numPr>
        <w:numId w:val="1"/>
      </w:numPr>
      <w:pBdr>
        <w:bottom w:val="single" w:sz="8" w:space="1" w:color="17365D"/>
      </w:pBdr>
      <w:spacing w:after="120" w:line="240" w:lineRule="auto"/>
    </w:pPr>
    <w:rPr>
      <w:rFonts w:ascii="Cambria" w:eastAsia="Times New Roman" w:hAnsi="Cambria" w:cs="Times New Roman"/>
      <w:b/>
      <w:caps/>
      <w:color w:val="17365D"/>
      <w:sz w:val="32"/>
      <w:szCs w:val="24"/>
    </w:rPr>
  </w:style>
  <w:style w:type="character" w:styleId="CommentReference">
    <w:name w:val="annotation reference"/>
    <w:basedOn w:val="DefaultParagraphFont"/>
    <w:uiPriority w:val="99"/>
    <w:semiHidden/>
    <w:unhideWhenUsed/>
    <w:rsid w:val="008E3BCD"/>
    <w:rPr>
      <w:sz w:val="16"/>
      <w:szCs w:val="16"/>
    </w:rPr>
  </w:style>
  <w:style w:type="paragraph" w:styleId="CommentText">
    <w:name w:val="annotation text"/>
    <w:basedOn w:val="Normal"/>
    <w:link w:val="CommentTextChar"/>
    <w:uiPriority w:val="99"/>
    <w:semiHidden/>
    <w:unhideWhenUsed/>
    <w:rsid w:val="008E3BCD"/>
    <w:pPr>
      <w:spacing w:line="240" w:lineRule="auto"/>
    </w:pPr>
    <w:rPr>
      <w:sz w:val="20"/>
      <w:szCs w:val="20"/>
    </w:rPr>
  </w:style>
  <w:style w:type="character" w:customStyle="1" w:styleId="CommentTextChar">
    <w:name w:val="Comment Text Char"/>
    <w:basedOn w:val="DefaultParagraphFont"/>
    <w:link w:val="CommentText"/>
    <w:uiPriority w:val="99"/>
    <w:semiHidden/>
    <w:rsid w:val="008E3BCD"/>
    <w:rPr>
      <w:sz w:val="20"/>
      <w:szCs w:val="20"/>
    </w:rPr>
  </w:style>
  <w:style w:type="paragraph" w:styleId="CommentSubject">
    <w:name w:val="annotation subject"/>
    <w:basedOn w:val="CommentText"/>
    <w:next w:val="CommentText"/>
    <w:link w:val="CommentSubjectChar"/>
    <w:uiPriority w:val="99"/>
    <w:semiHidden/>
    <w:unhideWhenUsed/>
    <w:rsid w:val="008E3BCD"/>
    <w:rPr>
      <w:b/>
      <w:bCs/>
    </w:rPr>
  </w:style>
  <w:style w:type="character" w:customStyle="1" w:styleId="CommentSubjectChar">
    <w:name w:val="Comment Subject Char"/>
    <w:basedOn w:val="CommentTextChar"/>
    <w:link w:val="CommentSubject"/>
    <w:uiPriority w:val="99"/>
    <w:semiHidden/>
    <w:rsid w:val="008E3BCD"/>
    <w:rPr>
      <w:b/>
      <w:bCs/>
      <w:sz w:val="20"/>
      <w:szCs w:val="20"/>
    </w:rPr>
  </w:style>
  <w:style w:type="paragraph" w:styleId="BalloonText">
    <w:name w:val="Balloon Text"/>
    <w:basedOn w:val="Normal"/>
    <w:link w:val="BalloonTextChar"/>
    <w:uiPriority w:val="99"/>
    <w:semiHidden/>
    <w:unhideWhenUsed/>
    <w:rsid w:val="008E3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BCD"/>
    <w:rPr>
      <w:rFonts w:ascii="Tahoma" w:hAnsi="Tahoma" w:cs="Tahoma"/>
      <w:sz w:val="16"/>
      <w:szCs w:val="16"/>
    </w:rPr>
  </w:style>
  <w:style w:type="paragraph" w:styleId="Header">
    <w:name w:val="header"/>
    <w:basedOn w:val="Normal"/>
    <w:link w:val="HeaderChar"/>
    <w:uiPriority w:val="99"/>
    <w:unhideWhenUsed/>
    <w:rsid w:val="007D0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3B1"/>
  </w:style>
  <w:style w:type="paragraph" w:styleId="Footer">
    <w:name w:val="footer"/>
    <w:basedOn w:val="Normal"/>
    <w:link w:val="FooterChar"/>
    <w:uiPriority w:val="99"/>
    <w:unhideWhenUsed/>
    <w:rsid w:val="007D0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6438">
      <w:bodyDiv w:val="1"/>
      <w:marLeft w:val="0"/>
      <w:marRight w:val="0"/>
      <w:marTop w:val="0"/>
      <w:marBottom w:val="0"/>
      <w:divBdr>
        <w:top w:val="none" w:sz="0" w:space="0" w:color="auto"/>
        <w:left w:val="none" w:sz="0" w:space="0" w:color="auto"/>
        <w:bottom w:val="none" w:sz="0" w:space="0" w:color="auto"/>
        <w:right w:val="none" w:sz="0" w:space="0" w:color="auto"/>
      </w:divBdr>
    </w:div>
    <w:div w:id="13514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FD749-B053-4609-B837-AEA0BA367E4C}"/>
</file>

<file path=customXml/itemProps2.xml><?xml version="1.0" encoding="utf-8"?>
<ds:datastoreItem xmlns:ds="http://schemas.openxmlformats.org/officeDocument/2006/customXml" ds:itemID="{BF61AEB2-466C-4BC5-8150-6167B122B5EA}"/>
</file>

<file path=customXml/itemProps3.xml><?xml version="1.0" encoding="utf-8"?>
<ds:datastoreItem xmlns:ds="http://schemas.openxmlformats.org/officeDocument/2006/customXml" ds:itemID="{B3111229-5835-479B-AB8B-1B1C858AAE61}"/>
</file>

<file path=customXml/itemProps4.xml><?xml version="1.0" encoding="utf-8"?>
<ds:datastoreItem xmlns:ds="http://schemas.openxmlformats.org/officeDocument/2006/customXml" ds:itemID="{837DFA9F-C5A4-41F1-8340-3C9CB35B84AF}"/>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2014-12-01T23:44:00Z</dcterms:created>
  <dcterms:modified xsi:type="dcterms:W3CDTF">2014-12-01T23:44:00Z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924800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