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C5" w:rsidRPr="00D86C59" w:rsidRDefault="005B4FC5" w:rsidP="005B4FC5">
      <w:pPr>
        <w:pStyle w:val="DocName"/>
        <w:pBdr>
          <w:top w:val="single" w:sz="4" w:space="12" w:color="FF9900"/>
          <w:bottom w:val="single" w:sz="4" w:space="5" w:color="FF9900"/>
        </w:pBdr>
        <w:spacing w:line="276" w:lineRule="auto"/>
        <w:rPr>
          <w:rFonts w:asciiTheme="majorHAnsi" w:hAnsiTheme="majorHAnsi"/>
          <w:color w:val="1F497D" w:themeColor="text2"/>
          <w:szCs w:val="28"/>
          <w:lang w:eastAsia="en-AU"/>
        </w:rPr>
      </w:pPr>
      <w:bookmarkStart w:id="0" w:name="_GoBack"/>
      <w:bookmarkEnd w:id="0"/>
      <w:r w:rsidRPr="00D86C59">
        <w:rPr>
          <w:rFonts w:asciiTheme="majorHAnsi" w:hAnsiTheme="majorHAnsi"/>
          <w:color w:val="1F497D" w:themeColor="text2"/>
          <w:szCs w:val="28"/>
          <w:lang w:eastAsia="en-AU"/>
        </w:rPr>
        <w:t xml:space="preserve">The Education Partnership: Independent Completion Report </w:t>
      </w:r>
    </w:p>
    <w:p w:rsidR="005B4FC5" w:rsidRPr="00D86C59" w:rsidRDefault="005B4FC5" w:rsidP="005B4FC5">
      <w:pPr>
        <w:pStyle w:val="DocName"/>
        <w:pBdr>
          <w:top w:val="single" w:sz="4" w:space="12" w:color="FF9900"/>
          <w:bottom w:val="single" w:sz="4" w:space="5" w:color="FF9900"/>
        </w:pBdr>
        <w:rPr>
          <w:rFonts w:asciiTheme="majorHAnsi" w:hAnsiTheme="majorHAnsi"/>
          <w:color w:val="1F497D" w:themeColor="text2"/>
          <w:sz w:val="24"/>
          <w:lang w:eastAsia="en-AU"/>
        </w:rPr>
      </w:pPr>
      <w:r w:rsidRPr="00D86C59">
        <w:rPr>
          <w:rFonts w:asciiTheme="majorHAnsi" w:hAnsiTheme="majorHAnsi"/>
          <w:color w:val="1F497D" w:themeColor="text2"/>
          <w:szCs w:val="28"/>
          <w:lang w:eastAsia="en-AU"/>
        </w:rPr>
        <w:t>MANAGEMENT RESPONSE</w:t>
      </w:r>
    </w:p>
    <w:p w:rsidR="005B4FC5" w:rsidRPr="00D86C59" w:rsidRDefault="005B4FC5" w:rsidP="005B4FC5">
      <w:pPr>
        <w:spacing w:after="0"/>
        <w:rPr>
          <w:rFonts w:eastAsia="Calibri" w:cs="Times New Roman"/>
          <w:b/>
          <w:sz w:val="24"/>
          <w:szCs w:val="24"/>
          <w:lang w:eastAsia="en-AU"/>
        </w:rPr>
      </w:pPr>
    </w:p>
    <w:p w:rsidR="0062788E" w:rsidRPr="00D86C59" w:rsidRDefault="0062788E" w:rsidP="00820A2F">
      <w:pPr>
        <w:spacing w:after="0"/>
        <w:rPr>
          <w:rFonts w:eastAsia="Calibri" w:cs="Times New Roman"/>
          <w:b/>
          <w:color w:val="1F497D" w:themeColor="text2"/>
          <w:sz w:val="24"/>
          <w:szCs w:val="24"/>
          <w:lang w:eastAsia="en-AU"/>
        </w:rPr>
      </w:pPr>
    </w:p>
    <w:p w:rsidR="00820A2F" w:rsidRPr="00D86C59" w:rsidRDefault="00820A2F" w:rsidP="00820A2F">
      <w:pPr>
        <w:spacing w:after="0"/>
        <w:rPr>
          <w:rFonts w:eastAsia="Calibri" w:cs="Times New Roman"/>
          <w:b/>
          <w:color w:val="1F497D" w:themeColor="text2"/>
          <w:sz w:val="28"/>
          <w:szCs w:val="28"/>
          <w:lang w:eastAsia="en-AU"/>
        </w:rPr>
      </w:pPr>
      <w:r w:rsidRPr="00D86C59">
        <w:rPr>
          <w:rFonts w:eastAsia="Calibri" w:cs="Times New Roman"/>
          <w:b/>
          <w:color w:val="1F497D" w:themeColor="text2"/>
          <w:sz w:val="28"/>
          <w:szCs w:val="28"/>
          <w:lang w:eastAsia="en-AU"/>
        </w:rPr>
        <w:t>Program Summary</w:t>
      </w:r>
    </w:p>
    <w:p w:rsidR="006926D6" w:rsidRPr="00D86C59" w:rsidRDefault="006926D6" w:rsidP="00820A2F">
      <w:pPr>
        <w:spacing w:after="0"/>
        <w:rPr>
          <w:rFonts w:eastAsia="Calibri" w:cs="Times New Roman"/>
          <w:b/>
          <w:sz w:val="24"/>
          <w:szCs w:val="24"/>
          <w:lang w:eastAsia="en-AU"/>
        </w:rPr>
      </w:pPr>
    </w:p>
    <w:tbl>
      <w:tblPr>
        <w:tblStyle w:val="LightList-Accent5"/>
        <w:tblW w:w="0" w:type="auto"/>
        <w:tblLook w:val="04A0" w:firstRow="1" w:lastRow="0" w:firstColumn="1" w:lastColumn="0" w:noHBand="0" w:noVBand="1"/>
      </w:tblPr>
      <w:tblGrid>
        <w:gridCol w:w="2268"/>
        <w:gridCol w:w="7054"/>
      </w:tblGrid>
      <w:tr w:rsidR="009460D5" w:rsidRPr="00D86C59" w:rsidTr="00A30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eastAsia="Calibri" w:cs="Times New Roman"/>
                <w:b w:val="0"/>
                <w:sz w:val="24"/>
                <w:szCs w:val="24"/>
                <w:lang w:eastAsia="en-AU"/>
              </w:rPr>
            </w:pPr>
            <w:r w:rsidRPr="00D86C59">
              <w:rPr>
                <w:rFonts w:cs="Times New Roman"/>
                <w:b w:val="0"/>
                <w:sz w:val="24"/>
                <w:szCs w:val="24"/>
              </w:rPr>
              <w:t>Program</w:t>
            </w:r>
          </w:p>
        </w:tc>
        <w:tc>
          <w:tcPr>
            <w:tcW w:w="7054" w:type="dxa"/>
          </w:tcPr>
          <w:p w:rsidR="009460D5" w:rsidRPr="00D86C59" w:rsidRDefault="009460D5" w:rsidP="009460D5">
            <w:pPr>
              <w:spacing w:after="0"/>
              <w:ind w:left="-1713" w:firstLine="1713"/>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D86C59">
              <w:rPr>
                <w:rFonts w:cs="Times New Roman"/>
                <w:b w:val="0"/>
                <w:sz w:val="24"/>
                <w:szCs w:val="24"/>
              </w:rPr>
              <w:t>Australia's Education Partnership with Indonesia</w:t>
            </w:r>
          </w:p>
          <w:p w:rsidR="000D0F34" w:rsidRPr="00D86C59" w:rsidRDefault="000D0F34" w:rsidP="009460D5">
            <w:pPr>
              <w:spacing w:after="0"/>
              <w:ind w:left="-1713" w:firstLine="1713"/>
              <w:cnfStyle w:val="100000000000" w:firstRow="1" w:lastRow="0" w:firstColumn="0" w:lastColumn="0" w:oddVBand="0" w:evenVBand="0" w:oddHBand="0" w:evenHBand="0" w:firstRowFirstColumn="0" w:firstRowLastColumn="0" w:lastRowFirstColumn="0" w:lastRowLastColumn="0"/>
              <w:rPr>
                <w:rFonts w:eastAsia="Calibri" w:cs="Times New Roman"/>
                <w:b w:val="0"/>
                <w:sz w:val="24"/>
                <w:szCs w:val="24"/>
                <w:lang w:eastAsia="en-AU"/>
              </w:rPr>
            </w:pPr>
          </w:p>
        </w:tc>
      </w:tr>
      <w:tr w:rsidR="009460D5" w:rsidRPr="00D86C59" w:rsidTr="00A3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eastAsia="Calibri" w:cs="Times New Roman"/>
                <w:b w:val="0"/>
                <w:sz w:val="24"/>
                <w:szCs w:val="24"/>
                <w:lang w:eastAsia="en-AU"/>
              </w:rPr>
            </w:pPr>
            <w:r w:rsidRPr="00D86C59">
              <w:rPr>
                <w:rFonts w:cs="Times New Roman"/>
                <w:sz w:val="24"/>
                <w:szCs w:val="24"/>
              </w:rPr>
              <w:t>AidWorks details</w:t>
            </w:r>
          </w:p>
        </w:tc>
        <w:tc>
          <w:tcPr>
            <w:tcW w:w="7054" w:type="dxa"/>
          </w:tcPr>
          <w:p w:rsidR="009460D5" w:rsidRPr="00D86C59" w:rsidRDefault="009460D5" w:rsidP="000D0F34">
            <w:pPr>
              <w:spacing w:after="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D86C59">
              <w:rPr>
                <w:rFonts w:cs="Times New Roman"/>
                <w:sz w:val="24"/>
                <w:szCs w:val="24"/>
              </w:rPr>
              <w:t>Agreement No. 60234 / INJ648</w:t>
            </w:r>
          </w:p>
          <w:p w:rsidR="000D0F34" w:rsidRPr="00D86C59" w:rsidRDefault="000D0F34" w:rsidP="000D0F34">
            <w:pPr>
              <w:spacing w:after="0"/>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lang w:eastAsia="en-AU"/>
              </w:rPr>
            </w:pPr>
          </w:p>
        </w:tc>
      </w:tr>
      <w:tr w:rsidR="009460D5" w:rsidRPr="00D86C59" w:rsidTr="00A30E5B">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eastAsia="Calibri" w:cs="Times New Roman"/>
                <w:b w:val="0"/>
                <w:sz w:val="24"/>
                <w:szCs w:val="24"/>
                <w:lang w:eastAsia="en-AU"/>
              </w:rPr>
            </w:pPr>
            <w:r w:rsidRPr="00D86C59">
              <w:rPr>
                <w:rFonts w:cs="Times New Roman"/>
                <w:sz w:val="24"/>
                <w:szCs w:val="24"/>
              </w:rPr>
              <w:t>Commencement</w:t>
            </w:r>
          </w:p>
        </w:tc>
        <w:tc>
          <w:tcPr>
            <w:tcW w:w="7054" w:type="dxa"/>
          </w:tcPr>
          <w:p w:rsidR="009460D5" w:rsidRPr="00D86C59" w:rsidRDefault="009460D5" w:rsidP="000D0F34">
            <w:pPr>
              <w:spacing w:after="0"/>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D86C59">
              <w:rPr>
                <w:rFonts w:cs="Times New Roman"/>
                <w:sz w:val="24"/>
                <w:szCs w:val="24"/>
              </w:rPr>
              <w:t>June 14, 2011</w:t>
            </w:r>
          </w:p>
          <w:p w:rsidR="000D0F34" w:rsidRPr="00D86C59" w:rsidRDefault="000D0F34" w:rsidP="000D0F34">
            <w:pPr>
              <w:spacing w:after="0"/>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lang w:eastAsia="en-AU"/>
              </w:rPr>
            </w:pPr>
          </w:p>
        </w:tc>
      </w:tr>
      <w:tr w:rsidR="009460D5" w:rsidRPr="00D86C59" w:rsidTr="00A3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eastAsia="Calibri" w:cs="Times New Roman"/>
                <w:sz w:val="24"/>
                <w:szCs w:val="24"/>
                <w:lang w:eastAsia="en-AU"/>
              </w:rPr>
            </w:pPr>
            <w:r w:rsidRPr="00D86C59">
              <w:rPr>
                <w:rFonts w:eastAsia="Calibri" w:cs="Times New Roman"/>
                <w:sz w:val="24"/>
                <w:szCs w:val="24"/>
                <w:lang w:eastAsia="en-AU"/>
              </w:rPr>
              <w:t>Total AUD</w:t>
            </w:r>
          </w:p>
        </w:tc>
        <w:tc>
          <w:tcPr>
            <w:tcW w:w="7054" w:type="dxa"/>
          </w:tcPr>
          <w:p w:rsidR="009460D5" w:rsidRPr="00D86C59" w:rsidRDefault="009460D5" w:rsidP="000D0F34">
            <w:pPr>
              <w:spacing w:after="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D86C59">
              <w:rPr>
                <w:rFonts w:cs="Times New Roman"/>
                <w:sz w:val="24"/>
                <w:szCs w:val="24"/>
              </w:rPr>
              <w:t>368.8 million</w:t>
            </w:r>
          </w:p>
          <w:p w:rsidR="000D0F34" w:rsidRPr="00D86C59" w:rsidRDefault="000D0F34" w:rsidP="000D0F34">
            <w:pPr>
              <w:spacing w:after="0"/>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lang w:eastAsia="en-AU"/>
              </w:rPr>
            </w:pPr>
          </w:p>
        </w:tc>
      </w:tr>
      <w:tr w:rsidR="009460D5" w:rsidRPr="00D86C59" w:rsidTr="00A30E5B">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eastAsia="Calibri" w:cs="Times New Roman"/>
                <w:b w:val="0"/>
                <w:sz w:val="24"/>
                <w:szCs w:val="24"/>
                <w:lang w:eastAsia="en-AU"/>
              </w:rPr>
            </w:pPr>
            <w:r w:rsidRPr="00D86C59">
              <w:rPr>
                <w:rFonts w:cs="Times New Roman"/>
                <w:sz w:val="24"/>
                <w:szCs w:val="24"/>
              </w:rPr>
              <w:t>Delivery organisation(s</w:t>
            </w:r>
            <w:r w:rsidR="00AF2B1D" w:rsidRPr="00D86C59">
              <w:rPr>
                <w:rFonts w:cs="Times New Roman"/>
                <w:sz w:val="24"/>
                <w:szCs w:val="24"/>
              </w:rPr>
              <w:t>)</w:t>
            </w:r>
          </w:p>
        </w:tc>
        <w:tc>
          <w:tcPr>
            <w:tcW w:w="7054" w:type="dxa"/>
          </w:tcPr>
          <w:p w:rsidR="009460D5" w:rsidRPr="00D86C59" w:rsidRDefault="00152E53" w:rsidP="00D2046A">
            <w:pPr>
              <w:spacing w:after="0"/>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D86C59">
              <w:rPr>
                <w:rFonts w:cs="Times New Roman"/>
                <w:sz w:val="24"/>
                <w:szCs w:val="24"/>
              </w:rPr>
              <w:t xml:space="preserve">Two grants to MOEC and </w:t>
            </w:r>
            <w:r w:rsidR="009460D5" w:rsidRPr="00D86C59">
              <w:rPr>
                <w:rFonts w:cs="Times New Roman"/>
                <w:sz w:val="24"/>
                <w:szCs w:val="24"/>
              </w:rPr>
              <w:t xml:space="preserve">Components 1, 2 and 3 by Cardno Emerging Markets through the School System and Quality (SSQ) program. </w:t>
            </w:r>
            <w:r w:rsidR="00A30E5B" w:rsidRPr="00D86C59">
              <w:rPr>
                <w:rFonts w:cs="Times New Roman"/>
                <w:sz w:val="24"/>
                <w:szCs w:val="24"/>
              </w:rPr>
              <w:t xml:space="preserve"> </w:t>
            </w:r>
            <w:r w:rsidR="009460D5" w:rsidRPr="00D86C59">
              <w:rPr>
                <w:rFonts w:cs="Times New Roman"/>
                <w:sz w:val="24"/>
                <w:szCs w:val="24"/>
              </w:rPr>
              <w:t xml:space="preserve">Component 4 </w:t>
            </w:r>
            <w:r w:rsidRPr="00D86C59">
              <w:rPr>
                <w:rFonts w:cs="Times New Roman"/>
                <w:sz w:val="24"/>
                <w:szCs w:val="24"/>
              </w:rPr>
              <w:t xml:space="preserve">delivered </w:t>
            </w:r>
            <w:r w:rsidR="009460D5" w:rsidRPr="00D86C59">
              <w:rPr>
                <w:rFonts w:cs="Times New Roman"/>
                <w:sz w:val="24"/>
                <w:szCs w:val="24"/>
              </w:rPr>
              <w:t xml:space="preserve">by the ADB </w:t>
            </w:r>
            <w:r w:rsidRPr="00D86C59">
              <w:rPr>
                <w:rFonts w:cs="Times New Roman"/>
                <w:sz w:val="24"/>
                <w:szCs w:val="24"/>
              </w:rPr>
              <w:t xml:space="preserve">–and </w:t>
            </w:r>
            <w:r w:rsidR="009460D5" w:rsidRPr="00D86C59">
              <w:rPr>
                <w:rFonts w:cs="Times New Roman"/>
                <w:sz w:val="24"/>
                <w:szCs w:val="24"/>
              </w:rPr>
              <w:t xml:space="preserve">co-financed by the EU.  </w:t>
            </w:r>
          </w:p>
          <w:p w:rsidR="000D0F34" w:rsidRPr="00D86C59" w:rsidRDefault="000D0F34" w:rsidP="000D0F34">
            <w:pPr>
              <w:spacing w:after="0"/>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lang w:eastAsia="en-AU"/>
              </w:rPr>
            </w:pPr>
          </w:p>
        </w:tc>
      </w:tr>
      <w:tr w:rsidR="009460D5" w:rsidRPr="00D86C59" w:rsidTr="00A3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cs="Times New Roman"/>
                <w:sz w:val="24"/>
                <w:szCs w:val="24"/>
              </w:rPr>
            </w:pPr>
            <w:r w:rsidRPr="00D86C59">
              <w:rPr>
                <w:rFonts w:cs="Times New Roman"/>
                <w:sz w:val="24"/>
                <w:szCs w:val="24"/>
              </w:rPr>
              <w:t>Implementing partner(s)</w:t>
            </w:r>
          </w:p>
        </w:tc>
        <w:tc>
          <w:tcPr>
            <w:tcW w:w="7054" w:type="dxa"/>
          </w:tcPr>
          <w:p w:rsidR="002E161F" w:rsidRPr="00D86C59" w:rsidRDefault="009460D5" w:rsidP="000D0F34">
            <w:pPr>
              <w:tabs>
                <w:tab w:val="left" w:pos="493"/>
              </w:tabs>
              <w:spacing w:after="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D86C59">
              <w:rPr>
                <w:rFonts w:cs="Times New Roman"/>
                <w:sz w:val="24"/>
                <w:szCs w:val="24"/>
              </w:rPr>
              <w:t>The Ministry of Education and Culture (MoEC) and</w:t>
            </w:r>
            <w:r w:rsidR="002E161F" w:rsidRPr="00D86C59">
              <w:rPr>
                <w:rFonts w:cs="Times New Roman"/>
                <w:sz w:val="24"/>
                <w:szCs w:val="24"/>
              </w:rPr>
              <w:t>;</w:t>
            </w:r>
          </w:p>
          <w:p w:rsidR="009460D5" w:rsidRPr="00D86C59" w:rsidRDefault="009460D5" w:rsidP="000D0F34">
            <w:pPr>
              <w:tabs>
                <w:tab w:val="left" w:pos="493"/>
              </w:tabs>
              <w:spacing w:after="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D86C59">
              <w:rPr>
                <w:rFonts w:cs="Times New Roman"/>
                <w:sz w:val="24"/>
                <w:szCs w:val="24"/>
              </w:rPr>
              <w:t>The Ministry of Religious Affairs (MoRA)</w:t>
            </w:r>
          </w:p>
          <w:p w:rsidR="000D0F34" w:rsidRPr="00D86C59" w:rsidRDefault="000D0F34" w:rsidP="000D0F34">
            <w:pPr>
              <w:tabs>
                <w:tab w:val="left" w:pos="493"/>
              </w:tabs>
              <w:spacing w:after="0"/>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9460D5" w:rsidRPr="00D86C59" w:rsidTr="00A30E5B">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cs="Times New Roman"/>
                <w:sz w:val="24"/>
                <w:szCs w:val="24"/>
              </w:rPr>
            </w:pPr>
            <w:r w:rsidRPr="00D86C59">
              <w:rPr>
                <w:rFonts w:cs="Times New Roman"/>
                <w:sz w:val="24"/>
                <w:szCs w:val="24"/>
              </w:rPr>
              <w:t>Country/Region</w:t>
            </w:r>
          </w:p>
        </w:tc>
        <w:tc>
          <w:tcPr>
            <w:tcW w:w="7054" w:type="dxa"/>
          </w:tcPr>
          <w:p w:rsidR="009460D5" w:rsidRPr="00D86C59" w:rsidRDefault="009460D5" w:rsidP="000D0F34">
            <w:pPr>
              <w:spacing w:after="0"/>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D86C59">
              <w:rPr>
                <w:rFonts w:cs="Times New Roman"/>
                <w:sz w:val="24"/>
                <w:szCs w:val="24"/>
              </w:rPr>
              <w:t>Indonesia</w:t>
            </w:r>
          </w:p>
          <w:p w:rsidR="000D0F34" w:rsidRPr="00D86C59" w:rsidRDefault="000D0F34" w:rsidP="000D0F34">
            <w:pPr>
              <w:spacing w:after="0"/>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9460D5" w:rsidRPr="00D86C59" w:rsidTr="00A3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460D5" w:rsidRPr="00D86C59" w:rsidRDefault="009460D5" w:rsidP="00820A2F">
            <w:pPr>
              <w:spacing w:after="0"/>
              <w:rPr>
                <w:rFonts w:cs="Times New Roman"/>
                <w:sz w:val="24"/>
                <w:szCs w:val="24"/>
              </w:rPr>
            </w:pPr>
            <w:r w:rsidRPr="00D86C59">
              <w:rPr>
                <w:rFonts w:cs="Times New Roman"/>
                <w:sz w:val="24"/>
                <w:szCs w:val="24"/>
              </w:rPr>
              <w:t>Primary sector</w:t>
            </w:r>
          </w:p>
        </w:tc>
        <w:tc>
          <w:tcPr>
            <w:tcW w:w="7054" w:type="dxa"/>
          </w:tcPr>
          <w:p w:rsidR="009460D5" w:rsidRPr="00D86C59" w:rsidRDefault="009460D5" w:rsidP="000D0F34">
            <w:pPr>
              <w:spacing w:after="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D86C59">
              <w:rPr>
                <w:rFonts w:cs="Times New Roman"/>
                <w:sz w:val="24"/>
                <w:szCs w:val="24"/>
              </w:rPr>
              <w:t>Basic Education</w:t>
            </w:r>
          </w:p>
          <w:p w:rsidR="000D0F34" w:rsidRPr="00D86C59" w:rsidRDefault="000D0F34" w:rsidP="000D0F34">
            <w:pPr>
              <w:spacing w:after="0"/>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rsidR="006926D6" w:rsidRPr="00D86C59" w:rsidRDefault="006926D6" w:rsidP="00820A2F">
      <w:pPr>
        <w:spacing w:after="0"/>
        <w:rPr>
          <w:rFonts w:eastAsia="Calibri" w:cs="Times New Roman"/>
          <w:b/>
          <w:sz w:val="24"/>
          <w:szCs w:val="24"/>
          <w:lang w:eastAsia="en-AU"/>
        </w:rPr>
      </w:pPr>
    </w:p>
    <w:p w:rsidR="00820A2F" w:rsidRPr="00D86C59" w:rsidRDefault="00D0713A" w:rsidP="00820A2F">
      <w:pPr>
        <w:spacing w:before="120"/>
        <w:rPr>
          <w:rFonts w:eastAsia="Times New Roman" w:cs="Times New Roman"/>
          <w:b/>
          <w:iCs/>
          <w:color w:val="1F497D" w:themeColor="text2"/>
          <w:sz w:val="24"/>
          <w:szCs w:val="24"/>
          <w:lang w:eastAsia="en-AU"/>
        </w:rPr>
      </w:pPr>
      <w:r w:rsidRPr="00D86C59">
        <w:rPr>
          <w:rFonts w:eastAsia="Times New Roman" w:cs="Times New Roman"/>
          <w:b/>
          <w:iCs/>
          <w:color w:val="1F497D" w:themeColor="text2"/>
          <w:sz w:val="24"/>
          <w:szCs w:val="24"/>
          <w:lang w:eastAsia="en-AU"/>
        </w:rPr>
        <w:t>The Education Partnership Implementation Completion Report</w:t>
      </w:r>
    </w:p>
    <w:p w:rsidR="00D0713A" w:rsidRPr="00D86C59" w:rsidRDefault="00D0713A" w:rsidP="00D2046A">
      <w:pPr>
        <w:spacing w:before="120"/>
        <w:jc w:val="both"/>
        <w:rPr>
          <w:rFonts w:eastAsia="Times New Roman" w:cs="Times New Roman"/>
          <w:iCs/>
          <w:sz w:val="24"/>
          <w:szCs w:val="24"/>
          <w:lang w:eastAsia="en-AU"/>
        </w:rPr>
      </w:pPr>
      <w:r w:rsidRPr="00D86C59">
        <w:rPr>
          <w:rFonts w:eastAsia="Times New Roman" w:cs="Times New Roman"/>
          <w:iCs/>
          <w:sz w:val="24"/>
          <w:szCs w:val="24"/>
          <w:lang w:eastAsia="en-AU"/>
        </w:rPr>
        <w:t xml:space="preserve">The ICR </w:t>
      </w:r>
      <w:r w:rsidR="00525011" w:rsidRPr="00D86C59">
        <w:rPr>
          <w:rFonts w:eastAsia="Times New Roman" w:cs="Times New Roman"/>
          <w:iCs/>
          <w:sz w:val="24"/>
          <w:szCs w:val="24"/>
          <w:lang w:eastAsia="en-AU"/>
        </w:rPr>
        <w:t xml:space="preserve">provides </w:t>
      </w:r>
      <w:r w:rsidR="003E6292" w:rsidRPr="00D86C59">
        <w:rPr>
          <w:rFonts w:eastAsia="Times New Roman" w:cs="Times New Roman"/>
          <w:iCs/>
          <w:sz w:val="24"/>
          <w:szCs w:val="24"/>
          <w:lang w:eastAsia="en-AU"/>
        </w:rPr>
        <w:t>an overview of the Education Partnership (EP)</w:t>
      </w:r>
      <w:r w:rsidR="00525011" w:rsidRPr="00D86C59">
        <w:rPr>
          <w:rFonts w:eastAsia="Times New Roman" w:cs="Times New Roman"/>
          <w:iCs/>
          <w:sz w:val="24"/>
          <w:szCs w:val="24"/>
          <w:lang w:eastAsia="en-AU"/>
        </w:rPr>
        <w:t xml:space="preserve">, describes the </w:t>
      </w:r>
      <w:r w:rsidR="00B00531" w:rsidRPr="00D86C59">
        <w:rPr>
          <w:rFonts w:eastAsia="Times New Roman" w:cs="Times New Roman"/>
          <w:iCs/>
          <w:sz w:val="24"/>
          <w:szCs w:val="24"/>
          <w:lang w:eastAsia="en-AU"/>
        </w:rPr>
        <w:t>partnership’s</w:t>
      </w:r>
      <w:r w:rsidR="003E6292" w:rsidRPr="00D86C59">
        <w:rPr>
          <w:rFonts w:eastAsia="Times New Roman" w:cs="Times New Roman"/>
          <w:iCs/>
          <w:sz w:val="24"/>
          <w:szCs w:val="24"/>
          <w:lang w:eastAsia="en-AU"/>
        </w:rPr>
        <w:t xml:space="preserve"> </w:t>
      </w:r>
      <w:r w:rsidR="00525011" w:rsidRPr="00D86C59">
        <w:rPr>
          <w:rFonts w:eastAsia="Times New Roman" w:cs="Times New Roman"/>
          <w:iCs/>
          <w:sz w:val="24"/>
          <w:szCs w:val="24"/>
          <w:lang w:eastAsia="en-AU"/>
        </w:rPr>
        <w:t>evolution</w:t>
      </w:r>
      <w:r w:rsidR="0096554C" w:rsidRPr="00D86C59">
        <w:rPr>
          <w:rFonts w:eastAsia="Times New Roman" w:cs="Times New Roman"/>
          <w:iCs/>
          <w:sz w:val="24"/>
          <w:szCs w:val="24"/>
          <w:lang w:eastAsia="en-AU"/>
        </w:rPr>
        <w:t>,</w:t>
      </w:r>
      <w:r w:rsidR="00525011" w:rsidRPr="00D86C59">
        <w:rPr>
          <w:rFonts w:eastAsia="Times New Roman" w:cs="Times New Roman"/>
          <w:iCs/>
          <w:sz w:val="24"/>
          <w:szCs w:val="24"/>
          <w:lang w:eastAsia="en-AU"/>
        </w:rPr>
        <w:t xml:space="preserve"> </w:t>
      </w:r>
      <w:r w:rsidRPr="00D86C59">
        <w:rPr>
          <w:rFonts w:eastAsia="Times New Roman" w:cs="Times New Roman"/>
          <w:iCs/>
          <w:sz w:val="24"/>
          <w:szCs w:val="24"/>
          <w:lang w:eastAsia="en-AU"/>
        </w:rPr>
        <w:t xml:space="preserve">captures </w:t>
      </w:r>
      <w:r w:rsidR="0096554C" w:rsidRPr="00D86C59">
        <w:rPr>
          <w:rFonts w:eastAsia="Times New Roman" w:cs="Times New Roman"/>
          <w:iCs/>
          <w:sz w:val="24"/>
          <w:szCs w:val="24"/>
          <w:lang w:eastAsia="en-AU"/>
        </w:rPr>
        <w:t xml:space="preserve">its </w:t>
      </w:r>
      <w:r w:rsidR="003E6292" w:rsidRPr="00D86C59">
        <w:rPr>
          <w:rFonts w:eastAsia="Times New Roman" w:cs="Times New Roman"/>
          <w:iCs/>
          <w:sz w:val="24"/>
          <w:szCs w:val="24"/>
          <w:lang w:eastAsia="en-AU"/>
        </w:rPr>
        <w:t>significant achievements</w:t>
      </w:r>
      <w:r w:rsidR="0096554C" w:rsidRPr="00D86C59">
        <w:rPr>
          <w:rFonts w:eastAsia="Times New Roman" w:cs="Times New Roman"/>
          <w:iCs/>
          <w:sz w:val="24"/>
          <w:szCs w:val="24"/>
          <w:lang w:eastAsia="en-AU"/>
        </w:rPr>
        <w:t xml:space="preserve"> and reports on the program’s performance</w:t>
      </w:r>
      <w:r w:rsidR="00530FB9" w:rsidRPr="00D86C59">
        <w:rPr>
          <w:rFonts w:eastAsia="Times New Roman" w:cs="Times New Roman"/>
          <w:iCs/>
          <w:sz w:val="24"/>
          <w:szCs w:val="24"/>
          <w:lang w:eastAsia="en-AU"/>
        </w:rPr>
        <w:t>,</w:t>
      </w:r>
      <w:r w:rsidR="0096554C" w:rsidRPr="00D86C59">
        <w:rPr>
          <w:rFonts w:eastAsia="Times New Roman" w:cs="Times New Roman"/>
          <w:iCs/>
          <w:sz w:val="24"/>
          <w:szCs w:val="24"/>
          <w:lang w:eastAsia="en-AU"/>
        </w:rPr>
        <w:t xml:space="preserve"> component by component</w:t>
      </w:r>
      <w:r w:rsidR="00530FB9" w:rsidRPr="00D86C59">
        <w:rPr>
          <w:rFonts w:eastAsia="Times New Roman" w:cs="Times New Roman"/>
          <w:iCs/>
          <w:sz w:val="24"/>
          <w:szCs w:val="24"/>
          <w:lang w:eastAsia="en-AU"/>
        </w:rPr>
        <w:t>,</w:t>
      </w:r>
      <w:r w:rsidR="0096554C" w:rsidRPr="00D86C59">
        <w:rPr>
          <w:rFonts w:eastAsia="Times New Roman" w:cs="Times New Roman"/>
          <w:iCs/>
          <w:sz w:val="24"/>
          <w:szCs w:val="24"/>
          <w:lang w:eastAsia="en-AU"/>
        </w:rPr>
        <w:t xml:space="preserve"> </w:t>
      </w:r>
      <w:r w:rsidR="00D31BED" w:rsidRPr="00D86C59">
        <w:rPr>
          <w:rFonts w:eastAsia="Times New Roman" w:cs="Times New Roman"/>
          <w:iCs/>
          <w:sz w:val="24"/>
          <w:szCs w:val="24"/>
          <w:lang w:eastAsia="en-AU"/>
        </w:rPr>
        <w:t>against</w:t>
      </w:r>
      <w:r w:rsidR="0096554C" w:rsidRPr="00D86C59">
        <w:rPr>
          <w:rFonts w:eastAsia="Times New Roman" w:cs="Times New Roman"/>
          <w:iCs/>
          <w:sz w:val="24"/>
          <w:szCs w:val="24"/>
          <w:lang w:eastAsia="en-AU"/>
        </w:rPr>
        <w:t xml:space="preserve"> the DAC criteria </w:t>
      </w:r>
      <w:r w:rsidR="00D31BED" w:rsidRPr="00D86C59">
        <w:rPr>
          <w:rFonts w:eastAsia="Times New Roman" w:cs="Times New Roman"/>
          <w:iCs/>
          <w:sz w:val="24"/>
          <w:szCs w:val="24"/>
          <w:lang w:eastAsia="en-AU"/>
        </w:rPr>
        <w:t>of relevance, efficiency, effectiveness</w:t>
      </w:r>
      <w:r w:rsidR="00034E74" w:rsidRPr="00D86C59">
        <w:rPr>
          <w:rFonts w:eastAsia="Times New Roman" w:cs="Times New Roman"/>
          <w:iCs/>
          <w:sz w:val="24"/>
          <w:szCs w:val="24"/>
          <w:lang w:eastAsia="en-AU"/>
        </w:rPr>
        <w:t xml:space="preserve">, impact and sustainability. </w:t>
      </w:r>
      <w:r w:rsidR="00D31BED" w:rsidRPr="00D86C59">
        <w:rPr>
          <w:rFonts w:eastAsia="Times New Roman" w:cs="Times New Roman"/>
          <w:iCs/>
          <w:sz w:val="24"/>
          <w:szCs w:val="24"/>
          <w:lang w:eastAsia="en-AU"/>
        </w:rPr>
        <w:t xml:space="preserve"> </w:t>
      </w:r>
      <w:r w:rsidR="00F22E91" w:rsidRPr="00D86C59">
        <w:rPr>
          <w:rFonts w:eastAsia="Times New Roman" w:cs="Times New Roman"/>
          <w:iCs/>
          <w:sz w:val="24"/>
          <w:szCs w:val="24"/>
          <w:lang w:eastAsia="en-AU"/>
        </w:rPr>
        <w:t>It also looks at the EP investment from a value for money perspective and draws conclusion</w:t>
      </w:r>
      <w:r w:rsidR="00530FB9" w:rsidRPr="00D86C59">
        <w:rPr>
          <w:rFonts w:eastAsia="Times New Roman" w:cs="Times New Roman"/>
          <w:iCs/>
          <w:sz w:val="24"/>
          <w:szCs w:val="24"/>
          <w:lang w:eastAsia="en-AU"/>
        </w:rPr>
        <w:t>s</w:t>
      </w:r>
      <w:r w:rsidR="00F22E91" w:rsidRPr="00D86C59">
        <w:rPr>
          <w:rFonts w:eastAsia="Times New Roman" w:cs="Times New Roman"/>
          <w:iCs/>
          <w:sz w:val="24"/>
          <w:szCs w:val="24"/>
          <w:lang w:eastAsia="en-AU"/>
        </w:rPr>
        <w:t xml:space="preserve"> and lessons that are useful for DFAT’s forward program</w:t>
      </w:r>
      <w:r w:rsidR="00530FB9" w:rsidRPr="00D86C59">
        <w:rPr>
          <w:rFonts w:eastAsia="Times New Roman" w:cs="Times New Roman"/>
          <w:iCs/>
          <w:sz w:val="24"/>
          <w:szCs w:val="24"/>
          <w:lang w:eastAsia="en-AU"/>
        </w:rPr>
        <w:t>.</w:t>
      </w:r>
      <w:r w:rsidR="00F22E91" w:rsidRPr="00D86C59">
        <w:rPr>
          <w:rFonts w:eastAsia="Times New Roman" w:cs="Times New Roman"/>
          <w:iCs/>
          <w:sz w:val="24"/>
          <w:szCs w:val="24"/>
          <w:lang w:eastAsia="en-AU"/>
        </w:rPr>
        <w:t xml:space="preserve">  </w:t>
      </w:r>
      <w:r w:rsidR="00302328" w:rsidRPr="00D86C59">
        <w:rPr>
          <w:rFonts w:eastAsia="Times New Roman" w:cs="Times New Roman"/>
          <w:iCs/>
          <w:sz w:val="24"/>
          <w:szCs w:val="24"/>
          <w:lang w:eastAsia="en-AU"/>
        </w:rPr>
        <w:t xml:space="preserve">The ICR was produced by the </w:t>
      </w:r>
      <w:r w:rsidR="007E38F8" w:rsidRPr="00D86C59">
        <w:rPr>
          <w:rFonts w:eastAsia="Times New Roman" w:cs="Times New Roman"/>
          <w:iCs/>
          <w:sz w:val="24"/>
          <w:szCs w:val="24"/>
          <w:lang w:eastAsia="en-AU"/>
        </w:rPr>
        <w:t xml:space="preserve">contractor responsible for the </w:t>
      </w:r>
      <w:r w:rsidR="00302328" w:rsidRPr="00D86C59">
        <w:rPr>
          <w:rFonts w:eastAsia="Times New Roman" w:cs="Times New Roman"/>
          <w:iCs/>
          <w:sz w:val="24"/>
          <w:szCs w:val="24"/>
          <w:lang w:eastAsia="en-AU"/>
        </w:rPr>
        <w:t xml:space="preserve">EP’s </w:t>
      </w:r>
      <w:r w:rsidR="00302328" w:rsidRPr="00D86C59">
        <w:rPr>
          <w:rFonts w:cs="Times New Roman"/>
          <w:sz w:val="24"/>
          <w:szCs w:val="24"/>
        </w:rPr>
        <w:t>performance oversight monitoring (POM)</w:t>
      </w:r>
      <w:r w:rsidR="007E38F8" w:rsidRPr="00D86C59">
        <w:rPr>
          <w:rFonts w:cs="Times New Roman"/>
          <w:sz w:val="24"/>
          <w:szCs w:val="24"/>
        </w:rPr>
        <w:t>.</w:t>
      </w:r>
    </w:p>
    <w:p w:rsidR="00641867" w:rsidRPr="00D86C59" w:rsidRDefault="00641867" w:rsidP="00D328DA">
      <w:pPr>
        <w:spacing w:before="120"/>
        <w:rPr>
          <w:rFonts w:eastAsia="Times New Roman" w:cs="Times New Roman"/>
          <w:b/>
          <w:iCs/>
          <w:color w:val="1F497D" w:themeColor="text2"/>
          <w:sz w:val="24"/>
          <w:szCs w:val="24"/>
          <w:lang w:eastAsia="en-AU"/>
        </w:rPr>
      </w:pPr>
      <w:r w:rsidRPr="00D86C59">
        <w:rPr>
          <w:rFonts w:eastAsia="Times New Roman" w:cs="Times New Roman"/>
          <w:b/>
          <w:iCs/>
          <w:color w:val="1F497D" w:themeColor="text2"/>
          <w:sz w:val="24"/>
          <w:szCs w:val="24"/>
          <w:lang w:eastAsia="en-AU"/>
        </w:rPr>
        <w:t>EP’s Achievements</w:t>
      </w:r>
    </w:p>
    <w:p w:rsidR="00C43049" w:rsidRPr="00D86C59" w:rsidRDefault="00641867" w:rsidP="00D2046A">
      <w:pPr>
        <w:jc w:val="both"/>
        <w:rPr>
          <w:rFonts w:cs="Times New Roman"/>
          <w:sz w:val="24"/>
          <w:szCs w:val="24"/>
        </w:rPr>
      </w:pPr>
      <w:r w:rsidRPr="00D86C59">
        <w:rPr>
          <w:rFonts w:cs="Times New Roman"/>
          <w:sz w:val="24"/>
          <w:szCs w:val="24"/>
        </w:rPr>
        <w:t>The EP made a significant contribution to Indonesian education (</w:t>
      </w:r>
      <w:r w:rsidR="00152E53" w:rsidRPr="00D86C59">
        <w:rPr>
          <w:rFonts w:cs="Times New Roman"/>
          <w:sz w:val="24"/>
          <w:szCs w:val="24"/>
        </w:rPr>
        <w:t xml:space="preserve">see achievements in </w:t>
      </w:r>
      <w:r w:rsidRPr="00D86C59">
        <w:rPr>
          <w:rFonts w:cs="Times New Roman"/>
          <w:sz w:val="24"/>
          <w:szCs w:val="24"/>
        </w:rPr>
        <w:t>T</w:t>
      </w:r>
      <w:r w:rsidR="00073E7D" w:rsidRPr="00D86C59">
        <w:rPr>
          <w:rFonts w:cs="Times New Roman"/>
          <w:sz w:val="24"/>
          <w:szCs w:val="24"/>
        </w:rPr>
        <w:t>able</w:t>
      </w:r>
      <w:r w:rsidRPr="00D86C59">
        <w:rPr>
          <w:rFonts w:cs="Times New Roman"/>
          <w:sz w:val="24"/>
          <w:szCs w:val="24"/>
        </w:rPr>
        <w:t xml:space="preserve"> 1</w:t>
      </w:r>
      <w:r w:rsidR="000E7BA8" w:rsidRPr="00D86C59">
        <w:rPr>
          <w:rFonts w:cs="Times New Roman"/>
          <w:sz w:val="24"/>
          <w:szCs w:val="24"/>
        </w:rPr>
        <w:t>).  A</w:t>
      </w:r>
      <w:r w:rsidR="00C43049" w:rsidRPr="00D86C59">
        <w:rPr>
          <w:rFonts w:cs="Times New Roman"/>
          <w:sz w:val="24"/>
          <w:szCs w:val="24"/>
        </w:rPr>
        <w:t>chievements include:</w:t>
      </w:r>
    </w:p>
    <w:p w:rsidR="0010743D" w:rsidRPr="00D86C59" w:rsidRDefault="006E6BAE" w:rsidP="00D2046A">
      <w:pPr>
        <w:pStyle w:val="ListParagraph"/>
        <w:numPr>
          <w:ilvl w:val="0"/>
          <w:numId w:val="41"/>
        </w:numPr>
        <w:rPr>
          <w:rFonts w:asciiTheme="majorHAnsi" w:hAnsiTheme="majorHAnsi" w:cs="Times New Roman"/>
          <w:sz w:val="24"/>
          <w:szCs w:val="24"/>
        </w:rPr>
      </w:pPr>
      <w:r w:rsidRPr="00D86C59">
        <w:rPr>
          <w:rFonts w:asciiTheme="majorHAnsi" w:hAnsiTheme="majorHAnsi" w:cs="Times New Roman"/>
          <w:sz w:val="24"/>
          <w:szCs w:val="24"/>
        </w:rPr>
        <w:t>115</w:t>
      </w:r>
      <w:r w:rsidR="00F01A32" w:rsidRPr="00D86C59">
        <w:rPr>
          <w:rFonts w:asciiTheme="majorHAnsi" w:hAnsiTheme="majorHAnsi" w:cs="Times New Roman"/>
          <w:sz w:val="24"/>
          <w:szCs w:val="24"/>
        </w:rPr>
        <w:t>5</w:t>
      </w:r>
      <w:r w:rsidRPr="00D86C59">
        <w:rPr>
          <w:rFonts w:asciiTheme="majorHAnsi" w:hAnsiTheme="majorHAnsi" w:cs="Times New Roman"/>
          <w:sz w:val="24"/>
          <w:szCs w:val="24"/>
        </w:rPr>
        <w:t xml:space="preserve"> </w:t>
      </w:r>
      <w:r w:rsidR="000E7BA8" w:rsidRPr="00D86C59">
        <w:rPr>
          <w:rFonts w:asciiTheme="majorHAnsi" w:hAnsiTheme="majorHAnsi" w:cs="Times New Roman"/>
          <w:sz w:val="24"/>
          <w:szCs w:val="24"/>
        </w:rPr>
        <w:t xml:space="preserve">new junior secondary schools </w:t>
      </w:r>
      <w:r w:rsidR="0010743D" w:rsidRPr="00D86C59">
        <w:rPr>
          <w:rFonts w:asciiTheme="majorHAnsi" w:hAnsiTheme="majorHAnsi" w:cs="Times New Roman"/>
          <w:sz w:val="24"/>
          <w:szCs w:val="24"/>
        </w:rPr>
        <w:t xml:space="preserve">are now functioning </w:t>
      </w:r>
      <w:r w:rsidR="00641867" w:rsidRPr="00D86C59">
        <w:rPr>
          <w:rFonts w:asciiTheme="majorHAnsi" w:hAnsiTheme="majorHAnsi" w:cs="Times New Roman"/>
          <w:sz w:val="24"/>
          <w:szCs w:val="24"/>
        </w:rPr>
        <w:t>in challenging environments</w:t>
      </w:r>
      <w:r w:rsidR="000E7BA8" w:rsidRPr="00D86C59">
        <w:rPr>
          <w:rFonts w:asciiTheme="majorHAnsi" w:hAnsiTheme="majorHAnsi" w:cs="Times New Roman"/>
          <w:sz w:val="24"/>
          <w:szCs w:val="24"/>
        </w:rPr>
        <w:t xml:space="preserve">; </w:t>
      </w:r>
    </w:p>
    <w:p w:rsidR="0010743D" w:rsidRPr="00D86C59" w:rsidRDefault="000E7BA8" w:rsidP="00D2046A">
      <w:pPr>
        <w:pStyle w:val="ListParagraph"/>
        <w:numPr>
          <w:ilvl w:val="0"/>
          <w:numId w:val="41"/>
        </w:numPr>
        <w:rPr>
          <w:rFonts w:asciiTheme="majorHAnsi" w:hAnsiTheme="majorHAnsi" w:cs="Times New Roman"/>
          <w:sz w:val="24"/>
          <w:szCs w:val="24"/>
        </w:rPr>
      </w:pPr>
      <w:r w:rsidRPr="00D86C59">
        <w:rPr>
          <w:rFonts w:asciiTheme="majorHAnsi" w:hAnsiTheme="majorHAnsi" w:cs="Times New Roman"/>
          <w:sz w:val="24"/>
          <w:szCs w:val="24"/>
        </w:rPr>
        <w:t>over 2</w:t>
      </w:r>
      <w:r w:rsidR="0010743D" w:rsidRPr="00D86C59">
        <w:rPr>
          <w:rFonts w:asciiTheme="majorHAnsi" w:hAnsiTheme="majorHAnsi" w:cs="Times New Roman"/>
          <w:sz w:val="24"/>
          <w:szCs w:val="24"/>
        </w:rPr>
        <w:t>4</w:t>
      </w:r>
      <w:r w:rsidRPr="00D86C59">
        <w:rPr>
          <w:rFonts w:asciiTheme="majorHAnsi" w:hAnsiTheme="majorHAnsi" w:cs="Times New Roman"/>
          <w:sz w:val="24"/>
          <w:szCs w:val="24"/>
        </w:rPr>
        <w:t>,000 principals and school supervisors were</w:t>
      </w:r>
      <w:r w:rsidR="00641867" w:rsidRPr="00D86C59">
        <w:rPr>
          <w:rFonts w:asciiTheme="majorHAnsi" w:hAnsiTheme="majorHAnsi" w:cs="Times New Roman"/>
          <w:sz w:val="24"/>
          <w:szCs w:val="24"/>
        </w:rPr>
        <w:t xml:space="preserve"> </w:t>
      </w:r>
      <w:r w:rsidRPr="00D86C59">
        <w:rPr>
          <w:rFonts w:asciiTheme="majorHAnsi" w:hAnsiTheme="majorHAnsi" w:cs="Times New Roman"/>
          <w:sz w:val="24"/>
          <w:szCs w:val="24"/>
        </w:rPr>
        <w:t xml:space="preserve">provided professional development and the framework installed for a nationwide continuous professional development system for education leaders; </w:t>
      </w:r>
    </w:p>
    <w:p w:rsidR="0010743D" w:rsidRPr="00D86C59" w:rsidRDefault="006D677C" w:rsidP="00D2046A">
      <w:pPr>
        <w:pStyle w:val="ListParagraph"/>
        <w:numPr>
          <w:ilvl w:val="0"/>
          <w:numId w:val="41"/>
        </w:numPr>
        <w:rPr>
          <w:rFonts w:asciiTheme="majorHAnsi" w:hAnsiTheme="majorHAnsi" w:cs="Times New Roman"/>
          <w:sz w:val="24"/>
          <w:szCs w:val="24"/>
        </w:rPr>
      </w:pPr>
      <w:r w:rsidRPr="00D86C59">
        <w:rPr>
          <w:rFonts w:asciiTheme="majorHAnsi" w:hAnsiTheme="majorHAnsi" w:cs="Times New Roman"/>
          <w:sz w:val="24"/>
          <w:szCs w:val="24"/>
        </w:rPr>
        <w:lastRenderedPageBreak/>
        <w:t xml:space="preserve">630,000 members of school management committees were trained in fund management; </w:t>
      </w:r>
      <w:r w:rsidR="000E7BA8" w:rsidRPr="00D86C59">
        <w:rPr>
          <w:rFonts w:asciiTheme="majorHAnsi" w:hAnsiTheme="majorHAnsi" w:cs="Times New Roman"/>
          <w:sz w:val="24"/>
          <w:szCs w:val="24"/>
        </w:rPr>
        <w:t>over 1,300 madrasah w</w:t>
      </w:r>
      <w:r w:rsidRPr="00D86C59">
        <w:rPr>
          <w:rFonts w:asciiTheme="majorHAnsi" w:hAnsiTheme="majorHAnsi" w:cs="Times New Roman"/>
          <w:sz w:val="24"/>
          <w:szCs w:val="24"/>
        </w:rPr>
        <w:t>e</w:t>
      </w:r>
      <w:r w:rsidR="000E7BA8" w:rsidRPr="00D86C59">
        <w:rPr>
          <w:rFonts w:asciiTheme="majorHAnsi" w:hAnsiTheme="majorHAnsi" w:cs="Times New Roman"/>
          <w:sz w:val="24"/>
          <w:szCs w:val="24"/>
        </w:rPr>
        <w:t xml:space="preserve">re assisted in gaining </w:t>
      </w:r>
      <w:r w:rsidR="005E4873" w:rsidRPr="00D86C59">
        <w:rPr>
          <w:rFonts w:asciiTheme="majorHAnsi" w:hAnsiTheme="majorHAnsi" w:cs="Times New Roman"/>
          <w:sz w:val="24"/>
          <w:szCs w:val="24"/>
        </w:rPr>
        <w:t xml:space="preserve">at a minimum of </w:t>
      </w:r>
      <w:r w:rsidR="000E7BA8" w:rsidRPr="00D86C59">
        <w:rPr>
          <w:rFonts w:asciiTheme="majorHAnsi" w:hAnsiTheme="majorHAnsi" w:cs="Times New Roman"/>
          <w:sz w:val="24"/>
          <w:szCs w:val="24"/>
        </w:rPr>
        <w:t xml:space="preserve">a B level </w:t>
      </w:r>
      <w:r w:rsidRPr="00D86C59">
        <w:rPr>
          <w:rFonts w:asciiTheme="majorHAnsi" w:hAnsiTheme="majorHAnsi" w:cs="Times New Roman"/>
          <w:sz w:val="24"/>
          <w:szCs w:val="24"/>
        </w:rPr>
        <w:t>accreditation</w:t>
      </w:r>
      <w:r w:rsidR="0010743D" w:rsidRPr="00D86C59">
        <w:rPr>
          <w:rFonts w:asciiTheme="majorHAnsi" w:hAnsiTheme="majorHAnsi" w:cs="Times New Roman"/>
          <w:sz w:val="24"/>
          <w:szCs w:val="24"/>
        </w:rPr>
        <w:t>;</w:t>
      </w:r>
    </w:p>
    <w:p w:rsidR="00DB0770" w:rsidRPr="00D86C59" w:rsidRDefault="006D677C" w:rsidP="00D2046A">
      <w:pPr>
        <w:pStyle w:val="ListParagraph"/>
        <w:numPr>
          <w:ilvl w:val="0"/>
          <w:numId w:val="41"/>
        </w:numPr>
        <w:rPr>
          <w:rFonts w:asciiTheme="majorHAnsi" w:hAnsiTheme="majorHAnsi" w:cs="Times New Roman"/>
          <w:sz w:val="24"/>
          <w:szCs w:val="24"/>
        </w:rPr>
      </w:pPr>
      <w:r w:rsidRPr="00D86C59">
        <w:rPr>
          <w:rFonts w:asciiTheme="majorHAnsi" w:hAnsiTheme="majorHAnsi" w:cs="Times New Roman"/>
          <w:sz w:val="24"/>
          <w:szCs w:val="24"/>
        </w:rPr>
        <w:t xml:space="preserve">a national system of Madrasah Development Centres was initiated; and </w:t>
      </w:r>
    </w:p>
    <w:p w:rsidR="00F45D32" w:rsidRPr="00D86C59" w:rsidRDefault="006D677C" w:rsidP="00D2046A">
      <w:pPr>
        <w:pStyle w:val="ListParagraph"/>
        <w:numPr>
          <w:ilvl w:val="0"/>
          <w:numId w:val="41"/>
        </w:numPr>
        <w:rPr>
          <w:rFonts w:asciiTheme="majorHAnsi" w:hAnsiTheme="majorHAnsi" w:cs="Times New Roman"/>
          <w:sz w:val="24"/>
          <w:szCs w:val="24"/>
        </w:rPr>
      </w:pPr>
      <w:r w:rsidRPr="00D86C59">
        <w:rPr>
          <w:rFonts w:asciiTheme="majorHAnsi" w:hAnsiTheme="majorHAnsi" w:cs="Times New Roman"/>
          <w:sz w:val="24"/>
          <w:szCs w:val="24"/>
        </w:rPr>
        <w:t>a substantial contribution was made to process of shaping education policy by EP’s Analytical and Capacity Development Partnership</w:t>
      </w:r>
      <w:r w:rsidR="006D69CF" w:rsidRPr="00D86C59">
        <w:rPr>
          <w:rFonts w:asciiTheme="majorHAnsi" w:hAnsiTheme="majorHAnsi" w:cs="Times New Roman"/>
          <w:sz w:val="24"/>
          <w:szCs w:val="24"/>
        </w:rPr>
        <w:t xml:space="preserve"> by bringing evidence and high-quality analysis to bear</w:t>
      </w:r>
      <w:r w:rsidRPr="00D86C59">
        <w:rPr>
          <w:rFonts w:asciiTheme="majorHAnsi" w:hAnsiTheme="majorHAnsi" w:cs="Times New Roman"/>
          <w:sz w:val="24"/>
          <w:szCs w:val="24"/>
        </w:rPr>
        <w:t xml:space="preserve">.  </w:t>
      </w:r>
    </w:p>
    <w:p w:rsidR="00641867" w:rsidRPr="00D86C59" w:rsidRDefault="000D0F34" w:rsidP="00D2046A">
      <w:pPr>
        <w:jc w:val="both"/>
        <w:rPr>
          <w:rFonts w:cs="Times New Roman"/>
          <w:sz w:val="24"/>
          <w:szCs w:val="24"/>
        </w:rPr>
      </w:pPr>
      <w:r w:rsidRPr="00D86C59">
        <w:rPr>
          <w:rFonts w:cs="Times New Roman"/>
          <w:sz w:val="24"/>
          <w:szCs w:val="24"/>
        </w:rPr>
        <w:t>The overall EP effort</w:t>
      </w:r>
      <w:r w:rsidR="006912A0" w:rsidRPr="00D86C59">
        <w:rPr>
          <w:rFonts w:cs="Times New Roman"/>
          <w:sz w:val="24"/>
          <w:szCs w:val="24"/>
        </w:rPr>
        <w:t xml:space="preserve"> </w:t>
      </w:r>
      <w:r w:rsidRPr="00D86C59">
        <w:rPr>
          <w:rFonts w:cs="Times New Roman"/>
          <w:sz w:val="24"/>
          <w:szCs w:val="24"/>
        </w:rPr>
        <w:t xml:space="preserve">improved access in many of the most remote areas, </w:t>
      </w:r>
      <w:r w:rsidR="00641867" w:rsidRPr="00D86C59">
        <w:rPr>
          <w:rFonts w:cs="Times New Roman"/>
          <w:sz w:val="24"/>
          <w:szCs w:val="24"/>
        </w:rPr>
        <w:t xml:space="preserve">contributed </w:t>
      </w:r>
      <w:r w:rsidRPr="00D86C59">
        <w:rPr>
          <w:rFonts w:cs="Times New Roman"/>
          <w:sz w:val="24"/>
          <w:szCs w:val="24"/>
        </w:rPr>
        <w:t xml:space="preserve">to better school management and </w:t>
      </w:r>
      <w:r w:rsidR="00641867" w:rsidRPr="00D86C59">
        <w:rPr>
          <w:rFonts w:cs="Times New Roman"/>
          <w:sz w:val="24"/>
          <w:szCs w:val="24"/>
        </w:rPr>
        <w:t xml:space="preserve">strategies to improve education quality at the school </w:t>
      </w:r>
      <w:r w:rsidRPr="00D86C59">
        <w:rPr>
          <w:rFonts w:cs="Times New Roman"/>
          <w:sz w:val="24"/>
          <w:szCs w:val="24"/>
        </w:rPr>
        <w:t xml:space="preserve">and madrasah level, and </w:t>
      </w:r>
      <w:r w:rsidR="00641867" w:rsidRPr="00D86C59">
        <w:rPr>
          <w:rFonts w:cs="Times New Roman"/>
          <w:sz w:val="24"/>
          <w:szCs w:val="24"/>
        </w:rPr>
        <w:t xml:space="preserve">made a valuable contribution to the quality of dialogue and decision-making surrounding key education reform issues in Indonesia. </w:t>
      </w:r>
    </w:p>
    <w:p w:rsidR="00A37095" w:rsidRPr="00D86C59" w:rsidRDefault="004D4694" w:rsidP="00FC20E7">
      <w:pPr>
        <w:rPr>
          <w:rFonts w:eastAsia="Times New Roman" w:cs="Times New Roman"/>
          <w:b/>
          <w:iCs/>
          <w:sz w:val="24"/>
          <w:szCs w:val="24"/>
          <w:lang w:eastAsia="en-AU"/>
        </w:rPr>
      </w:pPr>
      <w:r w:rsidRPr="00D86C59">
        <w:rPr>
          <w:rFonts w:eastAsia="Times New Roman" w:cs="Times New Roman"/>
          <w:b/>
          <w:iCs/>
          <w:sz w:val="24"/>
          <w:szCs w:val="24"/>
          <w:lang w:eastAsia="en-AU"/>
        </w:rPr>
        <w:t xml:space="preserve">Table 1: </w:t>
      </w:r>
      <w:r w:rsidR="00471023" w:rsidRPr="00D86C59">
        <w:rPr>
          <w:rFonts w:eastAsia="Times New Roman" w:cs="Times New Roman"/>
          <w:b/>
          <w:iCs/>
          <w:sz w:val="24"/>
          <w:szCs w:val="24"/>
          <w:lang w:eastAsia="en-AU"/>
        </w:rPr>
        <w:t xml:space="preserve">A </w:t>
      </w:r>
      <w:r w:rsidR="00A37095" w:rsidRPr="00D86C59">
        <w:rPr>
          <w:rFonts w:eastAsia="Times New Roman" w:cs="Times New Roman"/>
          <w:b/>
          <w:iCs/>
          <w:sz w:val="24"/>
          <w:szCs w:val="24"/>
          <w:lang w:eastAsia="en-AU"/>
        </w:rPr>
        <w:t>Summary of the EP</w:t>
      </w:r>
      <w:r w:rsidR="00471023" w:rsidRPr="00D86C59">
        <w:rPr>
          <w:rFonts w:eastAsia="Times New Roman" w:cs="Times New Roman"/>
          <w:b/>
          <w:iCs/>
          <w:sz w:val="24"/>
          <w:szCs w:val="24"/>
          <w:lang w:eastAsia="en-AU"/>
        </w:rPr>
        <w:t xml:space="preserve">’s </w:t>
      </w:r>
      <w:r w:rsidR="00A37095" w:rsidRPr="00D86C59">
        <w:rPr>
          <w:rFonts w:eastAsia="Times New Roman" w:cs="Times New Roman"/>
          <w:b/>
          <w:iCs/>
          <w:sz w:val="24"/>
          <w:szCs w:val="24"/>
          <w:lang w:eastAsia="en-AU"/>
        </w:rPr>
        <w:t>Investment</w:t>
      </w:r>
      <w:r w:rsidR="00471023" w:rsidRPr="00D86C59">
        <w:rPr>
          <w:rFonts w:eastAsia="Times New Roman" w:cs="Times New Roman"/>
          <w:b/>
          <w:iCs/>
          <w:sz w:val="24"/>
          <w:szCs w:val="24"/>
          <w:lang w:eastAsia="en-AU"/>
        </w:rPr>
        <w:t xml:space="preserve">, </w:t>
      </w:r>
      <w:r w:rsidR="00A37095" w:rsidRPr="00D86C59">
        <w:rPr>
          <w:rFonts w:eastAsia="Times New Roman" w:cs="Times New Roman"/>
          <w:b/>
          <w:iCs/>
          <w:sz w:val="24"/>
          <w:szCs w:val="24"/>
          <w:lang w:eastAsia="en-AU"/>
        </w:rPr>
        <w:t>Targets and Achievements</w:t>
      </w:r>
      <w:r w:rsidR="00471023" w:rsidRPr="00D86C59">
        <w:rPr>
          <w:rFonts w:eastAsia="Times New Roman" w:cs="Times New Roman"/>
          <w:b/>
          <w:iCs/>
          <w:sz w:val="24"/>
          <w:szCs w:val="24"/>
          <w:lang w:eastAsia="en-AU"/>
        </w:rPr>
        <w:t xml:space="preserve"> by Component</w:t>
      </w: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2126"/>
        <w:gridCol w:w="1134"/>
        <w:gridCol w:w="1276"/>
        <w:gridCol w:w="1064"/>
      </w:tblGrid>
      <w:tr w:rsidR="00027993" w:rsidRPr="00D86C59" w:rsidTr="00D2046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60" w:type="dxa"/>
          </w:tcPr>
          <w:p w:rsidR="008859C1" w:rsidRPr="00D86C59" w:rsidRDefault="008859C1" w:rsidP="00B00531">
            <w:pPr>
              <w:spacing w:after="0"/>
              <w:jc w:val="center"/>
              <w:rPr>
                <w:rFonts w:eastAsia="Times New Roman" w:cs="Times New Roman"/>
                <w:b w:val="0"/>
                <w:iCs/>
                <w:sz w:val="24"/>
                <w:szCs w:val="24"/>
                <w:lang w:eastAsia="en-AU"/>
              </w:rPr>
            </w:pPr>
            <w:r w:rsidRPr="00D86C59">
              <w:rPr>
                <w:rFonts w:cs="Times New Roman"/>
                <w:b w:val="0"/>
                <w:sz w:val="24"/>
                <w:szCs w:val="24"/>
              </w:rPr>
              <w:t>Component</w:t>
            </w:r>
          </w:p>
        </w:tc>
        <w:tc>
          <w:tcPr>
            <w:tcW w:w="1134" w:type="dxa"/>
          </w:tcPr>
          <w:p w:rsidR="008859C1" w:rsidRPr="00D86C59" w:rsidRDefault="008859C1" w:rsidP="00B0053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Cs/>
                <w:sz w:val="24"/>
                <w:szCs w:val="24"/>
                <w:lang w:eastAsia="en-AU"/>
              </w:rPr>
            </w:pPr>
            <w:r w:rsidRPr="00D86C59">
              <w:rPr>
                <w:rFonts w:cs="Times New Roman"/>
                <w:b w:val="0"/>
                <w:sz w:val="24"/>
                <w:szCs w:val="24"/>
              </w:rPr>
              <w:t>AUD</w:t>
            </w:r>
          </w:p>
        </w:tc>
        <w:tc>
          <w:tcPr>
            <w:tcW w:w="2126" w:type="dxa"/>
          </w:tcPr>
          <w:p w:rsidR="008859C1" w:rsidRPr="00D86C59" w:rsidRDefault="00344409" w:rsidP="00B0053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Cs/>
                <w:sz w:val="24"/>
                <w:szCs w:val="24"/>
                <w:lang w:eastAsia="en-AU"/>
              </w:rPr>
            </w:pPr>
            <w:r w:rsidRPr="00D86C59">
              <w:rPr>
                <w:rFonts w:eastAsia="Times New Roman" w:cs="Times New Roman"/>
                <w:b w:val="0"/>
                <w:iCs/>
                <w:sz w:val="24"/>
                <w:szCs w:val="24"/>
                <w:lang w:eastAsia="en-AU"/>
              </w:rPr>
              <w:t>Indicator</w:t>
            </w:r>
          </w:p>
        </w:tc>
        <w:tc>
          <w:tcPr>
            <w:tcW w:w="1134" w:type="dxa"/>
          </w:tcPr>
          <w:p w:rsidR="008859C1" w:rsidRPr="00D86C59" w:rsidRDefault="008859C1" w:rsidP="00B0053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Cs/>
                <w:sz w:val="24"/>
                <w:szCs w:val="24"/>
                <w:lang w:eastAsia="en-AU"/>
              </w:rPr>
            </w:pPr>
            <w:r w:rsidRPr="00D86C59">
              <w:rPr>
                <w:rFonts w:cs="Times New Roman"/>
                <w:b w:val="0"/>
                <w:sz w:val="24"/>
                <w:szCs w:val="24"/>
              </w:rPr>
              <w:t>Target</w:t>
            </w:r>
          </w:p>
        </w:tc>
        <w:tc>
          <w:tcPr>
            <w:tcW w:w="1276" w:type="dxa"/>
          </w:tcPr>
          <w:p w:rsidR="008859C1" w:rsidRPr="00D86C59" w:rsidRDefault="008859C1" w:rsidP="00B0053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Cs/>
                <w:sz w:val="24"/>
                <w:szCs w:val="24"/>
                <w:lang w:eastAsia="en-AU"/>
              </w:rPr>
            </w:pPr>
            <w:r w:rsidRPr="00D86C59">
              <w:rPr>
                <w:rFonts w:cs="Times New Roman"/>
                <w:b w:val="0"/>
                <w:sz w:val="24"/>
                <w:szCs w:val="24"/>
              </w:rPr>
              <w:t>Achieve</w:t>
            </w:r>
            <w:r w:rsidR="00027993" w:rsidRPr="00D86C59">
              <w:rPr>
                <w:rFonts w:cs="Times New Roman"/>
                <w:b w:val="0"/>
                <w:sz w:val="24"/>
                <w:szCs w:val="24"/>
              </w:rPr>
              <w:t>d</w:t>
            </w:r>
          </w:p>
        </w:tc>
        <w:tc>
          <w:tcPr>
            <w:tcW w:w="1064" w:type="dxa"/>
          </w:tcPr>
          <w:p w:rsidR="008859C1" w:rsidRPr="00D86C59" w:rsidRDefault="008859C1" w:rsidP="00B0053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Cs/>
                <w:sz w:val="24"/>
                <w:szCs w:val="24"/>
                <w:lang w:eastAsia="en-AU"/>
              </w:rPr>
            </w:pPr>
            <w:r w:rsidRPr="00D86C59">
              <w:rPr>
                <w:rFonts w:cs="Times New Roman"/>
                <w:b w:val="0"/>
                <w:sz w:val="24"/>
                <w:szCs w:val="24"/>
              </w:rPr>
              <w:t>% Target Realised</w:t>
            </w:r>
          </w:p>
        </w:tc>
      </w:tr>
      <w:tr w:rsidR="00027993" w:rsidRPr="00D86C59" w:rsidTr="00D2046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tcBorders>
          </w:tcPr>
          <w:p w:rsidR="008859C1" w:rsidRPr="00D86C59" w:rsidRDefault="00027993" w:rsidP="00D80A78">
            <w:pPr>
              <w:spacing w:after="0"/>
              <w:rPr>
                <w:rFonts w:cs="Times New Roman"/>
                <w:sz w:val="24"/>
                <w:szCs w:val="24"/>
                <w:lang w:val="en-US"/>
              </w:rPr>
            </w:pPr>
            <w:r w:rsidRPr="00D86C59">
              <w:rPr>
                <w:rFonts w:cs="Times New Roman"/>
                <w:sz w:val="24"/>
                <w:szCs w:val="24"/>
                <w:lang w:val="en-US"/>
              </w:rPr>
              <w:t xml:space="preserve">C1   </w:t>
            </w:r>
            <w:r w:rsidR="008859C1" w:rsidRPr="00D86C59">
              <w:rPr>
                <w:rFonts w:cs="Times New Roman"/>
                <w:sz w:val="24"/>
                <w:szCs w:val="24"/>
                <w:lang w:val="en-US"/>
              </w:rPr>
              <w:t>Junior secondary school construction and expansion</w:t>
            </w:r>
          </w:p>
          <w:p w:rsidR="00FC20E7" w:rsidRPr="00D86C59" w:rsidRDefault="00FC20E7" w:rsidP="00D80A78">
            <w:pPr>
              <w:spacing w:after="0"/>
              <w:rPr>
                <w:rFonts w:eastAsia="Times New Roman" w:cs="Times New Roman"/>
                <w:iCs/>
                <w:sz w:val="24"/>
                <w:szCs w:val="24"/>
                <w:lang w:eastAsia="en-AU"/>
              </w:rPr>
            </w:pPr>
          </w:p>
        </w:tc>
        <w:tc>
          <w:tcPr>
            <w:tcW w:w="1134" w:type="dxa"/>
            <w:tcBorders>
              <w:top w:val="none" w:sz="0" w:space="0" w:color="auto"/>
              <w:bottom w:val="none" w:sz="0" w:space="0" w:color="auto"/>
            </w:tcBorders>
          </w:tcPr>
          <w:p w:rsidR="008859C1" w:rsidRPr="00D86C59" w:rsidRDefault="00027993" w:rsidP="00344409">
            <w:pPr>
              <w:tabs>
                <w:tab w:val="left" w:pos="742"/>
              </w:tabs>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cs="Times New Roman"/>
                <w:sz w:val="24"/>
                <w:szCs w:val="24"/>
                <w:lang w:val="en-US"/>
              </w:rPr>
              <w:t xml:space="preserve">179.3 </w:t>
            </w:r>
            <w:r w:rsidR="008859C1" w:rsidRPr="00D86C59">
              <w:rPr>
                <w:rFonts w:cs="Times New Roman"/>
                <w:sz w:val="24"/>
                <w:szCs w:val="24"/>
                <w:lang w:val="en-US"/>
              </w:rPr>
              <w:t>m</w:t>
            </w:r>
          </w:p>
        </w:tc>
        <w:tc>
          <w:tcPr>
            <w:tcW w:w="2126" w:type="dxa"/>
            <w:tcBorders>
              <w:top w:val="none" w:sz="0" w:space="0" w:color="auto"/>
              <w:bottom w:val="none" w:sz="0" w:space="0" w:color="auto"/>
            </w:tcBorders>
          </w:tcPr>
          <w:p w:rsidR="00743FC3" w:rsidRPr="00D86C59" w:rsidRDefault="00D80A78" w:rsidP="00D2046A">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New schools</w:t>
            </w:r>
          </w:p>
          <w:p w:rsidR="00D80A78" w:rsidRPr="00D86C59" w:rsidRDefault="00D80A78" w:rsidP="00D2046A">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New school places</w:t>
            </w:r>
          </w:p>
        </w:tc>
        <w:tc>
          <w:tcPr>
            <w:tcW w:w="1134" w:type="dxa"/>
            <w:tcBorders>
              <w:top w:val="none" w:sz="0" w:space="0" w:color="auto"/>
              <w:bottom w:val="none" w:sz="0" w:space="0" w:color="auto"/>
            </w:tcBorders>
          </w:tcPr>
          <w:p w:rsidR="00344409" w:rsidRPr="00D86C59" w:rsidRDefault="00344409" w:rsidP="00D80A78">
            <w:pPr>
              <w:spacing w:after="0"/>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w:t>
            </w:r>
            <w:r w:rsidR="00345938" w:rsidRPr="00D86C59">
              <w:rPr>
                <w:rFonts w:eastAsia="Times New Roman" w:cs="Times New Roman"/>
                <w:iCs/>
                <w:sz w:val="24"/>
                <w:szCs w:val="24"/>
                <w:lang w:eastAsia="en-AU"/>
              </w:rPr>
              <w:t>155</w:t>
            </w:r>
          </w:p>
          <w:p w:rsidR="00344409" w:rsidRPr="00D86C59" w:rsidRDefault="00927E3D"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160,000</w:t>
            </w:r>
            <w:r w:rsidR="00344409" w:rsidRPr="00D86C59">
              <w:rPr>
                <w:rFonts w:eastAsia="Times New Roman" w:cs="Times New Roman"/>
                <w:iCs/>
                <w:sz w:val="24"/>
                <w:szCs w:val="24"/>
                <w:lang w:eastAsia="en-AU"/>
              </w:rPr>
              <w:t xml:space="preserve">         </w:t>
            </w:r>
          </w:p>
        </w:tc>
        <w:tc>
          <w:tcPr>
            <w:tcW w:w="1276" w:type="dxa"/>
            <w:tcBorders>
              <w:top w:val="none" w:sz="0" w:space="0" w:color="auto"/>
              <w:bottom w:val="none" w:sz="0" w:space="0" w:color="auto"/>
            </w:tcBorders>
          </w:tcPr>
          <w:p w:rsidR="00927E3D" w:rsidRPr="00D86C59" w:rsidRDefault="00927E3D" w:rsidP="00D80A78">
            <w:pPr>
              <w:spacing w:after="0"/>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w:t>
            </w:r>
            <w:r w:rsidR="00795A65" w:rsidRPr="00D86C59">
              <w:rPr>
                <w:rFonts w:eastAsia="Times New Roman" w:cs="Times New Roman"/>
                <w:iCs/>
                <w:sz w:val="24"/>
                <w:szCs w:val="24"/>
                <w:lang w:eastAsia="en-AU"/>
              </w:rPr>
              <w:t>106</w:t>
            </w:r>
            <w:r w:rsidR="00D87A92" w:rsidRPr="00D86C59">
              <w:rPr>
                <w:rFonts w:eastAsia="Times New Roman" w:cs="Times New Roman"/>
                <w:sz w:val="24"/>
                <w:szCs w:val="24"/>
                <w:vertAlign w:val="superscript"/>
                <w:lang w:eastAsia="en-AU"/>
              </w:rPr>
              <w:t>1</w:t>
            </w:r>
          </w:p>
          <w:p w:rsidR="008859C1" w:rsidRPr="00D86C59" w:rsidRDefault="00927E3D"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 xml:space="preserve">149,664          </w:t>
            </w:r>
          </w:p>
        </w:tc>
        <w:tc>
          <w:tcPr>
            <w:tcW w:w="1064" w:type="dxa"/>
            <w:tcBorders>
              <w:top w:val="none" w:sz="0" w:space="0" w:color="auto"/>
              <w:bottom w:val="none" w:sz="0" w:space="0" w:color="auto"/>
              <w:right w:val="none" w:sz="0" w:space="0" w:color="auto"/>
            </w:tcBorders>
          </w:tcPr>
          <w:p w:rsidR="00927E3D" w:rsidRPr="00D86C59" w:rsidRDefault="002A5AA0" w:rsidP="00D80A78">
            <w:pPr>
              <w:spacing w:after="0"/>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9</w:t>
            </w:r>
            <w:r w:rsidR="003F4A17" w:rsidRPr="00D86C59">
              <w:rPr>
                <w:rFonts w:eastAsia="Times New Roman" w:cs="Times New Roman"/>
                <w:iCs/>
                <w:sz w:val="24"/>
                <w:szCs w:val="24"/>
                <w:lang w:eastAsia="en-AU"/>
              </w:rPr>
              <w:t>6</w:t>
            </w:r>
            <w:r w:rsidRPr="00D86C59">
              <w:rPr>
                <w:rFonts w:eastAsia="Times New Roman" w:cs="Times New Roman"/>
                <w:iCs/>
                <w:sz w:val="24"/>
                <w:szCs w:val="24"/>
                <w:lang w:eastAsia="en-AU"/>
              </w:rPr>
              <w:t>%</w:t>
            </w:r>
          </w:p>
          <w:p w:rsidR="008859C1"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94%</w:t>
            </w:r>
            <w:r w:rsidR="00927E3D" w:rsidRPr="00D86C59">
              <w:rPr>
                <w:rFonts w:eastAsia="Times New Roman" w:cs="Times New Roman"/>
                <w:iCs/>
                <w:sz w:val="24"/>
                <w:szCs w:val="24"/>
                <w:lang w:eastAsia="en-AU"/>
              </w:rPr>
              <w:t xml:space="preserve">          </w:t>
            </w:r>
          </w:p>
        </w:tc>
      </w:tr>
      <w:tr w:rsidR="00927E3D" w:rsidRPr="00D86C59" w:rsidTr="00D2046A">
        <w:trPr>
          <w:trHeight w:val="680"/>
        </w:trPr>
        <w:tc>
          <w:tcPr>
            <w:cnfStyle w:val="001000000000" w:firstRow="0" w:lastRow="0" w:firstColumn="1" w:lastColumn="0" w:oddVBand="0" w:evenVBand="0" w:oddHBand="0" w:evenHBand="0" w:firstRowFirstColumn="0" w:firstRowLastColumn="0" w:lastRowFirstColumn="0" w:lastRowLastColumn="0"/>
            <w:tcW w:w="2660" w:type="dxa"/>
          </w:tcPr>
          <w:p w:rsidR="00927E3D" w:rsidRPr="00D86C59" w:rsidRDefault="00927E3D" w:rsidP="00D80A78">
            <w:pPr>
              <w:spacing w:after="0"/>
              <w:rPr>
                <w:rFonts w:eastAsia="Times New Roman" w:cs="Times New Roman"/>
                <w:iCs/>
                <w:sz w:val="24"/>
                <w:szCs w:val="24"/>
                <w:lang w:eastAsia="en-AU"/>
              </w:rPr>
            </w:pPr>
            <w:r w:rsidRPr="00D86C59">
              <w:rPr>
                <w:rFonts w:cs="Times New Roman"/>
                <w:sz w:val="24"/>
                <w:szCs w:val="24"/>
                <w:lang w:val="en-US"/>
              </w:rPr>
              <w:t>C2   Education personnel professional development</w:t>
            </w:r>
          </w:p>
        </w:tc>
        <w:tc>
          <w:tcPr>
            <w:tcW w:w="1134" w:type="dxa"/>
          </w:tcPr>
          <w:p w:rsidR="00927E3D" w:rsidRPr="00D86C59" w:rsidRDefault="00927E3D" w:rsidP="00344409">
            <w:pPr>
              <w:tabs>
                <w:tab w:val="left" w:pos="742"/>
              </w:tabs>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cs="Times New Roman"/>
                <w:sz w:val="24"/>
                <w:szCs w:val="24"/>
                <w:lang w:val="en-US"/>
              </w:rPr>
              <w:t>106.4 m</w:t>
            </w:r>
          </w:p>
        </w:tc>
        <w:tc>
          <w:tcPr>
            <w:tcW w:w="2126" w:type="dxa"/>
          </w:tcPr>
          <w:p w:rsidR="00927E3D" w:rsidRPr="00D86C59" w:rsidRDefault="00927E3D" w:rsidP="00D2046A">
            <w:pPr>
              <w:spacing w:after="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 xml:space="preserve">No. </w:t>
            </w:r>
            <w:r w:rsidR="00835A14" w:rsidRPr="00D86C59">
              <w:rPr>
                <w:rFonts w:eastAsia="Times New Roman" w:cs="Times New Roman"/>
                <w:iCs/>
                <w:sz w:val="24"/>
                <w:szCs w:val="24"/>
                <w:lang w:eastAsia="en-AU"/>
              </w:rPr>
              <w:t>supervisors</w:t>
            </w:r>
            <w:r w:rsidRPr="00D86C59">
              <w:rPr>
                <w:rFonts w:eastAsia="Times New Roman" w:cs="Times New Roman"/>
                <w:iCs/>
                <w:sz w:val="24"/>
                <w:szCs w:val="24"/>
                <w:lang w:eastAsia="en-AU"/>
              </w:rPr>
              <w:t xml:space="preserve"> trained</w:t>
            </w:r>
            <w:r w:rsidR="00835A14" w:rsidRPr="00D86C59">
              <w:rPr>
                <w:rFonts w:eastAsia="Times New Roman" w:cs="Times New Roman"/>
                <w:iCs/>
                <w:sz w:val="24"/>
                <w:szCs w:val="24"/>
                <w:lang w:eastAsia="en-AU"/>
              </w:rPr>
              <w:t xml:space="preserve"> </w:t>
            </w:r>
          </w:p>
          <w:p w:rsidR="00927E3D" w:rsidRPr="00D86C59" w:rsidRDefault="00835A14" w:rsidP="00D2046A">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No. principals trained</w:t>
            </w:r>
            <w:r w:rsidR="00907659" w:rsidRPr="00D86C59">
              <w:rPr>
                <w:rFonts w:eastAsia="Times New Roman" w:cs="Times New Roman"/>
                <w:iCs/>
                <w:sz w:val="24"/>
                <w:szCs w:val="24"/>
                <w:lang w:eastAsia="en-AU"/>
              </w:rPr>
              <w:t xml:space="preserve"> </w:t>
            </w:r>
            <w:r w:rsidR="00D87A92" w:rsidRPr="00D86C59">
              <w:rPr>
                <w:rFonts w:eastAsia="Times New Roman" w:cs="Times New Roman"/>
                <w:sz w:val="24"/>
                <w:szCs w:val="24"/>
                <w:vertAlign w:val="superscript"/>
                <w:lang w:eastAsia="en-AU"/>
              </w:rPr>
              <w:t>2</w:t>
            </w:r>
          </w:p>
        </w:tc>
        <w:tc>
          <w:tcPr>
            <w:tcW w:w="1134" w:type="dxa"/>
          </w:tcPr>
          <w:p w:rsidR="00927E3D" w:rsidRPr="00D86C59" w:rsidRDefault="00835A14" w:rsidP="00D80A78">
            <w:pPr>
              <w:spacing w:after="0"/>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4,036</w:t>
            </w:r>
          </w:p>
          <w:p w:rsidR="00D2046A" w:rsidRDefault="00D2046A"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p>
          <w:p w:rsidR="00927E3D" w:rsidRPr="00D86C59" w:rsidRDefault="00835A14"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21,689</w:t>
            </w:r>
            <w:r w:rsidR="00927E3D" w:rsidRPr="00D86C59">
              <w:rPr>
                <w:rFonts w:eastAsia="Times New Roman" w:cs="Times New Roman"/>
                <w:iCs/>
                <w:sz w:val="24"/>
                <w:szCs w:val="24"/>
                <w:lang w:eastAsia="en-AU"/>
              </w:rPr>
              <w:t xml:space="preserve">         </w:t>
            </w:r>
          </w:p>
        </w:tc>
        <w:tc>
          <w:tcPr>
            <w:tcW w:w="1276" w:type="dxa"/>
          </w:tcPr>
          <w:p w:rsidR="00927E3D" w:rsidRPr="00D86C59" w:rsidRDefault="00835A14" w:rsidP="00D80A78">
            <w:pPr>
              <w:spacing w:after="0"/>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3,587</w:t>
            </w:r>
          </w:p>
          <w:p w:rsidR="00D2046A" w:rsidRDefault="00D2046A"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p>
          <w:p w:rsidR="00927E3D" w:rsidRPr="00D86C59" w:rsidRDefault="00835A14"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17,775</w:t>
            </w:r>
            <w:r w:rsidR="00927E3D" w:rsidRPr="00D86C59">
              <w:rPr>
                <w:rFonts w:eastAsia="Times New Roman" w:cs="Times New Roman"/>
                <w:iCs/>
                <w:sz w:val="24"/>
                <w:szCs w:val="24"/>
                <w:lang w:eastAsia="en-AU"/>
              </w:rPr>
              <w:t xml:space="preserve">         </w:t>
            </w:r>
          </w:p>
        </w:tc>
        <w:tc>
          <w:tcPr>
            <w:tcW w:w="1064" w:type="dxa"/>
          </w:tcPr>
          <w:p w:rsidR="00927E3D" w:rsidRPr="00D86C59" w:rsidRDefault="00D80A78" w:rsidP="00D80A78">
            <w:pPr>
              <w:spacing w:after="0"/>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89%</w:t>
            </w:r>
          </w:p>
          <w:p w:rsidR="00D2046A" w:rsidRDefault="00D2046A"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p>
          <w:p w:rsidR="00927E3D" w:rsidRPr="00D86C59" w:rsidRDefault="00835A14"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82</w:t>
            </w:r>
            <w:r w:rsidR="00D80A78" w:rsidRPr="00D86C59">
              <w:rPr>
                <w:rFonts w:eastAsia="Times New Roman" w:cs="Times New Roman"/>
                <w:iCs/>
                <w:sz w:val="24"/>
                <w:szCs w:val="24"/>
                <w:lang w:eastAsia="en-AU"/>
              </w:rPr>
              <w:t>%</w:t>
            </w:r>
            <w:r w:rsidR="00927E3D" w:rsidRPr="00D86C59">
              <w:rPr>
                <w:rFonts w:eastAsia="Times New Roman" w:cs="Times New Roman"/>
                <w:iCs/>
                <w:sz w:val="24"/>
                <w:szCs w:val="24"/>
                <w:lang w:eastAsia="en-AU"/>
              </w:rPr>
              <w:t xml:space="preserve">         </w:t>
            </w:r>
          </w:p>
        </w:tc>
      </w:tr>
      <w:tr w:rsidR="00027993" w:rsidRPr="00D86C59" w:rsidTr="00D2046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tcBorders>
          </w:tcPr>
          <w:p w:rsidR="008859C1" w:rsidRPr="00D86C59" w:rsidRDefault="00027993" w:rsidP="00D80A78">
            <w:pPr>
              <w:spacing w:after="0"/>
              <w:rPr>
                <w:rFonts w:eastAsia="Times New Roman" w:cs="Times New Roman"/>
                <w:iCs/>
                <w:sz w:val="24"/>
                <w:szCs w:val="24"/>
                <w:lang w:eastAsia="en-AU"/>
              </w:rPr>
            </w:pPr>
            <w:r w:rsidRPr="00D86C59">
              <w:rPr>
                <w:rFonts w:cs="Times New Roman"/>
                <w:sz w:val="24"/>
                <w:szCs w:val="24"/>
                <w:lang w:val="en-US"/>
              </w:rPr>
              <w:t xml:space="preserve">C3   </w:t>
            </w:r>
            <w:r w:rsidR="008859C1" w:rsidRPr="00D86C59">
              <w:rPr>
                <w:rFonts w:cs="Times New Roman"/>
                <w:sz w:val="24"/>
                <w:szCs w:val="24"/>
                <w:lang w:val="en-US"/>
              </w:rPr>
              <w:t>Private Islamic school (madrasah) quality improvement</w:t>
            </w:r>
          </w:p>
        </w:tc>
        <w:tc>
          <w:tcPr>
            <w:tcW w:w="1134" w:type="dxa"/>
            <w:tcBorders>
              <w:top w:val="none" w:sz="0" w:space="0" w:color="auto"/>
              <w:bottom w:val="none" w:sz="0" w:space="0" w:color="auto"/>
            </w:tcBorders>
          </w:tcPr>
          <w:p w:rsidR="008859C1" w:rsidRPr="00D86C59" w:rsidRDefault="008859C1" w:rsidP="00344409">
            <w:pPr>
              <w:tabs>
                <w:tab w:val="left" w:pos="742"/>
              </w:tabs>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cs="Times New Roman"/>
                <w:sz w:val="24"/>
                <w:szCs w:val="24"/>
                <w:lang w:val="en-US"/>
              </w:rPr>
              <w:t xml:space="preserve">37 </w:t>
            </w:r>
            <w:r w:rsidR="00027993" w:rsidRPr="00D86C59">
              <w:rPr>
                <w:rFonts w:cs="Times New Roman"/>
                <w:sz w:val="24"/>
                <w:szCs w:val="24"/>
                <w:lang w:val="en-US"/>
              </w:rPr>
              <w:t>m</w:t>
            </w:r>
          </w:p>
        </w:tc>
        <w:tc>
          <w:tcPr>
            <w:tcW w:w="2126" w:type="dxa"/>
            <w:tcBorders>
              <w:top w:val="none" w:sz="0" w:space="0" w:color="auto"/>
              <w:bottom w:val="none" w:sz="0" w:space="0" w:color="auto"/>
            </w:tcBorders>
          </w:tcPr>
          <w:p w:rsidR="00743FC3" w:rsidRPr="00D86C59" w:rsidRDefault="00743FC3" w:rsidP="00D2046A">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Number of madrasah in accreditation preparation</w:t>
            </w:r>
          </w:p>
          <w:p w:rsidR="00743FC3" w:rsidRPr="00D86C59" w:rsidRDefault="00743FC3" w:rsidP="00D2046A">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Number of Madrasah accredited at ‘B’ or higher</w:t>
            </w:r>
          </w:p>
          <w:p w:rsidR="00802324" w:rsidRPr="00D86C59" w:rsidRDefault="00802324" w:rsidP="00D2046A">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tc>
        <w:tc>
          <w:tcPr>
            <w:tcW w:w="1134" w:type="dxa"/>
            <w:tcBorders>
              <w:top w:val="none" w:sz="0" w:space="0" w:color="auto"/>
              <w:bottom w:val="none" w:sz="0" w:space="0" w:color="auto"/>
            </w:tcBorders>
          </w:tcPr>
          <w:p w:rsidR="008859C1"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1,500</w:t>
            </w:r>
          </w:p>
          <w:p w:rsidR="00D80A78"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2046A" w:rsidRDefault="00D2046A"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2046A" w:rsidRDefault="00D2046A"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80A78"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1,350</w:t>
            </w:r>
          </w:p>
        </w:tc>
        <w:tc>
          <w:tcPr>
            <w:tcW w:w="1276" w:type="dxa"/>
            <w:tcBorders>
              <w:top w:val="none" w:sz="0" w:space="0" w:color="auto"/>
              <w:bottom w:val="none" w:sz="0" w:space="0" w:color="auto"/>
            </w:tcBorders>
          </w:tcPr>
          <w:p w:rsidR="008859C1"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1,500</w:t>
            </w:r>
          </w:p>
          <w:p w:rsidR="00D80A78"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2046A" w:rsidRDefault="00D2046A"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2046A" w:rsidRDefault="00D2046A"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80A78"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1,442</w:t>
            </w:r>
          </w:p>
        </w:tc>
        <w:tc>
          <w:tcPr>
            <w:tcW w:w="1064" w:type="dxa"/>
            <w:tcBorders>
              <w:top w:val="none" w:sz="0" w:space="0" w:color="auto"/>
              <w:bottom w:val="none" w:sz="0" w:space="0" w:color="auto"/>
              <w:right w:val="none" w:sz="0" w:space="0" w:color="auto"/>
            </w:tcBorders>
          </w:tcPr>
          <w:p w:rsidR="008859C1"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100%</w:t>
            </w:r>
          </w:p>
          <w:p w:rsidR="00D80A78"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2046A" w:rsidRDefault="00D2046A"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2046A" w:rsidRDefault="00D2046A"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p>
          <w:p w:rsidR="00D80A78" w:rsidRPr="00D86C59" w:rsidRDefault="00D80A78" w:rsidP="00D80A7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107%</w:t>
            </w:r>
          </w:p>
        </w:tc>
      </w:tr>
      <w:tr w:rsidR="00027993" w:rsidRPr="00D86C59" w:rsidTr="00D2046A">
        <w:trPr>
          <w:trHeight w:val="680"/>
        </w:trPr>
        <w:tc>
          <w:tcPr>
            <w:cnfStyle w:val="001000000000" w:firstRow="0" w:lastRow="0" w:firstColumn="1" w:lastColumn="0" w:oddVBand="0" w:evenVBand="0" w:oddHBand="0" w:evenHBand="0" w:firstRowFirstColumn="0" w:firstRowLastColumn="0" w:lastRowFirstColumn="0" w:lastRowLastColumn="0"/>
            <w:tcW w:w="2660" w:type="dxa"/>
          </w:tcPr>
          <w:p w:rsidR="008859C1" w:rsidRPr="00D86C59" w:rsidRDefault="00027993" w:rsidP="00D80A78">
            <w:pPr>
              <w:spacing w:after="0"/>
              <w:rPr>
                <w:rFonts w:cs="Times New Roman"/>
                <w:sz w:val="24"/>
                <w:szCs w:val="24"/>
                <w:lang w:val="en-US"/>
              </w:rPr>
            </w:pPr>
            <w:r w:rsidRPr="00D86C59">
              <w:rPr>
                <w:rFonts w:cs="Times New Roman"/>
                <w:sz w:val="24"/>
                <w:szCs w:val="24"/>
                <w:lang w:val="en-US"/>
              </w:rPr>
              <w:t xml:space="preserve">C4   </w:t>
            </w:r>
            <w:r w:rsidR="008859C1" w:rsidRPr="00D86C59">
              <w:rPr>
                <w:rFonts w:cs="Times New Roman"/>
                <w:sz w:val="24"/>
                <w:szCs w:val="24"/>
                <w:lang w:val="en-US"/>
              </w:rPr>
              <w:t>Analytical and Capacity Development Partnership</w:t>
            </w:r>
          </w:p>
          <w:p w:rsidR="0062788E" w:rsidRPr="00D86C59" w:rsidRDefault="0062788E" w:rsidP="00D80A78">
            <w:pPr>
              <w:spacing w:after="0"/>
              <w:rPr>
                <w:rFonts w:eastAsia="Times New Roman" w:cs="Times New Roman"/>
                <w:iCs/>
                <w:sz w:val="24"/>
                <w:szCs w:val="24"/>
                <w:lang w:eastAsia="en-AU"/>
              </w:rPr>
            </w:pPr>
          </w:p>
        </w:tc>
        <w:tc>
          <w:tcPr>
            <w:tcW w:w="1134" w:type="dxa"/>
          </w:tcPr>
          <w:p w:rsidR="008859C1" w:rsidRPr="00D86C59" w:rsidRDefault="00302FAC" w:rsidP="00344409">
            <w:pPr>
              <w:tabs>
                <w:tab w:val="left" w:pos="742"/>
              </w:tabs>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cs="Times New Roman"/>
                <w:sz w:val="24"/>
                <w:szCs w:val="24"/>
                <w:lang w:val="en-US"/>
              </w:rPr>
              <w:t>20</w:t>
            </w:r>
            <w:r w:rsidR="008859C1" w:rsidRPr="00D86C59">
              <w:rPr>
                <w:rFonts w:cs="Times New Roman"/>
                <w:sz w:val="24"/>
                <w:szCs w:val="24"/>
                <w:lang w:val="en-US"/>
              </w:rPr>
              <w:t xml:space="preserve"> </w:t>
            </w:r>
            <w:r w:rsidR="00027993" w:rsidRPr="00D86C59">
              <w:rPr>
                <w:rFonts w:cs="Times New Roman"/>
                <w:sz w:val="24"/>
                <w:szCs w:val="24"/>
                <w:lang w:val="en-US"/>
              </w:rPr>
              <w:t>m</w:t>
            </w:r>
          </w:p>
        </w:tc>
        <w:tc>
          <w:tcPr>
            <w:tcW w:w="2126" w:type="dxa"/>
          </w:tcPr>
          <w:p w:rsidR="008859C1" w:rsidRPr="00D86C59" w:rsidRDefault="00D80A78" w:rsidP="00D2046A">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vertAlign w:val="superscript"/>
                <w:lang w:eastAsia="en-AU"/>
              </w:rPr>
            </w:pPr>
            <w:r w:rsidRPr="00D86C59">
              <w:rPr>
                <w:rFonts w:eastAsia="Times New Roman" w:cs="Times New Roman"/>
                <w:iCs/>
                <w:sz w:val="24"/>
                <w:szCs w:val="24"/>
                <w:lang w:eastAsia="en-AU"/>
              </w:rPr>
              <w:t>Research and capacity development activities</w:t>
            </w:r>
            <w:r w:rsidR="00907659" w:rsidRPr="00D86C59">
              <w:rPr>
                <w:rFonts w:eastAsia="Times New Roman" w:cs="Times New Roman"/>
                <w:iCs/>
                <w:sz w:val="24"/>
                <w:szCs w:val="24"/>
                <w:lang w:eastAsia="en-AU"/>
              </w:rPr>
              <w:t xml:space="preserve"> </w:t>
            </w:r>
            <w:r w:rsidR="00D87A92" w:rsidRPr="00D86C59">
              <w:rPr>
                <w:rFonts w:eastAsia="Times New Roman" w:cs="Times New Roman"/>
                <w:sz w:val="24"/>
                <w:szCs w:val="24"/>
                <w:vertAlign w:val="superscript"/>
                <w:lang w:eastAsia="en-AU"/>
              </w:rPr>
              <w:t>3</w:t>
            </w:r>
          </w:p>
          <w:p w:rsidR="00802324" w:rsidRPr="00D86C59" w:rsidRDefault="00802324" w:rsidP="00D2046A">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p>
        </w:tc>
        <w:tc>
          <w:tcPr>
            <w:tcW w:w="1134" w:type="dxa"/>
          </w:tcPr>
          <w:p w:rsidR="008859C1" w:rsidRPr="00D86C59" w:rsidRDefault="00BC46B7"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54</w:t>
            </w:r>
          </w:p>
        </w:tc>
        <w:tc>
          <w:tcPr>
            <w:tcW w:w="1276" w:type="dxa"/>
          </w:tcPr>
          <w:p w:rsidR="008859C1" w:rsidRPr="00D86C59" w:rsidRDefault="00BC46B7"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38</w:t>
            </w:r>
          </w:p>
        </w:tc>
        <w:tc>
          <w:tcPr>
            <w:tcW w:w="1064" w:type="dxa"/>
          </w:tcPr>
          <w:p w:rsidR="008859C1" w:rsidRPr="00D86C59" w:rsidRDefault="00BC46B7" w:rsidP="00D80A7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Cs/>
                <w:sz w:val="24"/>
                <w:szCs w:val="24"/>
                <w:lang w:eastAsia="en-AU"/>
              </w:rPr>
            </w:pPr>
            <w:r w:rsidRPr="00D86C59">
              <w:rPr>
                <w:rFonts w:eastAsia="Times New Roman" w:cs="Times New Roman"/>
                <w:iCs/>
                <w:sz w:val="24"/>
                <w:szCs w:val="24"/>
                <w:lang w:eastAsia="en-AU"/>
              </w:rPr>
              <w:t>70%</w:t>
            </w:r>
          </w:p>
        </w:tc>
      </w:tr>
    </w:tbl>
    <w:p w:rsidR="00927521" w:rsidRPr="00D86C59" w:rsidRDefault="00907659" w:rsidP="005F7C44">
      <w:pPr>
        <w:spacing w:after="0"/>
        <w:rPr>
          <w:rFonts w:cs="Times New Roman"/>
          <w:sz w:val="24"/>
          <w:szCs w:val="24"/>
        </w:rPr>
      </w:pPr>
      <w:r w:rsidRPr="00D86C59">
        <w:rPr>
          <w:rFonts w:eastAsia="Times New Roman" w:cs="Times New Roman"/>
          <w:sz w:val="24"/>
          <w:szCs w:val="24"/>
          <w:vertAlign w:val="superscript"/>
          <w:lang w:eastAsia="en-AU"/>
        </w:rPr>
        <w:t xml:space="preserve">1  </w:t>
      </w:r>
      <w:r w:rsidR="00B00531" w:rsidRPr="00D86C59">
        <w:rPr>
          <w:rFonts w:eastAsia="Times New Roman" w:cs="Times New Roman"/>
          <w:sz w:val="24"/>
          <w:szCs w:val="24"/>
          <w:vertAlign w:val="superscript"/>
          <w:lang w:eastAsia="en-AU"/>
        </w:rPr>
        <w:t xml:space="preserve"> </w:t>
      </w:r>
      <w:r w:rsidR="00927521" w:rsidRPr="00D86C59">
        <w:rPr>
          <w:rFonts w:cs="Times New Roman"/>
          <w:sz w:val="24"/>
          <w:szCs w:val="24"/>
        </w:rPr>
        <w:t>Updated as at 24 June 2016</w:t>
      </w:r>
      <w:r w:rsidR="000C2FEF" w:rsidRPr="00D86C59">
        <w:rPr>
          <w:rFonts w:cs="Times New Roman"/>
          <w:sz w:val="24"/>
          <w:szCs w:val="24"/>
        </w:rPr>
        <w:t xml:space="preserve"> </w:t>
      </w:r>
    </w:p>
    <w:p w:rsidR="00927521" w:rsidRPr="00D86C59" w:rsidRDefault="00907659" w:rsidP="005F7C44">
      <w:pPr>
        <w:spacing w:after="0"/>
        <w:rPr>
          <w:rFonts w:eastAsia="Times New Roman" w:cs="Times New Roman"/>
          <w:sz w:val="24"/>
          <w:szCs w:val="24"/>
          <w:lang w:eastAsia="en-AU"/>
        </w:rPr>
      </w:pPr>
      <w:r w:rsidRPr="00D86C59">
        <w:rPr>
          <w:rFonts w:eastAsia="Times New Roman" w:cs="Times New Roman"/>
          <w:sz w:val="24"/>
          <w:szCs w:val="24"/>
          <w:vertAlign w:val="superscript"/>
          <w:lang w:eastAsia="en-AU"/>
        </w:rPr>
        <w:t xml:space="preserve">2 </w:t>
      </w:r>
      <w:r w:rsidR="00B00531" w:rsidRPr="00D86C59">
        <w:rPr>
          <w:rFonts w:eastAsia="Times New Roman" w:cs="Times New Roman"/>
          <w:sz w:val="24"/>
          <w:szCs w:val="24"/>
          <w:vertAlign w:val="superscript"/>
          <w:lang w:eastAsia="en-AU"/>
        </w:rPr>
        <w:t xml:space="preserve"> </w:t>
      </w:r>
      <w:r w:rsidR="000C2FEF" w:rsidRPr="00D86C59">
        <w:rPr>
          <w:rFonts w:eastAsia="Times New Roman" w:cs="Times New Roman"/>
          <w:sz w:val="24"/>
          <w:szCs w:val="24"/>
          <w:vertAlign w:val="superscript"/>
          <w:lang w:eastAsia="en-AU"/>
        </w:rPr>
        <w:t xml:space="preserve"> </w:t>
      </w:r>
      <w:r w:rsidR="00927521" w:rsidRPr="00D86C59">
        <w:rPr>
          <w:rFonts w:eastAsia="Times New Roman" w:cs="Times New Roman"/>
          <w:sz w:val="24"/>
          <w:szCs w:val="24"/>
          <w:lang w:eastAsia="en-AU"/>
        </w:rPr>
        <w:t>In addition 630,000 members of school management teams were trained in fund management</w:t>
      </w:r>
    </w:p>
    <w:p w:rsidR="00D328DA" w:rsidRPr="00D86C59" w:rsidRDefault="00D328DA" w:rsidP="005F7C44">
      <w:pPr>
        <w:spacing w:after="0"/>
        <w:rPr>
          <w:rFonts w:eastAsia="Times New Roman" w:cs="Times New Roman"/>
          <w:sz w:val="24"/>
          <w:szCs w:val="24"/>
          <w:lang w:eastAsia="en-AU"/>
        </w:rPr>
      </w:pPr>
      <w:r w:rsidRPr="00D86C59">
        <w:rPr>
          <w:rFonts w:eastAsia="Times New Roman" w:cs="Times New Roman"/>
          <w:sz w:val="24"/>
          <w:szCs w:val="24"/>
          <w:vertAlign w:val="superscript"/>
          <w:lang w:eastAsia="en-AU"/>
        </w:rPr>
        <w:t xml:space="preserve">3 </w:t>
      </w:r>
      <w:r w:rsidRPr="00D86C59">
        <w:rPr>
          <w:rFonts w:eastAsia="Times New Roman" w:cs="Times New Roman"/>
          <w:sz w:val="24"/>
          <w:szCs w:val="24"/>
          <w:lang w:eastAsia="en-AU"/>
        </w:rPr>
        <w:t>ACDP</w:t>
      </w:r>
      <w:r w:rsidR="00927521" w:rsidRPr="00D86C59">
        <w:rPr>
          <w:rFonts w:eastAsia="Times New Roman" w:cs="Times New Roman"/>
          <w:sz w:val="24"/>
          <w:szCs w:val="24"/>
          <w:lang w:eastAsia="en-AU"/>
        </w:rPr>
        <w:t xml:space="preserve"> will continue through June 2017. The 38 figure represents activities completed </w:t>
      </w:r>
      <w:r w:rsidRPr="00D86C59">
        <w:rPr>
          <w:rFonts w:eastAsia="Times New Roman" w:cs="Times New Roman"/>
          <w:sz w:val="24"/>
          <w:szCs w:val="24"/>
          <w:lang w:eastAsia="en-AU"/>
        </w:rPr>
        <w:t xml:space="preserve"> </w:t>
      </w:r>
    </w:p>
    <w:p w:rsidR="00927521" w:rsidRPr="00D86C59" w:rsidRDefault="00D328DA" w:rsidP="005F7C44">
      <w:pPr>
        <w:spacing w:after="0"/>
        <w:rPr>
          <w:rFonts w:eastAsia="Times New Roman" w:cs="Times New Roman"/>
          <w:sz w:val="24"/>
          <w:szCs w:val="24"/>
          <w:lang w:eastAsia="en-AU"/>
        </w:rPr>
      </w:pPr>
      <w:r w:rsidRPr="00D86C59">
        <w:rPr>
          <w:rFonts w:eastAsia="Times New Roman" w:cs="Times New Roman"/>
          <w:sz w:val="24"/>
          <w:szCs w:val="24"/>
          <w:lang w:eastAsia="en-AU"/>
        </w:rPr>
        <w:t xml:space="preserve">   </w:t>
      </w:r>
      <w:r w:rsidR="00927521" w:rsidRPr="00D86C59">
        <w:rPr>
          <w:rFonts w:eastAsia="Times New Roman" w:cs="Times New Roman"/>
          <w:sz w:val="24"/>
          <w:szCs w:val="24"/>
          <w:lang w:eastAsia="en-AU"/>
        </w:rPr>
        <w:t>through November 2016</w:t>
      </w:r>
    </w:p>
    <w:p w:rsidR="00CF7EA7" w:rsidRPr="00D86C59" w:rsidRDefault="00CF7EA7" w:rsidP="00CF7EA7">
      <w:pPr>
        <w:pStyle w:val="NoSpacing"/>
        <w:rPr>
          <w:rFonts w:cs="Times New Roman"/>
          <w:sz w:val="24"/>
          <w:szCs w:val="24"/>
        </w:rPr>
      </w:pPr>
    </w:p>
    <w:p w:rsidR="00972967" w:rsidRDefault="00972967" w:rsidP="00D328DA">
      <w:pPr>
        <w:spacing w:before="120"/>
        <w:rPr>
          <w:rFonts w:eastAsia="Times New Roman" w:cs="Times New Roman"/>
          <w:b/>
          <w:iCs/>
          <w:color w:val="1F497D" w:themeColor="text2"/>
          <w:sz w:val="24"/>
          <w:szCs w:val="24"/>
          <w:lang w:eastAsia="en-AU"/>
        </w:rPr>
      </w:pPr>
    </w:p>
    <w:p w:rsidR="005F7C44" w:rsidRDefault="005F7C44" w:rsidP="00D328DA">
      <w:pPr>
        <w:spacing w:before="120"/>
        <w:rPr>
          <w:rFonts w:eastAsia="Times New Roman" w:cs="Times New Roman"/>
          <w:b/>
          <w:iCs/>
          <w:color w:val="1F497D" w:themeColor="text2"/>
          <w:sz w:val="24"/>
          <w:szCs w:val="24"/>
          <w:lang w:eastAsia="en-AU"/>
        </w:rPr>
      </w:pPr>
    </w:p>
    <w:p w:rsidR="00BC4790" w:rsidRPr="00D86C59" w:rsidRDefault="00BC4790" w:rsidP="00D328DA">
      <w:pPr>
        <w:spacing w:before="120"/>
        <w:rPr>
          <w:rFonts w:eastAsia="Times New Roman" w:cs="Times New Roman"/>
          <w:b/>
          <w:iCs/>
          <w:color w:val="1F497D" w:themeColor="text2"/>
          <w:sz w:val="24"/>
          <w:szCs w:val="24"/>
          <w:lang w:eastAsia="en-AU"/>
        </w:rPr>
      </w:pPr>
      <w:r w:rsidRPr="00D86C59">
        <w:rPr>
          <w:rFonts w:eastAsia="Times New Roman" w:cs="Times New Roman"/>
          <w:b/>
          <w:iCs/>
          <w:color w:val="1F497D" w:themeColor="text2"/>
          <w:sz w:val="24"/>
          <w:szCs w:val="24"/>
          <w:lang w:eastAsia="en-AU"/>
        </w:rPr>
        <w:lastRenderedPageBreak/>
        <w:t>DFAT’s response to the ICR’s Conclusion and Lessons</w:t>
      </w:r>
    </w:p>
    <w:p w:rsidR="00BC4790" w:rsidRPr="00D86C59" w:rsidRDefault="00BC4790" w:rsidP="00D2046A">
      <w:pPr>
        <w:jc w:val="both"/>
        <w:rPr>
          <w:rFonts w:cs="Times New Roman"/>
          <w:sz w:val="24"/>
          <w:szCs w:val="24"/>
        </w:rPr>
      </w:pPr>
      <w:r w:rsidRPr="00D86C59">
        <w:rPr>
          <w:rFonts w:cs="Times New Roman"/>
          <w:sz w:val="24"/>
          <w:szCs w:val="24"/>
        </w:rPr>
        <w:t xml:space="preserve">Over the course of the EP, DFAT’s Jakarta-based Basic Education Team worked with the POM to identify and implement ways to improve EP management and implementation.  This involved regular debate and discussions of POM’s assessments of DFAT and EP performance and resulted in the production of a series of useful APPR assessments.  Drawing on those AAPRs and their final review of the EP, POM has offered a series of conclusions on the EP and has offered lessons for DFAT to apply as it progresses the 2016-2020 program.  </w:t>
      </w:r>
      <w:r w:rsidR="00206FF3" w:rsidRPr="00D86C59">
        <w:rPr>
          <w:rFonts w:cs="Times New Roman"/>
          <w:b/>
          <w:sz w:val="24"/>
          <w:szCs w:val="24"/>
        </w:rPr>
        <w:t>Response:</w:t>
      </w:r>
      <w:r w:rsidR="00206FF3" w:rsidRPr="00D86C59">
        <w:rPr>
          <w:rFonts w:cs="Times New Roman"/>
          <w:sz w:val="24"/>
          <w:szCs w:val="24"/>
        </w:rPr>
        <w:t xml:space="preserve">  </w:t>
      </w:r>
      <w:r w:rsidRPr="00D86C59">
        <w:rPr>
          <w:rFonts w:cs="Times New Roman"/>
          <w:b/>
          <w:sz w:val="24"/>
          <w:szCs w:val="24"/>
        </w:rPr>
        <w:t>DFAT’s management accepts those conclusions as fair and balanced and has already begun to apply the lessons from EP in its new education program.</w:t>
      </w:r>
      <w:r w:rsidRPr="00D86C59">
        <w:rPr>
          <w:rFonts w:cs="Times New Roman"/>
          <w:sz w:val="24"/>
          <w:szCs w:val="24"/>
        </w:rPr>
        <w:t xml:space="preserve"> </w:t>
      </w:r>
    </w:p>
    <w:p w:rsidR="002E29FA" w:rsidRPr="00D86C59" w:rsidRDefault="002E29FA" w:rsidP="00D2046A">
      <w:pPr>
        <w:spacing w:before="120"/>
        <w:jc w:val="both"/>
        <w:rPr>
          <w:rFonts w:eastAsia="Times New Roman" w:cs="Times New Roman"/>
          <w:b/>
          <w:iCs/>
          <w:color w:val="1F497D" w:themeColor="text2"/>
          <w:sz w:val="24"/>
          <w:szCs w:val="24"/>
          <w:lang w:eastAsia="en-AU"/>
        </w:rPr>
      </w:pPr>
      <w:r w:rsidRPr="00D86C59">
        <w:rPr>
          <w:rFonts w:eastAsia="Times New Roman" w:cs="Times New Roman"/>
          <w:b/>
          <w:iCs/>
          <w:color w:val="1F497D" w:themeColor="text2"/>
          <w:sz w:val="24"/>
          <w:szCs w:val="24"/>
          <w:lang w:eastAsia="en-AU"/>
        </w:rPr>
        <w:t>A Summary of the ICR’s Findings</w:t>
      </w:r>
      <w:r w:rsidR="00E30704" w:rsidRPr="00D86C59">
        <w:rPr>
          <w:rFonts w:eastAsia="Times New Roman" w:cs="Times New Roman"/>
          <w:b/>
          <w:iCs/>
          <w:color w:val="1F497D" w:themeColor="text2"/>
          <w:sz w:val="24"/>
          <w:szCs w:val="24"/>
          <w:lang w:eastAsia="en-AU"/>
        </w:rPr>
        <w:t xml:space="preserve"> and DFAT’s response</w:t>
      </w:r>
    </w:p>
    <w:p w:rsidR="002E29FA" w:rsidRPr="00D86C59" w:rsidRDefault="002E29FA" w:rsidP="00D2046A">
      <w:pPr>
        <w:jc w:val="both"/>
        <w:rPr>
          <w:rFonts w:cs="Times New Roman"/>
          <w:sz w:val="24"/>
          <w:szCs w:val="24"/>
        </w:rPr>
      </w:pPr>
      <w:r w:rsidRPr="00D86C59">
        <w:rPr>
          <w:rFonts w:cs="Times New Roman"/>
          <w:b/>
          <w:sz w:val="24"/>
          <w:szCs w:val="24"/>
        </w:rPr>
        <w:t>The general conclusion of the ICR is that the EP was a highly relevant investment that represented satisfactory value for money for both governments</w:t>
      </w:r>
      <w:r w:rsidRPr="00D86C59">
        <w:rPr>
          <w:rFonts w:cs="Times New Roman"/>
          <w:sz w:val="24"/>
          <w:szCs w:val="24"/>
        </w:rPr>
        <w:t xml:space="preserve">. The activities conducted under the umbrella of the EP were delivered efficiently and produced valuable improvements in key areas of the Indonesian education sector. </w:t>
      </w:r>
    </w:p>
    <w:p w:rsidR="00DC37DA" w:rsidRPr="00D86C59" w:rsidRDefault="00DC37DA" w:rsidP="00D2046A">
      <w:pPr>
        <w:jc w:val="both"/>
        <w:rPr>
          <w:rFonts w:cs="Times New Roman"/>
          <w:sz w:val="24"/>
          <w:szCs w:val="24"/>
        </w:rPr>
      </w:pPr>
      <w:r w:rsidRPr="00D86C59">
        <w:rPr>
          <w:rFonts w:cs="Times New Roman"/>
          <w:sz w:val="24"/>
          <w:szCs w:val="24"/>
        </w:rPr>
        <w:t xml:space="preserve">The ICR </w:t>
      </w:r>
      <w:r w:rsidR="00073E7D" w:rsidRPr="00D86C59">
        <w:rPr>
          <w:rFonts w:cs="Times New Roman"/>
          <w:sz w:val="24"/>
          <w:szCs w:val="24"/>
        </w:rPr>
        <w:t>notes</w:t>
      </w:r>
      <w:r w:rsidRPr="00D86C59">
        <w:rPr>
          <w:rFonts w:cs="Times New Roman"/>
          <w:sz w:val="24"/>
          <w:szCs w:val="24"/>
        </w:rPr>
        <w:t xml:space="preserve"> that the EP spanned a period of </w:t>
      </w:r>
      <w:r w:rsidR="00AD1003" w:rsidRPr="00D86C59">
        <w:rPr>
          <w:rFonts w:cs="Times New Roman"/>
          <w:sz w:val="24"/>
          <w:szCs w:val="24"/>
        </w:rPr>
        <w:t xml:space="preserve">change </w:t>
      </w:r>
      <w:r w:rsidRPr="00D86C59">
        <w:rPr>
          <w:rFonts w:cs="Times New Roman"/>
          <w:sz w:val="24"/>
          <w:szCs w:val="24"/>
        </w:rPr>
        <w:t xml:space="preserve">in Australia’s overseas aid program and, the domestic policy environment in Indonesia. Initially designed as an AUD 500 million investment at a time of record levels of aid spending, it concluded as an AUD 368.8 million program and at a time of relative budget austerity. The </w:t>
      </w:r>
      <w:r w:rsidR="007C1580">
        <w:rPr>
          <w:rFonts w:cs="Times New Roman"/>
          <w:sz w:val="24"/>
          <w:szCs w:val="24"/>
        </w:rPr>
        <w:t>integration</w:t>
      </w:r>
      <w:r w:rsidRPr="00D86C59">
        <w:rPr>
          <w:rFonts w:cs="Times New Roman"/>
          <w:sz w:val="24"/>
          <w:szCs w:val="24"/>
        </w:rPr>
        <w:t xml:space="preserve"> of AusAID </w:t>
      </w:r>
      <w:r w:rsidR="007C1580">
        <w:rPr>
          <w:rFonts w:cs="Times New Roman"/>
          <w:sz w:val="24"/>
          <w:szCs w:val="24"/>
        </w:rPr>
        <w:t>into</w:t>
      </w:r>
      <w:r w:rsidRPr="00D86C59">
        <w:rPr>
          <w:rFonts w:cs="Times New Roman"/>
          <w:sz w:val="24"/>
          <w:szCs w:val="24"/>
        </w:rPr>
        <w:t xml:space="preserve"> DFAT at the mid-point of the program had far reaching implications for both the shape and direction of Australian resources available for the implementation and management of the EP.  The ICR found that although targets were adjusted appropriately to accommodate changing levels of resourcing, the changes in the broader context limited the extent to which the EP was capable of attaining objectives that were set under a very different set of circumstances.</w:t>
      </w:r>
    </w:p>
    <w:p w:rsidR="00C57475" w:rsidRPr="00972967" w:rsidRDefault="00B13624" w:rsidP="008E1896">
      <w:pPr>
        <w:spacing w:after="0"/>
        <w:jc w:val="both"/>
        <w:rPr>
          <w:rFonts w:cs="Times New Roman"/>
          <w:b/>
          <w:bCs/>
          <w:sz w:val="24"/>
          <w:szCs w:val="24"/>
        </w:rPr>
      </w:pPr>
      <w:r>
        <w:rPr>
          <w:rFonts w:cs="Times New Roman"/>
          <w:b/>
          <w:bCs/>
          <w:sz w:val="24"/>
          <w:szCs w:val="24"/>
        </w:rPr>
        <w:br w:type="page"/>
      </w:r>
      <w:r w:rsidR="00972967" w:rsidRPr="00972967">
        <w:rPr>
          <w:rFonts w:cs="Times New Roman"/>
          <w:b/>
          <w:bCs/>
          <w:sz w:val="24"/>
          <w:szCs w:val="24"/>
        </w:rPr>
        <w:lastRenderedPageBreak/>
        <w:t>M</w:t>
      </w:r>
      <w:r w:rsidR="00C57475" w:rsidRPr="00972967">
        <w:rPr>
          <w:rFonts w:cs="Times New Roman"/>
          <w:b/>
          <w:bCs/>
          <w:sz w:val="24"/>
          <w:szCs w:val="24"/>
        </w:rPr>
        <w:t xml:space="preserve">anagement </w:t>
      </w:r>
      <w:r w:rsidR="00972967" w:rsidRPr="00972967">
        <w:rPr>
          <w:rFonts w:cs="Times New Roman"/>
          <w:b/>
          <w:bCs/>
          <w:sz w:val="24"/>
          <w:szCs w:val="24"/>
        </w:rPr>
        <w:t>response to ICR recommendations</w:t>
      </w:r>
    </w:p>
    <w:tbl>
      <w:tblPr>
        <w:tblStyle w:val="Tablewithheader"/>
        <w:tblW w:w="0" w:type="auto"/>
        <w:tblLayout w:type="fixed"/>
        <w:tblLook w:val="04A0" w:firstRow="1" w:lastRow="0" w:firstColumn="1" w:lastColumn="0" w:noHBand="0" w:noVBand="1"/>
      </w:tblPr>
      <w:tblGrid>
        <w:gridCol w:w="3131"/>
        <w:gridCol w:w="1797"/>
        <w:gridCol w:w="4466"/>
      </w:tblGrid>
      <w:tr w:rsidR="00A1351E" w:rsidTr="00D83F2A">
        <w:trPr>
          <w:cnfStyle w:val="100000000000" w:firstRow="1" w:lastRow="0" w:firstColumn="0" w:lastColumn="0" w:oddVBand="0" w:evenVBand="0" w:oddHBand="0" w:evenHBand="0" w:firstRowFirstColumn="0" w:firstRowLastColumn="0" w:lastRowFirstColumn="0" w:lastRowLastColumn="0"/>
        </w:trPr>
        <w:tc>
          <w:tcPr>
            <w:tcW w:w="3131" w:type="dxa"/>
          </w:tcPr>
          <w:p w:rsidR="00A1351E" w:rsidRPr="00195CC5" w:rsidRDefault="00A1351E" w:rsidP="00A1351E">
            <w:pPr>
              <w:pStyle w:val="m-2838640035844025451msolistparagraph"/>
              <w:spacing w:before="120" w:after="120"/>
              <w:rPr>
                <w:rFonts w:ascii="Calibri" w:hAnsi="Calibri"/>
                <w:lang w:val="en-GB"/>
              </w:rPr>
            </w:pPr>
            <w:r>
              <w:rPr>
                <w:rFonts w:ascii="Calibri" w:hAnsi="Calibri"/>
                <w:lang w:val="en-GB"/>
              </w:rPr>
              <w:t>Recommendations</w:t>
            </w:r>
          </w:p>
        </w:tc>
        <w:tc>
          <w:tcPr>
            <w:tcW w:w="1797" w:type="dxa"/>
          </w:tcPr>
          <w:p w:rsidR="00A1351E" w:rsidRDefault="00A1351E" w:rsidP="00584B1F">
            <w:pPr>
              <w:jc w:val="left"/>
              <w:rPr>
                <w:bCs/>
                <w:sz w:val="24"/>
                <w:szCs w:val="24"/>
              </w:rPr>
            </w:pPr>
            <w:r>
              <w:rPr>
                <w:bCs/>
                <w:sz w:val="24"/>
                <w:szCs w:val="24"/>
              </w:rPr>
              <w:t>DFAT management response (agree/partially/disagree)</w:t>
            </w:r>
          </w:p>
        </w:tc>
        <w:tc>
          <w:tcPr>
            <w:tcW w:w="4466" w:type="dxa"/>
          </w:tcPr>
          <w:p w:rsidR="00A1351E" w:rsidRDefault="00972967" w:rsidP="004D4694">
            <w:pPr>
              <w:rPr>
                <w:bCs/>
                <w:sz w:val="24"/>
                <w:szCs w:val="24"/>
              </w:rPr>
            </w:pPr>
            <w:r>
              <w:rPr>
                <w:bCs/>
                <w:sz w:val="24"/>
                <w:szCs w:val="24"/>
              </w:rPr>
              <w:t>Response</w:t>
            </w:r>
          </w:p>
        </w:tc>
      </w:tr>
      <w:tr w:rsidR="00A1351E" w:rsidTr="00D83F2A">
        <w:tc>
          <w:tcPr>
            <w:tcW w:w="3131" w:type="dxa"/>
          </w:tcPr>
          <w:p w:rsidR="00A1351E" w:rsidRPr="00195CC5" w:rsidRDefault="00A1351E" w:rsidP="005D5972">
            <w:pPr>
              <w:pStyle w:val="m-2838640035844025451msolistparagraph"/>
              <w:numPr>
                <w:ilvl w:val="0"/>
                <w:numId w:val="43"/>
              </w:numPr>
              <w:spacing w:before="120" w:after="120"/>
              <w:jc w:val="both"/>
              <w:rPr>
                <w:rFonts w:ascii="Calibri" w:hAnsi="Calibri"/>
                <w:lang w:val="en-GB"/>
              </w:rPr>
            </w:pPr>
            <w:r w:rsidRPr="00195CC5">
              <w:rPr>
                <w:rFonts w:ascii="Calibri" w:hAnsi="Calibri"/>
                <w:lang w:val="en-GB"/>
              </w:rPr>
              <w:t xml:space="preserve">DFAT should retain focus on the higher order outcomes of their investments. Whilst robust management at output level is important, management should promote flexibility and imagination during implementation in order to maintain relevance and to maximise the chances of securing higher level achievements. </w:t>
            </w:r>
          </w:p>
        </w:tc>
        <w:tc>
          <w:tcPr>
            <w:tcW w:w="1797" w:type="dxa"/>
          </w:tcPr>
          <w:p w:rsidR="00A1351E" w:rsidRDefault="004D708D" w:rsidP="001D4A61">
            <w:pPr>
              <w:jc w:val="center"/>
              <w:rPr>
                <w:bCs/>
                <w:sz w:val="24"/>
                <w:szCs w:val="24"/>
              </w:rPr>
            </w:pPr>
            <w:r>
              <w:rPr>
                <w:bCs/>
                <w:sz w:val="24"/>
                <w:szCs w:val="24"/>
              </w:rPr>
              <w:t>A</w:t>
            </w:r>
            <w:r w:rsidR="00584B1F">
              <w:rPr>
                <w:bCs/>
                <w:sz w:val="24"/>
                <w:szCs w:val="24"/>
              </w:rPr>
              <w:t>gree</w:t>
            </w:r>
          </w:p>
        </w:tc>
        <w:tc>
          <w:tcPr>
            <w:tcW w:w="4466" w:type="dxa"/>
          </w:tcPr>
          <w:p w:rsidR="00972967" w:rsidRDefault="00BD05E3" w:rsidP="00D2046A">
            <w:pPr>
              <w:jc w:val="both"/>
              <w:rPr>
                <w:bCs/>
                <w:sz w:val="24"/>
                <w:szCs w:val="24"/>
              </w:rPr>
            </w:pPr>
            <w:r>
              <w:rPr>
                <w:bCs/>
                <w:sz w:val="24"/>
                <w:szCs w:val="24"/>
              </w:rPr>
              <w:t xml:space="preserve">DFAT </w:t>
            </w:r>
            <w:r w:rsidR="00AE2C8F">
              <w:rPr>
                <w:bCs/>
                <w:sz w:val="24"/>
                <w:szCs w:val="24"/>
              </w:rPr>
              <w:t xml:space="preserve">agrees with </w:t>
            </w:r>
            <w:r w:rsidR="00693658">
              <w:rPr>
                <w:bCs/>
                <w:sz w:val="24"/>
                <w:szCs w:val="24"/>
              </w:rPr>
              <w:t xml:space="preserve">this recommendation and will </w:t>
            </w:r>
            <w:r w:rsidR="006D14BC">
              <w:rPr>
                <w:bCs/>
                <w:sz w:val="24"/>
                <w:szCs w:val="24"/>
              </w:rPr>
              <w:t>improve our flexibility</w:t>
            </w:r>
            <w:r w:rsidR="00693658">
              <w:rPr>
                <w:bCs/>
                <w:sz w:val="24"/>
                <w:szCs w:val="24"/>
              </w:rPr>
              <w:t xml:space="preserve"> in the forward </w:t>
            </w:r>
            <w:r w:rsidR="00AE2C8F">
              <w:rPr>
                <w:bCs/>
                <w:sz w:val="24"/>
                <w:szCs w:val="24"/>
              </w:rPr>
              <w:t>program</w:t>
            </w:r>
            <w:r w:rsidR="006D14BC">
              <w:rPr>
                <w:bCs/>
                <w:sz w:val="24"/>
                <w:szCs w:val="24"/>
              </w:rPr>
              <w:t xml:space="preserve">. </w:t>
            </w:r>
            <w:r w:rsidR="00972967">
              <w:rPr>
                <w:bCs/>
                <w:sz w:val="24"/>
                <w:szCs w:val="24"/>
              </w:rPr>
              <w:t xml:space="preserve">We now have an Education Sector Investment Plan which sets the higher </w:t>
            </w:r>
            <w:r w:rsidR="003A3330">
              <w:rPr>
                <w:bCs/>
                <w:sz w:val="24"/>
                <w:szCs w:val="24"/>
              </w:rPr>
              <w:t xml:space="preserve">order outcomes. We also have a </w:t>
            </w:r>
            <w:r w:rsidR="00FF08AA">
              <w:rPr>
                <w:bCs/>
                <w:sz w:val="24"/>
                <w:szCs w:val="24"/>
              </w:rPr>
              <w:t>systematic approach to M&amp;E</w:t>
            </w:r>
            <w:r w:rsidR="00972967">
              <w:rPr>
                <w:bCs/>
                <w:sz w:val="24"/>
                <w:szCs w:val="24"/>
              </w:rPr>
              <w:t xml:space="preserve"> that will help us to monitor these outcomes and adjust where necessary.</w:t>
            </w:r>
            <w:r w:rsidR="006D14BC">
              <w:rPr>
                <w:bCs/>
                <w:sz w:val="24"/>
                <w:szCs w:val="24"/>
              </w:rPr>
              <w:t xml:space="preserve"> DFAT will </w:t>
            </w:r>
            <w:r w:rsidR="00972967">
              <w:rPr>
                <w:bCs/>
                <w:sz w:val="24"/>
                <w:szCs w:val="24"/>
              </w:rPr>
              <w:t xml:space="preserve">continue to </w:t>
            </w:r>
            <w:r>
              <w:rPr>
                <w:bCs/>
                <w:sz w:val="24"/>
                <w:szCs w:val="24"/>
              </w:rPr>
              <w:t xml:space="preserve">look for opportunities to </w:t>
            </w:r>
            <w:r w:rsidR="008110D7">
              <w:rPr>
                <w:bCs/>
                <w:sz w:val="24"/>
                <w:szCs w:val="24"/>
              </w:rPr>
              <w:t xml:space="preserve">secure higher level achievements </w:t>
            </w:r>
            <w:r>
              <w:rPr>
                <w:bCs/>
                <w:sz w:val="24"/>
                <w:szCs w:val="24"/>
              </w:rPr>
              <w:t>on DFAT’</w:t>
            </w:r>
            <w:r w:rsidR="008110D7">
              <w:rPr>
                <w:bCs/>
                <w:sz w:val="24"/>
                <w:szCs w:val="24"/>
              </w:rPr>
              <w:t>s investment</w:t>
            </w:r>
            <w:r w:rsidR="006D14BC">
              <w:rPr>
                <w:bCs/>
                <w:sz w:val="24"/>
                <w:szCs w:val="24"/>
              </w:rPr>
              <w:t xml:space="preserve"> under the forward program.</w:t>
            </w:r>
            <w:r w:rsidR="00972967">
              <w:rPr>
                <w:bCs/>
                <w:sz w:val="24"/>
                <w:szCs w:val="24"/>
              </w:rPr>
              <w:t xml:space="preserve"> </w:t>
            </w:r>
          </w:p>
          <w:p w:rsidR="00A1351E" w:rsidRDefault="00972967" w:rsidP="00D2046A">
            <w:pPr>
              <w:jc w:val="both"/>
              <w:rPr>
                <w:bCs/>
                <w:sz w:val="24"/>
                <w:szCs w:val="24"/>
              </w:rPr>
            </w:pPr>
            <w:r>
              <w:rPr>
                <w:bCs/>
                <w:sz w:val="24"/>
                <w:szCs w:val="24"/>
              </w:rPr>
              <w:t xml:space="preserve">DFAT notes that the ICR assessed the EP performance as a highly </w:t>
            </w:r>
            <w:r w:rsidRPr="00E92F2C">
              <w:rPr>
                <w:bCs/>
                <w:sz w:val="24"/>
                <w:szCs w:val="24"/>
              </w:rPr>
              <w:t xml:space="preserve">relevant investment that addressed systemic and ongoing weaknesses in the Indonesian education sector. </w:t>
            </w:r>
          </w:p>
        </w:tc>
      </w:tr>
      <w:tr w:rsidR="00A1351E" w:rsidTr="00D83F2A">
        <w:tc>
          <w:tcPr>
            <w:tcW w:w="3131" w:type="dxa"/>
          </w:tcPr>
          <w:p w:rsidR="00A1351E" w:rsidRPr="00195CC5" w:rsidRDefault="00A1351E" w:rsidP="005D5972">
            <w:pPr>
              <w:pStyle w:val="m-2838640035844025451msolistparagraph"/>
              <w:numPr>
                <w:ilvl w:val="0"/>
                <w:numId w:val="43"/>
              </w:numPr>
              <w:spacing w:before="120" w:after="120"/>
              <w:jc w:val="both"/>
              <w:rPr>
                <w:rFonts w:ascii="Calibri" w:hAnsi="Calibri"/>
                <w:lang w:val="en-GB"/>
              </w:rPr>
            </w:pPr>
            <w:r w:rsidRPr="00195CC5">
              <w:rPr>
                <w:rFonts w:ascii="Calibri" w:hAnsi="Calibri"/>
                <w:lang w:val="en-GB"/>
              </w:rPr>
              <w:t xml:space="preserve">DFAT should resource its staffing in line with the demands of the new aid environment and upskill current staff in broader development skills such as public diplomacy, strategic engagement and private sector development. </w:t>
            </w:r>
          </w:p>
        </w:tc>
        <w:tc>
          <w:tcPr>
            <w:tcW w:w="1797" w:type="dxa"/>
          </w:tcPr>
          <w:p w:rsidR="00A1351E" w:rsidRDefault="00315C17" w:rsidP="001D4A61">
            <w:pPr>
              <w:jc w:val="center"/>
              <w:rPr>
                <w:bCs/>
                <w:sz w:val="24"/>
                <w:szCs w:val="24"/>
              </w:rPr>
            </w:pPr>
            <w:r>
              <w:rPr>
                <w:bCs/>
                <w:sz w:val="24"/>
                <w:szCs w:val="24"/>
              </w:rPr>
              <w:t>Agree</w:t>
            </w:r>
          </w:p>
        </w:tc>
        <w:tc>
          <w:tcPr>
            <w:tcW w:w="4466" w:type="dxa"/>
          </w:tcPr>
          <w:p w:rsidR="00A1351E" w:rsidRDefault="00315C17" w:rsidP="00D2046A">
            <w:pPr>
              <w:jc w:val="both"/>
              <w:rPr>
                <w:bCs/>
                <w:sz w:val="24"/>
                <w:szCs w:val="24"/>
              </w:rPr>
            </w:pPr>
            <w:r>
              <w:rPr>
                <w:bCs/>
                <w:sz w:val="24"/>
                <w:szCs w:val="24"/>
              </w:rPr>
              <w:t xml:space="preserve">DFAT </w:t>
            </w:r>
            <w:r w:rsidR="00972967">
              <w:rPr>
                <w:bCs/>
                <w:sz w:val="24"/>
                <w:szCs w:val="24"/>
              </w:rPr>
              <w:t xml:space="preserve">has </w:t>
            </w:r>
            <w:r w:rsidR="002E43B9">
              <w:rPr>
                <w:bCs/>
                <w:sz w:val="24"/>
                <w:szCs w:val="24"/>
              </w:rPr>
              <w:t>learning</w:t>
            </w:r>
            <w:r w:rsidR="00972967">
              <w:rPr>
                <w:bCs/>
                <w:sz w:val="24"/>
                <w:szCs w:val="24"/>
              </w:rPr>
              <w:t xml:space="preserve"> and development plan for the basic education team which is focused on </w:t>
            </w:r>
            <w:r>
              <w:rPr>
                <w:bCs/>
                <w:sz w:val="24"/>
                <w:szCs w:val="24"/>
              </w:rPr>
              <w:t>upskilling its current staff</w:t>
            </w:r>
            <w:r w:rsidR="009D53EC">
              <w:rPr>
                <w:bCs/>
                <w:sz w:val="24"/>
                <w:szCs w:val="24"/>
              </w:rPr>
              <w:t xml:space="preserve">.  </w:t>
            </w:r>
          </w:p>
        </w:tc>
      </w:tr>
      <w:tr w:rsidR="00A1351E" w:rsidTr="00D83F2A">
        <w:tc>
          <w:tcPr>
            <w:tcW w:w="3131" w:type="dxa"/>
          </w:tcPr>
          <w:p w:rsidR="00A1351E" w:rsidRPr="00195CC5" w:rsidRDefault="00A1351E" w:rsidP="005D5972">
            <w:pPr>
              <w:pStyle w:val="m-2838640035844025451msolistparagraph"/>
              <w:numPr>
                <w:ilvl w:val="0"/>
                <w:numId w:val="43"/>
              </w:numPr>
              <w:spacing w:before="120" w:after="120"/>
              <w:jc w:val="both"/>
              <w:rPr>
                <w:rFonts w:ascii="Calibri" w:hAnsi="Calibri"/>
                <w:lang w:val="en-GB"/>
              </w:rPr>
            </w:pPr>
            <w:r w:rsidRPr="00195CC5">
              <w:rPr>
                <w:rFonts w:ascii="Calibri" w:hAnsi="Calibri"/>
                <w:lang w:val="en-GB"/>
              </w:rPr>
              <w:t xml:space="preserve">DFAT should capitalise upon the broader range of development skills on offer in their less traditional partners (the private sector and non-government actors) and, in so doing,  promote a more holistic and innovative approach to managing development. </w:t>
            </w:r>
            <w:r w:rsidRPr="00195CC5">
              <w:rPr>
                <w:rFonts w:ascii="Calibri" w:hAnsi="Calibri"/>
              </w:rPr>
              <w:t xml:space="preserve"> </w:t>
            </w:r>
          </w:p>
        </w:tc>
        <w:tc>
          <w:tcPr>
            <w:tcW w:w="1797" w:type="dxa"/>
          </w:tcPr>
          <w:p w:rsidR="00A1351E" w:rsidRDefault="00563B36" w:rsidP="001D4A61">
            <w:pPr>
              <w:jc w:val="center"/>
              <w:rPr>
                <w:bCs/>
                <w:sz w:val="24"/>
                <w:szCs w:val="24"/>
              </w:rPr>
            </w:pPr>
            <w:r>
              <w:rPr>
                <w:bCs/>
                <w:sz w:val="24"/>
                <w:szCs w:val="24"/>
              </w:rPr>
              <w:t>Agree</w:t>
            </w:r>
          </w:p>
        </w:tc>
        <w:tc>
          <w:tcPr>
            <w:tcW w:w="4466" w:type="dxa"/>
          </w:tcPr>
          <w:p w:rsidR="00A1351E" w:rsidRDefault="00563B36" w:rsidP="00D2046A">
            <w:pPr>
              <w:jc w:val="both"/>
              <w:rPr>
                <w:bCs/>
                <w:sz w:val="24"/>
                <w:szCs w:val="24"/>
              </w:rPr>
            </w:pPr>
            <w:r>
              <w:rPr>
                <w:bCs/>
                <w:sz w:val="24"/>
                <w:szCs w:val="24"/>
              </w:rPr>
              <w:t xml:space="preserve">DFAT agrees </w:t>
            </w:r>
            <w:r w:rsidR="008D077F">
              <w:rPr>
                <w:bCs/>
                <w:sz w:val="24"/>
                <w:szCs w:val="24"/>
              </w:rPr>
              <w:t>with this recommendation</w:t>
            </w:r>
            <w:r w:rsidR="00935CAA">
              <w:rPr>
                <w:bCs/>
                <w:sz w:val="24"/>
                <w:szCs w:val="24"/>
              </w:rPr>
              <w:t xml:space="preserve"> and will further explore opportunities for partnerships.</w:t>
            </w:r>
            <w:r w:rsidR="000F3387">
              <w:rPr>
                <w:bCs/>
                <w:sz w:val="24"/>
                <w:szCs w:val="24"/>
              </w:rPr>
              <w:t xml:space="preserve"> </w:t>
            </w:r>
          </w:p>
        </w:tc>
      </w:tr>
      <w:tr w:rsidR="00A1351E" w:rsidTr="00D83F2A">
        <w:tc>
          <w:tcPr>
            <w:tcW w:w="3131" w:type="dxa"/>
          </w:tcPr>
          <w:p w:rsidR="00A1351E" w:rsidRPr="00195CC5" w:rsidRDefault="00A1351E" w:rsidP="005D5972">
            <w:pPr>
              <w:pStyle w:val="m-2838640035844025451msolistparagraph"/>
              <w:numPr>
                <w:ilvl w:val="0"/>
                <w:numId w:val="43"/>
              </w:numPr>
              <w:spacing w:before="120" w:after="120"/>
              <w:jc w:val="both"/>
              <w:rPr>
                <w:rFonts w:ascii="Calibri" w:hAnsi="Calibri"/>
                <w:lang w:val="en-GB"/>
              </w:rPr>
            </w:pPr>
            <w:r w:rsidRPr="00195CC5">
              <w:rPr>
                <w:rFonts w:ascii="Calibri" w:hAnsi="Calibri"/>
              </w:rPr>
              <w:lastRenderedPageBreak/>
              <w:t xml:space="preserve">DFAT should ensure that its risk management practices place sufficient attention on the opportunities and constraints posed by changes in the political-institutional environment within which programs are implemented such that the impact, relevance and sustainability of Australian investments can be maximised. </w:t>
            </w:r>
          </w:p>
        </w:tc>
        <w:tc>
          <w:tcPr>
            <w:tcW w:w="1797" w:type="dxa"/>
          </w:tcPr>
          <w:p w:rsidR="00A1351E" w:rsidRDefault="00E8796A" w:rsidP="001D4A61">
            <w:pPr>
              <w:jc w:val="center"/>
              <w:rPr>
                <w:bCs/>
                <w:sz w:val="24"/>
                <w:szCs w:val="24"/>
              </w:rPr>
            </w:pPr>
            <w:r>
              <w:rPr>
                <w:bCs/>
                <w:sz w:val="24"/>
                <w:szCs w:val="24"/>
              </w:rPr>
              <w:t>Agree</w:t>
            </w:r>
          </w:p>
        </w:tc>
        <w:tc>
          <w:tcPr>
            <w:tcW w:w="4466" w:type="dxa"/>
          </w:tcPr>
          <w:p w:rsidR="00A1351E" w:rsidRDefault="00E8796A" w:rsidP="00D2046A">
            <w:pPr>
              <w:jc w:val="both"/>
              <w:rPr>
                <w:bCs/>
                <w:sz w:val="24"/>
                <w:szCs w:val="24"/>
              </w:rPr>
            </w:pPr>
            <w:r>
              <w:rPr>
                <w:bCs/>
                <w:sz w:val="24"/>
                <w:szCs w:val="24"/>
              </w:rPr>
              <w:t xml:space="preserve">DFAT agrees with this recommendation.  </w:t>
            </w:r>
            <w:r w:rsidR="00935CAA">
              <w:rPr>
                <w:bCs/>
                <w:sz w:val="24"/>
                <w:szCs w:val="24"/>
              </w:rPr>
              <w:t>Risk management will continue to be</w:t>
            </w:r>
            <w:r w:rsidR="00227A47">
              <w:rPr>
                <w:bCs/>
                <w:sz w:val="24"/>
                <w:szCs w:val="24"/>
              </w:rPr>
              <w:t xml:space="preserve"> a focus for senior management</w:t>
            </w:r>
            <w:r w:rsidR="00935CAA">
              <w:rPr>
                <w:bCs/>
                <w:sz w:val="24"/>
                <w:szCs w:val="24"/>
              </w:rPr>
              <w:t xml:space="preserve"> attention, ensuring DFAT’s risk assessment policies are effectively implemented.</w:t>
            </w:r>
          </w:p>
        </w:tc>
      </w:tr>
      <w:tr w:rsidR="00A1351E" w:rsidTr="00D83F2A">
        <w:tc>
          <w:tcPr>
            <w:tcW w:w="3131" w:type="dxa"/>
          </w:tcPr>
          <w:p w:rsidR="00A1351E" w:rsidRPr="00195CC5" w:rsidRDefault="00A1351E" w:rsidP="005D5972">
            <w:pPr>
              <w:pStyle w:val="m-2838640035844025451msolistparagraph"/>
              <w:numPr>
                <w:ilvl w:val="0"/>
                <w:numId w:val="43"/>
              </w:numPr>
              <w:spacing w:before="120" w:after="120"/>
              <w:jc w:val="both"/>
              <w:rPr>
                <w:rFonts w:ascii="Calibri" w:hAnsi="Calibri"/>
                <w:lang w:val="en-GB"/>
              </w:rPr>
            </w:pPr>
            <w:r w:rsidRPr="00195CC5">
              <w:rPr>
                <w:rFonts w:ascii="Calibri" w:hAnsi="Calibri"/>
                <w:lang w:val="en-GB"/>
              </w:rPr>
              <w:t xml:space="preserve">DFAT should consider reviewing and, where required, updating the governance arrangements to its aid programs to better reflect the maturing of government-to-government relationships, to take advantage of regular performance information, and to promote responsive and adaptive management. </w:t>
            </w:r>
          </w:p>
        </w:tc>
        <w:tc>
          <w:tcPr>
            <w:tcW w:w="1797" w:type="dxa"/>
          </w:tcPr>
          <w:p w:rsidR="00A1351E" w:rsidRDefault="00607945" w:rsidP="008E1896">
            <w:pPr>
              <w:jc w:val="center"/>
              <w:rPr>
                <w:bCs/>
                <w:sz w:val="24"/>
                <w:szCs w:val="24"/>
              </w:rPr>
            </w:pPr>
            <w:r>
              <w:rPr>
                <w:bCs/>
                <w:sz w:val="24"/>
                <w:szCs w:val="24"/>
              </w:rPr>
              <w:t>Agree</w:t>
            </w:r>
          </w:p>
        </w:tc>
        <w:tc>
          <w:tcPr>
            <w:tcW w:w="4466" w:type="dxa"/>
          </w:tcPr>
          <w:p w:rsidR="00A1351E" w:rsidRDefault="00B13624" w:rsidP="00D2046A">
            <w:pPr>
              <w:jc w:val="both"/>
              <w:rPr>
                <w:bCs/>
                <w:sz w:val="24"/>
                <w:szCs w:val="24"/>
              </w:rPr>
            </w:pPr>
            <w:r w:rsidRPr="00B13624">
              <w:rPr>
                <w:bCs/>
                <w:sz w:val="24"/>
                <w:szCs w:val="24"/>
              </w:rPr>
              <w:t xml:space="preserve">DFAT agrees with this recommendation.  </w:t>
            </w:r>
            <w:r>
              <w:rPr>
                <w:bCs/>
                <w:sz w:val="24"/>
                <w:szCs w:val="24"/>
              </w:rPr>
              <w:t xml:space="preserve">In new education investments, DFAT has established governance arrangements that address both formal and informal discussions required to implement the program. The formal arrangements are more focused and targeted with </w:t>
            </w:r>
            <w:r w:rsidR="008F6BFF">
              <w:rPr>
                <w:bCs/>
                <w:sz w:val="24"/>
                <w:szCs w:val="24"/>
              </w:rPr>
              <w:t>key</w:t>
            </w:r>
            <w:r>
              <w:rPr>
                <w:bCs/>
                <w:sz w:val="24"/>
                <w:szCs w:val="24"/>
              </w:rPr>
              <w:t xml:space="preserve"> Government officials involved. </w:t>
            </w:r>
            <w:r w:rsidR="00607945">
              <w:rPr>
                <w:bCs/>
                <w:sz w:val="24"/>
                <w:szCs w:val="24"/>
              </w:rPr>
              <w:t>DFAT will use regular review</w:t>
            </w:r>
            <w:r w:rsidR="008F6BFF">
              <w:rPr>
                <w:bCs/>
                <w:sz w:val="24"/>
                <w:szCs w:val="24"/>
              </w:rPr>
              <w:t>s</w:t>
            </w:r>
            <w:r w:rsidR="00607945">
              <w:rPr>
                <w:bCs/>
                <w:sz w:val="24"/>
                <w:szCs w:val="24"/>
              </w:rPr>
              <w:t xml:space="preserve"> </w:t>
            </w:r>
            <w:r w:rsidR="00A5252C">
              <w:rPr>
                <w:bCs/>
                <w:sz w:val="24"/>
                <w:szCs w:val="24"/>
              </w:rPr>
              <w:t xml:space="preserve">and M&amp;E information from </w:t>
            </w:r>
            <w:r w:rsidR="00607945">
              <w:rPr>
                <w:bCs/>
                <w:sz w:val="24"/>
                <w:szCs w:val="24"/>
              </w:rPr>
              <w:t xml:space="preserve">the programs to adjust governance </w:t>
            </w:r>
            <w:r w:rsidR="00A5252C">
              <w:rPr>
                <w:bCs/>
                <w:sz w:val="24"/>
                <w:szCs w:val="24"/>
              </w:rPr>
              <w:t xml:space="preserve">arrangements </w:t>
            </w:r>
            <w:r w:rsidR="008F6BFF">
              <w:rPr>
                <w:bCs/>
                <w:sz w:val="24"/>
                <w:szCs w:val="24"/>
              </w:rPr>
              <w:t xml:space="preserve">and </w:t>
            </w:r>
            <w:r w:rsidR="00A5252C">
              <w:rPr>
                <w:bCs/>
                <w:sz w:val="24"/>
                <w:szCs w:val="24"/>
              </w:rPr>
              <w:t xml:space="preserve">ensure that we take </w:t>
            </w:r>
            <w:r w:rsidR="003E2CC3">
              <w:rPr>
                <w:bCs/>
                <w:sz w:val="24"/>
                <w:szCs w:val="24"/>
              </w:rPr>
              <w:t xml:space="preserve">a </w:t>
            </w:r>
            <w:r w:rsidR="00A5252C">
              <w:rPr>
                <w:bCs/>
                <w:sz w:val="24"/>
                <w:szCs w:val="24"/>
              </w:rPr>
              <w:t xml:space="preserve">responsive </w:t>
            </w:r>
            <w:r w:rsidR="002C6DEB">
              <w:rPr>
                <w:bCs/>
                <w:sz w:val="24"/>
                <w:szCs w:val="24"/>
              </w:rPr>
              <w:t xml:space="preserve">approach </w:t>
            </w:r>
            <w:r w:rsidR="00DC1260">
              <w:rPr>
                <w:bCs/>
                <w:sz w:val="24"/>
                <w:szCs w:val="24"/>
              </w:rPr>
              <w:t>under the education forward program.</w:t>
            </w:r>
          </w:p>
        </w:tc>
      </w:tr>
      <w:tr w:rsidR="00A1351E" w:rsidTr="00D83F2A">
        <w:trPr>
          <w:trHeight w:val="4117"/>
        </w:trPr>
        <w:tc>
          <w:tcPr>
            <w:tcW w:w="3131" w:type="dxa"/>
          </w:tcPr>
          <w:p w:rsidR="00A1351E" w:rsidRPr="00195CC5" w:rsidRDefault="00A1351E" w:rsidP="005D5972">
            <w:pPr>
              <w:pStyle w:val="m-2838640035844025451msolistparagraph"/>
              <w:numPr>
                <w:ilvl w:val="0"/>
                <w:numId w:val="43"/>
              </w:numPr>
              <w:spacing w:before="120" w:after="120"/>
              <w:jc w:val="both"/>
              <w:rPr>
                <w:rFonts w:ascii="Calibri" w:hAnsi="Calibri"/>
                <w:lang w:val="en-GB"/>
              </w:rPr>
            </w:pPr>
            <w:r w:rsidRPr="00195CC5">
              <w:rPr>
                <w:rFonts w:ascii="Calibri" w:hAnsi="Calibri"/>
                <w:lang w:val="en-GB"/>
              </w:rPr>
              <w:lastRenderedPageBreak/>
              <w:t xml:space="preserve">DFAT should manage their investments to secure benefits for less advantaged or marginalised groups in line with stated policy. Where an investment (or activity) does not have an explicit social inclusion focus, the relevant partner should be required to justify that exclusion. </w:t>
            </w:r>
          </w:p>
        </w:tc>
        <w:tc>
          <w:tcPr>
            <w:tcW w:w="1797" w:type="dxa"/>
          </w:tcPr>
          <w:p w:rsidR="00A1351E" w:rsidRDefault="00DC1260" w:rsidP="008E1896">
            <w:pPr>
              <w:jc w:val="center"/>
              <w:rPr>
                <w:bCs/>
                <w:sz w:val="24"/>
                <w:szCs w:val="24"/>
              </w:rPr>
            </w:pPr>
            <w:r>
              <w:rPr>
                <w:bCs/>
                <w:sz w:val="24"/>
                <w:szCs w:val="24"/>
              </w:rPr>
              <w:t>Agree</w:t>
            </w:r>
          </w:p>
        </w:tc>
        <w:tc>
          <w:tcPr>
            <w:tcW w:w="4466" w:type="dxa"/>
          </w:tcPr>
          <w:p w:rsidR="00A1351E" w:rsidRDefault="00FE3B04" w:rsidP="00D2046A">
            <w:pPr>
              <w:jc w:val="both"/>
              <w:rPr>
                <w:bCs/>
                <w:sz w:val="24"/>
                <w:szCs w:val="24"/>
              </w:rPr>
            </w:pPr>
            <w:r>
              <w:rPr>
                <w:bCs/>
                <w:sz w:val="24"/>
                <w:szCs w:val="24"/>
              </w:rPr>
              <w:t xml:space="preserve">DFAT agrees with this recommendation.  The Basic Education team has now developed a Gender Action Plan for the forward program.  </w:t>
            </w:r>
            <w:r w:rsidR="00745C79">
              <w:rPr>
                <w:bCs/>
                <w:sz w:val="24"/>
                <w:szCs w:val="24"/>
              </w:rPr>
              <w:t xml:space="preserve">This plan is embedded into </w:t>
            </w:r>
            <w:r w:rsidR="00B13624">
              <w:rPr>
                <w:bCs/>
                <w:sz w:val="24"/>
                <w:szCs w:val="24"/>
              </w:rPr>
              <w:t>the Basic Education Sector Investment Plan</w:t>
            </w:r>
            <w:r w:rsidR="00745C79">
              <w:rPr>
                <w:bCs/>
                <w:sz w:val="24"/>
                <w:szCs w:val="24"/>
              </w:rPr>
              <w:t xml:space="preserve"> and will be used to </w:t>
            </w:r>
            <w:r w:rsidR="00BC5416">
              <w:rPr>
                <w:bCs/>
                <w:sz w:val="24"/>
                <w:szCs w:val="24"/>
              </w:rPr>
              <w:t xml:space="preserve">promote and improve gender equality agenda in the programs.  A Disability Action Plan </w:t>
            </w:r>
            <w:r w:rsidR="003E2CC3">
              <w:rPr>
                <w:bCs/>
                <w:sz w:val="24"/>
                <w:szCs w:val="24"/>
              </w:rPr>
              <w:t>is also being developed.</w:t>
            </w:r>
          </w:p>
        </w:tc>
      </w:tr>
    </w:tbl>
    <w:p w:rsidR="0046257B" w:rsidRPr="00D86C59" w:rsidRDefault="0046257B" w:rsidP="00D2046A">
      <w:pPr>
        <w:jc w:val="both"/>
        <w:rPr>
          <w:rFonts w:cs="Times New Roman"/>
          <w:sz w:val="24"/>
          <w:szCs w:val="24"/>
        </w:rPr>
      </w:pPr>
    </w:p>
    <w:sectPr w:rsidR="0046257B" w:rsidRPr="00D86C59" w:rsidSect="00F909EE">
      <w:headerReference w:type="even" r:id="rId8"/>
      <w:headerReference w:type="default" r:id="rId9"/>
      <w:footerReference w:type="even" r:id="rId10"/>
      <w:footerReference w:type="default" r:id="rId11"/>
      <w:headerReference w:type="first" r:id="rId12"/>
      <w:footerReference w:type="first" r:id="rId13"/>
      <w:pgSz w:w="11900" w:h="16840"/>
      <w:pgMar w:top="1418" w:right="1361" w:bottom="1135"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FB" w:rsidRDefault="004D1FFB" w:rsidP="00A629FB">
      <w:pPr>
        <w:spacing w:after="0"/>
      </w:pPr>
      <w:r>
        <w:separator/>
      </w:r>
    </w:p>
  </w:endnote>
  <w:endnote w:type="continuationSeparator" w:id="0">
    <w:p w:rsidR="004D1FFB" w:rsidRDefault="004D1FFB" w:rsidP="00A62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Theme Heading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38" w:rsidRDefault="0090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42" w:rsidRDefault="002F4242">
    <w:pPr>
      <w:pStyle w:val="Footer"/>
    </w:pP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906E3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38" w:rsidRDefault="0090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FB" w:rsidRDefault="004D1FFB" w:rsidP="00A629FB">
      <w:pPr>
        <w:spacing w:after="0"/>
      </w:pPr>
      <w:r>
        <w:separator/>
      </w:r>
    </w:p>
  </w:footnote>
  <w:footnote w:type="continuationSeparator" w:id="0">
    <w:p w:rsidR="004D1FFB" w:rsidRDefault="004D1FFB" w:rsidP="00A62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38" w:rsidRDefault="0090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38" w:rsidRDefault="00906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38" w:rsidRDefault="0090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4A7"/>
    <w:multiLevelType w:val="hybridMultilevel"/>
    <w:tmpl w:val="221A96D2"/>
    <w:lvl w:ilvl="0" w:tplc="05445F5E">
      <w:start w:val="1"/>
      <w:numFmt w:val="decimal"/>
      <w:lvlText w:val="%1."/>
      <w:lvlJc w:val="left"/>
      <w:pPr>
        <w:ind w:left="720" w:hanging="360"/>
      </w:pPr>
      <w:rPr>
        <w:rFonts w:asciiTheme="majorHAnsi" w:hAnsiTheme="majorHAnsi" w:hint="default"/>
        <w:b w:val="0"/>
        <w:bCs w:val="0"/>
        <w:i w:val="0"/>
        <w:i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46F20"/>
    <w:multiLevelType w:val="hybridMultilevel"/>
    <w:tmpl w:val="FF9C9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74B2C"/>
    <w:multiLevelType w:val="multilevel"/>
    <w:tmpl w:val="0C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6C7D7B"/>
    <w:multiLevelType w:val="hybridMultilevel"/>
    <w:tmpl w:val="3528A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A2336"/>
    <w:multiLevelType w:val="hybridMultilevel"/>
    <w:tmpl w:val="29E6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80DDD"/>
    <w:multiLevelType w:val="hybridMultilevel"/>
    <w:tmpl w:val="FC70EAE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82E558A"/>
    <w:multiLevelType w:val="hybridMultilevel"/>
    <w:tmpl w:val="1C322C00"/>
    <w:lvl w:ilvl="0" w:tplc="97FAD3CE">
      <w:start w:val="1"/>
      <w:numFmt w:val="decimal"/>
      <w:lvlText w:val="%1."/>
      <w:lvlJc w:val="left"/>
      <w:pPr>
        <w:ind w:left="360" w:hanging="360"/>
      </w:pPr>
      <w:rPr>
        <w:rFonts w:ascii="Calibri (Theme Headings)" w:hAnsi="Calibri (Theme Heading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44BA1"/>
    <w:multiLevelType w:val="hybridMultilevel"/>
    <w:tmpl w:val="293C4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2A64AB"/>
    <w:multiLevelType w:val="hybridMultilevel"/>
    <w:tmpl w:val="B5562D16"/>
    <w:lvl w:ilvl="0" w:tplc="E588278E">
      <w:start w:val="1"/>
      <w:numFmt w:val="low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F2E38"/>
    <w:multiLevelType w:val="hybridMultilevel"/>
    <w:tmpl w:val="8764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D4677"/>
    <w:multiLevelType w:val="hybridMultilevel"/>
    <w:tmpl w:val="EBF4A414"/>
    <w:lvl w:ilvl="0" w:tplc="E588278E">
      <w:start w:val="1"/>
      <w:numFmt w:val="low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4116B"/>
    <w:multiLevelType w:val="hybridMultilevel"/>
    <w:tmpl w:val="C36C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318DD"/>
    <w:multiLevelType w:val="hybridMultilevel"/>
    <w:tmpl w:val="9DFE8812"/>
    <w:lvl w:ilvl="0" w:tplc="7BF864BA">
      <w:start w:val="1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7A1D9D"/>
    <w:multiLevelType w:val="hybridMultilevel"/>
    <w:tmpl w:val="733C1F88"/>
    <w:lvl w:ilvl="0" w:tplc="E588278E">
      <w:start w:val="1"/>
      <w:numFmt w:val="low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01EBA"/>
    <w:multiLevelType w:val="hybridMultilevel"/>
    <w:tmpl w:val="4360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10947"/>
    <w:multiLevelType w:val="hybridMultilevel"/>
    <w:tmpl w:val="A0FC834E"/>
    <w:lvl w:ilvl="0" w:tplc="C616B274">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025AD8"/>
    <w:multiLevelType w:val="hybridMultilevel"/>
    <w:tmpl w:val="9B30ECA8"/>
    <w:lvl w:ilvl="0" w:tplc="A6BE44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8B6CFB"/>
    <w:multiLevelType w:val="hybridMultilevel"/>
    <w:tmpl w:val="6B783928"/>
    <w:lvl w:ilvl="0" w:tplc="9488B88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130724"/>
    <w:multiLevelType w:val="hybridMultilevel"/>
    <w:tmpl w:val="BA886340"/>
    <w:lvl w:ilvl="0" w:tplc="E588278E">
      <w:start w:val="1"/>
      <w:numFmt w:val="low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50585"/>
    <w:multiLevelType w:val="hybridMultilevel"/>
    <w:tmpl w:val="3FDA23B0"/>
    <w:lvl w:ilvl="0" w:tplc="E07CB28C">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0D3014"/>
    <w:multiLevelType w:val="hybridMultilevel"/>
    <w:tmpl w:val="34D66AA6"/>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9F7CD8"/>
    <w:multiLevelType w:val="hybridMultilevel"/>
    <w:tmpl w:val="92AC32CE"/>
    <w:lvl w:ilvl="0" w:tplc="B5F4E8FC">
      <w:start w:val="1"/>
      <w:numFmt w:val="decimal"/>
      <w:lvlText w:val="%1."/>
      <w:lvlJc w:val="left"/>
      <w:pPr>
        <w:ind w:left="423" w:hanging="42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2" w15:restartNumberingAfterBreak="0">
    <w:nsid w:val="524E2F03"/>
    <w:multiLevelType w:val="hybridMultilevel"/>
    <w:tmpl w:val="73F6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436740"/>
    <w:multiLevelType w:val="hybridMultilevel"/>
    <w:tmpl w:val="B60EA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C948D3"/>
    <w:multiLevelType w:val="hybridMultilevel"/>
    <w:tmpl w:val="F424D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AE1CB7"/>
    <w:multiLevelType w:val="hybridMultilevel"/>
    <w:tmpl w:val="8468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AC6C7F"/>
    <w:multiLevelType w:val="hybridMultilevel"/>
    <w:tmpl w:val="3C72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C09A3"/>
    <w:multiLevelType w:val="hybridMultilevel"/>
    <w:tmpl w:val="B224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23C12"/>
    <w:multiLevelType w:val="hybridMultilevel"/>
    <w:tmpl w:val="5A9CA89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3A32EC2"/>
    <w:multiLevelType w:val="hybridMultilevel"/>
    <w:tmpl w:val="E71E0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CD7AB9"/>
    <w:multiLevelType w:val="hybridMultilevel"/>
    <w:tmpl w:val="9F0AA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0A2450"/>
    <w:multiLevelType w:val="hybridMultilevel"/>
    <w:tmpl w:val="B5562D16"/>
    <w:lvl w:ilvl="0" w:tplc="E588278E">
      <w:start w:val="1"/>
      <w:numFmt w:val="low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5528F"/>
    <w:multiLevelType w:val="hybridMultilevel"/>
    <w:tmpl w:val="DF78A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6529E"/>
    <w:multiLevelType w:val="hybridMultilevel"/>
    <w:tmpl w:val="88F22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7A530D"/>
    <w:multiLevelType w:val="hybridMultilevel"/>
    <w:tmpl w:val="B9E06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C9168B"/>
    <w:multiLevelType w:val="hybridMultilevel"/>
    <w:tmpl w:val="1FA2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D50C50"/>
    <w:multiLevelType w:val="hybridMultilevel"/>
    <w:tmpl w:val="1DFCA4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69DB3E45"/>
    <w:multiLevelType w:val="hybridMultilevel"/>
    <w:tmpl w:val="2892DF42"/>
    <w:lvl w:ilvl="0" w:tplc="6B9800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32837"/>
    <w:multiLevelType w:val="hybridMultilevel"/>
    <w:tmpl w:val="3A0C4C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582ADE"/>
    <w:multiLevelType w:val="hybridMultilevel"/>
    <w:tmpl w:val="A8AEC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num>
  <w:num w:numId="2">
    <w:abstractNumId w:val="6"/>
  </w:num>
  <w:num w:numId="3">
    <w:abstractNumId w:val="6"/>
  </w:num>
  <w:num w:numId="4">
    <w:abstractNumId w:val="6"/>
  </w:num>
  <w:num w:numId="5">
    <w:abstractNumId w:val="6"/>
  </w:num>
  <w:num w:numId="6">
    <w:abstractNumId w:val="11"/>
  </w:num>
  <w:num w:numId="7">
    <w:abstractNumId w:val="27"/>
  </w:num>
  <w:num w:numId="8">
    <w:abstractNumId w:val="29"/>
  </w:num>
  <w:num w:numId="9">
    <w:abstractNumId w:val="24"/>
  </w:num>
  <w:num w:numId="10">
    <w:abstractNumId w:val="34"/>
  </w:num>
  <w:num w:numId="11">
    <w:abstractNumId w:val="3"/>
  </w:num>
  <w:num w:numId="12">
    <w:abstractNumId w:val="30"/>
  </w:num>
  <w:num w:numId="13">
    <w:abstractNumId w:val="1"/>
  </w:num>
  <w:num w:numId="14">
    <w:abstractNumId w:val="33"/>
  </w:num>
  <w:num w:numId="15">
    <w:abstractNumId w:val="26"/>
  </w:num>
  <w:num w:numId="16">
    <w:abstractNumId w:val="9"/>
  </w:num>
  <w:num w:numId="17">
    <w:abstractNumId w:val="35"/>
  </w:num>
  <w:num w:numId="18">
    <w:abstractNumId w:val="20"/>
  </w:num>
  <w:num w:numId="19">
    <w:abstractNumId w:val="18"/>
  </w:num>
  <w:num w:numId="20">
    <w:abstractNumId w:val="31"/>
  </w:num>
  <w:num w:numId="21">
    <w:abstractNumId w:val="10"/>
  </w:num>
  <w:num w:numId="22">
    <w:abstractNumId w:val="13"/>
  </w:num>
  <w:num w:numId="23">
    <w:abstractNumId w:val="8"/>
  </w:num>
  <w:num w:numId="24">
    <w:abstractNumId w:val="16"/>
  </w:num>
  <w:num w:numId="25">
    <w:abstractNumId w:val="39"/>
  </w:num>
  <w:num w:numId="26">
    <w:abstractNumId w:val="25"/>
  </w:num>
  <w:num w:numId="27">
    <w:abstractNumId w:val="32"/>
  </w:num>
  <w:num w:numId="28">
    <w:abstractNumId w:val="23"/>
  </w:num>
  <w:num w:numId="29">
    <w:abstractNumId w:val="38"/>
  </w:num>
  <w:num w:numId="30">
    <w:abstractNumId w:val="17"/>
  </w:num>
  <w:num w:numId="31">
    <w:abstractNumId w:val="19"/>
  </w:num>
  <w:num w:numId="32">
    <w:abstractNumId w:val="12"/>
  </w:num>
  <w:num w:numId="33">
    <w:abstractNumId w:val="15"/>
  </w:num>
  <w:num w:numId="34">
    <w:abstractNumId w:val="0"/>
  </w:num>
  <w:num w:numId="35">
    <w:abstractNumId w:val="4"/>
  </w:num>
  <w:num w:numId="36">
    <w:abstractNumId w:val="14"/>
  </w:num>
  <w:num w:numId="37">
    <w:abstractNumId w:val="22"/>
  </w:num>
  <w:num w:numId="38">
    <w:abstractNumId w:val="2"/>
  </w:num>
  <w:num w:numId="39">
    <w:abstractNumId w:val="5"/>
  </w:num>
  <w:num w:numId="40">
    <w:abstractNumId w:val="28"/>
  </w:num>
  <w:num w:numId="41">
    <w:abstractNumId w:val="36"/>
  </w:num>
  <w:num w:numId="42">
    <w:abstractNumId w:val="2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08"/>
    <w:rsid w:val="000210C3"/>
    <w:rsid w:val="000246B9"/>
    <w:rsid w:val="00027993"/>
    <w:rsid w:val="000311A1"/>
    <w:rsid w:val="00034E74"/>
    <w:rsid w:val="000373E6"/>
    <w:rsid w:val="000416B4"/>
    <w:rsid w:val="000515C5"/>
    <w:rsid w:val="00053D70"/>
    <w:rsid w:val="00060193"/>
    <w:rsid w:val="00070220"/>
    <w:rsid w:val="00073E7D"/>
    <w:rsid w:val="000757DF"/>
    <w:rsid w:val="000C2FEF"/>
    <w:rsid w:val="000D0F34"/>
    <w:rsid w:val="000D4C52"/>
    <w:rsid w:val="000D7789"/>
    <w:rsid w:val="000E2BA5"/>
    <w:rsid w:val="000E48D5"/>
    <w:rsid w:val="000E7BA8"/>
    <w:rsid w:val="000F075D"/>
    <w:rsid w:val="000F3387"/>
    <w:rsid w:val="000F710F"/>
    <w:rsid w:val="00101D22"/>
    <w:rsid w:val="0010434C"/>
    <w:rsid w:val="0010743D"/>
    <w:rsid w:val="00110F8B"/>
    <w:rsid w:val="001113B3"/>
    <w:rsid w:val="00111633"/>
    <w:rsid w:val="00120D93"/>
    <w:rsid w:val="00123FD3"/>
    <w:rsid w:val="00133040"/>
    <w:rsid w:val="00134023"/>
    <w:rsid w:val="00141CDF"/>
    <w:rsid w:val="00152E53"/>
    <w:rsid w:val="00156B28"/>
    <w:rsid w:val="00161E37"/>
    <w:rsid w:val="00172865"/>
    <w:rsid w:val="00184514"/>
    <w:rsid w:val="0019612B"/>
    <w:rsid w:val="001A6886"/>
    <w:rsid w:val="001B3FCE"/>
    <w:rsid w:val="001D0258"/>
    <w:rsid w:val="001D0C18"/>
    <w:rsid w:val="001D4A61"/>
    <w:rsid w:val="001D72B2"/>
    <w:rsid w:val="001D7C7F"/>
    <w:rsid w:val="001E3EA0"/>
    <w:rsid w:val="001F1D5D"/>
    <w:rsid w:val="001F3618"/>
    <w:rsid w:val="00206FF3"/>
    <w:rsid w:val="002132A9"/>
    <w:rsid w:val="00224D0A"/>
    <w:rsid w:val="00227A47"/>
    <w:rsid w:val="002347C5"/>
    <w:rsid w:val="00250489"/>
    <w:rsid w:val="0025450F"/>
    <w:rsid w:val="0026027B"/>
    <w:rsid w:val="00267A17"/>
    <w:rsid w:val="002730EB"/>
    <w:rsid w:val="0028155A"/>
    <w:rsid w:val="00284B8B"/>
    <w:rsid w:val="00290C0F"/>
    <w:rsid w:val="00293541"/>
    <w:rsid w:val="00297AD7"/>
    <w:rsid w:val="002A3C6E"/>
    <w:rsid w:val="002A5354"/>
    <w:rsid w:val="002A5AA0"/>
    <w:rsid w:val="002C6DEB"/>
    <w:rsid w:val="002D03F4"/>
    <w:rsid w:val="002D372B"/>
    <w:rsid w:val="002E0CB1"/>
    <w:rsid w:val="002E161F"/>
    <w:rsid w:val="002E29FA"/>
    <w:rsid w:val="002E43B9"/>
    <w:rsid w:val="002E5E34"/>
    <w:rsid w:val="002F319E"/>
    <w:rsid w:val="002F4242"/>
    <w:rsid w:val="00301A2D"/>
    <w:rsid w:val="00302328"/>
    <w:rsid w:val="00302FAC"/>
    <w:rsid w:val="00310ACF"/>
    <w:rsid w:val="00315C17"/>
    <w:rsid w:val="00334C65"/>
    <w:rsid w:val="00344409"/>
    <w:rsid w:val="00345938"/>
    <w:rsid w:val="00346A93"/>
    <w:rsid w:val="0036073E"/>
    <w:rsid w:val="00363F12"/>
    <w:rsid w:val="00397A35"/>
    <w:rsid w:val="003A022A"/>
    <w:rsid w:val="003A12A4"/>
    <w:rsid w:val="003A18B4"/>
    <w:rsid w:val="003A3330"/>
    <w:rsid w:val="003A523E"/>
    <w:rsid w:val="003C38D4"/>
    <w:rsid w:val="003C46A0"/>
    <w:rsid w:val="003C6245"/>
    <w:rsid w:val="003D7297"/>
    <w:rsid w:val="003D73B8"/>
    <w:rsid w:val="003D7872"/>
    <w:rsid w:val="003E2CC3"/>
    <w:rsid w:val="003E6292"/>
    <w:rsid w:val="003F3A13"/>
    <w:rsid w:val="003F4680"/>
    <w:rsid w:val="003F4A17"/>
    <w:rsid w:val="00403A12"/>
    <w:rsid w:val="00406AA9"/>
    <w:rsid w:val="00426EB1"/>
    <w:rsid w:val="00430F1F"/>
    <w:rsid w:val="00450211"/>
    <w:rsid w:val="0046257B"/>
    <w:rsid w:val="00470B73"/>
    <w:rsid w:val="00471023"/>
    <w:rsid w:val="004711CB"/>
    <w:rsid w:val="00495C0C"/>
    <w:rsid w:val="004A3A08"/>
    <w:rsid w:val="004B422E"/>
    <w:rsid w:val="004C1551"/>
    <w:rsid w:val="004D1FFB"/>
    <w:rsid w:val="004D4694"/>
    <w:rsid w:val="004D59A3"/>
    <w:rsid w:val="004D708D"/>
    <w:rsid w:val="004D7477"/>
    <w:rsid w:val="004E1371"/>
    <w:rsid w:val="004E2ED2"/>
    <w:rsid w:val="004E693C"/>
    <w:rsid w:val="00501162"/>
    <w:rsid w:val="00502775"/>
    <w:rsid w:val="0050588E"/>
    <w:rsid w:val="00510D75"/>
    <w:rsid w:val="00515F9F"/>
    <w:rsid w:val="00524354"/>
    <w:rsid w:val="00524BFB"/>
    <w:rsid w:val="00525011"/>
    <w:rsid w:val="0052652C"/>
    <w:rsid w:val="005275E2"/>
    <w:rsid w:val="00530FB9"/>
    <w:rsid w:val="00534031"/>
    <w:rsid w:val="00535EA7"/>
    <w:rsid w:val="00536147"/>
    <w:rsid w:val="00537022"/>
    <w:rsid w:val="0055603F"/>
    <w:rsid w:val="005561BA"/>
    <w:rsid w:val="00556A1E"/>
    <w:rsid w:val="0056270E"/>
    <w:rsid w:val="00563B36"/>
    <w:rsid w:val="00566F03"/>
    <w:rsid w:val="00584B1F"/>
    <w:rsid w:val="00594750"/>
    <w:rsid w:val="005A2F53"/>
    <w:rsid w:val="005A3420"/>
    <w:rsid w:val="005B119B"/>
    <w:rsid w:val="005B2220"/>
    <w:rsid w:val="005B4FC5"/>
    <w:rsid w:val="005B70A2"/>
    <w:rsid w:val="005C4325"/>
    <w:rsid w:val="005D5972"/>
    <w:rsid w:val="005E4873"/>
    <w:rsid w:val="005F7C44"/>
    <w:rsid w:val="00600367"/>
    <w:rsid w:val="006033FF"/>
    <w:rsid w:val="0060415A"/>
    <w:rsid w:val="00605099"/>
    <w:rsid w:val="00607945"/>
    <w:rsid w:val="0061365F"/>
    <w:rsid w:val="0061653B"/>
    <w:rsid w:val="00622A6C"/>
    <w:rsid w:val="0062788E"/>
    <w:rsid w:val="00641867"/>
    <w:rsid w:val="00650BCA"/>
    <w:rsid w:val="00652C20"/>
    <w:rsid w:val="00681FBD"/>
    <w:rsid w:val="006912A0"/>
    <w:rsid w:val="00691E7A"/>
    <w:rsid w:val="00692174"/>
    <w:rsid w:val="006926D6"/>
    <w:rsid w:val="00693658"/>
    <w:rsid w:val="006A6DB0"/>
    <w:rsid w:val="006B3B29"/>
    <w:rsid w:val="006C230F"/>
    <w:rsid w:val="006C4817"/>
    <w:rsid w:val="006C6F2D"/>
    <w:rsid w:val="006D14BC"/>
    <w:rsid w:val="006D21B7"/>
    <w:rsid w:val="006D5085"/>
    <w:rsid w:val="006D677C"/>
    <w:rsid w:val="006D69CF"/>
    <w:rsid w:val="006E2659"/>
    <w:rsid w:val="006E52EB"/>
    <w:rsid w:val="006E6BAE"/>
    <w:rsid w:val="00720B9B"/>
    <w:rsid w:val="00722FCC"/>
    <w:rsid w:val="00734265"/>
    <w:rsid w:val="00743FC3"/>
    <w:rsid w:val="007449EC"/>
    <w:rsid w:val="00745C79"/>
    <w:rsid w:val="00752815"/>
    <w:rsid w:val="00753046"/>
    <w:rsid w:val="00765E8D"/>
    <w:rsid w:val="00767CA6"/>
    <w:rsid w:val="00780E36"/>
    <w:rsid w:val="00795A65"/>
    <w:rsid w:val="007A53EE"/>
    <w:rsid w:val="007C1580"/>
    <w:rsid w:val="007C22F8"/>
    <w:rsid w:val="007D6E02"/>
    <w:rsid w:val="007E22F2"/>
    <w:rsid w:val="007E38F8"/>
    <w:rsid w:val="007E4FB7"/>
    <w:rsid w:val="007E58A1"/>
    <w:rsid w:val="007E652E"/>
    <w:rsid w:val="007F0D82"/>
    <w:rsid w:val="007F1631"/>
    <w:rsid w:val="00801BDA"/>
    <w:rsid w:val="00802324"/>
    <w:rsid w:val="008110D7"/>
    <w:rsid w:val="00817CE8"/>
    <w:rsid w:val="00820A2F"/>
    <w:rsid w:val="00823D1F"/>
    <w:rsid w:val="00835A14"/>
    <w:rsid w:val="00844F11"/>
    <w:rsid w:val="00850C70"/>
    <w:rsid w:val="00881121"/>
    <w:rsid w:val="008859C1"/>
    <w:rsid w:val="00886C56"/>
    <w:rsid w:val="00892296"/>
    <w:rsid w:val="00895120"/>
    <w:rsid w:val="008A0686"/>
    <w:rsid w:val="008B201E"/>
    <w:rsid w:val="008D077F"/>
    <w:rsid w:val="008D5FD2"/>
    <w:rsid w:val="008E1896"/>
    <w:rsid w:val="008E6D5B"/>
    <w:rsid w:val="008F66E4"/>
    <w:rsid w:val="008F6BFF"/>
    <w:rsid w:val="00905CC0"/>
    <w:rsid w:val="00906E38"/>
    <w:rsid w:val="00907659"/>
    <w:rsid w:val="00911325"/>
    <w:rsid w:val="009141E6"/>
    <w:rsid w:val="00927521"/>
    <w:rsid w:val="00927E3D"/>
    <w:rsid w:val="00935924"/>
    <w:rsid w:val="00935CAA"/>
    <w:rsid w:val="009460D5"/>
    <w:rsid w:val="00947C4F"/>
    <w:rsid w:val="00953FB9"/>
    <w:rsid w:val="00956761"/>
    <w:rsid w:val="00960B05"/>
    <w:rsid w:val="0096175F"/>
    <w:rsid w:val="0096554C"/>
    <w:rsid w:val="00967E23"/>
    <w:rsid w:val="00972967"/>
    <w:rsid w:val="009739B0"/>
    <w:rsid w:val="009A1804"/>
    <w:rsid w:val="009A19A4"/>
    <w:rsid w:val="009C517D"/>
    <w:rsid w:val="009D53EC"/>
    <w:rsid w:val="009E6ED0"/>
    <w:rsid w:val="00A009E1"/>
    <w:rsid w:val="00A11EE9"/>
    <w:rsid w:val="00A1351E"/>
    <w:rsid w:val="00A17FCD"/>
    <w:rsid w:val="00A20E4B"/>
    <w:rsid w:val="00A21D0A"/>
    <w:rsid w:val="00A30E5B"/>
    <w:rsid w:val="00A338CC"/>
    <w:rsid w:val="00A348FD"/>
    <w:rsid w:val="00A3685E"/>
    <w:rsid w:val="00A37095"/>
    <w:rsid w:val="00A5252C"/>
    <w:rsid w:val="00A54282"/>
    <w:rsid w:val="00A629FB"/>
    <w:rsid w:val="00A7170F"/>
    <w:rsid w:val="00A73237"/>
    <w:rsid w:val="00A7328D"/>
    <w:rsid w:val="00A748EA"/>
    <w:rsid w:val="00A76A52"/>
    <w:rsid w:val="00A83ED1"/>
    <w:rsid w:val="00A86A1F"/>
    <w:rsid w:val="00A926DF"/>
    <w:rsid w:val="00A97D8F"/>
    <w:rsid w:val="00AA0F97"/>
    <w:rsid w:val="00AA5A34"/>
    <w:rsid w:val="00AD1003"/>
    <w:rsid w:val="00AD691C"/>
    <w:rsid w:val="00AE0E06"/>
    <w:rsid w:val="00AE2C8F"/>
    <w:rsid w:val="00AF2B1D"/>
    <w:rsid w:val="00AF3F37"/>
    <w:rsid w:val="00AF5B4C"/>
    <w:rsid w:val="00B00531"/>
    <w:rsid w:val="00B0200D"/>
    <w:rsid w:val="00B04AC1"/>
    <w:rsid w:val="00B13624"/>
    <w:rsid w:val="00B17AF1"/>
    <w:rsid w:val="00B74FD9"/>
    <w:rsid w:val="00B94D7B"/>
    <w:rsid w:val="00BA28D4"/>
    <w:rsid w:val="00BC46B7"/>
    <w:rsid w:val="00BC4790"/>
    <w:rsid w:val="00BC5416"/>
    <w:rsid w:val="00BC6530"/>
    <w:rsid w:val="00BD05E3"/>
    <w:rsid w:val="00BD2988"/>
    <w:rsid w:val="00BD6216"/>
    <w:rsid w:val="00BD74C1"/>
    <w:rsid w:val="00BE2175"/>
    <w:rsid w:val="00BE3562"/>
    <w:rsid w:val="00BE55B7"/>
    <w:rsid w:val="00BF1123"/>
    <w:rsid w:val="00BF3EF4"/>
    <w:rsid w:val="00C1044D"/>
    <w:rsid w:val="00C30264"/>
    <w:rsid w:val="00C30428"/>
    <w:rsid w:val="00C328DB"/>
    <w:rsid w:val="00C43049"/>
    <w:rsid w:val="00C552D2"/>
    <w:rsid w:val="00C57475"/>
    <w:rsid w:val="00C64018"/>
    <w:rsid w:val="00C74E89"/>
    <w:rsid w:val="00C75C76"/>
    <w:rsid w:val="00C82702"/>
    <w:rsid w:val="00CA2DCC"/>
    <w:rsid w:val="00CB77A9"/>
    <w:rsid w:val="00CC1E19"/>
    <w:rsid w:val="00CD4AA2"/>
    <w:rsid w:val="00CF6C62"/>
    <w:rsid w:val="00CF7EA7"/>
    <w:rsid w:val="00D06B92"/>
    <w:rsid w:val="00D0713A"/>
    <w:rsid w:val="00D11EC4"/>
    <w:rsid w:val="00D2046A"/>
    <w:rsid w:val="00D20C8D"/>
    <w:rsid w:val="00D31BED"/>
    <w:rsid w:val="00D328DA"/>
    <w:rsid w:val="00D41031"/>
    <w:rsid w:val="00D42BBB"/>
    <w:rsid w:val="00D76C4F"/>
    <w:rsid w:val="00D80A78"/>
    <w:rsid w:val="00D83F2A"/>
    <w:rsid w:val="00D85883"/>
    <w:rsid w:val="00D86091"/>
    <w:rsid w:val="00D86C59"/>
    <w:rsid w:val="00D875D2"/>
    <w:rsid w:val="00D87A92"/>
    <w:rsid w:val="00D9073E"/>
    <w:rsid w:val="00D95524"/>
    <w:rsid w:val="00D9736D"/>
    <w:rsid w:val="00DB0770"/>
    <w:rsid w:val="00DB394B"/>
    <w:rsid w:val="00DB424D"/>
    <w:rsid w:val="00DB6725"/>
    <w:rsid w:val="00DB76BF"/>
    <w:rsid w:val="00DC1260"/>
    <w:rsid w:val="00DC37DA"/>
    <w:rsid w:val="00DD42C1"/>
    <w:rsid w:val="00DF1C20"/>
    <w:rsid w:val="00DF64E4"/>
    <w:rsid w:val="00E01367"/>
    <w:rsid w:val="00E048C5"/>
    <w:rsid w:val="00E04DE3"/>
    <w:rsid w:val="00E118D6"/>
    <w:rsid w:val="00E13847"/>
    <w:rsid w:val="00E13B73"/>
    <w:rsid w:val="00E172CE"/>
    <w:rsid w:val="00E30704"/>
    <w:rsid w:val="00E375C5"/>
    <w:rsid w:val="00E43E78"/>
    <w:rsid w:val="00E64D9C"/>
    <w:rsid w:val="00E743B4"/>
    <w:rsid w:val="00E8796A"/>
    <w:rsid w:val="00E87B0E"/>
    <w:rsid w:val="00E92F2C"/>
    <w:rsid w:val="00E96811"/>
    <w:rsid w:val="00EC790C"/>
    <w:rsid w:val="00ED016F"/>
    <w:rsid w:val="00EF2EAD"/>
    <w:rsid w:val="00F01A32"/>
    <w:rsid w:val="00F21748"/>
    <w:rsid w:val="00F22E91"/>
    <w:rsid w:val="00F45D32"/>
    <w:rsid w:val="00F5029F"/>
    <w:rsid w:val="00F5089B"/>
    <w:rsid w:val="00F51140"/>
    <w:rsid w:val="00F63565"/>
    <w:rsid w:val="00F67206"/>
    <w:rsid w:val="00F67A4A"/>
    <w:rsid w:val="00F869B7"/>
    <w:rsid w:val="00F909EE"/>
    <w:rsid w:val="00FA15BA"/>
    <w:rsid w:val="00FA3DC7"/>
    <w:rsid w:val="00FA7D82"/>
    <w:rsid w:val="00FB2510"/>
    <w:rsid w:val="00FC20E7"/>
    <w:rsid w:val="00FC495F"/>
    <w:rsid w:val="00FE3B04"/>
    <w:rsid w:val="00FF08AA"/>
    <w:rsid w:val="00FF1832"/>
    <w:rsid w:val="00FF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78"/>
    <w:pPr>
      <w:spacing w:after="200"/>
    </w:pPr>
    <w:rPr>
      <w:rFonts w:asciiTheme="majorHAnsi" w:eastAsiaTheme="minorHAnsi" w:hAnsiTheme="majorHAnsi"/>
      <w:sz w:val="22"/>
      <w:szCs w:val="22"/>
      <w:lang w:val="en-AU" w:eastAsia="en-US"/>
    </w:rPr>
  </w:style>
  <w:style w:type="paragraph" w:styleId="Heading1">
    <w:name w:val="heading 1"/>
    <w:basedOn w:val="Normal"/>
    <w:next w:val="Normal"/>
    <w:link w:val="Heading1Char"/>
    <w:uiPriority w:val="9"/>
    <w:qFormat/>
    <w:rsid w:val="00911325"/>
    <w:pPr>
      <w:keepNext/>
      <w:spacing w:before="120" w:after="120"/>
      <w:ind w:left="432" w:hanging="432"/>
      <w:outlineLvl w:val="0"/>
    </w:pPr>
    <w:rPr>
      <w:rFonts w:ascii="Calibri" w:eastAsia="Times New Roman" w:hAnsi="Calibri" w:cs="Calibri"/>
      <w:b/>
      <w:bCs/>
      <w:color w:val="003880"/>
      <w:kern w:val="32"/>
      <w:sz w:val="28"/>
      <w:szCs w:val="28"/>
    </w:rPr>
  </w:style>
  <w:style w:type="paragraph" w:styleId="Heading2">
    <w:name w:val="heading 2"/>
    <w:basedOn w:val="Normal"/>
    <w:next w:val="Normal"/>
    <w:link w:val="Heading2Char"/>
    <w:qFormat/>
    <w:rsid w:val="00911325"/>
    <w:pPr>
      <w:keepNext/>
      <w:spacing w:before="120" w:after="120"/>
      <w:ind w:left="860" w:hanging="576"/>
      <w:outlineLvl w:val="1"/>
    </w:pPr>
    <w:rPr>
      <w:rFonts w:ascii="Calibri" w:eastAsia="Times New Roman" w:hAnsi="Calibri" w:cs="Calibri"/>
      <w:b/>
      <w:bCs/>
      <w:iCs/>
      <w:color w:val="003880"/>
      <w:sz w:val="24"/>
      <w:szCs w:val="24"/>
    </w:rPr>
  </w:style>
  <w:style w:type="paragraph" w:styleId="Heading3">
    <w:name w:val="heading 3"/>
    <w:basedOn w:val="Normal"/>
    <w:next w:val="Normal"/>
    <w:link w:val="Heading3Char"/>
    <w:unhideWhenUsed/>
    <w:qFormat/>
    <w:rsid w:val="001A6886"/>
    <w:pPr>
      <w:keepNext/>
      <w:keepLines/>
      <w:spacing w:before="200" w:after="120"/>
      <w:outlineLvl w:val="2"/>
    </w:pPr>
    <w:rPr>
      <w:rFonts w:ascii="Calibri" w:eastAsiaTheme="majorEastAsia" w:hAnsi="Calibri" w:cstheme="majorBidi"/>
      <w:b/>
      <w:bCs/>
      <w:color w:val="1F497D" w:themeColor="text2"/>
      <w:sz w:val="24"/>
      <w:szCs w:val="24"/>
      <w:u w:color="1F497D" w:themeColor="text2"/>
      <w:lang w:val="en-US"/>
    </w:rPr>
  </w:style>
  <w:style w:type="paragraph" w:styleId="Heading4">
    <w:name w:val="heading 4"/>
    <w:basedOn w:val="Normal"/>
    <w:next w:val="Normal"/>
    <w:link w:val="Heading4Char"/>
    <w:uiPriority w:val="9"/>
    <w:semiHidden/>
    <w:unhideWhenUsed/>
    <w:qFormat/>
    <w:rsid w:val="00911325"/>
    <w:pPr>
      <w:keepNext/>
      <w:keepLines/>
      <w:spacing w:before="200" w:after="0" w:line="259" w:lineRule="auto"/>
      <w:ind w:left="864" w:hanging="864"/>
      <w:outlineLvl w:val="3"/>
    </w:pPr>
    <w:rPr>
      <w:rFonts w:ascii="Calibri Light" w:eastAsia="Times New Roman" w:hAnsi="Calibri Light" w:cs="Times New Roman"/>
      <w:b/>
      <w:bCs/>
      <w:i/>
      <w:iCs/>
      <w:color w:val="5B9BD5"/>
      <w:lang w:val="en-GB"/>
    </w:rPr>
  </w:style>
  <w:style w:type="paragraph" w:styleId="Heading5">
    <w:name w:val="heading 5"/>
    <w:basedOn w:val="Normal"/>
    <w:next w:val="Normal"/>
    <w:link w:val="Heading5Char"/>
    <w:uiPriority w:val="9"/>
    <w:semiHidden/>
    <w:unhideWhenUsed/>
    <w:qFormat/>
    <w:rsid w:val="00911325"/>
    <w:pPr>
      <w:keepNext/>
      <w:keepLines/>
      <w:spacing w:before="200" w:after="0" w:line="259" w:lineRule="auto"/>
      <w:ind w:left="1008" w:hanging="1008"/>
      <w:outlineLvl w:val="4"/>
    </w:pPr>
    <w:rPr>
      <w:rFonts w:ascii="Calibri Light" w:eastAsia="Times New Roman" w:hAnsi="Calibri Light" w:cs="Times New Roman"/>
      <w:color w:val="1F4D78"/>
      <w:lang w:val="en-GB"/>
    </w:rPr>
  </w:style>
  <w:style w:type="paragraph" w:styleId="Heading6">
    <w:name w:val="heading 6"/>
    <w:basedOn w:val="Normal"/>
    <w:next w:val="Normal"/>
    <w:link w:val="Heading6Char"/>
    <w:uiPriority w:val="9"/>
    <w:semiHidden/>
    <w:unhideWhenUsed/>
    <w:qFormat/>
    <w:rsid w:val="00911325"/>
    <w:pPr>
      <w:keepNext/>
      <w:keepLines/>
      <w:spacing w:before="200" w:after="0" w:line="259" w:lineRule="auto"/>
      <w:ind w:left="1152" w:hanging="1152"/>
      <w:outlineLvl w:val="5"/>
    </w:pPr>
    <w:rPr>
      <w:rFonts w:ascii="Calibri Light" w:eastAsia="Times New Roman" w:hAnsi="Calibri Light" w:cs="Times New Roman"/>
      <w:i/>
      <w:iCs/>
      <w:color w:val="1F4D78"/>
      <w:lang w:val="en-GB"/>
    </w:rPr>
  </w:style>
  <w:style w:type="paragraph" w:styleId="Heading7">
    <w:name w:val="heading 7"/>
    <w:basedOn w:val="Normal"/>
    <w:next w:val="Normal"/>
    <w:link w:val="Heading7Char"/>
    <w:uiPriority w:val="9"/>
    <w:semiHidden/>
    <w:unhideWhenUsed/>
    <w:qFormat/>
    <w:rsid w:val="00911325"/>
    <w:pPr>
      <w:keepNext/>
      <w:keepLines/>
      <w:spacing w:before="200" w:after="0" w:line="259" w:lineRule="auto"/>
      <w:ind w:left="1296" w:hanging="1296"/>
      <w:outlineLvl w:val="6"/>
    </w:pPr>
    <w:rPr>
      <w:rFonts w:ascii="Calibri Light" w:eastAsia="Times New Roman" w:hAnsi="Calibri Light" w:cs="Times New Roman"/>
      <w:i/>
      <w:iCs/>
      <w:color w:val="404040"/>
      <w:lang w:val="en-GB"/>
    </w:rPr>
  </w:style>
  <w:style w:type="paragraph" w:styleId="Heading8">
    <w:name w:val="heading 8"/>
    <w:basedOn w:val="Normal"/>
    <w:next w:val="Normal"/>
    <w:link w:val="Heading8Char"/>
    <w:uiPriority w:val="9"/>
    <w:semiHidden/>
    <w:unhideWhenUsed/>
    <w:qFormat/>
    <w:rsid w:val="00911325"/>
    <w:pPr>
      <w:keepNext/>
      <w:keepLines/>
      <w:spacing w:before="200" w:after="0" w:line="259" w:lineRule="auto"/>
      <w:ind w:left="1440" w:hanging="1440"/>
      <w:outlineLvl w:val="7"/>
    </w:pPr>
    <w:rPr>
      <w:rFonts w:ascii="Calibri Light" w:eastAsia="Times New Roman" w:hAnsi="Calibri Light" w:cs="Times New Roman"/>
      <w:color w:val="404040"/>
      <w:sz w:val="20"/>
      <w:szCs w:val="20"/>
      <w:lang w:val="en-GB"/>
    </w:rPr>
  </w:style>
  <w:style w:type="paragraph" w:styleId="Heading9">
    <w:name w:val="heading 9"/>
    <w:basedOn w:val="Normal"/>
    <w:next w:val="Normal"/>
    <w:link w:val="Heading9Char"/>
    <w:uiPriority w:val="9"/>
    <w:semiHidden/>
    <w:unhideWhenUsed/>
    <w:qFormat/>
    <w:rsid w:val="00911325"/>
    <w:pPr>
      <w:keepNext/>
      <w:keepLines/>
      <w:spacing w:before="200" w:after="0" w:line="259" w:lineRule="auto"/>
      <w:ind w:left="1584" w:hanging="1584"/>
      <w:outlineLvl w:val="8"/>
    </w:pPr>
    <w:rPr>
      <w:rFonts w:ascii="Calibri Light" w:eastAsia="Times New Roman" w:hAnsi="Calibri Light"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6886"/>
    <w:rPr>
      <w:rFonts w:ascii="Calibri" w:eastAsiaTheme="majorEastAsia" w:hAnsi="Calibri" w:cstheme="majorBidi"/>
      <w:b/>
      <w:bCs/>
      <w:color w:val="1F497D" w:themeColor="text2"/>
      <w:u w:color="1F497D" w:themeColor="text2"/>
    </w:rPr>
  </w:style>
  <w:style w:type="paragraph" w:styleId="BalloonText">
    <w:name w:val="Balloon Text"/>
    <w:basedOn w:val="Normal"/>
    <w:link w:val="BalloonTextChar"/>
    <w:uiPriority w:val="99"/>
    <w:semiHidden/>
    <w:unhideWhenUsed/>
    <w:rsid w:val="00A748E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48EA"/>
    <w:rPr>
      <w:rFonts w:ascii="Lucida Grande" w:eastAsiaTheme="minorHAnsi" w:hAnsi="Lucida Grande"/>
      <w:sz w:val="18"/>
      <w:szCs w:val="18"/>
      <w:lang w:val="en-GB"/>
    </w:rPr>
  </w:style>
  <w:style w:type="paragraph" w:customStyle="1" w:styleId="DocName">
    <w:name w:val="DocName"/>
    <w:basedOn w:val="Normal"/>
    <w:link w:val="DocNameChar"/>
    <w:rsid w:val="004A3A08"/>
    <w:pPr>
      <w:spacing w:after="0"/>
      <w:jc w:val="center"/>
    </w:pPr>
    <w:rPr>
      <w:rFonts w:ascii="Arial" w:eastAsia="Times New Roman" w:hAnsi="Arial" w:cs="Times New Roman"/>
      <w:b/>
      <w:bCs/>
      <w:sz w:val="28"/>
      <w:szCs w:val="24"/>
    </w:rPr>
  </w:style>
  <w:style w:type="character" w:customStyle="1" w:styleId="DocNameChar">
    <w:name w:val="DocName Char"/>
    <w:link w:val="DocName"/>
    <w:rsid w:val="004A3A08"/>
    <w:rPr>
      <w:rFonts w:ascii="Arial" w:eastAsia="Times New Roman" w:hAnsi="Arial" w:cs="Times New Roman"/>
      <w:b/>
      <w:bCs/>
      <w:sz w:val="28"/>
      <w:lang w:val="en-AU" w:eastAsia="en-US"/>
    </w:rPr>
  </w:style>
  <w:style w:type="table" w:styleId="TableGrid">
    <w:name w:val="Table Grid"/>
    <w:basedOn w:val="TableNormal"/>
    <w:rsid w:val="004A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 BVI fnr,BVI fnr,ftref,referencia nota al pie,footnote ref,16 Point,Superscript 6 Point,fr,(NECG) Footnote Reference"/>
    <w:uiPriority w:val="99"/>
    <w:rsid w:val="00A629FB"/>
    <w:rPr>
      <w:rFonts w:ascii="Times New Roman" w:hAnsi="Times New Roman"/>
      <w:sz w:val="22"/>
      <w:szCs w:val="22"/>
      <w:vertAlign w:val="superscript"/>
    </w:rPr>
  </w:style>
  <w:style w:type="paragraph" w:styleId="FootnoteText">
    <w:name w:val="footnote text"/>
    <w:aliases w:val="FOOTNOTES,fn,single space,footnote text,Footnote Text Char2,Footnote Text Char1 Char,Footnote Text Char Char Char1,Footnote Text Char1 Char Char Char1,Footnote Text Char1 Char1 Char,Footnote Text Char Char Char Char,ft,Footnote Text Char1"/>
    <w:basedOn w:val="Normal"/>
    <w:link w:val="FootnoteTextChar"/>
    <w:uiPriority w:val="99"/>
    <w:rsid w:val="00A629FB"/>
    <w:pPr>
      <w:spacing w:after="120"/>
      <w:contextualSpacing/>
      <w:jc w:val="both"/>
    </w:pPr>
    <w:rPr>
      <w:rFonts w:ascii="Calibri" w:eastAsia="Times New Roman" w:hAnsi="Calibri" w:cs="Calibri"/>
      <w:sz w:val="20"/>
    </w:rPr>
  </w:style>
  <w:style w:type="character" w:customStyle="1" w:styleId="FootnoteTextChar">
    <w:name w:val="Footnote Text Char"/>
    <w:aliases w:val="FOOTNOTES Char,fn Char,single space Char,footnote text Char,Footnote Text Char2 Char,Footnote Text Char1 Char Char,Footnote Text Char Char Char1 Char,Footnote Text Char1 Char Char Char1 Char,Footnote Text Char1 Char1 Char Char,ft Char"/>
    <w:basedOn w:val="DefaultParagraphFont"/>
    <w:link w:val="FootnoteText"/>
    <w:uiPriority w:val="99"/>
    <w:rsid w:val="00A629FB"/>
    <w:rPr>
      <w:rFonts w:ascii="Calibri" w:eastAsia="Times New Roman" w:hAnsi="Calibri" w:cs="Calibri"/>
      <w:sz w:val="20"/>
      <w:szCs w:val="22"/>
      <w:lang w:val="en-AU" w:eastAsia="en-US"/>
    </w:rPr>
  </w:style>
  <w:style w:type="paragraph" w:styleId="ListParagraph">
    <w:name w:val="List Paragraph"/>
    <w:basedOn w:val="Normal"/>
    <w:link w:val="ListParagraphChar"/>
    <w:uiPriority w:val="34"/>
    <w:qFormat/>
    <w:rsid w:val="00A629FB"/>
    <w:pPr>
      <w:spacing w:before="120"/>
      <w:ind w:left="720"/>
      <w:contextualSpacing/>
      <w:jc w:val="both"/>
    </w:pPr>
    <w:rPr>
      <w:rFonts w:ascii="Calibri" w:eastAsia="Calibri" w:hAnsi="Calibri" w:cs="Calibri"/>
    </w:rPr>
  </w:style>
  <w:style w:type="character" w:customStyle="1" w:styleId="ListParagraphChar">
    <w:name w:val="List Paragraph Char"/>
    <w:link w:val="ListParagraph"/>
    <w:uiPriority w:val="34"/>
    <w:locked/>
    <w:rsid w:val="00A629FB"/>
    <w:rPr>
      <w:rFonts w:ascii="Calibri" w:eastAsia="Calibri" w:hAnsi="Calibri" w:cs="Calibri"/>
      <w:sz w:val="22"/>
      <w:szCs w:val="22"/>
      <w:lang w:val="en-AU" w:eastAsia="en-US"/>
    </w:rPr>
  </w:style>
  <w:style w:type="table" w:customStyle="1" w:styleId="Tablewithheader">
    <w:name w:val="Table with header"/>
    <w:basedOn w:val="TableNormal"/>
    <w:uiPriority w:val="99"/>
    <w:rsid w:val="000E48D5"/>
    <w:rPr>
      <w:rFonts w:ascii="Arial" w:eastAsia="Times New Roman"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Header">
    <w:name w:val="header"/>
    <w:basedOn w:val="Normal"/>
    <w:link w:val="HeaderChar"/>
    <w:uiPriority w:val="99"/>
    <w:unhideWhenUsed/>
    <w:rsid w:val="00622A6C"/>
    <w:pPr>
      <w:tabs>
        <w:tab w:val="center" w:pos="4513"/>
        <w:tab w:val="right" w:pos="9026"/>
      </w:tabs>
      <w:spacing w:after="0"/>
    </w:pPr>
  </w:style>
  <w:style w:type="character" w:customStyle="1" w:styleId="HeaderChar">
    <w:name w:val="Header Char"/>
    <w:basedOn w:val="DefaultParagraphFont"/>
    <w:link w:val="Header"/>
    <w:uiPriority w:val="99"/>
    <w:rsid w:val="00622A6C"/>
    <w:rPr>
      <w:rFonts w:asciiTheme="majorHAnsi" w:eastAsiaTheme="minorHAnsi" w:hAnsiTheme="majorHAnsi"/>
      <w:sz w:val="22"/>
      <w:szCs w:val="22"/>
      <w:lang w:val="en-AU" w:eastAsia="en-US"/>
    </w:rPr>
  </w:style>
  <w:style w:type="paragraph" w:styleId="Footer">
    <w:name w:val="footer"/>
    <w:basedOn w:val="Normal"/>
    <w:link w:val="FooterChar"/>
    <w:uiPriority w:val="99"/>
    <w:unhideWhenUsed/>
    <w:rsid w:val="00622A6C"/>
    <w:pPr>
      <w:tabs>
        <w:tab w:val="center" w:pos="4513"/>
        <w:tab w:val="right" w:pos="9026"/>
      </w:tabs>
      <w:spacing w:after="0"/>
    </w:pPr>
  </w:style>
  <w:style w:type="character" w:customStyle="1" w:styleId="FooterChar">
    <w:name w:val="Footer Char"/>
    <w:basedOn w:val="DefaultParagraphFont"/>
    <w:link w:val="Footer"/>
    <w:uiPriority w:val="99"/>
    <w:rsid w:val="00622A6C"/>
    <w:rPr>
      <w:rFonts w:asciiTheme="majorHAnsi" w:eastAsiaTheme="minorHAnsi" w:hAnsiTheme="majorHAnsi"/>
      <w:sz w:val="22"/>
      <w:szCs w:val="22"/>
      <w:lang w:val="en-AU" w:eastAsia="en-US"/>
    </w:rPr>
  </w:style>
  <w:style w:type="paragraph" w:styleId="NoSpacing">
    <w:name w:val="No Spacing"/>
    <w:uiPriority w:val="1"/>
    <w:qFormat/>
    <w:rsid w:val="00E13B73"/>
    <w:rPr>
      <w:rFonts w:asciiTheme="majorHAnsi" w:eastAsiaTheme="minorHAnsi" w:hAnsiTheme="majorHAnsi"/>
      <w:sz w:val="22"/>
      <w:szCs w:val="22"/>
      <w:lang w:val="en-AU" w:eastAsia="en-US"/>
    </w:rPr>
  </w:style>
  <w:style w:type="character" w:styleId="PageNumber">
    <w:name w:val="page number"/>
    <w:basedOn w:val="DefaultParagraphFont"/>
    <w:uiPriority w:val="99"/>
    <w:semiHidden/>
    <w:unhideWhenUsed/>
    <w:rsid w:val="005B4FC5"/>
  </w:style>
  <w:style w:type="table" w:styleId="LightList-Accent1">
    <w:name w:val="Light List Accent 1"/>
    <w:basedOn w:val="TableNormal"/>
    <w:uiPriority w:val="61"/>
    <w:rsid w:val="00A30E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30E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1Char">
    <w:name w:val="Heading 1 Char"/>
    <w:basedOn w:val="DefaultParagraphFont"/>
    <w:link w:val="Heading1"/>
    <w:uiPriority w:val="9"/>
    <w:rsid w:val="00911325"/>
    <w:rPr>
      <w:rFonts w:ascii="Calibri" w:eastAsia="Times New Roman" w:hAnsi="Calibri" w:cs="Calibri"/>
      <w:b/>
      <w:bCs/>
      <w:color w:val="003880"/>
      <w:kern w:val="32"/>
      <w:sz w:val="28"/>
      <w:szCs w:val="28"/>
      <w:lang w:val="en-AU" w:eastAsia="en-US"/>
    </w:rPr>
  </w:style>
  <w:style w:type="character" w:customStyle="1" w:styleId="Heading2Char">
    <w:name w:val="Heading 2 Char"/>
    <w:basedOn w:val="DefaultParagraphFont"/>
    <w:link w:val="Heading2"/>
    <w:rsid w:val="00911325"/>
    <w:rPr>
      <w:rFonts w:ascii="Calibri" w:eastAsia="Times New Roman" w:hAnsi="Calibri" w:cs="Calibri"/>
      <w:b/>
      <w:bCs/>
      <w:iCs/>
      <w:color w:val="003880"/>
      <w:lang w:val="en-AU" w:eastAsia="en-US"/>
    </w:rPr>
  </w:style>
  <w:style w:type="character" w:customStyle="1" w:styleId="Heading4Char">
    <w:name w:val="Heading 4 Char"/>
    <w:basedOn w:val="DefaultParagraphFont"/>
    <w:link w:val="Heading4"/>
    <w:uiPriority w:val="9"/>
    <w:semiHidden/>
    <w:rsid w:val="00911325"/>
    <w:rPr>
      <w:rFonts w:ascii="Calibri Light" w:eastAsia="Times New Roman" w:hAnsi="Calibri Light" w:cs="Times New Roman"/>
      <w:b/>
      <w:bCs/>
      <w:i/>
      <w:iCs/>
      <w:color w:val="5B9BD5"/>
      <w:sz w:val="22"/>
      <w:szCs w:val="22"/>
      <w:lang w:val="en-GB" w:eastAsia="en-US"/>
    </w:rPr>
  </w:style>
  <w:style w:type="character" w:customStyle="1" w:styleId="Heading5Char">
    <w:name w:val="Heading 5 Char"/>
    <w:basedOn w:val="DefaultParagraphFont"/>
    <w:link w:val="Heading5"/>
    <w:uiPriority w:val="9"/>
    <w:semiHidden/>
    <w:rsid w:val="00911325"/>
    <w:rPr>
      <w:rFonts w:ascii="Calibri Light" w:eastAsia="Times New Roman" w:hAnsi="Calibri Light" w:cs="Times New Roman"/>
      <w:color w:val="1F4D78"/>
      <w:sz w:val="22"/>
      <w:szCs w:val="22"/>
      <w:lang w:val="en-GB" w:eastAsia="en-US"/>
    </w:rPr>
  </w:style>
  <w:style w:type="character" w:customStyle="1" w:styleId="Heading6Char">
    <w:name w:val="Heading 6 Char"/>
    <w:basedOn w:val="DefaultParagraphFont"/>
    <w:link w:val="Heading6"/>
    <w:uiPriority w:val="9"/>
    <w:semiHidden/>
    <w:rsid w:val="00911325"/>
    <w:rPr>
      <w:rFonts w:ascii="Calibri Light" w:eastAsia="Times New Roman" w:hAnsi="Calibri Light" w:cs="Times New Roman"/>
      <w:i/>
      <w:iCs/>
      <w:color w:val="1F4D78"/>
      <w:sz w:val="22"/>
      <w:szCs w:val="22"/>
      <w:lang w:val="en-GB" w:eastAsia="en-US"/>
    </w:rPr>
  </w:style>
  <w:style w:type="character" w:customStyle="1" w:styleId="Heading7Char">
    <w:name w:val="Heading 7 Char"/>
    <w:basedOn w:val="DefaultParagraphFont"/>
    <w:link w:val="Heading7"/>
    <w:uiPriority w:val="9"/>
    <w:semiHidden/>
    <w:rsid w:val="00911325"/>
    <w:rPr>
      <w:rFonts w:ascii="Calibri Light" w:eastAsia="Times New Roman" w:hAnsi="Calibri Light" w:cs="Times New Roman"/>
      <w:i/>
      <w:iCs/>
      <w:color w:val="404040"/>
      <w:sz w:val="22"/>
      <w:szCs w:val="22"/>
      <w:lang w:val="en-GB" w:eastAsia="en-US"/>
    </w:rPr>
  </w:style>
  <w:style w:type="character" w:customStyle="1" w:styleId="Heading8Char">
    <w:name w:val="Heading 8 Char"/>
    <w:basedOn w:val="DefaultParagraphFont"/>
    <w:link w:val="Heading8"/>
    <w:uiPriority w:val="9"/>
    <w:semiHidden/>
    <w:rsid w:val="00911325"/>
    <w:rPr>
      <w:rFonts w:ascii="Calibri Light" w:eastAsia="Times New Roman" w:hAnsi="Calibri Light" w:cs="Times New Roman"/>
      <w:color w:val="404040"/>
      <w:sz w:val="20"/>
      <w:szCs w:val="20"/>
      <w:lang w:val="en-GB" w:eastAsia="en-US"/>
    </w:rPr>
  </w:style>
  <w:style w:type="character" w:customStyle="1" w:styleId="Heading9Char">
    <w:name w:val="Heading 9 Char"/>
    <w:basedOn w:val="DefaultParagraphFont"/>
    <w:link w:val="Heading9"/>
    <w:uiPriority w:val="9"/>
    <w:semiHidden/>
    <w:rsid w:val="00911325"/>
    <w:rPr>
      <w:rFonts w:ascii="Calibri Light" w:eastAsia="Times New Roman" w:hAnsi="Calibri Light" w:cs="Times New Roman"/>
      <w:i/>
      <w:iCs/>
      <w:color w:val="404040"/>
      <w:sz w:val="20"/>
      <w:szCs w:val="20"/>
      <w:lang w:val="en-GB" w:eastAsia="en-US"/>
    </w:rPr>
  </w:style>
  <w:style w:type="character" w:styleId="CommentReference">
    <w:name w:val="annotation reference"/>
    <w:basedOn w:val="DefaultParagraphFont"/>
    <w:uiPriority w:val="99"/>
    <w:semiHidden/>
    <w:unhideWhenUsed/>
    <w:rsid w:val="00A338CC"/>
    <w:rPr>
      <w:sz w:val="16"/>
      <w:szCs w:val="16"/>
    </w:rPr>
  </w:style>
  <w:style w:type="paragraph" w:styleId="CommentText">
    <w:name w:val="annotation text"/>
    <w:basedOn w:val="Normal"/>
    <w:link w:val="CommentTextChar"/>
    <w:uiPriority w:val="99"/>
    <w:semiHidden/>
    <w:unhideWhenUsed/>
    <w:rsid w:val="00A338CC"/>
    <w:rPr>
      <w:sz w:val="20"/>
      <w:szCs w:val="20"/>
    </w:rPr>
  </w:style>
  <w:style w:type="character" w:customStyle="1" w:styleId="CommentTextChar">
    <w:name w:val="Comment Text Char"/>
    <w:basedOn w:val="DefaultParagraphFont"/>
    <w:link w:val="CommentText"/>
    <w:uiPriority w:val="99"/>
    <w:semiHidden/>
    <w:rsid w:val="00A338CC"/>
    <w:rPr>
      <w:rFonts w:asciiTheme="majorHAnsi" w:eastAsiaTheme="minorHAnsi" w:hAnsiTheme="majorHAnsi"/>
      <w:sz w:val="20"/>
      <w:szCs w:val="20"/>
      <w:lang w:val="en-AU" w:eastAsia="en-US"/>
    </w:rPr>
  </w:style>
  <w:style w:type="paragraph" w:styleId="CommentSubject">
    <w:name w:val="annotation subject"/>
    <w:basedOn w:val="CommentText"/>
    <w:next w:val="CommentText"/>
    <w:link w:val="CommentSubjectChar"/>
    <w:uiPriority w:val="99"/>
    <w:semiHidden/>
    <w:unhideWhenUsed/>
    <w:rsid w:val="00A338CC"/>
    <w:rPr>
      <w:b/>
      <w:bCs/>
    </w:rPr>
  </w:style>
  <w:style w:type="character" w:customStyle="1" w:styleId="CommentSubjectChar">
    <w:name w:val="Comment Subject Char"/>
    <w:basedOn w:val="CommentTextChar"/>
    <w:link w:val="CommentSubject"/>
    <w:uiPriority w:val="99"/>
    <w:semiHidden/>
    <w:rsid w:val="00A338CC"/>
    <w:rPr>
      <w:rFonts w:asciiTheme="majorHAnsi" w:eastAsiaTheme="minorHAnsi" w:hAnsiTheme="majorHAnsi"/>
      <w:b/>
      <w:bCs/>
      <w:sz w:val="20"/>
      <w:szCs w:val="20"/>
      <w:lang w:val="en-AU" w:eastAsia="en-US"/>
    </w:rPr>
  </w:style>
  <w:style w:type="paragraph" w:customStyle="1" w:styleId="m-2838640035844025451msolistparagraph">
    <w:name w:val="m_-2838640035844025451msolistparagraph"/>
    <w:basedOn w:val="Normal"/>
    <w:rsid w:val="00A1351E"/>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B10D6A-59C9-4E6A-87AE-F234CE399259}"/>
</file>

<file path=customXml/itemProps2.xml><?xml version="1.0" encoding="utf-8"?>
<ds:datastoreItem xmlns:ds="http://schemas.openxmlformats.org/officeDocument/2006/customXml" ds:itemID="{C2CB983F-9115-47D4-B282-CCD6C5ACEBCC}"/>
</file>

<file path=customXml/itemProps3.xml><?xml version="1.0" encoding="utf-8"?>
<ds:datastoreItem xmlns:ds="http://schemas.openxmlformats.org/officeDocument/2006/customXml" ds:itemID="{E7781816-92D3-4996-9DD7-9175EFA49EE1}"/>
</file>

<file path=customXml/itemProps4.xml><?xml version="1.0" encoding="utf-8"?>
<ds:datastoreItem xmlns:ds="http://schemas.openxmlformats.org/officeDocument/2006/customXml" ds:itemID="{FFC42B81-D6AD-45DF-9354-9FD6A995FD65}"/>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7674</Characters>
  <Application>Microsoft Office Word</Application>
  <DocSecurity>0</DocSecurity>
  <Lines>333</Lines>
  <Paragraphs>125</Paragraphs>
  <ScaleCrop>false</ScaleCrop>
  <HeadingPairs>
    <vt:vector size="2" baseType="variant">
      <vt:variant>
        <vt:lpstr>Title</vt:lpstr>
      </vt:variant>
      <vt:variant>
        <vt:i4>1</vt:i4>
      </vt:variant>
    </vt:vector>
  </HeadingPairs>
  <TitlesOfParts>
    <vt:vector size="1" baseType="lpstr">
      <vt:lpstr>Management Response to Independent Completion Report: Australia's Education Partnership with Indonesia</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Independent Completion Report: Australia's Education Partnership with Indonesia</dc:title>
  <dc:creator/>
  <cp:lastModifiedBy/>
  <cp:revision>1</cp:revision>
  <dcterms:created xsi:type="dcterms:W3CDTF">2017-02-03T05:08:00Z</dcterms:created>
  <dcterms:modified xsi:type="dcterms:W3CDTF">2017-02-03T05:11:00Z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d77cd1b2-e996-4e9b-871d-85bda31122e1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1084900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