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7927" w14:textId="77777777" w:rsidR="009D774A" w:rsidRDefault="009D774A" w:rsidP="00205B70">
      <w:pPr>
        <w:pStyle w:val="DocumentSubtitle"/>
        <w:jc w:val="center"/>
        <w:rPr>
          <w:sz w:val="48"/>
          <w:szCs w:val="20"/>
        </w:rPr>
      </w:pPr>
      <w:bookmarkStart w:id="0" w:name="_GoBack"/>
      <w:bookmarkEnd w:id="0"/>
    </w:p>
    <w:p w14:paraId="60FEBAF0" w14:textId="77777777" w:rsidR="009D774A" w:rsidRDefault="009D774A" w:rsidP="00205B70">
      <w:pPr>
        <w:pStyle w:val="DocumentSubtitle"/>
        <w:jc w:val="center"/>
        <w:rPr>
          <w:sz w:val="48"/>
          <w:szCs w:val="20"/>
        </w:rPr>
      </w:pPr>
    </w:p>
    <w:p w14:paraId="27566713" w14:textId="77777777" w:rsidR="00F74FCD" w:rsidRDefault="00F74FCD" w:rsidP="00205B70">
      <w:pPr>
        <w:pStyle w:val="DocumentSubtitle"/>
        <w:jc w:val="center"/>
        <w:rPr>
          <w:sz w:val="48"/>
          <w:szCs w:val="20"/>
        </w:rPr>
      </w:pPr>
      <w:r w:rsidRPr="00F74FCD">
        <w:rPr>
          <w:sz w:val="48"/>
          <w:szCs w:val="20"/>
        </w:rPr>
        <w:t>Completion Report</w:t>
      </w:r>
    </w:p>
    <w:p w14:paraId="38BD0E3B" w14:textId="77777777" w:rsidR="00F74FCD" w:rsidRDefault="00F74FCD" w:rsidP="00205B70">
      <w:pPr>
        <w:pStyle w:val="DocumentSubtitle"/>
        <w:jc w:val="center"/>
      </w:pPr>
      <w:r w:rsidRPr="00F74FCD">
        <w:t>Activity Schedule 34 of ROU 51172</w:t>
      </w:r>
    </w:p>
    <w:p w14:paraId="47D7CE77" w14:textId="77777777" w:rsidR="00F74FCD" w:rsidRDefault="00F74FCD" w:rsidP="00205B70">
      <w:pPr>
        <w:pStyle w:val="DocumentSubtitle"/>
        <w:jc w:val="center"/>
      </w:pPr>
      <w:r w:rsidRPr="00F74FCD">
        <w:t>Between Geoscience Australia and the Department of Foreign Affairs and Trade</w:t>
      </w:r>
    </w:p>
    <w:p w14:paraId="3D188DB0" w14:textId="77777777" w:rsidR="00F74FCD" w:rsidRDefault="00F74FCD" w:rsidP="00205B70">
      <w:pPr>
        <w:pStyle w:val="DocumentSubtitle"/>
        <w:jc w:val="center"/>
      </w:pPr>
      <w:r w:rsidRPr="00F74FCD">
        <w:t>For</w:t>
      </w:r>
    </w:p>
    <w:p w14:paraId="72006656" w14:textId="77777777" w:rsidR="00F74FCD" w:rsidRDefault="00F74FCD" w:rsidP="00205B70">
      <w:pPr>
        <w:pStyle w:val="DocumentTitle"/>
        <w:jc w:val="center"/>
      </w:pPr>
      <w:bookmarkStart w:id="1" w:name="_Toc504056627"/>
      <w:bookmarkStart w:id="2" w:name="_Toc505683430"/>
      <w:bookmarkStart w:id="3" w:name="_Toc514226266"/>
      <w:r w:rsidRPr="00A55ED3">
        <w:t>COOPERATION ON THE DISASTER RISK MANAGEMENT PROGRAM IN INDONESIA</w:t>
      </w:r>
      <w:bookmarkEnd w:id="1"/>
      <w:bookmarkEnd w:id="2"/>
      <w:bookmarkEnd w:id="3"/>
    </w:p>
    <w:p w14:paraId="1462E370" w14:textId="77777777" w:rsidR="00102FAD" w:rsidRPr="00102FAD" w:rsidRDefault="00102FAD" w:rsidP="00102FAD">
      <w:pPr>
        <w:pStyle w:val="DocumentSubtitle"/>
        <w:jc w:val="center"/>
      </w:pPr>
      <w:r>
        <w:t>Volume 1</w:t>
      </w:r>
      <w:r w:rsidR="001D78B5">
        <w:t xml:space="preserve"> – Main Report</w:t>
      </w:r>
    </w:p>
    <w:p w14:paraId="30BBEC45" w14:textId="77777777" w:rsidR="00F74FCD" w:rsidRPr="00F74FCD" w:rsidRDefault="00F74FCD" w:rsidP="00F74FCD">
      <w:pPr>
        <w:pStyle w:val="Record"/>
      </w:pPr>
    </w:p>
    <w:p w14:paraId="3463EFD4" w14:textId="77777777" w:rsidR="00F74FCD" w:rsidRDefault="00F74FCD" w:rsidP="00F74FCD">
      <w:pPr>
        <w:pStyle w:val="Authors"/>
      </w:pPr>
      <w:r w:rsidRPr="00F74FCD">
        <w:t>Edited by: Matthew Jakab and David Robinson                                                                                                                                                                                             With contributions from: Ivan Busthomi, Phil Cummins, Thamrin Faizal, Hadi Ghasemi, Jonathan Griffin, Adi Kurniawan, Charlotte Morga</w:t>
      </w:r>
      <w:r>
        <w:t>n, Rikki Weber and Felix Yanuar</w:t>
      </w:r>
    </w:p>
    <w:p w14:paraId="2368ED8C" w14:textId="77777777" w:rsidR="00C03FE6" w:rsidRPr="00BD299D" w:rsidRDefault="00C03FE6" w:rsidP="00BA0D62">
      <w:pPr>
        <w:pStyle w:val="BodyText"/>
        <w:sectPr w:rsidR="00C03FE6" w:rsidRPr="00BD299D" w:rsidSect="009C7B98">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170" w:gutter="0"/>
          <w:pgNumType w:fmt="lowerRoman" w:start="1"/>
          <w:cols w:space="720"/>
        </w:sectPr>
      </w:pPr>
    </w:p>
    <w:p w14:paraId="0B6DCE3B" w14:textId="77777777" w:rsidR="008355B7" w:rsidRPr="00E176A9" w:rsidRDefault="008355B7" w:rsidP="00F012C2">
      <w:pPr>
        <w:pStyle w:val="TOCHeading"/>
      </w:pPr>
      <w:r w:rsidRPr="00E176A9">
        <w:lastRenderedPageBreak/>
        <w:t>Contents</w:t>
      </w:r>
    </w:p>
    <w:p w14:paraId="4A11EB2E" w14:textId="77777777" w:rsidR="007F2C46" w:rsidRDefault="00B83794">
      <w:pPr>
        <w:pStyle w:val="TOC1"/>
        <w:rPr>
          <w:rFonts w:asciiTheme="minorHAnsi" w:eastAsiaTheme="minorEastAsia" w:hAnsiTheme="minorHAnsi" w:cstheme="minorBidi"/>
          <w:sz w:val="22"/>
          <w:szCs w:val="22"/>
        </w:rPr>
      </w:pPr>
      <w:r>
        <w:fldChar w:fldCharType="begin"/>
      </w:r>
      <w:r>
        <w:instrText xml:space="preserve"> TOC \o "3-3" \h \z \t "Heading 1,1,Heading 2,2,Heading 9,1,Heading1 No Numbers,1,Heading2 No Numbers,2,Heading appendix 1 base,1,Heading Appendix 2,2" </w:instrText>
      </w:r>
      <w:r>
        <w:fldChar w:fldCharType="separate"/>
      </w:r>
      <w:hyperlink w:anchor="_Toc524508482" w:history="1">
        <w:r w:rsidR="007F2C46" w:rsidRPr="00D848BC">
          <w:rPr>
            <w:rStyle w:val="Hyperlink"/>
          </w:rPr>
          <w:t>Acronyms</w:t>
        </w:r>
        <w:r w:rsidR="007F2C46">
          <w:rPr>
            <w:webHidden/>
          </w:rPr>
          <w:tab/>
        </w:r>
        <w:r w:rsidR="007F2C46">
          <w:rPr>
            <w:webHidden/>
          </w:rPr>
          <w:fldChar w:fldCharType="begin"/>
        </w:r>
        <w:r w:rsidR="007F2C46">
          <w:rPr>
            <w:webHidden/>
          </w:rPr>
          <w:instrText xml:space="preserve"> PAGEREF _Toc524508482 \h </w:instrText>
        </w:r>
        <w:r w:rsidR="007F2C46">
          <w:rPr>
            <w:webHidden/>
          </w:rPr>
        </w:r>
        <w:r w:rsidR="007F2C46">
          <w:rPr>
            <w:webHidden/>
          </w:rPr>
          <w:fldChar w:fldCharType="separate"/>
        </w:r>
        <w:r w:rsidR="007F2C46">
          <w:rPr>
            <w:webHidden/>
          </w:rPr>
          <w:t>1</w:t>
        </w:r>
        <w:r w:rsidR="007F2C46">
          <w:rPr>
            <w:webHidden/>
          </w:rPr>
          <w:fldChar w:fldCharType="end"/>
        </w:r>
      </w:hyperlink>
    </w:p>
    <w:p w14:paraId="2C781D54" w14:textId="77777777" w:rsidR="007F2C46" w:rsidRDefault="001D4650">
      <w:pPr>
        <w:pStyle w:val="TOC1"/>
        <w:rPr>
          <w:rFonts w:asciiTheme="minorHAnsi" w:eastAsiaTheme="minorEastAsia" w:hAnsiTheme="minorHAnsi" w:cstheme="minorBidi"/>
          <w:sz w:val="22"/>
          <w:szCs w:val="22"/>
        </w:rPr>
      </w:pPr>
      <w:hyperlink w:anchor="_Toc524508483" w:history="1">
        <w:r w:rsidR="007F2C46" w:rsidRPr="00D848BC">
          <w:rPr>
            <w:rStyle w:val="Hyperlink"/>
          </w:rPr>
          <w:t>Executive Summary</w:t>
        </w:r>
        <w:r w:rsidR="007F2C46">
          <w:rPr>
            <w:webHidden/>
          </w:rPr>
          <w:tab/>
        </w:r>
        <w:r w:rsidR="007F2C46">
          <w:rPr>
            <w:webHidden/>
          </w:rPr>
          <w:fldChar w:fldCharType="begin"/>
        </w:r>
        <w:r w:rsidR="007F2C46">
          <w:rPr>
            <w:webHidden/>
          </w:rPr>
          <w:instrText xml:space="preserve"> PAGEREF _Toc524508483 \h </w:instrText>
        </w:r>
        <w:r w:rsidR="007F2C46">
          <w:rPr>
            <w:webHidden/>
          </w:rPr>
        </w:r>
        <w:r w:rsidR="007F2C46">
          <w:rPr>
            <w:webHidden/>
          </w:rPr>
          <w:fldChar w:fldCharType="separate"/>
        </w:r>
        <w:r w:rsidR="007F2C46">
          <w:rPr>
            <w:webHidden/>
          </w:rPr>
          <w:t>4</w:t>
        </w:r>
        <w:r w:rsidR="007F2C46">
          <w:rPr>
            <w:webHidden/>
          </w:rPr>
          <w:fldChar w:fldCharType="end"/>
        </w:r>
      </w:hyperlink>
    </w:p>
    <w:p w14:paraId="1709DC49" w14:textId="77777777" w:rsidR="007F2C46" w:rsidRDefault="001D4650">
      <w:pPr>
        <w:pStyle w:val="TOC2"/>
        <w:rPr>
          <w:rFonts w:asciiTheme="minorHAnsi" w:eastAsiaTheme="minorEastAsia" w:hAnsiTheme="minorHAnsi" w:cstheme="minorBidi"/>
          <w:sz w:val="22"/>
          <w:szCs w:val="22"/>
        </w:rPr>
      </w:pPr>
      <w:hyperlink w:anchor="_Toc524508484" w:history="1">
        <w:r w:rsidR="007F2C46" w:rsidRPr="00D848BC">
          <w:rPr>
            <w:rStyle w:val="Hyperlink"/>
          </w:rPr>
          <w:t>Key Project Achievements</w:t>
        </w:r>
        <w:r w:rsidR="007F2C46">
          <w:rPr>
            <w:webHidden/>
          </w:rPr>
          <w:tab/>
        </w:r>
        <w:r w:rsidR="007F2C46">
          <w:rPr>
            <w:webHidden/>
          </w:rPr>
          <w:fldChar w:fldCharType="begin"/>
        </w:r>
        <w:r w:rsidR="007F2C46">
          <w:rPr>
            <w:webHidden/>
          </w:rPr>
          <w:instrText xml:space="preserve"> PAGEREF _Toc524508484 \h </w:instrText>
        </w:r>
        <w:r w:rsidR="007F2C46">
          <w:rPr>
            <w:webHidden/>
          </w:rPr>
        </w:r>
        <w:r w:rsidR="007F2C46">
          <w:rPr>
            <w:webHidden/>
          </w:rPr>
          <w:fldChar w:fldCharType="separate"/>
        </w:r>
        <w:r w:rsidR="007F2C46">
          <w:rPr>
            <w:webHidden/>
          </w:rPr>
          <w:t>4</w:t>
        </w:r>
        <w:r w:rsidR="007F2C46">
          <w:rPr>
            <w:webHidden/>
          </w:rPr>
          <w:fldChar w:fldCharType="end"/>
        </w:r>
      </w:hyperlink>
    </w:p>
    <w:p w14:paraId="70549BE8" w14:textId="77777777" w:rsidR="007F2C46" w:rsidRDefault="001D4650">
      <w:pPr>
        <w:pStyle w:val="TOC1"/>
        <w:rPr>
          <w:rFonts w:asciiTheme="minorHAnsi" w:eastAsiaTheme="minorEastAsia" w:hAnsiTheme="minorHAnsi" w:cstheme="minorBidi"/>
          <w:sz w:val="22"/>
          <w:szCs w:val="22"/>
        </w:rPr>
      </w:pPr>
      <w:hyperlink w:anchor="_Toc524508485" w:history="1">
        <w:r w:rsidR="007F2C46" w:rsidRPr="00D848BC">
          <w:rPr>
            <w:rStyle w:val="Hyperlink"/>
          </w:rPr>
          <w:t>1 Introduction</w:t>
        </w:r>
        <w:r w:rsidR="007F2C46">
          <w:rPr>
            <w:webHidden/>
          </w:rPr>
          <w:tab/>
        </w:r>
        <w:r w:rsidR="007F2C46">
          <w:rPr>
            <w:webHidden/>
          </w:rPr>
          <w:fldChar w:fldCharType="begin"/>
        </w:r>
        <w:r w:rsidR="007F2C46">
          <w:rPr>
            <w:webHidden/>
          </w:rPr>
          <w:instrText xml:space="preserve"> PAGEREF _Toc524508485 \h </w:instrText>
        </w:r>
        <w:r w:rsidR="007F2C46">
          <w:rPr>
            <w:webHidden/>
          </w:rPr>
        </w:r>
        <w:r w:rsidR="007F2C46">
          <w:rPr>
            <w:webHidden/>
          </w:rPr>
          <w:fldChar w:fldCharType="separate"/>
        </w:r>
        <w:r w:rsidR="007F2C46">
          <w:rPr>
            <w:webHidden/>
          </w:rPr>
          <w:t>10</w:t>
        </w:r>
        <w:r w:rsidR="007F2C46">
          <w:rPr>
            <w:webHidden/>
          </w:rPr>
          <w:fldChar w:fldCharType="end"/>
        </w:r>
      </w:hyperlink>
    </w:p>
    <w:p w14:paraId="78EE06BE" w14:textId="77777777" w:rsidR="007F2C46" w:rsidRDefault="001D4650">
      <w:pPr>
        <w:pStyle w:val="TOC2"/>
        <w:rPr>
          <w:rFonts w:asciiTheme="minorHAnsi" w:eastAsiaTheme="minorEastAsia" w:hAnsiTheme="minorHAnsi" w:cstheme="minorBidi"/>
          <w:sz w:val="22"/>
          <w:szCs w:val="22"/>
        </w:rPr>
      </w:pPr>
      <w:hyperlink w:anchor="_Toc524508486" w:history="1">
        <w:r w:rsidR="007F2C46" w:rsidRPr="00D848BC">
          <w:rPr>
            <w:rStyle w:val="Hyperlink"/>
          </w:rPr>
          <w:t>Approach</w:t>
        </w:r>
        <w:r w:rsidR="007F2C46">
          <w:rPr>
            <w:webHidden/>
          </w:rPr>
          <w:tab/>
        </w:r>
        <w:r w:rsidR="007F2C46">
          <w:rPr>
            <w:webHidden/>
          </w:rPr>
          <w:fldChar w:fldCharType="begin"/>
        </w:r>
        <w:r w:rsidR="007F2C46">
          <w:rPr>
            <w:webHidden/>
          </w:rPr>
          <w:instrText xml:space="preserve"> PAGEREF _Toc524508486 \h </w:instrText>
        </w:r>
        <w:r w:rsidR="007F2C46">
          <w:rPr>
            <w:webHidden/>
          </w:rPr>
        </w:r>
        <w:r w:rsidR="007F2C46">
          <w:rPr>
            <w:webHidden/>
          </w:rPr>
          <w:fldChar w:fldCharType="separate"/>
        </w:r>
        <w:r w:rsidR="007F2C46">
          <w:rPr>
            <w:webHidden/>
          </w:rPr>
          <w:t>10</w:t>
        </w:r>
        <w:r w:rsidR="007F2C46">
          <w:rPr>
            <w:webHidden/>
          </w:rPr>
          <w:fldChar w:fldCharType="end"/>
        </w:r>
      </w:hyperlink>
    </w:p>
    <w:p w14:paraId="5E85A3C7" w14:textId="77777777" w:rsidR="007F2C46" w:rsidRDefault="001D4650">
      <w:pPr>
        <w:pStyle w:val="TOC1"/>
        <w:rPr>
          <w:rFonts w:asciiTheme="minorHAnsi" w:eastAsiaTheme="minorEastAsia" w:hAnsiTheme="minorHAnsi" w:cstheme="minorBidi"/>
          <w:sz w:val="22"/>
          <w:szCs w:val="22"/>
        </w:rPr>
      </w:pPr>
      <w:hyperlink w:anchor="_Toc524508487" w:history="1">
        <w:r w:rsidR="007F2C46" w:rsidRPr="00D848BC">
          <w:rPr>
            <w:rStyle w:val="Hyperlink"/>
          </w:rPr>
          <w:t>2 Analysis of Program Implementation</w:t>
        </w:r>
        <w:r w:rsidR="007F2C46">
          <w:rPr>
            <w:webHidden/>
          </w:rPr>
          <w:tab/>
        </w:r>
        <w:r w:rsidR="007F2C46">
          <w:rPr>
            <w:webHidden/>
          </w:rPr>
          <w:fldChar w:fldCharType="begin"/>
        </w:r>
        <w:r w:rsidR="007F2C46">
          <w:rPr>
            <w:webHidden/>
          </w:rPr>
          <w:instrText xml:space="preserve"> PAGEREF _Toc524508487 \h </w:instrText>
        </w:r>
        <w:r w:rsidR="007F2C46">
          <w:rPr>
            <w:webHidden/>
          </w:rPr>
        </w:r>
        <w:r w:rsidR="007F2C46">
          <w:rPr>
            <w:webHidden/>
          </w:rPr>
          <w:fldChar w:fldCharType="separate"/>
        </w:r>
        <w:r w:rsidR="007F2C46">
          <w:rPr>
            <w:webHidden/>
          </w:rPr>
          <w:t>13</w:t>
        </w:r>
        <w:r w:rsidR="007F2C46">
          <w:rPr>
            <w:webHidden/>
          </w:rPr>
          <w:fldChar w:fldCharType="end"/>
        </w:r>
      </w:hyperlink>
    </w:p>
    <w:p w14:paraId="47E8F3C4" w14:textId="77777777" w:rsidR="007F2C46" w:rsidRDefault="001D4650">
      <w:pPr>
        <w:pStyle w:val="TOC2"/>
        <w:rPr>
          <w:rFonts w:asciiTheme="minorHAnsi" w:eastAsiaTheme="minorEastAsia" w:hAnsiTheme="minorHAnsi" w:cstheme="minorBidi"/>
          <w:sz w:val="22"/>
          <w:szCs w:val="22"/>
        </w:rPr>
      </w:pPr>
      <w:hyperlink w:anchor="_Toc524508488" w:history="1">
        <w:r w:rsidR="007F2C46" w:rsidRPr="00D848BC">
          <w:rPr>
            <w:rStyle w:val="Hyperlink"/>
          </w:rPr>
          <w:t>2.1 Relevance</w:t>
        </w:r>
        <w:r w:rsidR="007F2C46">
          <w:rPr>
            <w:webHidden/>
          </w:rPr>
          <w:tab/>
        </w:r>
        <w:r w:rsidR="007F2C46">
          <w:rPr>
            <w:webHidden/>
          </w:rPr>
          <w:fldChar w:fldCharType="begin"/>
        </w:r>
        <w:r w:rsidR="007F2C46">
          <w:rPr>
            <w:webHidden/>
          </w:rPr>
          <w:instrText xml:space="preserve"> PAGEREF _Toc524508488 \h </w:instrText>
        </w:r>
        <w:r w:rsidR="007F2C46">
          <w:rPr>
            <w:webHidden/>
          </w:rPr>
        </w:r>
        <w:r w:rsidR="007F2C46">
          <w:rPr>
            <w:webHidden/>
          </w:rPr>
          <w:fldChar w:fldCharType="separate"/>
        </w:r>
        <w:r w:rsidR="007F2C46">
          <w:rPr>
            <w:webHidden/>
          </w:rPr>
          <w:t>13</w:t>
        </w:r>
        <w:r w:rsidR="007F2C46">
          <w:rPr>
            <w:webHidden/>
          </w:rPr>
          <w:fldChar w:fldCharType="end"/>
        </w:r>
      </w:hyperlink>
    </w:p>
    <w:p w14:paraId="4EDC8450" w14:textId="77777777" w:rsidR="007F2C46" w:rsidRDefault="001D4650">
      <w:pPr>
        <w:pStyle w:val="TOC2"/>
        <w:rPr>
          <w:rFonts w:asciiTheme="minorHAnsi" w:eastAsiaTheme="minorEastAsia" w:hAnsiTheme="minorHAnsi" w:cstheme="minorBidi"/>
          <w:sz w:val="22"/>
          <w:szCs w:val="22"/>
        </w:rPr>
      </w:pPr>
      <w:hyperlink w:anchor="_Toc524508489" w:history="1">
        <w:r w:rsidR="007F2C46" w:rsidRPr="00D848BC">
          <w:rPr>
            <w:rStyle w:val="Hyperlink"/>
          </w:rPr>
          <w:t>2.2 Sustainability, Ongoing Risks and Constraints</w:t>
        </w:r>
        <w:r w:rsidR="007F2C46">
          <w:rPr>
            <w:webHidden/>
          </w:rPr>
          <w:tab/>
        </w:r>
        <w:r w:rsidR="007F2C46">
          <w:rPr>
            <w:webHidden/>
          </w:rPr>
          <w:fldChar w:fldCharType="begin"/>
        </w:r>
        <w:r w:rsidR="007F2C46">
          <w:rPr>
            <w:webHidden/>
          </w:rPr>
          <w:instrText xml:space="preserve"> PAGEREF _Toc524508489 \h </w:instrText>
        </w:r>
        <w:r w:rsidR="007F2C46">
          <w:rPr>
            <w:webHidden/>
          </w:rPr>
        </w:r>
        <w:r w:rsidR="007F2C46">
          <w:rPr>
            <w:webHidden/>
          </w:rPr>
          <w:fldChar w:fldCharType="separate"/>
        </w:r>
        <w:r w:rsidR="007F2C46">
          <w:rPr>
            <w:webHidden/>
          </w:rPr>
          <w:t>14</w:t>
        </w:r>
        <w:r w:rsidR="007F2C46">
          <w:rPr>
            <w:webHidden/>
          </w:rPr>
          <w:fldChar w:fldCharType="end"/>
        </w:r>
      </w:hyperlink>
    </w:p>
    <w:p w14:paraId="7CCCD04B" w14:textId="77777777" w:rsidR="007F2C46" w:rsidRDefault="001D4650">
      <w:pPr>
        <w:pStyle w:val="TOC3"/>
        <w:rPr>
          <w:rFonts w:asciiTheme="minorHAnsi" w:eastAsiaTheme="minorEastAsia" w:hAnsiTheme="minorHAnsi" w:cstheme="minorBidi"/>
          <w:sz w:val="22"/>
          <w:szCs w:val="22"/>
        </w:rPr>
      </w:pPr>
      <w:hyperlink w:anchor="_Toc524508490" w:history="1">
        <w:r w:rsidR="007F2C46" w:rsidRPr="00D848BC">
          <w:rPr>
            <w:rStyle w:val="Hyperlink"/>
          </w:rPr>
          <w:t>2.2.1 Program 1: Exposure information management and tools</w:t>
        </w:r>
        <w:r w:rsidR="007F2C46">
          <w:rPr>
            <w:webHidden/>
          </w:rPr>
          <w:tab/>
        </w:r>
        <w:r w:rsidR="007F2C46">
          <w:rPr>
            <w:webHidden/>
          </w:rPr>
          <w:fldChar w:fldCharType="begin"/>
        </w:r>
        <w:r w:rsidR="007F2C46">
          <w:rPr>
            <w:webHidden/>
          </w:rPr>
          <w:instrText xml:space="preserve"> PAGEREF _Toc524508490 \h </w:instrText>
        </w:r>
        <w:r w:rsidR="007F2C46">
          <w:rPr>
            <w:webHidden/>
          </w:rPr>
        </w:r>
        <w:r w:rsidR="007F2C46">
          <w:rPr>
            <w:webHidden/>
          </w:rPr>
          <w:fldChar w:fldCharType="separate"/>
        </w:r>
        <w:r w:rsidR="007F2C46">
          <w:rPr>
            <w:webHidden/>
          </w:rPr>
          <w:t>15</w:t>
        </w:r>
        <w:r w:rsidR="007F2C46">
          <w:rPr>
            <w:webHidden/>
          </w:rPr>
          <w:fldChar w:fldCharType="end"/>
        </w:r>
      </w:hyperlink>
    </w:p>
    <w:p w14:paraId="585FC847" w14:textId="77777777" w:rsidR="007F2C46" w:rsidRDefault="001D4650">
      <w:pPr>
        <w:pStyle w:val="TOC3"/>
        <w:rPr>
          <w:rFonts w:asciiTheme="minorHAnsi" w:eastAsiaTheme="minorEastAsia" w:hAnsiTheme="minorHAnsi" w:cstheme="minorBidi"/>
          <w:sz w:val="22"/>
          <w:szCs w:val="22"/>
        </w:rPr>
      </w:pPr>
      <w:hyperlink w:anchor="_Toc524508491" w:history="1">
        <w:r w:rsidR="007F2C46" w:rsidRPr="00D848BC">
          <w:rPr>
            <w:rStyle w:val="Hyperlink"/>
          </w:rPr>
          <w:t>2.2.2 Program 2: InaSAFE use and enhancement</w:t>
        </w:r>
        <w:r w:rsidR="007F2C46">
          <w:rPr>
            <w:webHidden/>
          </w:rPr>
          <w:tab/>
        </w:r>
        <w:r w:rsidR="007F2C46">
          <w:rPr>
            <w:webHidden/>
          </w:rPr>
          <w:fldChar w:fldCharType="begin"/>
        </w:r>
        <w:r w:rsidR="007F2C46">
          <w:rPr>
            <w:webHidden/>
          </w:rPr>
          <w:instrText xml:space="preserve"> PAGEREF _Toc524508491 \h </w:instrText>
        </w:r>
        <w:r w:rsidR="007F2C46">
          <w:rPr>
            <w:webHidden/>
          </w:rPr>
        </w:r>
        <w:r w:rsidR="007F2C46">
          <w:rPr>
            <w:webHidden/>
          </w:rPr>
          <w:fldChar w:fldCharType="separate"/>
        </w:r>
        <w:r w:rsidR="007F2C46">
          <w:rPr>
            <w:webHidden/>
          </w:rPr>
          <w:t>16</w:t>
        </w:r>
        <w:r w:rsidR="007F2C46">
          <w:rPr>
            <w:webHidden/>
          </w:rPr>
          <w:fldChar w:fldCharType="end"/>
        </w:r>
      </w:hyperlink>
    </w:p>
    <w:p w14:paraId="6D932F5F" w14:textId="77777777" w:rsidR="007F2C46" w:rsidRDefault="001D4650">
      <w:pPr>
        <w:pStyle w:val="TOC3"/>
        <w:rPr>
          <w:rFonts w:asciiTheme="minorHAnsi" w:eastAsiaTheme="minorEastAsia" w:hAnsiTheme="minorHAnsi" w:cstheme="minorBidi"/>
          <w:sz w:val="22"/>
          <w:szCs w:val="22"/>
        </w:rPr>
      </w:pPr>
      <w:hyperlink w:anchor="_Toc524508492" w:history="1">
        <w:r w:rsidR="007F2C46" w:rsidRPr="00D848BC">
          <w:rPr>
            <w:rStyle w:val="Hyperlink"/>
          </w:rPr>
          <w:t>2.2.3 Program 3: Research training in active tectonics</w:t>
        </w:r>
        <w:r w:rsidR="007F2C46">
          <w:rPr>
            <w:webHidden/>
          </w:rPr>
          <w:tab/>
        </w:r>
        <w:r w:rsidR="007F2C46">
          <w:rPr>
            <w:webHidden/>
          </w:rPr>
          <w:fldChar w:fldCharType="begin"/>
        </w:r>
        <w:r w:rsidR="007F2C46">
          <w:rPr>
            <w:webHidden/>
          </w:rPr>
          <w:instrText xml:space="preserve"> PAGEREF _Toc524508492 \h </w:instrText>
        </w:r>
        <w:r w:rsidR="007F2C46">
          <w:rPr>
            <w:webHidden/>
          </w:rPr>
        </w:r>
        <w:r w:rsidR="007F2C46">
          <w:rPr>
            <w:webHidden/>
          </w:rPr>
          <w:fldChar w:fldCharType="separate"/>
        </w:r>
        <w:r w:rsidR="007F2C46">
          <w:rPr>
            <w:webHidden/>
          </w:rPr>
          <w:t>18</w:t>
        </w:r>
        <w:r w:rsidR="007F2C46">
          <w:rPr>
            <w:webHidden/>
          </w:rPr>
          <w:fldChar w:fldCharType="end"/>
        </w:r>
      </w:hyperlink>
    </w:p>
    <w:p w14:paraId="428D38B6" w14:textId="77777777" w:rsidR="007F2C46" w:rsidRDefault="001D4650">
      <w:pPr>
        <w:pStyle w:val="TOC3"/>
        <w:rPr>
          <w:rFonts w:asciiTheme="minorHAnsi" w:eastAsiaTheme="minorEastAsia" w:hAnsiTheme="minorHAnsi" w:cstheme="minorBidi"/>
          <w:sz w:val="22"/>
          <w:szCs w:val="22"/>
        </w:rPr>
      </w:pPr>
      <w:hyperlink w:anchor="_Toc524508493" w:history="1">
        <w:r w:rsidR="007F2C46" w:rsidRPr="00D848BC">
          <w:rPr>
            <w:rStyle w:val="Hyperlink"/>
          </w:rPr>
          <w:t>2.2.4 Program 4: Building hazard assessment capability</w:t>
        </w:r>
        <w:r w:rsidR="007F2C46">
          <w:rPr>
            <w:webHidden/>
          </w:rPr>
          <w:tab/>
        </w:r>
        <w:r w:rsidR="007F2C46">
          <w:rPr>
            <w:webHidden/>
          </w:rPr>
          <w:fldChar w:fldCharType="begin"/>
        </w:r>
        <w:r w:rsidR="007F2C46">
          <w:rPr>
            <w:webHidden/>
          </w:rPr>
          <w:instrText xml:space="preserve"> PAGEREF _Toc524508493 \h </w:instrText>
        </w:r>
        <w:r w:rsidR="007F2C46">
          <w:rPr>
            <w:webHidden/>
          </w:rPr>
        </w:r>
        <w:r w:rsidR="007F2C46">
          <w:rPr>
            <w:webHidden/>
          </w:rPr>
          <w:fldChar w:fldCharType="separate"/>
        </w:r>
        <w:r w:rsidR="007F2C46">
          <w:rPr>
            <w:webHidden/>
          </w:rPr>
          <w:t>18</w:t>
        </w:r>
        <w:r w:rsidR="007F2C46">
          <w:rPr>
            <w:webHidden/>
          </w:rPr>
          <w:fldChar w:fldCharType="end"/>
        </w:r>
      </w:hyperlink>
    </w:p>
    <w:p w14:paraId="3EC578DB" w14:textId="77777777" w:rsidR="007F2C46" w:rsidRDefault="001D4650">
      <w:pPr>
        <w:pStyle w:val="TOC3"/>
        <w:rPr>
          <w:rFonts w:asciiTheme="minorHAnsi" w:eastAsiaTheme="minorEastAsia" w:hAnsiTheme="minorHAnsi" w:cstheme="minorBidi"/>
          <w:sz w:val="22"/>
          <w:szCs w:val="22"/>
        </w:rPr>
      </w:pPr>
      <w:hyperlink w:anchor="_Toc524508494" w:history="1">
        <w:r w:rsidR="007F2C46" w:rsidRPr="00D848BC">
          <w:rPr>
            <w:rStyle w:val="Hyperlink"/>
          </w:rPr>
          <w:t>2.2.5 Program 5: Strengthened capability to store and use earthquake data</w:t>
        </w:r>
        <w:r w:rsidR="007F2C46">
          <w:rPr>
            <w:webHidden/>
          </w:rPr>
          <w:tab/>
        </w:r>
        <w:r w:rsidR="007F2C46">
          <w:rPr>
            <w:webHidden/>
          </w:rPr>
          <w:fldChar w:fldCharType="begin"/>
        </w:r>
        <w:r w:rsidR="007F2C46">
          <w:rPr>
            <w:webHidden/>
          </w:rPr>
          <w:instrText xml:space="preserve"> PAGEREF _Toc524508494 \h </w:instrText>
        </w:r>
        <w:r w:rsidR="007F2C46">
          <w:rPr>
            <w:webHidden/>
          </w:rPr>
        </w:r>
        <w:r w:rsidR="007F2C46">
          <w:rPr>
            <w:webHidden/>
          </w:rPr>
          <w:fldChar w:fldCharType="separate"/>
        </w:r>
        <w:r w:rsidR="007F2C46">
          <w:rPr>
            <w:webHidden/>
          </w:rPr>
          <w:t>20</w:t>
        </w:r>
        <w:r w:rsidR="007F2C46">
          <w:rPr>
            <w:webHidden/>
          </w:rPr>
          <w:fldChar w:fldCharType="end"/>
        </w:r>
      </w:hyperlink>
    </w:p>
    <w:p w14:paraId="38BA4220" w14:textId="77777777" w:rsidR="007F2C46" w:rsidRDefault="001D4650">
      <w:pPr>
        <w:pStyle w:val="TOC2"/>
        <w:rPr>
          <w:rFonts w:asciiTheme="minorHAnsi" w:eastAsiaTheme="minorEastAsia" w:hAnsiTheme="minorHAnsi" w:cstheme="minorBidi"/>
          <w:sz w:val="22"/>
          <w:szCs w:val="22"/>
        </w:rPr>
      </w:pPr>
      <w:hyperlink w:anchor="_Toc524508495" w:history="1">
        <w:r w:rsidR="007F2C46" w:rsidRPr="00D848BC">
          <w:rPr>
            <w:rStyle w:val="Hyperlink"/>
          </w:rPr>
          <w:t>2.3 Effectiveness</w:t>
        </w:r>
        <w:r w:rsidR="007F2C46">
          <w:rPr>
            <w:webHidden/>
          </w:rPr>
          <w:tab/>
        </w:r>
        <w:r w:rsidR="007F2C46">
          <w:rPr>
            <w:webHidden/>
          </w:rPr>
          <w:fldChar w:fldCharType="begin"/>
        </w:r>
        <w:r w:rsidR="007F2C46">
          <w:rPr>
            <w:webHidden/>
          </w:rPr>
          <w:instrText xml:space="preserve"> PAGEREF _Toc524508495 \h </w:instrText>
        </w:r>
        <w:r w:rsidR="007F2C46">
          <w:rPr>
            <w:webHidden/>
          </w:rPr>
        </w:r>
        <w:r w:rsidR="007F2C46">
          <w:rPr>
            <w:webHidden/>
          </w:rPr>
          <w:fldChar w:fldCharType="separate"/>
        </w:r>
        <w:r w:rsidR="007F2C46">
          <w:rPr>
            <w:webHidden/>
          </w:rPr>
          <w:t>21</w:t>
        </w:r>
        <w:r w:rsidR="007F2C46">
          <w:rPr>
            <w:webHidden/>
          </w:rPr>
          <w:fldChar w:fldCharType="end"/>
        </w:r>
      </w:hyperlink>
    </w:p>
    <w:p w14:paraId="5C8793EC" w14:textId="77777777" w:rsidR="007F2C46" w:rsidRDefault="001D4650">
      <w:pPr>
        <w:pStyle w:val="TOC2"/>
        <w:rPr>
          <w:rFonts w:asciiTheme="minorHAnsi" w:eastAsiaTheme="minorEastAsia" w:hAnsiTheme="minorHAnsi" w:cstheme="minorBidi"/>
          <w:sz w:val="22"/>
          <w:szCs w:val="22"/>
        </w:rPr>
      </w:pPr>
      <w:hyperlink w:anchor="_Toc524508496" w:history="1">
        <w:r w:rsidR="007F2C46" w:rsidRPr="00D848BC">
          <w:rPr>
            <w:rStyle w:val="Hyperlink"/>
          </w:rPr>
          <w:t>2.4 Efficiency</w:t>
        </w:r>
        <w:r w:rsidR="007F2C46">
          <w:rPr>
            <w:webHidden/>
          </w:rPr>
          <w:tab/>
        </w:r>
        <w:r w:rsidR="007F2C46">
          <w:rPr>
            <w:webHidden/>
          </w:rPr>
          <w:fldChar w:fldCharType="begin"/>
        </w:r>
        <w:r w:rsidR="007F2C46">
          <w:rPr>
            <w:webHidden/>
          </w:rPr>
          <w:instrText xml:space="preserve"> PAGEREF _Toc524508496 \h </w:instrText>
        </w:r>
        <w:r w:rsidR="007F2C46">
          <w:rPr>
            <w:webHidden/>
          </w:rPr>
        </w:r>
        <w:r w:rsidR="007F2C46">
          <w:rPr>
            <w:webHidden/>
          </w:rPr>
          <w:fldChar w:fldCharType="separate"/>
        </w:r>
        <w:r w:rsidR="007F2C46">
          <w:rPr>
            <w:webHidden/>
          </w:rPr>
          <w:t>21</w:t>
        </w:r>
        <w:r w:rsidR="007F2C46">
          <w:rPr>
            <w:webHidden/>
          </w:rPr>
          <w:fldChar w:fldCharType="end"/>
        </w:r>
      </w:hyperlink>
    </w:p>
    <w:p w14:paraId="5842BDD1" w14:textId="77777777" w:rsidR="007F2C46" w:rsidRDefault="001D4650">
      <w:pPr>
        <w:pStyle w:val="TOC2"/>
        <w:rPr>
          <w:rFonts w:asciiTheme="minorHAnsi" w:eastAsiaTheme="minorEastAsia" w:hAnsiTheme="minorHAnsi" w:cstheme="minorBidi"/>
          <w:sz w:val="22"/>
          <w:szCs w:val="22"/>
        </w:rPr>
      </w:pPr>
      <w:hyperlink w:anchor="_Toc524508497" w:history="1">
        <w:r w:rsidR="007F2C46" w:rsidRPr="00D848BC">
          <w:rPr>
            <w:rStyle w:val="Hyperlink"/>
          </w:rPr>
          <w:t>2.5 Monitoring and Evaluation</w:t>
        </w:r>
        <w:r w:rsidR="007F2C46">
          <w:rPr>
            <w:webHidden/>
          </w:rPr>
          <w:tab/>
        </w:r>
        <w:r w:rsidR="007F2C46">
          <w:rPr>
            <w:webHidden/>
          </w:rPr>
          <w:fldChar w:fldCharType="begin"/>
        </w:r>
        <w:r w:rsidR="007F2C46">
          <w:rPr>
            <w:webHidden/>
          </w:rPr>
          <w:instrText xml:space="preserve"> PAGEREF _Toc524508497 \h </w:instrText>
        </w:r>
        <w:r w:rsidR="007F2C46">
          <w:rPr>
            <w:webHidden/>
          </w:rPr>
        </w:r>
        <w:r w:rsidR="007F2C46">
          <w:rPr>
            <w:webHidden/>
          </w:rPr>
          <w:fldChar w:fldCharType="separate"/>
        </w:r>
        <w:r w:rsidR="007F2C46">
          <w:rPr>
            <w:webHidden/>
          </w:rPr>
          <w:t>22</w:t>
        </w:r>
        <w:r w:rsidR="007F2C46">
          <w:rPr>
            <w:webHidden/>
          </w:rPr>
          <w:fldChar w:fldCharType="end"/>
        </w:r>
      </w:hyperlink>
    </w:p>
    <w:p w14:paraId="1378E926" w14:textId="77777777" w:rsidR="007F2C46" w:rsidRDefault="001D4650">
      <w:pPr>
        <w:pStyle w:val="TOC1"/>
        <w:rPr>
          <w:rFonts w:asciiTheme="minorHAnsi" w:eastAsiaTheme="minorEastAsia" w:hAnsiTheme="minorHAnsi" w:cstheme="minorBidi"/>
          <w:sz w:val="22"/>
          <w:szCs w:val="22"/>
        </w:rPr>
      </w:pPr>
      <w:hyperlink w:anchor="_Toc524508498" w:history="1">
        <w:r w:rsidR="007F2C46" w:rsidRPr="00D848BC">
          <w:rPr>
            <w:rStyle w:val="Hyperlink"/>
          </w:rPr>
          <w:t>3 Cross Cutting Achievements and Adherence to DFAT Guidelines</w:t>
        </w:r>
        <w:r w:rsidR="007F2C46">
          <w:rPr>
            <w:webHidden/>
          </w:rPr>
          <w:tab/>
        </w:r>
        <w:r w:rsidR="007F2C46">
          <w:rPr>
            <w:webHidden/>
          </w:rPr>
          <w:fldChar w:fldCharType="begin"/>
        </w:r>
        <w:r w:rsidR="007F2C46">
          <w:rPr>
            <w:webHidden/>
          </w:rPr>
          <w:instrText xml:space="preserve"> PAGEREF _Toc524508498 \h </w:instrText>
        </w:r>
        <w:r w:rsidR="007F2C46">
          <w:rPr>
            <w:webHidden/>
          </w:rPr>
        </w:r>
        <w:r w:rsidR="007F2C46">
          <w:rPr>
            <w:webHidden/>
          </w:rPr>
          <w:fldChar w:fldCharType="separate"/>
        </w:r>
        <w:r w:rsidR="007F2C46">
          <w:rPr>
            <w:webHidden/>
          </w:rPr>
          <w:t>24</w:t>
        </w:r>
        <w:r w:rsidR="007F2C46">
          <w:rPr>
            <w:webHidden/>
          </w:rPr>
          <w:fldChar w:fldCharType="end"/>
        </w:r>
      </w:hyperlink>
    </w:p>
    <w:p w14:paraId="209511B3" w14:textId="77777777" w:rsidR="007F2C46" w:rsidRDefault="001D4650">
      <w:pPr>
        <w:pStyle w:val="TOC1"/>
        <w:rPr>
          <w:rFonts w:asciiTheme="minorHAnsi" w:eastAsiaTheme="minorEastAsia" w:hAnsiTheme="minorHAnsi" w:cstheme="minorBidi"/>
          <w:sz w:val="22"/>
          <w:szCs w:val="22"/>
        </w:rPr>
      </w:pPr>
      <w:hyperlink w:anchor="_Toc524508499" w:history="1">
        <w:r w:rsidR="007F2C46" w:rsidRPr="00D848BC">
          <w:rPr>
            <w:rStyle w:val="Hyperlink"/>
          </w:rPr>
          <w:t>4 Summary of Short Term Missions</w:t>
        </w:r>
        <w:r w:rsidR="007F2C46">
          <w:rPr>
            <w:webHidden/>
          </w:rPr>
          <w:tab/>
        </w:r>
        <w:r w:rsidR="007F2C46">
          <w:rPr>
            <w:webHidden/>
          </w:rPr>
          <w:fldChar w:fldCharType="begin"/>
        </w:r>
        <w:r w:rsidR="007F2C46">
          <w:rPr>
            <w:webHidden/>
          </w:rPr>
          <w:instrText xml:space="preserve"> PAGEREF _Toc524508499 \h </w:instrText>
        </w:r>
        <w:r w:rsidR="007F2C46">
          <w:rPr>
            <w:webHidden/>
          </w:rPr>
        </w:r>
        <w:r w:rsidR="007F2C46">
          <w:rPr>
            <w:webHidden/>
          </w:rPr>
          <w:fldChar w:fldCharType="separate"/>
        </w:r>
        <w:r w:rsidR="007F2C46">
          <w:rPr>
            <w:webHidden/>
          </w:rPr>
          <w:t>26</w:t>
        </w:r>
        <w:r w:rsidR="007F2C46">
          <w:rPr>
            <w:webHidden/>
          </w:rPr>
          <w:fldChar w:fldCharType="end"/>
        </w:r>
      </w:hyperlink>
    </w:p>
    <w:p w14:paraId="11D4D107" w14:textId="77777777" w:rsidR="007F2C46" w:rsidRDefault="001D4650">
      <w:pPr>
        <w:pStyle w:val="TOC2"/>
        <w:rPr>
          <w:rFonts w:asciiTheme="minorHAnsi" w:eastAsiaTheme="minorEastAsia" w:hAnsiTheme="minorHAnsi" w:cstheme="minorBidi"/>
          <w:sz w:val="22"/>
          <w:szCs w:val="22"/>
        </w:rPr>
      </w:pPr>
      <w:hyperlink w:anchor="_Toc524508500" w:history="1">
        <w:r w:rsidR="007F2C46" w:rsidRPr="00D848BC">
          <w:rPr>
            <w:rStyle w:val="Hyperlink"/>
          </w:rPr>
          <w:t>4.1 Missions unded through GA, Canberra, 2014-18</w:t>
        </w:r>
        <w:r w:rsidR="007F2C46">
          <w:rPr>
            <w:webHidden/>
          </w:rPr>
          <w:tab/>
        </w:r>
        <w:r w:rsidR="007F2C46">
          <w:rPr>
            <w:webHidden/>
          </w:rPr>
          <w:fldChar w:fldCharType="begin"/>
        </w:r>
        <w:r w:rsidR="007F2C46">
          <w:rPr>
            <w:webHidden/>
          </w:rPr>
          <w:instrText xml:space="preserve"> PAGEREF _Toc524508500 \h </w:instrText>
        </w:r>
        <w:r w:rsidR="007F2C46">
          <w:rPr>
            <w:webHidden/>
          </w:rPr>
        </w:r>
        <w:r w:rsidR="007F2C46">
          <w:rPr>
            <w:webHidden/>
          </w:rPr>
          <w:fldChar w:fldCharType="separate"/>
        </w:r>
        <w:r w:rsidR="007F2C46">
          <w:rPr>
            <w:webHidden/>
          </w:rPr>
          <w:t>26</w:t>
        </w:r>
        <w:r w:rsidR="007F2C46">
          <w:rPr>
            <w:webHidden/>
          </w:rPr>
          <w:fldChar w:fldCharType="end"/>
        </w:r>
      </w:hyperlink>
    </w:p>
    <w:p w14:paraId="2C63BA95" w14:textId="77777777" w:rsidR="007F2C46" w:rsidRDefault="001D4650">
      <w:pPr>
        <w:pStyle w:val="TOC2"/>
        <w:rPr>
          <w:rFonts w:asciiTheme="minorHAnsi" w:eastAsiaTheme="minorEastAsia" w:hAnsiTheme="minorHAnsi" w:cstheme="minorBidi"/>
          <w:sz w:val="22"/>
          <w:szCs w:val="22"/>
        </w:rPr>
      </w:pPr>
      <w:hyperlink w:anchor="_Toc524508501" w:history="1">
        <w:r w:rsidR="007F2C46" w:rsidRPr="00D848BC">
          <w:rPr>
            <w:rStyle w:val="Hyperlink"/>
          </w:rPr>
          <w:t>4.2 Missions funded through DFAT, Jakarta, 2014-18</w:t>
        </w:r>
        <w:r w:rsidR="007F2C46">
          <w:rPr>
            <w:webHidden/>
          </w:rPr>
          <w:tab/>
        </w:r>
        <w:r w:rsidR="007F2C46">
          <w:rPr>
            <w:webHidden/>
          </w:rPr>
          <w:fldChar w:fldCharType="begin"/>
        </w:r>
        <w:r w:rsidR="007F2C46">
          <w:rPr>
            <w:webHidden/>
          </w:rPr>
          <w:instrText xml:space="preserve"> PAGEREF _Toc524508501 \h </w:instrText>
        </w:r>
        <w:r w:rsidR="007F2C46">
          <w:rPr>
            <w:webHidden/>
          </w:rPr>
        </w:r>
        <w:r w:rsidR="007F2C46">
          <w:rPr>
            <w:webHidden/>
          </w:rPr>
          <w:fldChar w:fldCharType="separate"/>
        </w:r>
        <w:r w:rsidR="007F2C46">
          <w:rPr>
            <w:webHidden/>
          </w:rPr>
          <w:t>29</w:t>
        </w:r>
        <w:r w:rsidR="007F2C46">
          <w:rPr>
            <w:webHidden/>
          </w:rPr>
          <w:fldChar w:fldCharType="end"/>
        </w:r>
      </w:hyperlink>
    </w:p>
    <w:p w14:paraId="08F9B315" w14:textId="77777777" w:rsidR="007F2C46" w:rsidRDefault="001D4650">
      <w:pPr>
        <w:pStyle w:val="TOC1"/>
        <w:rPr>
          <w:rFonts w:asciiTheme="minorHAnsi" w:eastAsiaTheme="minorEastAsia" w:hAnsiTheme="minorHAnsi" w:cstheme="minorBidi"/>
          <w:sz w:val="22"/>
          <w:szCs w:val="22"/>
        </w:rPr>
      </w:pPr>
      <w:hyperlink w:anchor="_Toc524508502" w:history="1">
        <w:r w:rsidR="007F2C46" w:rsidRPr="00D848BC">
          <w:rPr>
            <w:rStyle w:val="Hyperlink"/>
          </w:rPr>
          <w:t>5 Acknowledgements</w:t>
        </w:r>
        <w:r w:rsidR="007F2C46">
          <w:rPr>
            <w:webHidden/>
          </w:rPr>
          <w:tab/>
        </w:r>
        <w:r w:rsidR="007F2C46">
          <w:rPr>
            <w:webHidden/>
          </w:rPr>
          <w:fldChar w:fldCharType="begin"/>
        </w:r>
        <w:r w:rsidR="007F2C46">
          <w:rPr>
            <w:webHidden/>
          </w:rPr>
          <w:instrText xml:space="preserve"> PAGEREF _Toc524508502 \h </w:instrText>
        </w:r>
        <w:r w:rsidR="007F2C46">
          <w:rPr>
            <w:webHidden/>
          </w:rPr>
        </w:r>
        <w:r w:rsidR="007F2C46">
          <w:rPr>
            <w:webHidden/>
          </w:rPr>
          <w:fldChar w:fldCharType="separate"/>
        </w:r>
        <w:r w:rsidR="007F2C46">
          <w:rPr>
            <w:webHidden/>
          </w:rPr>
          <w:t>32</w:t>
        </w:r>
        <w:r w:rsidR="007F2C46">
          <w:rPr>
            <w:webHidden/>
          </w:rPr>
          <w:fldChar w:fldCharType="end"/>
        </w:r>
      </w:hyperlink>
    </w:p>
    <w:p w14:paraId="2479E4AE" w14:textId="77777777" w:rsidR="002F2668" w:rsidRDefault="00B83794" w:rsidP="00CA7B69">
      <w:pPr>
        <w:pStyle w:val="BodyText"/>
      </w:pPr>
      <w:r>
        <w:fldChar w:fldCharType="end"/>
      </w:r>
    </w:p>
    <w:p w14:paraId="7346B6A2" w14:textId="77777777" w:rsidR="002F2668" w:rsidRPr="00CA7B69" w:rsidRDefault="002F2668" w:rsidP="00CA7B69">
      <w:pPr>
        <w:pStyle w:val="BodyText"/>
        <w:sectPr w:rsidR="002F2668" w:rsidRPr="00CA7B69" w:rsidSect="009C7B98">
          <w:headerReference w:type="even" r:id="rId14"/>
          <w:headerReference w:type="default" r:id="rId15"/>
          <w:footerReference w:type="even" r:id="rId16"/>
          <w:footerReference w:type="default" r:id="rId17"/>
          <w:pgSz w:w="11907" w:h="16840" w:code="9"/>
          <w:pgMar w:top="1418" w:right="1418" w:bottom="1418" w:left="1418" w:header="567" w:footer="170" w:gutter="0"/>
          <w:pgNumType w:fmt="lowerRoman" w:start="3"/>
          <w:cols w:space="720"/>
          <w:docGrid w:linePitch="272"/>
        </w:sectPr>
      </w:pPr>
    </w:p>
    <w:p w14:paraId="7AD9535E" w14:textId="77777777" w:rsidR="009D774A" w:rsidRDefault="009D774A" w:rsidP="009D774A">
      <w:pPr>
        <w:pStyle w:val="Heading1NoNumbers"/>
      </w:pPr>
      <w:bookmarkStart w:id="4" w:name="_Toc524508482"/>
      <w:bookmarkStart w:id="5" w:name="_Toc448492386"/>
      <w:r>
        <w:lastRenderedPageBreak/>
        <w:t>Acronyms</w:t>
      </w:r>
      <w:bookmarkEnd w:id="4"/>
    </w:p>
    <w:tbl>
      <w:tblPr>
        <w:tblStyle w:val="TableGANoHeader1"/>
        <w:tblW w:w="9286" w:type="dxa"/>
        <w:tblLook w:val="04A0" w:firstRow="1" w:lastRow="0" w:firstColumn="1" w:lastColumn="0" w:noHBand="0" w:noVBand="1"/>
      </w:tblPr>
      <w:tblGrid>
        <w:gridCol w:w="1809"/>
        <w:gridCol w:w="7477"/>
      </w:tblGrid>
      <w:tr w:rsidR="00C10CF2" w14:paraId="3F0DC6A3" w14:textId="77777777" w:rsidTr="001121D6">
        <w:trPr>
          <w:cnfStyle w:val="100000000000" w:firstRow="1" w:lastRow="0" w:firstColumn="0" w:lastColumn="0" w:oddVBand="0" w:evenVBand="0" w:oddHBand="0" w:evenHBand="0" w:firstRowFirstColumn="0" w:firstRowLastColumn="0" w:lastRowFirstColumn="0" w:lastRowLastColumn="0"/>
        </w:trPr>
        <w:tc>
          <w:tcPr>
            <w:tcW w:w="1809" w:type="dxa"/>
          </w:tcPr>
          <w:p w14:paraId="4C99AA85" w14:textId="66E8AE58" w:rsidR="00C10CF2" w:rsidRDefault="00C10CF2" w:rsidP="001117FF">
            <w:pPr>
              <w:pStyle w:val="TableTextLeft"/>
            </w:pPr>
            <w:r>
              <w:t>AS34</w:t>
            </w:r>
          </w:p>
        </w:tc>
        <w:tc>
          <w:tcPr>
            <w:tcW w:w="7477" w:type="dxa"/>
          </w:tcPr>
          <w:p w14:paraId="3E2F7E51" w14:textId="0E8A338F" w:rsidR="00C10CF2" w:rsidRDefault="00C10CF2" w:rsidP="001117FF">
            <w:pPr>
              <w:pStyle w:val="TableTextLeft"/>
            </w:pPr>
            <w:r>
              <w:t>Activity Schedule 34</w:t>
            </w:r>
          </w:p>
        </w:tc>
      </w:tr>
      <w:tr w:rsidR="008A3B40" w14:paraId="69D87EDB"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7E603A5A" w14:textId="77777777" w:rsidR="008A3B40" w:rsidRPr="00EC4278" w:rsidRDefault="008A3B40" w:rsidP="001117FF">
            <w:pPr>
              <w:pStyle w:val="TableTextLeft"/>
            </w:pPr>
            <w:r>
              <w:t>AHA</w:t>
            </w:r>
          </w:p>
        </w:tc>
        <w:tc>
          <w:tcPr>
            <w:tcW w:w="7477" w:type="dxa"/>
          </w:tcPr>
          <w:p w14:paraId="4CAB7C9D" w14:textId="77777777" w:rsidR="008A3B40" w:rsidRPr="00EC4278" w:rsidRDefault="00AB4F29" w:rsidP="001117FF">
            <w:pPr>
              <w:pStyle w:val="TableTextLeft"/>
            </w:pPr>
            <w:r>
              <w:t>ASEAN Coordinating Centre for Humanitarian Assistance on Disaster Management</w:t>
            </w:r>
          </w:p>
        </w:tc>
      </w:tr>
      <w:tr w:rsidR="00AB4F29" w14:paraId="50A18CA3"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31878003" w14:textId="77777777" w:rsidR="00AB4F29" w:rsidRPr="00EC4278" w:rsidRDefault="00AB4F29" w:rsidP="001117FF">
            <w:pPr>
              <w:pStyle w:val="TableTextLeft"/>
            </w:pPr>
            <w:r>
              <w:t>AIFDR</w:t>
            </w:r>
          </w:p>
        </w:tc>
        <w:tc>
          <w:tcPr>
            <w:tcW w:w="7477" w:type="dxa"/>
          </w:tcPr>
          <w:p w14:paraId="3646AE82" w14:textId="77777777" w:rsidR="00AB4F29" w:rsidRPr="00EC4278" w:rsidRDefault="00AB4F29" w:rsidP="001117FF">
            <w:pPr>
              <w:pStyle w:val="TableTextLeft"/>
            </w:pPr>
            <w:r>
              <w:t>Australia-Indonesia Facility for Disaster Reduction</w:t>
            </w:r>
          </w:p>
        </w:tc>
      </w:tr>
      <w:tr w:rsidR="00C10CF2" w14:paraId="5289C4C6"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1FB525BE" w14:textId="0B27F5FF" w:rsidR="00C10CF2" w:rsidRDefault="00C10CF2" w:rsidP="001117FF">
            <w:pPr>
              <w:pStyle w:val="TableTextLeft"/>
            </w:pPr>
            <w:r>
              <w:t>AITO</w:t>
            </w:r>
          </w:p>
        </w:tc>
        <w:tc>
          <w:tcPr>
            <w:tcW w:w="7477" w:type="dxa"/>
          </w:tcPr>
          <w:p w14:paraId="0375A00D" w14:textId="0A4EC6A9" w:rsidR="00C10CF2" w:rsidRDefault="00C10CF2" w:rsidP="001117FF">
            <w:pPr>
              <w:pStyle w:val="TableTextLeft"/>
            </w:pPr>
            <w:r w:rsidRPr="009F4E46">
              <w:t>Australia-Indonesia Tectonics Observatory</w:t>
            </w:r>
          </w:p>
        </w:tc>
      </w:tr>
      <w:tr w:rsidR="00AB4F29" w14:paraId="4E3FCF31"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609D3A21" w14:textId="77777777" w:rsidR="00AB4F29" w:rsidRPr="00EC4278" w:rsidRDefault="00AB4F29" w:rsidP="001117FF">
            <w:pPr>
              <w:pStyle w:val="TableTextLeft"/>
            </w:pPr>
            <w:r>
              <w:t>ANU</w:t>
            </w:r>
          </w:p>
        </w:tc>
        <w:tc>
          <w:tcPr>
            <w:tcW w:w="7477" w:type="dxa"/>
          </w:tcPr>
          <w:p w14:paraId="0ACBF9EE" w14:textId="77777777" w:rsidR="00AB4F29" w:rsidRPr="00EC4278" w:rsidRDefault="00AB4F29" w:rsidP="001117FF">
            <w:pPr>
              <w:pStyle w:val="TableTextLeft"/>
            </w:pPr>
            <w:r>
              <w:t>The Australian National University</w:t>
            </w:r>
          </w:p>
        </w:tc>
      </w:tr>
      <w:tr w:rsidR="00AB4F29" w14:paraId="31203027"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00FC5954" w14:textId="77777777" w:rsidR="00AB4F29" w:rsidRPr="00EC4278" w:rsidRDefault="00AB4F29" w:rsidP="001117FF">
            <w:pPr>
              <w:pStyle w:val="TableTextLeft"/>
            </w:pPr>
            <w:r>
              <w:t>ARC</w:t>
            </w:r>
          </w:p>
        </w:tc>
        <w:tc>
          <w:tcPr>
            <w:tcW w:w="7477" w:type="dxa"/>
          </w:tcPr>
          <w:p w14:paraId="6BFBACC7" w14:textId="77777777" w:rsidR="00AB4F29" w:rsidRPr="00EC4278" w:rsidRDefault="00AB4F29" w:rsidP="001117FF">
            <w:pPr>
              <w:pStyle w:val="TableTextLeft"/>
            </w:pPr>
            <w:r w:rsidRPr="00AB4F29">
              <w:t>Either: (1) Australian Research Council or (2) Australian Red Cross</w:t>
            </w:r>
          </w:p>
        </w:tc>
      </w:tr>
      <w:tr w:rsidR="009D774A" w14:paraId="4E6FCD1F"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3AE40FBA" w14:textId="77777777" w:rsidR="009D774A" w:rsidRPr="00EC4278" w:rsidRDefault="009D774A" w:rsidP="001117FF">
            <w:pPr>
              <w:pStyle w:val="TableTextLeft"/>
            </w:pPr>
            <w:r w:rsidRPr="00EC4278">
              <w:t>AS</w:t>
            </w:r>
          </w:p>
        </w:tc>
        <w:tc>
          <w:tcPr>
            <w:tcW w:w="7477" w:type="dxa"/>
          </w:tcPr>
          <w:p w14:paraId="5A3C17F4" w14:textId="77777777" w:rsidR="009D774A" w:rsidRPr="00EC4278" w:rsidRDefault="009D774A" w:rsidP="001117FF">
            <w:pPr>
              <w:pStyle w:val="TableTextLeft"/>
            </w:pPr>
            <w:r w:rsidRPr="00EC4278">
              <w:t>Activity Schedule</w:t>
            </w:r>
          </w:p>
        </w:tc>
      </w:tr>
      <w:tr w:rsidR="00AB4F29" w14:paraId="096D23B0"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321D042A" w14:textId="77777777" w:rsidR="00AB4F29" w:rsidRPr="00EC4278" w:rsidRDefault="00AB4F29" w:rsidP="001117FF">
            <w:pPr>
              <w:pStyle w:val="TableTextLeft"/>
            </w:pPr>
            <w:r>
              <w:t>AusAID</w:t>
            </w:r>
          </w:p>
        </w:tc>
        <w:tc>
          <w:tcPr>
            <w:tcW w:w="7477" w:type="dxa"/>
          </w:tcPr>
          <w:p w14:paraId="1E359A4C" w14:textId="77777777" w:rsidR="00AB4F29" w:rsidRPr="00EC4278" w:rsidRDefault="00AB4F29" w:rsidP="001117FF">
            <w:pPr>
              <w:pStyle w:val="TableTextLeft"/>
            </w:pPr>
            <w:r w:rsidRPr="00AB4F29">
              <w:t>Australian Agency for International Development</w:t>
            </w:r>
          </w:p>
        </w:tc>
      </w:tr>
      <w:tr w:rsidR="009D774A" w14:paraId="4C5CD103"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3AFED4C1" w14:textId="77777777" w:rsidR="009D774A" w:rsidRPr="00EC4278" w:rsidRDefault="009D774A" w:rsidP="001117FF">
            <w:pPr>
              <w:pStyle w:val="TableTextLeft"/>
            </w:pPr>
            <w:r w:rsidRPr="00EC4278">
              <w:t>AWI</w:t>
            </w:r>
          </w:p>
        </w:tc>
        <w:tc>
          <w:tcPr>
            <w:tcW w:w="7477" w:type="dxa"/>
          </w:tcPr>
          <w:p w14:paraId="5D34C455" w14:textId="77777777" w:rsidR="009D774A" w:rsidRPr="00EC4278" w:rsidRDefault="009D774A" w:rsidP="001117FF">
            <w:pPr>
              <w:pStyle w:val="TableTextLeft"/>
            </w:pPr>
            <w:r w:rsidRPr="00EC4278">
              <w:t>Alfred Wegner Institute</w:t>
            </w:r>
          </w:p>
        </w:tc>
      </w:tr>
      <w:tr w:rsidR="009D774A" w14:paraId="1D0F423B"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1FCB3BA8" w14:textId="77777777" w:rsidR="009D774A" w:rsidRPr="00EC4278" w:rsidRDefault="009D774A" w:rsidP="001117FF">
            <w:pPr>
              <w:pStyle w:val="TableTextLeft"/>
            </w:pPr>
            <w:r w:rsidRPr="00EC4278">
              <w:t>BG</w:t>
            </w:r>
          </w:p>
        </w:tc>
        <w:tc>
          <w:tcPr>
            <w:tcW w:w="7477" w:type="dxa"/>
          </w:tcPr>
          <w:p w14:paraId="52BC4E28" w14:textId="77777777" w:rsidR="009D774A" w:rsidRPr="00EC4278" w:rsidRDefault="009D774A" w:rsidP="001117FF">
            <w:pPr>
              <w:pStyle w:val="TableTextLeft"/>
            </w:pPr>
            <w:r w:rsidRPr="00EC4278">
              <w:t>Badan Geologi</w:t>
            </w:r>
          </w:p>
        </w:tc>
      </w:tr>
      <w:tr w:rsidR="009D774A" w14:paraId="59FF6156"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6D6C81E9" w14:textId="77777777" w:rsidR="009D774A" w:rsidRPr="00EC4278" w:rsidRDefault="009D774A" w:rsidP="001117FF">
            <w:pPr>
              <w:pStyle w:val="TableTextLeft"/>
            </w:pPr>
            <w:r w:rsidRPr="00EC4278">
              <w:t>BIG</w:t>
            </w:r>
          </w:p>
        </w:tc>
        <w:tc>
          <w:tcPr>
            <w:tcW w:w="7477" w:type="dxa"/>
          </w:tcPr>
          <w:p w14:paraId="76C0B57D" w14:textId="77777777" w:rsidR="009D774A" w:rsidRPr="00EC4278" w:rsidRDefault="009D774A" w:rsidP="001117FF">
            <w:pPr>
              <w:pStyle w:val="TableTextLeft"/>
            </w:pPr>
            <w:r w:rsidRPr="00EC4278">
              <w:t>Badan Informasi Geospatial</w:t>
            </w:r>
          </w:p>
        </w:tc>
      </w:tr>
      <w:tr w:rsidR="009D774A" w14:paraId="00B0B2C1"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354613DC" w14:textId="77777777" w:rsidR="009D774A" w:rsidRPr="00EC4278" w:rsidRDefault="009D774A" w:rsidP="001117FF">
            <w:pPr>
              <w:pStyle w:val="TableTextLeft"/>
            </w:pPr>
            <w:r w:rsidRPr="00EC4278">
              <w:t>BMKG</w:t>
            </w:r>
          </w:p>
        </w:tc>
        <w:tc>
          <w:tcPr>
            <w:tcW w:w="7477" w:type="dxa"/>
          </w:tcPr>
          <w:p w14:paraId="5C749CD0" w14:textId="77777777" w:rsidR="009D774A" w:rsidRPr="00EC4278" w:rsidRDefault="009D774A" w:rsidP="001117FF">
            <w:pPr>
              <w:pStyle w:val="TableTextLeft"/>
            </w:pPr>
            <w:r w:rsidRPr="00EC4278">
              <w:t>Badan Meterologi, Klimatologi dan Geofisika</w:t>
            </w:r>
          </w:p>
        </w:tc>
      </w:tr>
      <w:tr w:rsidR="009D774A" w14:paraId="495DF59E"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15C64BC4" w14:textId="77777777" w:rsidR="009D774A" w:rsidRPr="00EC4278" w:rsidRDefault="009D774A" w:rsidP="001117FF">
            <w:pPr>
              <w:pStyle w:val="TableTextLeft"/>
            </w:pPr>
            <w:r w:rsidRPr="00EC4278">
              <w:t>BNPB</w:t>
            </w:r>
          </w:p>
        </w:tc>
        <w:tc>
          <w:tcPr>
            <w:tcW w:w="7477" w:type="dxa"/>
          </w:tcPr>
          <w:p w14:paraId="735553C6" w14:textId="77777777" w:rsidR="00484D6B" w:rsidRDefault="00484D6B" w:rsidP="001117FF">
            <w:pPr>
              <w:pStyle w:val="TableTextLeft"/>
            </w:pPr>
            <w:r w:rsidRPr="00EC4278">
              <w:t>National Disaster Management Agency</w:t>
            </w:r>
          </w:p>
          <w:p w14:paraId="2B7BD9C4" w14:textId="77777777" w:rsidR="009D774A" w:rsidRPr="00EC4278" w:rsidRDefault="009D774A" w:rsidP="001117FF">
            <w:pPr>
              <w:pStyle w:val="TableTextLeft"/>
            </w:pPr>
            <w:r w:rsidRPr="00EC4278">
              <w:t>Badan National Penanggulangan Bencana</w:t>
            </w:r>
          </w:p>
        </w:tc>
      </w:tr>
      <w:tr w:rsidR="009D774A" w14:paraId="23DEF7B7"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34A477D4" w14:textId="77777777" w:rsidR="009D774A" w:rsidRPr="00EC4278" w:rsidRDefault="009D774A" w:rsidP="001117FF">
            <w:pPr>
              <w:pStyle w:val="TableTextLeft"/>
            </w:pPr>
            <w:r w:rsidRPr="00EC4278">
              <w:t>BoM</w:t>
            </w:r>
          </w:p>
        </w:tc>
        <w:tc>
          <w:tcPr>
            <w:tcW w:w="7477" w:type="dxa"/>
          </w:tcPr>
          <w:p w14:paraId="2495DA28" w14:textId="77777777" w:rsidR="009D774A" w:rsidRPr="00EC4278" w:rsidRDefault="009D774A" w:rsidP="001117FF">
            <w:pPr>
              <w:pStyle w:val="TableTextLeft"/>
            </w:pPr>
            <w:r w:rsidRPr="00EC4278">
              <w:t>Bureau of Meteorology</w:t>
            </w:r>
          </w:p>
        </w:tc>
      </w:tr>
      <w:tr w:rsidR="00B62258" w14:paraId="17868474"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3BD1F063" w14:textId="77777777" w:rsidR="00B62258" w:rsidRPr="00EC4278" w:rsidRDefault="00B62258" w:rsidP="001117FF">
            <w:pPr>
              <w:pStyle w:val="TableTextLeft"/>
            </w:pPr>
            <w:r>
              <w:t>BPBD</w:t>
            </w:r>
          </w:p>
        </w:tc>
        <w:tc>
          <w:tcPr>
            <w:tcW w:w="7477" w:type="dxa"/>
          </w:tcPr>
          <w:p w14:paraId="7FFFD5AF" w14:textId="77777777" w:rsidR="00484D6B" w:rsidRDefault="00484D6B" w:rsidP="001117FF">
            <w:pPr>
              <w:pStyle w:val="TableTextLeft"/>
            </w:pPr>
            <w:r>
              <w:t>Provincial office of the National Disaster Management Agency</w:t>
            </w:r>
          </w:p>
          <w:p w14:paraId="14B5A4F8" w14:textId="77777777" w:rsidR="00AB4F29" w:rsidRPr="00EC4278" w:rsidRDefault="00AB4F29" w:rsidP="001117FF">
            <w:pPr>
              <w:pStyle w:val="TableTextLeft"/>
            </w:pPr>
            <w:r w:rsidRPr="00AB4F29">
              <w:t>Badan Penanggulangan Bencana Daerah</w:t>
            </w:r>
          </w:p>
        </w:tc>
      </w:tr>
      <w:tr w:rsidR="009D774A" w14:paraId="06FC768D"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1E941F20" w14:textId="77777777" w:rsidR="009D774A" w:rsidRPr="00EC4278" w:rsidRDefault="009D774A" w:rsidP="001117FF">
            <w:pPr>
              <w:pStyle w:val="TableTextLeft"/>
            </w:pPr>
            <w:r w:rsidRPr="00EC4278">
              <w:t>BPBD DKI Jakarta</w:t>
            </w:r>
          </w:p>
        </w:tc>
        <w:tc>
          <w:tcPr>
            <w:tcW w:w="7477" w:type="dxa"/>
          </w:tcPr>
          <w:p w14:paraId="337ABEF4" w14:textId="77777777" w:rsidR="009D774A" w:rsidRPr="00EC4278" w:rsidRDefault="009D774A" w:rsidP="001117FF">
            <w:pPr>
              <w:pStyle w:val="TableTextLeft"/>
            </w:pPr>
            <w:r w:rsidRPr="00EC4278">
              <w:t>Badan Penanggulangan Bencana Daerah Daerah Khusus Ibukota Jakarta</w:t>
            </w:r>
          </w:p>
        </w:tc>
      </w:tr>
      <w:tr w:rsidR="00AB4F29" w14:paraId="4E9F964C"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1E5CC5E2" w14:textId="77777777" w:rsidR="00AB4F29" w:rsidRPr="00EC4278" w:rsidRDefault="00AB4F29" w:rsidP="001117FF">
            <w:pPr>
              <w:pStyle w:val="TableTextLeft"/>
            </w:pPr>
            <w:r>
              <w:t>BPPT</w:t>
            </w:r>
            <w:r>
              <w:tab/>
            </w:r>
          </w:p>
          <w:p w14:paraId="68202D97" w14:textId="77777777" w:rsidR="00AB4F29" w:rsidRPr="00EC4278" w:rsidRDefault="00AB4F29" w:rsidP="001117FF">
            <w:pPr>
              <w:pStyle w:val="TableTextLeft"/>
            </w:pPr>
          </w:p>
        </w:tc>
        <w:tc>
          <w:tcPr>
            <w:tcW w:w="7477" w:type="dxa"/>
          </w:tcPr>
          <w:p w14:paraId="3581E66D" w14:textId="77777777" w:rsidR="00484D6B" w:rsidRDefault="00484D6B" w:rsidP="001117FF">
            <w:pPr>
              <w:pStyle w:val="TableTextLeft"/>
            </w:pPr>
            <w:r>
              <w:t>The Agency for the Assessment and Application of Technology</w:t>
            </w:r>
          </w:p>
          <w:p w14:paraId="5371C501" w14:textId="77777777" w:rsidR="00AB4F29" w:rsidRPr="00EC4278" w:rsidRDefault="00AB4F29" w:rsidP="001117FF">
            <w:pPr>
              <w:pStyle w:val="TableTextLeft"/>
            </w:pPr>
            <w:r>
              <w:t>Badan Pengkajian dan Penerapan Teknologi</w:t>
            </w:r>
          </w:p>
        </w:tc>
      </w:tr>
      <w:tr w:rsidR="00AB4F29" w14:paraId="06DCFF68"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5B55C0C4" w14:textId="77777777" w:rsidR="00AB4F29" w:rsidRPr="00EC4278" w:rsidRDefault="00AB4F29" w:rsidP="001117FF">
            <w:pPr>
              <w:pStyle w:val="TableTextLeft"/>
            </w:pPr>
            <w:r>
              <w:t>CDSP</w:t>
            </w:r>
            <w:r>
              <w:tab/>
            </w:r>
          </w:p>
        </w:tc>
        <w:tc>
          <w:tcPr>
            <w:tcW w:w="7477" w:type="dxa"/>
          </w:tcPr>
          <w:p w14:paraId="03D11345" w14:textId="77777777" w:rsidR="00AB4F29" w:rsidRPr="00EC4278" w:rsidRDefault="00AB4F29" w:rsidP="001117FF">
            <w:pPr>
              <w:pStyle w:val="TableTextLeft"/>
            </w:pPr>
            <w:r>
              <w:t>Capacity Development Support Program/Partnership</w:t>
            </w:r>
          </w:p>
        </w:tc>
      </w:tr>
      <w:tr w:rsidR="00AB4F29" w14:paraId="10E980D4"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673EFB3E" w14:textId="77777777" w:rsidR="00AB4F29" w:rsidRPr="00EC4278" w:rsidRDefault="00AB4F29" w:rsidP="001117FF">
            <w:pPr>
              <w:pStyle w:val="TableTextLeft"/>
            </w:pPr>
            <w:r>
              <w:t>CSO</w:t>
            </w:r>
          </w:p>
        </w:tc>
        <w:tc>
          <w:tcPr>
            <w:tcW w:w="7477" w:type="dxa"/>
          </w:tcPr>
          <w:p w14:paraId="763957C8" w14:textId="77777777" w:rsidR="00AB4F29" w:rsidRPr="00EC4278" w:rsidRDefault="00AB4F29" w:rsidP="001117FF">
            <w:pPr>
              <w:pStyle w:val="TableTextLeft"/>
            </w:pPr>
            <w:r>
              <w:t>Civil Society Organisation</w:t>
            </w:r>
          </w:p>
        </w:tc>
      </w:tr>
      <w:tr w:rsidR="00AB4F29" w14:paraId="7D23D548"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69001184" w14:textId="77777777" w:rsidR="00AB4F29" w:rsidRPr="00EC4278" w:rsidRDefault="00AB4F29" w:rsidP="001117FF">
            <w:pPr>
              <w:pStyle w:val="TableTextLeft"/>
            </w:pPr>
            <w:r>
              <w:t>DEM</w:t>
            </w:r>
          </w:p>
        </w:tc>
        <w:tc>
          <w:tcPr>
            <w:tcW w:w="7477" w:type="dxa"/>
          </w:tcPr>
          <w:p w14:paraId="42ACE040" w14:textId="77777777" w:rsidR="00AB4F29" w:rsidRPr="00EC4278" w:rsidRDefault="00AB4F29" w:rsidP="001117FF">
            <w:pPr>
              <w:pStyle w:val="TableTextLeft"/>
            </w:pPr>
            <w:r>
              <w:t>Digital Elevation Model</w:t>
            </w:r>
          </w:p>
        </w:tc>
      </w:tr>
      <w:tr w:rsidR="009D774A" w14:paraId="65E69425"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62BA29C9" w14:textId="77777777" w:rsidR="009D774A" w:rsidRPr="00EC4278" w:rsidRDefault="009D774A" w:rsidP="001117FF">
            <w:pPr>
              <w:pStyle w:val="TableTextLeft"/>
            </w:pPr>
            <w:r w:rsidRPr="00EC4278">
              <w:t>DFAT</w:t>
            </w:r>
          </w:p>
        </w:tc>
        <w:tc>
          <w:tcPr>
            <w:tcW w:w="7477" w:type="dxa"/>
          </w:tcPr>
          <w:p w14:paraId="1AE1DCF6" w14:textId="77777777" w:rsidR="009D774A" w:rsidRPr="00EC4278" w:rsidRDefault="009D774A" w:rsidP="001117FF">
            <w:pPr>
              <w:pStyle w:val="TableTextLeft"/>
            </w:pPr>
            <w:r w:rsidRPr="00EC4278">
              <w:t>Department of Foreign Affairs and Trade</w:t>
            </w:r>
          </w:p>
        </w:tc>
      </w:tr>
      <w:tr w:rsidR="009D774A" w14:paraId="6CF3DAE0"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59CE33EB" w14:textId="77777777" w:rsidR="009D774A" w:rsidRPr="00EC4278" w:rsidRDefault="009D774A" w:rsidP="001117FF">
            <w:pPr>
              <w:pStyle w:val="TableTextLeft"/>
            </w:pPr>
            <w:r w:rsidRPr="00EC4278">
              <w:t>DMInnovation</w:t>
            </w:r>
          </w:p>
        </w:tc>
        <w:tc>
          <w:tcPr>
            <w:tcW w:w="7477" w:type="dxa"/>
          </w:tcPr>
          <w:p w14:paraId="56AAAE76" w14:textId="77777777" w:rsidR="009D774A" w:rsidRPr="00EC4278" w:rsidRDefault="009D774A" w:rsidP="001117FF">
            <w:pPr>
              <w:pStyle w:val="TableTextLeft"/>
            </w:pPr>
            <w:r w:rsidRPr="00EC4278">
              <w:t>Australian Government project in Indonesia to encourage the use of science and technology in Indonesian disaster management. Managed by GA and funded by DFAT</w:t>
            </w:r>
          </w:p>
        </w:tc>
      </w:tr>
      <w:tr w:rsidR="00484D6B" w14:paraId="6737E91D"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6220C6CC" w14:textId="77777777" w:rsidR="00484D6B" w:rsidRPr="00EC4278" w:rsidRDefault="00484D6B" w:rsidP="001117FF">
            <w:pPr>
              <w:pStyle w:val="TableTextLeft"/>
            </w:pPr>
            <w:r>
              <w:t>DM</w:t>
            </w:r>
          </w:p>
        </w:tc>
        <w:tc>
          <w:tcPr>
            <w:tcW w:w="7477" w:type="dxa"/>
          </w:tcPr>
          <w:p w14:paraId="1E777107" w14:textId="77777777" w:rsidR="00484D6B" w:rsidRPr="00EC4278" w:rsidRDefault="00484D6B" w:rsidP="001117FF">
            <w:pPr>
              <w:pStyle w:val="TableTextLeft"/>
            </w:pPr>
            <w:r w:rsidRPr="00EC4278">
              <w:t>Disaster Management</w:t>
            </w:r>
          </w:p>
        </w:tc>
      </w:tr>
      <w:tr w:rsidR="00484D6B" w14:paraId="7E58A0BB"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66F6F9FD" w14:textId="77777777" w:rsidR="00484D6B" w:rsidRPr="00EC4278" w:rsidRDefault="00484D6B" w:rsidP="001117FF">
            <w:pPr>
              <w:pStyle w:val="TableTextLeft"/>
            </w:pPr>
            <w:r>
              <w:t>DMU</w:t>
            </w:r>
          </w:p>
        </w:tc>
        <w:tc>
          <w:tcPr>
            <w:tcW w:w="7477" w:type="dxa"/>
          </w:tcPr>
          <w:p w14:paraId="2BE153CD" w14:textId="77777777" w:rsidR="00484D6B" w:rsidRPr="00EC4278" w:rsidRDefault="00484D6B" w:rsidP="001117FF">
            <w:pPr>
              <w:pStyle w:val="TableTextLeft"/>
            </w:pPr>
            <w:r w:rsidRPr="00EC4278">
              <w:t>Disaster Management</w:t>
            </w:r>
            <w:r>
              <w:t xml:space="preserve"> Unit</w:t>
            </w:r>
          </w:p>
        </w:tc>
      </w:tr>
      <w:tr w:rsidR="00484D6B" w14:paraId="61DE5765"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291B2E28" w14:textId="77777777" w:rsidR="00484D6B" w:rsidRPr="00EC4278" w:rsidRDefault="00484D6B" w:rsidP="001117FF">
            <w:pPr>
              <w:pStyle w:val="TableTextLeft"/>
            </w:pPr>
            <w:r w:rsidRPr="00EC4278">
              <w:t>DRM</w:t>
            </w:r>
          </w:p>
        </w:tc>
        <w:tc>
          <w:tcPr>
            <w:tcW w:w="7477" w:type="dxa"/>
          </w:tcPr>
          <w:p w14:paraId="12C670B4" w14:textId="77777777" w:rsidR="00484D6B" w:rsidRPr="00EC4278" w:rsidRDefault="00484D6B" w:rsidP="001117FF">
            <w:pPr>
              <w:pStyle w:val="TableTextLeft"/>
            </w:pPr>
            <w:r w:rsidRPr="00EC4278">
              <w:t>Disaster Risk Management</w:t>
            </w:r>
          </w:p>
        </w:tc>
      </w:tr>
      <w:tr w:rsidR="00484D6B" w14:paraId="7A499D22"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29CBABC3" w14:textId="77777777" w:rsidR="00484D6B" w:rsidRPr="00EC4278" w:rsidRDefault="00484D6B" w:rsidP="001117FF">
            <w:pPr>
              <w:pStyle w:val="TableTextLeft"/>
            </w:pPr>
            <w:r w:rsidRPr="00EC4278">
              <w:t>DRR</w:t>
            </w:r>
          </w:p>
        </w:tc>
        <w:tc>
          <w:tcPr>
            <w:tcW w:w="7477" w:type="dxa"/>
          </w:tcPr>
          <w:p w14:paraId="05892B2A" w14:textId="77777777" w:rsidR="00484D6B" w:rsidRPr="00EC4278" w:rsidRDefault="00484D6B" w:rsidP="001117FF">
            <w:pPr>
              <w:pStyle w:val="TableTextLeft"/>
            </w:pPr>
            <w:r w:rsidRPr="00EC4278">
              <w:t>Disaster Risk Reduction</w:t>
            </w:r>
          </w:p>
        </w:tc>
      </w:tr>
      <w:tr w:rsidR="00484D6B" w14:paraId="746F6E77"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751E0800" w14:textId="77777777" w:rsidR="00484D6B" w:rsidRDefault="00484D6B" w:rsidP="001117FF">
            <w:pPr>
              <w:pStyle w:val="TableTextLeft"/>
            </w:pPr>
            <w:r>
              <w:t>DRU</w:t>
            </w:r>
          </w:p>
        </w:tc>
        <w:tc>
          <w:tcPr>
            <w:tcW w:w="7477" w:type="dxa"/>
          </w:tcPr>
          <w:p w14:paraId="1C25E283" w14:textId="77777777" w:rsidR="00484D6B" w:rsidRPr="001121D6" w:rsidRDefault="00484D6B" w:rsidP="001117FF">
            <w:pPr>
              <w:pStyle w:val="TableTextLeft"/>
            </w:pPr>
            <w:r w:rsidRPr="00484D6B">
              <w:t>Disaster Response Unit</w:t>
            </w:r>
          </w:p>
        </w:tc>
      </w:tr>
      <w:tr w:rsidR="00484D6B" w14:paraId="67C5ED20"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71EDB1E1" w14:textId="77777777" w:rsidR="00484D6B" w:rsidRPr="00EC4278" w:rsidRDefault="00484D6B" w:rsidP="001117FF">
            <w:pPr>
              <w:pStyle w:val="TableTextLeft"/>
            </w:pPr>
            <w:r>
              <w:t>DUPR</w:t>
            </w:r>
          </w:p>
        </w:tc>
        <w:tc>
          <w:tcPr>
            <w:tcW w:w="7477" w:type="dxa"/>
          </w:tcPr>
          <w:p w14:paraId="46CDFF3F" w14:textId="77777777" w:rsidR="00484D6B" w:rsidRPr="00EC4278" w:rsidRDefault="00484D6B" w:rsidP="001117FF">
            <w:pPr>
              <w:pStyle w:val="TableTextLeft"/>
            </w:pPr>
            <w:r w:rsidRPr="001121D6">
              <w:t>Ministry of Public Works and Housing</w:t>
            </w:r>
          </w:p>
        </w:tc>
      </w:tr>
      <w:tr w:rsidR="00484D6B" w14:paraId="0CAFAE9D"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2F26CB47" w14:textId="77777777" w:rsidR="00484D6B" w:rsidRPr="00EC4278" w:rsidRDefault="00484D6B" w:rsidP="001117FF">
            <w:pPr>
              <w:pStyle w:val="TableTextLeft"/>
            </w:pPr>
            <w:r>
              <w:t>EOC</w:t>
            </w:r>
          </w:p>
        </w:tc>
        <w:tc>
          <w:tcPr>
            <w:tcW w:w="7477" w:type="dxa"/>
          </w:tcPr>
          <w:p w14:paraId="7E5136C9" w14:textId="77777777" w:rsidR="00484D6B" w:rsidRPr="00EC4278" w:rsidRDefault="00484D6B" w:rsidP="001117FF">
            <w:pPr>
              <w:pStyle w:val="TableTextLeft"/>
            </w:pPr>
            <w:r>
              <w:t>Emergency Operation Centre</w:t>
            </w:r>
          </w:p>
        </w:tc>
      </w:tr>
      <w:tr w:rsidR="00484D6B" w14:paraId="004A5E2E"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4ACA7E99" w14:textId="77777777" w:rsidR="00484D6B" w:rsidRPr="00EC4278" w:rsidRDefault="00484D6B" w:rsidP="001117FF">
            <w:pPr>
              <w:pStyle w:val="TableTextLeft"/>
            </w:pPr>
            <w:r>
              <w:t>EWS</w:t>
            </w:r>
          </w:p>
        </w:tc>
        <w:tc>
          <w:tcPr>
            <w:tcW w:w="7477" w:type="dxa"/>
          </w:tcPr>
          <w:p w14:paraId="55678AF3" w14:textId="77777777" w:rsidR="00484D6B" w:rsidRPr="00EC4278" w:rsidRDefault="00484D6B" w:rsidP="001117FF">
            <w:pPr>
              <w:pStyle w:val="TableTextLeft"/>
            </w:pPr>
            <w:r>
              <w:t>Early Warning System</w:t>
            </w:r>
          </w:p>
        </w:tc>
      </w:tr>
      <w:tr w:rsidR="00484D6B" w14:paraId="2C898315"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400BAC47" w14:textId="77777777" w:rsidR="00484D6B" w:rsidRPr="00EC4278" w:rsidRDefault="00484D6B" w:rsidP="001117FF">
            <w:pPr>
              <w:pStyle w:val="TableTextLeft"/>
            </w:pPr>
            <w:r w:rsidRPr="00EC4278">
              <w:t>GA</w:t>
            </w:r>
          </w:p>
        </w:tc>
        <w:tc>
          <w:tcPr>
            <w:tcW w:w="7477" w:type="dxa"/>
          </w:tcPr>
          <w:p w14:paraId="1ADD0806" w14:textId="77777777" w:rsidR="00484D6B" w:rsidRPr="00EC4278" w:rsidRDefault="00484D6B" w:rsidP="001117FF">
            <w:pPr>
              <w:pStyle w:val="TableTextLeft"/>
            </w:pPr>
            <w:r w:rsidRPr="00EC4278">
              <w:t>Geoscience Australia</w:t>
            </w:r>
          </w:p>
        </w:tc>
      </w:tr>
      <w:tr w:rsidR="00484D6B" w14:paraId="1E49F7BD"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3276793F" w14:textId="77777777" w:rsidR="00484D6B" w:rsidRPr="00EC4278" w:rsidRDefault="00484D6B" w:rsidP="001117FF">
            <w:pPr>
              <w:pStyle w:val="TableTextLeft"/>
            </w:pPr>
            <w:r w:rsidRPr="00EC4278">
              <w:t>GA</w:t>
            </w:r>
            <w:r>
              <w:t>R</w:t>
            </w:r>
          </w:p>
        </w:tc>
        <w:tc>
          <w:tcPr>
            <w:tcW w:w="7477" w:type="dxa"/>
          </w:tcPr>
          <w:p w14:paraId="06163DB5" w14:textId="77777777" w:rsidR="00484D6B" w:rsidRPr="00EC4278" w:rsidRDefault="00484D6B" w:rsidP="001117FF">
            <w:pPr>
              <w:pStyle w:val="TableTextLeft"/>
            </w:pPr>
            <w:r>
              <w:t xml:space="preserve">Global Assessment Report </w:t>
            </w:r>
            <w:r w:rsidRPr="00484D6B">
              <w:t>on Disaster Risk Reduction</w:t>
            </w:r>
          </w:p>
        </w:tc>
      </w:tr>
      <w:tr w:rsidR="00484D6B" w14:paraId="1D6B7497"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16B1BCDE" w14:textId="77777777" w:rsidR="00484D6B" w:rsidRPr="00EC4278" w:rsidRDefault="00484D6B" w:rsidP="001117FF">
            <w:pPr>
              <w:pStyle w:val="TableTextLeft"/>
            </w:pPr>
            <w:r w:rsidRPr="00EC4278">
              <w:t>GEM</w:t>
            </w:r>
          </w:p>
        </w:tc>
        <w:tc>
          <w:tcPr>
            <w:tcW w:w="7477" w:type="dxa"/>
          </w:tcPr>
          <w:p w14:paraId="3BA754C2" w14:textId="77777777" w:rsidR="00484D6B" w:rsidRPr="00EC4278" w:rsidRDefault="00484D6B" w:rsidP="001117FF">
            <w:pPr>
              <w:pStyle w:val="TableTextLeft"/>
            </w:pPr>
            <w:r w:rsidRPr="00EC4278">
              <w:t>Global Earthquake Model</w:t>
            </w:r>
          </w:p>
        </w:tc>
      </w:tr>
      <w:tr w:rsidR="00484D6B" w14:paraId="73C690BD"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3E647DBA" w14:textId="77777777" w:rsidR="00484D6B" w:rsidRPr="00EC4278" w:rsidRDefault="00484D6B" w:rsidP="001117FF">
            <w:pPr>
              <w:pStyle w:val="TableTextLeft"/>
            </w:pPr>
            <w:r w:rsidRPr="00484D6B">
              <w:t>GFDRR</w:t>
            </w:r>
          </w:p>
        </w:tc>
        <w:tc>
          <w:tcPr>
            <w:tcW w:w="7477" w:type="dxa"/>
          </w:tcPr>
          <w:p w14:paraId="30381D3E" w14:textId="77777777" w:rsidR="00484D6B" w:rsidRPr="00EC4278" w:rsidRDefault="00484D6B" w:rsidP="001117FF">
            <w:pPr>
              <w:pStyle w:val="TableTextLeft"/>
            </w:pPr>
            <w:r w:rsidRPr="00484D6B">
              <w:t>World Bank Global Facility for Disaster Reduction and Recovery</w:t>
            </w:r>
          </w:p>
        </w:tc>
      </w:tr>
      <w:tr w:rsidR="00484D6B" w14:paraId="244698F6"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23AB8BDD" w14:textId="77777777" w:rsidR="00484D6B" w:rsidRPr="00EC4278" w:rsidRDefault="00484D6B" w:rsidP="001117FF">
            <w:pPr>
              <w:pStyle w:val="TableTextLeft"/>
            </w:pPr>
            <w:r w:rsidRPr="00EC4278">
              <w:t>GoA</w:t>
            </w:r>
          </w:p>
        </w:tc>
        <w:tc>
          <w:tcPr>
            <w:tcW w:w="7477" w:type="dxa"/>
          </w:tcPr>
          <w:p w14:paraId="072151AA" w14:textId="77777777" w:rsidR="00484D6B" w:rsidRPr="00EC4278" w:rsidRDefault="00484D6B" w:rsidP="001117FF">
            <w:pPr>
              <w:pStyle w:val="TableTextLeft"/>
            </w:pPr>
            <w:r w:rsidRPr="00EC4278">
              <w:t>Government of Australia</w:t>
            </w:r>
          </w:p>
        </w:tc>
      </w:tr>
      <w:tr w:rsidR="00484D6B" w14:paraId="6B6FCB53"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4366E3AB" w14:textId="77777777" w:rsidR="00484D6B" w:rsidRPr="00EC4278" w:rsidRDefault="00484D6B" w:rsidP="001117FF">
            <w:pPr>
              <w:pStyle w:val="TableTextLeft"/>
            </w:pPr>
            <w:r w:rsidRPr="00EC4278">
              <w:t>GoI</w:t>
            </w:r>
          </w:p>
        </w:tc>
        <w:tc>
          <w:tcPr>
            <w:tcW w:w="7477" w:type="dxa"/>
          </w:tcPr>
          <w:p w14:paraId="5D38E9D7" w14:textId="77777777" w:rsidR="00484D6B" w:rsidRPr="00EC4278" w:rsidRDefault="00484D6B" w:rsidP="001117FF">
            <w:pPr>
              <w:pStyle w:val="TableTextLeft"/>
            </w:pPr>
            <w:r w:rsidRPr="00EC4278">
              <w:t>Government of Indonesia</w:t>
            </w:r>
          </w:p>
        </w:tc>
      </w:tr>
      <w:tr w:rsidR="00484D6B" w14:paraId="58D9D538"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3AD81069" w14:textId="77777777" w:rsidR="00484D6B" w:rsidRPr="00EC4278" w:rsidRDefault="00484D6B" w:rsidP="001117FF">
            <w:pPr>
              <w:pStyle w:val="TableTextLeft"/>
            </w:pPr>
            <w:r w:rsidRPr="00484D6B">
              <w:t>GREAT</w:t>
            </w:r>
          </w:p>
        </w:tc>
        <w:tc>
          <w:tcPr>
            <w:tcW w:w="7477" w:type="dxa"/>
          </w:tcPr>
          <w:p w14:paraId="0DFA5D4C" w14:textId="77777777" w:rsidR="00484D6B" w:rsidRPr="00EC4278" w:rsidRDefault="00484D6B" w:rsidP="001117FF">
            <w:pPr>
              <w:pStyle w:val="TableTextLeft"/>
            </w:pPr>
            <w:r w:rsidRPr="00484D6B">
              <w:t>Graduate Research in Earthquakes and Active Tectonics (ITB program)</w:t>
            </w:r>
          </w:p>
        </w:tc>
      </w:tr>
      <w:tr w:rsidR="00484D6B" w14:paraId="25685EA1"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37D5B06B" w14:textId="77777777" w:rsidR="00484D6B" w:rsidRPr="00EC4278" w:rsidRDefault="00484D6B" w:rsidP="001117FF">
            <w:pPr>
              <w:pStyle w:val="TableTextLeft"/>
            </w:pPr>
            <w:r w:rsidRPr="00EC4278">
              <w:t>HOT</w:t>
            </w:r>
          </w:p>
        </w:tc>
        <w:tc>
          <w:tcPr>
            <w:tcW w:w="7477" w:type="dxa"/>
          </w:tcPr>
          <w:p w14:paraId="1BDDC201" w14:textId="77777777" w:rsidR="00484D6B" w:rsidRPr="00EC4278" w:rsidRDefault="00484D6B" w:rsidP="001117FF">
            <w:pPr>
              <w:pStyle w:val="TableTextLeft"/>
            </w:pPr>
            <w:r w:rsidRPr="00EC4278">
              <w:t>Humanitarian OpenStreetMap Team</w:t>
            </w:r>
          </w:p>
        </w:tc>
      </w:tr>
      <w:tr w:rsidR="00484D6B" w14:paraId="1BD8F400"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30031E28" w14:textId="77777777" w:rsidR="00484D6B" w:rsidRPr="00EC4278" w:rsidRDefault="00484D6B" w:rsidP="001117FF">
            <w:pPr>
              <w:pStyle w:val="TableTextLeft"/>
            </w:pPr>
            <w:r w:rsidRPr="00484D6B">
              <w:t>HPC</w:t>
            </w:r>
          </w:p>
        </w:tc>
        <w:tc>
          <w:tcPr>
            <w:tcW w:w="7477" w:type="dxa"/>
          </w:tcPr>
          <w:p w14:paraId="02A8ABF1" w14:textId="77777777" w:rsidR="00484D6B" w:rsidRPr="00EC4278" w:rsidRDefault="00484D6B" w:rsidP="001117FF">
            <w:pPr>
              <w:pStyle w:val="TableTextLeft"/>
            </w:pPr>
            <w:r w:rsidRPr="00484D6B">
              <w:t>High performance Computer (or Computing)</w:t>
            </w:r>
          </w:p>
        </w:tc>
      </w:tr>
      <w:tr w:rsidR="00484D6B" w14:paraId="38F376DB"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6D15675C" w14:textId="77777777" w:rsidR="00484D6B" w:rsidRPr="00EC4278" w:rsidRDefault="00484D6B" w:rsidP="001117FF">
            <w:pPr>
              <w:pStyle w:val="TableTextLeft"/>
            </w:pPr>
            <w:r w:rsidRPr="00EC4278">
              <w:t>HU</w:t>
            </w:r>
          </w:p>
        </w:tc>
        <w:tc>
          <w:tcPr>
            <w:tcW w:w="7477" w:type="dxa"/>
          </w:tcPr>
          <w:p w14:paraId="692B3093" w14:textId="77777777" w:rsidR="00484D6B" w:rsidRPr="00EC4278" w:rsidRDefault="00484D6B" w:rsidP="001117FF">
            <w:pPr>
              <w:pStyle w:val="TableTextLeft"/>
            </w:pPr>
            <w:r w:rsidRPr="00EC4278">
              <w:t>Humanitarian Unit</w:t>
            </w:r>
          </w:p>
        </w:tc>
      </w:tr>
      <w:tr w:rsidR="00484D6B" w14:paraId="602587AC"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6F238845" w14:textId="77777777" w:rsidR="00484D6B" w:rsidRPr="00EC4278" w:rsidRDefault="00484D6B" w:rsidP="001117FF">
            <w:pPr>
              <w:pStyle w:val="TableTextLeft"/>
            </w:pPr>
            <w:r w:rsidRPr="00EC4278">
              <w:t>IABI</w:t>
            </w:r>
          </w:p>
        </w:tc>
        <w:tc>
          <w:tcPr>
            <w:tcW w:w="7477" w:type="dxa"/>
          </w:tcPr>
          <w:p w14:paraId="412FC1AB" w14:textId="77777777" w:rsidR="00484D6B" w:rsidRPr="00EC4278" w:rsidRDefault="00484D6B" w:rsidP="001117FF">
            <w:pPr>
              <w:pStyle w:val="TableTextLeft"/>
            </w:pPr>
            <w:r w:rsidRPr="00EC4278">
              <w:t>Indonesian Association of Disaster Experts</w:t>
            </w:r>
          </w:p>
        </w:tc>
      </w:tr>
      <w:tr w:rsidR="00484D6B" w14:paraId="68CB750A"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1AD2C76D" w14:textId="77777777" w:rsidR="00484D6B" w:rsidRPr="00F8199B" w:rsidRDefault="00484D6B" w:rsidP="001117FF">
            <w:pPr>
              <w:pStyle w:val="TableTextLeft"/>
            </w:pPr>
            <w:r w:rsidRPr="00F8199B">
              <w:t>InaSAFE</w:t>
            </w:r>
          </w:p>
        </w:tc>
        <w:tc>
          <w:tcPr>
            <w:tcW w:w="7477" w:type="dxa"/>
          </w:tcPr>
          <w:p w14:paraId="23395054" w14:textId="77777777" w:rsidR="00484D6B" w:rsidRPr="00F8199B" w:rsidRDefault="00484D6B" w:rsidP="001117FF">
            <w:pPr>
              <w:pStyle w:val="TableTextLeft"/>
            </w:pPr>
            <w:r w:rsidRPr="00F8199B">
              <w:t>QGIS plugin for disaster managers</w:t>
            </w:r>
          </w:p>
        </w:tc>
      </w:tr>
      <w:tr w:rsidR="00484D6B" w14:paraId="7B6B86C2"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6055E842" w14:textId="77777777" w:rsidR="00484D6B" w:rsidRPr="00F8199B" w:rsidRDefault="00484D6B" w:rsidP="001117FF">
            <w:pPr>
              <w:pStyle w:val="TableTextLeft"/>
            </w:pPr>
            <w:r w:rsidRPr="00F8199B">
              <w:t>InaTEWS</w:t>
            </w:r>
          </w:p>
        </w:tc>
        <w:tc>
          <w:tcPr>
            <w:tcW w:w="7477" w:type="dxa"/>
          </w:tcPr>
          <w:p w14:paraId="5ABC0DD5" w14:textId="77777777" w:rsidR="00484D6B" w:rsidRPr="00F8199B" w:rsidRDefault="00484D6B" w:rsidP="001117FF">
            <w:pPr>
              <w:pStyle w:val="TableTextLeft"/>
            </w:pPr>
            <w:r w:rsidRPr="00F8199B">
              <w:t>Indonesian Tsunami Early Warning System</w:t>
            </w:r>
          </w:p>
        </w:tc>
      </w:tr>
      <w:tr w:rsidR="00484D6B" w14:paraId="5A0629CF"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671DAD45" w14:textId="77777777" w:rsidR="00484D6B" w:rsidRPr="00F8199B" w:rsidRDefault="00484D6B" w:rsidP="001117FF">
            <w:pPr>
              <w:pStyle w:val="TableTextLeft"/>
            </w:pPr>
            <w:r w:rsidRPr="00F8199B">
              <w:t>InaWARE</w:t>
            </w:r>
          </w:p>
        </w:tc>
        <w:tc>
          <w:tcPr>
            <w:tcW w:w="7477" w:type="dxa"/>
          </w:tcPr>
          <w:p w14:paraId="788D2660" w14:textId="77777777" w:rsidR="00484D6B" w:rsidRDefault="00484D6B" w:rsidP="001117FF">
            <w:pPr>
              <w:pStyle w:val="TableTextLeft"/>
            </w:pPr>
            <w:r w:rsidRPr="00F8199B">
              <w:t>An advanced hazard early warning and monitoring system from PDC</w:t>
            </w:r>
          </w:p>
        </w:tc>
      </w:tr>
      <w:tr w:rsidR="00484D6B" w14:paraId="6EC2411A"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397ECAA2" w14:textId="77777777" w:rsidR="00484D6B" w:rsidRPr="00002741" w:rsidRDefault="00484D6B" w:rsidP="001117FF">
            <w:pPr>
              <w:pStyle w:val="TableTextLeft"/>
            </w:pPr>
            <w:r w:rsidRPr="00002741">
              <w:t>IOM</w:t>
            </w:r>
          </w:p>
        </w:tc>
        <w:tc>
          <w:tcPr>
            <w:tcW w:w="7477" w:type="dxa"/>
          </w:tcPr>
          <w:p w14:paraId="503079EC" w14:textId="77777777" w:rsidR="00484D6B" w:rsidRDefault="00484D6B" w:rsidP="001117FF">
            <w:pPr>
              <w:pStyle w:val="TableTextLeft"/>
            </w:pPr>
            <w:r w:rsidRPr="00002741">
              <w:t>International Organisation for Migration</w:t>
            </w:r>
          </w:p>
        </w:tc>
      </w:tr>
      <w:tr w:rsidR="00484D6B" w14:paraId="5BA1CA07"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2D4871A4" w14:textId="77777777" w:rsidR="00484D6B" w:rsidRPr="00EC4278" w:rsidRDefault="00484D6B" w:rsidP="001117FF">
            <w:pPr>
              <w:pStyle w:val="TableTextLeft"/>
            </w:pPr>
            <w:r w:rsidRPr="00EC4278">
              <w:t>ITB</w:t>
            </w:r>
          </w:p>
        </w:tc>
        <w:tc>
          <w:tcPr>
            <w:tcW w:w="7477" w:type="dxa"/>
          </w:tcPr>
          <w:p w14:paraId="4F3C6955" w14:textId="77777777" w:rsidR="00484D6B" w:rsidRPr="00EC4278" w:rsidRDefault="00484D6B" w:rsidP="001117FF">
            <w:pPr>
              <w:pStyle w:val="TableTextLeft"/>
            </w:pPr>
            <w:r w:rsidRPr="00EC4278">
              <w:t>Institut Teknologi Bandung</w:t>
            </w:r>
          </w:p>
        </w:tc>
      </w:tr>
      <w:tr w:rsidR="00484D6B" w14:paraId="06E64766"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68D05AD0" w14:textId="77777777" w:rsidR="00484D6B" w:rsidRPr="009F578F" w:rsidRDefault="00484D6B" w:rsidP="001117FF">
            <w:pPr>
              <w:pStyle w:val="TableTextLeft"/>
            </w:pPr>
            <w:r w:rsidRPr="009F578F">
              <w:t>Jakarta DKI</w:t>
            </w:r>
          </w:p>
        </w:tc>
        <w:tc>
          <w:tcPr>
            <w:tcW w:w="7477" w:type="dxa"/>
          </w:tcPr>
          <w:p w14:paraId="1C38C976" w14:textId="77777777" w:rsidR="00484D6B" w:rsidRDefault="00484D6B" w:rsidP="001117FF">
            <w:pPr>
              <w:pStyle w:val="TableTextLeft"/>
            </w:pPr>
            <w:r w:rsidRPr="009F578F">
              <w:t>Province of Jakarta</w:t>
            </w:r>
          </w:p>
          <w:p w14:paraId="49957CEC" w14:textId="77777777" w:rsidR="00484D6B" w:rsidRPr="00484D6B" w:rsidRDefault="00484D6B" w:rsidP="001117FF">
            <w:pPr>
              <w:pStyle w:val="TableTextLeft"/>
            </w:pPr>
            <w:r w:rsidRPr="009F578F">
              <w:t>Daerah Khusus Ibukota Jakarta</w:t>
            </w:r>
          </w:p>
        </w:tc>
      </w:tr>
      <w:tr w:rsidR="00484D6B" w14:paraId="1BD45FD1"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4B4DC97A" w14:textId="77777777" w:rsidR="00484D6B" w:rsidRPr="0096561C" w:rsidRDefault="00484D6B" w:rsidP="001117FF">
            <w:pPr>
              <w:pStyle w:val="TableTextLeft"/>
            </w:pPr>
            <w:r w:rsidRPr="0096561C">
              <w:t>JATWC</w:t>
            </w:r>
          </w:p>
        </w:tc>
        <w:tc>
          <w:tcPr>
            <w:tcW w:w="7477" w:type="dxa"/>
          </w:tcPr>
          <w:p w14:paraId="02373AB8" w14:textId="77777777" w:rsidR="00484D6B" w:rsidRDefault="00484D6B" w:rsidP="001117FF">
            <w:pPr>
              <w:pStyle w:val="TableTextLeft"/>
            </w:pPr>
            <w:r w:rsidRPr="0096561C">
              <w:t>Joint Australian Tsunami Warning Centre (Managed by GA and BOM)</w:t>
            </w:r>
          </w:p>
        </w:tc>
      </w:tr>
      <w:tr w:rsidR="00484D6B" w14:paraId="372AD1C7"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3D6C8688" w14:textId="77777777" w:rsidR="00484D6B" w:rsidRPr="00EC4278" w:rsidRDefault="00484D6B" w:rsidP="001117FF">
            <w:pPr>
              <w:pStyle w:val="TableTextLeft"/>
            </w:pPr>
            <w:r w:rsidRPr="00EC4278">
              <w:t>JOSM</w:t>
            </w:r>
          </w:p>
        </w:tc>
        <w:tc>
          <w:tcPr>
            <w:tcW w:w="7477" w:type="dxa"/>
          </w:tcPr>
          <w:p w14:paraId="0771E354" w14:textId="77777777" w:rsidR="00484D6B" w:rsidRPr="00EC4278" w:rsidRDefault="00484D6B" w:rsidP="001117FF">
            <w:pPr>
              <w:pStyle w:val="TableTextLeft"/>
            </w:pPr>
            <w:r w:rsidRPr="00EC4278">
              <w:t>Java OpenStreetMap: Desktop editor for OSM</w:t>
            </w:r>
          </w:p>
        </w:tc>
      </w:tr>
      <w:tr w:rsidR="00484D6B" w14:paraId="2CE99DFC"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00BE84FB" w14:textId="77777777" w:rsidR="00484D6B" w:rsidRPr="00EC4278" w:rsidRDefault="00484D6B" w:rsidP="001117FF">
            <w:pPr>
              <w:pStyle w:val="TableTextLeft"/>
            </w:pPr>
            <w:r w:rsidRPr="00EC4278">
              <w:t>JSON</w:t>
            </w:r>
          </w:p>
        </w:tc>
        <w:tc>
          <w:tcPr>
            <w:tcW w:w="7477" w:type="dxa"/>
          </w:tcPr>
          <w:p w14:paraId="280041D0" w14:textId="77777777" w:rsidR="00484D6B" w:rsidRPr="00EC4278" w:rsidRDefault="00484D6B" w:rsidP="001117FF">
            <w:pPr>
              <w:pStyle w:val="TableTextLeft"/>
            </w:pPr>
            <w:r w:rsidRPr="00EC4278">
              <w:t>JavaScript Object Nation: standard data format that is easy for machines and humans to read and easy to distribute</w:t>
            </w:r>
          </w:p>
        </w:tc>
      </w:tr>
      <w:tr w:rsidR="00484D6B" w14:paraId="4924E1DD"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195E8E39" w14:textId="77777777" w:rsidR="00484D6B" w:rsidRPr="009245E0" w:rsidRDefault="00484D6B" w:rsidP="001117FF">
            <w:pPr>
              <w:pStyle w:val="TableTextLeft"/>
            </w:pPr>
            <w:r w:rsidRPr="009245E0">
              <w:t>Kelurahan</w:t>
            </w:r>
          </w:p>
        </w:tc>
        <w:tc>
          <w:tcPr>
            <w:tcW w:w="7477" w:type="dxa"/>
          </w:tcPr>
          <w:p w14:paraId="5B82EF58" w14:textId="77777777" w:rsidR="00484D6B" w:rsidRPr="009245E0" w:rsidRDefault="00484D6B" w:rsidP="001117FF">
            <w:pPr>
              <w:pStyle w:val="TableTextLeft"/>
            </w:pPr>
            <w:r w:rsidRPr="009245E0">
              <w:t>See below for Description of Relevant Area Classifications</w:t>
            </w:r>
          </w:p>
        </w:tc>
      </w:tr>
      <w:tr w:rsidR="00484D6B" w14:paraId="18C69E47"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26F9CA2E" w14:textId="77777777" w:rsidR="00484D6B" w:rsidRPr="009245E0" w:rsidRDefault="00484D6B" w:rsidP="001117FF">
            <w:pPr>
              <w:pStyle w:val="TableTextLeft"/>
            </w:pPr>
            <w:r w:rsidRPr="009245E0">
              <w:t>KKP</w:t>
            </w:r>
          </w:p>
        </w:tc>
        <w:tc>
          <w:tcPr>
            <w:tcW w:w="7477" w:type="dxa"/>
          </w:tcPr>
          <w:p w14:paraId="57CE19F5" w14:textId="77777777" w:rsidR="00484D6B" w:rsidRDefault="00484D6B" w:rsidP="001117FF">
            <w:pPr>
              <w:pStyle w:val="TableTextLeft"/>
            </w:pPr>
            <w:r w:rsidRPr="009245E0">
              <w:t>Ministry of Marine and Fisheries</w:t>
            </w:r>
          </w:p>
        </w:tc>
      </w:tr>
      <w:tr w:rsidR="00484D6B" w14:paraId="10C6A3C7"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16B2CE35" w14:textId="77777777" w:rsidR="00484D6B" w:rsidRPr="00EC4278" w:rsidRDefault="00484D6B" w:rsidP="001117FF">
            <w:pPr>
              <w:pStyle w:val="TableTextLeft"/>
            </w:pPr>
            <w:r w:rsidRPr="00D13ED8">
              <w:t>LIPI</w:t>
            </w:r>
          </w:p>
        </w:tc>
        <w:tc>
          <w:tcPr>
            <w:tcW w:w="7477" w:type="dxa"/>
          </w:tcPr>
          <w:p w14:paraId="649D7482" w14:textId="77777777" w:rsidR="00484D6B" w:rsidRDefault="00484D6B" w:rsidP="001117FF">
            <w:pPr>
              <w:pStyle w:val="TableTextLeft"/>
            </w:pPr>
            <w:r w:rsidRPr="00484D6B">
              <w:t>Indonesian Institute of Sciences</w:t>
            </w:r>
          </w:p>
          <w:p w14:paraId="078B9458" w14:textId="77777777" w:rsidR="00484D6B" w:rsidRPr="00EC4278" w:rsidRDefault="00484D6B" w:rsidP="001117FF">
            <w:pPr>
              <w:pStyle w:val="TableTextLeft"/>
            </w:pPr>
            <w:r>
              <w:t>Lembaga Ilmu Pengetahuan Indonesia</w:t>
            </w:r>
          </w:p>
        </w:tc>
      </w:tr>
      <w:tr w:rsidR="00361CE7" w14:paraId="63256C3F"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14BC1DEB" w14:textId="2DB68FB8" w:rsidR="00361CE7" w:rsidRPr="00081B24" w:rsidRDefault="00361CE7" w:rsidP="001117FF">
            <w:pPr>
              <w:pStyle w:val="TableTextLeft"/>
            </w:pPr>
            <w:r>
              <w:t>NEHM</w:t>
            </w:r>
          </w:p>
        </w:tc>
        <w:tc>
          <w:tcPr>
            <w:tcW w:w="7477" w:type="dxa"/>
          </w:tcPr>
          <w:p w14:paraId="0FD46B4F" w14:textId="16444F8C" w:rsidR="00361CE7" w:rsidRPr="00081B24" w:rsidRDefault="00361CE7" w:rsidP="001117FF">
            <w:pPr>
              <w:pStyle w:val="TableTextLeft"/>
            </w:pPr>
            <w:r>
              <w:t>National Earthquake Hazard Map</w:t>
            </w:r>
          </w:p>
        </w:tc>
      </w:tr>
      <w:tr w:rsidR="00484D6B" w14:paraId="163A36E5"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2F85B86D" w14:textId="77777777" w:rsidR="00484D6B" w:rsidRPr="00081B24" w:rsidRDefault="00484D6B" w:rsidP="001117FF">
            <w:pPr>
              <w:pStyle w:val="TableTextLeft"/>
            </w:pPr>
            <w:r w:rsidRPr="00081B24">
              <w:t>NGO</w:t>
            </w:r>
          </w:p>
        </w:tc>
        <w:tc>
          <w:tcPr>
            <w:tcW w:w="7477" w:type="dxa"/>
          </w:tcPr>
          <w:p w14:paraId="3800EABD" w14:textId="4487978F" w:rsidR="00484D6B" w:rsidRPr="00081B24" w:rsidRDefault="005C567A" w:rsidP="001117FF">
            <w:pPr>
              <w:pStyle w:val="TableTextLeft"/>
            </w:pPr>
            <w:r w:rsidRPr="00081B24">
              <w:t>Non-Government</w:t>
            </w:r>
            <w:r w:rsidR="00484D6B" w:rsidRPr="00081B24">
              <w:t xml:space="preserve"> Organisation</w:t>
            </w:r>
          </w:p>
        </w:tc>
      </w:tr>
      <w:tr w:rsidR="00484D6B" w:rsidRPr="00647FD5" w14:paraId="7E873ACE"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5258A7B0" w14:textId="77777777" w:rsidR="00484D6B" w:rsidRPr="00081B24" w:rsidRDefault="00484D6B" w:rsidP="001117FF">
            <w:pPr>
              <w:pStyle w:val="TableTextLeft"/>
            </w:pPr>
            <w:r w:rsidRPr="00081B24">
              <w:t>NTT</w:t>
            </w:r>
          </w:p>
        </w:tc>
        <w:tc>
          <w:tcPr>
            <w:tcW w:w="7477" w:type="dxa"/>
          </w:tcPr>
          <w:p w14:paraId="2E25E321" w14:textId="77777777" w:rsidR="00484D6B" w:rsidRPr="00647FD5" w:rsidRDefault="00484D6B" w:rsidP="001117FF">
            <w:pPr>
              <w:pStyle w:val="TableTextLeft"/>
              <w:rPr>
                <w:lang w:val="it-IT"/>
              </w:rPr>
            </w:pPr>
            <w:r w:rsidRPr="00647FD5">
              <w:rPr>
                <w:lang w:val="it-IT"/>
              </w:rPr>
              <w:t>Nusa Tenggara Timur (East Nusa Tenggara – Indonesian Province)</w:t>
            </w:r>
          </w:p>
        </w:tc>
      </w:tr>
      <w:tr w:rsidR="00484D6B" w14:paraId="1EE083EB"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24E7FE87" w14:textId="77777777" w:rsidR="00484D6B" w:rsidRPr="00081B24" w:rsidRDefault="00484D6B" w:rsidP="001117FF">
            <w:pPr>
              <w:pStyle w:val="TableTextLeft"/>
            </w:pPr>
            <w:r w:rsidRPr="00081B24">
              <w:t>NU</w:t>
            </w:r>
          </w:p>
        </w:tc>
        <w:tc>
          <w:tcPr>
            <w:tcW w:w="7477" w:type="dxa"/>
          </w:tcPr>
          <w:p w14:paraId="731C4719" w14:textId="77777777" w:rsidR="00484D6B" w:rsidRDefault="00484D6B" w:rsidP="001117FF">
            <w:pPr>
              <w:pStyle w:val="TableTextLeft"/>
            </w:pPr>
            <w:r w:rsidRPr="00081B24">
              <w:t xml:space="preserve">Nahdlatul Ulama (faith based organisation with strong community programs) </w:t>
            </w:r>
          </w:p>
        </w:tc>
      </w:tr>
      <w:tr w:rsidR="00484D6B" w14:paraId="06FA2993"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26318F56" w14:textId="77777777" w:rsidR="00484D6B" w:rsidRPr="00EC4278" w:rsidRDefault="00484D6B" w:rsidP="001117FF">
            <w:pPr>
              <w:pStyle w:val="TableTextLeft"/>
            </w:pPr>
            <w:r w:rsidRPr="00EC4278">
              <w:t>MOU</w:t>
            </w:r>
          </w:p>
        </w:tc>
        <w:tc>
          <w:tcPr>
            <w:tcW w:w="7477" w:type="dxa"/>
          </w:tcPr>
          <w:p w14:paraId="56549C39" w14:textId="77777777" w:rsidR="00484D6B" w:rsidRPr="00EC4278" w:rsidRDefault="00484D6B" w:rsidP="001117FF">
            <w:pPr>
              <w:pStyle w:val="TableTextLeft"/>
            </w:pPr>
            <w:r w:rsidRPr="00EC4278">
              <w:t>Memorandum of Understanding</w:t>
            </w:r>
          </w:p>
        </w:tc>
      </w:tr>
      <w:tr w:rsidR="00484D6B" w14:paraId="56F1920F"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4619B156" w14:textId="77777777" w:rsidR="00484D6B" w:rsidRPr="00EC4278" w:rsidRDefault="00484D6B" w:rsidP="001117FF">
            <w:pPr>
              <w:pStyle w:val="TableTextLeft"/>
            </w:pPr>
            <w:r w:rsidRPr="00EC4278">
              <w:t>OSM</w:t>
            </w:r>
          </w:p>
        </w:tc>
        <w:tc>
          <w:tcPr>
            <w:tcW w:w="7477" w:type="dxa"/>
          </w:tcPr>
          <w:p w14:paraId="62B50E47" w14:textId="77777777" w:rsidR="00484D6B" w:rsidRPr="00EC4278" w:rsidRDefault="00484D6B" w:rsidP="001117FF">
            <w:pPr>
              <w:pStyle w:val="TableTextLeft"/>
            </w:pPr>
            <w:r w:rsidRPr="00EC4278">
              <w:t>OpenStreetMap</w:t>
            </w:r>
          </w:p>
        </w:tc>
      </w:tr>
      <w:tr w:rsidR="00484D6B" w14:paraId="457F1982"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0C7D223E" w14:textId="77777777" w:rsidR="00484D6B" w:rsidRPr="00B45445" w:rsidRDefault="00484D6B" w:rsidP="001117FF">
            <w:pPr>
              <w:pStyle w:val="TableTextLeft"/>
            </w:pPr>
            <w:r w:rsidRPr="00B45445">
              <w:t>PDC</w:t>
            </w:r>
          </w:p>
        </w:tc>
        <w:tc>
          <w:tcPr>
            <w:tcW w:w="7477" w:type="dxa"/>
          </w:tcPr>
          <w:p w14:paraId="3797615E" w14:textId="77777777" w:rsidR="00484D6B" w:rsidRDefault="00484D6B" w:rsidP="001117FF">
            <w:pPr>
              <w:pStyle w:val="TableTextLeft"/>
            </w:pPr>
            <w:r w:rsidRPr="00B45445">
              <w:t>Pacific Disaster Centre</w:t>
            </w:r>
          </w:p>
        </w:tc>
      </w:tr>
      <w:tr w:rsidR="00484D6B" w14:paraId="23D44FD3"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38025935" w14:textId="77777777" w:rsidR="00484D6B" w:rsidRPr="00EC4278" w:rsidRDefault="00484D6B" w:rsidP="001117FF">
            <w:pPr>
              <w:pStyle w:val="TableTextLeft"/>
            </w:pPr>
            <w:r w:rsidRPr="00EC4278">
              <w:t>PSHA</w:t>
            </w:r>
          </w:p>
        </w:tc>
        <w:tc>
          <w:tcPr>
            <w:tcW w:w="7477" w:type="dxa"/>
          </w:tcPr>
          <w:p w14:paraId="4D251CF2" w14:textId="77777777" w:rsidR="00484D6B" w:rsidRPr="00EC4278" w:rsidRDefault="00484D6B" w:rsidP="001117FF">
            <w:pPr>
              <w:pStyle w:val="TableTextLeft"/>
            </w:pPr>
            <w:r w:rsidRPr="00EC4278">
              <w:t>Probabilistic Seismic Hazard Assessment</w:t>
            </w:r>
          </w:p>
        </w:tc>
      </w:tr>
      <w:tr w:rsidR="00484D6B" w14:paraId="4429D4CB"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23071850" w14:textId="77777777" w:rsidR="00484D6B" w:rsidRPr="00F1325E" w:rsidRDefault="00484D6B" w:rsidP="001117FF">
            <w:pPr>
              <w:pStyle w:val="TableTextLeft"/>
            </w:pPr>
            <w:r w:rsidRPr="00F1325E">
              <w:t>PTHA</w:t>
            </w:r>
          </w:p>
        </w:tc>
        <w:tc>
          <w:tcPr>
            <w:tcW w:w="7477" w:type="dxa"/>
          </w:tcPr>
          <w:p w14:paraId="623C738D" w14:textId="77777777" w:rsidR="00484D6B" w:rsidRDefault="00484D6B" w:rsidP="001117FF">
            <w:pPr>
              <w:pStyle w:val="TableTextLeft"/>
            </w:pPr>
            <w:r w:rsidRPr="00F1325E">
              <w:t>Probabilistic Tsunami Hazard Analysis</w:t>
            </w:r>
          </w:p>
        </w:tc>
      </w:tr>
      <w:tr w:rsidR="001117FF" w14:paraId="56928028"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13D55128" w14:textId="77777777" w:rsidR="00484D6B" w:rsidRPr="00EC4278" w:rsidRDefault="00484D6B" w:rsidP="001117FF">
            <w:pPr>
              <w:pStyle w:val="TableTextLeft"/>
            </w:pPr>
            <w:r w:rsidRPr="00EC4278">
              <w:t>PU</w:t>
            </w:r>
          </w:p>
        </w:tc>
        <w:tc>
          <w:tcPr>
            <w:tcW w:w="7477" w:type="dxa"/>
          </w:tcPr>
          <w:p w14:paraId="79972419" w14:textId="77777777" w:rsidR="00484D6B" w:rsidRDefault="00484D6B" w:rsidP="001117FF">
            <w:pPr>
              <w:pStyle w:val="TableTextLeft"/>
            </w:pPr>
            <w:r>
              <w:t>Public Works</w:t>
            </w:r>
          </w:p>
          <w:p w14:paraId="3650D89B" w14:textId="77777777" w:rsidR="00484D6B" w:rsidRPr="00EC4278" w:rsidRDefault="00484D6B" w:rsidP="001117FF">
            <w:pPr>
              <w:pStyle w:val="TableTextLeft"/>
            </w:pPr>
            <w:r w:rsidRPr="00EC4278">
              <w:t>Kementerian Pekerjaan Umum dan Perumahan Ralayat</w:t>
            </w:r>
          </w:p>
        </w:tc>
      </w:tr>
      <w:tr w:rsidR="001117FF" w14:paraId="402787E6"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4D4B742B" w14:textId="77777777" w:rsidR="00484D6B" w:rsidRPr="00EC4278" w:rsidRDefault="00484D6B" w:rsidP="001117FF">
            <w:pPr>
              <w:pStyle w:val="TableTextLeft"/>
            </w:pPr>
            <w:r w:rsidRPr="00EC4278">
              <w:t>Pusdalops</w:t>
            </w:r>
          </w:p>
        </w:tc>
        <w:tc>
          <w:tcPr>
            <w:tcW w:w="7477" w:type="dxa"/>
          </w:tcPr>
          <w:p w14:paraId="62B47634" w14:textId="77777777" w:rsidR="00484D6B" w:rsidRPr="00EC4278" w:rsidRDefault="00484D6B" w:rsidP="001117FF">
            <w:pPr>
              <w:pStyle w:val="TableTextLeft"/>
            </w:pPr>
            <w:r w:rsidRPr="00EC4278">
              <w:t>Emergency Operation centre at BNPB</w:t>
            </w:r>
          </w:p>
        </w:tc>
      </w:tr>
      <w:tr w:rsidR="001117FF" w14:paraId="6C6952D3"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479568AF" w14:textId="77777777" w:rsidR="00484D6B" w:rsidRPr="00EC4278" w:rsidRDefault="00484D6B" w:rsidP="001117FF">
            <w:pPr>
              <w:pStyle w:val="TableTextLeft"/>
            </w:pPr>
            <w:r w:rsidRPr="00EC4278">
              <w:t>PuSGeN</w:t>
            </w:r>
          </w:p>
        </w:tc>
        <w:tc>
          <w:tcPr>
            <w:tcW w:w="7477" w:type="dxa"/>
          </w:tcPr>
          <w:p w14:paraId="49DDCB27" w14:textId="77777777" w:rsidR="00484D6B" w:rsidRDefault="00484D6B" w:rsidP="001117FF">
            <w:pPr>
              <w:pStyle w:val="TableTextLeft"/>
            </w:pPr>
            <w:r w:rsidRPr="00EC4278">
              <w:t>Nati</w:t>
            </w:r>
            <w:r>
              <w:t>onal Earthquake Research Centre</w:t>
            </w:r>
          </w:p>
          <w:p w14:paraId="5CC77F3E" w14:textId="77777777" w:rsidR="00484D6B" w:rsidRPr="00EC4278" w:rsidRDefault="00484D6B" w:rsidP="001117FF">
            <w:pPr>
              <w:pStyle w:val="TableTextLeft"/>
            </w:pPr>
            <w:r w:rsidRPr="00EC4278">
              <w:t xml:space="preserve">Pusat Gempa Nasional </w:t>
            </w:r>
          </w:p>
        </w:tc>
      </w:tr>
      <w:tr w:rsidR="001117FF" w:rsidRPr="00647FD5" w14:paraId="34851DF9"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1F9B58AC" w14:textId="77777777" w:rsidR="00484D6B" w:rsidRPr="00EC4278" w:rsidRDefault="00484D6B" w:rsidP="001117FF">
            <w:pPr>
              <w:pStyle w:val="TableTextLeft"/>
            </w:pPr>
            <w:r w:rsidRPr="00EC4278">
              <w:t>PVMBG</w:t>
            </w:r>
          </w:p>
        </w:tc>
        <w:tc>
          <w:tcPr>
            <w:tcW w:w="7477" w:type="dxa"/>
          </w:tcPr>
          <w:p w14:paraId="25A5873E" w14:textId="77777777" w:rsidR="00484D6B" w:rsidRPr="00647FD5" w:rsidRDefault="00484D6B" w:rsidP="001117FF">
            <w:pPr>
              <w:pStyle w:val="TableTextLeft"/>
            </w:pPr>
            <w:r w:rsidRPr="00EC4278">
              <w:t>Centre for Volcanology and Geological Hazard Mitigation</w:t>
            </w:r>
          </w:p>
          <w:p w14:paraId="5A42174F" w14:textId="77777777" w:rsidR="00484D6B" w:rsidRPr="00484D6B" w:rsidRDefault="00484D6B" w:rsidP="001117FF">
            <w:pPr>
              <w:pStyle w:val="TableTextLeft"/>
              <w:rPr>
                <w:lang w:val="it-IT"/>
              </w:rPr>
            </w:pPr>
            <w:r w:rsidRPr="00EC4278">
              <w:rPr>
                <w:lang w:val="it-IT"/>
              </w:rPr>
              <w:t>Pusat Volkanologi dan Mitigasi Bencana Geologi</w:t>
            </w:r>
          </w:p>
        </w:tc>
      </w:tr>
      <w:tr w:rsidR="00484D6B" w14:paraId="73DD5740"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71DB9EFD" w14:textId="77777777" w:rsidR="00484D6B" w:rsidRPr="002B78EA" w:rsidRDefault="00484D6B" w:rsidP="001117FF">
            <w:pPr>
              <w:pStyle w:val="TableTextLeft"/>
            </w:pPr>
            <w:r w:rsidRPr="002B78EA">
              <w:t>QGIS</w:t>
            </w:r>
          </w:p>
        </w:tc>
        <w:tc>
          <w:tcPr>
            <w:tcW w:w="7477" w:type="dxa"/>
          </w:tcPr>
          <w:p w14:paraId="116F3F55" w14:textId="77777777" w:rsidR="00484D6B" w:rsidRDefault="00484D6B" w:rsidP="001117FF">
            <w:pPr>
              <w:pStyle w:val="TableTextLeft"/>
            </w:pPr>
            <w:r w:rsidRPr="002B78EA">
              <w:t>Open Source GIS program</w:t>
            </w:r>
          </w:p>
        </w:tc>
      </w:tr>
      <w:tr w:rsidR="00484D6B" w14:paraId="2625FEAA"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0D691502" w14:textId="77777777" w:rsidR="00484D6B" w:rsidRPr="00A80266" w:rsidRDefault="00484D6B" w:rsidP="001117FF">
            <w:pPr>
              <w:pStyle w:val="TableTextLeft"/>
            </w:pPr>
            <w:r w:rsidRPr="00A80266">
              <w:t>R&amp;V</w:t>
            </w:r>
          </w:p>
        </w:tc>
        <w:tc>
          <w:tcPr>
            <w:tcW w:w="7477" w:type="dxa"/>
          </w:tcPr>
          <w:p w14:paraId="1357B0CA" w14:textId="77777777" w:rsidR="00484D6B" w:rsidRPr="00A80266" w:rsidRDefault="00484D6B" w:rsidP="001117FF">
            <w:pPr>
              <w:pStyle w:val="TableTextLeft"/>
            </w:pPr>
            <w:r w:rsidRPr="00A80266">
              <w:t>AIFDR Risk and Vulnerability Unit – The Science Team</w:t>
            </w:r>
          </w:p>
        </w:tc>
      </w:tr>
      <w:tr w:rsidR="00484D6B" w14:paraId="2FE9D2E7"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1AA78BF6" w14:textId="77777777" w:rsidR="00484D6B" w:rsidRPr="00A80266" w:rsidRDefault="00484D6B" w:rsidP="001117FF">
            <w:pPr>
              <w:pStyle w:val="TableTextLeft"/>
            </w:pPr>
            <w:r w:rsidRPr="00A80266">
              <w:t>RW</w:t>
            </w:r>
          </w:p>
        </w:tc>
        <w:tc>
          <w:tcPr>
            <w:tcW w:w="7477" w:type="dxa"/>
          </w:tcPr>
          <w:p w14:paraId="28B12BCB" w14:textId="77777777" w:rsidR="00484D6B" w:rsidRPr="00A80266" w:rsidRDefault="00484D6B" w:rsidP="001117FF">
            <w:pPr>
              <w:pStyle w:val="TableTextLeft"/>
            </w:pPr>
            <w:r w:rsidRPr="00A80266">
              <w:t xml:space="preserve">See below for Description of Relevant Area Classifications </w:t>
            </w:r>
          </w:p>
        </w:tc>
      </w:tr>
      <w:tr w:rsidR="00484D6B" w14:paraId="659BF2AD"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384CBEB0" w14:textId="77777777" w:rsidR="00484D6B" w:rsidRPr="00A80266" w:rsidRDefault="00484D6B" w:rsidP="001117FF">
            <w:pPr>
              <w:pStyle w:val="TableTextLeft"/>
            </w:pPr>
            <w:r w:rsidRPr="00A80266">
              <w:t>RT</w:t>
            </w:r>
          </w:p>
        </w:tc>
        <w:tc>
          <w:tcPr>
            <w:tcW w:w="7477" w:type="dxa"/>
          </w:tcPr>
          <w:p w14:paraId="733C2673" w14:textId="77777777" w:rsidR="00484D6B" w:rsidRDefault="00484D6B" w:rsidP="001117FF">
            <w:pPr>
              <w:pStyle w:val="TableTextLeft"/>
            </w:pPr>
            <w:r w:rsidRPr="00A80266">
              <w:t xml:space="preserve">See below for Description of Relevant Area Classifications </w:t>
            </w:r>
          </w:p>
        </w:tc>
      </w:tr>
      <w:tr w:rsidR="00484D6B" w14:paraId="36311671"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2AB9BC14" w14:textId="77777777" w:rsidR="00484D6B" w:rsidRPr="00EC4278" w:rsidRDefault="00484D6B" w:rsidP="001117FF">
            <w:pPr>
              <w:pStyle w:val="TableTextLeft"/>
            </w:pPr>
            <w:r w:rsidRPr="00EC4278">
              <w:t>SD4CP</w:t>
            </w:r>
          </w:p>
        </w:tc>
        <w:tc>
          <w:tcPr>
            <w:tcW w:w="7477" w:type="dxa"/>
          </w:tcPr>
          <w:p w14:paraId="32710DF4" w14:textId="77777777" w:rsidR="00484D6B" w:rsidRPr="00647FD5" w:rsidRDefault="00484D6B" w:rsidP="001117FF">
            <w:pPr>
              <w:pStyle w:val="TableTextLeft"/>
            </w:pPr>
            <w:r w:rsidRPr="00EC4278">
              <w:t>Scenario Development for Contingency Planning</w:t>
            </w:r>
          </w:p>
        </w:tc>
      </w:tr>
      <w:tr w:rsidR="00484D6B" w14:paraId="0D5D81B9"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1436CDDC" w14:textId="21336DE7" w:rsidR="00484D6B" w:rsidRPr="00EC4278" w:rsidRDefault="00416AAF" w:rsidP="001117FF">
            <w:pPr>
              <w:pStyle w:val="TableTextLeft"/>
            </w:pPr>
            <w:r>
              <w:t>Sendai</w:t>
            </w:r>
          </w:p>
        </w:tc>
        <w:tc>
          <w:tcPr>
            <w:tcW w:w="7477" w:type="dxa"/>
          </w:tcPr>
          <w:p w14:paraId="15843E7A" w14:textId="77777777" w:rsidR="00484D6B" w:rsidRPr="00EC4278" w:rsidRDefault="00484D6B" w:rsidP="001117FF">
            <w:pPr>
              <w:pStyle w:val="TableTextLeft"/>
            </w:pPr>
            <w:r w:rsidRPr="00EC4278">
              <w:t>Sendai Framework for Disaster Risk Reduction</w:t>
            </w:r>
          </w:p>
        </w:tc>
      </w:tr>
      <w:tr w:rsidR="00484D6B" w14:paraId="2E3FD462"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574660E9" w14:textId="77777777" w:rsidR="00484D6B" w:rsidRPr="00EC4278" w:rsidRDefault="00484D6B" w:rsidP="001117FF">
            <w:pPr>
              <w:pStyle w:val="TableTextLeft"/>
            </w:pPr>
            <w:r>
              <w:t>SK</w:t>
            </w:r>
          </w:p>
        </w:tc>
        <w:tc>
          <w:tcPr>
            <w:tcW w:w="7477" w:type="dxa"/>
          </w:tcPr>
          <w:p w14:paraId="4200A828" w14:textId="77777777" w:rsidR="00484D6B" w:rsidRPr="00EC4278" w:rsidRDefault="00484D6B" w:rsidP="001117FF">
            <w:pPr>
              <w:pStyle w:val="TableTextLeft"/>
            </w:pPr>
            <w:r>
              <w:t>An Indonesian legal/official tasking note</w:t>
            </w:r>
          </w:p>
        </w:tc>
      </w:tr>
      <w:tr w:rsidR="001117FF" w14:paraId="7751B503"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61C382E0" w14:textId="77777777" w:rsidR="001117FF" w:rsidRPr="00C1381C" w:rsidRDefault="001117FF" w:rsidP="001117FF">
            <w:pPr>
              <w:pStyle w:val="TableTextLeft"/>
            </w:pPr>
            <w:r w:rsidRPr="00C1381C">
              <w:t>TATTs</w:t>
            </w:r>
          </w:p>
        </w:tc>
        <w:tc>
          <w:tcPr>
            <w:tcW w:w="7477" w:type="dxa"/>
          </w:tcPr>
          <w:p w14:paraId="2480ABF6" w14:textId="77777777" w:rsidR="001117FF" w:rsidRDefault="001117FF" w:rsidP="001117FF">
            <w:pPr>
              <w:pStyle w:val="TableTextLeft"/>
            </w:pPr>
            <w:r w:rsidRPr="00C1381C">
              <w:t>Technical Assistance and Training Teams – a USAID funded program through Mercy Corps – Cardno US</w:t>
            </w:r>
          </w:p>
        </w:tc>
      </w:tr>
      <w:tr w:rsidR="00484D6B" w14:paraId="6EC2E8AE"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149A1A38" w14:textId="77777777" w:rsidR="00484D6B" w:rsidRPr="00EC4278" w:rsidRDefault="00484D6B" w:rsidP="001117FF">
            <w:pPr>
              <w:pStyle w:val="TableTextLeft"/>
            </w:pPr>
            <w:r>
              <w:t>TTX</w:t>
            </w:r>
          </w:p>
        </w:tc>
        <w:tc>
          <w:tcPr>
            <w:tcW w:w="7477" w:type="dxa"/>
          </w:tcPr>
          <w:p w14:paraId="76EC9FFF" w14:textId="77777777" w:rsidR="00484D6B" w:rsidRPr="00EC4278" w:rsidRDefault="00484D6B" w:rsidP="001117FF">
            <w:pPr>
              <w:pStyle w:val="TableTextLeft"/>
            </w:pPr>
            <w:r>
              <w:t>Table Top Exercise</w:t>
            </w:r>
          </w:p>
        </w:tc>
      </w:tr>
      <w:tr w:rsidR="001117FF" w14:paraId="3CAD0A05"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46653C8B" w14:textId="77777777" w:rsidR="001117FF" w:rsidRPr="00751E80" w:rsidRDefault="001117FF" w:rsidP="001117FF">
            <w:pPr>
              <w:pStyle w:val="TableTextLeft"/>
            </w:pPr>
            <w:r w:rsidRPr="00751E80">
              <w:t>T&amp;O</w:t>
            </w:r>
          </w:p>
        </w:tc>
        <w:tc>
          <w:tcPr>
            <w:tcW w:w="7477" w:type="dxa"/>
          </w:tcPr>
          <w:p w14:paraId="34D0788A" w14:textId="77777777" w:rsidR="001117FF" w:rsidRDefault="001117FF" w:rsidP="001117FF">
            <w:pPr>
              <w:pStyle w:val="TableTextLeft"/>
            </w:pPr>
            <w:r w:rsidRPr="00751E80">
              <w:t>AIFDR Training and Outreach Unit</w:t>
            </w:r>
          </w:p>
        </w:tc>
      </w:tr>
      <w:tr w:rsidR="001117FF" w14:paraId="066C980F"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55662B05" w14:textId="77777777" w:rsidR="001117FF" w:rsidRPr="00427481" w:rsidRDefault="001117FF" w:rsidP="001117FF">
            <w:pPr>
              <w:pStyle w:val="TableTextLeft"/>
            </w:pPr>
            <w:r w:rsidRPr="00427481">
              <w:t>UGM</w:t>
            </w:r>
          </w:p>
        </w:tc>
        <w:tc>
          <w:tcPr>
            <w:tcW w:w="7477" w:type="dxa"/>
          </w:tcPr>
          <w:p w14:paraId="4B8D4A6A" w14:textId="77777777" w:rsidR="001117FF" w:rsidRPr="00427481" w:rsidRDefault="001117FF" w:rsidP="001117FF">
            <w:pPr>
              <w:pStyle w:val="TableTextLeft"/>
            </w:pPr>
            <w:r w:rsidRPr="00427481">
              <w:t>Universitas Gadjah Mada</w:t>
            </w:r>
          </w:p>
        </w:tc>
      </w:tr>
      <w:tr w:rsidR="001117FF" w14:paraId="6C528A4E"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0F1218DF" w14:textId="77777777" w:rsidR="001117FF" w:rsidRPr="00427481" w:rsidRDefault="001117FF" w:rsidP="001117FF">
            <w:pPr>
              <w:pStyle w:val="TableTextLeft"/>
            </w:pPr>
            <w:r w:rsidRPr="00427481">
              <w:t>UNDP</w:t>
            </w:r>
          </w:p>
        </w:tc>
        <w:tc>
          <w:tcPr>
            <w:tcW w:w="7477" w:type="dxa"/>
          </w:tcPr>
          <w:p w14:paraId="4450D6F0" w14:textId="77777777" w:rsidR="001117FF" w:rsidRPr="00427481" w:rsidRDefault="001117FF" w:rsidP="001117FF">
            <w:pPr>
              <w:pStyle w:val="TableTextLeft"/>
            </w:pPr>
            <w:r w:rsidRPr="00427481">
              <w:t>United Nations Development Program</w:t>
            </w:r>
          </w:p>
        </w:tc>
      </w:tr>
      <w:tr w:rsidR="001117FF" w14:paraId="5A87A1D5"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3590B95D" w14:textId="77777777" w:rsidR="001117FF" w:rsidRPr="00427481" w:rsidRDefault="001117FF" w:rsidP="001117FF">
            <w:pPr>
              <w:pStyle w:val="TableTextLeft"/>
            </w:pPr>
            <w:r w:rsidRPr="00427481">
              <w:t>UN ISDR</w:t>
            </w:r>
          </w:p>
        </w:tc>
        <w:tc>
          <w:tcPr>
            <w:tcW w:w="7477" w:type="dxa"/>
          </w:tcPr>
          <w:p w14:paraId="0C23F556" w14:textId="77777777" w:rsidR="001117FF" w:rsidRPr="00427481" w:rsidRDefault="001117FF" w:rsidP="001117FF">
            <w:pPr>
              <w:pStyle w:val="TableTextLeft"/>
            </w:pPr>
            <w:r w:rsidRPr="00427481">
              <w:t>United Nations Office for Disaster Reduction</w:t>
            </w:r>
          </w:p>
        </w:tc>
      </w:tr>
      <w:tr w:rsidR="001117FF" w14:paraId="73413D91"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20584E0F" w14:textId="77777777" w:rsidR="001117FF" w:rsidRPr="00427481" w:rsidRDefault="001117FF" w:rsidP="001117FF">
            <w:pPr>
              <w:pStyle w:val="TableTextLeft"/>
            </w:pPr>
            <w:r w:rsidRPr="00427481">
              <w:t>UN OCHA</w:t>
            </w:r>
          </w:p>
        </w:tc>
        <w:tc>
          <w:tcPr>
            <w:tcW w:w="7477" w:type="dxa"/>
          </w:tcPr>
          <w:p w14:paraId="76B75B94" w14:textId="77777777" w:rsidR="001117FF" w:rsidRPr="00427481" w:rsidRDefault="001117FF" w:rsidP="001117FF">
            <w:pPr>
              <w:pStyle w:val="TableTextLeft"/>
            </w:pPr>
            <w:r w:rsidRPr="00427481">
              <w:t>United Nations Office for the Coordination of Humanitarian Affairs</w:t>
            </w:r>
          </w:p>
        </w:tc>
      </w:tr>
      <w:tr w:rsidR="001117FF" w14:paraId="7728F7D3"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28E3C6CF" w14:textId="77777777" w:rsidR="001117FF" w:rsidRPr="00427481" w:rsidRDefault="001117FF" w:rsidP="001117FF">
            <w:pPr>
              <w:pStyle w:val="TableTextLeft"/>
            </w:pPr>
            <w:r w:rsidRPr="00427481">
              <w:t>UoW</w:t>
            </w:r>
          </w:p>
        </w:tc>
        <w:tc>
          <w:tcPr>
            <w:tcW w:w="7477" w:type="dxa"/>
          </w:tcPr>
          <w:p w14:paraId="454EB2AA" w14:textId="77777777" w:rsidR="001117FF" w:rsidRPr="00427481" w:rsidRDefault="001117FF" w:rsidP="001117FF">
            <w:pPr>
              <w:pStyle w:val="TableTextLeft"/>
            </w:pPr>
            <w:r w:rsidRPr="00427481">
              <w:t>The University of Wollongong</w:t>
            </w:r>
          </w:p>
        </w:tc>
      </w:tr>
      <w:tr w:rsidR="001117FF" w14:paraId="634377EB"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79B85235" w14:textId="77777777" w:rsidR="001117FF" w:rsidRPr="00427481" w:rsidRDefault="001117FF" w:rsidP="001117FF">
            <w:pPr>
              <w:pStyle w:val="TableTextLeft"/>
            </w:pPr>
            <w:r w:rsidRPr="00427481">
              <w:t>UPT-BNPB</w:t>
            </w:r>
          </w:p>
        </w:tc>
        <w:tc>
          <w:tcPr>
            <w:tcW w:w="7477" w:type="dxa"/>
          </w:tcPr>
          <w:p w14:paraId="2F36C57F" w14:textId="77777777" w:rsidR="001117FF" w:rsidRPr="00427481" w:rsidRDefault="001117FF" w:rsidP="001117FF">
            <w:pPr>
              <w:pStyle w:val="TableTextLeft"/>
            </w:pPr>
            <w:r w:rsidRPr="00427481">
              <w:t>BNPB Regional Training and Logistics Training centres – also known as Regional Technical Implementation Units – AIFDR built the one in Padang</w:t>
            </w:r>
          </w:p>
        </w:tc>
      </w:tr>
      <w:tr w:rsidR="001117FF" w14:paraId="4E0C77DD"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2E5C69F5" w14:textId="77777777" w:rsidR="001117FF" w:rsidRPr="00427481" w:rsidRDefault="001117FF" w:rsidP="001117FF">
            <w:pPr>
              <w:pStyle w:val="TableTextLeft"/>
            </w:pPr>
            <w:r w:rsidRPr="00427481">
              <w:t>USGS</w:t>
            </w:r>
          </w:p>
        </w:tc>
        <w:tc>
          <w:tcPr>
            <w:tcW w:w="7477" w:type="dxa"/>
          </w:tcPr>
          <w:p w14:paraId="2A59B1F3" w14:textId="77777777" w:rsidR="001117FF" w:rsidRPr="00427481" w:rsidRDefault="001117FF" w:rsidP="001117FF">
            <w:pPr>
              <w:pStyle w:val="TableTextLeft"/>
            </w:pPr>
            <w:r w:rsidRPr="00427481">
              <w:t xml:space="preserve">United States Geological Survey </w:t>
            </w:r>
          </w:p>
        </w:tc>
      </w:tr>
      <w:tr w:rsidR="001117FF" w14:paraId="5A0FECDA"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4F5F4927" w14:textId="77777777" w:rsidR="001117FF" w:rsidRPr="00427481" w:rsidRDefault="001117FF" w:rsidP="001117FF">
            <w:pPr>
              <w:pStyle w:val="TableTextLeft"/>
            </w:pPr>
            <w:r w:rsidRPr="00427481">
              <w:t>VAAC</w:t>
            </w:r>
          </w:p>
        </w:tc>
        <w:tc>
          <w:tcPr>
            <w:tcW w:w="7477" w:type="dxa"/>
          </w:tcPr>
          <w:p w14:paraId="15863E47" w14:textId="77777777" w:rsidR="001117FF" w:rsidRDefault="001117FF" w:rsidP="001117FF">
            <w:pPr>
              <w:pStyle w:val="TableTextLeft"/>
            </w:pPr>
            <w:r w:rsidRPr="00427481">
              <w:t>Volcanic Ash Advisory Centre</w:t>
            </w:r>
          </w:p>
        </w:tc>
      </w:tr>
      <w:tr w:rsidR="00484D6B" w14:paraId="473AA020" w14:textId="77777777" w:rsidTr="001121D6">
        <w:trPr>
          <w:cnfStyle w:val="000000010000" w:firstRow="0" w:lastRow="0" w:firstColumn="0" w:lastColumn="0" w:oddVBand="0" w:evenVBand="0" w:oddHBand="0" w:evenHBand="1" w:firstRowFirstColumn="0" w:firstRowLastColumn="0" w:lastRowFirstColumn="0" w:lastRowLastColumn="0"/>
        </w:trPr>
        <w:tc>
          <w:tcPr>
            <w:tcW w:w="1809" w:type="dxa"/>
          </w:tcPr>
          <w:p w14:paraId="2FFE56D7" w14:textId="77777777" w:rsidR="00484D6B" w:rsidRPr="00EC4278" w:rsidRDefault="00484D6B" w:rsidP="001117FF">
            <w:pPr>
              <w:pStyle w:val="TableTextLeft"/>
            </w:pPr>
            <w:r w:rsidRPr="00EC4278">
              <w:t>VISUS</w:t>
            </w:r>
          </w:p>
        </w:tc>
        <w:tc>
          <w:tcPr>
            <w:tcW w:w="7477" w:type="dxa"/>
          </w:tcPr>
          <w:p w14:paraId="4B56424F" w14:textId="77777777" w:rsidR="00484D6B" w:rsidRPr="00EC4278" w:rsidRDefault="00484D6B" w:rsidP="001117FF">
            <w:pPr>
              <w:pStyle w:val="TableTextLeft"/>
            </w:pPr>
            <w:r w:rsidRPr="00EC4278">
              <w:t>Visual Inspecting for defining the Safety Upgrading Strategies – UNESCO program for safer schools</w:t>
            </w:r>
          </w:p>
        </w:tc>
      </w:tr>
      <w:tr w:rsidR="001117FF" w14:paraId="4CDCD41C" w14:textId="77777777" w:rsidTr="001121D6">
        <w:trPr>
          <w:cnfStyle w:val="000000100000" w:firstRow="0" w:lastRow="0" w:firstColumn="0" w:lastColumn="0" w:oddVBand="0" w:evenVBand="0" w:oddHBand="1" w:evenHBand="0" w:firstRowFirstColumn="0" w:firstRowLastColumn="0" w:lastRowFirstColumn="0" w:lastRowLastColumn="0"/>
        </w:trPr>
        <w:tc>
          <w:tcPr>
            <w:tcW w:w="1809" w:type="dxa"/>
          </w:tcPr>
          <w:p w14:paraId="2F1DB3C8" w14:textId="77777777" w:rsidR="001117FF" w:rsidRPr="008E2687" w:rsidRDefault="001117FF" w:rsidP="001117FF">
            <w:pPr>
              <w:pStyle w:val="TableTextLeft"/>
            </w:pPr>
            <w:r w:rsidRPr="008E2687">
              <w:t>WB</w:t>
            </w:r>
          </w:p>
        </w:tc>
        <w:tc>
          <w:tcPr>
            <w:tcW w:w="7477" w:type="dxa"/>
          </w:tcPr>
          <w:p w14:paraId="2186D66D" w14:textId="77777777" w:rsidR="001117FF" w:rsidRDefault="001117FF" w:rsidP="001117FF">
            <w:pPr>
              <w:pStyle w:val="TableTextLeft"/>
            </w:pPr>
            <w:r w:rsidRPr="008E2687">
              <w:t>World Bank</w:t>
            </w:r>
          </w:p>
        </w:tc>
      </w:tr>
    </w:tbl>
    <w:p w14:paraId="7762F9F8" w14:textId="77777777" w:rsidR="00D7381C" w:rsidRDefault="00D7381C" w:rsidP="00D7381C">
      <w:pPr>
        <w:pStyle w:val="Heading1NoNumbers"/>
      </w:pPr>
      <w:bookmarkStart w:id="6" w:name="_Toc524508483"/>
      <w:r>
        <w:t>Executive Summary</w:t>
      </w:r>
      <w:bookmarkEnd w:id="6"/>
    </w:p>
    <w:p w14:paraId="2B1CA42B" w14:textId="77777777" w:rsidR="00D7381C" w:rsidRDefault="00D7381C" w:rsidP="00D7381C">
      <w:pPr>
        <w:pStyle w:val="BodyText"/>
      </w:pPr>
      <w:r>
        <w:t xml:space="preserve">Indonesia is one of the most disaster prone countries in the world due to its hazard profile and high population exposure. Despite its risk profile, disaster management has not traditionally been informed by best available information. </w:t>
      </w:r>
    </w:p>
    <w:p w14:paraId="04D2CFE1" w14:textId="3FBA3605" w:rsidR="00D7381C" w:rsidRDefault="00D7381C" w:rsidP="00D7381C">
      <w:pPr>
        <w:pStyle w:val="BodyText"/>
      </w:pPr>
      <w:r>
        <w:t xml:space="preserve">Since 2008, the Australian and Indonesian </w:t>
      </w:r>
      <w:r w:rsidR="006A59FC">
        <w:t xml:space="preserve">Governments </w:t>
      </w:r>
      <w:r>
        <w:t>have partnered to increase the use of science and technology in Indonesia to support decision making in disaster management. The partnership has focused on strengthening the evidence base for informed disaster management by improving:</w:t>
      </w:r>
    </w:p>
    <w:p w14:paraId="267D9E71" w14:textId="77777777" w:rsidR="00D7381C" w:rsidRDefault="00D7381C" w:rsidP="009C1018">
      <w:pPr>
        <w:pStyle w:val="ListBulletLevel1"/>
      </w:pPr>
      <w:r>
        <w:t>Hazard information for earthquake, tsunami, volcano and flood;</w:t>
      </w:r>
    </w:p>
    <w:p w14:paraId="3C341544" w14:textId="77777777" w:rsidR="00D7381C" w:rsidRDefault="00D7381C" w:rsidP="009C1018">
      <w:pPr>
        <w:pStyle w:val="ListBulletLevel1"/>
      </w:pPr>
      <w:r>
        <w:t>Spatial data for exposure (population, building, roads and infrastructure); and</w:t>
      </w:r>
    </w:p>
    <w:p w14:paraId="35209EBB" w14:textId="77777777" w:rsidR="00D7381C" w:rsidRDefault="00D7381C" w:rsidP="009C1018">
      <w:pPr>
        <w:pStyle w:val="ListBulletLevel1"/>
      </w:pPr>
      <w:r>
        <w:t xml:space="preserve">Decision support tools such as InaSAFE that assist disaster managers to combine hazard and exposure data to inform disaster response and management. </w:t>
      </w:r>
    </w:p>
    <w:p w14:paraId="3F763B48" w14:textId="6BF9D79C" w:rsidR="00D7381C" w:rsidRDefault="006A59FC" w:rsidP="00D7381C">
      <w:pPr>
        <w:pStyle w:val="BodyText"/>
      </w:pPr>
      <w:r>
        <w:t>Geoscience Australia (</w:t>
      </w:r>
      <w:r w:rsidR="00D7381C">
        <w:t>GA</w:t>
      </w:r>
      <w:r>
        <w:t>)</w:t>
      </w:r>
      <w:r w:rsidR="00D7381C">
        <w:t xml:space="preserve"> has worked alongside Indonesian technical and disaster management agencies, universities, non-government organisations and the private sector to develop Indonesian capacity to manage disasters and institutionalise best-practices. Partnerships have facilitated science-to-policy and science-to-programming outcomes in disaster management that help people prepare for, respond to and recover from crises.</w:t>
      </w:r>
    </w:p>
    <w:p w14:paraId="35CD20B5" w14:textId="7A894452" w:rsidR="00D7381C" w:rsidRDefault="00D7381C" w:rsidP="00D7381C">
      <w:pPr>
        <w:pStyle w:val="BodyText"/>
      </w:pPr>
      <w:r>
        <w:t xml:space="preserve">This completion report documents how the Australia-Indonesia science for disaster management program has increased the use of science and technology in Indonesian disaster management by developing new knowledge and enhancing capacity, both within the scientific community and within policy and decision makers. In doing so, tangible policies have been developed and implemented and practices have changed. The program has strengthened relationships between agencies within Indonesia and also between Indonesia and Australia in the areas of disaster management and science more broadly. New relationships manifest as distinct government-to-government collaborations and strong peer-to-peer links between scientists and policy makers. </w:t>
      </w:r>
    </w:p>
    <w:p w14:paraId="196C9AA5" w14:textId="77777777" w:rsidR="00D7381C" w:rsidRDefault="00D7381C" w:rsidP="00D7381C">
      <w:pPr>
        <w:pStyle w:val="Heading2NoNumbers"/>
      </w:pPr>
      <w:bookmarkStart w:id="7" w:name="_Toc524508484"/>
      <w:r>
        <w:t>Key Project Achievements</w:t>
      </w:r>
      <w:bookmarkEnd w:id="7"/>
    </w:p>
    <w:p w14:paraId="76756C14" w14:textId="77777777" w:rsidR="00D7381C" w:rsidRPr="009C1018" w:rsidRDefault="00D7381C" w:rsidP="009C1018">
      <w:pPr>
        <w:pStyle w:val="BodyText"/>
        <w:rPr>
          <w:rStyle w:val="Bold"/>
        </w:rPr>
      </w:pPr>
      <w:r w:rsidRPr="009C1018">
        <w:rPr>
          <w:rStyle w:val="Bold"/>
        </w:rPr>
        <w:t>Preparation for and response to disaster through InaSAFE</w:t>
      </w:r>
    </w:p>
    <w:p w14:paraId="11C027B1" w14:textId="400174E3" w:rsidR="00D7381C" w:rsidRPr="00494D9B" w:rsidRDefault="000D24B8" w:rsidP="00D7381C">
      <w:pPr>
        <w:pStyle w:val="BodyText"/>
      </w:pPr>
      <w:r>
        <w:t>Eviden</w:t>
      </w:r>
      <w:r w:rsidR="00FE4FE6">
        <w:t>ce</w:t>
      </w:r>
      <w:r w:rsidR="00D7381C" w:rsidRPr="00494D9B">
        <w:t xml:space="preserve"> </w:t>
      </w:r>
      <w:r>
        <w:t>based</w:t>
      </w:r>
      <w:r w:rsidR="00D7381C" w:rsidRPr="00494D9B">
        <w:t xml:space="preserve"> disaster management considers the impact of a hazard on the exposure. </w:t>
      </w:r>
      <w:r w:rsidR="00D7381C">
        <w:t xml:space="preserve">The DMInnovation project </w:t>
      </w:r>
      <w:r w:rsidR="00D7381C" w:rsidRPr="00494D9B">
        <w:t xml:space="preserve">worked in partnership with </w:t>
      </w:r>
      <w:r w:rsidR="00D7381C">
        <w:t>the Indonesian National Disaster Management Agency (</w:t>
      </w:r>
      <w:r w:rsidR="00D7381C" w:rsidRPr="00494D9B">
        <w:t>BNPB</w:t>
      </w:r>
      <w:r w:rsidR="00D7381C">
        <w:t>)</w:t>
      </w:r>
      <w:r w:rsidR="00D7381C" w:rsidRPr="00494D9B">
        <w:t xml:space="preserve">, </w:t>
      </w:r>
      <w:r w:rsidR="00D7381C">
        <w:t>the World Bank Global Framework for Disaster Risk Reduction (GFDRR)</w:t>
      </w:r>
      <w:r w:rsidR="00D7381C" w:rsidRPr="00494D9B">
        <w:t xml:space="preserve"> and Kartoza to </w:t>
      </w:r>
      <w:r w:rsidR="00D7381C">
        <w:t>develop</w:t>
      </w:r>
      <w:r w:rsidR="00D7381C" w:rsidRPr="00494D9B">
        <w:t xml:space="preserve"> a computational toolkit known as InaSAFE to </w:t>
      </w:r>
      <w:r w:rsidR="00D7381C">
        <w:t xml:space="preserve">assist </w:t>
      </w:r>
      <w:r w:rsidR="00D7381C" w:rsidRPr="00494D9B">
        <w:t xml:space="preserve">disaster managers </w:t>
      </w:r>
      <w:r w:rsidR="00D7381C">
        <w:t xml:space="preserve">in </w:t>
      </w:r>
      <w:r w:rsidR="00D7381C" w:rsidRPr="00494D9B">
        <w:t>prepar</w:t>
      </w:r>
      <w:r w:rsidR="00D7381C">
        <w:t>ing</w:t>
      </w:r>
      <w:r w:rsidR="00D7381C" w:rsidRPr="00494D9B">
        <w:t xml:space="preserve"> </w:t>
      </w:r>
      <w:r w:rsidR="00D7381C">
        <w:t xml:space="preserve">for </w:t>
      </w:r>
      <w:r w:rsidR="00D7381C" w:rsidRPr="00494D9B">
        <w:t>and respon</w:t>
      </w:r>
      <w:r w:rsidR="00D7381C">
        <w:t xml:space="preserve">ding </w:t>
      </w:r>
      <w:r w:rsidR="00D7381C" w:rsidRPr="00494D9B">
        <w:t xml:space="preserve">to disasters. </w:t>
      </w:r>
      <w:r w:rsidR="00D7381C">
        <w:t xml:space="preserve">This has led to </w:t>
      </w:r>
      <w:r w:rsidR="00D7381C" w:rsidRPr="00494D9B">
        <w:t>signif</w:t>
      </w:r>
      <w:r w:rsidR="00D7381C">
        <w:t xml:space="preserve">icant increases in the use </w:t>
      </w:r>
      <w:r w:rsidR="00D7381C" w:rsidRPr="00494D9B">
        <w:t xml:space="preserve">and sustainability of geospatial technologies for disaster management in Indonesia. </w:t>
      </w:r>
    </w:p>
    <w:p w14:paraId="13BF5E7C" w14:textId="77777777" w:rsidR="00D7381C" w:rsidRDefault="00D7381C" w:rsidP="00D7381C">
      <w:pPr>
        <w:pStyle w:val="BodyText"/>
        <w:rPr>
          <w:i/>
        </w:rPr>
      </w:pPr>
      <w:r w:rsidRPr="00BD299D">
        <w:rPr>
          <w:i/>
        </w:rPr>
        <w:t>Key achievements</w:t>
      </w:r>
      <w:r>
        <w:rPr>
          <w:i/>
        </w:rPr>
        <w:t xml:space="preserve"> include</w:t>
      </w:r>
      <w:r w:rsidRPr="00BD299D">
        <w:rPr>
          <w:i/>
        </w:rPr>
        <w:t>:</w:t>
      </w:r>
    </w:p>
    <w:p w14:paraId="2F9882D4" w14:textId="77777777" w:rsidR="00D7381C" w:rsidRPr="00BD299D" w:rsidRDefault="00D7381C" w:rsidP="009C1018">
      <w:pPr>
        <w:pStyle w:val="ListBulletLevel1"/>
      </w:pPr>
      <w:r>
        <w:t xml:space="preserve">InaSAFE has been </w:t>
      </w:r>
      <w:r w:rsidRPr="00BD299D">
        <w:t xml:space="preserve">used in Indonesia to inform national and sub-national contingency plans in East Java, </w:t>
      </w:r>
      <w:r>
        <w:t>East Nusa Tenggara (</w:t>
      </w:r>
      <w:r w:rsidRPr="00BD299D">
        <w:t>NTT</w:t>
      </w:r>
      <w:r>
        <w:t>)</w:t>
      </w:r>
      <w:r w:rsidRPr="00BD299D">
        <w:t xml:space="preserve">, South Sulawesi and Maluku provinces. </w:t>
      </w:r>
      <w:r>
        <w:t xml:space="preserve">Based on its successfully use in Indonesia, </w:t>
      </w:r>
      <w:r w:rsidRPr="00BD299D">
        <w:t xml:space="preserve">InaSAFE </w:t>
      </w:r>
      <w:r>
        <w:t xml:space="preserve">is now being adopted globally, </w:t>
      </w:r>
      <w:r w:rsidRPr="00BD299D">
        <w:t xml:space="preserve">from Sub-Saharan Africa to Vietnam and the Pacific. </w:t>
      </w:r>
    </w:p>
    <w:p w14:paraId="08DFD94F" w14:textId="6139C0A2" w:rsidR="00D7381C" w:rsidRPr="00BD299D" w:rsidRDefault="00D7381C" w:rsidP="009C1018">
      <w:pPr>
        <w:pStyle w:val="ListBulletLevel1"/>
      </w:pPr>
      <w:r>
        <w:t xml:space="preserve">Integration of </w:t>
      </w:r>
      <w:r w:rsidRPr="00BD299D">
        <w:t xml:space="preserve">InaSAFE </w:t>
      </w:r>
      <w:r>
        <w:t xml:space="preserve">with </w:t>
      </w:r>
      <w:r w:rsidR="005C567A">
        <w:t>real-time</w:t>
      </w:r>
      <w:r>
        <w:t xml:space="preserve"> hazard information for earthquake (ShakeM</w:t>
      </w:r>
      <w:r w:rsidRPr="00BD299D">
        <w:t>ap</w:t>
      </w:r>
      <w:r>
        <w:t>)</w:t>
      </w:r>
      <w:r w:rsidR="000D24B8">
        <w:t xml:space="preserve">, </w:t>
      </w:r>
      <w:r w:rsidRPr="00BD299D">
        <w:t xml:space="preserve">flood </w:t>
      </w:r>
      <w:r>
        <w:t xml:space="preserve">(just for Jakarta) </w:t>
      </w:r>
      <w:r w:rsidRPr="00BD299D">
        <w:t>and volcanic ash forecas</w:t>
      </w:r>
      <w:r>
        <w:t>t data</w:t>
      </w:r>
      <w:r w:rsidR="000D24B8">
        <w:t xml:space="preserve"> for near real-</w:t>
      </w:r>
      <w:r w:rsidRPr="00BD299D">
        <w:t xml:space="preserve">time impact assessments </w:t>
      </w:r>
      <w:r w:rsidR="000D24B8">
        <w:t>t</w:t>
      </w:r>
      <w:r>
        <w:t xml:space="preserve">o </w:t>
      </w:r>
      <w:r w:rsidRPr="00BD299D">
        <w:t xml:space="preserve">inform disaster responses such as the Magnitude 6.5, 7 December 2016 Pidie Earthquake. BNPB </w:t>
      </w:r>
      <w:r>
        <w:t>now host</w:t>
      </w:r>
      <w:r w:rsidRPr="00BD299D">
        <w:t xml:space="preserve"> the InaSAFE Realtime platform on assets gifted by the program. </w:t>
      </w:r>
    </w:p>
    <w:p w14:paraId="0EA05A75" w14:textId="7F0EE6E9" w:rsidR="00D7381C" w:rsidRDefault="00D7381C" w:rsidP="009C1018">
      <w:pPr>
        <w:pStyle w:val="ListBulletLevel1"/>
      </w:pPr>
      <w:r w:rsidRPr="009F4E46">
        <w:t xml:space="preserve">Two servers from the DMInnovation office were gifted to BNPB. </w:t>
      </w:r>
      <w:r>
        <w:t>A</w:t>
      </w:r>
      <w:r w:rsidRPr="009F4E46">
        <w:t xml:space="preserve"> GeoNode</w:t>
      </w:r>
      <w:r>
        <w:t xml:space="preserve"> (web-based application to share geospatial data) was installed </w:t>
      </w:r>
      <w:r w:rsidRPr="009F4E46">
        <w:t xml:space="preserve">on </w:t>
      </w:r>
      <w:r>
        <w:t xml:space="preserve">these servers and </w:t>
      </w:r>
      <w:r w:rsidRPr="009F4E46">
        <w:t xml:space="preserve">used for data sharing throughout the </w:t>
      </w:r>
      <w:r>
        <w:t xml:space="preserve">Mt </w:t>
      </w:r>
      <w:r w:rsidRPr="009F4E46">
        <w:t xml:space="preserve">Agung </w:t>
      </w:r>
      <w:r>
        <w:t xml:space="preserve">volcanic eruptions (October - December 2017). This was the first time, to our knowledge, that the Government </w:t>
      </w:r>
      <w:r w:rsidR="006A59FC">
        <w:t xml:space="preserve">of Indonesia (GoI) </w:t>
      </w:r>
      <w:r>
        <w:t xml:space="preserve">has utilised an internally hosted service to support the sharing of critical datasets between different GoI </w:t>
      </w:r>
      <w:r w:rsidR="000D24B8">
        <w:t xml:space="preserve">agencies </w:t>
      </w:r>
      <w:r>
        <w:t>during a disaster. The GeoNode is currently being used to store and distribute the hazard maps that were generated by technical partners throughout the Australian supported projects. Looking forward, this GeoNode will form an important asset for storing and sharing data for future disaster management exercises and evidence based respon</w:t>
      </w:r>
      <w:r w:rsidR="00ED4D79">
        <w:t>se during unfolding disasters.</w:t>
      </w:r>
    </w:p>
    <w:p w14:paraId="38BAFB2B" w14:textId="77777777" w:rsidR="00D7381C" w:rsidRDefault="00D7381C" w:rsidP="009C1018">
      <w:pPr>
        <w:pStyle w:val="ListBulletLevel1"/>
      </w:pPr>
      <w:r>
        <w:t xml:space="preserve">Delivered training and supported the establishment of an Indonesian InaSAFE User Community with representation from a range of government organisations, NGOs and international agencies. It is anticipated that this user community will play a pivotal role in supporting the ongoing use of InaSAFE in Indonesia. </w:t>
      </w:r>
    </w:p>
    <w:p w14:paraId="78427117" w14:textId="77777777" w:rsidR="00D7381C" w:rsidRDefault="00D7381C" w:rsidP="009C1018">
      <w:pPr>
        <w:pStyle w:val="ListBulletLevel1"/>
      </w:pPr>
      <w:r>
        <w:t xml:space="preserve">Developed </w:t>
      </w:r>
      <w:r w:rsidRPr="00A95C83">
        <w:t xml:space="preserve">InaSAFE for Disaster Management Guidelines </w:t>
      </w:r>
      <w:r>
        <w:t>to guide disaster managers through the use of InaSAFE.</w:t>
      </w:r>
    </w:p>
    <w:p w14:paraId="27F982B5" w14:textId="77777777" w:rsidR="00D7381C" w:rsidRPr="00BD299D" w:rsidRDefault="00D7381C" w:rsidP="009C1018">
      <w:pPr>
        <w:pStyle w:val="ListBulletLevel1"/>
      </w:pPr>
      <w:r w:rsidRPr="00BD299D">
        <w:t xml:space="preserve">InaSAFE </w:t>
      </w:r>
      <w:r>
        <w:t xml:space="preserve">has been used to inform the </w:t>
      </w:r>
      <w:r w:rsidRPr="00BD299D">
        <w:t xml:space="preserve">UNOCHA led Contingency Planning activity for a catastrophic earthquake </w:t>
      </w:r>
      <w:r>
        <w:t xml:space="preserve">in Jakarta, </w:t>
      </w:r>
      <w:r w:rsidRPr="00BD299D">
        <w:t>and the World Food Programme’s support for the design and location of a network of humanitarian emergency supply hubs</w:t>
      </w:r>
      <w:r>
        <w:t xml:space="preserve"> in Indonesia. </w:t>
      </w:r>
    </w:p>
    <w:p w14:paraId="2A181D44" w14:textId="528EDD0A" w:rsidR="00D7381C" w:rsidRPr="00BD299D" w:rsidRDefault="00D7381C" w:rsidP="00D7381C">
      <w:pPr>
        <w:pStyle w:val="BodyText"/>
        <w:rPr>
          <w:b/>
        </w:rPr>
      </w:pPr>
      <w:r>
        <w:rPr>
          <w:b/>
        </w:rPr>
        <w:t>Supporting the use of spatial d</w:t>
      </w:r>
      <w:r w:rsidRPr="00BD299D">
        <w:rPr>
          <w:b/>
        </w:rPr>
        <w:t xml:space="preserve">ata </w:t>
      </w:r>
      <w:r>
        <w:rPr>
          <w:b/>
        </w:rPr>
        <w:t xml:space="preserve">in disaster </w:t>
      </w:r>
      <w:r w:rsidR="005C567A">
        <w:rPr>
          <w:b/>
        </w:rPr>
        <w:t>management</w:t>
      </w:r>
    </w:p>
    <w:p w14:paraId="7A27866D" w14:textId="7A333606" w:rsidR="00D7381C" w:rsidRDefault="000D24B8" w:rsidP="00D7381C">
      <w:pPr>
        <w:pStyle w:val="BodyText"/>
        <w:rPr>
          <w:rFonts w:eastAsia="Times New Roman"/>
        </w:rPr>
      </w:pPr>
      <w:r>
        <w:rPr>
          <w:rFonts w:eastAsia="Times New Roman"/>
        </w:rPr>
        <w:t>Evidence based disaster management requires spatial data. In particular, understanding</w:t>
      </w:r>
      <w:r w:rsidR="00D7381C">
        <w:rPr>
          <w:rFonts w:eastAsia="Times New Roman"/>
        </w:rPr>
        <w:t xml:space="preserve"> the distribution of people, buildings and infrastructure which may be impacted by a hazard event, is critical for both the preparedness and response phases of the disaster cycle. The DMInnovation project has </w:t>
      </w:r>
      <w:r w:rsidR="00D7381C" w:rsidRPr="00BD299D">
        <w:rPr>
          <w:rFonts w:eastAsia="Times New Roman"/>
        </w:rPr>
        <w:t xml:space="preserve">embedded </w:t>
      </w:r>
      <w:r w:rsidR="00D7381C">
        <w:rPr>
          <w:rFonts w:eastAsia="Times New Roman"/>
        </w:rPr>
        <w:t xml:space="preserve">the use of </w:t>
      </w:r>
      <w:r w:rsidR="00D7381C" w:rsidRPr="00BD299D">
        <w:rPr>
          <w:rFonts w:eastAsia="Times New Roman"/>
        </w:rPr>
        <w:t xml:space="preserve">exposure data and tools in disaster management by </w:t>
      </w:r>
      <w:r w:rsidR="00D7381C">
        <w:rPr>
          <w:rFonts w:eastAsia="Times New Roman"/>
        </w:rPr>
        <w:t>supporting</w:t>
      </w:r>
      <w:r w:rsidR="00D7381C" w:rsidRPr="00BD299D">
        <w:rPr>
          <w:rFonts w:eastAsia="Times New Roman"/>
        </w:rPr>
        <w:t xml:space="preserve"> an Indonesian community </w:t>
      </w:r>
      <w:r w:rsidR="00D7381C">
        <w:rPr>
          <w:rFonts w:eastAsia="Times New Roman"/>
        </w:rPr>
        <w:t xml:space="preserve">of users </w:t>
      </w:r>
      <w:r w:rsidR="00D7381C" w:rsidRPr="00BD299D">
        <w:rPr>
          <w:rFonts w:eastAsia="Times New Roman"/>
        </w:rPr>
        <w:t xml:space="preserve">to generate and </w:t>
      </w:r>
      <w:r w:rsidR="00D7381C">
        <w:rPr>
          <w:rFonts w:eastAsia="Times New Roman"/>
        </w:rPr>
        <w:t>analyse</w:t>
      </w:r>
      <w:r w:rsidR="00D7381C" w:rsidRPr="00BD299D">
        <w:rPr>
          <w:rFonts w:eastAsia="Times New Roman"/>
        </w:rPr>
        <w:t xml:space="preserve"> </w:t>
      </w:r>
      <w:r w:rsidR="00D7381C">
        <w:rPr>
          <w:rFonts w:eastAsia="Times New Roman"/>
        </w:rPr>
        <w:t xml:space="preserve">their own </w:t>
      </w:r>
      <w:r w:rsidR="00D7381C" w:rsidRPr="00BD299D">
        <w:rPr>
          <w:rFonts w:eastAsia="Times New Roman"/>
        </w:rPr>
        <w:t xml:space="preserve">spatial data. </w:t>
      </w:r>
      <w:r>
        <w:rPr>
          <w:rFonts w:eastAsia="Times New Roman"/>
        </w:rPr>
        <w:t>For example, the</w:t>
      </w:r>
      <w:r w:rsidR="00D7381C">
        <w:rPr>
          <w:rFonts w:eastAsia="Times New Roman"/>
        </w:rPr>
        <w:t xml:space="preserve"> Indonesian public, including university students, have engaged in crowd-sourcing initiatives to assist in mapping the spatial footprint of the annual Jakarta floods. </w:t>
      </w:r>
    </w:p>
    <w:p w14:paraId="595D03CC" w14:textId="77777777" w:rsidR="00D7381C" w:rsidRPr="00BD299D" w:rsidRDefault="00D7381C" w:rsidP="00D7381C">
      <w:pPr>
        <w:pStyle w:val="BodyText"/>
        <w:rPr>
          <w:rFonts w:eastAsia="Times New Roman"/>
          <w:i/>
        </w:rPr>
      </w:pPr>
      <w:r w:rsidRPr="00BD299D">
        <w:rPr>
          <w:rFonts w:eastAsia="Times New Roman"/>
          <w:i/>
        </w:rPr>
        <w:t>Key achievements</w:t>
      </w:r>
      <w:r>
        <w:rPr>
          <w:rFonts w:eastAsia="Times New Roman"/>
          <w:i/>
        </w:rPr>
        <w:t xml:space="preserve"> include</w:t>
      </w:r>
      <w:r w:rsidRPr="00BD299D">
        <w:rPr>
          <w:rFonts w:eastAsia="Times New Roman"/>
          <w:i/>
        </w:rPr>
        <w:t xml:space="preserve">: </w:t>
      </w:r>
    </w:p>
    <w:p w14:paraId="6067A138" w14:textId="20AB404F" w:rsidR="00D7381C" w:rsidRDefault="00D7381C" w:rsidP="009C1018">
      <w:pPr>
        <w:pStyle w:val="ListBulletLevel1"/>
      </w:pPr>
      <w:r w:rsidRPr="00BD299D">
        <w:t>Support</w:t>
      </w:r>
      <w:r>
        <w:t>ed</w:t>
      </w:r>
      <w:r w:rsidRPr="00BD299D">
        <w:t xml:space="preserve"> the Humanitarian OpenStreetMap Team (HOT) to build an OSM community in Indonesia</w:t>
      </w:r>
      <w:r w:rsidR="000D24B8">
        <w:t>.</w:t>
      </w:r>
      <w:r w:rsidRPr="00BD299D">
        <w:t xml:space="preserve"> The Indonesian branch of HOT </w:t>
      </w:r>
      <w:r w:rsidR="00CD517D">
        <w:t xml:space="preserve">(Perkumpulan OSM Indonesie) </w:t>
      </w:r>
      <w:r w:rsidRPr="00BD299D">
        <w:t xml:space="preserve">gained formal status as an independent association </w:t>
      </w:r>
      <w:r>
        <w:t xml:space="preserve">in Indonesia, which </w:t>
      </w:r>
      <w:r w:rsidRPr="00BD299D">
        <w:t>ensur</w:t>
      </w:r>
      <w:r>
        <w:t>es</w:t>
      </w:r>
      <w:r w:rsidRPr="00BD299D">
        <w:t xml:space="preserve"> it can receive funding from and work directly with Indonesian government into the future. </w:t>
      </w:r>
      <w:r>
        <w:t>Focus areas included:</w:t>
      </w:r>
    </w:p>
    <w:p w14:paraId="02A0C1B5" w14:textId="734AA60E" w:rsidR="00D7381C" w:rsidRPr="00A1255A" w:rsidRDefault="00D7381C" w:rsidP="009C1018">
      <w:pPr>
        <w:pStyle w:val="ListBulletLevel2"/>
      </w:pPr>
      <w:r w:rsidRPr="00A1255A">
        <w:t xml:space="preserve">New tools to support </w:t>
      </w:r>
      <w:r w:rsidR="00CD517D">
        <w:t>the</w:t>
      </w:r>
      <w:r w:rsidRPr="00A1255A">
        <w:t xml:space="preserve"> capture and review of OSM data in the field</w:t>
      </w:r>
      <w:r>
        <w:t>;</w:t>
      </w:r>
    </w:p>
    <w:p w14:paraId="6C33E07E" w14:textId="5F0592E8" w:rsidR="00D7381C" w:rsidRPr="00A1255A" w:rsidRDefault="00D7381C" w:rsidP="009C1018">
      <w:pPr>
        <w:pStyle w:val="ListBulletLevel2"/>
      </w:pPr>
      <w:r w:rsidRPr="00A1255A">
        <w:t>Customisation of OSM resources fo</w:t>
      </w:r>
      <w:r>
        <w:t xml:space="preserve">r use </w:t>
      </w:r>
      <w:r w:rsidR="00CD517D">
        <w:t>Indonesia</w:t>
      </w:r>
      <w:r>
        <w:t>;</w:t>
      </w:r>
    </w:p>
    <w:p w14:paraId="1D383445" w14:textId="77777777" w:rsidR="00D7381C" w:rsidRPr="00A1255A" w:rsidRDefault="00D7381C" w:rsidP="009C1018">
      <w:pPr>
        <w:pStyle w:val="ListBulletLevel2"/>
      </w:pPr>
      <w:r w:rsidRPr="00A1255A">
        <w:t>Training and events for a range of priority partners and universi</w:t>
      </w:r>
      <w:r>
        <w:t>ties;</w:t>
      </w:r>
    </w:p>
    <w:p w14:paraId="1039F417" w14:textId="77777777" w:rsidR="00D7381C" w:rsidRPr="00A1255A" w:rsidRDefault="00D7381C" w:rsidP="009C1018">
      <w:pPr>
        <w:pStyle w:val="ListBulletLevel2"/>
      </w:pPr>
      <w:r w:rsidRPr="00A1255A">
        <w:t>Development and enhancement of training m</w:t>
      </w:r>
      <w:r>
        <w:t>aterials, manuals and curricula;</w:t>
      </w:r>
    </w:p>
    <w:p w14:paraId="1A55D29A" w14:textId="73E1B441" w:rsidR="00D7381C" w:rsidRPr="00A1255A" w:rsidRDefault="00D7381C" w:rsidP="009C1018">
      <w:pPr>
        <w:pStyle w:val="ListBulletLevel2"/>
      </w:pPr>
      <w:r w:rsidRPr="00A1255A">
        <w:t>Support for participant</w:t>
      </w:r>
      <w:r>
        <w:t xml:space="preserve">s in desktop training exercises; </w:t>
      </w:r>
    </w:p>
    <w:p w14:paraId="697D12EB" w14:textId="77777777" w:rsidR="00D7381C" w:rsidRDefault="00D7381C" w:rsidP="009C1018">
      <w:pPr>
        <w:pStyle w:val="ListBulletLevel2"/>
      </w:pPr>
      <w:r w:rsidRPr="00A1255A">
        <w:t>Internatio</w:t>
      </w:r>
      <w:r>
        <w:t>nal promotion of the activities; and</w:t>
      </w:r>
    </w:p>
    <w:p w14:paraId="7E4BAB51" w14:textId="77777777" w:rsidR="00D7381C" w:rsidRPr="00F53E25" w:rsidRDefault="00D7381C" w:rsidP="009C1018">
      <w:pPr>
        <w:pStyle w:val="ListBulletLevel2"/>
      </w:pPr>
      <w:r w:rsidRPr="00BD299D">
        <w:t>The integration of OSM, QGIS and InaSAFE training into Indonesian university curricula and publication of online OSM technical guides.</w:t>
      </w:r>
    </w:p>
    <w:p w14:paraId="37F83C7C" w14:textId="4E14AD80" w:rsidR="00D7381C" w:rsidRPr="00BD299D" w:rsidRDefault="00D7381C" w:rsidP="009C1018">
      <w:pPr>
        <w:pStyle w:val="ListBulletLevel1"/>
      </w:pPr>
      <w:r>
        <w:t>Mapped</w:t>
      </w:r>
      <w:r w:rsidRPr="00BD299D">
        <w:t xml:space="preserve"> over </w:t>
      </w:r>
      <w:r>
        <w:t>15.2</w:t>
      </w:r>
      <w:r w:rsidRPr="00BD299D">
        <w:t xml:space="preserve"> million buildings and </w:t>
      </w:r>
      <w:r>
        <w:t>579</w:t>
      </w:r>
      <w:r w:rsidRPr="00BD299D">
        <w:t xml:space="preserve"> 000 km of road in OSM for Indonesia</w:t>
      </w:r>
      <w:r>
        <w:rPr>
          <w:rStyle w:val="FootnoteReference"/>
        </w:rPr>
        <w:footnoteReference w:id="2"/>
      </w:r>
      <w:r w:rsidRPr="00BD299D">
        <w:t xml:space="preserve">. This data has been collected in priority areas informing BNPB contingency planning activities such as the Ambon DiREx 2016 </w:t>
      </w:r>
      <w:r>
        <w:t>T</w:t>
      </w:r>
      <w:r w:rsidRPr="00BD299D">
        <w:t xml:space="preserve">able </w:t>
      </w:r>
      <w:r>
        <w:t>T</w:t>
      </w:r>
      <w:r w:rsidRPr="00BD299D">
        <w:t>op exercise</w:t>
      </w:r>
      <w:r w:rsidR="00CD517D">
        <w:t>, an international disaster response planning and training exercise</w:t>
      </w:r>
      <w:r>
        <w:t xml:space="preserve">. </w:t>
      </w:r>
    </w:p>
    <w:p w14:paraId="493536D7" w14:textId="7193EBAD" w:rsidR="00D7381C" w:rsidRPr="00BD299D" w:rsidRDefault="00D7381C" w:rsidP="009C1018">
      <w:pPr>
        <w:pStyle w:val="ListBulletLevel1"/>
      </w:pPr>
      <w:r w:rsidRPr="00BD299D">
        <w:t>Develop</w:t>
      </w:r>
      <w:r>
        <w:t>ed</w:t>
      </w:r>
      <w:r w:rsidRPr="00BD299D">
        <w:t xml:space="preserve"> technological solutions to improv</w:t>
      </w:r>
      <w:r>
        <w:t xml:space="preserve">e the </w:t>
      </w:r>
      <w:r w:rsidRPr="00BD299D">
        <w:t xml:space="preserve">efficiency of data management systems. </w:t>
      </w:r>
      <w:r>
        <w:t>The DMInnovation project invested in the OSM T</w:t>
      </w:r>
      <w:r w:rsidRPr="00BD299D">
        <w:t xml:space="preserve">asking </w:t>
      </w:r>
      <w:r>
        <w:t>M</w:t>
      </w:r>
      <w:r w:rsidRPr="00BD299D">
        <w:t xml:space="preserve">anager to coordinate efficient spatial data collection and reduce redundancy. This has been </w:t>
      </w:r>
      <w:r>
        <w:t>used in Indonesia to directly support disaster responses such as the 15 December 2017 M6.5 Taskimalaya Earthquake. As well as by</w:t>
      </w:r>
      <w:r w:rsidRPr="00BD299D">
        <w:t xml:space="preserve"> BNPB to manage mapathons in priority districts earmarked for comprehensive disaster management.</w:t>
      </w:r>
      <w:r w:rsidR="009461EC">
        <w:t xml:space="preserve"> </w:t>
      </w:r>
      <w:r w:rsidR="00C10CF2">
        <w:t>DMInnovation</w:t>
      </w:r>
      <w:r w:rsidR="009461EC" w:rsidRPr="009461EC">
        <w:t xml:space="preserve"> also designed and invested</w:t>
      </w:r>
      <w:r w:rsidR="009461EC">
        <w:t xml:space="preserve"> in the OSM core functionality including </w:t>
      </w:r>
      <w:r w:rsidR="009461EC" w:rsidRPr="009461EC">
        <w:t>develop</w:t>
      </w:r>
      <w:r w:rsidR="009461EC">
        <w:t>ment of</w:t>
      </w:r>
      <w:r w:rsidR="009461EC" w:rsidRPr="009461EC">
        <w:t xml:space="preserve"> the Tasking Manager</w:t>
      </w:r>
      <w:r w:rsidR="009461EC">
        <w:t xml:space="preserve">. This tasking manager </w:t>
      </w:r>
      <w:r w:rsidR="009461EC" w:rsidRPr="009461EC">
        <w:t>has now been used globally to facilitate 1.25 million mapping projects, informing decision making and response for Ebola management in Africa, the 2013 Super Typhoon Yolanda in Philippines and the Magnitude 7.8 25 April 2015 Nepal Earthquake.</w:t>
      </w:r>
      <w:r w:rsidR="009461EC">
        <w:t xml:space="preserve"> This is an example of </w:t>
      </w:r>
      <w:r w:rsidR="00C10CF2">
        <w:t xml:space="preserve">a </w:t>
      </w:r>
      <w:r w:rsidR="009461EC">
        <w:t xml:space="preserve">tool developed </w:t>
      </w:r>
      <w:r w:rsidR="00C10CF2">
        <w:t>by DMInnovation that has changed</w:t>
      </w:r>
      <w:r w:rsidR="009461EC">
        <w:t xml:space="preserve"> the </w:t>
      </w:r>
      <w:r w:rsidR="005C567A">
        <w:t>workflows</w:t>
      </w:r>
      <w:r w:rsidR="009461EC">
        <w:t xml:space="preserve"> of millions of projects around the globe. </w:t>
      </w:r>
    </w:p>
    <w:p w14:paraId="1985AF1F" w14:textId="13B1487C" w:rsidR="00D7381C" w:rsidRPr="00BE3237" w:rsidRDefault="00D7381C" w:rsidP="009C1018">
      <w:pPr>
        <w:pStyle w:val="ListBulletLevel1"/>
      </w:pPr>
      <w:r>
        <w:t>Worked with the University of Wollongong to develop base level digital maps and a system for real-time flood mapping for Jakarta that is based on Twitter analytics</w:t>
      </w:r>
      <w:r w:rsidR="009461EC">
        <w:t>.</w:t>
      </w:r>
      <w:r>
        <w:t xml:space="preserve"> This system is now operational and is informing disaster response by the Jakarta provincial level disaster management agency (</w:t>
      </w:r>
      <w:r w:rsidRPr="001549C3">
        <w:t xml:space="preserve">BPBD </w:t>
      </w:r>
      <w:r>
        <w:t xml:space="preserve">Jakarta </w:t>
      </w:r>
      <w:r w:rsidRPr="001549C3">
        <w:t>DKI</w:t>
      </w:r>
      <w:r>
        <w:t xml:space="preserve">) every wet season. </w:t>
      </w:r>
      <w:r w:rsidR="009461EC">
        <w:t xml:space="preserve">Furthermore, </w:t>
      </w:r>
      <w:r w:rsidR="0003615C">
        <w:t xml:space="preserve">the system is being replicated across other Indonesian cities under a USAID funded project. </w:t>
      </w:r>
    </w:p>
    <w:p w14:paraId="389C0A02" w14:textId="3D280A8B" w:rsidR="00D7381C" w:rsidRPr="00F53E25" w:rsidRDefault="00D7381C" w:rsidP="009C1018">
      <w:pPr>
        <w:pStyle w:val="ListBulletLevel1"/>
      </w:pPr>
      <w:r w:rsidRPr="00A1255A">
        <w:t xml:space="preserve">The activity successfully </w:t>
      </w:r>
      <w:r>
        <w:t>prototyped new</w:t>
      </w:r>
      <w:r w:rsidRPr="00A1255A">
        <w:t xml:space="preserve"> low cost, smart sensors using sonar sensing of water levels, which were connected to the PetaJakarta database. This pilot project test</w:t>
      </w:r>
      <w:r>
        <w:t>ed the sensors in 4 locations and demonstrated that this inexpensive flood sensor technology could be deployed in a practical setting to moni</w:t>
      </w:r>
      <w:r w:rsidR="00ED4D79">
        <w:t>tor river heights in real-time.</w:t>
      </w:r>
    </w:p>
    <w:p w14:paraId="5538CF15" w14:textId="77777777" w:rsidR="00D7381C" w:rsidRPr="009F4E46" w:rsidRDefault="00D7381C" w:rsidP="009C1018">
      <w:pPr>
        <w:pStyle w:val="ListBulletLevel1"/>
      </w:pPr>
      <w:r>
        <w:t xml:space="preserve">Created </w:t>
      </w:r>
      <w:r w:rsidRPr="009F4E46">
        <w:t>curriculum and training material</w:t>
      </w:r>
      <w:r>
        <w:t>s</w:t>
      </w:r>
      <w:r w:rsidRPr="009F4E46">
        <w:t>, in</w:t>
      </w:r>
      <w:r>
        <w:t xml:space="preserve"> Bahasa Indonesia and</w:t>
      </w:r>
      <w:r w:rsidRPr="009F4E46">
        <w:t xml:space="preserve"> English</w:t>
      </w:r>
      <w:r>
        <w:t>, including</w:t>
      </w:r>
      <w:r w:rsidRPr="009F4E46">
        <w:t>:</w:t>
      </w:r>
    </w:p>
    <w:p w14:paraId="4B4AD5E3" w14:textId="58986D42" w:rsidR="009461EC" w:rsidRPr="009C1018" w:rsidRDefault="001D4650" w:rsidP="009C1018">
      <w:pPr>
        <w:pStyle w:val="ListBulletLevel2"/>
      </w:pPr>
      <w:hyperlink r:id="rId18" w:history="1">
        <w:r w:rsidR="009461EC" w:rsidRPr="009C1018">
          <w:rPr>
            <w:rStyle w:val="Hyperlink"/>
            <w:color w:val="auto"/>
          </w:rPr>
          <w:t>Guidelines for running a Mapathon Event</w:t>
        </w:r>
      </w:hyperlink>
      <w:r w:rsidR="009461EC" w:rsidRPr="009C1018">
        <w:t> (Indonesian);</w:t>
      </w:r>
    </w:p>
    <w:p w14:paraId="0D44EF09" w14:textId="592AD3F6" w:rsidR="009461EC" w:rsidRPr="009C1018" w:rsidRDefault="001D4650" w:rsidP="009C1018">
      <w:pPr>
        <w:pStyle w:val="ListBulletLevel2"/>
      </w:pPr>
      <w:hyperlink r:id="rId19" w:history="1">
        <w:r w:rsidR="009461EC" w:rsidRPr="009C1018">
          <w:rPr>
            <w:rStyle w:val="Hyperlink"/>
            <w:color w:val="auto"/>
          </w:rPr>
          <w:t>Guidelines for OSM Data Collection</w:t>
        </w:r>
      </w:hyperlink>
      <w:r w:rsidR="009461EC" w:rsidRPr="009C1018">
        <w:t xml:space="preserve"> (English and in </w:t>
      </w:r>
      <w:hyperlink r:id="rId20" w:history="1">
        <w:r w:rsidR="009461EC" w:rsidRPr="009C1018">
          <w:rPr>
            <w:rStyle w:val="Hyperlink"/>
            <w:color w:val="auto"/>
          </w:rPr>
          <w:t>Indonesian</w:t>
        </w:r>
      </w:hyperlink>
      <w:r w:rsidR="009461EC" w:rsidRPr="009C1018">
        <w:t>); and</w:t>
      </w:r>
    </w:p>
    <w:p w14:paraId="181B64DE" w14:textId="114BB7BD" w:rsidR="009461EC" w:rsidRPr="009C1018" w:rsidRDefault="001D4650" w:rsidP="009C1018">
      <w:pPr>
        <w:pStyle w:val="ListBulletLevel2"/>
      </w:pPr>
      <w:hyperlink r:id="rId21" w:history="1">
        <w:r w:rsidR="009461EC" w:rsidRPr="009C1018">
          <w:rPr>
            <w:rStyle w:val="Hyperlink"/>
            <w:color w:val="auto"/>
          </w:rPr>
          <w:t>OSM for Individuals with Disabilities</w:t>
        </w:r>
      </w:hyperlink>
      <w:r w:rsidR="009461EC" w:rsidRPr="009C1018">
        <w:t> (Indonesian)</w:t>
      </w:r>
      <w:r w:rsidR="00D27C98">
        <w:t>.</w:t>
      </w:r>
    </w:p>
    <w:p w14:paraId="3486DC1B" w14:textId="77777777" w:rsidR="00D7381C" w:rsidRPr="009C1018" w:rsidRDefault="00D7381C" w:rsidP="009C1018">
      <w:pPr>
        <w:pStyle w:val="BodyText"/>
        <w:rPr>
          <w:rStyle w:val="Bold"/>
        </w:rPr>
      </w:pPr>
      <w:r w:rsidRPr="009C1018">
        <w:rPr>
          <w:rStyle w:val="Bold"/>
        </w:rPr>
        <w:t>Tsunami Hazard</w:t>
      </w:r>
    </w:p>
    <w:p w14:paraId="34B6BBD8" w14:textId="58290804" w:rsidR="00D7381C" w:rsidRPr="00BD299D" w:rsidRDefault="00D7381C" w:rsidP="00D7381C">
      <w:pPr>
        <w:pStyle w:val="BodyText"/>
      </w:pPr>
      <w:r w:rsidRPr="00BD299D">
        <w:t>Indonesia is one of the most tsunami prone countries in the world.</w:t>
      </w:r>
      <w:r>
        <w:t xml:space="preserve"> Through this program</w:t>
      </w:r>
      <w:r w:rsidRPr="00BD299D">
        <w:t xml:space="preserve"> Indonesia’s capacity to develop </w:t>
      </w:r>
      <w:r w:rsidR="0003615C">
        <w:t xml:space="preserve">a </w:t>
      </w:r>
      <w:r w:rsidRPr="00BD299D">
        <w:t xml:space="preserve">scientific </w:t>
      </w:r>
      <w:r w:rsidR="0003615C">
        <w:t>understanding of</w:t>
      </w:r>
      <w:r w:rsidRPr="00BD299D">
        <w:t xml:space="preserve"> tsunami hazard to inform disaster management and help people prepare for, respond to and recover from </w:t>
      </w:r>
      <w:r>
        <w:t>tsunami has increased.</w:t>
      </w:r>
    </w:p>
    <w:p w14:paraId="00F65808" w14:textId="518ABC44" w:rsidR="00D7381C" w:rsidRPr="00BD299D" w:rsidRDefault="00D7381C" w:rsidP="00D7381C">
      <w:pPr>
        <w:pStyle w:val="BodyText"/>
        <w:rPr>
          <w:i/>
        </w:rPr>
      </w:pPr>
      <w:r w:rsidRPr="00BD299D">
        <w:rPr>
          <w:i/>
        </w:rPr>
        <w:t>Key achievements</w:t>
      </w:r>
      <w:r>
        <w:rPr>
          <w:i/>
        </w:rPr>
        <w:t xml:space="preserve"> include:</w:t>
      </w:r>
      <w:r w:rsidRPr="00BD299D">
        <w:rPr>
          <w:i/>
        </w:rPr>
        <w:t xml:space="preserve"> </w:t>
      </w:r>
    </w:p>
    <w:p w14:paraId="059BD8D7" w14:textId="4FF64FA9" w:rsidR="00D7381C" w:rsidRPr="00BD299D" w:rsidRDefault="00D7381C" w:rsidP="009C1018">
      <w:pPr>
        <w:pStyle w:val="ListBulletLevel1"/>
      </w:pPr>
      <w:r w:rsidRPr="00BD299D">
        <w:t xml:space="preserve">Produced the first National Tsunami Hazard Map based on </w:t>
      </w:r>
      <w:r w:rsidR="005C567A">
        <w:t>world’s</w:t>
      </w:r>
      <w:r>
        <w:t xml:space="preserve"> best practise</w:t>
      </w:r>
      <w:r w:rsidRPr="00BD299D">
        <w:t xml:space="preserve"> probabilistic methods. This map has been</w:t>
      </w:r>
      <w:r>
        <w:t>, and will continue to be</w:t>
      </w:r>
      <w:r w:rsidR="0003615C">
        <w:t>,</w:t>
      </w:r>
      <w:r>
        <w:t xml:space="preserve"> </w:t>
      </w:r>
      <w:r w:rsidRPr="00BD299D">
        <w:t>used</w:t>
      </w:r>
      <w:r>
        <w:t xml:space="preserve"> </w:t>
      </w:r>
      <w:r w:rsidRPr="00BD299D">
        <w:t>to prioritise tsunami mitigation</w:t>
      </w:r>
      <w:r>
        <w:t xml:space="preserve"> and research</w:t>
      </w:r>
      <w:r w:rsidRPr="00BD299D">
        <w:t xml:space="preserve"> investment across Indonesia. </w:t>
      </w:r>
    </w:p>
    <w:p w14:paraId="46DA70D8" w14:textId="012002B6" w:rsidR="00D7381C" w:rsidRDefault="0003615C" w:rsidP="009C1018">
      <w:pPr>
        <w:pStyle w:val="ListBulletLevel1"/>
      </w:pPr>
      <w:r>
        <w:t>Strengthened</w:t>
      </w:r>
      <w:r w:rsidR="00D7381C">
        <w:t xml:space="preserve"> coverage of the </w:t>
      </w:r>
      <w:r w:rsidR="00D7381C" w:rsidRPr="00BD299D">
        <w:t xml:space="preserve">Indonesian tsunami warning system </w:t>
      </w:r>
      <w:r>
        <w:t>in</w:t>
      </w:r>
      <w:r w:rsidR="00D7381C">
        <w:t xml:space="preserve"> eastern Indonesia </w:t>
      </w:r>
      <w:r>
        <w:t xml:space="preserve">to align with the robustness of the </w:t>
      </w:r>
      <w:r w:rsidR="00D7381C">
        <w:t xml:space="preserve">western </w:t>
      </w:r>
      <w:r>
        <w:t>Indonesia</w:t>
      </w:r>
      <w:r w:rsidR="00D7381C">
        <w:t xml:space="preserve">. This was achieved by increasing the number of earthquake sources in the InaTEWS scenario database from </w:t>
      </w:r>
      <w:r w:rsidR="00D7381C" w:rsidRPr="004D7B75">
        <w:t>4</w:t>
      </w:r>
      <w:r w:rsidR="00D7381C">
        <w:t>,</w:t>
      </w:r>
      <w:r w:rsidR="00D7381C" w:rsidRPr="004D7B75">
        <w:t>580 to 17</w:t>
      </w:r>
      <w:r w:rsidR="00D7381C">
        <w:t>,</w:t>
      </w:r>
      <w:r w:rsidR="00D7381C" w:rsidRPr="004D7B75">
        <w:t xml:space="preserve">317. </w:t>
      </w:r>
    </w:p>
    <w:p w14:paraId="4527F169" w14:textId="01F415C9" w:rsidR="00D7381C" w:rsidRPr="00DB552A" w:rsidRDefault="00D7381C" w:rsidP="009C1018">
      <w:pPr>
        <w:pStyle w:val="ListBulletLevel1"/>
      </w:pPr>
      <w:r w:rsidRPr="00BD299D">
        <w:t xml:space="preserve">Strengthened the Indonesian tsunami warning system </w:t>
      </w:r>
      <w:r>
        <w:t xml:space="preserve">by </w:t>
      </w:r>
      <w:r w:rsidR="0003615C">
        <w:t>streamlining</w:t>
      </w:r>
      <w:r w:rsidRPr="004D7B75">
        <w:t xml:space="preserve"> </w:t>
      </w:r>
      <w:r>
        <w:t xml:space="preserve">workflows to generate more robust warnings </w:t>
      </w:r>
      <w:r w:rsidRPr="004D7B75">
        <w:t>across all of Indonesia</w:t>
      </w:r>
      <w:r>
        <w:t>,</w:t>
      </w:r>
      <w:r w:rsidRPr="004D7B75">
        <w:t xml:space="preserve"> contributing to the safety of millions of Indonesians living on or near the coast.</w:t>
      </w:r>
    </w:p>
    <w:p w14:paraId="286530B2" w14:textId="77777777" w:rsidR="00D7381C" w:rsidRDefault="00D7381C" w:rsidP="009C1018">
      <w:pPr>
        <w:pStyle w:val="ListBulletLevel1"/>
      </w:pPr>
      <w:r w:rsidRPr="00BD299D">
        <w:t>Developed capability within the Indonesian Geological A</w:t>
      </w:r>
      <w:r>
        <w:t>gency – Badan Geologi (BG)</w:t>
      </w:r>
      <w:r w:rsidRPr="00BD299D">
        <w:t xml:space="preserve"> to produce local scale tsunami inundation maps. </w:t>
      </w:r>
      <w:r>
        <w:t xml:space="preserve">To date </w:t>
      </w:r>
      <w:r w:rsidRPr="00BD299D">
        <w:t xml:space="preserve">17 local scale hazard maps have been </w:t>
      </w:r>
      <w:r>
        <w:t>generated</w:t>
      </w:r>
      <w:r w:rsidRPr="00BD299D">
        <w:t>.</w:t>
      </w:r>
      <w:r>
        <w:t xml:space="preserve"> </w:t>
      </w:r>
    </w:p>
    <w:p w14:paraId="4D09F78D" w14:textId="0449E300" w:rsidR="00D7381C" w:rsidRPr="00BD299D" w:rsidRDefault="00D7381C" w:rsidP="009C1018">
      <w:pPr>
        <w:pStyle w:val="ListBulletLevel1"/>
      </w:pPr>
      <w:r>
        <w:t xml:space="preserve">Fostered collaboration between </w:t>
      </w:r>
      <w:r w:rsidRPr="00F53E25">
        <w:t xml:space="preserve">tsunami </w:t>
      </w:r>
      <w:r>
        <w:t xml:space="preserve">scientists at </w:t>
      </w:r>
      <w:r w:rsidRPr="00F53E25">
        <w:t xml:space="preserve">BG and </w:t>
      </w:r>
      <w:r>
        <w:t xml:space="preserve">the </w:t>
      </w:r>
      <w:r w:rsidRPr="004D7B75">
        <w:t>Indonesian Agency for Meteorology, Climatology and Geophysics</w:t>
      </w:r>
      <w:r>
        <w:t xml:space="preserve"> (BMKG)</w:t>
      </w:r>
      <w:r w:rsidRPr="00F53E25">
        <w:t xml:space="preserve"> </w:t>
      </w:r>
      <w:r>
        <w:t>through combined training workshops and leading discussions on applications of inundation modelling to the InaTEWS. Prior to the DMInnovation project BG and BMKG had not worked t</w:t>
      </w:r>
      <w:r w:rsidR="0003615C">
        <w:t>ogether on tsunami inundation. I</w:t>
      </w:r>
      <w:r>
        <w:t>t is expected that this new collaboration will continue in the future.</w:t>
      </w:r>
    </w:p>
    <w:p w14:paraId="126AC2BA" w14:textId="77777777" w:rsidR="00D7381C" w:rsidRDefault="00D7381C" w:rsidP="009C1018">
      <w:pPr>
        <w:pStyle w:val="ListBulletLevel1"/>
      </w:pPr>
      <w:r>
        <w:t>Facilitated the establishment of a relationship between BG and Badan Informasi Geospatial (BIG) which means BG can access essential digital elevation data required for tsunami inundation modelling now and into the future.</w:t>
      </w:r>
    </w:p>
    <w:p w14:paraId="24BD1FA1" w14:textId="77777777" w:rsidR="00D7381C" w:rsidRPr="009C1018" w:rsidRDefault="00D7381C" w:rsidP="009C1018">
      <w:pPr>
        <w:pStyle w:val="BodyText"/>
        <w:rPr>
          <w:rStyle w:val="Bold"/>
        </w:rPr>
      </w:pPr>
      <w:r w:rsidRPr="009C1018">
        <w:rPr>
          <w:rStyle w:val="Bold"/>
        </w:rPr>
        <w:t>Earthquake Hazard</w:t>
      </w:r>
    </w:p>
    <w:p w14:paraId="067336F6" w14:textId="363800C9" w:rsidR="00D7381C" w:rsidRPr="00BD299D" w:rsidRDefault="00D7381C" w:rsidP="00D7381C">
      <w:pPr>
        <w:pStyle w:val="BodyText"/>
      </w:pPr>
      <w:r w:rsidRPr="00BD299D">
        <w:t xml:space="preserve">Indonesia has experienced over 2000 earthquakes with magnitude greater than 5 since 1960 making it one of the most seismically active countries in the world. </w:t>
      </w:r>
      <w:r w:rsidR="00D27C98">
        <w:t>The DMInnovation program has</w:t>
      </w:r>
      <w:r w:rsidR="00C10CF2">
        <w:t xml:space="preserve"> </w:t>
      </w:r>
      <w:r w:rsidRPr="00BD299D">
        <w:t xml:space="preserve">enhanced Indonesia’s capacity to develop scientific evidence on earthquake hazard to inform disaster management and prepare for, respond to and recover from earthquakes. </w:t>
      </w:r>
    </w:p>
    <w:p w14:paraId="0D103C2F" w14:textId="77777777" w:rsidR="00D7381C" w:rsidRPr="00BD299D" w:rsidRDefault="00D7381C" w:rsidP="00D7381C">
      <w:pPr>
        <w:pStyle w:val="BodyText"/>
        <w:rPr>
          <w:i/>
        </w:rPr>
      </w:pPr>
      <w:r w:rsidRPr="00BD299D">
        <w:rPr>
          <w:i/>
        </w:rPr>
        <w:t>Key achievements</w:t>
      </w:r>
      <w:r>
        <w:rPr>
          <w:i/>
        </w:rPr>
        <w:t xml:space="preserve"> include</w:t>
      </w:r>
      <w:r w:rsidRPr="00BD299D">
        <w:rPr>
          <w:i/>
        </w:rPr>
        <w:t>:</w:t>
      </w:r>
    </w:p>
    <w:p w14:paraId="42E18F1F" w14:textId="2900CED5" w:rsidR="00D7381C" w:rsidRDefault="00D7381C" w:rsidP="009C1018">
      <w:pPr>
        <w:pStyle w:val="ListBulletLevel1"/>
      </w:pPr>
      <w:r>
        <w:t xml:space="preserve">Developed and strengthened a capability across multiple Indonesian Government Agencies and Universities to undertake </w:t>
      </w:r>
      <w:r w:rsidR="005C567A">
        <w:t>sophisticated</w:t>
      </w:r>
      <w:r>
        <w:t xml:space="preserve"> earthquake hazard modelling based on international best practice. This included training in two </w:t>
      </w:r>
      <w:r w:rsidR="00D27C98">
        <w:t xml:space="preserve">earthquake </w:t>
      </w:r>
      <w:r>
        <w:t xml:space="preserve">software packages: the EQRM and OpenQuake. </w:t>
      </w:r>
    </w:p>
    <w:p w14:paraId="623C6D01" w14:textId="77777777" w:rsidR="00D7381C" w:rsidRDefault="00D7381C" w:rsidP="009C1018">
      <w:pPr>
        <w:pStyle w:val="ListBulletLevel1"/>
      </w:pPr>
      <w:r>
        <w:t xml:space="preserve">Supported </w:t>
      </w:r>
      <w:r w:rsidRPr="00BD299D">
        <w:t>Indonesia</w:t>
      </w:r>
      <w:r>
        <w:t xml:space="preserve">n agencies </w:t>
      </w:r>
      <w:r w:rsidRPr="00BD299D">
        <w:t xml:space="preserve">to </w:t>
      </w:r>
      <w:r>
        <w:t xml:space="preserve">development of the </w:t>
      </w:r>
      <w:r w:rsidRPr="00BD299D">
        <w:t xml:space="preserve">National Earthquake Hazard Map </w:t>
      </w:r>
      <w:r>
        <w:t xml:space="preserve">(NEHM) </w:t>
      </w:r>
      <w:r w:rsidRPr="00BD299D">
        <w:t xml:space="preserve">launched on 4 September 2017. The map was developed with input from more than ten Indonesian agencies and universities working under a governance structure facilitated through </w:t>
      </w:r>
      <w:r>
        <w:t>the DMInnovation project.</w:t>
      </w:r>
      <w:r w:rsidRPr="00BD299D">
        <w:t xml:space="preserve"> </w:t>
      </w:r>
      <w:r>
        <w:t>The new hazard map</w:t>
      </w:r>
      <w:r w:rsidRPr="00BD299D">
        <w:t xml:space="preserve"> indicates a higher than previous</w:t>
      </w:r>
      <w:r>
        <w:t xml:space="preserve">ly </w:t>
      </w:r>
      <w:r w:rsidRPr="00BD299D">
        <w:t xml:space="preserve">understood earthquake hazard in some areas of Indonesia including the highly populated </w:t>
      </w:r>
      <w:r>
        <w:t xml:space="preserve">region of </w:t>
      </w:r>
      <w:r w:rsidRPr="00BD299D">
        <w:t xml:space="preserve">northern Java. </w:t>
      </w:r>
    </w:p>
    <w:p w14:paraId="432EA9E9" w14:textId="1D83000E" w:rsidR="00D7381C" w:rsidRDefault="00D7381C" w:rsidP="009C1018">
      <w:pPr>
        <w:pStyle w:val="ListBulletLevel1"/>
      </w:pPr>
      <w:r w:rsidRPr="009F4E46">
        <w:t xml:space="preserve">Data from the newly developed Indonesian </w:t>
      </w:r>
      <w:r>
        <w:t>NEHM</w:t>
      </w:r>
      <w:r w:rsidRPr="009F4E46">
        <w:t xml:space="preserve"> has been shared with the Global Earthquake Model (GEM) Foundation, enabling inclusion of the map in the earthquake hazard global mosaic that GEM will make available to earthquake hazard researchers worldwide.</w:t>
      </w:r>
      <w:r>
        <w:t xml:space="preserve"> By sharing this data</w:t>
      </w:r>
      <w:r w:rsidR="0003615C">
        <w:t>,</w:t>
      </w:r>
      <w:r>
        <w:t xml:space="preserve"> Indonesia is allowing foreign experts and researchers to quality assure the work and potentially </w:t>
      </w:r>
      <w:r w:rsidR="005C567A">
        <w:t>contribute to</w:t>
      </w:r>
      <w:r>
        <w:t xml:space="preserve"> further advances. This is the first time the </w:t>
      </w:r>
      <w:r w:rsidR="00D27C98">
        <w:t>GoI</w:t>
      </w:r>
      <w:r>
        <w:t xml:space="preserve"> has opened this data internationally representing a significant step </w:t>
      </w:r>
      <w:r w:rsidR="0003615C">
        <w:t>towards</w:t>
      </w:r>
      <w:r>
        <w:t xml:space="preserve"> its willingness to collaborate internationally. </w:t>
      </w:r>
    </w:p>
    <w:p w14:paraId="703934B8" w14:textId="45A5D52E" w:rsidR="00D7381C" w:rsidRPr="00BD299D" w:rsidRDefault="00D7381C" w:rsidP="009C1018">
      <w:pPr>
        <w:pStyle w:val="ListBulletLevel1"/>
      </w:pPr>
      <w:r w:rsidRPr="009F4E46">
        <w:t xml:space="preserve">The </w:t>
      </w:r>
      <w:r w:rsidR="00D27C98">
        <w:t>g</w:t>
      </w:r>
      <w:r w:rsidR="00D27C98" w:rsidRPr="009F4E46">
        <w:t xml:space="preserve">overnance </w:t>
      </w:r>
      <w:r w:rsidRPr="009F4E46">
        <w:t xml:space="preserve">structure </w:t>
      </w:r>
      <w:r>
        <w:t xml:space="preserve">implemented </w:t>
      </w:r>
      <w:r w:rsidRPr="009F4E46">
        <w:t xml:space="preserve">for the </w:t>
      </w:r>
      <w:r>
        <w:t>NEHM</w:t>
      </w:r>
      <w:r w:rsidRPr="009F4E46">
        <w:t xml:space="preserve"> has been adopted in the design </w:t>
      </w:r>
      <w:r>
        <w:t>of</w:t>
      </w:r>
      <w:r w:rsidRPr="009F4E46">
        <w:t xml:space="preserve"> </w:t>
      </w:r>
      <w:r>
        <w:t>the new National Earthquake Research Centre (</w:t>
      </w:r>
      <w:r w:rsidRPr="009F4E46">
        <w:t>PuSGeN</w:t>
      </w:r>
      <w:r>
        <w:t>)</w:t>
      </w:r>
      <w:r w:rsidRPr="009F4E46">
        <w:t xml:space="preserve">. A formal proposal for the establishment of </w:t>
      </w:r>
      <w:r>
        <w:t xml:space="preserve">PuSGeN </w:t>
      </w:r>
      <w:r w:rsidRPr="009F4E46">
        <w:t>has been s</w:t>
      </w:r>
      <w:r>
        <w:t>ubmitted to the minister for the Department of Public Works (PU). Negotiations for the formalisation of PuSGeN are ongoing.</w:t>
      </w:r>
    </w:p>
    <w:p w14:paraId="5DA87851" w14:textId="50BD0D38" w:rsidR="00D7381C" w:rsidRPr="00BD299D" w:rsidRDefault="00D7381C" w:rsidP="009C1018">
      <w:pPr>
        <w:pStyle w:val="ListBulletLevel1"/>
      </w:pPr>
      <w:r>
        <w:t>Trained BMKG in the use of the ShakeMap</w:t>
      </w:r>
      <w:r w:rsidRPr="00BD299D">
        <w:t xml:space="preserve"> </w:t>
      </w:r>
      <w:r>
        <w:t xml:space="preserve">and assisted them to establish an operational </w:t>
      </w:r>
      <w:r w:rsidRPr="00BD299D">
        <w:t>real-time system which produces estimates of ground shaking within minutes</w:t>
      </w:r>
      <w:r>
        <w:t xml:space="preserve"> for</w:t>
      </w:r>
      <w:r w:rsidRPr="00BD299D">
        <w:t xml:space="preserve"> all significant Indonesian earthquakes. </w:t>
      </w:r>
      <w:r>
        <w:t xml:space="preserve">Through the </w:t>
      </w:r>
      <w:r w:rsidRPr="003E037E">
        <w:t>testing of ShakeMap 4.0 at BMKG</w:t>
      </w:r>
      <w:r>
        <w:t xml:space="preserve"> in 2018</w:t>
      </w:r>
      <w:r w:rsidRPr="003E037E">
        <w:t xml:space="preserve">, software errors were identified and reported to </w:t>
      </w:r>
      <w:r>
        <w:t xml:space="preserve">United States </w:t>
      </w:r>
      <w:r w:rsidR="0003615C">
        <w:t>G</w:t>
      </w:r>
      <w:r>
        <w:t>eological Survey (</w:t>
      </w:r>
      <w:r w:rsidRPr="003E037E">
        <w:t>USGS</w:t>
      </w:r>
      <w:r>
        <w:t>)</w:t>
      </w:r>
      <w:r w:rsidRPr="003E037E">
        <w:t xml:space="preserve"> team</w:t>
      </w:r>
      <w:r w:rsidR="0003615C">
        <w:t>,</w:t>
      </w:r>
      <w:r>
        <w:t xml:space="preserve"> who have formally a</w:t>
      </w:r>
      <w:r w:rsidR="0003615C">
        <w:t>cknowledged BMKG’s contribution. This has assisted to raise BMKG’s</w:t>
      </w:r>
      <w:r>
        <w:t xml:space="preserve"> international profile. </w:t>
      </w:r>
    </w:p>
    <w:p w14:paraId="231CB6D6" w14:textId="28EB5430" w:rsidR="00D7381C" w:rsidRPr="00BD299D" w:rsidRDefault="00D7381C" w:rsidP="009C1018">
      <w:pPr>
        <w:pStyle w:val="ListBulletLevel1"/>
      </w:pPr>
      <w:r>
        <w:t>Fostered a</w:t>
      </w:r>
      <w:r w:rsidRPr="00BD299D">
        <w:t>dvances in knowledge and capability within all five fields of earthquake science</w:t>
      </w:r>
      <w:r>
        <w:t xml:space="preserve"> </w:t>
      </w:r>
      <w:r w:rsidR="005C567A">
        <w:t>that is</w:t>
      </w:r>
      <w:r>
        <w:t xml:space="preserve"> </w:t>
      </w:r>
      <w:r w:rsidR="0003615C">
        <w:t>directly</w:t>
      </w:r>
      <w:r>
        <w:t xml:space="preserve"> relevant to the NEHM</w:t>
      </w:r>
      <w:r w:rsidR="0003615C">
        <w:t>.</w:t>
      </w:r>
      <w:r w:rsidRPr="00BD299D">
        <w:t xml:space="preserve"> </w:t>
      </w:r>
      <w:r>
        <w:t>In particular, advances in BMKG’s ability to store and learn from strong ground motion recordings will, with time, lead to significant improvements in the way Indonesia models and consequently un</w:t>
      </w:r>
      <w:r w:rsidR="00ED4D79">
        <w:t>derstand its earthquake hazard.</w:t>
      </w:r>
      <w:r>
        <w:t xml:space="preserve"> </w:t>
      </w:r>
    </w:p>
    <w:p w14:paraId="1F9EE970" w14:textId="4822C04C" w:rsidR="00D7381C" w:rsidRDefault="00D7381C" w:rsidP="009C1018">
      <w:pPr>
        <w:pStyle w:val="ListBulletLevel1"/>
      </w:pPr>
      <w:r>
        <w:t xml:space="preserve">Supported BG to produce new </w:t>
      </w:r>
      <w:r w:rsidRPr="00BD299D">
        <w:t xml:space="preserve">provincial scale </w:t>
      </w:r>
      <w:r>
        <w:t xml:space="preserve">earthquake </w:t>
      </w:r>
      <w:r w:rsidRPr="00BD299D">
        <w:t>hazard maps for all Indonesian provinces.</w:t>
      </w:r>
    </w:p>
    <w:p w14:paraId="2E6E4248" w14:textId="77777777" w:rsidR="00D7381C" w:rsidRPr="009C1018" w:rsidRDefault="00D7381C" w:rsidP="009C1018">
      <w:pPr>
        <w:pStyle w:val="BodyText"/>
        <w:rPr>
          <w:rStyle w:val="Bold"/>
        </w:rPr>
      </w:pPr>
      <w:r w:rsidRPr="009C1018">
        <w:rPr>
          <w:rStyle w:val="Bold"/>
        </w:rPr>
        <w:t>Volcano Hazard</w:t>
      </w:r>
    </w:p>
    <w:p w14:paraId="56F1A0C4" w14:textId="713A77DB" w:rsidR="00D7381C" w:rsidRPr="00BD299D" w:rsidRDefault="00D7381C" w:rsidP="00D7381C">
      <w:pPr>
        <w:pStyle w:val="BodyText"/>
      </w:pPr>
      <w:r w:rsidRPr="00BD299D">
        <w:t>At any point in time there can be multiple volcanos across the Indonesian archipelago that are either erupting or on a high level of alert for a pending eruption. In the immediate vicinity of the volcano, people are displaced, sometimes for years or decades cr</w:t>
      </w:r>
      <w:r w:rsidR="00FE4FE6">
        <w:t xml:space="preserve">eating challenges for society. </w:t>
      </w:r>
      <w:r>
        <w:t>Moreover</w:t>
      </w:r>
      <w:r w:rsidRPr="00BD299D">
        <w:t xml:space="preserve">, eruption impacts extend beyond the immediate vicinity of the volcano creating additional challenges for disaster managers. Volcanic ash impacts the airline industry, and when it falls to the ground it disrupts the lives and livelihoods of people </w:t>
      </w:r>
      <w:r>
        <w:t xml:space="preserve">distal to the volcano. </w:t>
      </w:r>
      <w:r w:rsidRPr="00BD299D">
        <w:t>Our program has focussed on increasing the understanding of ash fal</w:t>
      </w:r>
      <w:r>
        <w:t>l as it is the volcanic hazard with the widest reach and greatest economic impact.</w:t>
      </w:r>
    </w:p>
    <w:p w14:paraId="0EB16C87" w14:textId="77777777" w:rsidR="00D7381C" w:rsidRPr="009C1018" w:rsidRDefault="00D7381C" w:rsidP="009C1018">
      <w:pPr>
        <w:pStyle w:val="BodyText"/>
        <w:rPr>
          <w:rStyle w:val="Italic"/>
        </w:rPr>
      </w:pPr>
      <w:r w:rsidRPr="009C1018">
        <w:rPr>
          <w:rStyle w:val="Italic"/>
        </w:rPr>
        <w:t>Key achievements include:</w:t>
      </w:r>
    </w:p>
    <w:p w14:paraId="70D2C083" w14:textId="735B3282" w:rsidR="0003615C" w:rsidRDefault="00D7381C" w:rsidP="00D7381C">
      <w:pPr>
        <w:pStyle w:val="ListBulletLevel1"/>
      </w:pPr>
      <w:r>
        <w:t>Supported BG to d</w:t>
      </w:r>
      <w:r w:rsidR="00281855">
        <w:t>evelop ash modelling skills for</w:t>
      </w:r>
      <w:r>
        <w:t xml:space="preserve"> single scenario eruption models and probabilistic eruption models for contingency planning</w:t>
      </w:r>
      <w:r w:rsidR="0003615C">
        <w:t>.</w:t>
      </w:r>
    </w:p>
    <w:p w14:paraId="479D2B0B" w14:textId="05F0131E" w:rsidR="00D7381C" w:rsidRDefault="0003615C" w:rsidP="00D7381C">
      <w:pPr>
        <w:pStyle w:val="ListBulletLevel1"/>
      </w:pPr>
      <w:r>
        <w:t xml:space="preserve">Developed </w:t>
      </w:r>
      <w:r w:rsidR="00D7381C">
        <w:t xml:space="preserve">a </w:t>
      </w:r>
      <w:r>
        <w:t xml:space="preserve">volcanic ash fall forecasting </w:t>
      </w:r>
      <w:r w:rsidR="00D7381C">
        <w:t xml:space="preserve">capability </w:t>
      </w:r>
      <w:r>
        <w:t xml:space="preserve">at </w:t>
      </w:r>
      <w:r w:rsidR="00D27C98">
        <w:t>BG</w:t>
      </w:r>
      <w:r>
        <w:t xml:space="preserve"> that is now deployed </w:t>
      </w:r>
      <w:r w:rsidR="00D7381C">
        <w:t>in real-time</w:t>
      </w:r>
      <w:r>
        <w:t xml:space="preserve"> following a volcanic eruption and/or raised alert. This step delivers maps of ash depth in real-time. </w:t>
      </w:r>
    </w:p>
    <w:p w14:paraId="73892115" w14:textId="3AC2317F" w:rsidR="00D7381C" w:rsidRDefault="00D7381C" w:rsidP="00D7381C">
      <w:pPr>
        <w:pStyle w:val="ListBulletLevel1"/>
      </w:pPr>
      <w:r>
        <w:t xml:space="preserve">Developed the </w:t>
      </w:r>
      <w:r w:rsidRPr="00BD299D">
        <w:t xml:space="preserve">InaSAFE Volcanic Ash Realtime system </w:t>
      </w:r>
      <w:r>
        <w:t xml:space="preserve">and trained BG in the use of this system to enable reporting on potential impacts to population, infrastructure and crops in real-time. </w:t>
      </w:r>
      <w:r w:rsidRPr="00BD299D">
        <w:t xml:space="preserve">This system was utilised </w:t>
      </w:r>
      <w:r>
        <w:t xml:space="preserve">heavily </w:t>
      </w:r>
      <w:r w:rsidRPr="00BD299D">
        <w:t xml:space="preserve">during </w:t>
      </w:r>
      <w:r>
        <w:t xml:space="preserve">the </w:t>
      </w:r>
      <w:r w:rsidRPr="00BD299D">
        <w:t xml:space="preserve">management of </w:t>
      </w:r>
      <w:r>
        <w:t xml:space="preserve">the </w:t>
      </w:r>
      <w:r w:rsidRPr="00BD299D">
        <w:t>Mt Agung</w:t>
      </w:r>
      <w:r>
        <w:t xml:space="preserve"> eruptive period (October – December 2017) and has also been utilised </w:t>
      </w:r>
      <w:r w:rsidR="0003615C">
        <w:t>during</w:t>
      </w:r>
      <w:r>
        <w:t xml:space="preserve"> eruptions of Merapi and Sinabung.</w:t>
      </w:r>
      <w:r w:rsidRPr="00BD299D">
        <w:t xml:space="preserve"> </w:t>
      </w:r>
    </w:p>
    <w:p w14:paraId="6EC70588" w14:textId="1D9AF46D" w:rsidR="00D7381C" w:rsidRDefault="00D7381C" w:rsidP="00D7381C">
      <w:pPr>
        <w:pStyle w:val="ListBulletLevel1"/>
      </w:pPr>
      <w:r>
        <w:t>Built stronger connections between BG</w:t>
      </w:r>
      <w:r w:rsidRPr="009F4E46">
        <w:t xml:space="preserve"> </w:t>
      </w:r>
      <w:r>
        <w:t>and the</w:t>
      </w:r>
      <w:r w:rsidRPr="009F4E46">
        <w:t xml:space="preserve"> </w:t>
      </w:r>
      <w:r>
        <w:t xml:space="preserve">Australian </w:t>
      </w:r>
      <w:r w:rsidRPr="009F4E46">
        <w:t>Bureau of Meteorology</w:t>
      </w:r>
      <w:r w:rsidR="00FE4FE6">
        <w:t xml:space="preserve"> (BOM). This facilitates </w:t>
      </w:r>
      <w:r>
        <w:t>BOM’s access to BG field observations for informing volcanic ash advisories to the international aviation industry. The relationship also facilitates</w:t>
      </w:r>
      <w:r w:rsidRPr="009F4E46">
        <w:t xml:space="preserve"> </w:t>
      </w:r>
      <w:r>
        <w:t>BG</w:t>
      </w:r>
      <w:r w:rsidRPr="009F4E46">
        <w:t xml:space="preserve"> to </w:t>
      </w:r>
      <w:r>
        <w:t>access high quality wind data for use in v</w:t>
      </w:r>
      <w:r w:rsidRPr="009F4E46">
        <w:t xml:space="preserve">olcanic-ash forecasting. </w:t>
      </w:r>
    </w:p>
    <w:p w14:paraId="642C299E" w14:textId="77777777" w:rsidR="00D7381C" w:rsidRDefault="00D7381C" w:rsidP="00D7381C">
      <w:pPr>
        <w:pStyle w:val="ListBulletLevel1"/>
      </w:pPr>
      <w:r>
        <w:t>Generated p</w:t>
      </w:r>
      <w:r w:rsidRPr="00BD299D">
        <w:t>robabilistic ash fall maps for 7 Indonesian volcanos</w:t>
      </w:r>
      <w:r>
        <w:t>.</w:t>
      </w:r>
    </w:p>
    <w:p w14:paraId="3B4AB25A" w14:textId="77777777" w:rsidR="00D7381C" w:rsidRPr="009C1018" w:rsidRDefault="00D7381C" w:rsidP="009C1018">
      <w:pPr>
        <w:pStyle w:val="BodyText"/>
        <w:rPr>
          <w:rStyle w:val="Bold"/>
        </w:rPr>
      </w:pPr>
      <w:r w:rsidRPr="009C1018">
        <w:rPr>
          <w:rStyle w:val="Bold"/>
        </w:rPr>
        <w:t>Investing in Tertiary Education for Active Tectonics</w:t>
      </w:r>
    </w:p>
    <w:p w14:paraId="3BA8EA35" w14:textId="661A0B5C" w:rsidR="00D7381C" w:rsidRPr="00BD299D" w:rsidRDefault="00D7381C" w:rsidP="00D7381C">
      <w:pPr>
        <w:pStyle w:val="BodyText"/>
      </w:pPr>
      <w:r w:rsidRPr="00BD299D">
        <w:t xml:space="preserve">Ensuring future disaster management is informed by </w:t>
      </w:r>
      <w:r>
        <w:t>credible science</w:t>
      </w:r>
      <w:r w:rsidRPr="00BD299D">
        <w:t xml:space="preserve"> requires a strong tertiary education sector </w:t>
      </w:r>
      <w:r>
        <w:t>that can</w:t>
      </w:r>
      <w:r w:rsidRPr="00BD299D">
        <w:t xml:space="preserve"> develop the </w:t>
      </w:r>
      <w:r>
        <w:t>skills</w:t>
      </w:r>
      <w:r w:rsidRPr="00BD299D">
        <w:t xml:space="preserve"> of a new generation of technical experts. </w:t>
      </w:r>
      <w:r w:rsidR="00D27C98">
        <w:t xml:space="preserve">The DMInnovation program </w:t>
      </w:r>
      <w:r w:rsidRPr="00BD299D">
        <w:t xml:space="preserve">have invested in the Indonesian tertiary sector creating new programs to educate qualified hazard experts and strengthen links between Indonesian and Australian universities. </w:t>
      </w:r>
    </w:p>
    <w:p w14:paraId="5A2DBFFB" w14:textId="77777777" w:rsidR="00D7381C" w:rsidRPr="00BD299D" w:rsidRDefault="00D7381C" w:rsidP="00D7381C">
      <w:pPr>
        <w:pStyle w:val="BodyText"/>
        <w:rPr>
          <w:i/>
        </w:rPr>
      </w:pPr>
      <w:r w:rsidRPr="00BD299D">
        <w:rPr>
          <w:i/>
        </w:rPr>
        <w:t>Key achievements</w:t>
      </w:r>
      <w:r>
        <w:rPr>
          <w:i/>
        </w:rPr>
        <w:t xml:space="preserve"> include</w:t>
      </w:r>
      <w:r w:rsidRPr="00BD299D">
        <w:rPr>
          <w:i/>
        </w:rPr>
        <w:t>:</w:t>
      </w:r>
    </w:p>
    <w:p w14:paraId="282ADA06" w14:textId="25B5E1A0" w:rsidR="00D7381C" w:rsidRPr="00BD299D" w:rsidRDefault="00D7381C" w:rsidP="0098375E">
      <w:pPr>
        <w:pStyle w:val="ListBulletLevel1"/>
      </w:pPr>
      <w:r w:rsidRPr="00BD299D">
        <w:t xml:space="preserve">Worked with the Institute of Technology Bandung (ITB) to create </w:t>
      </w:r>
      <w:r w:rsidR="00ED4D79">
        <w:t xml:space="preserve">a multidisciplinary centre for </w:t>
      </w:r>
      <w:r w:rsidRPr="00BD299D">
        <w:t>earthquakes and active tectonics</w:t>
      </w:r>
      <w:r>
        <w:t xml:space="preserve"> research - </w:t>
      </w:r>
      <w:r w:rsidRPr="00BD299D">
        <w:t>Graduate Research School for Earthquake and Active Tectonics (GREAT)</w:t>
      </w:r>
      <w:r>
        <w:t>. The school</w:t>
      </w:r>
      <w:r w:rsidRPr="00BD299D">
        <w:t xml:space="preserve"> has g</w:t>
      </w:r>
      <w:r w:rsidR="0098375E">
        <w:t>raduated four PhD</w:t>
      </w:r>
      <w:r w:rsidRPr="00BD299D">
        <w:t xml:space="preserve"> and 30 Masters students, many of whom have returned to Indonesian technical agencies where they will continue to inform government programs for decades. </w:t>
      </w:r>
    </w:p>
    <w:p w14:paraId="0EFAE9DB" w14:textId="4F531888" w:rsidR="00D7381C" w:rsidRPr="00BD299D" w:rsidRDefault="00D7381C" w:rsidP="0098375E">
      <w:pPr>
        <w:pStyle w:val="ListBulletLevel1"/>
      </w:pPr>
      <w:r w:rsidRPr="00BD299D">
        <w:t xml:space="preserve">Strengthened relationships between ITB and </w:t>
      </w:r>
      <w:r w:rsidR="0003615C">
        <w:t xml:space="preserve">the </w:t>
      </w:r>
      <w:r w:rsidRPr="00BD299D">
        <w:t xml:space="preserve">Australian National University (ANU), with co-supervision of graduate students and </w:t>
      </w:r>
      <w:r w:rsidR="0003615C">
        <w:t xml:space="preserve">the </w:t>
      </w:r>
      <w:r w:rsidRPr="00BD299D">
        <w:t>signing of a</w:t>
      </w:r>
      <w:r>
        <w:t xml:space="preserve"> joint Master’s degree program that allows students to complete a two-university authenticated master degree with one year at each university. </w:t>
      </w:r>
    </w:p>
    <w:p w14:paraId="4AEA2996" w14:textId="77777777" w:rsidR="00D7381C" w:rsidRPr="00BD299D" w:rsidRDefault="00D7381C" w:rsidP="0098375E">
      <w:pPr>
        <w:pStyle w:val="ListBulletLevel1"/>
      </w:pPr>
      <w:r w:rsidRPr="00BD299D">
        <w:t xml:space="preserve">Supported five masters and two PhD students to study at </w:t>
      </w:r>
      <w:r>
        <w:t xml:space="preserve">the </w:t>
      </w:r>
      <w:r w:rsidRPr="00BD299D">
        <w:t>ANU. Four of these students have returned to Indonesia and are now working in the Indonesian Government. Furthermore, there is a successful New Colombo Plan proposal that will see two</w:t>
      </w:r>
      <w:r>
        <w:t xml:space="preserve"> cohorts</w:t>
      </w:r>
      <w:r w:rsidRPr="00BD299D">
        <w:t xml:space="preserve"> of ANU students</w:t>
      </w:r>
      <w:r>
        <w:t xml:space="preserve"> travel</w:t>
      </w:r>
      <w:r w:rsidRPr="00BD299D">
        <w:t xml:space="preserve"> to Indonesia to learn from ITB</w:t>
      </w:r>
      <w:r>
        <w:t>’</w:t>
      </w:r>
      <w:r w:rsidRPr="00BD299D">
        <w:t>s programs.</w:t>
      </w:r>
    </w:p>
    <w:p w14:paraId="144A2DB8" w14:textId="77777777" w:rsidR="00D7381C" w:rsidRDefault="00D7381C" w:rsidP="0098375E">
      <w:pPr>
        <w:pStyle w:val="ListBulletLevel1"/>
      </w:pPr>
      <w:r w:rsidRPr="00BD299D">
        <w:t xml:space="preserve">Targeted graduate research projects that feed results directly into the national earthquake mapping program. </w:t>
      </w:r>
    </w:p>
    <w:p w14:paraId="7CC8B798" w14:textId="77777777" w:rsidR="00D7381C" w:rsidRDefault="00D7381C" w:rsidP="0098375E">
      <w:pPr>
        <w:pStyle w:val="ListBulletLevel1"/>
      </w:pPr>
      <w:r>
        <w:t xml:space="preserve">New research from the university sector is enhancing the understanding of earthquake hazard in Indonesia and is, in many cases, directly informing the development of the NEHM. Examples include: </w:t>
      </w:r>
    </w:p>
    <w:p w14:paraId="7540599A" w14:textId="5E0A477F" w:rsidR="00D7381C" w:rsidRDefault="00D7381C" w:rsidP="0098375E">
      <w:pPr>
        <w:pStyle w:val="ListBulletLevel2"/>
      </w:pPr>
      <w:r>
        <w:t>Provision of i</w:t>
      </w:r>
      <w:r w:rsidRPr="009F4E46">
        <w:t>nstruments for the Australia-Indonesia Tectonics Observatory (AITO), a pool of geophysical instruments</w:t>
      </w:r>
      <w:r>
        <w:t>,</w:t>
      </w:r>
      <w:r w:rsidRPr="009F4E46">
        <w:t xml:space="preserve"> co-funded by ANU’s Major Equipment Committee, were </w:t>
      </w:r>
      <w:r>
        <w:t>supplied</w:t>
      </w:r>
      <w:r w:rsidR="00FE4FE6">
        <w:t xml:space="preserve"> to Indonesia. </w:t>
      </w:r>
      <w:r w:rsidRPr="009F4E46">
        <w:t>The seismometers (recorders for collecting earthquake data) and GPS receivers (for measuring crustal strain) will be used in collaborative ANU-ITB studies of active tectonics in Indonesia over the next 10 years.</w:t>
      </w:r>
    </w:p>
    <w:p w14:paraId="55BBDD5C" w14:textId="09FB5A40" w:rsidR="00D7381C" w:rsidRPr="009C1018" w:rsidRDefault="00D7381C" w:rsidP="009C1018">
      <w:pPr>
        <w:pStyle w:val="BodyText"/>
        <w:rPr>
          <w:rStyle w:val="Bold"/>
        </w:rPr>
      </w:pPr>
      <w:r w:rsidRPr="009C1018">
        <w:rPr>
          <w:rStyle w:val="Bold"/>
        </w:rPr>
        <w:t>G</w:t>
      </w:r>
      <w:r w:rsidR="006A59FC">
        <w:rPr>
          <w:rStyle w:val="Bold"/>
        </w:rPr>
        <w:t>eoscience Australia (G</w:t>
      </w:r>
      <w:r w:rsidRPr="009C1018">
        <w:rPr>
          <w:rStyle w:val="Bold"/>
        </w:rPr>
        <w:t>A</w:t>
      </w:r>
      <w:r w:rsidR="006A59FC">
        <w:rPr>
          <w:rStyle w:val="Bold"/>
        </w:rPr>
        <w:t>)</w:t>
      </w:r>
      <w:r w:rsidRPr="009C1018">
        <w:rPr>
          <w:rStyle w:val="Bold"/>
        </w:rPr>
        <w:t xml:space="preserve"> Staff Deployment to Indonesia</w:t>
      </w:r>
    </w:p>
    <w:p w14:paraId="232803A4" w14:textId="1714FEBF" w:rsidR="00D7381C" w:rsidRPr="009F4E46" w:rsidRDefault="00D7381C" w:rsidP="009C1018">
      <w:pPr>
        <w:pStyle w:val="BodyText"/>
      </w:pPr>
      <w:r w:rsidRPr="009F4E46">
        <w:t xml:space="preserve">GA completed corporate and individual preparations to deploy two staff members to Jakarta </w:t>
      </w:r>
      <w:r>
        <w:t>– the Senior</w:t>
      </w:r>
      <w:r w:rsidRPr="009F4E46">
        <w:t xml:space="preserve"> Spatial Data Analyst</w:t>
      </w:r>
      <w:r>
        <w:t xml:space="preserve"> who arrived 12 Sept</w:t>
      </w:r>
      <w:r w:rsidR="00D27C98">
        <w:t>ember</w:t>
      </w:r>
      <w:r>
        <w:t xml:space="preserve"> 2014 and the Chief Scientist who arrived on </w:t>
      </w:r>
      <w:r w:rsidR="00D27C98" w:rsidRPr="009F4E46">
        <w:t>14</w:t>
      </w:r>
      <w:r w:rsidR="00D27C98">
        <w:t> </w:t>
      </w:r>
      <w:r w:rsidRPr="009F4E46">
        <w:t>Nov</w:t>
      </w:r>
      <w:r w:rsidR="00D27C98">
        <w:t>ember</w:t>
      </w:r>
      <w:r w:rsidRPr="009F4E46">
        <w:t xml:space="preserve"> </w:t>
      </w:r>
      <w:r>
        <w:t>20</w:t>
      </w:r>
      <w:r w:rsidRPr="009F4E46">
        <w:t>14.</w:t>
      </w:r>
      <w:r>
        <w:t xml:space="preserve"> This involved the creation of new corporate guidelines and operating procedures to support deployed officers (a GA first). </w:t>
      </w:r>
    </w:p>
    <w:p w14:paraId="6468925D" w14:textId="77777777" w:rsidR="00D7381C" w:rsidRPr="009C1018" w:rsidRDefault="00D7381C" w:rsidP="009C1018">
      <w:pPr>
        <w:pStyle w:val="BodyText"/>
        <w:rPr>
          <w:rStyle w:val="Italic"/>
        </w:rPr>
      </w:pPr>
      <w:r w:rsidRPr="009C1018">
        <w:rPr>
          <w:rStyle w:val="Italic"/>
        </w:rPr>
        <w:t>Key achievements include:</w:t>
      </w:r>
    </w:p>
    <w:p w14:paraId="1AC3F02D" w14:textId="38A7C99F" w:rsidR="00D7381C" w:rsidRDefault="00D7381C" w:rsidP="00D7381C">
      <w:pPr>
        <w:pStyle w:val="ListBulletLevel1"/>
      </w:pPr>
      <w:r w:rsidRPr="009F4E46">
        <w:t>Corporate preparations</w:t>
      </w:r>
      <w:r>
        <w:t>:</w:t>
      </w:r>
    </w:p>
    <w:p w14:paraId="69E1A185" w14:textId="77777777" w:rsidR="00D7381C" w:rsidRPr="009F4E46" w:rsidRDefault="00D7381C" w:rsidP="00D7381C">
      <w:pPr>
        <w:pStyle w:val="ListBulletLevel2"/>
      </w:pPr>
      <w:r>
        <w:t>F</w:t>
      </w:r>
      <w:r w:rsidRPr="009F4E46">
        <w:t>amiliarisation with and endorsement of the Whole of Government (WOG) Overseas Conditions of Service 2012</w:t>
      </w:r>
      <w:r>
        <w:t>;</w:t>
      </w:r>
    </w:p>
    <w:p w14:paraId="0FFE6DD8" w14:textId="77777777" w:rsidR="00D7381C" w:rsidRPr="009F4E46" w:rsidRDefault="00D7381C" w:rsidP="00D7381C">
      <w:pPr>
        <w:pStyle w:val="ListBulletLevel2"/>
      </w:pPr>
      <w:r>
        <w:t>F</w:t>
      </w:r>
      <w:r w:rsidRPr="009F4E46">
        <w:t>amiliarisation with and endorsement of the Deployment Support Services provided by HKL to GA deployees</w:t>
      </w:r>
      <w:r>
        <w:t xml:space="preserve">; and </w:t>
      </w:r>
    </w:p>
    <w:p w14:paraId="2EC8BAFB" w14:textId="4B65B930" w:rsidR="00D7381C" w:rsidRPr="009F4E46" w:rsidRDefault="00D7381C" w:rsidP="00D7381C">
      <w:pPr>
        <w:pStyle w:val="ListBulletLevel2"/>
      </w:pPr>
      <w:r>
        <w:t xml:space="preserve">New GA </w:t>
      </w:r>
      <w:r w:rsidRPr="009F4E46">
        <w:t>contract, HR and finance procedures to ensure that GA could support deployees in Jakarta.</w:t>
      </w:r>
    </w:p>
    <w:p w14:paraId="65B9FBE8" w14:textId="77777777" w:rsidR="00D7381C" w:rsidRPr="009F4E46" w:rsidRDefault="00D7381C" w:rsidP="00D7381C">
      <w:pPr>
        <w:pStyle w:val="ListBulletLevel1"/>
      </w:pPr>
      <w:r>
        <w:t>D</w:t>
      </w:r>
      <w:r w:rsidRPr="009F4E46">
        <w:t xml:space="preserve">eployed </w:t>
      </w:r>
      <w:r>
        <w:t xml:space="preserve">GA </w:t>
      </w:r>
      <w:r w:rsidRPr="009F4E46">
        <w:t xml:space="preserve">staff </w:t>
      </w:r>
      <w:r>
        <w:t>took</w:t>
      </w:r>
      <w:r w:rsidRPr="009F4E46">
        <w:t xml:space="preserve"> on </w:t>
      </w:r>
      <w:r>
        <w:t>a number of activities including:</w:t>
      </w:r>
    </w:p>
    <w:p w14:paraId="2B01F37C" w14:textId="77777777" w:rsidR="00D7381C" w:rsidRPr="009F4E46" w:rsidRDefault="00D7381C" w:rsidP="00D7381C">
      <w:pPr>
        <w:pStyle w:val="ListBulletLevel2"/>
      </w:pPr>
      <w:r w:rsidRPr="009F4E46">
        <w:t xml:space="preserve">Management of </w:t>
      </w:r>
      <w:r>
        <w:t xml:space="preserve">five </w:t>
      </w:r>
      <w:r w:rsidRPr="009F4E46">
        <w:t>locally engaged technical experts</w:t>
      </w:r>
      <w:r>
        <w:t>;</w:t>
      </w:r>
    </w:p>
    <w:p w14:paraId="04E6ADB9" w14:textId="77777777" w:rsidR="00D7381C" w:rsidRPr="009F4E46" w:rsidRDefault="00D7381C" w:rsidP="00D7381C">
      <w:pPr>
        <w:pStyle w:val="ListBulletLevel2"/>
      </w:pPr>
      <w:r w:rsidRPr="009F4E46">
        <w:t>Management of DFAT funded grants and con</w:t>
      </w:r>
      <w:r>
        <w:t>tracts to implementing partners including</w:t>
      </w:r>
      <w:r w:rsidRPr="009F4E46">
        <w:t xml:space="preserve"> Kartoza, Humanitarian Open Street Map Team</w:t>
      </w:r>
      <w:r>
        <w:t xml:space="preserve"> (HOT)</w:t>
      </w:r>
      <w:r w:rsidRPr="009F4E46">
        <w:t xml:space="preserve">, ANU, ITB, Alfred Wegner Institute, and </w:t>
      </w:r>
      <w:r>
        <w:t xml:space="preserve">the </w:t>
      </w:r>
      <w:r w:rsidRPr="009F4E46">
        <w:t>University of Wollongong</w:t>
      </w:r>
      <w:r>
        <w:t>;</w:t>
      </w:r>
    </w:p>
    <w:p w14:paraId="20A3453C" w14:textId="77777777" w:rsidR="00D7381C" w:rsidRPr="009F4E46" w:rsidRDefault="00D7381C" w:rsidP="00D7381C">
      <w:pPr>
        <w:pStyle w:val="ListBulletLevel2"/>
      </w:pPr>
      <w:r w:rsidRPr="009F4E46">
        <w:t>Management of and replacement of high-performance computing infrastructure;</w:t>
      </w:r>
    </w:p>
    <w:p w14:paraId="32A3DD06" w14:textId="77777777" w:rsidR="00D7381C" w:rsidRPr="009F4E46" w:rsidRDefault="00D7381C" w:rsidP="00D7381C">
      <w:pPr>
        <w:pStyle w:val="ListBulletLevel2"/>
      </w:pPr>
      <w:r w:rsidRPr="009F4E46">
        <w:t xml:space="preserve">Preparation for increased office management responsibility as the Menara Thamrin Office </w:t>
      </w:r>
      <w:r>
        <w:t>was</w:t>
      </w:r>
      <w:r w:rsidRPr="009F4E46">
        <w:t xml:space="preserve"> converted from a Facility Office </w:t>
      </w:r>
      <w:r>
        <w:t xml:space="preserve">run by DFAT </w:t>
      </w:r>
      <w:r w:rsidRPr="009F4E46">
        <w:t>to a Project Office</w:t>
      </w:r>
      <w:r>
        <w:t xml:space="preserve"> without direct DFAT management</w:t>
      </w:r>
      <w:r w:rsidRPr="009F4E46">
        <w:t>. This included drafting and negotiating a Service Order with logistics company HKL</w:t>
      </w:r>
      <w:r>
        <w:t xml:space="preserve"> on behalf of DFAT; and</w:t>
      </w:r>
    </w:p>
    <w:p w14:paraId="5362FAEE" w14:textId="77777777" w:rsidR="00D7381C" w:rsidRPr="009F4E46" w:rsidRDefault="00D7381C" w:rsidP="00D7381C">
      <w:pPr>
        <w:pStyle w:val="ListBulletLevel2"/>
      </w:pPr>
      <w:r w:rsidRPr="009F4E46">
        <w:t>Planning for a reduced overall budge</w:t>
      </w:r>
      <w:r>
        <w:t xml:space="preserve">t to the DM sector in Indonesia during the changeover to DMInnovation. </w:t>
      </w:r>
    </w:p>
    <w:p w14:paraId="4EC21F12" w14:textId="77777777" w:rsidR="009D774A" w:rsidRDefault="009D774A" w:rsidP="009D774A">
      <w:pPr>
        <w:pStyle w:val="BodyText"/>
      </w:pPr>
    </w:p>
    <w:p w14:paraId="082EDAC5" w14:textId="77777777" w:rsidR="009D774A" w:rsidRPr="009D774A" w:rsidRDefault="009D774A" w:rsidP="009D774A">
      <w:pPr>
        <w:pStyle w:val="Heading1"/>
      </w:pPr>
      <w:bookmarkStart w:id="8" w:name="_Toc524508485"/>
      <w:bookmarkEnd w:id="5"/>
      <w:r w:rsidRPr="009D774A">
        <w:t>Introduction</w:t>
      </w:r>
      <w:bookmarkEnd w:id="8"/>
    </w:p>
    <w:p w14:paraId="088B7A42" w14:textId="55D73051" w:rsidR="009D774A" w:rsidRDefault="009D774A" w:rsidP="009D774A">
      <w:pPr>
        <w:suppressAutoHyphens/>
        <w:rPr>
          <w:color w:val="auto"/>
        </w:rPr>
      </w:pPr>
      <w:r w:rsidRPr="00CC48FF">
        <w:rPr>
          <w:color w:val="auto"/>
        </w:rPr>
        <w:t>Indonesia is one of the most disaster prone countries in the world due to its hazard profile</w:t>
      </w:r>
      <w:r w:rsidR="00FE4FE6">
        <w:rPr>
          <w:color w:val="auto"/>
        </w:rPr>
        <w:t xml:space="preserve"> and high population exposure. </w:t>
      </w:r>
      <w:r w:rsidRPr="00CC48FF">
        <w:rPr>
          <w:color w:val="auto"/>
        </w:rPr>
        <w:t>Despite this, many disaster risk management decisions in Indonesia are not informed by adequate, or best available, inf</w:t>
      </w:r>
      <w:r w:rsidR="00FE4FE6">
        <w:rPr>
          <w:color w:val="auto"/>
        </w:rPr>
        <w:t xml:space="preserve">ormation. </w:t>
      </w:r>
      <w:r w:rsidRPr="00CC48FF">
        <w:rPr>
          <w:color w:val="auto"/>
        </w:rPr>
        <w:t>Decisions</w:t>
      </w:r>
      <w:r w:rsidR="00C10CF2">
        <w:rPr>
          <w:color w:val="auto"/>
        </w:rPr>
        <w:t xml:space="preserve"> have historically been made</w:t>
      </w:r>
      <w:r w:rsidRPr="00CC48FF">
        <w:rPr>
          <w:color w:val="auto"/>
        </w:rPr>
        <w:t xml:space="preserve"> with inadequate information about the severity and recurrence of hazards and without appropriate spatial data and analysis that allow disaster managers to determine the spatial</w:t>
      </w:r>
      <w:r w:rsidR="00FE4FE6">
        <w:rPr>
          <w:color w:val="auto"/>
        </w:rPr>
        <w:t xml:space="preserve"> distribution of consequences. </w:t>
      </w:r>
      <w:r w:rsidRPr="00CC48FF">
        <w:rPr>
          <w:color w:val="auto"/>
        </w:rPr>
        <w:t>This increases the likelihood that response preparedness and mitigation activities focus on the wrong areas and hazards.</w:t>
      </w:r>
      <w:r w:rsidR="002E5D85">
        <w:rPr>
          <w:color w:val="auto"/>
        </w:rPr>
        <w:t xml:space="preserve"> </w:t>
      </w:r>
      <w:r w:rsidR="007938CE">
        <w:rPr>
          <w:color w:val="auto"/>
        </w:rPr>
        <w:t xml:space="preserve">The </w:t>
      </w:r>
      <w:r w:rsidR="002E5D85">
        <w:rPr>
          <w:color w:val="auto"/>
        </w:rPr>
        <w:t>collaboration has increase</w:t>
      </w:r>
      <w:r w:rsidR="007938CE">
        <w:rPr>
          <w:color w:val="auto"/>
        </w:rPr>
        <w:t>d</w:t>
      </w:r>
      <w:r w:rsidR="002E5D85">
        <w:rPr>
          <w:color w:val="auto"/>
        </w:rPr>
        <w:t xml:space="preserve"> the use of science and technology in disaster manag</w:t>
      </w:r>
      <w:r w:rsidR="00C75C4D">
        <w:rPr>
          <w:color w:val="auto"/>
        </w:rPr>
        <w:t>em</w:t>
      </w:r>
      <w:r w:rsidR="002E5D85">
        <w:rPr>
          <w:color w:val="auto"/>
        </w:rPr>
        <w:t>ent and improve the evidence based used to inform key disaster manag</w:t>
      </w:r>
      <w:r w:rsidR="00C75C4D">
        <w:rPr>
          <w:color w:val="auto"/>
        </w:rPr>
        <w:t>em</w:t>
      </w:r>
      <w:r w:rsidR="002E5D85">
        <w:rPr>
          <w:color w:val="auto"/>
        </w:rPr>
        <w:t xml:space="preserve">ent decisions and policies. </w:t>
      </w:r>
      <w:r w:rsidR="00D27C98">
        <w:rPr>
          <w:color w:val="auto"/>
        </w:rPr>
        <w:t xml:space="preserve">DMInnovation </w:t>
      </w:r>
      <w:r w:rsidR="00F42E88">
        <w:rPr>
          <w:color w:val="auto"/>
        </w:rPr>
        <w:t>achi</w:t>
      </w:r>
      <w:r w:rsidR="005C567A">
        <w:rPr>
          <w:color w:val="auto"/>
        </w:rPr>
        <w:t>e</w:t>
      </w:r>
      <w:r w:rsidR="00F42E88">
        <w:rPr>
          <w:color w:val="auto"/>
        </w:rPr>
        <w:t>ved this through the following logic:</w:t>
      </w:r>
    </w:p>
    <w:p w14:paraId="6ACB97D5" w14:textId="7AAC4A28" w:rsidR="00767893" w:rsidRDefault="00F42E88" w:rsidP="00767893">
      <w:pPr>
        <w:pStyle w:val="BodyText"/>
      </w:pPr>
      <w:r>
        <w:rPr>
          <w:noProof/>
        </w:rPr>
        <mc:AlternateContent>
          <mc:Choice Requires="wpg">
            <w:drawing>
              <wp:anchor distT="0" distB="0" distL="114300" distR="114300" simplePos="0" relativeHeight="251670528" behindDoc="0" locked="0" layoutInCell="1" allowOverlap="1" wp14:anchorId="3EA5EC46" wp14:editId="4A686724">
                <wp:simplePos x="0" y="0"/>
                <wp:positionH relativeFrom="column">
                  <wp:posOffset>1294957</wp:posOffset>
                </wp:positionH>
                <wp:positionV relativeFrom="paragraph">
                  <wp:posOffset>215900</wp:posOffset>
                </wp:positionV>
                <wp:extent cx="2922613" cy="3350187"/>
                <wp:effectExtent l="0" t="0" r="11430" b="0"/>
                <wp:wrapNone/>
                <wp:docPr id="10" name="Group 10"/>
                <wp:cNvGraphicFramePr/>
                <a:graphic xmlns:a="http://schemas.openxmlformats.org/drawingml/2006/main">
                  <a:graphicData uri="http://schemas.microsoft.com/office/word/2010/wordprocessingGroup">
                    <wpg:wgp>
                      <wpg:cNvGrpSpPr/>
                      <wpg:grpSpPr>
                        <a:xfrm>
                          <a:off x="0" y="0"/>
                          <a:ext cx="2922613" cy="3350187"/>
                          <a:chOff x="0" y="0"/>
                          <a:chExt cx="2922613" cy="3350187"/>
                        </a:xfrm>
                      </wpg:grpSpPr>
                      <wps:wsp>
                        <wps:cNvPr id="2" name="Rounded Rectangle 2"/>
                        <wps:cNvSpPr/>
                        <wps:spPr>
                          <a:xfrm>
                            <a:off x="0" y="0"/>
                            <a:ext cx="1229193" cy="786983"/>
                          </a:xfrm>
                          <a:prstGeom prst="roundRect">
                            <a:avLst/>
                          </a:prstGeom>
                          <a:solidFill>
                            <a:schemeClr val="tx2">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0E826A93" w14:textId="73B87951" w:rsidR="005449E3" w:rsidRPr="00767893" w:rsidRDefault="005449E3" w:rsidP="00767893">
                              <w:pPr>
                                <w:jc w:val="center"/>
                                <w:rPr>
                                  <w:b/>
                                  <w:color w:val="auto"/>
                                  <w:sz w:val="24"/>
                                  <w:szCs w:val="24"/>
                                </w:rPr>
                              </w:pPr>
                              <w:r w:rsidRPr="00767893">
                                <w:rPr>
                                  <w:b/>
                                  <w:color w:val="auto"/>
                                  <w:sz w:val="24"/>
                                  <w:szCs w:val="24"/>
                                </w:rPr>
                                <w:t>Hazard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693888" y="0"/>
                            <a:ext cx="1228725" cy="786765"/>
                          </a:xfrm>
                          <a:prstGeom prst="roundRect">
                            <a:avLst/>
                          </a:prstGeom>
                          <a:solidFill>
                            <a:schemeClr val="tx2">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335EDDC7" w14:textId="15037247" w:rsidR="005449E3" w:rsidRPr="00767893" w:rsidRDefault="005449E3" w:rsidP="00767893">
                              <w:pPr>
                                <w:spacing w:before="0" w:after="0"/>
                                <w:jc w:val="center"/>
                                <w:rPr>
                                  <w:b/>
                                  <w:color w:val="auto"/>
                                  <w:sz w:val="24"/>
                                  <w:szCs w:val="24"/>
                                </w:rPr>
                              </w:pPr>
                              <w:r w:rsidRPr="00767893">
                                <w:rPr>
                                  <w:b/>
                                  <w:color w:val="auto"/>
                                  <w:sz w:val="24"/>
                                  <w:szCs w:val="24"/>
                                </w:rPr>
                                <w:t xml:space="preserve">Spatial </w:t>
                              </w:r>
                            </w:p>
                            <w:p w14:paraId="021503E7" w14:textId="46931E6F" w:rsidR="005449E3" w:rsidRPr="00767893" w:rsidRDefault="005449E3" w:rsidP="00767893">
                              <w:pPr>
                                <w:spacing w:before="0" w:after="0"/>
                                <w:jc w:val="center"/>
                                <w:rPr>
                                  <w:b/>
                                  <w:color w:val="auto"/>
                                </w:rPr>
                              </w:pPr>
                              <w:r w:rsidRPr="00767893">
                                <w:rPr>
                                  <w:b/>
                                  <w:color w:val="auto"/>
                                  <w:sz w:val="24"/>
                                  <w:szCs w:val="24"/>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854439" y="1296649"/>
                            <a:ext cx="1228725" cy="869430"/>
                          </a:xfrm>
                          <a:prstGeom prst="roundRect">
                            <a:avLst/>
                          </a:prstGeom>
                          <a:solidFill>
                            <a:schemeClr val="tx2">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39348E25" w14:textId="15947EE6" w:rsidR="005449E3" w:rsidRPr="00767893" w:rsidRDefault="005449E3" w:rsidP="00767893">
                              <w:pPr>
                                <w:jc w:val="center"/>
                                <w:rPr>
                                  <w:b/>
                                  <w:color w:val="auto"/>
                                  <w:sz w:val="24"/>
                                  <w:szCs w:val="24"/>
                                </w:rPr>
                              </w:pPr>
                              <w:r w:rsidRPr="00767893">
                                <w:rPr>
                                  <w:b/>
                                  <w:color w:val="auto"/>
                                  <w:sz w:val="24"/>
                                  <w:szCs w:val="24"/>
                                </w:rPr>
                                <w:t>Decision Support Tool</w:t>
                              </w:r>
                              <w:r>
                                <w:rPr>
                                  <w:b/>
                                  <w:color w:val="auto"/>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Up Arrow 6"/>
                        <wps:cNvSpPr/>
                        <wps:spPr>
                          <a:xfrm flipV="1">
                            <a:off x="1371600" y="2278505"/>
                            <a:ext cx="201930" cy="374650"/>
                          </a:xfrm>
                          <a:prstGeom prst="upArrow">
                            <a:avLst/>
                          </a:prstGeom>
                          <a:solidFill>
                            <a:schemeClr val="bg1">
                              <a:lumMod val="75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Up Arrow 7"/>
                        <wps:cNvSpPr/>
                        <wps:spPr>
                          <a:xfrm flipV="1">
                            <a:off x="554636" y="869429"/>
                            <a:ext cx="201930" cy="374650"/>
                          </a:xfrm>
                          <a:prstGeom prst="upArrow">
                            <a:avLst/>
                          </a:prstGeom>
                          <a:solidFill>
                            <a:schemeClr val="bg1">
                              <a:lumMod val="75000"/>
                            </a:schemeClr>
                          </a:solidFill>
                          <a:ln>
                            <a:solidFill>
                              <a:schemeClr val="tx2">
                                <a:lumMod val="60000"/>
                                <a:lumOff val="40000"/>
                              </a:schemeClr>
                            </a:solidFill>
                          </a:ln>
                          <a:scene3d>
                            <a:camera prst="orthographicFront">
                              <a:rot lat="0" lon="0" rev="2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Up Arrow 8"/>
                        <wps:cNvSpPr/>
                        <wps:spPr>
                          <a:xfrm flipV="1">
                            <a:off x="2068642" y="869429"/>
                            <a:ext cx="201930" cy="374650"/>
                          </a:xfrm>
                          <a:prstGeom prst="upArrow">
                            <a:avLst/>
                          </a:prstGeom>
                          <a:solidFill>
                            <a:schemeClr val="bg1">
                              <a:lumMod val="75000"/>
                            </a:schemeClr>
                          </a:solidFill>
                          <a:ln>
                            <a:solidFill>
                              <a:schemeClr val="tx2">
                                <a:lumMod val="60000"/>
                                <a:lumOff val="40000"/>
                              </a:schemeClr>
                            </a:solidFill>
                          </a:ln>
                          <a:scene3d>
                            <a:camera prst="orthographicFront">
                              <a:rot lat="0" lon="0" rev="19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44774" y="2480872"/>
                            <a:ext cx="2263140" cy="869315"/>
                          </a:xfrm>
                          <a:prstGeom prst="round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1786065A" w14:textId="5A63986D" w:rsidR="005449E3" w:rsidRPr="00767893" w:rsidRDefault="005449E3" w:rsidP="00767893">
                              <w:pPr>
                                <w:jc w:val="center"/>
                                <w:rPr>
                                  <w:b/>
                                  <w:color w:val="auto"/>
                                  <w:sz w:val="24"/>
                                  <w:szCs w:val="24"/>
                                </w:rPr>
                              </w:pPr>
                              <w:r>
                                <w:rPr>
                                  <w:b/>
                                  <w:color w:val="auto"/>
                                  <w:sz w:val="24"/>
                                  <w:szCs w:val="24"/>
                                </w:rPr>
                                <w:t>Evidence Base to Support Disaster Managers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A5EC46" id="Group 10" o:spid="_x0000_s1026" style="position:absolute;margin-left:101.95pt;margin-top:17pt;width:230.15pt;height:263.8pt;z-index:251670528" coordsize="29226,3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">
                <v:roundrect id="Rounded Rectangle 2" o:spid="_x0000_s1027" style="position:absolute;width:12291;height:78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" fillcolor="#c6d9f1 [671]" strokecolor="#4f81bd [3204]" strokeweight="2pt">
                  <v:textbox>
                    <w:txbxContent>
                      <w:p w14:paraId="0E826A93" w14:textId="73B87951" w:rsidR="005449E3" w:rsidRPr="00767893" w:rsidRDefault="005449E3" w:rsidP="00767893">
                        <w:pPr>
                          <w:jc w:val="center"/>
                          <w:rPr>
                            <w:b/>
                            <w:color w:val="auto"/>
                            <w:sz w:val="24"/>
                            <w:szCs w:val="24"/>
                          </w:rPr>
                        </w:pPr>
                        <w:r w:rsidRPr="00767893">
                          <w:rPr>
                            <w:b/>
                            <w:color w:val="auto"/>
                            <w:sz w:val="24"/>
                            <w:szCs w:val="24"/>
                          </w:rPr>
                          <w:t>Hazard Information</w:t>
                        </w:r>
                      </w:p>
                    </w:txbxContent>
                  </v:textbox>
                </v:roundrect>
                <v:roundrect id="Rounded Rectangle 4" o:spid="_x0000_s1028" style="position:absolute;left:16938;width:12288;height:7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" fillcolor="#c6d9f1 [671]" strokecolor="#4f81bd [3204]" strokeweight="2pt">
                  <v:textbox>
                    <w:txbxContent>
                      <w:p w14:paraId="335EDDC7" w14:textId="15037247" w:rsidR="005449E3" w:rsidRPr="00767893" w:rsidRDefault="005449E3" w:rsidP="00767893">
                        <w:pPr>
                          <w:spacing w:before="0" w:after="0"/>
                          <w:jc w:val="center"/>
                          <w:rPr>
                            <w:b/>
                            <w:color w:val="auto"/>
                            <w:sz w:val="24"/>
                            <w:szCs w:val="24"/>
                          </w:rPr>
                        </w:pPr>
                        <w:r w:rsidRPr="00767893">
                          <w:rPr>
                            <w:b/>
                            <w:color w:val="auto"/>
                            <w:sz w:val="24"/>
                            <w:szCs w:val="24"/>
                          </w:rPr>
                          <w:t xml:space="preserve">Spatial </w:t>
                        </w:r>
                      </w:p>
                      <w:p w14:paraId="021503E7" w14:textId="46931E6F" w:rsidR="005449E3" w:rsidRPr="00767893" w:rsidRDefault="005449E3" w:rsidP="00767893">
                        <w:pPr>
                          <w:spacing w:before="0" w:after="0"/>
                          <w:jc w:val="center"/>
                          <w:rPr>
                            <w:b/>
                            <w:color w:val="auto"/>
                          </w:rPr>
                        </w:pPr>
                        <w:r w:rsidRPr="00767893">
                          <w:rPr>
                            <w:b/>
                            <w:color w:val="auto"/>
                            <w:sz w:val="24"/>
                            <w:szCs w:val="24"/>
                          </w:rPr>
                          <w:t>Data</w:t>
                        </w:r>
                      </w:p>
                    </w:txbxContent>
                  </v:textbox>
                </v:roundrect>
                <v:roundrect id="Rounded Rectangle 5" o:spid="_x0000_s1029" style="position:absolute;left:8544;top:12966;width:12287;height:86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" fillcolor="#c6d9f1 [671]" strokecolor="#4f81bd [3204]" strokeweight="2pt">
                  <v:textbox>
                    <w:txbxContent>
                      <w:p w14:paraId="39348E25" w14:textId="15947EE6" w:rsidR="005449E3" w:rsidRPr="00767893" w:rsidRDefault="005449E3" w:rsidP="00767893">
                        <w:pPr>
                          <w:jc w:val="center"/>
                          <w:rPr>
                            <w:b/>
                            <w:color w:val="auto"/>
                            <w:sz w:val="24"/>
                            <w:szCs w:val="24"/>
                          </w:rPr>
                        </w:pPr>
                        <w:r w:rsidRPr="00767893">
                          <w:rPr>
                            <w:b/>
                            <w:color w:val="auto"/>
                            <w:sz w:val="24"/>
                            <w:szCs w:val="24"/>
                          </w:rPr>
                          <w:t>Decision Support Tool</w:t>
                        </w:r>
                        <w:r>
                          <w:rPr>
                            <w:b/>
                            <w:color w:val="auto"/>
                            <w:sz w:val="24"/>
                            <w:szCs w:val="24"/>
                          </w:rPr>
                          <w:t>s</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30" type="#_x0000_t68" style="position:absolute;left:13716;top:22785;width:2019;height:374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" adj="5821" fillcolor="#bfbfbf [2412]" strokecolor="#548dd4 [1951]" strokeweight="2pt"/>
                <v:shape id="Up Arrow 7" o:spid="_x0000_s1031" type="#_x0000_t68" style="position:absolute;left:5546;top:8694;width:2019;height:374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" adj="5821" fillcolor="#bfbfbf [2412]" strokecolor="#548dd4 [1951]" strokeweight="2pt"/>
                <v:shape id="Up Arrow 8" o:spid="_x0000_s1032" type="#_x0000_t68" style="position:absolute;left:20686;top:8694;width:2019;height:374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" adj="5821" fillcolor="#bfbfbf [2412]" strokecolor="#548dd4 [1951]" strokeweight="2pt"/>
                <v:roundrect id="Rounded Rectangle 9" o:spid="_x0000_s1033" style="position:absolute;left:3447;top:24808;width:22632;height:86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" filled="f" stroked="f" strokeweight="2pt">
                  <v:textbox>
                    <w:txbxContent>
                      <w:p w14:paraId="1786065A" w14:textId="5A63986D" w:rsidR="005449E3" w:rsidRPr="00767893" w:rsidRDefault="005449E3" w:rsidP="00767893">
                        <w:pPr>
                          <w:jc w:val="center"/>
                          <w:rPr>
                            <w:b/>
                            <w:color w:val="auto"/>
                            <w:sz w:val="24"/>
                            <w:szCs w:val="24"/>
                          </w:rPr>
                        </w:pPr>
                        <w:r>
                          <w:rPr>
                            <w:b/>
                            <w:color w:val="auto"/>
                            <w:sz w:val="24"/>
                            <w:szCs w:val="24"/>
                          </w:rPr>
                          <w:t>Evidence Base to Support Disaster Managers</w:t>
                        </w:r>
                      </w:p>
                    </w:txbxContent>
                  </v:textbox>
                </v:roundrect>
              </v:group>
            </w:pict>
          </mc:Fallback>
        </mc:AlternateContent>
      </w:r>
    </w:p>
    <w:p w14:paraId="1F8CC5AF" w14:textId="74839D2B" w:rsidR="00767893" w:rsidRDefault="00767893" w:rsidP="00767893">
      <w:pPr>
        <w:pStyle w:val="BodyText"/>
      </w:pPr>
    </w:p>
    <w:p w14:paraId="7688956D" w14:textId="6EC43F62" w:rsidR="00767893" w:rsidRPr="00767893" w:rsidRDefault="00767893" w:rsidP="00767893">
      <w:pPr>
        <w:pStyle w:val="BodyText"/>
      </w:pPr>
    </w:p>
    <w:p w14:paraId="2929AFFA" w14:textId="6CB33C05" w:rsidR="00767893" w:rsidRDefault="00767893" w:rsidP="009D774A">
      <w:pPr>
        <w:pStyle w:val="Heading2NoNumbers"/>
      </w:pPr>
      <w:bookmarkStart w:id="9" w:name="_Toc514226280"/>
    </w:p>
    <w:p w14:paraId="3F50CA7C" w14:textId="6E7EE75D" w:rsidR="00767893" w:rsidRDefault="00767893" w:rsidP="009D774A">
      <w:pPr>
        <w:pStyle w:val="Heading2NoNumbers"/>
      </w:pPr>
    </w:p>
    <w:p w14:paraId="1974C786" w14:textId="7D627FEC" w:rsidR="00767893" w:rsidRDefault="00767893" w:rsidP="009D774A">
      <w:pPr>
        <w:pStyle w:val="Heading2NoNumbers"/>
      </w:pPr>
    </w:p>
    <w:p w14:paraId="3017164E" w14:textId="06A1EAB5" w:rsidR="00767893" w:rsidRDefault="00767893" w:rsidP="009D774A">
      <w:pPr>
        <w:pStyle w:val="Heading2NoNumbers"/>
      </w:pPr>
    </w:p>
    <w:p w14:paraId="31E7447D" w14:textId="1A3813CE" w:rsidR="00767893" w:rsidRDefault="00767893" w:rsidP="009D774A">
      <w:pPr>
        <w:pStyle w:val="Heading2NoNumbers"/>
      </w:pPr>
    </w:p>
    <w:p w14:paraId="69DDDC6A" w14:textId="28955FD7" w:rsidR="009D774A" w:rsidRDefault="009D774A" w:rsidP="009D774A">
      <w:pPr>
        <w:pStyle w:val="Heading2NoNumbers"/>
      </w:pPr>
      <w:bookmarkStart w:id="10" w:name="_Toc524508486"/>
      <w:r>
        <w:t>Approac</w:t>
      </w:r>
      <w:bookmarkEnd w:id="9"/>
      <w:r w:rsidR="00DC6955">
        <w:t>h</w:t>
      </w:r>
      <w:bookmarkEnd w:id="10"/>
    </w:p>
    <w:p w14:paraId="7F5DAF50" w14:textId="77777777" w:rsidR="00763632" w:rsidRPr="009C1018" w:rsidRDefault="00DC6955" w:rsidP="009C1018">
      <w:pPr>
        <w:pStyle w:val="BodyText"/>
        <w:rPr>
          <w:rStyle w:val="Bold"/>
        </w:rPr>
      </w:pPr>
      <w:r w:rsidRPr="009C1018">
        <w:rPr>
          <w:rStyle w:val="Bold"/>
        </w:rPr>
        <w:t>Manage</w:t>
      </w:r>
      <w:r w:rsidR="00C75C4D" w:rsidRPr="009C1018">
        <w:rPr>
          <w:rStyle w:val="Bold"/>
        </w:rPr>
        <w:t>me</w:t>
      </w:r>
      <w:r w:rsidRPr="009C1018">
        <w:rPr>
          <w:rStyle w:val="Bold"/>
        </w:rPr>
        <w:t>nt</w:t>
      </w:r>
    </w:p>
    <w:p w14:paraId="481B83FA" w14:textId="5F298567" w:rsidR="00763632" w:rsidRDefault="002E5D85" w:rsidP="00763632">
      <w:pPr>
        <w:pStyle w:val="BodyText"/>
      </w:pPr>
      <w:r>
        <w:t>M</w:t>
      </w:r>
      <w:r w:rsidR="00763632">
        <w:t>anage</w:t>
      </w:r>
      <w:r w:rsidR="00C75C4D">
        <w:t>me</w:t>
      </w:r>
      <w:r w:rsidR="00763632">
        <w:t xml:space="preserve">nt of the science </w:t>
      </w:r>
      <w:r w:rsidR="00F42E88">
        <w:t>partnership</w:t>
      </w:r>
      <w:r w:rsidR="00763632">
        <w:t xml:space="preserve"> has fallen under three distinct phases:</w:t>
      </w:r>
    </w:p>
    <w:p w14:paraId="62A2E7A8" w14:textId="77777777" w:rsidR="00763632" w:rsidRDefault="002E5D85" w:rsidP="009C1018">
      <w:pPr>
        <w:pStyle w:val="ListBulletLevel1"/>
      </w:pPr>
      <w:r>
        <w:rPr>
          <w:u w:val="single"/>
        </w:rPr>
        <w:t xml:space="preserve">Phase 1 - July </w:t>
      </w:r>
      <w:r w:rsidR="00763632" w:rsidRPr="00763632">
        <w:rPr>
          <w:u w:val="single"/>
        </w:rPr>
        <w:t>2008</w:t>
      </w:r>
      <w:r>
        <w:rPr>
          <w:u w:val="single"/>
        </w:rPr>
        <w:t xml:space="preserve"> to </w:t>
      </w:r>
      <w:r w:rsidR="00763632" w:rsidRPr="00763632">
        <w:rPr>
          <w:u w:val="single"/>
        </w:rPr>
        <w:t>June 2014:</w:t>
      </w:r>
      <w:r w:rsidR="00763632">
        <w:t xml:space="preserve"> Risk and Vulnerability Section of the Australia-Indonesia Facility for Disaster Reduction, or AIFDR</w:t>
      </w:r>
      <w:r w:rsidR="00A23227">
        <w:t>;</w:t>
      </w:r>
    </w:p>
    <w:p w14:paraId="1E9E1012" w14:textId="77777777" w:rsidR="00763632" w:rsidRDefault="002E5D85" w:rsidP="009C1018">
      <w:pPr>
        <w:pStyle w:val="ListBulletLevel1"/>
      </w:pPr>
      <w:r>
        <w:rPr>
          <w:u w:val="single"/>
        </w:rPr>
        <w:t xml:space="preserve">Phase 2 - </w:t>
      </w:r>
      <w:r w:rsidR="00763632" w:rsidRPr="00763632">
        <w:rPr>
          <w:u w:val="single"/>
        </w:rPr>
        <w:t xml:space="preserve">July 2014 </w:t>
      </w:r>
      <w:r>
        <w:rPr>
          <w:u w:val="single"/>
        </w:rPr>
        <w:t>to</w:t>
      </w:r>
      <w:r w:rsidR="00763632" w:rsidRPr="00763632">
        <w:rPr>
          <w:u w:val="single"/>
        </w:rPr>
        <w:t xml:space="preserve"> December 2015:</w:t>
      </w:r>
      <w:r w:rsidR="00763632">
        <w:t xml:space="preserve"> Risk and Vulnerability Section </w:t>
      </w:r>
      <w:r w:rsidR="00A23227">
        <w:t>during</w:t>
      </w:r>
      <w:r w:rsidR="00763632">
        <w:t xml:space="preserve"> the transition period of AIFDR</w:t>
      </w:r>
      <w:r w:rsidR="00A23227">
        <w:t>;</w:t>
      </w:r>
    </w:p>
    <w:p w14:paraId="30DB3591" w14:textId="77777777" w:rsidR="00763632" w:rsidRDefault="002E5D85" w:rsidP="009C1018">
      <w:pPr>
        <w:pStyle w:val="ListBulletLevel1"/>
      </w:pPr>
      <w:r>
        <w:rPr>
          <w:u w:val="single"/>
        </w:rPr>
        <w:t xml:space="preserve">Phase 3 - </w:t>
      </w:r>
      <w:r w:rsidR="00763632" w:rsidRPr="00763632">
        <w:rPr>
          <w:u w:val="single"/>
        </w:rPr>
        <w:t>January 2016 – June 2018:</w:t>
      </w:r>
      <w:r w:rsidR="00763632">
        <w:t xml:space="preserve"> DMInnovation o</w:t>
      </w:r>
      <w:r w:rsidR="00A23227">
        <w:t>r Disaster Manage</w:t>
      </w:r>
      <w:r w:rsidR="00C75C4D">
        <w:t>me</w:t>
      </w:r>
      <w:r w:rsidR="00A23227">
        <w:t xml:space="preserve">nt Innovation following the formal closure of AIFDR. </w:t>
      </w:r>
    </w:p>
    <w:p w14:paraId="64A2C9E6" w14:textId="3B6577D5" w:rsidR="00B73520" w:rsidRPr="00B73520" w:rsidRDefault="00763632" w:rsidP="00B73520">
      <w:pPr>
        <w:suppressAutoHyphens/>
        <w:rPr>
          <w:color w:val="auto"/>
        </w:rPr>
      </w:pPr>
      <w:r>
        <w:rPr>
          <w:color w:val="auto"/>
        </w:rPr>
        <w:t xml:space="preserve">This completion report covers </w:t>
      </w:r>
      <w:r w:rsidR="002E5D85">
        <w:rPr>
          <w:color w:val="auto"/>
        </w:rPr>
        <w:t>P</w:t>
      </w:r>
      <w:r>
        <w:rPr>
          <w:color w:val="auto"/>
        </w:rPr>
        <w:t>hases 2 and 3 (</w:t>
      </w:r>
      <w:r w:rsidR="005C567A">
        <w:rPr>
          <w:color w:val="auto"/>
        </w:rPr>
        <w:t>i.e.</w:t>
      </w:r>
      <w:r>
        <w:rPr>
          <w:color w:val="auto"/>
        </w:rPr>
        <w:t xml:space="preserve"> 1 July 2014</w:t>
      </w:r>
      <w:r w:rsidR="002E5D85">
        <w:rPr>
          <w:color w:val="auto"/>
        </w:rPr>
        <w:t xml:space="preserve"> until 30 June 2018</w:t>
      </w:r>
      <w:r>
        <w:rPr>
          <w:color w:val="auto"/>
        </w:rPr>
        <w:t xml:space="preserve">) during which </w:t>
      </w:r>
      <w:r w:rsidR="00347D34">
        <w:rPr>
          <w:color w:val="auto"/>
        </w:rPr>
        <w:t xml:space="preserve">period </w:t>
      </w:r>
      <w:r w:rsidR="007A10DC">
        <w:rPr>
          <w:color w:val="auto"/>
        </w:rPr>
        <w:t>GA</w:t>
      </w:r>
      <w:r>
        <w:rPr>
          <w:color w:val="auto"/>
        </w:rPr>
        <w:t xml:space="preserve"> assumed direct responsibility for the leadership and direction of the collaboration through Activity Schedule 34 </w:t>
      </w:r>
      <w:r w:rsidR="007938CE">
        <w:rPr>
          <w:color w:val="auto"/>
        </w:rPr>
        <w:t xml:space="preserve">(AS34) </w:t>
      </w:r>
      <w:r>
        <w:rPr>
          <w:color w:val="auto"/>
        </w:rPr>
        <w:t>of ROU51172. Prior to this</w:t>
      </w:r>
      <w:r w:rsidR="00A23227">
        <w:rPr>
          <w:color w:val="auto"/>
        </w:rPr>
        <w:t>,</w:t>
      </w:r>
      <w:r>
        <w:rPr>
          <w:color w:val="auto"/>
        </w:rPr>
        <w:t xml:space="preserve"> the </w:t>
      </w:r>
      <w:r w:rsidR="00A23227">
        <w:rPr>
          <w:color w:val="auto"/>
        </w:rPr>
        <w:t>project</w:t>
      </w:r>
      <w:r>
        <w:rPr>
          <w:color w:val="auto"/>
        </w:rPr>
        <w:t xml:space="preserve"> was led by</w:t>
      </w:r>
      <w:r w:rsidR="00347D34">
        <w:rPr>
          <w:color w:val="auto"/>
        </w:rPr>
        <w:t xml:space="preserve"> GA officers seconded to AusAID and did </w:t>
      </w:r>
      <w:r w:rsidR="00A23227">
        <w:rPr>
          <w:color w:val="auto"/>
        </w:rPr>
        <w:t xml:space="preserve">not </w:t>
      </w:r>
      <w:r w:rsidR="00347D34">
        <w:rPr>
          <w:color w:val="auto"/>
        </w:rPr>
        <w:t xml:space="preserve">fall under </w:t>
      </w:r>
      <w:r w:rsidR="00A23227">
        <w:rPr>
          <w:color w:val="auto"/>
        </w:rPr>
        <w:t xml:space="preserve">direct </w:t>
      </w:r>
      <w:r w:rsidR="00347D34">
        <w:rPr>
          <w:color w:val="auto"/>
        </w:rPr>
        <w:t>GA manage</w:t>
      </w:r>
      <w:r w:rsidR="00C75C4D">
        <w:rPr>
          <w:color w:val="auto"/>
        </w:rPr>
        <w:t>me</w:t>
      </w:r>
      <w:r w:rsidR="00347D34">
        <w:rPr>
          <w:color w:val="auto"/>
        </w:rPr>
        <w:t xml:space="preserve">nt. </w:t>
      </w:r>
      <w:r w:rsidR="00B73520">
        <w:rPr>
          <w:color w:val="auto"/>
        </w:rPr>
        <w:t xml:space="preserve">Nevertheless, it is important to note that </w:t>
      </w:r>
      <w:r w:rsidR="00A23227">
        <w:rPr>
          <w:color w:val="auto"/>
        </w:rPr>
        <w:t xml:space="preserve">the </w:t>
      </w:r>
      <w:r w:rsidR="00B73520">
        <w:rPr>
          <w:color w:val="auto"/>
        </w:rPr>
        <w:t xml:space="preserve">activities of Phases 2 and 3 built on </w:t>
      </w:r>
      <w:r w:rsidR="00A23227">
        <w:rPr>
          <w:color w:val="auto"/>
        </w:rPr>
        <w:t>a strong</w:t>
      </w:r>
      <w:r w:rsidR="00B73520">
        <w:rPr>
          <w:color w:val="auto"/>
        </w:rPr>
        <w:t xml:space="preserve"> foundation </w:t>
      </w:r>
      <w:r w:rsidR="00A23227">
        <w:rPr>
          <w:color w:val="auto"/>
        </w:rPr>
        <w:t>that was established during</w:t>
      </w:r>
      <w:r w:rsidR="00B73520">
        <w:rPr>
          <w:color w:val="auto"/>
        </w:rPr>
        <w:t xml:space="preserve"> Phase 1</w:t>
      </w:r>
      <w:r w:rsidR="00A23227">
        <w:rPr>
          <w:color w:val="auto"/>
        </w:rPr>
        <w:t xml:space="preserve">. Consequently, </w:t>
      </w:r>
      <w:r w:rsidR="00B73520">
        <w:rPr>
          <w:color w:val="auto"/>
        </w:rPr>
        <w:t xml:space="preserve">many of the achievements identified in this completion report can be </w:t>
      </w:r>
      <w:r w:rsidR="00A23227">
        <w:rPr>
          <w:color w:val="auto"/>
        </w:rPr>
        <w:t>traced</w:t>
      </w:r>
      <w:r w:rsidR="00B73520">
        <w:rPr>
          <w:color w:val="auto"/>
        </w:rPr>
        <w:t xml:space="preserve"> back to </w:t>
      </w:r>
      <w:r w:rsidR="00A23227">
        <w:rPr>
          <w:color w:val="auto"/>
        </w:rPr>
        <w:t>activities</w:t>
      </w:r>
      <w:r w:rsidR="00B73520">
        <w:rPr>
          <w:color w:val="auto"/>
        </w:rPr>
        <w:t xml:space="preserve"> </w:t>
      </w:r>
      <w:r w:rsidR="00A23227">
        <w:rPr>
          <w:color w:val="auto"/>
        </w:rPr>
        <w:t xml:space="preserve">and relationships that began </w:t>
      </w:r>
      <w:r w:rsidR="00B73520">
        <w:rPr>
          <w:color w:val="auto"/>
        </w:rPr>
        <w:t xml:space="preserve">during Phase 1. </w:t>
      </w:r>
    </w:p>
    <w:p w14:paraId="54286EAB" w14:textId="77777777" w:rsidR="00347D34" w:rsidRPr="009C1018" w:rsidRDefault="00347D34" w:rsidP="009C1018">
      <w:pPr>
        <w:pStyle w:val="BodyText"/>
        <w:rPr>
          <w:rStyle w:val="Bold"/>
        </w:rPr>
      </w:pPr>
      <w:r w:rsidRPr="009C1018">
        <w:rPr>
          <w:rStyle w:val="Bold"/>
        </w:rPr>
        <w:t xml:space="preserve">Changes in Activity Classification and </w:t>
      </w:r>
      <w:r w:rsidR="005E147D" w:rsidRPr="009C1018">
        <w:rPr>
          <w:rStyle w:val="Bold"/>
        </w:rPr>
        <w:t xml:space="preserve">Implications on </w:t>
      </w:r>
      <w:r w:rsidRPr="009C1018">
        <w:rPr>
          <w:rStyle w:val="Bold"/>
        </w:rPr>
        <w:t xml:space="preserve">Reporting </w:t>
      </w:r>
      <w:r w:rsidR="005E147D" w:rsidRPr="009C1018">
        <w:rPr>
          <w:rStyle w:val="Bold"/>
        </w:rPr>
        <w:t>Style</w:t>
      </w:r>
    </w:p>
    <w:p w14:paraId="2E2A8877" w14:textId="427BF673" w:rsidR="00347D34" w:rsidRDefault="00347D34" w:rsidP="00347D34">
      <w:pPr>
        <w:pStyle w:val="BodyText"/>
      </w:pPr>
      <w:r>
        <w:t>The transition from Phase 2 to Phase 3 (i.e. the creation of DMInnovation) also invol</w:t>
      </w:r>
      <w:r w:rsidR="00C75C4D">
        <w:t>ved changes to the formal collabora</w:t>
      </w:r>
      <w:r>
        <w:t xml:space="preserve">tion agreement between the Indonesian and Australian Governments which in-turn led to a re-packaging of activities under new program and activity level classifications as defined below. For the purpose of clarity, </w:t>
      </w:r>
      <w:r w:rsidR="00A23227">
        <w:t xml:space="preserve">and to support ongoing DFAT reporting, </w:t>
      </w:r>
      <w:r>
        <w:t xml:space="preserve">this completion report documents all achievements against the program and activity level classifications that were </w:t>
      </w:r>
      <w:r w:rsidR="00A23227">
        <w:t>developed</w:t>
      </w:r>
      <w:r>
        <w:t xml:space="preserve"> </w:t>
      </w:r>
      <w:r w:rsidR="00A23227">
        <w:t xml:space="preserve">at the time DMInnovation was created (i.e. the beginning of Phase 3). </w:t>
      </w:r>
      <w:r w:rsidR="00F42E88">
        <w:t>These are summarised in the following table.</w:t>
      </w:r>
    </w:p>
    <w:p w14:paraId="537C89A2" w14:textId="5A86B71C" w:rsidR="00442DE4" w:rsidRPr="00F42E88" w:rsidRDefault="00F42E88" w:rsidP="00F42E88">
      <w:pPr>
        <w:rPr>
          <w:i/>
          <w:color w:val="auto"/>
        </w:rPr>
      </w:pPr>
      <w:r>
        <w:rPr>
          <w:b/>
          <w:i/>
          <w:color w:val="auto"/>
        </w:rPr>
        <w:t xml:space="preserve">Table: </w:t>
      </w:r>
      <w:r w:rsidRPr="00F42E88">
        <w:rPr>
          <w:i/>
          <w:color w:val="auto"/>
        </w:rPr>
        <w:t>DMInnovation</w:t>
      </w:r>
      <w:r>
        <w:rPr>
          <w:b/>
          <w:i/>
          <w:color w:val="auto"/>
        </w:rPr>
        <w:t xml:space="preserve"> </w:t>
      </w:r>
      <w:r w:rsidR="00CA54E7" w:rsidRPr="00F42E88">
        <w:rPr>
          <w:i/>
          <w:color w:val="auto"/>
        </w:rPr>
        <w:t xml:space="preserve">Program and Activity Descriptions </w:t>
      </w:r>
      <w:r>
        <w:rPr>
          <w:i/>
          <w:color w:val="auto"/>
        </w:rPr>
        <w:t>as defined for</w:t>
      </w:r>
      <w:r w:rsidR="00CA54E7" w:rsidRPr="00F42E88">
        <w:rPr>
          <w:i/>
          <w:color w:val="auto"/>
        </w:rPr>
        <w:t xml:space="preserve"> Phase 3</w:t>
      </w:r>
    </w:p>
    <w:tbl>
      <w:tblPr>
        <w:tblStyle w:val="TableGAHeaderRow"/>
        <w:tblW w:w="0" w:type="auto"/>
        <w:tblLook w:val="04A0" w:firstRow="1" w:lastRow="0" w:firstColumn="1" w:lastColumn="0" w:noHBand="0" w:noVBand="1"/>
      </w:tblPr>
      <w:tblGrid>
        <w:gridCol w:w="3544"/>
        <w:gridCol w:w="4820"/>
      </w:tblGrid>
      <w:tr w:rsidR="00442DE4" w14:paraId="2E353DC2" w14:textId="77777777" w:rsidTr="00442DE4">
        <w:trPr>
          <w:cnfStyle w:val="100000000000" w:firstRow="1" w:lastRow="0" w:firstColumn="0" w:lastColumn="0" w:oddVBand="0" w:evenVBand="0" w:oddHBand="0" w:evenHBand="0" w:firstRowFirstColumn="0" w:firstRowLastColumn="0" w:lastRowFirstColumn="0" w:lastRowLastColumn="0"/>
        </w:trPr>
        <w:tc>
          <w:tcPr>
            <w:tcW w:w="3544" w:type="dxa"/>
          </w:tcPr>
          <w:p w14:paraId="773024A0" w14:textId="61D66E7B" w:rsidR="00442DE4" w:rsidRDefault="00442DE4" w:rsidP="004B6C6C">
            <w:pPr>
              <w:pStyle w:val="TableTextCentred"/>
            </w:pPr>
            <w:r>
              <w:t>Program</w:t>
            </w:r>
          </w:p>
        </w:tc>
        <w:tc>
          <w:tcPr>
            <w:tcW w:w="4820" w:type="dxa"/>
          </w:tcPr>
          <w:p w14:paraId="0CFA147A" w14:textId="14A52258" w:rsidR="00442DE4" w:rsidRDefault="00442DE4" w:rsidP="004B6C6C">
            <w:pPr>
              <w:pStyle w:val="TableTextCentred"/>
            </w:pPr>
            <w:r>
              <w:t>Activity</w:t>
            </w:r>
          </w:p>
        </w:tc>
      </w:tr>
      <w:tr w:rsidR="00442DE4" w14:paraId="5369EF99" w14:textId="77777777" w:rsidTr="00442DE4">
        <w:trPr>
          <w:cnfStyle w:val="000000100000" w:firstRow="0" w:lastRow="0" w:firstColumn="0" w:lastColumn="0" w:oddVBand="0" w:evenVBand="0" w:oddHBand="1" w:evenHBand="0" w:firstRowFirstColumn="0" w:firstRowLastColumn="0" w:lastRowFirstColumn="0" w:lastRowLastColumn="0"/>
        </w:trPr>
        <w:tc>
          <w:tcPr>
            <w:tcW w:w="3544" w:type="dxa"/>
          </w:tcPr>
          <w:p w14:paraId="4B8F19BC" w14:textId="57C36995" w:rsidR="00442DE4" w:rsidRDefault="00442DE4" w:rsidP="004B6C6C">
            <w:pPr>
              <w:pStyle w:val="TableTextLeft"/>
            </w:pPr>
            <w:r w:rsidRPr="00442DE4">
              <w:rPr>
                <w:b/>
                <w:i/>
              </w:rPr>
              <w:t>Program 1:</w:t>
            </w:r>
            <w:r>
              <w:t xml:space="preserve"> </w:t>
            </w:r>
            <w:r w:rsidRPr="00442DE4">
              <w:t>Embed the use of exposure information management and tools for Disaster Management</w:t>
            </w:r>
          </w:p>
        </w:tc>
        <w:tc>
          <w:tcPr>
            <w:tcW w:w="4820" w:type="dxa"/>
          </w:tcPr>
          <w:p w14:paraId="032351F0" w14:textId="2F10357E" w:rsidR="00442DE4" w:rsidRDefault="00442DE4" w:rsidP="00442DE4">
            <w:pPr>
              <w:pStyle w:val="TableTextLeft"/>
              <w:numPr>
                <w:ilvl w:val="0"/>
                <w:numId w:val="44"/>
              </w:numPr>
              <w:ind w:left="227" w:hanging="142"/>
            </w:pPr>
            <w:r w:rsidRPr="00442DE4">
              <w:rPr>
                <w:b/>
                <w:i/>
              </w:rPr>
              <w:t>Activity 1.1:</w:t>
            </w:r>
            <w:r w:rsidRPr="00442DE4">
              <w:t xml:space="preserve"> Enhance the real time information available during flooding in Jakarta (Peta Jakarta)</w:t>
            </w:r>
          </w:p>
          <w:p w14:paraId="4BDB2E78" w14:textId="6987CF6F" w:rsidR="00442DE4" w:rsidRDefault="00442DE4" w:rsidP="00442DE4">
            <w:pPr>
              <w:pStyle w:val="TableTextLeft"/>
              <w:numPr>
                <w:ilvl w:val="0"/>
                <w:numId w:val="44"/>
              </w:numPr>
              <w:ind w:left="227" w:hanging="142"/>
            </w:pPr>
            <w:r w:rsidRPr="00442DE4">
              <w:rPr>
                <w:b/>
                <w:i/>
              </w:rPr>
              <w:t>Activity 1.2:</w:t>
            </w:r>
            <w:r w:rsidRPr="00442DE4">
              <w:t xml:space="preserve"> Disaster Management Innovation through Open Geospatial Data</w:t>
            </w:r>
          </w:p>
        </w:tc>
      </w:tr>
      <w:tr w:rsidR="00442DE4" w14:paraId="437C6F6D" w14:textId="77777777" w:rsidTr="00442DE4">
        <w:trPr>
          <w:cnfStyle w:val="000000010000" w:firstRow="0" w:lastRow="0" w:firstColumn="0" w:lastColumn="0" w:oddVBand="0" w:evenVBand="0" w:oddHBand="0" w:evenHBand="1" w:firstRowFirstColumn="0" w:firstRowLastColumn="0" w:lastRowFirstColumn="0" w:lastRowLastColumn="0"/>
        </w:trPr>
        <w:tc>
          <w:tcPr>
            <w:tcW w:w="3544" w:type="dxa"/>
          </w:tcPr>
          <w:p w14:paraId="2219987A" w14:textId="26BA70D9" w:rsidR="00442DE4" w:rsidRPr="00FB723C" w:rsidRDefault="00442DE4" w:rsidP="004B6C6C">
            <w:pPr>
              <w:pStyle w:val="TableTextLeft"/>
            </w:pPr>
            <w:r w:rsidRPr="00442DE4">
              <w:rPr>
                <w:b/>
                <w:i/>
              </w:rPr>
              <w:t>Program 2:</w:t>
            </w:r>
            <w:r>
              <w:t xml:space="preserve"> </w:t>
            </w:r>
            <w:r w:rsidRPr="00442DE4">
              <w:t>Enhance the ability of Indonesia to prepare and respond to disaster through InaSAFE</w:t>
            </w:r>
          </w:p>
        </w:tc>
        <w:tc>
          <w:tcPr>
            <w:tcW w:w="4820" w:type="dxa"/>
          </w:tcPr>
          <w:p w14:paraId="45D29997" w14:textId="77777777" w:rsidR="00442DE4" w:rsidRDefault="00442DE4" w:rsidP="00442DE4">
            <w:pPr>
              <w:pStyle w:val="TableTextLeft"/>
              <w:numPr>
                <w:ilvl w:val="0"/>
                <w:numId w:val="44"/>
              </w:numPr>
              <w:ind w:left="227" w:hanging="142"/>
            </w:pPr>
            <w:r w:rsidRPr="00442DE4">
              <w:rPr>
                <w:b/>
                <w:i/>
              </w:rPr>
              <w:t xml:space="preserve">Activity </w:t>
            </w:r>
            <w:r>
              <w:rPr>
                <w:b/>
                <w:i/>
              </w:rPr>
              <w:t>2</w:t>
            </w:r>
            <w:r w:rsidRPr="00442DE4">
              <w:rPr>
                <w:b/>
                <w:i/>
              </w:rPr>
              <w:t>.1:</w:t>
            </w:r>
            <w:r w:rsidRPr="00442DE4">
              <w:t xml:space="preserve"> InaSAFE Enhancement and Institutionalisation within BNPB (Kartoza)</w:t>
            </w:r>
          </w:p>
          <w:p w14:paraId="225DC684" w14:textId="789D1112" w:rsidR="00442DE4" w:rsidRPr="00FB723C" w:rsidRDefault="00442DE4" w:rsidP="00442DE4">
            <w:pPr>
              <w:pStyle w:val="TableTextLeft"/>
              <w:numPr>
                <w:ilvl w:val="0"/>
                <w:numId w:val="44"/>
              </w:numPr>
              <w:ind w:left="227" w:hanging="142"/>
            </w:pPr>
            <w:r w:rsidRPr="00442DE4">
              <w:rPr>
                <w:b/>
                <w:i/>
              </w:rPr>
              <w:t xml:space="preserve">Activity </w:t>
            </w:r>
            <w:r>
              <w:rPr>
                <w:b/>
                <w:i/>
              </w:rPr>
              <w:t>2.2</w:t>
            </w:r>
            <w:r w:rsidRPr="00442DE4">
              <w:rPr>
                <w:b/>
                <w:i/>
              </w:rPr>
              <w:t>:</w:t>
            </w:r>
            <w:r w:rsidRPr="00442DE4">
              <w:t xml:space="preserve"> Policy development and technical support of selected BNPB activities to facilitate the institutionalisation of geospatial technologies in Disaster Management</w:t>
            </w:r>
          </w:p>
        </w:tc>
      </w:tr>
      <w:tr w:rsidR="00442DE4" w14:paraId="02836143" w14:textId="77777777" w:rsidTr="00442DE4">
        <w:trPr>
          <w:cnfStyle w:val="000000100000" w:firstRow="0" w:lastRow="0" w:firstColumn="0" w:lastColumn="0" w:oddVBand="0" w:evenVBand="0" w:oddHBand="1" w:evenHBand="0" w:firstRowFirstColumn="0" w:firstRowLastColumn="0" w:lastRowFirstColumn="0" w:lastRowLastColumn="0"/>
        </w:trPr>
        <w:tc>
          <w:tcPr>
            <w:tcW w:w="3544" w:type="dxa"/>
          </w:tcPr>
          <w:p w14:paraId="17CB6FC8" w14:textId="76825159" w:rsidR="00442DE4" w:rsidRDefault="00442DE4" w:rsidP="004B6C6C">
            <w:pPr>
              <w:pStyle w:val="TableTextLeft"/>
            </w:pPr>
            <w:r w:rsidRPr="00442DE4">
              <w:rPr>
                <w:b/>
                <w:i/>
              </w:rPr>
              <w:t>Program 3:</w:t>
            </w:r>
            <w:r>
              <w:t xml:space="preserve"> </w:t>
            </w:r>
            <w:r w:rsidRPr="00442DE4">
              <w:t>High quality research training in earthquake, active tectonics and tsunami science in Indonesian</w:t>
            </w:r>
          </w:p>
        </w:tc>
        <w:tc>
          <w:tcPr>
            <w:tcW w:w="4820" w:type="dxa"/>
          </w:tcPr>
          <w:p w14:paraId="205DAE0D" w14:textId="048705B5" w:rsidR="00442DE4" w:rsidRDefault="00442DE4" w:rsidP="00442DE4">
            <w:pPr>
              <w:pStyle w:val="TableTextLeft"/>
              <w:numPr>
                <w:ilvl w:val="0"/>
                <w:numId w:val="44"/>
              </w:numPr>
              <w:ind w:left="227" w:hanging="142"/>
            </w:pPr>
            <w:r w:rsidRPr="00442DE4">
              <w:rPr>
                <w:b/>
                <w:i/>
              </w:rPr>
              <w:t xml:space="preserve">Activity </w:t>
            </w:r>
            <w:r>
              <w:rPr>
                <w:b/>
                <w:i/>
              </w:rPr>
              <w:t>3</w:t>
            </w:r>
            <w:r w:rsidRPr="00442DE4">
              <w:rPr>
                <w:b/>
                <w:i/>
              </w:rPr>
              <w:t>.1:</w:t>
            </w:r>
            <w:r w:rsidRPr="00442DE4">
              <w:t xml:space="preserve"> Geodisaster Research and Education to support DRR in Indonesia and create a sustainable GREAT </w:t>
            </w:r>
            <w:r w:rsidR="004511B2" w:rsidRPr="00442DE4">
              <w:t>Program</w:t>
            </w:r>
            <w:r w:rsidRPr="00442DE4">
              <w:t xml:space="preserve"> at ITB</w:t>
            </w:r>
          </w:p>
          <w:p w14:paraId="728C148F" w14:textId="45009C1A" w:rsidR="00442DE4" w:rsidRDefault="00442DE4" w:rsidP="00FA5B03">
            <w:pPr>
              <w:pStyle w:val="TableTextLeft"/>
              <w:numPr>
                <w:ilvl w:val="0"/>
                <w:numId w:val="44"/>
              </w:numPr>
              <w:ind w:left="227" w:hanging="142"/>
            </w:pPr>
            <w:r w:rsidRPr="00442DE4">
              <w:rPr>
                <w:b/>
                <w:i/>
              </w:rPr>
              <w:t xml:space="preserve">Activity </w:t>
            </w:r>
            <w:r>
              <w:rPr>
                <w:b/>
                <w:i/>
              </w:rPr>
              <w:t>3.2</w:t>
            </w:r>
            <w:r w:rsidRPr="00442DE4">
              <w:rPr>
                <w:b/>
                <w:i/>
              </w:rPr>
              <w:t>:</w:t>
            </w:r>
            <w:r w:rsidR="00FA5B03">
              <w:t xml:space="preserve"> Help strengthen the teaching and research programs of GREAT and ensure that it is pitching at the highest international</w:t>
            </w:r>
          </w:p>
        </w:tc>
      </w:tr>
      <w:tr w:rsidR="00442DE4" w14:paraId="77BEF9E7" w14:textId="77777777" w:rsidTr="00442DE4">
        <w:trPr>
          <w:cnfStyle w:val="000000010000" w:firstRow="0" w:lastRow="0" w:firstColumn="0" w:lastColumn="0" w:oddVBand="0" w:evenVBand="0" w:oddHBand="0" w:evenHBand="1" w:firstRowFirstColumn="0" w:firstRowLastColumn="0" w:lastRowFirstColumn="0" w:lastRowLastColumn="0"/>
        </w:trPr>
        <w:tc>
          <w:tcPr>
            <w:tcW w:w="3544" w:type="dxa"/>
          </w:tcPr>
          <w:p w14:paraId="0536F9FF" w14:textId="79FD164D" w:rsidR="00442DE4" w:rsidRPr="00957566" w:rsidRDefault="00442DE4" w:rsidP="004B6C6C">
            <w:pPr>
              <w:pStyle w:val="TableTextLeft"/>
            </w:pPr>
            <w:r w:rsidRPr="00442DE4">
              <w:rPr>
                <w:b/>
                <w:i/>
              </w:rPr>
              <w:t>Program 4:</w:t>
            </w:r>
            <w:r>
              <w:t xml:space="preserve"> </w:t>
            </w:r>
            <w:r w:rsidRPr="00442DE4">
              <w:t xml:space="preserve">Capability within Indonesia to produce Hazard Map/Information that </w:t>
            </w:r>
            <w:r w:rsidR="005C567A" w:rsidRPr="00442DE4">
              <w:t>informs</w:t>
            </w:r>
            <w:r w:rsidRPr="00442DE4">
              <w:t xml:space="preserve"> disaster management.</w:t>
            </w:r>
          </w:p>
        </w:tc>
        <w:tc>
          <w:tcPr>
            <w:tcW w:w="4820" w:type="dxa"/>
          </w:tcPr>
          <w:p w14:paraId="437164C4" w14:textId="09F92BED" w:rsidR="00FA5B03" w:rsidRDefault="00442DE4" w:rsidP="00FA5B03">
            <w:pPr>
              <w:pStyle w:val="TableTextLeft"/>
              <w:numPr>
                <w:ilvl w:val="0"/>
                <w:numId w:val="44"/>
              </w:numPr>
              <w:ind w:left="227" w:hanging="142"/>
            </w:pPr>
            <w:r w:rsidRPr="00442DE4">
              <w:rPr>
                <w:b/>
                <w:i/>
              </w:rPr>
              <w:t xml:space="preserve">Activity </w:t>
            </w:r>
            <w:r>
              <w:rPr>
                <w:b/>
                <w:i/>
              </w:rPr>
              <w:t>4</w:t>
            </w:r>
            <w:r w:rsidRPr="00442DE4">
              <w:rPr>
                <w:b/>
                <w:i/>
              </w:rPr>
              <w:t>.1:</w:t>
            </w:r>
            <w:r w:rsidRPr="00442DE4">
              <w:t xml:space="preserve"> </w:t>
            </w:r>
            <w:r w:rsidR="00FA5B03" w:rsidRPr="00FA5B03">
              <w:t>Updating national earthquake hazard map to inform building codes, disaster management and other relevant policies in Indonesia.</w:t>
            </w:r>
          </w:p>
          <w:p w14:paraId="3716E8B5" w14:textId="06A96C3E" w:rsidR="00FA5B03" w:rsidRDefault="00442DE4" w:rsidP="00FA5B03">
            <w:pPr>
              <w:pStyle w:val="TableTextLeft"/>
              <w:numPr>
                <w:ilvl w:val="0"/>
                <w:numId w:val="44"/>
              </w:numPr>
              <w:ind w:left="227" w:hanging="142"/>
            </w:pPr>
            <w:r w:rsidRPr="00442DE4">
              <w:rPr>
                <w:b/>
                <w:i/>
              </w:rPr>
              <w:t xml:space="preserve">Activity </w:t>
            </w:r>
            <w:r>
              <w:rPr>
                <w:b/>
                <w:i/>
              </w:rPr>
              <w:t>4.2</w:t>
            </w:r>
            <w:r w:rsidRPr="00442DE4">
              <w:rPr>
                <w:b/>
                <w:i/>
              </w:rPr>
              <w:t>:</w:t>
            </w:r>
            <w:r w:rsidRPr="00442DE4">
              <w:t xml:space="preserve"> </w:t>
            </w:r>
            <w:r w:rsidR="00FA5B03" w:rsidRPr="00FA5B03">
              <w:t>Support to devel</w:t>
            </w:r>
            <w:r w:rsidR="00FE4FE6">
              <w:t xml:space="preserve">op capability within Indonesia </w:t>
            </w:r>
            <w:r w:rsidR="00FA5B03" w:rsidRPr="00FA5B03">
              <w:t>to produce tsunami inundation maps</w:t>
            </w:r>
          </w:p>
          <w:p w14:paraId="2D80F99E" w14:textId="5ACF6EE1" w:rsidR="00FA5B03" w:rsidRDefault="00442DE4" w:rsidP="00FA5B03">
            <w:pPr>
              <w:pStyle w:val="TableTextLeft"/>
              <w:numPr>
                <w:ilvl w:val="0"/>
                <w:numId w:val="44"/>
              </w:numPr>
              <w:ind w:left="227" w:hanging="142"/>
            </w:pPr>
            <w:r w:rsidRPr="00442DE4">
              <w:rPr>
                <w:b/>
                <w:i/>
              </w:rPr>
              <w:t xml:space="preserve">Activity </w:t>
            </w:r>
            <w:r>
              <w:rPr>
                <w:b/>
                <w:i/>
              </w:rPr>
              <w:t>4.3</w:t>
            </w:r>
            <w:r w:rsidRPr="00442DE4">
              <w:rPr>
                <w:b/>
                <w:i/>
              </w:rPr>
              <w:t>:</w:t>
            </w:r>
            <w:r w:rsidRPr="00442DE4">
              <w:t xml:space="preserve"> </w:t>
            </w:r>
            <w:r w:rsidR="00FA5B03" w:rsidRPr="00FA5B03">
              <w:t xml:space="preserve">AWI - Technical Support to develop capability within Indonesia to extend the </w:t>
            </w:r>
            <w:r w:rsidR="004511B2" w:rsidRPr="00FA5B03">
              <w:t>tsunami</w:t>
            </w:r>
            <w:r w:rsidR="00FA5B03" w:rsidRPr="00FA5B03">
              <w:t xml:space="preserve"> warning system</w:t>
            </w:r>
          </w:p>
          <w:p w14:paraId="29215706" w14:textId="1C4B5989" w:rsidR="00442DE4" w:rsidRDefault="00442DE4" w:rsidP="00442DE4">
            <w:pPr>
              <w:pStyle w:val="TableTextLeft"/>
              <w:numPr>
                <w:ilvl w:val="0"/>
                <w:numId w:val="44"/>
              </w:numPr>
              <w:ind w:left="227" w:hanging="142"/>
            </w:pPr>
            <w:r w:rsidRPr="00442DE4">
              <w:rPr>
                <w:b/>
                <w:i/>
              </w:rPr>
              <w:t xml:space="preserve">Activity </w:t>
            </w:r>
            <w:r>
              <w:rPr>
                <w:b/>
                <w:i/>
              </w:rPr>
              <w:t>4.4</w:t>
            </w:r>
            <w:r w:rsidRPr="00442DE4">
              <w:rPr>
                <w:b/>
                <w:i/>
              </w:rPr>
              <w:t>:</w:t>
            </w:r>
            <w:r w:rsidRPr="00442DE4">
              <w:t xml:space="preserve"> </w:t>
            </w:r>
            <w:r w:rsidR="00FA5B03" w:rsidRPr="00FA5B03">
              <w:t>Support to develop GOI Capability to generate volcanic ash fall map</w:t>
            </w:r>
          </w:p>
        </w:tc>
      </w:tr>
      <w:tr w:rsidR="00442DE4" w14:paraId="7965A7C9" w14:textId="77777777" w:rsidTr="00442DE4">
        <w:trPr>
          <w:cnfStyle w:val="000000100000" w:firstRow="0" w:lastRow="0" w:firstColumn="0" w:lastColumn="0" w:oddVBand="0" w:evenVBand="0" w:oddHBand="1" w:evenHBand="0" w:firstRowFirstColumn="0" w:firstRowLastColumn="0" w:lastRowFirstColumn="0" w:lastRowLastColumn="0"/>
        </w:trPr>
        <w:tc>
          <w:tcPr>
            <w:tcW w:w="3544" w:type="dxa"/>
          </w:tcPr>
          <w:p w14:paraId="2A0CF739" w14:textId="67CA775F" w:rsidR="00442DE4" w:rsidRDefault="00442DE4" w:rsidP="004B6C6C">
            <w:pPr>
              <w:pStyle w:val="TableTextLeft"/>
            </w:pPr>
            <w:r w:rsidRPr="00442DE4">
              <w:rPr>
                <w:b/>
                <w:i/>
              </w:rPr>
              <w:t>Program 5:</w:t>
            </w:r>
            <w:r>
              <w:t xml:space="preserve"> </w:t>
            </w:r>
            <w:r w:rsidRPr="00442DE4">
              <w:t>Advance capability of GOI to store and learn from earthquake record and information to support disaster management.</w:t>
            </w:r>
          </w:p>
        </w:tc>
        <w:tc>
          <w:tcPr>
            <w:tcW w:w="4820" w:type="dxa"/>
          </w:tcPr>
          <w:p w14:paraId="67C84F8A" w14:textId="265C9787" w:rsidR="00442DE4" w:rsidRDefault="00442DE4" w:rsidP="00FA5B03">
            <w:pPr>
              <w:pStyle w:val="TableTextLeft"/>
              <w:numPr>
                <w:ilvl w:val="0"/>
                <w:numId w:val="44"/>
              </w:numPr>
              <w:ind w:left="227" w:hanging="142"/>
            </w:pPr>
            <w:r w:rsidRPr="00442DE4">
              <w:rPr>
                <w:b/>
                <w:i/>
              </w:rPr>
              <w:t xml:space="preserve">Activity </w:t>
            </w:r>
            <w:r w:rsidR="00FA5B03">
              <w:rPr>
                <w:b/>
                <w:i/>
              </w:rPr>
              <w:t>5.1</w:t>
            </w:r>
            <w:r w:rsidRPr="00442DE4">
              <w:rPr>
                <w:b/>
                <w:i/>
              </w:rPr>
              <w:t>:</w:t>
            </w:r>
            <w:r w:rsidR="00FA5B03">
              <w:t xml:space="preserve"> </w:t>
            </w:r>
            <w:r w:rsidR="00FA5B03" w:rsidRPr="00FA5B03">
              <w:t>Strengthened capability within GOI to store and learn from earthquake recordings and other data such as post-event damage data</w:t>
            </w:r>
            <w:r w:rsidRPr="00442DE4">
              <w:t xml:space="preserve"> </w:t>
            </w:r>
          </w:p>
          <w:p w14:paraId="4E74FEF4" w14:textId="5422C089" w:rsidR="00442DE4" w:rsidRDefault="00442DE4" w:rsidP="00442DE4">
            <w:pPr>
              <w:pStyle w:val="TableTextLeft"/>
            </w:pPr>
          </w:p>
        </w:tc>
      </w:tr>
    </w:tbl>
    <w:p w14:paraId="77452395" w14:textId="165EDFF0" w:rsidR="00F42E88" w:rsidRDefault="00F42E88" w:rsidP="00347D34">
      <w:pPr>
        <w:pStyle w:val="BodyText"/>
      </w:pPr>
    </w:p>
    <w:p w14:paraId="50C1BE72" w14:textId="77777777" w:rsidR="00F42E88" w:rsidRDefault="00F42E88" w:rsidP="00F42E88">
      <w:pPr>
        <w:pStyle w:val="BodyText"/>
      </w:pPr>
      <w:r>
        <w:br w:type="page"/>
      </w:r>
    </w:p>
    <w:p w14:paraId="30C1F7C0" w14:textId="77777777" w:rsidR="00DC6955" w:rsidRPr="009C1018" w:rsidRDefault="00DC6955" w:rsidP="009C1018">
      <w:pPr>
        <w:pStyle w:val="BodyText"/>
        <w:rPr>
          <w:rStyle w:val="Bold"/>
        </w:rPr>
      </w:pPr>
      <w:r w:rsidRPr="009C1018">
        <w:rPr>
          <w:rStyle w:val="Bold"/>
        </w:rPr>
        <w:t>Modalities adopted by Geoscience Australia</w:t>
      </w:r>
    </w:p>
    <w:p w14:paraId="1C4A5546" w14:textId="0775450E" w:rsidR="002E5D85" w:rsidRDefault="002E5D85" w:rsidP="002E5D85">
      <w:pPr>
        <w:pStyle w:val="BodyText"/>
      </w:pPr>
      <w:r>
        <w:t xml:space="preserve">Three modalities were adopted by </w:t>
      </w:r>
      <w:r w:rsidR="007938CE">
        <w:t>GA</w:t>
      </w:r>
      <w:r>
        <w:t xml:space="preserve"> throughout implementation of AS34:</w:t>
      </w:r>
    </w:p>
    <w:p w14:paraId="6AB60DB5" w14:textId="28AA6827" w:rsidR="002E5D85" w:rsidRPr="00DC6955" w:rsidRDefault="002E5D85" w:rsidP="009C1018">
      <w:pPr>
        <w:pStyle w:val="ListNumberedLevel1"/>
      </w:pPr>
      <w:r w:rsidRPr="00DC6955">
        <w:t xml:space="preserve">Pre-deployment of </w:t>
      </w:r>
      <w:r w:rsidR="00F42E88">
        <w:t xml:space="preserve">GA </w:t>
      </w:r>
      <w:r w:rsidRPr="00DC6955">
        <w:t xml:space="preserve">in-country officers - July 2014 to </w:t>
      </w:r>
      <w:r w:rsidR="00B73520">
        <w:t>October</w:t>
      </w:r>
      <w:r w:rsidRPr="00DC6955">
        <w:t xml:space="preserve"> 2014</w:t>
      </w:r>
    </w:p>
    <w:p w14:paraId="6538CA32" w14:textId="77777777" w:rsidR="00DC6955" w:rsidRPr="00E678E8" w:rsidRDefault="00A23227" w:rsidP="009C1018">
      <w:pPr>
        <w:pStyle w:val="ListBulletLevel2"/>
      </w:pPr>
      <w:r>
        <w:t>O</w:t>
      </w:r>
      <w:r w:rsidR="00DC6955">
        <w:t xml:space="preserve">ne GA officer </w:t>
      </w:r>
      <w:r>
        <w:t xml:space="preserve">was </w:t>
      </w:r>
      <w:r w:rsidR="00DC6955">
        <w:t>based at the Menara Thamrin office in Jakarta under an extended short-term-mission.</w:t>
      </w:r>
      <w:r>
        <w:t xml:space="preserve"> Remaining GA </w:t>
      </w:r>
      <w:r w:rsidRPr="00A23227">
        <w:t xml:space="preserve">officers </w:t>
      </w:r>
      <w:r>
        <w:t>(</w:t>
      </w:r>
      <w:r w:rsidRPr="00E678E8">
        <w:t xml:space="preserve">up to </w:t>
      </w:r>
      <w:r>
        <w:t xml:space="preserve">four </w:t>
      </w:r>
      <w:r w:rsidRPr="00E678E8">
        <w:t>full-time-equivalents</w:t>
      </w:r>
      <w:r>
        <w:t>) supported the program from</w:t>
      </w:r>
      <w:r w:rsidR="00DC6955" w:rsidRPr="00A23227">
        <w:t xml:space="preserve"> Canberra</w:t>
      </w:r>
      <w:r w:rsidR="00DC6955">
        <w:t xml:space="preserve"> </w:t>
      </w:r>
      <w:r>
        <w:t>taking</w:t>
      </w:r>
      <w:r w:rsidR="00DC6955" w:rsidRPr="00E678E8">
        <w:t xml:space="preserve"> short-term missions as needed.</w:t>
      </w:r>
    </w:p>
    <w:p w14:paraId="4EB1BA27" w14:textId="77777777" w:rsidR="00DC6955" w:rsidRPr="00E678E8" w:rsidRDefault="00A23227" w:rsidP="009C1018">
      <w:pPr>
        <w:pStyle w:val="ListBulletLevel2"/>
      </w:pPr>
      <w:r>
        <w:t xml:space="preserve">Locally engaged, Indonesian </w:t>
      </w:r>
      <w:r w:rsidR="00DC6955">
        <w:t>contractors working from the Menara Thamrin office</w:t>
      </w:r>
      <w:r>
        <w:t xml:space="preserve"> in Jakarta</w:t>
      </w:r>
      <w:r w:rsidR="00DC6955">
        <w:t xml:space="preserve">. </w:t>
      </w:r>
    </w:p>
    <w:p w14:paraId="133F49C8" w14:textId="77777777" w:rsidR="00DC6955" w:rsidRDefault="00DC6955" w:rsidP="009C1018">
      <w:pPr>
        <w:pStyle w:val="ListBulletLevel2"/>
      </w:pPr>
      <w:r w:rsidRPr="00E678E8">
        <w:t>NGOs, universities and private sector organisations that are directly engaged by DFAT and managed in partnership with GA.</w:t>
      </w:r>
    </w:p>
    <w:p w14:paraId="7DFE2870" w14:textId="2C6A79DC" w:rsidR="00DC6955" w:rsidRPr="00DC6955" w:rsidRDefault="00DC6955" w:rsidP="009C1018">
      <w:pPr>
        <w:pStyle w:val="ListNumberedLevel1"/>
      </w:pPr>
      <w:r>
        <w:t>D</w:t>
      </w:r>
      <w:r w:rsidRPr="00DC6955">
        <w:t xml:space="preserve">eployment of </w:t>
      </w:r>
      <w:r w:rsidR="00F42E88">
        <w:t xml:space="preserve">GA </w:t>
      </w:r>
      <w:r w:rsidRPr="00DC6955">
        <w:t>in-country officers - October 2014</w:t>
      </w:r>
      <w:r>
        <w:t xml:space="preserve"> to June 2017</w:t>
      </w:r>
    </w:p>
    <w:p w14:paraId="1A624607" w14:textId="77777777" w:rsidR="00DC6955" w:rsidRDefault="00A23227" w:rsidP="009C1018">
      <w:pPr>
        <w:pStyle w:val="ListBulletLevel2"/>
      </w:pPr>
      <w:r>
        <w:t xml:space="preserve">Two </w:t>
      </w:r>
      <w:r w:rsidR="00DC6955">
        <w:t xml:space="preserve">GA officers </w:t>
      </w:r>
      <w:r w:rsidR="00DC6955" w:rsidRPr="00E678E8">
        <w:t>deployed</w:t>
      </w:r>
      <w:r w:rsidR="00DC6955">
        <w:t xml:space="preserve"> under the Whole of Government Posting Arrangements and working from the Menara Thamrin Office in Jakarta</w:t>
      </w:r>
      <w:r w:rsidR="00560E60">
        <w:t>.</w:t>
      </w:r>
    </w:p>
    <w:p w14:paraId="47253F67" w14:textId="77777777" w:rsidR="00A23227" w:rsidRDefault="00A23227" w:rsidP="009C1018">
      <w:pPr>
        <w:pStyle w:val="ListBulletLevel2"/>
      </w:pPr>
      <w:r>
        <w:t>T</w:t>
      </w:r>
      <w:r w:rsidR="00DC6955" w:rsidRPr="00E678E8">
        <w:t xml:space="preserve">wo full-time-equivalents of GA technical specialists </w:t>
      </w:r>
      <w:r w:rsidR="004B147F" w:rsidRPr="00E678E8">
        <w:t>who partner</w:t>
      </w:r>
      <w:r w:rsidR="004B147F">
        <w:t>ed</w:t>
      </w:r>
      <w:r w:rsidR="004B147F" w:rsidRPr="00E678E8">
        <w:t xml:space="preserve"> remotely and </w:t>
      </w:r>
      <w:r w:rsidR="004B147F">
        <w:t>took</w:t>
      </w:r>
      <w:r w:rsidR="004B147F" w:rsidRPr="00E678E8">
        <w:t xml:space="preserve"> short-term missions as needed</w:t>
      </w:r>
      <w:r w:rsidR="00560E60">
        <w:t>.</w:t>
      </w:r>
      <w:r w:rsidR="004B147F" w:rsidRPr="00E678E8">
        <w:t xml:space="preserve"> </w:t>
      </w:r>
    </w:p>
    <w:p w14:paraId="7AFE297B" w14:textId="77777777" w:rsidR="00A23227" w:rsidRPr="00E678E8" w:rsidRDefault="00A23227" w:rsidP="009C1018">
      <w:pPr>
        <w:pStyle w:val="ListBulletLevel2"/>
      </w:pPr>
      <w:r>
        <w:t xml:space="preserve">Locally engaged, Indonesian contractors working from the Menara Thamrin office in Jakarta. </w:t>
      </w:r>
    </w:p>
    <w:p w14:paraId="038A5670" w14:textId="77777777" w:rsidR="00DC6955" w:rsidRDefault="00DC6955" w:rsidP="009C1018">
      <w:pPr>
        <w:pStyle w:val="ListBulletLevel2"/>
      </w:pPr>
      <w:r w:rsidRPr="00E678E8">
        <w:t>NGOs, universities and private sector organisations that are directly engaged by DFAT and managed in partnership with GA.</w:t>
      </w:r>
    </w:p>
    <w:p w14:paraId="6D22B8D0" w14:textId="0BD1B0A9" w:rsidR="00DC6955" w:rsidRPr="00DC6955" w:rsidRDefault="00DC6955" w:rsidP="009C1018">
      <w:pPr>
        <w:pStyle w:val="ListNumberedLevel1"/>
      </w:pPr>
      <w:r>
        <w:t>Post D</w:t>
      </w:r>
      <w:r w:rsidRPr="00DC6955">
        <w:t xml:space="preserve">eployment of </w:t>
      </w:r>
      <w:r w:rsidR="00F42E88">
        <w:t xml:space="preserve">GA </w:t>
      </w:r>
      <w:r w:rsidRPr="00DC6955">
        <w:t xml:space="preserve">in-country officers - </w:t>
      </w:r>
      <w:r>
        <w:t>July 2017 to June 2018</w:t>
      </w:r>
    </w:p>
    <w:p w14:paraId="6818F141" w14:textId="77777777" w:rsidR="00DC6955" w:rsidRPr="00E678E8" w:rsidRDefault="00A23227" w:rsidP="009C1018">
      <w:pPr>
        <w:pStyle w:val="ListBulletLevel2"/>
      </w:pPr>
      <w:r w:rsidRPr="00A23227">
        <w:t xml:space="preserve">All </w:t>
      </w:r>
      <w:r w:rsidR="00DC6955" w:rsidRPr="00A23227">
        <w:t>GA officers based in Canberra</w:t>
      </w:r>
      <w:r w:rsidR="00DC6955">
        <w:t xml:space="preserve"> </w:t>
      </w:r>
      <w:r>
        <w:t>(</w:t>
      </w:r>
      <w:r w:rsidR="00DC6955">
        <w:t xml:space="preserve">3.5 </w:t>
      </w:r>
      <w:r w:rsidR="00DC6955" w:rsidRPr="00E678E8">
        <w:t>full-time-equivalents</w:t>
      </w:r>
      <w:r>
        <w:t>)</w:t>
      </w:r>
      <w:r w:rsidR="004B147F" w:rsidRPr="00E678E8">
        <w:t xml:space="preserve"> partner</w:t>
      </w:r>
      <w:r>
        <w:t>ing</w:t>
      </w:r>
      <w:r w:rsidR="004B147F" w:rsidRPr="00E678E8">
        <w:t xml:space="preserve"> remotely and </w:t>
      </w:r>
      <w:r>
        <w:t>taking</w:t>
      </w:r>
      <w:r w:rsidR="004B147F" w:rsidRPr="00E678E8">
        <w:t xml:space="preserve"> short-term missions as needed</w:t>
      </w:r>
      <w:r w:rsidR="00560E60">
        <w:t>.</w:t>
      </w:r>
    </w:p>
    <w:p w14:paraId="1FEC47D2" w14:textId="77777777" w:rsidR="00A23227" w:rsidRPr="00E678E8" w:rsidRDefault="00A23227" w:rsidP="009C1018">
      <w:pPr>
        <w:pStyle w:val="ListBulletLevel2"/>
      </w:pPr>
      <w:r>
        <w:t xml:space="preserve">Locally engaged, Indonesian contractors working from the Menara Thamrin office in Jakarta. </w:t>
      </w:r>
    </w:p>
    <w:p w14:paraId="468C0AC5" w14:textId="77777777" w:rsidR="00DC6955" w:rsidRDefault="00DC6955" w:rsidP="009C1018">
      <w:pPr>
        <w:pStyle w:val="ListBulletLevel2"/>
      </w:pPr>
      <w:r w:rsidRPr="00E678E8">
        <w:t>NGOs, universities and private sector organisations that are directly engaged by DFAT and managed in partnership with GA.</w:t>
      </w:r>
    </w:p>
    <w:p w14:paraId="05860C59" w14:textId="77777777" w:rsidR="00A05166" w:rsidRPr="00A05166" w:rsidRDefault="00A05166" w:rsidP="00A05166">
      <w:pPr>
        <w:pStyle w:val="Heading1"/>
      </w:pPr>
      <w:bookmarkStart w:id="11" w:name="_Toc514226290"/>
      <w:bookmarkStart w:id="12" w:name="_Toc524508487"/>
      <w:r w:rsidRPr="00A05166">
        <w:t>Analysis of Program Implementation</w:t>
      </w:r>
      <w:bookmarkEnd w:id="11"/>
      <w:bookmarkEnd w:id="12"/>
    </w:p>
    <w:p w14:paraId="02947193" w14:textId="77777777" w:rsidR="00A05166" w:rsidRDefault="00A05166" w:rsidP="00A05166">
      <w:pPr>
        <w:pStyle w:val="Heading2"/>
      </w:pPr>
      <w:bookmarkStart w:id="13" w:name="_Toc514226291"/>
      <w:bookmarkStart w:id="14" w:name="_Toc524508488"/>
      <w:r>
        <w:t>Relevance</w:t>
      </w:r>
      <w:bookmarkEnd w:id="13"/>
      <w:bookmarkEnd w:id="14"/>
    </w:p>
    <w:p w14:paraId="13D5D392" w14:textId="6FED4D8E" w:rsidR="00B363F1" w:rsidRPr="00713569" w:rsidRDefault="00A05166" w:rsidP="00B363F1">
      <w:pPr>
        <w:pStyle w:val="BodyText"/>
      </w:pPr>
      <w:r w:rsidRPr="00713569">
        <w:t>Indonesia, due to its tectonic position, can experience large-scale disaster</w:t>
      </w:r>
      <w:r w:rsidR="00B363F1">
        <w:t>s</w:t>
      </w:r>
      <w:r w:rsidRPr="00713569">
        <w:t xml:space="preserve"> caused by earthquake, tsunami </w:t>
      </w:r>
      <w:r w:rsidR="00B363F1">
        <w:t>or volcanic eruptions</w:t>
      </w:r>
      <w:r w:rsidRPr="00713569">
        <w:t xml:space="preserve">. Given the population of Indonesia these events </w:t>
      </w:r>
      <w:r w:rsidR="00B363F1">
        <w:t>can</w:t>
      </w:r>
      <w:r w:rsidRPr="00713569">
        <w:t xml:space="preserve"> be catastrophic. The </w:t>
      </w:r>
      <w:r w:rsidR="00B363F1">
        <w:t>GA led activities</w:t>
      </w:r>
      <w:r w:rsidRPr="00713569">
        <w:t xml:space="preserve"> promote</w:t>
      </w:r>
      <w:r w:rsidR="003A78B4" w:rsidRPr="00713569">
        <w:t>d</w:t>
      </w:r>
      <w:r w:rsidRPr="00713569">
        <w:t xml:space="preserve"> the use of credible science in planning and </w:t>
      </w:r>
      <w:r w:rsidR="005C567A" w:rsidRPr="00713569">
        <w:t>mitigat</w:t>
      </w:r>
      <w:r w:rsidR="005C567A">
        <w:t>ion</w:t>
      </w:r>
      <w:r w:rsidR="005C08EB">
        <w:t xml:space="preserve"> </w:t>
      </w:r>
      <w:r w:rsidRPr="00713569">
        <w:t xml:space="preserve">against these types of disaster through targeted collaborations and capacity building workshops. </w:t>
      </w:r>
      <w:r w:rsidR="00B363F1">
        <w:t xml:space="preserve">In doing so, GA </w:t>
      </w:r>
      <w:r w:rsidR="00416AAF">
        <w:t xml:space="preserve">has </w:t>
      </w:r>
      <w:r w:rsidR="005C567A">
        <w:t>positively</w:t>
      </w:r>
      <w:r w:rsidR="00B363F1">
        <w:t xml:space="preserve"> impact</w:t>
      </w:r>
      <w:r w:rsidR="00416AAF">
        <w:t>ed</w:t>
      </w:r>
      <w:r w:rsidR="00B363F1">
        <w:t xml:space="preserve"> o</w:t>
      </w:r>
      <w:r w:rsidR="005C08EB">
        <w:t>n</w:t>
      </w:r>
      <w:r w:rsidR="00B363F1">
        <w:t xml:space="preserve"> outcomes of the Australian</w:t>
      </w:r>
      <w:r w:rsidR="00B363F1" w:rsidRPr="00713569">
        <w:t xml:space="preserve"> Development Program by strengthening Indonesia’s </w:t>
      </w:r>
      <w:r w:rsidR="00B363F1">
        <w:t>capacity</w:t>
      </w:r>
      <w:r w:rsidR="00B363F1" w:rsidRPr="00713569">
        <w:t xml:space="preserve"> to respond to a large-scale humanitarian crisis through </w:t>
      </w:r>
      <w:r w:rsidR="00B363F1">
        <w:t xml:space="preserve">increasing the use of evidence in </w:t>
      </w:r>
      <w:r w:rsidR="00B363F1" w:rsidRPr="00713569">
        <w:t xml:space="preserve">disaster management decisions. </w:t>
      </w:r>
      <w:r w:rsidR="00B363F1">
        <w:t xml:space="preserve">Moreover, GA has supported </w:t>
      </w:r>
      <w:r w:rsidR="00B363F1" w:rsidRPr="00713569">
        <w:t xml:space="preserve">Australia’s national interest </w:t>
      </w:r>
      <w:r w:rsidR="00B363F1">
        <w:t>by investing in ne</w:t>
      </w:r>
      <w:r w:rsidR="00C75C4D">
        <w:t xml:space="preserve">w </w:t>
      </w:r>
      <w:r w:rsidR="00416AAF">
        <w:t xml:space="preserve">policies, procedures and support </w:t>
      </w:r>
      <w:r w:rsidR="00C75C4D">
        <w:t xml:space="preserve">systems, </w:t>
      </w:r>
      <w:r w:rsidR="00416AAF">
        <w:t xml:space="preserve">to </w:t>
      </w:r>
      <w:r w:rsidR="00B363F1">
        <w:t xml:space="preserve">reduce the impact of disasters and </w:t>
      </w:r>
      <w:r w:rsidR="00B363F1" w:rsidRPr="00713569">
        <w:t>contribute to sustainable growth and poverty reduction</w:t>
      </w:r>
      <w:r w:rsidR="00B363F1">
        <w:t xml:space="preserve"> </w:t>
      </w:r>
      <w:r w:rsidR="00416AAF">
        <w:t>in Indonesia</w:t>
      </w:r>
      <w:r w:rsidR="0033114B">
        <w:t xml:space="preserve">. These are </w:t>
      </w:r>
      <w:r w:rsidR="00416AAF">
        <w:t>key</w:t>
      </w:r>
      <w:r w:rsidR="00B363F1" w:rsidRPr="00713569">
        <w:t xml:space="preserve"> components of the </w:t>
      </w:r>
      <w:r w:rsidR="00B363F1">
        <w:t xml:space="preserve">Australian Government’s Aid Investment Plan. </w:t>
      </w:r>
      <w:r w:rsidR="00742079">
        <w:t xml:space="preserve">The following </w:t>
      </w:r>
      <w:r w:rsidR="0033114B">
        <w:t>paragraphs</w:t>
      </w:r>
      <w:r w:rsidR="00742079">
        <w:t xml:space="preserve"> demonstrate through examples how the program outcomes have been </w:t>
      </w:r>
      <w:r w:rsidR="005C567A">
        <w:t>highly</w:t>
      </w:r>
      <w:r w:rsidR="00742079">
        <w:t xml:space="preserve"> relevant to the GoI in reducing community risk for each of the key hazards; earthquake, volcano and tsunami. </w:t>
      </w:r>
    </w:p>
    <w:p w14:paraId="281DAE0D" w14:textId="0EB16DC0" w:rsidR="00296D70" w:rsidRPr="00296D70" w:rsidRDefault="00296D70" w:rsidP="007B71C1">
      <w:pPr>
        <w:pStyle w:val="BodyText"/>
        <w:rPr>
          <w:b/>
        </w:rPr>
      </w:pPr>
      <w:r w:rsidRPr="00296D70">
        <w:rPr>
          <w:b/>
        </w:rPr>
        <w:t>Earthquake hazard</w:t>
      </w:r>
    </w:p>
    <w:p w14:paraId="555B0E35" w14:textId="38E6F0D2" w:rsidR="005A5BCD" w:rsidRDefault="00742079" w:rsidP="007B71C1">
      <w:pPr>
        <w:pStyle w:val="BodyText"/>
      </w:pPr>
      <w:r>
        <w:t>One way to</w:t>
      </w:r>
      <w:r w:rsidR="00A05166" w:rsidRPr="00713569">
        <w:t xml:space="preserve"> reduce fatalities </w:t>
      </w:r>
      <w:r w:rsidR="007B71C1">
        <w:t xml:space="preserve">from earthquakes </w:t>
      </w:r>
      <w:r w:rsidR="00A05166" w:rsidRPr="00713569">
        <w:t xml:space="preserve">that has proven effective is to improve construction practices through the development of a building code that reliably addresses the level of hazard. </w:t>
      </w:r>
      <w:r w:rsidR="007B71C1">
        <w:t>The new earthquake hazard map will contribute directly to new building codes for buildings, and infrastructure such as road, power generation facilities, airports and ports</w:t>
      </w:r>
      <w:r w:rsidR="00A05166" w:rsidRPr="00713569">
        <w:t xml:space="preserve">. </w:t>
      </w:r>
      <w:r w:rsidR="005A5BCD">
        <w:t xml:space="preserve">This work is currently being undertaken by the same community that </w:t>
      </w:r>
      <w:r w:rsidR="00296D70">
        <w:t xml:space="preserve">DMInnovation </w:t>
      </w:r>
      <w:r w:rsidR="005A5BCD">
        <w:t>have up-skilled and is being coordinated under the governance structures of PuSGe</w:t>
      </w:r>
      <w:r w:rsidR="00FE4FE6">
        <w:t xml:space="preserve">N as designed in this program. </w:t>
      </w:r>
      <w:r w:rsidR="007B71C1" w:rsidRPr="007B71C1">
        <w:t xml:space="preserve">Furthermore, the existence of a national seismic hazard map is the foundation for future work </w:t>
      </w:r>
      <w:r w:rsidR="005A5BCD">
        <w:t xml:space="preserve">to improve Indonesia’s understanding of </w:t>
      </w:r>
      <w:r w:rsidR="007B71C1" w:rsidRPr="007B71C1">
        <w:t xml:space="preserve">seismic hazard </w:t>
      </w:r>
    </w:p>
    <w:p w14:paraId="7607377A" w14:textId="26D26F01" w:rsidR="007B71C1" w:rsidRDefault="007B71C1" w:rsidP="007B71C1">
      <w:pPr>
        <w:pStyle w:val="BodyText"/>
      </w:pPr>
      <w:r>
        <w:t xml:space="preserve">The </w:t>
      </w:r>
      <w:r w:rsidR="007335BB">
        <w:t xml:space="preserve">InaSAFE Realtime </w:t>
      </w:r>
      <w:r>
        <w:t xml:space="preserve">earthquake </w:t>
      </w:r>
      <w:r w:rsidR="005A5BCD">
        <w:t>system provides a forecast of impact directly into BNPB’s operation centre within minutes</w:t>
      </w:r>
      <w:r w:rsidR="00DD5A35">
        <w:t xml:space="preserve"> of an earthquake. This means reliable evidence based information on the scale of the disaster is delivered to decision makers faster when compared to traditional information gathering techniques that can take hours or days in remote communities. This information, delivered through </w:t>
      </w:r>
      <w:r>
        <w:t>In</w:t>
      </w:r>
      <w:r w:rsidR="004511B2">
        <w:t>aSAFE R</w:t>
      </w:r>
      <w:r>
        <w:t>ealtime</w:t>
      </w:r>
      <w:r w:rsidR="00DD5A35">
        <w:t>,</w:t>
      </w:r>
      <w:r>
        <w:t xml:space="preserve"> </w:t>
      </w:r>
      <w:r w:rsidR="00DD5A35">
        <w:t xml:space="preserve">is </w:t>
      </w:r>
      <w:r>
        <w:t>relevant to the Indonesia</w:t>
      </w:r>
      <w:r w:rsidR="00DD5A35">
        <w:t>n</w:t>
      </w:r>
      <w:r>
        <w:t xml:space="preserve"> disaster manage</w:t>
      </w:r>
      <w:r w:rsidR="004511B2">
        <w:t>me</w:t>
      </w:r>
      <w:r>
        <w:t xml:space="preserve">nt community </w:t>
      </w:r>
      <w:r w:rsidR="00DD5A35">
        <w:t xml:space="preserve">who used the system during their </w:t>
      </w:r>
      <w:r>
        <w:t xml:space="preserve">response to the </w:t>
      </w:r>
      <w:r w:rsidRPr="00BD299D">
        <w:t>Magnitude 6.5, 7 December 2016 Pidie Earthquake</w:t>
      </w:r>
      <w:r>
        <w:t>.</w:t>
      </w:r>
      <w:r w:rsidR="005A5BCD">
        <w:t xml:space="preserve"> </w:t>
      </w:r>
    </w:p>
    <w:p w14:paraId="01A4AE69" w14:textId="47CC20D6" w:rsidR="00296D70" w:rsidRPr="00296D70" w:rsidRDefault="00296D70" w:rsidP="00A05166">
      <w:pPr>
        <w:pStyle w:val="BodyText"/>
        <w:rPr>
          <w:b/>
        </w:rPr>
      </w:pPr>
      <w:r w:rsidRPr="00296D70">
        <w:rPr>
          <w:b/>
        </w:rPr>
        <w:t>Volcano hazard</w:t>
      </w:r>
    </w:p>
    <w:p w14:paraId="0DE842ED" w14:textId="75FC6374" w:rsidR="009B50D7" w:rsidRDefault="00A05166" w:rsidP="00A05166">
      <w:pPr>
        <w:pStyle w:val="BodyText"/>
      </w:pPr>
      <w:r w:rsidRPr="00713569">
        <w:t>Indonesia has over 130 active volcanoes</w:t>
      </w:r>
      <w:r w:rsidR="007C07B3">
        <w:t xml:space="preserve">. Past experience </w:t>
      </w:r>
      <w:r w:rsidRPr="00713569">
        <w:t>has proven that monitoring and issuing warnings of eruption</w:t>
      </w:r>
      <w:r w:rsidR="007335BB">
        <w:t>s</w:t>
      </w:r>
      <w:r w:rsidRPr="00713569">
        <w:t xml:space="preserve"> can save lives. The next step for Indonesia is planning for the impacts on livelihoods from eruptions. The volcanic hazard with the biggest spatio-temporal impact is that </w:t>
      </w:r>
      <w:r w:rsidR="007B71C1">
        <w:t xml:space="preserve">of volcanic ash fall. The </w:t>
      </w:r>
      <w:r w:rsidR="00C10CF2">
        <w:t>DMInnovation</w:t>
      </w:r>
      <w:r w:rsidR="007B71C1">
        <w:t xml:space="preserve"> volcanic ash-fall </w:t>
      </w:r>
      <w:r w:rsidR="00C10CF2">
        <w:t xml:space="preserve">project </w:t>
      </w:r>
      <w:r w:rsidR="007B71C1">
        <w:t xml:space="preserve">has created new capacity within Indonesia to ascertain and forecast the impact of ash-fall in real-time </w:t>
      </w:r>
      <w:r w:rsidR="007335BB">
        <w:t xml:space="preserve">to understand the </w:t>
      </w:r>
      <w:r w:rsidRPr="00713569">
        <w:t xml:space="preserve">impact on airports, agriculture and water supply as well as population. </w:t>
      </w:r>
      <w:r w:rsidR="007335BB">
        <w:t xml:space="preserve">Badan Geologi is delivering this information through InaSAFE Realtime which is directly informing the planning and response activities of BNPB. </w:t>
      </w:r>
    </w:p>
    <w:p w14:paraId="4A302337" w14:textId="33C3C06F" w:rsidR="005449E3" w:rsidRDefault="005449E3">
      <w:pPr>
        <w:rPr>
          <w:color w:val="auto"/>
        </w:rPr>
      </w:pPr>
      <w:r>
        <w:br w:type="page"/>
      </w:r>
    </w:p>
    <w:p w14:paraId="77BA38CA" w14:textId="77777777" w:rsidR="005449E3" w:rsidRDefault="005449E3" w:rsidP="00A05166">
      <w:pPr>
        <w:pStyle w:val="BodyText"/>
      </w:pPr>
    </w:p>
    <w:p w14:paraId="5E7ECD61" w14:textId="7D149385" w:rsidR="00296D70" w:rsidRPr="00296D70" w:rsidRDefault="00296D70" w:rsidP="00A05166">
      <w:pPr>
        <w:pStyle w:val="BodyText"/>
        <w:rPr>
          <w:b/>
        </w:rPr>
      </w:pPr>
      <w:r w:rsidRPr="00296D70">
        <w:rPr>
          <w:b/>
        </w:rPr>
        <w:t>Tsunami hazard</w:t>
      </w:r>
    </w:p>
    <w:p w14:paraId="7A6C7CC8" w14:textId="4199F990" w:rsidR="005A5BCD" w:rsidRDefault="00A05166" w:rsidP="00A05166">
      <w:pPr>
        <w:pStyle w:val="BodyText"/>
      </w:pPr>
      <w:r w:rsidRPr="001446B4">
        <w:t xml:space="preserve">Indonesia has experienced large and devastating tsunami in the past and has a significant coastline exposed. Tsunami warning times in Indonesia can be as little as 20 minutes. Thus, it is important to have both an up-to-date warning system which is easy to use, and local scale hazard maps that </w:t>
      </w:r>
      <w:r w:rsidR="007335BB">
        <w:t>facilitate evidence based</w:t>
      </w:r>
      <w:r w:rsidRPr="001446B4">
        <w:t xml:space="preserve"> contingency planning. The focus of </w:t>
      </w:r>
      <w:r w:rsidR="009B50D7">
        <w:t>GA’s</w:t>
      </w:r>
      <w:r w:rsidRPr="001446B4">
        <w:t xml:space="preserve"> two pronged </w:t>
      </w:r>
      <w:r w:rsidR="009B50D7">
        <w:t xml:space="preserve">approach </w:t>
      </w:r>
      <w:r w:rsidRPr="001446B4">
        <w:t xml:space="preserve">– updating the warning system </w:t>
      </w:r>
      <w:r w:rsidR="009B50D7">
        <w:t xml:space="preserve">and enhancing capability for inundation modelling – has ensured that Indonesia is better placed </w:t>
      </w:r>
      <w:r w:rsidR="00C75C4D">
        <w:t>than</w:t>
      </w:r>
      <w:r w:rsidR="009B50D7">
        <w:t xml:space="preserve"> ever before to manage the ever present risk of tsunami impacting Indonesian coastal communities.</w:t>
      </w:r>
      <w:r w:rsidR="007335BB">
        <w:t xml:space="preserve"> Tsunami contingency and evacuation plans are now routinely based on evidence from tsunami hazard maps and tsunami warnings in eastern Indonesia are more accurate with less false warnings. </w:t>
      </w:r>
    </w:p>
    <w:p w14:paraId="145928D9" w14:textId="22704B73" w:rsidR="005A5BCD" w:rsidRDefault="005A5BCD" w:rsidP="005A5BCD">
      <w:pPr>
        <w:pStyle w:val="BodyText"/>
      </w:pPr>
      <w:r w:rsidRPr="001446B4">
        <w:t xml:space="preserve">Underpinning all hazard and </w:t>
      </w:r>
      <w:r>
        <w:t xml:space="preserve">risk </w:t>
      </w:r>
      <w:r w:rsidRPr="001446B4">
        <w:t xml:space="preserve">products is spatial data. </w:t>
      </w:r>
      <w:r>
        <w:t>S</w:t>
      </w:r>
      <w:r w:rsidRPr="001446B4">
        <w:t>patial data and technologies</w:t>
      </w:r>
      <w:r>
        <w:t>, including understanding the spatial footprints of hazards,</w:t>
      </w:r>
      <w:r w:rsidRPr="001446B4">
        <w:t xml:space="preserve"> </w:t>
      </w:r>
      <w:r>
        <w:t xml:space="preserve">are </w:t>
      </w:r>
      <w:r w:rsidRPr="001446B4">
        <w:t xml:space="preserve">highly relevant for GoI to </w:t>
      </w:r>
      <w:r>
        <w:t xml:space="preserve">implement </w:t>
      </w:r>
      <w:r w:rsidRPr="001446B4">
        <w:t xml:space="preserve">international </w:t>
      </w:r>
      <w:r>
        <w:t xml:space="preserve">initiatives </w:t>
      </w:r>
      <w:r w:rsidRPr="001446B4">
        <w:t xml:space="preserve">and </w:t>
      </w:r>
      <w:r>
        <w:t xml:space="preserve">develop </w:t>
      </w:r>
      <w:r w:rsidRPr="001446B4">
        <w:t xml:space="preserve">national </w:t>
      </w:r>
      <w:r w:rsidR="00071E90">
        <w:t>Disaster Risk Reduction (</w:t>
      </w:r>
      <w:r w:rsidRPr="001446B4">
        <w:t>DRR</w:t>
      </w:r>
      <w:r w:rsidR="00071E90">
        <w:t>)</w:t>
      </w:r>
      <w:r w:rsidRPr="001446B4">
        <w:t xml:space="preserve"> policies. </w:t>
      </w:r>
      <w:r>
        <w:t xml:space="preserve">In 2015, </w:t>
      </w:r>
      <w:r w:rsidRPr="001446B4">
        <w:t>Indonesia ratified the Sendai Framework for Disaster Risk Reduction (</w:t>
      </w:r>
      <w:r>
        <w:t>Sendai</w:t>
      </w:r>
      <w:r w:rsidRPr="001446B4">
        <w:t xml:space="preserve">) 2015-2030 as a platform for </w:t>
      </w:r>
      <w:r>
        <w:t>disaster management</w:t>
      </w:r>
      <w:r w:rsidRPr="001446B4">
        <w:t xml:space="preserve">. In order to implement </w:t>
      </w:r>
      <w:r>
        <w:t>Sendai,</w:t>
      </w:r>
      <w:r w:rsidRPr="001446B4">
        <w:t xml:space="preserve"> </w:t>
      </w:r>
      <w:r>
        <w:t>Indonesia must address the</w:t>
      </w:r>
      <w:r w:rsidRPr="001446B4">
        <w:t xml:space="preserve"> activity of “Understanding Disaster Risk” </w:t>
      </w:r>
      <w:r>
        <w:t>by developing</w:t>
      </w:r>
      <w:r w:rsidRPr="001446B4">
        <w:t xml:space="preserve"> disaster risk information </w:t>
      </w:r>
      <w:r>
        <w:t>for inclusion</w:t>
      </w:r>
      <w:r w:rsidRPr="001446B4">
        <w:t xml:space="preserve"> </w:t>
      </w:r>
      <w:r>
        <w:t>in</w:t>
      </w:r>
      <w:r w:rsidRPr="001446B4">
        <w:t xml:space="preserve"> </w:t>
      </w:r>
      <w:r>
        <w:t xml:space="preserve">the </w:t>
      </w:r>
      <w:r w:rsidRPr="001446B4">
        <w:t xml:space="preserve">policy development </w:t>
      </w:r>
      <w:r>
        <w:t xml:space="preserve">process. This requires </w:t>
      </w:r>
      <w:r w:rsidRPr="001446B4">
        <w:t>geospatial i</w:t>
      </w:r>
      <w:r>
        <w:t xml:space="preserve">nformation technology to generate and disseminate </w:t>
      </w:r>
      <w:r w:rsidRPr="001446B4">
        <w:t>information</w:t>
      </w:r>
      <w:r>
        <w:t>,</w:t>
      </w:r>
      <w:r w:rsidRPr="001446B4">
        <w:t xml:space="preserve"> including </w:t>
      </w:r>
      <w:r>
        <w:t xml:space="preserve">hazard </w:t>
      </w:r>
      <w:r w:rsidRPr="001446B4">
        <w:t xml:space="preserve">maps </w:t>
      </w:r>
      <w:r>
        <w:t xml:space="preserve">and risk assessments </w:t>
      </w:r>
      <w:r w:rsidRPr="001446B4">
        <w:t>to decision makers, the public and communities at risk</w:t>
      </w:r>
      <w:r>
        <w:t>. GA</w:t>
      </w:r>
      <w:r w:rsidRPr="001446B4">
        <w:t xml:space="preserve"> </w:t>
      </w:r>
      <w:r>
        <w:t xml:space="preserve">supported Indonesia to meet these requirements by incorporating spatial data and </w:t>
      </w:r>
      <w:r w:rsidRPr="001446B4">
        <w:t xml:space="preserve">InaSAFE </w:t>
      </w:r>
      <w:r>
        <w:t xml:space="preserve">throughout the disaster </w:t>
      </w:r>
      <w:r w:rsidR="005C567A">
        <w:t>management</w:t>
      </w:r>
      <w:r>
        <w:t xml:space="preserve"> cycle. </w:t>
      </w:r>
      <w:r w:rsidRPr="001446B4">
        <w:t>In addition</w:t>
      </w:r>
      <w:r w:rsidR="007335BB">
        <w:t>,</w:t>
      </w:r>
      <w:r w:rsidRPr="001446B4">
        <w:t xml:space="preserve"> </w:t>
      </w:r>
      <w:r>
        <w:t>GA</w:t>
      </w:r>
      <w:r w:rsidRPr="001446B4">
        <w:t xml:space="preserve"> built capacity </w:t>
      </w:r>
      <w:r>
        <w:t>within Indonesia to</w:t>
      </w:r>
      <w:r w:rsidRPr="001446B4">
        <w:t xml:space="preserve"> collect and store spatial data </w:t>
      </w:r>
      <w:r>
        <w:t xml:space="preserve">by developing their </w:t>
      </w:r>
      <w:r w:rsidRPr="001446B4">
        <w:t>spatial technologies including OSM and InaSAFE.</w:t>
      </w:r>
    </w:p>
    <w:p w14:paraId="47D50FD4" w14:textId="77777777" w:rsidR="00A05166" w:rsidRPr="00CD50DE" w:rsidRDefault="00A05166" w:rsidP="00A05166">
      <w:pPr>
        <w:pStyle w:val="Heading2"/>
      </w:pPr>
      <w:bookmarkStart w:id="15" w:name="_Toc514226292"/>
      <w:bookmarkStart w:id="16" w:name="_Toc524508489"/>
      <w:r w:rsidRPr="00CD50DE">
        <w:t>Sustainability</w:t>
      </w:r>
      <w:bookmarkEnd w:id="15"/>
      <w:r w:rsidR="00AB69A5">
        <w:t>, Ongoing Risks and Constraints</w:t>
      </w:r>
      <w:bookmarkEnd w:id="16"/>
    </w:p>
    <w:p w14:paraId="53CD257C" w14:textId="77777777" w:rsidR="003B2FEE" w:rsidRDefault="009B50D7" w:rsidP="00A05166">
      <w:pPr>
        <w:pStyle w:val="BodyText"/>
      </w:pPr>
      <w:r>
        <w:t xml:space="preserve">A key component of the Phase 3 work period under DMInnovation has been ensuring the sustainability </w:t>
      </w:r>
      <w:r w:rsidR="00D34ADD">
        <w:t>of all GoA intervention</w:t>
      </w:r>
      <w:r w:rsidR="008C6E2C">
        <w:t>s</w:t>
      </w:r>
      <w:r w:rsidR="00D34ADD">
        <w:t xml:space="preserve"> </w:t>
      </w:r>
      <w:r w:rsidR="008C6E2C">
        <w:t>under</w:t>
      </w:r>
      <w:r w:rsidR="00D34ADD">
        <w:t xml:space="preserve"> the science for disaster manage</w:t>
      </w:r>
      <w:r w:rsidR="00C75C4D">
        <w:t>me</w:t>
      </w:r>
      <w:r w:rsidR="00D34ADD">
        <w:t xml:space="preserve">nt </w:t>
      </w:r>
      <w:r w:rsidR="008C6E2C">
        <w:t>collaboration</w:t>
      </w:r>
      <w:r w:rsidR="00D34ADD">
        <w:t xml:space="preserve">. </w:t>
      </w:r>
    </w:p>
    <w:p w14:paraId="0023EE5A" w14:textId="7DC4C490" w:rsidR="004A2C1D" w:rsidRDefault="004A2C1D" w:rsidP="004A2C1D">
      <w:pPr>
        <w:pStyle w:val="BodyText"/>
      </w:pPr>
      <w:r>
        <w:t xml:space="preserve">The single most important factor influencing the ongoing risk to </w:t>
      </w:r>
      <w:r w:rsidR="00C75C4D">
        <w:t>sustainability</w:t>
      </w:r>
      <w:r>
        <w:t xml:space="preserve"> is</w:t>
      </w:r>
      <w:r w:rsidRPr="00CF0AC1">
        <w:t xml:space="preserve"> turnover of staff within GoI partner agencies. This turnover </w:t>
      </w:r>
      <w:r>
        <w:t>is often</w:t>
      </w:r>
      <w:r w:rsidRPr="00CF0AC1">
        <w:t xml:space="preserve"> due to internal agency restructuring and appointment of </w:t>
      </w:r>
      <w:r>
        <w:t xml:space="preserve">trained GoI </w:t>
      </w:r>
      <w:r w:rsidRPr="00CF0AC1">
        <w:t>staff</w:t>
      </w:r>
      <w:r>
        <w:t xml:space="preserve"> to new</w:t>
      </w:r>
      <w:r w:rsidR="00E070AD">
        <w:t xml:space="preserve"> </w:t>
      </w:r>
      <w:r>
        <w:t xml:space="preserve">roles. There were many instances across the 10-year collaboration where staff </w:t>
      </w:r>
      <w:r w:rsidR="00C75C4D">
        <w:t>transfers</w:t>
      </w:r>
      <w:r>
        <w:t xml:space="preserve"> impacted ongoing activities requiring GA to assist in reskilling new staff</w:t>
      </w:r>
      <w:r w:rsidRPr="00CF0AC1">
        <w:t xml:space="preserve">. </w:t>
      </w:r>
      <w:bookmarkStart w:id="17" w:name="_Toc514226302"/>
      <w:r w:rsidRPr="004A2C1D">
        <w:t xml:space="preserve">For example, an agency reshuffle in 2016 at </w:t>
      </w:r>
      <w:r w:rsidR="00C334F2">
        <w:t>BG</w:t>
      </w:r>
      <w:r w:rsidRPr="004A2C1D">
        <w:t xml:space="preserve"> </w:t>
      </w:r>
      <w:r>
        <w:t>led to the reassignment of</w:t>
      </w:r>
      <w:r w:rsidR="00C334F2">
        <w:t xml:space="preserve"> </w:t>
      </w:r>
      <w:r>
        <w:t xml:space="preserve">critical volcano staff to the landslide division </w:t>
      </w:r>
      <w:r w:rsidR="00681A19">
        <w:t>without consideration of peer-to-peer</w:t>
      </w:r>
      <w:r>
        <w:t xml:space="preserve"> handover </w:t>
      </w:r>
      <w:r w:rsidR="00C334F2">
        <w:t xml:space="preserve">or </w:t>
      </w:r>
      <w:r>
        <w:t xml:space="preserve">training </w:t>
      </w:r>
      <w:r w:rsidR="00C334F2">
        <w:t>of</w:t>
      </w:r>
      <w:r w:rsidR="004511B2">
        <w:t xml:space="preserve"> </w:t>
      </w:r>
      <w:r>
        <w:t xml:space="preserve">new staff coming into the volcano </w:t>
      </w:r>
      <w:r w:rsidR="00C75C4D">
        <w:t>division</w:t>
      </w:r>
      <w:r>
        <w:t xml:space="preserve">. </w:t>
      </w:r>
      <w:r w:rsidRPr="004A2C1D">
        <w:t xml:space="preserve">This, combined with substantial changes to the </w:t>
      </w:r>
      <w:r w:rsidR="00C334F2">
        <w:t xml:space="preserve">modelling </w:t>
      </w:r>
      <w:r w:rsidRPr="004A2C1D">
        <w:t xml:space="preserve">code from the developers, meant that Activity </w:t>
      </w:r>
      <w:r w:rsidR="00C334F2">
        <w:t xml:space="preserve">4.4 </w:t>
      </w:r>
      <w:r w:rsidR="004D692A">
        <w:t>had to be</w:t>
      </w:r>
      <w:r w:rsidR="004D692A" w:rsidRPr="004A2C1D">
        <w:t xml:space="preserve"> </w:t>
      </w:r>
      <w:r w:rsidRPr="004A2C1D">
        <w:t xml:space="preserve">redesigned </w:t>
      </w:r>
      <w:r>
        <w:t>by GA to</w:t>
      </w:r>
      <w:r w:rsidRPr="004A2C1D">
        <w:t xml:space="preserve"> </w:t>
      </w:r>
      <w:r w:rsidR="004D692A">
        <w:t>rectify the loss of capability</w:t>
      </w:r>
      <w:r w:rsidRPr="004A2C1D">
        <w:t xml:space="preserve"> in BG </w:t>
      </w:r>
      <w:r w:rsidR="00E070AD">
        <w:t>by training a</w:t>
      </w:r>
      <w:r>
        <w:t xml:space="preserve"> larger group of </w:t>
      </w:r>
      <w:r w:rsidRPr="004A2C1D">
        <w:t>staff</w:t>
      </w:r>
      <w:bookmarkEnd w:id="17"/>
      <w:r>
        <w:t>.</w:t>
      </w:r>
      <w:r w:rsidR="00022452">
        <w:t xml:space="preserve"> Similar issues were encountered with BNPB</w:t>
      </w:r>
      <w:r w:rsidR="00022452" w:rsidRPr="00022452">
        <w:t xml:space="preserve"> </w:t>
      </w:r>
      <w:r w:rsidR="00C75C4D" w:rsidRPr="00022452">
        <w:t>reassigning</w:t>
      </w:r>
      <w:r w:rsidR="00B413BD">
        <w:t xml:space="preserve"> InaSAFE </w:t>
      </w:r>
      <w:r w:rsidR="00022452" w:rsidRPr="00022452">
        <w:t xml:space="preserve">participants </w:t>
      </w:r>
      <w:r w:rsidR="006C1048">
        <w:t>(Activity 2.1)</w:t>
      </w:r>
      <w:r w:rsidR="006C1048" w:rsidRPr="00022452">
        <w:t xml:space="preserve"> </w:t>
      </w:r>
      <w:r w:rsidR="00022452" w:rsidRPr="00022452">
        <w:t xml:space="preserve">to new roles, which impacted the implementation and sustainability of </w:t>
      </w:r>
      <w:r w:rsidR="00681A19">
        <w:t>InaSAFE within BNPB</w:t>
      </w:r>
      <w:r w:rsidR="00022452" w:rsidRPr="00022452">
        <w:t>.</w:t>
      </w:r>
      <w:r>
        <w:t xml:space="preserve"> In the future it </w:t>
      </w:r>
      <w:r w:rsidR="008C6E2C">
        <w:t>will be</w:t>
      </w:r>
      <w:r>
        <w:t xml:space="preserve"> the</w:t>
      </w:r>
      <w:r w:rsidR="008C6E2C">
        <w:t xml:space="preserve"> responsibility of GoI agencies to maintain </w:t>
      </w:r>
      <w:r w:rsidR="00C75C4D">
        <w:t>their own</w:t>
      </w:r>
      <w:r w:rsidR="008C6E2C">
        <w:t xml:space="preserve"> expertise and plan suitable handover and cross training of staff to ensure that key skills and knowledge is maintained in appropriate areas. </w:t>
      </w:r>
    </w:p>
    <w:p w14:paraId="7D7BA02C" w14:textId="214FF199" w:rsidR="003B2FEE" w:rsidRDefault="003B2FEE" w:rsidP="003B2FEE">
      <w:pPr>
        <w:pStyle w:val="BodyText"/>
      </w:pPr>
      <w:r w:rsidRPr="00CF0AC1">
        <w:t xml:space="preserve">Although there </w:t>
      </w:r>
      <w:r>
        <w:t>was</w:t>
      </w:r>
      <w:r w:rsidRPr="00CF0AC1">
        <w:t xml:space="preserve"> consistent and clear communication that the DMInnovation </w:t>
      </w:r>
      <w:r w:rsidR="00B413BD">
        <w:t>p</w:t>
      </w:r>
      <w:r w:rsidR="00B413BD" w:rsidRPr="00CF0AC1">
        <w:t xml:space="preserve">roject </w:t>
      </w:r>
      <w:r>
        <w:t>was ending in June 2018</w:t>
      </w:r>
      <w:r w:rsidRPr="00CF0AC1">
        <w:t xml:space="preserve"> and that there </w:t>
      </w:r>
      <w:r>
        <w:t>was</w:t>
      </w:r>
      <w:r w:rsidRPr="00CF0AC1">
        <w:t xml:space="preserve"> no follow on project, the idea persisted with several stakeholders that the project </w:t>
      </w:r>
      <w:r>
        <w:t>would</w:t>
      </w:r>
      <w:r w:rsidRPr="00CF0AC1">
        <w:t xml:space="preserve"> not end or </w:t>
      </w:r>
      <w:r w:rsidR="004A2C1D">
        <w:t xml:space="preserve">that </w:t>
      </w:r>
      <w:r w:rsidRPr="00CF0AC1">
        <w:t xml:space="preserve">something would replace it. This was constantly managed by GA officers who communicated frequently with partners to </w:t>
      </w:r>
      <w:r>
        <w:t xml:space="preserve">manage these expectations. It is likely that this </w:t>
      </w:r>
      <w:r w:rsidRPr="00CF0AC1">
        <w:t>impacted sustainability</w:t>
      </w:r>
      <w:r>
        <w:t xml:space="preserve"> on some </w:t>
      </w:r>
      <w:r w:rsidR="00681A19">
        <w:t>activities</w:t>
      </w:r>
      <w:r>
        <w:t xml:space="preserve"> (particularly </w:t>
      </w:r>
      <w:r w:rsidR="00681A19">
        <w:t>Activity 2.1</w:t>
      </w:r>
      <w:r>
        <w:t>)</w:t>
      </w:r>
      <w:r w:rsidRPr="00CF0AC1">
        <w:t xml:space="preserve"> as </w:t>
      </w:r>
      <w:r>
        <w:t>ongoing</w:t>
      </w:r>
      <w:r w:rsidRPr="00CF0AC1">
        <w:t xml:space="preserve"> belief </w:t>
      </w:r>
      <w:r>
        <w:t xml:space="preserve">persisted </w:t>
      </w:r>
      <w:r w:rsidRPr="00CF0AC1">
        <w:t xml:space="preserve">that </w:t>
      </w:r>
      <w:r>
        <w:t>the work</w:t>
      </w:r>
      <w:r w:rsidRPr="00CF0AC1">
        <w:t xml:space="preserve"> </w:t>
      </w:r>
      <w:r>
        <w:t>would be continued</w:t>
      </w:r>
      <w:r w:rsidRPr="00CF0AC1">
        <w:t xml:space="preserve"> </w:t>
      </w:r>
      <w:r>
        <w:t>and further support could be accessed from GA into the future</w:t>
      </w:r>
      <w:r w:rsidRPr="00CF0AC1">
        <w:t xml:space="preserve">. Some of this confusion may have been due to </w:t>
      </w:r>
      <w:r w:rsidR="004A2C1D">
        <w:t xml:space="preserve">the long history of collaboration and </w:t>
      </w:r>
      <w:r w:rsidRPr="00CF0AC1">
        <w:t>historical observations from when AIFDR closed and DMInnovation was launched</w:t>
      </w:r>
      <w:r w:rsidR="004A2C1D">
        <w:t>. Furthermore, in</w:t>
      </w:r>
      <w:r w:rsidRPr="00CF0AC1">
        <w:t xml:space="preserve"> at least one instance a partner was left with the impression that their ideas would be adopted following discussions</w:t>
      </w:r>
      <w:r w:rsidR="004A2C1D">
        <w:t xml:space="preserve"> with the DFAT engaged Sector Analysis T</w:t>
      </w:r>
      <w:r w:rsidRPr="00CF0AC1">
        <w:t xml:space="preserve">eam. This may not have been a fault </w:t>
      </w:r>
      <w:r w:rsidR="000418AA" w:rsidRPr="00CF0AC1">
        <w:t xml:space="preserve">attributable </w:t>
      </w:r>
      <w:r w:rsidRPr="00CF0AC1">
        <w:t>to the Sector Analysis process, but this incorrect impression was created nonetheless.</w:t>
      </w:r>
      <w:r>
        <w:t xml:space="preserve"> </w:t>
      </w:r>
    </w:p>
    <w:p w14:paraId="066B788F" w14:textId="12F43F38" w:rsidR="007F7B8C" w:rsidRPr="006A24D0" w:rsidRDefault="007F7B8C" w:rsidP="00681A19">
      <w:pPr>
        <w:pStyle w:val="ListBulletLevel1"/>
        <w:numPr>
          <w:ilvl w:val="0"/>
          <w:numId w:val="0"/>
        </w:numPr>
      </w:pPr>
      <w:r w:rsidRPr="006A24D0">
        <w:t xml:space="preserve">The hazard components of the DMInnovation </w:t>
      </w:r>
      <w:r w:rsidR="00B413BD">
        <w:t>p</w:t>
      </w:r>
      <w:r w:rsidR="00B413BD" w:rsidRPr="006A24D0">
        <w:t xml:space="preserve">roject </w:t>
      </w:r>
      <w:r w:rsidRPr="006A24D0">
        <w:t xml:space="preserve">were by far the most advanced in terms of sustainability, since there has been a long running history of technical engagement across multiple organisations and at multiple levels. In regards to earthquake hazard assessment, release of the new National Earthquake Hazard Map enabled the agencies involved to look for ways to continue working together (e.g. </w:t>
      </w:r>
      <w:r w:rsidR="00C75C4D">
        <w:t>through the establishment of PuS</w:t>
      </w:r>
      <w:r w:rsidRPr="006A24D0">
        <w:t>GeN)</w:t>
      </w:r>
      <w:r>
        <w:t>. T</w:t>
      </w:r>
      <w:r w:rsidRPr="006A24D0">
        <w:t>his capacity within Indonesia is considered sustainable</w:t>
      </w:r>
      <w:r w:rsidR="0047452F">
        <w:t xml:space="preserve"> by both GoI and GoA</w:t>
      </w:r>
      <w:r w:rsidR="00CD305F">
        <w:t xml:space="preserve">, </w:t>
      </w:r>
      <w:r w:rsidRPr="006A24D0">
        <w:t xml:space="preserve">in terms of numbers of staff that are capable of performing earthquake hazard assessments as well as the access to software, high performance computing (through </w:t>
      </w:r>
      <w:r>
        <w:t>equipment</w:t>
      </w:r>
      <w:r w:rsidR="00C75C4D">
        <w:t xml:space="preserve"> gifted to PuS</w:t>
      </w:r>
      <w:r w:rsidRPr="006A24D0">
        <w:t>GeN)</w:t>
      </w:r>
      <w:r w:rsidR="004D692A">
        <w:t>. C</w:t>
      </w:r>
      <w:r w:rsidRPr="006A24D0">
        <w:t>ollaboration within Indonesia and in the international community through GEM</w:t>
      </w:r>
      <w:r w:rsidR="004D692A">
        <w:t xml:space="preserve"> will also serve to support this capability.</w:t>
      </w:r>
      <w:r w:rsidRPr="006A24D0">
        <w:t xml:space="preserve"> </w:t>
      </w:r>
    </w:p>
    <w:p w14:paraId="63FCB168" w14:textId="1BE97678" w:rsidR="007F7B8C" w:rsidRDefault="000E5BBE" w:rsidP="00681A19">
      <w:pPr>
        <w:pStyle w:val="ListBulletLevel1"/>
        <w:numPr>
          <w:ilvl w:val="0"/>
          <w:numId w:val="0"/>
        </w:numPr>
        <w:spacing w:before="120"/>
      </w:pPr>
      <w:r w:rsidRPr="000E5BBE">
        <w:t xml:space="preserve">Significant effort was put into the development of InaSAFE and the capture of appropriate spatial data, both through the HOT grant and the hazards components of the DMInnovation </w:t>
      </w:r>
      <w:r w:rsidR="00B413BD">
        <w:t>p</w:t>
      </w:r>
      <w:r w:rsidR="00B413BD" w:rsidRPr="000E5BBE">
        <w:t>roject</w:t>
      </w:r>
      <w:r w:rsidRPr="000E5BBE">
        <w:t xml:space="preserve">. </w:t>
      </w:r>
      <w:r w:rsidR="004D692A">
        <w:t xml:space="preserve">However, </w:t>
      </w:r>
      <w:r w:rsidRPr="000E5BBE">
        <w:t xml:space="preserve">technical engagement with the end user BNPB only gained meaningful traction in 2017. </w:t>
      </w:r>
      <w:r w:rsidR="00E44447">
        <w:t>Despite a lower level of maturity for t</w:t>
      </w:r>
      <w:r w:rsidR="0047452F">
        <w:t xml:space="preserve">his engagement, the </w:t>
      </w:r>
      <w:r w:rsidR="005C567A">
        <w:t>program</w:t>
      </w:r>
      <w:r w:rsidR="0047452F">
        <w:t xml:space="preserve"> esta</w:t>
      </w:r>
      <w:r w:rsidR="00E44447">
        <w:t>blished</w:t>
      </w:r>
      <w:r w:rsidR="0047452F">
        <w:t xml:space="preserve"> </w:t>
      </w:r>
      <w:r w:rsidRPr="000E5BBE">
        <w:t>packages of work specifically designed to accelerate the capacity building in BNPB</w:t>
      </w:r>
      <w:r w:rsidR="00E44447">
        <w:t>,</w:t>
      </w:r>
      <w:r w:rsidRPr="000E5BBE">
        <w:t xml:space="preserve"> and to get staff </w:t>
      </w:r>
      <w:r w:rsidR="00E44447">
        <w:t xml:space="preserve">trained to a level </w:t>
      </w:r>
      <w:r w:rsidR="00882A36">
        <w:t>of sustainable proficiency</w:t>
      </w:r>
      <w:r w:rsidR="00E44447">
        <w:t>.</w:t>
      </w:r>
      <w:r w:rsidRPr="000E5BBE">
        <w:t xml:space="preserve"> This was complemented by the gifting of assets and the support to host InaSAFE real</w:t>
      </w:r>
      <w:r w:rsidR="00C75C4D">
        <w:t>-</w:t>
      </w:r>
      <w:r w:rsidRPr="000E5BBE">
        <w:t xml:space="preserve">time and a GeoNode. In the latter part of 2017 there was more “buy-in” from key BNPB staff on the importance of InaSAFE and their </w:t>
      </w:r>
      <w:r w:rsidR="00E44447">
        <w:t xml:space="preserve">wanting to adopt it for their </w:t>
      </w:r>
      <w:r w:rsidRPr="000E5BBE">
        <w:t xml:space="preserve">day to day </w:t>
      </w:r>
      <w:r w:rsidR="00FE4FE6">
        <w:t xml:space="preserve">business. </w:t>
      </w:r>
      <w:r w:rsidRPr="000E5BBE">
        <w:t xml:space="preserve">For detailed information on the risks and constraints of InaSAFE within BNPB please </w:t>
      </w:r>
      <w:r w:rsidR="00116568">
        <w:t>refer to Volume 2.</w:t>
      </w:r>
    </w:p>
    <w:p w14:paraId="702ECA1B" w14:textId="4D02671E" w:rsidR="007517F9" w:rsidRDefault="007517F9" w:rsidP="007B64E1">
      <w:pPr>
        <w:pStyle w:val="Heading3"/>
      </w:pPr>
      <w:bookmarkStart w:id="18" w:name="_Toc524508490"/>
      <w:r>
        <w:t>Program 1</w:t>
      </w:r>
      <w:r w:rsidR="002C51F4">
        <w:t>: Exposure information management and tools</w:t>
      </w:r>
      <w:bookmarkEnd w:id="18"/>
    </w:p>
    <w:p w14:paraId="6C0EBFE7" w14:textId="46328D69" w:rsidR="00084BF3" w:rsidRDefault="00084BF3" w:rsidP="000F74CF">
      <w:pPr>
        <w:pStyle w:val="ListBulletLevel1"/>
        <w:numPr>
          <w:ilvl w:val="0"/>
          <w:numId w:val="0"/>
        </w:numPr>
        <w:ind w:left="312" w:hanging="312"/>
      </w:pPr>
      <w:r>
        <w:t xml:space="preserve">Program 1 had two components: </w:t>
      </w:r>
    </w:p>
    <w:p w14:paraId="113BDAD6" w14:textId="77777777" w:rsidR="00084BF3" w:rsidRDefault="00084BF3" w:rsidP="00084BF3">
      <w:pPr>
        <w:pStyle w:val="ListBulletLevel1"/>
        <w:numPr>
          <w:ilvl w:val="0"/>
          <w:numId w:val="44"/>
        </w:numPr>
      </w:pPr>
      <w:r>
        <w:t>Activity 1.1 designed to enhance the real time information available during flooding in Jakarta (Peta Jakarta)</w:t>
      </w:r>
    </w:p>
    <w:p w14:paraId="284CCAC0" w14:textId="7E364920" w:rsidR="00084BF3" w:rsidRDefault="00084BF3" w:rsidP="00084BF3">
      <w:pPr>
        <w:pStyle w:val="ListBulletLevel1"/>
        <w:numPr>
          <w:ilvl w:val="0"/>
          <w:numId w:val="44"/>
        </w:numPr>
      </w:pPr>
      <w:r>
        <w:t>Activity 1.2: designed to support Disaster Management Innovation through Open Geospatial Data</w:t>
      </w:r>
    </w:p>
    <w:p w14:paraId="03A03B2D" w14:textId="77777777" w:rsidR="00084BF3" w:rsidRDefault="00084BF3" w:rsidP="00084BF3">
      <w:pPr>
        <w:pStyle w:val="ListBulletLevel1"/>
        <w:numPr>
          <w:ilvl w:val="0"/>
          <w:numId w:val="0"/>
        </w:numPr>
        <w:ind w:left="312" w:hanging="312"/>
      </w:pPr>
    </w:p>
    <w:p w14:paraId="350AEC10" w14:textId="7D09E523" w:rsidR="00084BF3" w:rsidRPr="00084BF3" w:rsidRDefault="00084BF3" w:rsidP="00084BF3">
      <w:pPr>
        <w:pStyle w:val="ListBulletLevel1"/>
        <w:numPr>
          <w:ilvl w:val="0"/>
          <w:numId w:val="0"/>
        </w:numPr>
        <w:ind w:left="312" w:hanging="312"/>
        <w:rPr>
          <w:b/>
        </w:rPr>
      </w:pPr>
      <w:r w:rsidRPr="00084BF3">
        <w:rPr>
          <w:b/>
        </w:rPr>
        <w:t xml:space="preserve">Activity 1.1: </w:t>
      </w:r>
    </w:p>
    <w:p w14:paraId="6E8E3318" w14:textId="7AFFDACB" w:rsidR="00084BF3" w:rsidRDefault="00084BF3" w:rsidP="00084BF3">
      <w:pPr>
        <w:pStyle w:val="ListBulletLevel1"/>
        <w:numPr>
          <w:ilvl w:val="0"/>
          <w:numId w:val="0"/>
        </w:numPr>
      </w:pPr>
      <w:r>
        <w:t xml:space="preserve">Peta Jakarta was implemented by DMinnovation grantee the University of Wollongong (UoW). The project involved the analysis of Twitter information to map Jakarta flood footprints in real-time from crowd sourced data. This project implemented a real time flood mapping capability in the Jakarta provincial emergency management centre that continues today and is considered sustainable. Moreover, the USAID now has an active project to replicate this work in other major Indonesia cities including Bandung and Surabaya. This replication to further cities will create a network of capable GoI employees across Indonesia who will continue to maintain the technology and skill base to keep the functionalaity sustainable. </w:t>
      </w:r>
    </w:p>
    <w:p w14:paraId="7F0EFCEC" w14:textId="604B1B33" w:rsidR="00084BF3" w:rsidRDefault="00084BF3" w:rsidP="00084BF3">
      <w:pPr>
        <w:pStyle w:val="ListBulletLevel1"/>
        <w:numPr>
          <w:ilvl w:val="0"/>
          <w:numId w:val="0"/>
        </w:numPr>
        <w:ind w:left="312" w:hanging="312"/>
      </w:pPr>
      <w:r>
        <w:t xml:space="preserve"> </w:t>
      </w:r>
    </w:p>
    <w:p w14:paraId="7FA87635" w14:textId="7CCBD140" w:rsidR="00084BF3" w:rsidRPr="00084BF3" w:rsidRDefault="00084BF3" w:rsidP="00084BF3">
      <w:pPr>
        <w:pStyle w:val="ListBulletLevel1"/>
        <w:numPr>
          <w:ilvl w:val="0"/>
          <w:numId w:val="0"/>
        </w:numPr>
        <w:ind w:left="312" w:hanging="312"/>
        <w:rPr>
          <w:b/>
        </w:rPr>
      </w:pPr>
      <w:r w:rsidRPr="00084BF3">
        <w:rPr>
          <w:b/>
        </w:rPr>
        <w:t xml:space="preserve">Activity 1.2: </w:t>
      </w:r>
    </w:p>
    <w:p w14:paraId="4E0C5A28" w14:textId="77777777" w:rsidR="000F74CF" w:rsidRDefault="000F74CF" w:rsidP="000F74CF">
      <w:pPr>
        <w:pStyle w:val="ListBulletLevel1"/>
        <w:numPr>
          <w:ilvl w:val="0"/>
          <w:numId w:val="0"/>
        </w:numPr>
        <w:ind w:left="312" w:hanging="312"/>
      </w:pPr>
      <w:r>
        <w:t>The following key initiatives were successfully implemented in Indonesia:</w:t>
      </w:r>
    </w:p>
    <w:p w14:paraId="4AEB7D2F" w14:textId="31EB9E0F" w:rsidR="007517F9" w:rsidRDefault="007517F9" w:rsidP="007517F9">
      <w:pPr>
        <w:pStyle w:val="ListBulletLevel1"/>
      </w:pPr>
      <w:r>
        <w:t>Building capacity within BNPB</w:t>
      </w:r>
      <w:r w:rsidR="00084BF3">
        <w:t xml:space="preserve"> </w:t>
      </w:r>
      <w:r w:rsidR="006C1048">
        <w:t>to ensure the national disaster management agency has a critical mass of trained staff in the use of geospatial technologies.</w:t>
      </w:r>
    </w:p>
    <w:p w14:paraId="472E46F2" w14:textId="55B724E6" w:rsidR="007517F9" w:rsidRDefault="007517F9" w:rsidP="007517F9">
      <w:pPr>
        <w:pStyle w:val="ListBulletLevel1"/>
      </w:pPr>
      <w:r>
        <w:t>Establishment of an independent OSM Association in Indonesia</w:t>
      </w:r>
      <w:r w:rsidR="00DA1FA8">
        <w:t xml:space="preserve"> (Perkumpulan OSM Indonesia)</w:t>
      </w:r>
      <w:r w:rsidR="006C1048">
        <w:t xml:space="preserve"> which will continue to support OSM mapping projects into the future and can receive funding directly from GoI agencies. </w:t>
      </w:r>
    </w:p>
    <w:p w14:paraId="556487B5" w14:textId="2522E572" w:rsidR="000F74CF" w:rsidRDefault="000F74CF" w:rsidP="006C1048">
      <w:pPr>
        <w:pStyle w:val="ListBulletLevel1"/>
      </w:pPr>
      <w:r>
        <w:t>Collaboration with BIG and the adoption of OSM as a national standard</w:t>
      </w:r>
      <w:r w:rsidR="006C1048">
        <w:t xml:space="preserve"> for geospatial data to support and endorse OSM use across GoI. </w:t>
      </w:r>
    </w:p>
    <w:p w14:paraId="0CB703C6" w14:textId="46C90355" w:rsidR="000F74CF" w:rsidRDefault="000F74CF" w:rsidP="000F74CF">
      <w:pPr>
        <w:pStyle w:val="ListBulletLevel1"/>
      </w:pPr>
      <w:r>
        <w:t>Creation of YouthMappers Chapters in Universities across Indonesia</w:t>
      </w:r>
      <w:r w:rsidR="006C1048">
        <w:t xml:space="preserve"> to continue to educate the next generation of OSM capable graduates</w:t>
      </w:r>
      <w:r w:rsidR="00E30F1D">
        <w:t>.</w:t>
      </w:r>
    </w:p>
    <w:p w14:paraId="64186E50" w14:textId="587E607F" w:rsidR="000E5BBE" w:rsidRDefault="000F74CF" w:rsidP="007F7B8C">
      <w:pPr>
        <w:pStyle w:val="ListBulletLevel1"/>
        <w:numPr>
          <w:ilvl w:val="0"/>
          <w:numId w:val="0"/>
        </w:numPr>
      </w:pPr>
      <w:r>
        <w:t xml:space="preserve">The achievements of these initiatives </w:t>
      </w:r>
      <w:r w:rsidR="000E5BBE">
        <w:t xml:space="preserve">and the integration of them within the disaster management sector </w:t>
      </w:r>
      <w:r w:rsidR="005C567A">
        <w:t>suggest</w:t>
      </w:r>
      <w:r>
        <w:t xml:space="preserve"> a high likelihood of ongoing and sustainable use of spatial data in </w:t>
      </w:r>
      <w:r w:rsidR="00DA1FA8">
        <w:t xml:space="preserve">the </w:t>
      </w:r>
      <w:r>
        <w:t xml:space="preserve">Indonesian disaster management. In particular: </w:t>
      </w:r>
    </w:p>
    <w:p w14:paraId="184CD36C" w14:textId="34B78497" w:rsidR="007F7B8C" w:rsidRDefault="007F7B8C" w:rsidP="000E5BBE">
      <w:pPr>
        <w:pStyle w:val="ListBulletLevel1"/>
      </w:pPr>
      <w:r w:rsidRPr="00B62258">
        <w:t xml:space="preserve">The use and storage of OSM data in Indonesia has made significant progress towards sustainability. BNPB </w:t>
      </w:r>
      <w:r w:rsidR="000E5BBE">
        <w:t>are</w:t>
      </w:r>
      <w:r w:rsidRPr="00B62258">
        <w:t xml:space="preserve"> familiar with this data and </w:t>
      </w:r>
      <w:r w:rsidR="00A74E16">
        <w:t>its utility</w:t>
      </w:r>
      <w:r w:rsidRPr="00B62258">
        <w:t xml:space="preserve">. </w:t>
      </w:r>
      <w:r w:rsidR="00A74E16">
        <w:t>S</w:t>
      </w:r>
      <w:r w:rsidRPr="00B62258">
        <w:t xml:space="preserve">everal staff in BNPB </w:t>
      </w:r>
      <w:r w:rsidR="00A74E16">
        <w:t>are</w:t>
      </w:r>
      <w:r w:rsidR="00A74E16" w:rsidRPr="00B62258">
        <w:t xml:space="preserve"> </w:t>
      </w:r>
      <w:r w:rsidRPr="00B62258">
        <w:t xml:space="preserve">trained in the capture and use of this data </w:t>
      </w:r>
      <w:r w:rsidR="00A74E16">
        <w:t>as well as having</w:t>
      </w:r>
      <w:r w:rsidRPr="00B62258">
        <w:t xml:space="preserve"> the skills to train others. </w:t>
      </w:r>
      <w:r w:rsidR="00A74E16">
        <w:t xml:space="preserve">For </w:t>
      </w:r>
      <w:r w:rsidR="005C567A">
        <w:t>example</w:t>
      </w:r>
      <w:r w:rsidR="00A74E16">
        <w:t xml:space="preserve">, </w:t>
      </w:r>
      <w:r w:rsidRPr="00B62258">
        <w:t xml:space="preserve">BNPB </w:t>
      </w:r>
      <w:r w:rsidR="00A74E16">
        <w:t>have</w:t>
      </w:r>
      <w:r w:rsidRPr="00B62258">
        <w:t xml:space="preserve"> begun hosting their own mapathons without DMInnovation support (for example, the mapathon held in Bali for Mt Agung). </w:t>
      </w:r>
      <w:r w:rsidR="00A74E16">
        <w:t xml:space="preserve">GA and locally engaged </w:t>
      </w:r>
      <w:r w:rsidR="00A74E16" w:rsidRPr="00B62258">
        <w:t xml:space="preserve">DMInnovation </w:t>
      </w:r>
      <w:r w:rsidR="00A74E16">
        <w:t xml:space="preserve">staff </w:t>
      </w:r>
      <w:r w:rsidR="00A74E16" w:rsidRPr="00B62258">
        <w:t>promote</w:t>
      </w:r>
      <w:r w:rsidR="00A74E16">
        <w:t>d</w:t>
      </w:r>
      <w:r w:rsidR="00A74E16" w:rsidRPr="00B62258">
        <w:t xml:space="preserve"> the benefits </w:t>
      </w:r>
      <w:r w:rsidR="00CD305F">
        <w:t>and</w:t>
      </w:r>
      <w:r w:rsidRPr="00B62258">
        <w:t xml:space="preserve"> limitation</w:t>
      </w:r>
      <w:r w:rsidR="00A74E16">
        <w:t>s</w:t>
      </w:r>
      <w:r w:rsidRPr="00B62258">
        <w:t xml:space="preserve"> of OSM data, </w:t>
      </w:r>
      <w:r w:rsidR="00A74E16">
        <w:t xml:space="preserve">including the </w:t>
      </w:r>
      <w:r w:rsidRPr="00B62258">
        <w:t>integrat</w:t>
      </w:r>
      <w:r w:rsidR="00A74E16">
        <w:t>ion</w:t>
      </w:r>
      <w:r w:rsidRPr="00B62258">
        <w:t xml:space="preserve"> </w:t>
      </w:r>
      <w:r w:rsidR="00A74E16">
        <w:t xml:space="preserve">of </w:t>
      </w:r>
      <w:r w:rsidRPr="00B62258">
        <w:t>OSM data into BIG’s geospatial data workflows.</w:t>
      </w:r>
      <w:r>
        <w:t xml:space="preserve"> </w:t>
      </w:r>
    </w:p>
    <w:p w14:paraId="5657A056" w14:textId="48AB2AF8" w:rsidR="000E5BBE" w:rsidRDefault="000E5BBE" w:rsidP="00DA1FA8">
      <w:pPr>
        <w:pStyle w:val="ListBulletLevel1"/>
      </w:pPr>
      <w:r>
        <w:t xml:space="preserve">The establishment of </w:t>
      </w:r>
      <w:r w:rsidR="00DA1FA8" w:rsidRPr="00DA1FA8">
        <w:t xml:space="preserve">Perkumpulan OSM Indonesia </w:t>
      </w:r>
      <w:r>
        <w:t xml:space="preserve">that can be contracted or </w:t>
      </w:r>
      <w:r w:rsidR="00A74E16">
        <w:t xml:space="preserve">funded </w:t>
      </w:r>
      <w:r>
        <w:t xml:space="preserve">directly means that GoI has a clear pathway </w:t>
      </w:r>
      <w:r w:rsidR="00C75C4D">
        <w:t>for</w:t>
      </w:r>
      <w:r>
        <w:t xml:space="preserve"> accessing </w:t>
      </w:r>
      <w:r w:rsidR="00A74E16">
        <w:t xml:space="preserve">data collection and analysis </w:t>
      </w:r>
      <w:r w:rsidR="00FE4FE6">
        <w:t xml:space="preserve">support as needed. </w:t>
      </w:r>
      <w:r>
        <w:t xml:space="preserve">Moreover, this organisation has demonstrated its capacity to source funding from other key donors in Indonesia such as USAID. </w:t>
      </w:r>
    </w:p>
    <w:p w14:paraId="7AAEF5BB" w14:textId="78E68BF5" w:rsidR="007517F9" w:rsidRDefault="007517F9" w:rsidP="007B64E1">
      <w:pPr>
        <w:pStyle w:val="Heading3"/>
      </w:pPr>
      <w:bookmarkStart w:id="19" w:name="_Toc524508491"/>
      <w:r>
        <w:t>Program 2</w:t>
      </w:r>
      <w:r w:rsidR="002C51F4">
        <w:t xml:space="preserve">: InaSAFE </w:t>
      </w:r>
      <w:r w:rsidR="00084BF3">
        <w:t xml:space="preserve">use and </w:t>
      </w:r>
      <w:r w:rsidR="002C51F4">
        <w:t>enhancement</w:t>
      </w:r>
      <w:bookmarkEnd w:id="19"/>
    </w:p>
    <w:p w14:paraId="2515F5C1" w14:textId="48A4BC27" w:rsidR="007F7B8C" w:rsidRPr="00E30F1D" w:rsidRDefault="006C1048" w:rsidP="00E30F1D">
      <w:pPr>
        <w:pStyle w:val="BodyText"/>
      </w:pPr>
      <w:r>
        <w:t xml:space="preserve">This program focussed </w:t>
      </w:r>
      <w:r w:rsidR="00084BF3">
        <w:t xml:space="preserve">on the enhancement and institutionalisation of InaSAFE in BNPB (Activity 2.1) which was </w:t>
      </w:r>
      <w:r w:rsidR="00EE28DE">
        <w:t>facilitated</w:t>
      </w:r>
      <w:r w:rsidR="00084BF3">
        <w:t xml:space="preserve"> by policy development and</w:t>
      </w:r>
      <w:r w:rsidR="00EE28DE">
        <w:t xml:space="preserve"> support of selected BNPB disaster management activities (Activity 2.2).</w:t>
      </w:r>
      <w:r w:rsidR="00084BF3">
        <w:t xml:space="preserve"> </w:t>
      </w:r>
      <w:r>
        <w:t xml:space="preserve"> </w:t>
      </w:r>
      <w:r w:rsidR="004B4628" w:rsidRPr="00E30F1D">
        <w:t xml:space="preserve">To understand the potential sustainability of InaSAFE in </w:t>
      </w:r>
      <w:r w:rsidR="00650062" w:rsidRPr="00E30F1D">
        <w:t>I</w:t>
      </w:r>
      <w:r w:rsidR="004B4628" w:rsidRPr="00E30F1D">
        <w:t>ndonesia it is useful to sep</w:t>
      </w:r>
      <w:r w:rsidR="00650062" w:rsidRPr="00E30F1D">
        <w:t>arate I</w:t>
      </w:r>
      <w:r w:rsidR="004B4628" w:rsidRPr="00E30F1D">
        <w:t>naSAFE into its two major use areas:</w:t>
      </w:r>
    </w:p>
    <w:p w14:paraId="5681B977" w14:textId="5E1EC0FD" w:rsidR="004B4628" w:rsidRDefault="004B4628" w:rsidP="00650062">
      <w:pPr>
        <w:pStyle w:val="ListBulletLevel1"/>
      </w:pPr>
      <w:r w:rsidRPr="00E30F1D">
        <w:rPr>
          <w:rStyle w:val="Bold"/>
        </w:rPr>
        <w:t>InaSAFE Desktop</w:t>
      </w:r>
      <w:r>
        <w:t xml:space="preserve"> – </w:t>
      </w:r>
      <w:r w:rsidR="00A74E16">
        <w:t>is the</w:t>
      </w:r>
      <w:r>
        <w:t xml:space="preserve"> version of InaSAFE </w:t>
      </w:r>
      <w:r w:rsidR="00650062">
        <w:t xml:space="preserve">installed locally on individual computers and used interactively by an individual user. </w:t>
      </w:r>
      <w:r w:rsidR="00DA1FA8">
        <w:t>There</w:t>
      </w:r>
      <w:r w:rsidR="00650062">
        <w:t xml:space="preserve"> is now a significant international InaSAFE Desktop user community that collectively, and through newly created Governance arrangements</w:t>
      </w:r>
      <w:r w:rsidR="00A74E16">
        <w:t>,</w:t>
      </w:r>
      <w:r w:rsidR="00650062">
        <w:t xml:space="preserve"> continue to support the ongoing software development </w:t>
      </w:r>
      <w:r w:rsidR="00C75C4D">
        <w:t>and use of I</w:t>
      </w:r>
      <w:r w:rsidR="00650062">
        <w:t xml:space="preserve">naSAFE globally. InaSAFE Desktop sustainability in Indonesia </w:t>
      </w:r>
      <w:r w:rsidR="00C75C4D">
        <w:t xml:space="preserve">therefore comes down to </w:t>
      </w:r>
      <w:r w:rsidR="00A74E16">
        <w:t xml:space="preserve">its </w:t>
      </w:r>
      <w:r w:rsidR="00CD305F">
        <w:t>continued use</w:t>
      </w:r>
      <w:r w:rsidR="000418AA">
        <w:t>,</w:t>
      </w:r>
      <w:r w:rsidR="00FE4FE6">
        <w:t xml:space="preserve"> </w:t>
      </w:r>
      <w:r w:rsidR="000418AA">
        <w:t xml:space="preserve">maintaining </w:t>
      </w:r>
      <w:r w:rsidR="00A74E16">
        <w:t>its currency (i.e. using the latest version)</w:t>
      </w:r>
      <w:r w:rsidR="00650062">
        <w:t xml:space="preserve"> and its dependenc</w:t>
      </w:r>
      <w:r w:rsidR="00A74E16">
        <w:t xml:space="preserve">y on the </w:t>
      </w:r>
      <w:r w:rsidR="00650062">
        <w:t>QGIS</w:t>
      </w:r>
      <w:r w:rsidR="00A74E16">
        <w:t xml:space="preserve"> platform</w:t>
      </w:r>
      <w:r w:rsidR="00650062">
        <w:t>.</w:t>
      </w:r>
    </w:p>
    <w:p w14:paraId="49B4E797" w14:textId="5CDE9A27" w:rsidR="00650062" w:rsidRDefault="00650062" w:rsidP="00650062">
      <w:pPr>
        <w:pStyle w:val="ListBulletLevel1"/>
      </w:pPr>
      <w:r w:rsidRPr="00E30F1D">
        <w:rPr>
          <w:rStyle w:val="Bold"/>
        </w:rPr>
        <w:t>InaSAFE Realtime</w:t>
      </w:r>
      <w:r>
        <w:rPr>
          <w:b/>
        </w:rPr>
        <w:t xml:space="preserve"> </w:t>
      </w:r>
      <w:r>
        <w:t>– the real</w:t>
      </w:r>
      <w:r w:rsidR="00C75C4D">
        <w:t>-</w:t>
      </w:r>
      <w:r>
        <w:t xml:space="preserve">time version of InaSAFE is </w:t>
      </w:r>
      <w:r w:rsidRPr="00650062">
        <w:t>deployed only in Indonesia</w:t>
      </w:r>
      <w:r w:rsidR="004861D9">
        <w:t>,</w:t>
      </w:r>
      <w:r w:rsidR="00BB7864">
        <w:t xml:space="preserve"> on</w:t>
      </w:r>
      <w:r w:rsidR="00CD305F">
        <w:t xml:space="preserve"> </w:t>
      </w:r>
      <w:r w:rsidRPr="00650062">
        <w:t>IT infrastructure that sits within BNPB.</w:t>
      </w:r>
      <w:r w:rsidR="00C75C4D">
        <w:t xml:space="preserve"> I</w:t>
      </w:r>
      <w:r>
        <w:t xml:space="preserve">naSAFE Realtime can only be used sustainably into the future in Indonesia if BNPB takes the lead on investing in ongoing development </w:t>
      </w:r>
      <w:r w:rsidR="00BB7864">
        <w:t xml:space="preserve">and </w:t>
      </w:r>
      <w:r w:rsidR="00C75C4D">
        <w:t>maintenance</w:t>
      </w:r>
      <w:r w:rsidR="00BB7864">
        <w:t>. This will require</w:t>
      </w:r>
      <w:r>
        <w:t xml:space="preserve"> direct invest</w:t>
      </w:r>
      <w:r w:rsidR="00BB7864">
        <w:t>ment</w:t>
      </w:r>
      <w:r>
        <w:t xml:space="preserve"> </w:t>
      </w:r>
      <w:r w:rsidR="004861D9">
        <w:t xml:space="preserve">in </w:t>
      </w:r>
      <w:r>
        <w:t xml:space="preserve">software </w:t>
      </w:r>
      <w:r w:rsidR="00BB7864">
        <w:t xml:space="preserve">upgrades </w:t>
      </w:r>
      <w:r>
        <w:t xml:space="preserve">to keep pace </w:t>
      </w:r>
      <w:r w:rsidR="00CD305F">
        <w:t>with operating</w:t>
      </w:r>
      <w:r>
        <w:t xml:space="preserve"> system </w:t>
      </w:r>
      <w:r w:rsidR="00BB7864">
        <w:t xml:space="preserve">updates </w:t>
      </w:r>
      <w:r>
        <w:t xml:space="preserve">and other </w:t>
      </w:r>
      <w:r w:rsidR="00BB7864">
        <w:t xml:space="preserve">external </w:t>
      </w:r>
      <w:r>
        <w:t xml:space="preserve">dependencies such as QGIS. </w:t>
      </w:r>
      <w:r w:rsidR="00BB7864">
        <w:t>That is to say,</w:t>
      </w:r>
      <w:r>
        <w:t xml:space="preserve"> Indonesia will not be able to rely on an international community to undertake this investment as </w:t>
      </w:r>
      <w:r w:rsidR="00BB7864">
        <w:t xml:space="preserve">they are </w:t>
      </w:r>
      <w:r w:rsidR="00DA1FA8">
        <w:t xml:space="preserve">the </w:t>
      </w:r>
      <w:r w:rsidR="00BB7864">
        <w:t>only</w:t>
      </w:r>
      <w:r>
        <w:t xml:space="preserve"> user of InaSAFE </w:t>
      </w:r>
      <w:r w:rsidR="00DA1FA8">
        <w:t>Realtime</w:t>
      </w:r>
      <w:r>
        <w:t xml:space="preserve">. </w:t>
      </w:r>
      <w:r w:rsidRPr="00650062">
        <w:t>Considerable effort has been undertaken by GA and DMInnovation locally engaged staff to support BNPB to take on this responsibility. Nevertheless, it will only become apparent over the coming 1-2 years how well BNPB are positione</w:t>
      </w:r>
      <w:r>
        <w:t xml:space="preserve">d to </w:t>
      </w:r>
      <w:r w:rsidR="00BB7864">
        <w:t xml:space="preserve">discharge </w:t>
      </w:r>
      <w:r>
        <w:t xml:space="preserve">this responsibility. </w:t>
      </w:r>
      <w:r w:rsidR="00BB7864">
        <w:t>T</w:t>
      </w:r>
      <w:r>
        <w:t xml:space="preserve">his component of </w:t>
      </w:r>
      <w:r w:rsidR="00BB7864">
        <w:t xml:space="preserve">the </w:t>
      </w:r>
      <w:r w:rsidR="00CD305F">
        <w:t>program i</w:t>
      </w:r>
      <w:r>
        <w:t>s at the highest risk of not being sustain</w:t>
      </w:r>
      <w:r w:rsidR="00BB7864">
        <w:t>ed</w:t>
      </w:r>
      <w:r>
        <w:t xml:space="preserve"> in Indonesia.</w:t>
      </w:r>
      <w:r w:rsidR="00CA06A4">
        <w:rPr>
          <w:rStyle w:val="FootnoteReference"/>
        </w:rPr>
        <w:footnoteReference w:id="3"/>
      </w:r>
      <w:r>
        <w:t xml:space="preserve"> </w:t>
      </w:r>
    </w:p>
    <w:p w14:paraId="039859DF" w14:textId="77777777" w:rsidR="00650062" w:rsidRDefault="00650062" w:rsidP="00E30F1D">
      <w:pPr>
        <w:pStyle w:val="BodyText"/>
      </w:pPr>
      <w:r>
        <w:t xml:space="preserve">Some of the key activities that GA has worked on to support BNPB to adopt InaSAFE sustainably include but are not limited to: </w:t>
      </w:r>
    </w:p>
    <w:p w14:paraId="06BC797C" w14:textId="7EE27DA3" w:rsidR="00650062" w:rsidRDefault="00650062" w:rsidP="00650062">
      <w:pPr>
        <w:pStyle w:val="ListBulletLevel1"/>
      </w:pPr>
      <w:r>
        <w:t>Institutionalisation of InaSAFE in Indonesia</w:t>
      </w:r>
      <w:r w:rsidR="00E30F1D">
        <w:t>.</w:t>
      </w:r>
    </w:p>
    <w:p w14:paraId="078D49BD" w14:textId="1DCA2696" w:rsidR="00650062" w:rsidRDefault="00650062" w:rsidP="00650062">
      <w:pPr>
        <w:pStyle w:val="ListBulletLevel1"/>
      </w:pPr>
      <w:r>
        <w:t>Capacity building within BNPB including the hosting and maintenance of InaSAFE Realtime</w:t>
      </w:r>
      <w:r w:rsidR="00E30F1D">
        <w:t>.</w:t>
      </w:r>
    </w:p>
    <w:p w14:paraId="52529A45" w14:textId="62076059" w:rsidR="00650062" w:rsidRDefault="008116A0" w:rsidP="00650062">
      <w:pPr>
        <w:pStyle w:val="ListBulletLevel1"/>
      </w:pPr>
      <w:r>
        <w:t>Engagement with an Indonesian User Community</w:t>
      </w:r>
      <w:r w:rsidR="00E30F1D">
        <w:t>.</w:t>
      </w:r>
    </w:p>
    <w:p w14:paraId="45F53543" w14:textId="5F7BA674" w:rsidR="00650062" w:rsidRDefault="008116A0" w:rsidP="00650062">
      <w:pPr>
        <w:pStyle w:val="ListBulletLevel1"/>
      </w:pPr>
      <w:r>
        <w:t xml:space="preserve">Development of an International </w:t>
      </w:r>
      <w:r w:rsidR="00650062">
        <w:t>Governance</w:t>
      </w:r>
      <w:r>
        <w:t xml:space="preserve"> structure to manage future InaSAFE developments and releases.</w:t>
      </w:r>
    </w:p>
    <w:p w14:paraId="5A8D943E" w14:textId="77777777" w:rsidR="00A24DBE" w:rsidRDefault="00A24DBE" w:rsidP="00E30F1D">
      <w:pPr>
        <w:pStyle w:val="BodyText"/>
      </w:pPr>
      <w:r>
        <w:t>Some of the key issues that GA encountered when working with BNPB include</w:t>
      </w:r>
      <w:r w:rsidR="007E1D91">
        <w:t>:</w:t>
      </w:r>
    </w:p>
    <w:p w14:paraId="047CEBF7" w14:textId="7424E6B6" w:rsidR="00A24DBE" w:rsidRPr="00CF0AC1" w:rsidRDefault="00A24DBE" w:rsidP="00A24DBE">
      <w:pPr>
        <w:pStyle w:val="ListBulletLevel1"/>
      </w:pPr>
      <w:r w:rsidRPr="00CF0AC1">
        <w:t xml:space="preserve">BNPB staff </w:t>
      </w:r>
      <w:r w:rsidR="004511B2">
        <w:t>reliance</w:t>
      </w:r>
      <w:r>
        <w:t xml:space="preserve"> on GA and DMInnovation staff to manage </w:t>
      </w:r>
      <w:r w:rsidR="007E1D91">
        <w:t xml:space="preserve">issues with the BNPB InaSAFE Realtime server and </w:t>
      </w:r>
      <w:r>
        <w:t>find solutions. The sustainable use of InaSAFE Realtime in Indonesia will depend on BNPB proactively identifying and fixing problems</w:t>
      </w:r>
      <w:r w:rsidR="007E1D91">
        <w:t xml:space="preserve"> in the future.</w:t>
      </w:r>
    </w:p>
    <w:p w14:paraId="47750340" w14:textId="43B93F82" w:rsidR="00A24DBE" w:rsidRPr="00CF0AC1" w:rsidRDefault="007729CF" w:rsidP="00A24DBE">
      <w:pPr>
        <w:pStyle w:val="ListBulletLevel1"/>
      </w:pPr>
      <w:r>
        <w:t xml:space="preserve">Difficulties encountered by </w:t>
      </w:r>
      <w:r w:rsidR="00A24DBE" w:rsidRPr="00CF0AC1">
        <w:t>program management in Canberra engag</w:t>
      </w:r>
      <w:r>
        <w:t>ing with and getting</w:t>
      </w:r>
      <w:r w:rsidR="00A24DBE" w:rsidRPr="00CF0AC1">
        <w:t xml:space="preserve"> feedback from BNPB staff.</w:t>
      </w:r>
    </w:p>
    <w:p w14:paraId="6F0A81A5" w14:textId="377B91C0" w:rsidR="00A24DBE" w:rsidRPr="00CF0AC1" w:rsidRDefault="00A24DBE" w:rsidP="00A24DBE">
      <w:pPr>
        <w:pStyle w:val="ListBulletLevel1"/>
      </w:pPr>
      <w:r w:rsidRPr="00CF0AC1">
        <w:t xml:space="preserve">BNPB sought technical support from </w:t>
      </w:r>
      <w:r w:rsidR="00D56DA9">
        <w:t>implementation</w:t>
      </w:r>
      <w:r w:rsidRPr="00CF0AC1">
        <w:t xml:space="preserve"> partners </w:t>
      </w:r>
      <w:r w:rsidR="007729CF">
        <w:t>(</w:t>
      </w:r>
      <w:r w:rsidRPr="00CF0AC1">
        <w:t>HOT and Kartoza</w:t>
      </w:r>
      <w:r w:rsidR="007729CF">
        <w:t>)</w:t>
      </w:r>
      <w:r w:rsidRPr="00CF0AC1">
        <w:t xml:space="preserve"> outside the scope of the agreed program. For example, support for an OSM GeoNode and OSM tile server.</w:t>
      </w:r>
      <w:r>
        <w:t xml:space="preserve"> </w:t>
      </w:r>
      <w:r w:rsidR="007729CF">
        <w:t xml:space="preserve">There were times when these direct requests distracted the focus of implementation partners from our </w:t>
      </w:r>
      <w:r w:rsidR="005C567A">
        <w:t>work plan</w:t>
      </w:r>
      <w:r w:rsidR="007729CF">
        <w:t xml:space="preserve">. Despite this, BNPB’s willingness to seek assistance directly from HOT and Kartoza should be viewed as a positive outcome of DMInnovation’s work </w:t>
      </w:r>
      <w:r w:rsidR="007A10DC">
        <w:t>to</w:t>
      </w:r>
      <w:r w:rsidR="007729CF">
        <w:t xml:space="preserve"> assist</w:t>
      </w:r>
      <w:r w:rsidR="007A10DC">
        <w:t xml:space="preserve"> </w:t>
      </w:r>
      <w:r w:rsidR="007729CF">
        <w:t xml:space="preserve">these </w:t>
      </w:r>
      <w:r w:rsidR="005C567A">
        <w:t>implementing</w:t>
      </w:r>
      <w:r w:rsidR="007729CF">
        <w:t xml:space="preserve"> partners to build their credibility. BNPB’s willingness to seek assistance bodes well for the ongoing maintenance and sustainability InaSAFE provided they are prepared to back these requests with funding. </w:t>
      </w:r>
    </w:p>
    <w:p w14:paraId="3C13CF56" w14:textId="1CB1CA1C" w:rsidR="00022452" w:rsidRPr="00CF0AC1" w:rsidRDefault="00650062" w:rsidP="00E30F1D">
      <w:pPr>
        <w:pStyle w:val="BodyText"/>
      </w:pPr>
      <w:r>
        <w:t>It is likely that t</w:t>
      </w:r>
      <w:r w:rsidR="00022452" w:rsidRPr="00CF0AC1">
        <w:t xml:space="preserve">here </w:t>
      </w:r>
      <w:r>
        <w:t>will</w:t>
      </w:r>
      <w:r w:rsidR="00022452" w:rsidRPr="00CF0AC1">
        <w:t xml:space="preserve"> no external funding to </w:t>
      </w:r>
      <w:r w:rsidR="00022452">
        <w:t xml:space="preserve">directly </w:t>
      </w:r>
      <w:r w:rsidR="00022452" w:rsidRPr="00CF0AC1">
        <w:t xml:space="preserve">support InaSAFE maintenance in </w:t>
      </w:r>
      <w:r w:rsidR="00022452">
        <w:t xml:space="preserve">Indonesia in the </w:t>
      </w:r>
      <w:r w:rsidR="00022452" w:rsidRPr="00CF0AC1">
        <w:t xml:space="preserve">future. </w:t>
      </w:r>
      <w:r w:rsidR="00A24DBE">
        <w:t>Therefore, without</w:t>
      </w:r>
      <w:r w:rsidR="00022452" w:rsidRPr="00CF0AC1">
        <w:t xml:space="preserve"> BNPB investment in infrastructure and resources, InaSAFE </w:t>
      </w:r>
      <w:r w:rsidR="00022452">
        <w:t xml:space="preserve">may prove </w:t>
      </w:r>
      <w:r w:rsidR="00022452" w:rsidRPr="00CF0AC1">
        <w:t>difficult to sustain in Indonesia.</w:t>
      </w:r>
      <w:r w:rsidR="004B4628">
        <w:t xml:space="preserve"> In particular</w:t>
      </w:r>
      <w:r w:rsidR="004861D9" w:rsidRPr="004861D9">
        <w:t xml:space="preserve"> </w:t>
      </w:r>
      <w:r w:rsidR="004861D9">
        <w:t>it is unclear whether BNBP</w:t>
      </w:r>
      <w:r w:rsidR="004B4628">
        <w:t>:</w:t>
      </w:r>
    </w:p>
    <w:p w14:paraId="5F05EA9C" w14:textId="3041C67F" w:rsidR="007F7B8C" w:rsidRPr="00CF0AC1" w:rsidRDefault="007E1D91" w:rsidP="007F7B8C">
      <w:pPr>
        <w:pStyle w:val="ListBulletLevel1"/>
      </w:pPr>
      <w:r>
        <w:t>is</w:t>
      </w:r>
      <w:r w:rsidR="004B4628">
        <w:t xml:space="preserve"> </w:t>
      </w:r>
      <w:r w:rsidR="00022452">
        <w:t>prepared</w:t>
      </w:r>
      <w:r>
        <w:t xml:space="preserve"> to,</w:t>
      </w:r>
      <w:r w:rsidR="00022452">
        <w:t xml:space="preserve"> and able to </w:t>
      </w:r>
      <w:r w:rsidR="007F7B8C" w:rsidRPr="00CF0AC1">
        <w:t xml:space="preserve">invest in infrastructure to host InaSAFE Realtime and GeoNode services </w:t>
      </w:r>
      <w:r w:rsidR="00022452">
        <w:t xml:space="preserve">and establish </w:t>
      </w:r>
      <w:r w:rsidR="007F7B8C" w:rsidRPr="00CF0AC1">
        <w:t>adequate backup procedures to ensure reliability of these services.</w:t>
      </w:r>
    </w:p>
    <w:p w14:paraId="01065C36" w14:textId="54725E82" w:rsidR="007F7B8C" w:rsidRPr="00CF0AC1" w:rsidRDefault="007F7B8C" w:rsidP="007F7B8C">
      <w:pPr>
        <w:pStyle w:val="ListBulletLevel1"/>
      </w:pPr>
      <w:r w:rsidRPr="00CF0AC1">
        <w:t xml:space="preserve">staff understand the requirements of hosting and maintaining InaSAFE </w:t>
      </w:r>
      <w:r w:rsidR="004B4628">
        <w:t xml:space="preserve">Realtime </w:t>
      </w:r>
      <w:r w:rsidRPr="00CF0AC1">
        <w:t>platforms, despite capacity building training.</w:t>
      </w:r>
    </w:p>
    <w:p w14:paraId="6C0C288E" w14:textId="23CE93A2" w:rsidR="007F7B8C" w:rsidRPr="00CF0AC1" w:rsidRDefault="007E1D91" w:rsidP="007F7B8C">
      <w:pPr>
        <w:pStyle w:val="ListBulletLevel1"/>
      </w:pPr>
      <w:r>
        <w:t xml:space="preserve">are </w:t>
      </w:r>
      <w:r w:rsidR="004B4628">
        <w:t>able</w:t>
      </w:r>
      <w:r>
        <w:t xml:space="preserve"> to</w:t>
      </w:r>
      <w:r w:rsidR="004B4628">
        <w:t xml:space="preserve"> </w:t>
      </w:r>
      <w:r w:rsidR="007F7B8C" w:rsidRPr="00CF0AC1">
        <w:t xml:space="preserve">fully resource the maintenance and development of InaSAFE to align </w:t>
      </w:r>
      <w:r w:rsidR="004B4628">
        <w:t>operational Desktop and Realtime InaSAFE versions with future InaSAFE and dependency (e.g. QGIS) software upgrades</w:t>
      </w:r>
      <w:r w:rsidR="007F7B8C" w:rsidRPr="00CF0AC1">
        <w:t xml:space="preserve">. </w:t>
      </w:r>
    </w:p>
    <w:p w14:paraId="31A45378" w14:textId="77777777" w:rsidR="00A24DBE" w:rsidRDefault="00A24DBE" w:rsidP="00E30F1D">
      <w:pPr>
        <w:pStyle w:val="BodyText"/>
      </w:pPr>
      <w:r>
        <w:t>It is hoped that the</w:t>
      </w:r>
      <w:r w:rsidR="00022452" w:rsidRPr="00B62258">
        <w:t xml:space="preserve"> establishment of an Indonesian InaSAFE User Community </w:t>
      </w:r>
      <w:r w:rsidR="00650062">
        <w:t>will help to maintain th</w:t>
      </w:r>
      <w:r>
        <w:t>e</w:t>
      </w:r>
      <w:r w:rsidR="00650062">
        <w:t xml:space="preserve"> InaSAFE skills and </w:t>
      </w:r>
      <w:r>
        <w:t>influence BNPB to continue to invest in InaSAFE in Indonesia</w:t>
      </w:r>
      <w:r w:rsidR="00022452" w:rsidRPr="00B62258">
        <w:t xml:space="preserve">. </w:t>
      </w:r>
      <w:r>
        <w:t>This community is still in its infancy. However, there are a number of key individuals and organisations that are engaging within this community and GA believes it has strong potential to gain traction and continue sustainably.</w:t>
      </w:r>
    </w:p>
    <w:p w14:paraId="3FF06EDE" w14:textId="62CCA7C0" w:rsidR="007023E6" w:rsidRDefault="00022452" w:rsidP="00E30F1D">
      <w:pPr>
        <w:pStyle w:val="BodyText"/>
      </w:pPr>
      <w:r w:rsidRPr="00CF0AC1">
        <w:t xml:space="preserve">InaSAFE global governance discussions have </w:t>
      </w:r>
      <w:r w:rsidR="00A24DBE">
        <w:t xml:space="preserve">proceeded well and a new international governance structure is expected to be endorsed in the near future. Unfortunately, however, BNPB are yet to engage and accept a guaranteed seat on the Steering Committee. </w:t>
      </w:r>
      <w:r w:rsidR="007023E6">
        <w:t>Whilst, this is not essential, engaging in the international steer</w:t>
      </w:r>
      <w:r w:rsidR="004861D9">
        <w:t>age</w:t>
      </w:r>
      <w:r w:rsidR="007023E6">
        <w:t xml:space="preserve"> of InaSAFE will enhance BNPB’s</w:t>
      </w:r>
      <w:r w:rsidR="007E1D91">
        <w:t>:</w:t>
      </w:r>
    </w:p>
    <w:p w14:paraId="05DA219B" w14:textId="466EC97B" w:rsidR="00022452" w:rsidRDefault="007023E6" w:rsidP="007023E6">
      <w:pPr>
        <w:pStyle w:val="ListBulletLevel1"/>
      </w:pPr>
      <w:r>
        <w:t>influence over future developments</w:t>
      </w:r>
      <w:r w:rsidR="00E30F1D">
        <w:t>.</w:t>
      </w:r>
    </w:p>
    <w:p w14:paraId="1C47DA74" w14:textId="278C2AFE" w:rsidR="007023E6" w:rsidRDefault="007023E6" w:rsidP="007023E6">
      <w:pPr>
        <w:pStyle w:val="ListBulletLevel1"/>
      </w:pPr>
      <w:r>
        <w:t>access to international experts to help solve issues</w:t>
      </w:r>
      <w:r w:rsidR="00E30F1D">
        <w:t>.</w:t>
      </w:r>
    </w:p>
    <w:p w14:paraId="0B944EE3" w14:textId="5839832A" w:rsidR="007023E6" w:rsidRDefault="007E1D91" w:rsidP="007023E6">
      <w:pPr>
        <w:pStyle w:val="ListBulletLevel1"/>
      </w:pPr>
      <w:r>
        <w:t xml:space="preserve">access to </w:t>
      </w:r>
      <w:r w:rsidR="007023E6">
        <w:t>support</w:t>
      </w:r>
      <w:r>
        <w:t xml:space="preserve"> for</w:t>
      </w:r>
      <w:r w:rsidR="007023E6">
        <w:t xml:space="preserve"> InaSAFE in Indonesia</w:t>
      </w:r>
      <w:r w:rsidR="00E30F1D">
        <w:t>.</w:t>
      </w:r>
    </w:p>
    <w:p w14:paraId="53A31D86" w14:textId="7F36E061" w:rsidR="007023E6" w:rsidRPr="00CF0AC1" w:rsidRDefault="007E1D91" w:rsidP="007023E6">
      <w:pPr>
        <w:pStyle w:val="ListBulletLevel1"/>
      </w:pPr>
      <w:r>
        <w:t>status</w:t>
      </w:r>
      <w:r w:rsidR="007023E6">
        <w:t xml:space="preserve"> as one of the founding members of InaSAFE.</w:t>
      </w:r>
    </w:p>
    <w:p w14:paraId="52E4F37B" w14:textId="72D309EB" w:rsidR="007517F9" w:rsidRPr="00A33914" w:rsidRDefault="007517F9" w:rsidP="007B64E1">
      <w:pPr>
        <w:pStyle w:val="Heading3"/>
      </w:pPr>
      <w:bookmarkStart w:id="20" w:name="_Toc524508492"/>
      <w:r>
        <w:t>Program 3</w:t>
      </w:r>
      <w:r w:rsidR="005407CF">
        <w:t>: Research training in active tectonics</w:t>
      </w:r>
      <w:bookmarkEnd w:id="20"/>
    </w:p>
    <w:p w14:paraId="345DA434" w14:textId="06359F52" w:rsidR="007517F9" w:rsidRPr="00E30F1D" w:rsidRDefault="00EE28DE" w:rsidP="00E30F1D">
      <w:pPr>
        <w:pStyle w:val="BodyText"/>
      </w:pPr>
      <w:r>
        <w:t xml:space="preserve">This program supported the development of a high quality graduate level research training capability in Indonesia for earthquakes and active tectonics. The program was delivered through separate grants to ITB (Activity 3.1) and ANU (Activity 3.2) to support and encourage collaboration and knowledge sharing between the two universities. </w:t>
      </w:r>
      <w:r w:rsidR="00FC5501" w:rsidRPr="00E30F1D">
        <w:t xml:space="preserve">Over half </w:t>
      </w:r>
      <w:r w:rsidR="007517F9" w:rsidRPr="00E30F1D">
        <w:t>of the 40 Masters and 8 PhD students supported by this project to study earthquakes and active tectonics have moved on to positions in GoI technical agencies and academia, where they will continue to influence government policy and academic research and education in ways that support earthquake disaster mitigation.</w:t>
      </w:r>
    </w:p>
    <w:p w14:paraId="077135A9" w14:textId="11C1D097" w:rsidR="007517F9" w:rsidRPr="00E30F1D" w:rsidRDefault="007517F9" w:rsidP="00E30F1D">
      <w:pPr>
        <w:pStyle w:val="BodyText"/>
      </w:pPr>
      <w:r w:rsidRPr="00E30F1D">
        <w:t xml:space="preserve">Through this </w:t>
      </w:r>
      <w:r w:rsidR="007E1D91" w:rsidRPr="00E30F1D">
        <w:t>Program</w:t>
      </w:r>
      <w:r w:rsidRPr="00E30F1D">
        <w:t xml:space="preserve"> ITB has been firmly established as a provider of earthquake research services and products to GoI technical agencies, such as geodetic and geological studies of active faults and seismological studies of earth structure and earthquake source properties. </w:t>
      </w:r>
    </w:p>
    <w:p w14:paraId="1D2454E9" w14:textId="6D2DDE82" w:rsidR="007517F9" w:rsidRPr="00E30F1D" w:rsidRDefault="007517F9" w:rsidP="00E30F1D">
      <w:pPr>
        <w:pStyle w:val="BodyText"/>
      </w:pPr>
      <w:r w:rsidRPr="00E30F1D">
        <w:t xml:space="preserve">ANU collaboration with ITB in earthquake research and education is </w:t>
      </w:r>
      <w:r w:rsidR="00635652" w:rsidRPr="00E30F1D">
        <w:t>likely</w:t>
      </w:r>
      <w:r w:rsidRPr="00E30F1D">
        <w:t xml:space="preserve"> to continue for many years through the established of a split-site </w:t>
      </w:r>
      <w:r w:rsidR="00C75C4D" w:rsidRPr="00E30F1D">
        <w:t>Master’s</w:t>
      </w:r>
      <w:r w:rsidRPr="00E30F1D">
        <w:t xml:space="preserve"> degree program as well as through the strong relations established between ANU and ITB faculty</w:t>
      </w:r>
      <w:r w:rsidR="004861D9" w:rsidRPr="00E30F1D">
        <w:t>’s</w:t>
      </w:r>
      <w:r w:rsidRPr="00E30F1D">
        <w:t xml:space="preserve"> that are expected to result in collaborative research proposals submitted to both Australian and Indonesian funding agencies.</w:t>
      </w:r>
      <w:r w:rsidR="001B527E" w:rsidRPr="00E30F1D">
        <w:t xml:space="preserve"> It is important to note, however, that despite the willingness on both sides, the ability to sustain ongoing collaborations will depend on the ability of ANU and ITB to source funding through competitive grant processes, the outcome of which is by no means </w:t>
      </w:r>
      <w:r w:rsidR="00C75C4D" w:rsidRPr="00E30F1D">
        <w:t>guaranteed</w:t>
      </w:r>
      <w:r w:rsidR="001B527E" w:rsidRPr="00E30F1D">
        <w:t xml:space="preserve">. </w:t>
      </w:r>
    </w:p>
    <w:p w14:paraId="15DA312F" w14:textId="3FF03F82" w:rsidR="007517F9" w:rsidRPr="00E30F1D" w:rsidRDefault="007517F9" w:rsidP="00E30F1D">
      <w:pPr>
        <w:pStyle w:val="BodyText"/>
      </w:pPr>
      <w:r w:rsidRPr="00E30F1D">
        <w:t>Establishment of the Australian-Indonesian Tectonics Observatory (AITO) provides a pool of geophysical instrumentation that will attract support for Australian-Indonesian collaborative research projects not only from GoA and GoI sources, but also from overseas research institutions</w:t>
      </w:r>
      <w:r w:rsidR="004861D9" w:rsidRPr="00E30F1D">
        <w:t>. T</w:t>
      </w:r>
      <w:r w:rsidRPr="00E30F1D">
        <w:t>hereby widening the network of collaborative research</w:t>
      </w:r>
      <w:r w:rsidR="004861D9" w:rsidRPr="00E30F1D">
        <w:t xml:space="preserve"> opportunities</w:t>
      </w:r>
      <w:r w:rsidRPr="00E30F1D">
        <w:t xml:space="preserve"> in Indonesian earthquake science. </w:t>
      </w:r>
      <w:r w:rsidR="00040250" w:rsidRPr="00E30F1D">
        <w:t xml:space="preserve">For example, the </w:t>
      </w:r>
      <w:r w:rsidRPr="00E30F1D">
        <w:t>AITO is already slated to provide instruments for a Cambridge U</w:t>
      </w:r>
      <w:r w:rsidR="007E1D91" w:rsidRPr="00E30F1D">
        <w:t xml:space="preserve">niversity </w:t>
      </w:r>
      <w:r w:rsidRPr="00E30F1D">
        <w:t xml:space="preserve">led project in earthquake hazard in Kalimantan and Sulawesi, and has been proposed for use in a project led by the </w:t>
      </w:r>
      <w:r w:rsidR="00040250" w:rsidRPr="00E30F1D">
        <w:t>United States</w:t>
      </w:r>
      <w:r w:rsidRPr="00E30F1D">
        <w:t xml:space="preserve"> Geological Survey to study the Agung-Batur volcanic complex in Bali. </w:t>
      </w:r>
    </w:p>
    <w:p w14:paraId="6E9D96F0" w14:textId="51E14843" w:rsidR="007517F9" w:rsidRPr="00A33914" w:rsidRDefault="00CB1B3E" w:rsidP="007B64E1">
      <w:pPr>
        <w:pStyle w:val="Heading3"/>
      </w:pPr>
      <w:bookmarkStart w:id="21" w:name="_Toc524508493"/>
      <w:r>
        <w:t>Program 4: Building hazard assessment capability</w:t>
      </w:r>
      <w:bookmarkEnd w:id="21"/>
      <w:r>
        <w:t xml:space="preserve"> </w:t>
      </w:r>
    </w:p>
    <w:p w14:paraId="056080FC" w14:textId="0F027DF4" w:rsidR="006B62DA" w:rsidRPr="006B62DA" w:rsidRDefault="006B62DA" w:rsidP="007517F9">
      <w:pPr>
        <w:pStyle w:val="BodyText"/>
      </w:pPr>
      <w:r w:rsidRPr="006B62DA">
        <w:t xml:space="preserve">This program was designed to dvelop capability within Indonesia to prodiuce hazard maps and information to inform disaster managent. </w:t>
      </w:r>
    </w:p>
    <w:p w14:paraId="025E671E" w14:textId="582F9AEC" w:rsidR="00CB1B3E" w:rsidRPr="00CB1B3E" w:rsidRDefault="00CB1B3E" w:rsidP="007517F9">
      <w:pPr>
        <w:pStyle w:val="BodyText"/>
        <w:rPr>
          <w:b/>
        </w:rPr>
      </w:pPr>
      <w:r w:rsidRPr="00CB1B3E">
        <w:rPr>
          <w:b/>
        </w:rPr>
        <w:t>Earthquake hazard</w:t>
      </w:r>
      <w:r>
        <w:rPr>
          <w:b/>
        </w:rPr>
        <w:t xml:space="preserve"> (Activity 4.1)</w:t>
      </w:r>
    </w:p>
    <w:p w14:paraId="2EB45E3D" w14:textId="1CE31194" w:rsidR="007517F9" w:rsidRPr="00A33914" w:rsidRDefault="007517F9" w:rsidP="007517F9">
      <w:pPr>
        <w:pStyle w:val="BodyText"/>
      </w:pPr>
      <w:r w:rsidRPr="00A33914">
        <w:t xml:space="preserve">The 2017 Indonesian earthquake hazard map </w:t>
      </w:r>
      <w:r w:rsidR="004861D9">
        <w:t xml:space="preserve">generated </w:t>
      </w:r>
      <w:r w:rsidRPr="00A33914">
        <w:t>will underpin the se</w:t>
      </w:r>
      <w:r w:rsidR="00635652">
        <w:t xml:space="preserve">ismic loading provisions in </w:t>
      </w:r>
      <w:r w:rsidRPr="00A33914">
        <w:t>Indonesian building code</w:t>
      </w:r>
      <w:r w:rsidR="00635652">
        <w:t>s</w:t>
      </w:r>
      <w:r w:rsidR="004861D9">
        <w:t xml:space="preserve">. </w:t>
      </w:r>
      <w:r w:rsidR="00996364">
        <w:t>Upon</w:t>
      </w:r>
      <w:r w:rsidR="004861D9">
        <w:t xml:space="preserve"> implementation</w:t>
      </w:r>
      <w:r w:rsidR="00040250">
        <w:t xml:space="preserve">, </w:t>
      </w:r>
      <w:r w:rsidR="00996364">
        <w:t xml:space="preserve">these codes </w:t>
      </w:r>
      <w:r w:rsidR="004861D9">
        <w:t>w</w:t>
      </w:r>
      <w:r w:rsidRPr="00A33914">
        <w:t>ill result in more seismically resilient construction practise</w:t>
      </w:r>
      <w:r w:rsidR="007E1D91">
        <w:t>s</w:t>
      </w:r>
      <w:r w:rsidRPr="00A33914">
        <w:t xml:space="preserve"> for large buildings and infrastructure </w:t>
      </w:r>
      <w:r w:rsidR="004861D9">
        <w:t>reducing community risk</w:t>
      </w:r>
      <w:r w:rsidRPr="00A33914">
        <w:t xml:space="preserve">. </w:t>
      </w:r>
    </w:p>
    <w:p w14:paraId="5890171C" w14:textId="6ED57AFA" w:rsidR="007517F9" w:rsidRPr="00A33914" w:rsidRDefault="007517F9" w:rsidP="007517F9">
      <w:pPr>
        <w:pStyle w:val="BodyText"/>
      </w:pPr>
      <w:r w:rsidRPr="00A33914">
        <w:t xml:space="preserve">This </w:t>
      </w:r>
      <w:r w:rsidR="007E1D91">
        <w:t>A</w:t>
      </w:r>
      <w:r w:rsidRPr="00A33914">
        <w:t xml:space="preserve">ctivity has resulted in a new culture of collaboration among GoI technical agencies and academia that is being formalised in the establishment of an Indonesian National </w:t>
      </w:r>
      <w:r w:rsidR="00C75C4D" w:rsidRPr="00A33914">
        <w:t>Centre</w:t>
      </w:r>
      <w:r w:rsidR="00FE4FE6">
        <w:t xml:space="preserve"> for Earthquake Studies </w:t>
      </w:r>
      <w:r w:rsidRPr="00A33914">
        <w:t>(Pusat S</w:t>
      </w:r>
      <w:r w:rsidR="00635652">
        <w:t>tudi Gempabumi Nasional, aka PuSGeN</w:t>
      </w:r>
      <w:r w:rsidRPr="00A33914">
        <w:t xml:space="preserve">), which </w:t>
      </w:r>
      <w:r w:rsidR="00040250">
        <w:t>will continue to serve</w:t>
      </w:r>
      <w:r w:rsidRPr="00A33914">
        <w:t xml:space="preserve"> as a platform for multi-agency collaboration in research to support earthquake hazard mitigation. </w:t>
      </w:r>
    </w:p>
    <w:p w14:paraId="2AD37BEB" w14:textId="4E261210" w:rsidR="007517F9" w:rsidRPr="00A33914" w:rsidRDefault="007517F9" w:rsidP="007517F9">
      <w:pPr>
        <w:pStyle w:val="BodyText"/>
      </w:pPr>
      <w:r w:rsidRPr="00A33914">
        <w:t xml:space="preserve">The </w:t>
      </w:r>
      <w:r w:rsidR="007E1D91">
        <w:t>A</w:t>
      </w:r>
      <w:r w:rsidRPr="00A33914">
        <w:t xml:space="preserve">ctivity has resulted in the training of many staff </w:t>
      </w:r>
      <w:r w:rsidR="00635652">
        <w:t>from</w:t>
      </w:r>
      <w:r w:rsidRPr="00A33914">
        <w:t xml:space="preserve"> GoI technical agencies in the principles and practice of earthquake hazard and risk assessment. These skills will continue to be used in </w:t>
      </w:r>
      <w:r w:rsidR="004861D9">
        <w:t>the</w:t>
      </w:r>
      <w:r w:rsidR="004861D9" w:rsidRPr="00A33914">
        <w:t xml:space="preserve"> </w:t>
      </w:r>
      <w:r w:rsidRPr="00A33914">
        <w:t>development of improved national earthquake hazard maps as well as in more detailed studies of Indonesian earthq</w:t>
      </w:r>
      <w:r w:rsidR="00635652">
        <w:t>uake hazard and risk at provincial</w:t>
      </w:r>
      <w:r w:rsidRPr="00A33914">
        <w:t xml:space="preserve"> and city</w:t>
      </w:r>
      <w:r w:rsidR="00635652">
        <w:t xml:space="preserve"> scale</w:t>
      </w:r>
      <w:r w:rsidRPr="00A33914">
        <w:t>.</w:t>
      </w:r>
    </w:p>
    <w:p w14:paraId="0E45ABAF" w14:textId="2989BD6A" w:rsidR="007517F9" w:rsidRDefault="004861D9" w:rsidP="007517F9">
      <w:pPr>
        <w:pStyle w:val="BodyText"/>
      </w:pPr>
      <w:r>
        <w:t>Lasting</w:t>
      </w:r>
      <w:r w:rsidR="00996364">
        <w:t xml:space="preserve"> r</w:t>
      </w:r>
      <w:r w:rsidR="00635652">
        <w:t>elations between PuSGeN</w:t>
      </w:r>
      <w:r w:rsidR="007517F9" w:rsidRPr="00A33914">
        <w:t xml:space="preserve"> agencies and the </w:t>
      </w:r>
      <w:r w:rsidR="007517F9">
        <w:t>GEM</w:t>
      </w:r>
      <w:r w:rsidR="007E1D91">
        <w:t xml:space="preserve"> foundation</w:t>
      </w:r>
      <w:r w:rsidR="007517F9">
        <w:t xml:space="preserve">, which </w:t>
      </w:r>
      <w:r w:rsidR="007517F9" w:rsidRPr="00A33914">
        <w:t xml:space="preserve">develops </w:t>
      </w:r>
      <w:r>
        <w:t>international best practice</w:t>
      </w:r>
      <w:r w:rsidR="007517F9" w:rsidRPr="00A33914">
        <w:t xml:space="preserve"> earthquake haz</w:t>
      </w:r>
      <w:r w:rsidR="007517F9">
        <w:t xml:space="preserve">ard and risk tools and models, </w:t>
      </w:r>
      <w:r w:rsidR="007517F9" w:rsidRPr="00A33914">
        <w:t>have been established by this activity</w:t>
      </w:r>
      <w:r w:rsidR="00205E9C">
        <w:t>. This engagement is</w:t>
      </w:r>
      <w:r w:rsidR="00635652">
        <w:t xml:space="preserve"> expected to</w:t>
      </w:r>
      <w:r w:rsidR="007517F9" w:rsidRPr="00A33914">
        <w:t xml:space="preserve"> endure </w:t>
      </w:r>
      <w:r w:rsidR="00205E9C">
        <w:t xml:space="preserve">as </w:t>
      </w:r>
      <w:r w:rsidR="00635652">
        <w:t>the</w:t>
      </w:r>
      <w:r w:rsidR="007517F9" w:rsidRPr="00A33914">
        <w:t xml:space="preserve"> Indonesian </w:t>
      </w:r>
      <w:r w:rsidR="00635652">
        <w:t xml:space="preserve">Ministry for </w:t>
      </w:r>
      <w:r w:rsidR="007517F9" w:rsidRPr="00A33914">
        <w:t xml:space="preserve">Public Works </w:t>
      </w:r>
      <w:r w:rsidR="00635652">
        <w:t xml:space="preserve">and Housing </w:t>
      </w:r>
      <w:r w:rsidR="007517F9" w:rsidRPr="00A33914">
        <w:t>currently in the process of negotiating GEM membership for Indonesia. Indonesian</w:t>
      </w:r>
      <w:r w:rsidR="00C75C4D">
        <w:t xml:space="preserve"> GEM membership will provide PuSGeN</w:t>
      </w:r>
      <w:r w:rsidR="007517F9" w:rsidRPr="00A33914">
        <w:t xml:space="preserve"> with world-class expertise in earthquake hazard and risk assessment that wil</w:t>
      </w:r>
      <w:r w:rsidR="00635652">
        <w:t>l</w:t>
      </w:r>
      <w:r w:rsidR="007517F9" w:rsidRPr="00A33914">
        <w:t xml:space="preserve"> support GoI disaster mitigation.</w:t>
      </w:r>
    </w:p>
    <w:p w14:paraId="4BA2EE86" w14:textId="77777777" w:rsidR="00CB1B3E" w:rsidRPr="00CB1B3E" w:rsidRDefault="00CB1B3E" w:rsidP="00635652">
      <w:pPr>
        <w:pStyle w:val="ListBulletLevel1"/>
        <w:numPr>
          <w:ilvl w:val="0"/>
          <w:numId w:val="0"/>
        </w:numPr>
        <w:rPr>
          <w:b/>
        </w:rPr>
      </w:pPr>
      <w:r w:rsidRPr="00CB1B3E">
        <w:rPr>
          <w:b/>
        </w:rPr>
        <w:t>Tsunami hazard (Activity 4.2)</w:t>
      </w:r>
    </w:p>
    <w:p w14:paraId="786CFF3A" w14:textId="258FCB9A" w:rsidR="007517F9" w:rsidRDefault="007517F9" w:rsidP="00635652">
      <w:pPr>
        <w:pStyle w:val="ListBulletLevel1"/>
        <w:numPr>
          <w:ilvl w:val="0"/>
          <w:numId w:val="0"/>
        </w:numPr>
      </w:pPr>
      <w:r w:rsidRPr="00676D3B">
        <w:t xml:space="preserve">The tsunami inundation hazard mapping capability that has been built within BG </w:t>
      </w:r>
      <w:r w:rsidR="00635652">
        <w:t xml:space="preserve">is considered </w:t>
      </w:r>
      <w:r>
        <w:t>sustainable.</w:t>
      </w:r>
    </w:p>
    <w:p w14:paraId="0888551A" w14:textId="2FDFE97E" w:rsidR="007517F9" w:rsidRDefault="007517F9" w:rsidP="007517F9">
      <w:pPr>
        <w:pStyle w:val="ListBulletLevel1"/>
      </w:pPr>
      <w:r w:rsidRPr="00676D3B">
        <w:t xml:space="preserve">There </w:t>
      </w:r>
      <w:r w:rsidR="00C27FFA">
        <w:t>are</w:t>
      </w:r>
      <w:r w:rsidR="00040250">
        <w:t xml:space="preserve"> a</w:t>
      </w:r>
      <w:r w:rsidR="00C27FFA">
        <w:t xml:space="preserve"> number of</w:t>
      </w:r>
      <w:r w:rsidRPr="00676D3B">
        <w:t xml:space="preserve"> </w:t>
      </w:r>
      <w:r w:rsidRPr="00635652">
        <w:rPr>
          <w:rStyle w:val="Bold"/>
          <w:b w:val="0"/>
        </w:rPr>
        <w:t>suitably qualified staff</w:t>
      </w:r>
      <w:r w:rsidRPr="00676D3B">
        <w:t xml:space="preserve"> to undertake </w:t>
      </w:r>
      <w:r w:rsidR="00040250">
        <w:t>tsunami</w:t>
      </w:r>
      <w:r w:rsidRPr="00676D3B">
        <w:t xml:space="preserve"> model</w:t>
      </w:r>
      <w:r>
        <w:t>ling and interpret the results.</w:t>
      </w:r>
      <w:r w:rsidR="00635652">
        <w:t xml:space="preserve"> One of these BG staff played a leading role in delivering the final tsunami inundation training workshop </w:t>
      </w:r>
      <w:r w:rsidR="00C75C4D">
        <w:t>demonstrating</w:t>
      </w:r>
      <w:r w:rsidR="00635652">
        <w:t xml:space="preserve"> that BG now have the </w:t>
      </w:r>
      <w:r w:rsidR="009D48B4">
        <w:t xml:space="preserve">capability </w:t>
      </w:r>
      <w:r w:rsidR="00635652">
        <w:t>to teach t</w:t>
      </w:r>
      <w:r w:rsidR="009D48B4">
        <w:t xml:space="preserve">heir own staff and </w:t>
      </w:r>
      <w:r w:rsidR="00635652">
        <w:t xml:space="preserve">other agencies how to undertake tsunami inundation modelling. </w:t>
      </w:r>
    </w:p>
    <w:p w14:paraId="713571D3" w14:textId="3C0D4497" w:rsidR="007517F9" w:rsidRDefault="007517F9" w:rsidP="007517F9">
      <w:pPr>
        <w:pStyle w:val="ListBulletLevel1"/>
      </w:pPr>
      <w:r w:rsidRPr="00676D3B">
        <w:t xml:space="preserve">There is now </w:t>
      </w:r>
      <w:r w:rsidR="00C27FFA">
        <w:t>an established</w:t>
      </w:r>
      <w:r w:rsidRPr="00676D3B">
        <w:t xml:space="preserve"> </w:t>
      </w:r>
      <w:r w:rsidRPr="00635652">
        <w:rPr>
          <w:rStyle w:val="Bold"/>
          <w:b w:val="0"/>
        </w:rPr>
        <w:t>workflow</w:t>
      </w:r>
      <w:r w:rsidRPr="00676D3B">
        <w:t xml:space="preserve"> in place for accessing </w:t>
      </w:r>
      <w:r w:rsidR="009D48B4">
        <w:t xml:space="preserve">elevation </w:t>
      </w:r>
      <w:r w:rsidRPr="00676D3B">
        <w:t xml:space="preserve">data from BIG without </w:t>
      </w:r>
      <w:r w:rsidR="00635652">
        <w:t>GA</w:t>
      </w:r>
      <w:r w:rsidRPr="00676D3B">
        <w:t xml:space="preserve"> or BNPB involvement. </w:t>
      </w:r>
      <w:r w:rsidR="009D48B4">
        <w:t xml:space="preserve">However, accessing data that is of suitable quality for all locations in Indonesia remains problematic. For example areas of Kalimantan and West Papua, where the GoI does not </w:t>
      </w:r>
      <w:r w:rsidR="00040250">
        <w:t xml:space="preserve">currently </w:t>
      </w:r>
      <w:r w:rsidR="009D48B4">
        <w:t>hold suitable data.</w:t>
      </w:r>
    </w:p>
    <w:p w14:paraId="2A5CB260" w14:textId="640D2913" w:rsidR="00635652" w:rsidRPr="00635652" w:rsidRDefault="00C27FFA" w:rsidP="007517F9">
      <w:pPr>
        <w:pStyle w:val="ListBulletLevel1"/>
        <w:rPr>
          <w:rStyle w:val="Bold"/>
        </w:rPr>
      </w:pPr>
      <w:r>
        <w:rPr>
          <w:rStyle w:val="Bold"/>
          <w:b w:val="0"/>
        </w:rPr>
        <w:t>Sustainable a</w:t>
      </w:r>
      <w:r w:rsidR="00635652">
        <w:rPr>
          <w:rStyle w:val="Bold"/>
          <w:b w:val="0"/>
        </w:rPr>
        <w:t xml:space="preserve">ccess to computing facilities has been identified </w:t>
      </w:r>
      <w:r>
        <w:rPr>
          <w:rStyle w:val="Bold"/>
          <w:b w:val="0"/>
        </w:rPr>
        <w:t xml:space="preserve">by </w:t>
      </w:r>
      <w:r w:rsidR="00635652">
        <w:rPr>
          <w:rStyle w:val="Bold"/>
          <w:b w:val="0"/>
        </w:rPr>
        <w:t>BG as</w:t>
      </w:r>
      <w:r w:rsidR="00040250">
        <w:rPr>
          <w:rStyle w:val="Bold"/>
          <w:b w:val="0"/>
        </w:rPr>
        <w:t xml:space="preserve"> a</w:t>
      </w:r>
      <w:r w:rsidR="00635652">
        <w:rPr>
          <w:rStyle w:val="Bold"/>
          <w:b w:val="0"/>
        </w:rPr>
        <w:t xml:space="preserve"> potential issue moving forward. BG is currently working on two potential solutions to this problem:</w:t>
      </w:r>
    </w:p>
    <w:p w14:paraId="4133D721" w14:textId="390E3B23" w:rsidR="007517F9" w:rsidRDefault="00635652" w:rsidP="00635652">
      <w:pPr>
        <w:pStyle w:val="ListBulletLevel2"/>
      </w:pPr>
      <w:r>
        <w:rPr>
          <w:rStyle w:val="Bold"/>
          <w:b w:val="0"/>
        </w:rPr>
        <w:t xml:space="preserve">Improved access to the high performance computing resources established at </w:t>
      </w:r>
      <w:r w:rsidR="00E30F1D">
        <w:t>PuSGeN</w:t>
      </w:r>
    </w:p>
    <w:p w14:paraId="7CD0E70C" w14:textId="23FD5EA0" w:rsidR="00635652" w:rsidRDefault="00C27FFA" w:rsidP="00635652">
      <w:pPr>
        <w:pStyle w:val="ListBulletLevel2"/>
      </w:pPr>
      <w:r>
        <w:t>Establishing</w:t>
      </w:r>
      <w:r w:rsidR="00635652">
        <w:t xml:space="preserve"> their own small high performance computer at BG. </w:t>
      </w:r>
    </w:p>
    <w:p w14:paraId="753CC44C" w14:textId="21D49AD6" w:rsidR="00635652" w:rsidRPr="00635652" w:rsidRDefault="00635652" w:rsidP="00635652">
      <w:pPr>
        <w:pStyle w:val="ListBulletLevel2"/>
        <w:numPr>
          <w:ilvl w:val="0"/>
          <w:numId w:val="0"/>
        </w:numPr>
        <w:ind w:left="312"/>
      </w:pPr>
      <w:r>
        <w:t xml:space="preserve">BG’s ownership of this issue and their action in finding a resolution provides confidence that they are well positioned to establish and </w:t>
      </w:r>
      <w:r w:rsidR="00040250">
        <w:t xml:space="preserve">sustainably </w:t>
      </w:r>
      <w:r>
        <w:t xml:space="preserve">manage the right solution for them moving forward. </w:t>
      </w:r>
    </w:p>
    <w:p w14:paraId="3D82C235" w14:textId="77777777" w:rsidR="00CB1B3E" w:rsidRPr="00CB1B3E" w:rsidRDefault="00CB1B3E" w:rsidP="00E30F1D">
      <w:pPr>
        <w:pStyle w:val="BodyText"/>
        <w:rPr>
          <w:b/>
        </w:rPr>
      </w:pPr>
      <w:r w:rsidRPr="00CB1B3E">
        <w:rPr>
          <w:b/>
        </w:rPr>
        <w:t>Tsunami warning system (Activity 4.3)</w:t>
      </w:r>
    </w:p>
    <w:p w14:paraId="353B2E4C" w14:textId="5C614E75" w:rsidR="007517F9" w:rsidRDefault="00635652" w:rsidP="00E30F1D">
      <w:pPr>
        <w:pStyle w:val="BodyText"/>
      </w:pPr>
      <w:r>
        <w:t>U</w:t>
      </w:r>
      <w:r w:rsidR="007517F9" w:rsidRPr="00676D3B">
        <w:t>pdate</w:t>
      </w:r>
      <w:r>
        <w:t>s</w:t>
      </w:r>
      <w:r w:rsidR="007517F9" w:rsidRPr="00676D3B">
        <w:t xml:space="preserve"> to the tsunami warning sy</w:t>
      </w:r>
      <w:r w:rsidR="007517F9">
        <w:t xml:space="preserve">stem </w:t>
      </w:r>
      <w:r>
        <w:t>are</w:t>
      </w:r>
      <w:r w:rsidR="007517F9">
        <w:t xml:space="preserve"> considered sustainable.</w:t>
      </w:r>
    </w:p>
    <w:p w14:paraId="3A6BDDA5" w14:textId="437885FD" w:rsidR="007517F9" w:rsidRDefault="007517F9" w:rsidP="007517F9">
      <w:pPr>
        <w:pStyle w:val="ListBulletLevel1"/>
      </w:pPr>
      <w:r w:rsidRPr="00676D3B">
        <w:t xml:space="preserve">There are </w:t>
      </w:r>
      <w:r w:rsidRPr="00635652">
        <w:rPr>
          <w:rStyle w:val="Bold"/>
          <w:b w:val="0"/>
        </w:rPr>
        <w:t xml:space="preserve">suitably qualified </w:t>
      </w:r>
      <w:r w:rsidR="005C567A">
        <w:rPr>
          <w:rStyle w:val="Bold"/>
          <w:b w:val="0"/>
        </w:rPr>
        <w:t xml:space="preserve">BMKG </w:t>
      </w:r>
      <w:r w:rsidR="005C567A" w:rsidRPr="00635652">
        <w:rPr>
          <w:rStyle w:val="Bold"/>
          <w:b w:val="0"/>
        </w:rPr>
        <w:t>staff</w:t>
      </w:r>
      <w:r w:rsidR="00C27FFA">
        <w:t xml:space="preserve"> </w:t>
      </w:r>
      <w:r w:rsidRPr="00676D3B">
        <w:t>to run the system and maintain the system as well as update the tsunami sources in the system if requ</w:t>
      </w:r>
      <w:r>
        <w:t>ired.</w:t>
      </w:r>
    </w:p>
    <w:p w14:paraId="5722DA15" w14:textId="24E3807F" w:rsidR="007517F9" w:rsidRDefault="007517F9" w:rsidP="007517F9">
      <w:pPr>
        <w:pStyle w:val="ListBulletLevel1"/>
      </w:pPr>
      <w:r w:rsidRPr="00676D3B">
        <w:t xml:space="preserve">Both the centre in BMKG and the regional </w:t>
      </w:r>
      <w:r w:rsidR="00996364">
        <w:t xml:space="preserve">BMKG office </w:t>
      </w:r>
      <w:r w:rsidRPr="00676D3B">
        <w:t xml:space="preserve">in Bali have received </w:t>
      </w:r>
      <w:r w:rsidRPr="00635652">
        <w:rPr>
          <w:rStyle w:val="Bold"/>
          <w:b w:val="0"/>
        </w:rPr>
        <w:t>training</w:t>
      </w:r>
      <w:r>
        <w:t xml:space="preserve"> in all aspects of the system.</w:t>
      </w:r>
    </w:p>
    <w:p w14:paraId="6F153AFB" w14:textId="33EAE099" w:rsidR="007517F9" w:rsidRDefault="007517F9" w:rsidP="007517F9">
      <w:pPr>
        <w:pStyle w:val="ListBulletLevel1"/>
      </w:pPr>
      <w:r w:rsidRPr="00676D3B">
        <w:t xml:space="preserve">BMKG is confident in </w:t>
      </w:r>
      <w:r w:rsidRPr="00635652">
        <w:rPr>
          <w:rStyle w:val="Bold"/>
          <w:b w:val="0"/>
        </w:rPr>
        <w:t xml:space="preserve">running </w:t>
      </w:r>
      <w:r w:rsidR="00996364">
        <w:rPr>
          <w:rStyle w:val="Bold"/>
          <w:b w:val="0"/>
        </w:rPr>
        <w:t xml:space="preserve">the enhanced </w:t>
      </w:r>
      <w:r w:rsidR="005C567A">
        <w:rPr>
          <w:rStyle w:val="Bold"/>
          <w:b w:val="0"/>
        </w:rPr>
        <w:t>tsunami</w:t>
      </w:r>
      <w:r w:rsidR="00996364">
        <w:rPr>
          <w:rStyle w:val="Bold"/>
          <w:b w:val="0"/>
        </w:rPr>
        <w:t xml:space="preserve"> warning system a</w:t>
      </w:r>
      <w:r w:rsidRPr="00676D3B">
        <w:t xml:space="preserve">nd are now focussing </w:t>
      </w:r>
      <w:r w:rsidRPr="00EE06A1">
        <w:rPr>
          <w:bCs/>
        </w:rPr>
        <w:t>on</w:t>
      </w:r>
      <w:r w:rsidRPr="00635652">
        <w:rPr>
          <w:b/>
        </w:rPr>
        <w:t xml:space="preserve"> </w:t>
      </w:r>
      <w:r w:rsidRPr="00635652">
        <w:rPr>
          <w:rStyle w:val="Bold"/>
          <w:b w:val="0"/>
        </w:rPr>
        <w:t>increasing ties</w:t>
      </w:r>
      <w:r w:rsidRPr="00676D3B">
        <w:t xml:space="preserve"> with BG so they have access to expert information on tsunami inundation to complement their system.</w:t>
      </w:r>
    </w:p>
    <w:p w14:paraId="444CB463" w14:textId="77777777" w:rsidR="00CB1B3E" w:rsidRPr="00CB1B3E" w:rsidRDefault="00CB1B3E" w:rsidP="00E30F1D">
      <w:pPr>
        <w:pStyle w:val="BodyText"/>
        <w:rPr>
          <w:b/>
        </w:rPr>
      </w:pPr>
      <w:r w:rsidRPr="00CB1B3E">
        <w:rPr>
          <w:b/>
        </w:rPr>
        <w:t>Volcano ash fall mapping (Activity 4.4)</w:t>
      </w:r>
    </w:p>
    <w:p w14:paraId="77FEE15E" w14:textId="0C75142E" w:rsidR="00EE06A1" w:rsidRPr="00E30F1D" w:rsidRDefault="00CB1B3E" w:rsidP="00E30F1D">
      <w:pPr>
        <w:pStyle w:val="BodyText"/>
      </w:pPr>
      <w:r>
        <w:t xml:space="preserve">This </w:t>
      </w:r>
      <w:r w:rsidR="00EE06A1" w:rsidRPr="00E30F1D">
        <w:t xml:space="preserve">Activity </w:t>
      </w:r>
      <w:r w:rsidR="00040250" w:rsidRPr="00E30F1D">
        <w:t xml:space="preserve">was </w:t>
      </w:r>
      <w:r w:rsidR="00C27FFA" w:rsidRPr="00E30F1D">
        <w:t>re-scop</w:t>
      </w:r>
      <w:r w:rsidR="00040250" w:rsidRPr="00E30F1D">
        <w:t>ed</w:t>
      </w:r>
      <w:r w:rsidR="00C27FFA" w:rsidRPr="00E30F1D">
        <w:t xml:space="preserve"> in</w:t>
      </w:r>
      <w:r w:rsidR="00D56DA9" w:rsidRPr="00E30F1D">
        <w:t xml:space="preserve"> early 2016 </w:t>
      </w:r>
      <w:r w:rsidR="00EE06A1" w:rsidRPr="00E30F1D">
        <w:t xml:space="preserve">as a result of key staffing changes at BG and changes in the Fall3D code made by the developers. </w:t>
      </w:r>
      <w:r w:rsidR="00040250" w:rsidRPr="00E30F1D">
        <w:t>At the time, this</w:t>
      </w:r>
      <w:r w:rsidR="00EE06A1" w:rsidRPr="00E30F1D">
        <w:t xml:space="preserve"> posed a setback to the sustainability of th</w:t>
      </w:r>
      <w:r w:rsidR="00C27FFA" w:rsidRPr="00E30F1D">
        <w:t>is</w:t>
      </w:r>
      <w:r w:rsidR="00EE06A1" w:rsidRPr="00E30F1D">
        <w:t xml:space="preserve"> Activity. </w:t>
      </w:r>
      <w:r w:rsidR="00040250" w:rsidRPr="00E30F1D">
        <w:t>To strengthen this activity</w:t>
      </w:r>
      <w:r>
        <w:t>, training was</w:t>
      </w:r>
      <w:r w:rsidR="00040250" w:rsidRPr="00E30F1D">
        <w:t xml:space="preserve"> refocussed </w:t>
      </w:r>
      <w:r w:rsidR="00EE06A1" w:rsidRPr="00E30F1D">
        <w:t>on a larger group of staff with a specific</w:t>
      </w:r>
      <w:r w:rsidR="00040250" w:rsidRPr="00E30F1D">
        <w:t xml:space="preserve"> </w:t>
      </w:r>
      <w:r w:rsidR="00C27FFA" w:rsidRPr="00E30F1D">
        <w:t>emphasis</w:t>
      </w:r>
      <w:r w:rsidR="00EE06A1" w:rsidRPr="00E30F1D">
        <w:t xml:space="preserve"> on the real</w:t>
      </w:r>
      <w:r w:rsidR="004511B2" w:rsidRPr="00E30F1D">
        <w:t>-</w:t>
      </w:r>
      <w:r w:rsidR="00EE06A1" w:rsidRPr="00E30F1D">
        <w:t>time forecasting capability. There are now 2 staff members that are proficient in modelling of real</w:t>
      </w:r>
      <w:r w:rsidR="004511B2" w:rsidRPr="00E30F1D">
        <w:t>-</w:t>
      </w:r>
      <w:r w:rsidR="00EE06A1" w:rsidRPr="00E30F1D">
        <w:t xml:space="preserve">time ash fall from eruptions and integrating the results with the InaSAFE Volcanic Ash Realtime system, with another 4 familiar with the process. </w:t>
      </w:r>
      <w:r w:rsidR="00040250" w:rsidRPr="00E30F1D">
        <w:t>This extra depth (i.e. 6 staff) provides BG with more options during the next round of staff transfers</w:t>
      </w:r>
      <w:r>
        <w:t>.</w:t>
      </w:r>
    </w:p>
    <w:p w14:paraId="3C626A94" w14:textId="0293ED93" w:rsidR="00EE06A1" w:rsidRPr="00E30F1D" w:rsidRDefault="00EE06A1" w:rsidP="00E30F1D">
      <w:pPr>
        <w:pStyle w:val="BodyText"/>
      </w:pPr>
      <w:r w:rsidRPr="00E30F1D">
        <w:t xml:space="preserve">BG demonstrated that they can use the </w:t>
      </w:r>
      <w:r w:rsidR="00D56DA9" w:rsidRPr="00E30F1D">
        <w:t xml:space="preserve">InaSAFE Realtime </w:t>
      </w:r>
      <w:r w:rsidRPr="00E30F1D">
        <w:t xml:space="preserve">system operationally, during the recent eruptive phase of Mt Agung (October </w:t>
      </w:r>
      <w:r w:rsidR="00D56DA9" w:rsidRPr="00E30F1D">
        <w:t xml:space="preserve">– December </w:t>
      </w:r>
      <w:r w:rsidRPr="00E30F1D">
        <w:t xml:space="preserve">2017) and the eruption of Mt Sinabung (February 2018). Further steps were taken by GA to increase the sustainability of this </w:t>
      </w:r>
      <w:r w:rsidR="000164E3">
        <w:t>capability</w:t>
      </w:r>
      <w:r w:rsidRPr="00E30F1D">
        <w:t xml:space="preserve">, by inviting the Fall3D code developers to lead the final training workshop, facilitating the </w:t>
      </w:r>
      <w:r w:rsidR="006E6D28" w:rsidRPr="00E30F1D">
        <w:t xml:space="preserve">deepening </w:t>
      </w:r>
      <w:r w:rsidRPr="00E30F1D">
        <w:t xml:space="preserve">of an ongoing relationship between them and BG. </w:t>
      </w:r>
      <w:r w:rsidR="00D56DA9" w:rsidRPr="00E30F1D">
        <w:t>BG can now ask the developers for assistance and advice directly.</w:t>
      </w:r>
    </w:p>
    <w:p w14:paraId="269F8F3A" w14:textId="3F074CCB" w:rsidR="00EE06A1" w:rsidRPr="00E30F1D" w:rsidRDefault="00EE06A1" w:rsidP="00E30F1D">
      <w:pPr>
        <w:pStyle w:val="BodyText"/>
      </w:pPr>
      <w:r w:rsidRPr="00E30F1D">
        <w:t xml:space="preserve">There is however </w:t>
      </w:r>
      <w:r w:rsidR="000164E3">
        <w:t xml:space="preserve">is concern </w:t>
      </w:r>
      <w:r w:rsidRPr="00E30F1D">
        <w:t>over data access, this</w:t>
      </w:r>
      <w:r w:rsidR="000164E3">
        <w:t xml:space="preserve"> capabilitymay</w:t>
      </w:r>
      <w:r w:rsidRPr="00E30F1D">
        <w:t xml:space="preserve"> not </w:t>
      </w:r>
      <w:r w:rsidR="000164E3">
        <w:t xml:space="preserve">be </w:t>
      </w:r>
      <w:r w:rsidRPr="00E30F1D">
        <w:t xml:space="preserve">sustainable without access to high quality </w:t>
      </w:r>
      <w:r w:rsidR="004511B2" w:rsidRPr="00E30F1D">
        <w:t>meteorological</w:t>
      </w:r>
      <w:r w:rsidRPr="00E30F1D">
        <w:t xml:space="preserve"> data, which has to date been accessed from BoM. Future arrangements for access to this data will need to be negotiated </w:t>
      </w:r>
      <w:r w:rsidR="00D56DA9" w:rsidRPr="00E30F1D">
        <w:t xml:space="preserve">directly </w:t>
      </w:r>
      <w:r w:rsidRPr="00E30F1D">
        <w:t>between BG and BoM</w:t>
      </w:r>
      <w:r w:rsidR="00FE4FE6" w:rsidRPr="00E30F1D">
        <w:t xml:space="preserve"> without GA involvement.</w:t>
      </w:r>
    </w:p>
    <w:p w14:paraId="52466748" w14:textId="79B6589C" w:rsidR="007517F9" w:rsidRDefault="007517F9" w:rsidP="007B64E1">
      <w:pPr>
        <w:pStyle w:val="Heading3"/>
      </w:pPr>
      <w:bookmarkStart w:id="22" w:name="_Toc524508494"/>
      <w:r>
        <w:t>Program 5</w:t>
      </w:r>
      <w:r w:rsidR="000164E3">
        <w:t>: Strengthen</w:t>
      </w:r>
      <w:r w:rsidR="006B62DA">
        <w:t>ed</w:t>
      </w:r>
      <w:r w:rsidR="000164E3">
        <w:t xml:space="preserve"> capability to store </w:t>
      </w:r>
      <w:r w:rsidR="006B62DA">
        <w:t xml:space="preserve">and use </w:t>
      </w:r>
      <w:r w:rsidR="000164E3">
        <w:t>earthquake data</w:t>
      </w:r>
      <w:bookmarkEnd w:id="22"/>
    </w:p>
    <w:p w14:paraId="71F50C5F" w14:textId="3B4C506E" w:rsidR="007517F9" w:rsidRPr="00E30F1D" w:rsidRDefault="006B62DA" w:rsidP="00E30F1D">
      <w:pPr>
        <w:pStyle w:val="BodyText"/>
      </w:pPr>
      <w:r>
        <w:t xml:space="preserve">This program was designed to advance the capability within GoI to store and learn from earthquake data and information to support disaster managent. </w:t>
      </w:r>
      <w:r w:rsidR="007517F9" w:rsidRPr="00E30F1D">
        <w:t xml:space="preserve">Under this Program, two business-critical systems </w:t>
      </w:r>
      <w:r w:rsidR="002A0371" w:rsidRPr="00E30F1D">
        <w:t>were</w:t>
      </w:r>
      <w:r w:rsidR="007517F9" w:rsidRPr="00E30F1D">
        <w:t xml:space="preserve"> </w:t>
      </w:r>
      <w:r w:rsidR="003F2BA7" w:rsidRPr="00E30F1D">
        <w:t>established</w:t>
      </w:r>
      <w:r w:rsidR="007517F9" w:rsidRPr="00E30F1D">
        <w:t xml:space="preserve"> at BMKG:</w:t>
      </w:r>
    </w:p>
    <w:p w14:paraId="308842BA" w14:textId="0D54323F" w:rsidR="006E6D28" w:rsidRDefault="006E6D28" w:rsidP="00E30F1D">
      <w:pPr>
        <w:pStyle w:val="ListNumberedLevel1"/>
        <w:numPr>
          <w:ilvl w:val="0"/>
          <w:numId w:val="46"/>
        </w:numPr>
      </w:pPr>
      <w:r w:rsidRPr="005C6FC1">
        <w:rPr>
          <w:rStyle w:val="Italic"/>
        </w:rPr>
        <w:t>Seiscomp3 system</w:t>
      </w:r>
      <w:r>
        <w:t xml:space="preserve">: </w:t>
      </w:r>
      <w:r w:rsidR="003F2BA7">
        <w:t>These updates have</w:t>
      </w:r>
      <w:r>
        <w:t xml:space="preserve"> enabled BMKG to retrieve, process, and archive strong-motion records in both real-time as well as manual modes. This tool has also been used extensively to generate earthquake reports following signif</w:t>
      </w:r>
      <w:r w:rsidR="003F2BA7">
        <w:t xml:space="preserve">icant earthquakes in Indonesia through </w:t>
      </w:r>
      <w:r w:rsidR="005C567A">
        <w:t>integration</w:t>
      </w:r>
      <w:r w:rsidR="003F2BA7">
        <w:t xml:space="preserve"> with the ShakeMap system.</w:t>
      </w:r>
    </w:p>
    <w:p w14:paraId="52F01BFD" w14:textId="5B5778C5" w:rsidR="002A0371" w:rsidRDefault="007517F9" w:rsidP="00E30F1D">
      <w:pPr>
        <w:pStyle w:val="ListNumberedLevel1"/>
        <w:numPr>
          <w:ilvl w:val="0"/>
          <w:numId w:val="46"/>
        </w:numPr>
      </w:pPr>
      <w:r w:rsidRPr="005C6FC1">
        <w:rPr>
          <w:rStyle w:val="Italic"/>
        </w:rPr>
        <w:t>Earthquake ShakeMap system</w:t>
      </w:r>
      <w:r>
        <w:t>: This system has enabled BMKG to produce near-real time maps of ground-motion and shaking intensity following earthquakes in Indonesia. This tool has been als</w:t>
      </w:r>
      <w:r w:rsidR="00C75C4D">
        <w:t>o used extensively to generate ShakeM</w:t>
      </w:r>
      <w:r>
        <w:t>aps for historical and/or hypothetical large earthquakes in Indonesia.</w:t>
      </w:r>
      <w:r w:rsidR="002A0371">
        <w:t xml:space="preserve"> </w:t>
      </w:r>
    </w:p>
    <w:p w14:paraId="606EA75A" w14:textId="1619E795" w:rsidR="001B527E" w:rsidRPr="00E30F1D" w:rsidRDefault="007517F9" w:rsidP="00E30F1D">
      <w:pPr>
        <w:pStyle w:val="BodyText"/>
      </w:pPr>
      <w:r w:rsidRPr="00E30F1D">
        <w:t>It is expected that both of the</w:t>
      </w:r>
      <w:r w:rsidR="002A0371" w:rsidRPr="00E30F1D">
        <w:t>se</w:t>
      </w:r>
      <w:r w:rsidRPr="00E30F1D">
        <w:t xml:space="preserve"> systems will </w:t>
      </w:r>
      <w:r w:rsidR="002A0371" w:rsidRPr="00E30F1D">
        <w:t xml:space="preserve">continue to </w:t>
      </w:r>
      <w:r w:rsidRPr="00E30F1D">
        <w:t xml:space="preserve">evolve in the years to come and it will be BMKG’s responsibility to keep the systems up-to-date. Nevertheless, </w:t>
      </w:r>
      <w:r w:rsidR="002A0371" w:rsidRPr="00E30F1D">
        <w:t xml:space="preserve">both systems are currently operational systems that are being used by BMKG to meet its mandated responsibilities </w:t>
      </w:r>
      <w:r w:rsidR="00C75C4D" w:rsidRPr="00E30F1D">
        <w:t>on behalf of GoI with minimal in</w:t>
      </w:r>
      <w:r w:rsidR="002A0371" w:rsidRPr="00E30F1D">
        <w:t xml:space="preserve">put </w:t>
      </w:r>
      <w:r w:rsidR="003F2BA7" w:rsidRPr="00E30F1D">
        <w:t>from</w:t>
      </w:r>
      <w:r w:rsidR="002A0371" w:rsidRPr="00E30F1D">
        <w:t xml:space="preserve"> GA. </w:t>
      </w:r>
      <w:r w:rsidR="000164E3">
        <w:t>GA?</w:t>
      </w:r>
      <w:r w:rsidR="000164E3" w:rsidRPr="00E30F1D">
        <w:t xml:space="preserve"> </w:t>
      </w:r>
      <w:r w:rsidR="003F2BA7" w:rsidRPr="00E30F1D">
        <w:t>consider</w:t>
      </w:r>
      <w:r w:rsidR="000164E3">
        <w:t>s</w:t>
      </w:r>
      <w:r w:rsidR="002A0371" w:rsidRPr="00E30F1D">
        <w:t xml:space="preserve"> these sy</w:t>
      </w:r>
      <w:r w:rsidR="00C75C4D" w:rsidRPr="00E30F1D">
        <w:t>s</w:t>
      </w:r>
      <w:r w:rsidR="002A0371" w:rsidRPr="00E30F1D">
        <w:t xml:space="preserve">tems sustainable. </w:t>
      </w:r>
      <w:r w:rsidR="001B527E" w:rsidRPr="00E30F1D">
        <w:t>In particular, the capability for the collection, analysis and storage of strong motion data within BMKG has progressed significantly over the project. BMKG has a lifetime licence for the SIGMA module (the software module used for strong ground motion archiving and analysis) and 3 years of free updates and technical support (up to 2020) from the software developer</w:t>
      </w:r>
      <w:r w:rsidR="006E6D28" w:rsidRPr="00E30F1D">
        <w:t xml:space="preserve"> GEMPA</w:t>
      </w:r>
      <w:r w:rsidR="001B527E" w:rsidRPr="00E30F1D">
        <w:t>. After this time they will need to budget for technical support for this software. BMKG is aware of this future cost.</w:t>
      </w:r>
    </w:p>
    <w:p w14:paraId="10171DDC" w14:textId="11E4D1B8" w:rsidR="001B527E" w:rsidRPr="00E30F1D" w:rsidRDefault="007B64E1" w:rsidP="00E30F1D">
      <w:pPr>
        <w:pStyle w:val="BodyText"/>
      </w:pPr>
      <w:r w:rsidRPr="00E30F1D">
        <w:t xml:space="preserve">This </w:t>
      </w:r>
      <w:r w:rsidR="009D48B4" w:rsidRPr="00E30F1D">
        <w:t>P</w:t>
      </w:r>
      <w:r w:rsidRPr="00E30F1D">
        <w:t xml:space="preserve">rogram had a third component to </w:t>
      </w:r>
      <w:r w:rsidR="006E6D28" w:rsidRPr="00E30F1D">
        <w:t xml:space="preserve">initiate </w:t>
      </w:r>
      <w:r w:rsidRPr="00E30F1D">
        <w:t>discussion</w:t>
      </w:r>
      <w:r w:rsidR="001B527E" w:rsidRPr="00E30F1D">
        <w:t>s</w:t>
      </w:r>
      <w:r w:rsidRPr="00E30F1D">
        <w:t xml:space="preserve"> </w:t>
      </w:r>
      <w:r w:rsidR="006E6D28" w:rsidRPr="00E30F1D">
        <w:t>for</w:t>
      </w:r>
      <w:r w:rsidRPr="00E30F1D">
        <w:t xml:space="preserve"> coordinated GoI capture of </w:t>
      </w:r>
      <w:r w:rsidR="008E4BEE" w:rsidRPr="00E30F1D">
        <w:t xml:space="preserve">post-event </w:t>
      </w:r>
      <w:r w:rsidRPr="00E30F1D">
        <w:t>damage data following Indonesian earthquakes. The systematic collection and an</w:t>
      </w:r>
      <w:r w:rsidR="001B527E" w:rsidRPr="00E30F1D">
        <w:t>a</w:t>
      </w:r>
      <w:r w:rsidRPr="00E30F1D">
        <w:t xml:space="preserve">lysis of such data is critical to Indonesia meeting its aspirations to better understand seismic risk. GA coordinated a workshop on the collection of exposure data </w:t>
      </w:r>
      <w:r w:rsidR="008E4BEE" w:rsidRPr="00E30F1D">
        <w:t xml:space="preserve">through </w:t>
      </w:r>
      <w:r w:rsidRPr="00E30F1D">
        <w:t>post</w:t>
      </w:r>
      <w:r w:rsidR="008E4BEE" w:rsidRPr="00E30F1D">
        <w:t>-</w:t>
      </w:r>
      <w:r w:rsidRPr="00E30F1D">
        <w:t xml:space="preserve">disaster surveys in November 2017. During this workshop consensus was reached on roles and responsibilities in undertaking post-disaster surveys. Further work is required by these agencies to formalise and implement these roles and responsibilities. It remains to be seen if this will be achieved sustainably without further intervention from external expertise/facilitators. </w:t>
      </w:r>
      <w:r w:rsidR="001B527E" w:rsidRPr="00E30F1D">
        <w:t>However</w:t>
      </w:r>
      <w:r w:rsidR="003F2BA7" w:rsidRPr="00E30F1D">
        <w:t>,</w:t>
      </w:r>
      <w:r w:rsidR="001B527E" w:rsidRPr="00E30F1D">
        <w:t xml:space="preserve"> given the strong ties built through collaborations on the National Earthquake </w:t>
      </w:r>
      <w:r w:rsidR="00C75C4D" w:rsidRPr="00E30F1D">
        <w:t>Hazard Map, it is hoped that PuS</w:t>
      </w:r>
      <w:r w:rsidR="001B527E" w:rsidRPr="00E30F1D">
        <w:t xml:space="preserve">GeN agencies will continue to work together in this space and that collaboration on this will continue. </w:t>
      </w:r>
    </w:p>
    <w:p w14:paraId="1A36411D" w14:textId="77777777" w:rsidR="00A05166" w:rsidRDefault="00A05166" w:rsidP="00A05166">
      <w:pPr>
        <w:pStyle w:val="Heading2"/>
      </w:pPr>
      <w:bookmarkStart w:id="23" w:name="_Toc514226293"/>
      <w:bookmarkStart w:id="24" w:name="_Toc524508495"/>
      <w:r>
        <w:t>Effectiveness</w:t>
      </w:r>
      <w:bookmarkEnd w:id="23"/>
      <w:bookmarkEnd w:id="24"/>
    </w:p>
    <w:p w14:paraId="2E6CB7EC" w14:textId="149D4495" w:rsidR="00A05166" w:rsidRPr="001446B4" w:rsidRDefault="00A05166" w:rsidP="00A05166">
      <w:pPr>
        <w:pStyle w:val="BodyText"/>
      </w:pPr>
      <w:r w:rsidRPr="001446B4">
        <w:t xml:space="preserve">The effectiveness of </w:t>
      </w:r>
      <w:r w:rsidR="009B50D7">
        <w:t>the GA led activities to enhance the use of</w:t>
      </w:r>
      <w:r w:rsidRPr="001446B4">
        <w:t xml:space="preserve"> credible science to inform disaster management decisions has been illustrated th</w:t>
      </w:r>
      <w:r w:rsidR="00B62258" w:rsidRPr="001446B4">
        <w:t xml:space="preserve">rough </w:t>
      </w:r>
      <w:r w:rsidR="009B50D7">
        <w:t>multiple achievements across the project</w:t>
      </w:r>
      <w:r w:rsidRPr="001446B4">
        <w:t>. Some of these include:</w:t>
      </w:r>
    </w:p>
    <w:p w14:paraId="1BD8B007" w14:textId="4CD13BF8" w:rsidR="009B50D7" w:rsidRDefault="00A05166" w:rsidP="00A05166">
      <w:pPr>
        <w:pStyle w:val="ListBulletLevel1"/>
      </w:pPr>
      <w:r w:rsidRPr="001446B4">
        <w:t xml:space="preserve">The completion and release of </w:t>
      </w:r>
      <w:r w:rsidR="009B50D7">
        <w:t xml:space="preserve">a new National Earthquake Hazard Map. </w:t>
      </w:r>
      <w:r w:rsidR="008E4BEE">
        <w:t xml:space="preserve">The </w:t>
      </w:r>
      <w:r w:rsidRPr="001446B4">
        <w:t xml:space="preserve">map </w:t>
      </w:r>
      <w:r w:rsidR="008E4BEE">
        <w:t>was</w:t>
      </w:r>
      <w:r w:rsidRPr="001446B4">
        <w:t xml:space="preserve"> produced using the latest science and international</w:t>
      </w:r>
      <w:r w:rsidR="008E4BEE">
        <w:t xml:space="preserve"> best practice</w:t>
      </w:r>
      <w:r w:rsidRPr="001446B4">
        <w:t xml:space="preserve"> hazard modelling available for Indonesia. </w:t>
      </w:r>
      <w:r w:rsidR="008E4BEE">
        <w:t>This</w:t>
      </w:r>
      <w:r w:rsidR="009B50D7">
        <w:t xml:space="preserve"> will be used to inform</w:t>
      </w:r>
      <w:r w:rsidRPr="001446B4">
        <w:t xml:space="preserve"> Indonesian Building Codes </w:t>
      </w:r>
      <w:r w:rsidR="009B50D7">
        <w:t xml:space="preserve">for buildings and key infrastructure. </w:t>
      </w:r>
    </w:p>
    <w:p w14:paraId="62E5C778" w14:textId="2D56F6A4" w:rsidR="00A05166" w:rsidRPr="001446B4" w:rsidRDefault="00A05166" w:rsidP="00A05166">
      <w:pPr>
        <w:pStyle w:val="ListBulletLevel1"/>
      </w:pPr>
      <w:r w:rsidRPr="001446B4">
        <w:t xml:space="preserve">The Indonesian Tsunami Warning </w:t>
      </w:r>
      <w:r w:rsidR="000164E3">
        <w:t>S</w:t>
      </w:r>
      <w:r w:rsidR="000164E3" w:rsidRPr="001446B4">
        <w:t xml:space="preserve">ystem </w:t>
      </w:r>
      <w:r w:rsidR="00364471" w:rsidRPr="001446B4">
        <w:t xml:space="preserve">(InaTEWS) </w:t>
      </w:r>
      <w:r w:rsidRPr="001446B4">
        <w:t>is now a</w:t>
      </w:r>
      <w:r w:rsidR="006C1048">
        <w:t xml:space="preserve">n operational </w:t>
      </w:r>
      <w:r w:rsidRPr="001446B4">
        <w:t xml:space="preserve">system </w:t>
      </w:r>
      <w:r w:rsidR="006C1048">
        <w:t>with</w:t>
      </w:r>
      <w:r w:rsidRPr="001446B4">
        <w:t xml:space="preserve"> consistent</w:t>
      </w:r>
      <w:r w:rsidR="009B50D7">
        <w:t xml:space="preserve"> coverage for all of Indonesia and therefore contributing to the safety of millions of Indonesian’s that l</w:t>
      </w:r>
      <w:r w:rsidR="008E4BEE">
        <w:t>ive</w:t>
      </w:r>
      <w:r w:rsidR="009B50D7">
        <w:t xml:space="preserve"> near the coast. </w:t>
      </w:r>
    </w:p>
    <w:p w14:paraId="24223903" w14:textId="1CD380AA" w:rsidR="00A05166" w:rsidRPr="001446B4" w:rsidRDefault="00A05166" w:rsidP="009B50D7">
      <w:pPr>
        <w:pStyle w:val="ListBulletLevel1"/>
      </w:pPr>
      <w:r w:rsidRPr="001446B4">
        <w:t xml:space="preserve">BG </w:t>
      </w:r>
      <w:r w:rsidR="009B50D7">
        <w:t>is now</w:t>
      </w:r>
      <w:r w:rsidRPr="001446B4">
        <w:t xml:space="preserve"> recognised as an authority on tsunami inundation hazard maps</w:t>
      </w:r>
      <w:r w:rsidR="008E4BEE">
        <w:t>. Based on this recognition</w:t>
      </w:r>
      <w:r w:rsidR="003F2BA7">
        <w:t xml:space="preserve"> </w:t>
      </w:r>
      <w:r w:rsidR="008E4BEE">
        <w:t>they have</w:t>
      </w:r>
      <w:r w:rsidRPr="001446B4">
        <w:t xml:space="preserve"> been requested to provide updated hazard information to support </w:t>
      </w:r>
      <w:r w:rsidR="009B50D7">
        <w:t xml:space="preserve">infrastructure </w:t>
      </w:r>
      <w:r w:rsidRPr="001446B4">
        <w:t>development decisions</w:t>
      </w:r>
      <w:r w:rsidR="008E4BEE">
        <w:t>,</w:t>
      </w:r>
      <w:r w:rsidR="009B50D7">
        <w:t xml:space="preserve"> including high profile national </w:t>
      </w:r>
      <w:r w:rsidR="00C75C4D">
        <w:t>projects</w:t>
      </w:r>
      <w:r w:rsidR="009B50D7">
        <w:t xml:space="preserve"> such as airports, ports and energy generation facilities. For example, </w:t>
      </w:r>
      <w:r w:rsidR="009B50D7" w:rsidRPr="001446B4">
        <w:t xml:space="preserve">BMKG and BG worked collaboratively </w:t>
      </w:r>
      <w:r w:rsidR="009B50D7">
        <w:t>to provide</w:t>
      </w:r>
      <w:r w:rsidR="009B50D7" w:rsidRPr="001446B4">
        <w:t xml:space="preserve"> advice on tsunami mitigation for the construction of a new airport in Kulon Progo</w:t>
      </w:r>
      <w:r w:rsidR="009B50D7">
        <w:t xml:space="preserve">. </w:t>
      </w:r>
    </w:p>
    <w:p w14:paraId="4FF1E994" w14:textId="78FBC20F" w:rsidR="00364471" w:rsidRPr="001446B4" w:rsidRDefault="00A05166" w:rsidP="00364471">
      <w:pPr>
        <w:pStyle w:val="ListBulletLevel1"/>
      </w:pPr>
      <w:r w:rsidRPr="001446B4">
        <w:t>BNPB has embraced OSM data and hosted their own mapathon</w:t>
      </w:r>
      <w:r w:rsidR="009B50D7">
        <w:t>s</w:t>
      </w:r>
      <w:r w:rsidRPr="001446B4">
        <w:t xml:space="preserve"> to support disaster management decis</w:t>
      </w:r>
      <w:r w:rsidR="00364471" w:rsidRPr="001446B4">
        <w:t>i</w:t>
      </w:r>
      <w:r w:rsidR="009B50D7">
        <w:t xml:space="preserve">ons during the Mt Agung crisis. Furthermore, </w:t>
      </w:r>
      <w:r w:rsidR="00364471" w:rsidRPr="001446B4">
        <w:t>some provincial (BPBD) offices can manage their own OSM tasking requests.</w:t>
      </w:r>
      <w:r w:rsidR="009B50D7">
        <w:t xml:space="preserve"> This proven capacity within Indonesia is expected to continue to inform disaster manag</w:t>
      </w:r>
      <w:r w:rsidR="00C75C4D">
        <w:t>em</w:t>
      </w:r>
      <w:r w:rsidR="009B50D7">
        <w:t>ent decision making within BNPB and BPB</w:t>
      </w:r>
      <w:r w:rsidR="003F2BA7">
        <w:t>D</w:t>
      </w:r>
      <w:r w:rsidR="009B50D7">
        <w:t xml:space="preserve">s across the country. </w:t>
      </w:r>
    </w:p>
    <w:p w14:paraId="0E9AA32B" w14:textId="73F84262" w:rsidR="00364471" w:rsidRPr="001446B4" w:rsidRDefault="00A05166" w:rsidP="00A05166">
      <w:pPr>
        <w:pStyle w:val="ListBulletLevel1"/>
      </w:pPr>
      <w:r w:rsidRPr="001446B4">
        <w:t>BMKG continue</w:t>
      </w:r>
      <w:r w:rsidR="008E4BEE">
        <w:t>s</w:t>
      </w:r>
      <w:r w:rsidRPr="001446B4">
        <w:t xml:space="preserve"> to release ShakeMaps in </w:t>
      </w:r>
      <w:r w:rsidR="00C75C4D" w:rsidRPr="001446B4">
        <w:t>real-time</w:t>
      </w:r>
      <w:r w:rsidRPr="001446B4">
        <w:t xml:space="preserve"> following earthquake events in </w:t>
      </w:r>
      <w:r w:rsidR="005C567A" w:rsidRPr="001446B4">
        <w:t xml:space="preserve">Indonesia, </w:t>
      </w:r>
      <w:r w:rsidR="005C567A">
        <w:t>which</w:t>
      </w:r>
      <w:r w:rsidR="008E4BEE">
        <w:t xml:space="preserve"> are being</w:t>
      </w:r>
      <w:r w:rsidRPr="001446B4">
        <w:t xml:space="preserve"> using to help inform disaster management decisions.</w:t>
      </w:r>
      <w:r w:rsidR="00305F12">
        <w:t xml:space="preserve"> For example, this functionality proved critical during the response of the </w:t>
      </w:r>
      <w:r w:rsidR="00305F12" w:rsidRPr="00BD299D">
        <w:t>Magnitude 6.5, 7 December 2016 Pidie Earthquake.</w:t>
      </w:r>
    </w:p>
    <w:p w14:paraId="5D725846" w14:textId="7FC19636" w:rsidR="00A05166" w:rsidRPr="001446B4" w:rsidRDefault="00364471" w:rsidP="00364471">
      <w:pPr>
        <w:pStyle w:val="ListBulletLevel1"/>
      </w:pPr>
      <w:r w:rsidRPr="001446B4">
        <w:t xml:space="preserve">Collaboration between BG and the Volcanic Ash Advisory Centre </w:t>
      </w:r>
      <w:r w:rsidR="009D48B4">
        <w:t>at BoM</w:t>
      </w:r>
      <w:r w:rsidRPr="001446B4">
        <w:t xml:space="preserve"> has increased substantially, enabling the sharing of observations of volcanic activity from the ground (from BG to BoM) and from satellite remote sensing (from BoM to BG).</w:t>
      </w:r>
      <w:r w:rsidR="003F2BA7">
        <w:t xml:space="preserve"> This sharing of data is currently happening for all significant eruptions in Indonesia.</w:t>
      </w:r>
    </w:p>
    <w:p w14:paraId="06B1635A" w14:textId="34B18752" w:rsidR="001446B4" w:rsidRPr="001446B4" w:rsidRDefault="001446B4" w:rsidP="001446B4">
      <w:pPr>
        <w:pStyle w:val="ListBulletLevel1"/>
      </w:pPr>
      <w:r w:rsidRPr="001446B4">
        <w:t>The GREAT program train</w:t>
      </w:r>
      <w:r w:rsidR="008E4BEE">
        <w:t>s</w:t>
      </w:r>
      <w:r w:rsidRPr="001446B4">
        <w:t xml:space="preserve"> high quality scientists at ITB,</w:t>
      </w:r>
      <w:r w:rsidR="008E4BEE">
        <w:t xml:space="preserve"> with</w:t>
      </w:r>
      <w:r w:rsidR="003F2BA7">
        <w:t xml:space="preserve"> </w:t>
      </w:r>
      <w:r w:rsidRPr="001446B4">
        <w:t>the quality of the research significantly increased through collaboration with ANU.</w:t>
      </w:r>
      <w:r w:rsidR="00305F12">
        <w:t xml:space="preserve"> The 40 graduate students that have benefited from this </w:t>
      </w:r>
      <w:r w:rsidR="00C75C4D">
        <w:t>activity</w:t>
      </w:r>
      <w:r w:rsidR="00305F12">
        <w:t xml:space="preserve"> are now </w:t>
      </w:r>
      <w:r w:rsidR="008E4BEE">
        <w:t>developing</w:t>
      </w:r>
      <w:r w:rsidR="00305F12">
        <w:t xml:space="preserve"> stronger evidence based disaster management in Indonesia. Moreover, the strengthened education system</w:t>
      </w:r>
      <w:r w:rsidR="00C75C4D">
        <w:t xml:space="preserve"> in ITB</w:t>
      </w:r>
      <w:r w:rsidR="00305F12">
        <w:t xml:space="preserve"> </w:t>
      </w:r>
      <w:r w:rsidR="003F2BA7">
        <w:t>will</w:t>
      </w:r>
      <w:r w:rsidR="00305F12">
        <w:t xml:space="preserve"> continue to develop experts with relevant skills into the future. </w:t>
      </w:r>
    </w:p>
    <w:p w14:paraId="5E3D3914" w14:textId="77777777" w:rsidR="00A05166" w:rsidRDefault="00A05166" w:rsidP="00A05166">
      <w:pPr>
        <w:pStyle w:val="Heading2"/>
      </w:pPr>
      <w:bookmarkStart w:id="25" w:name="_Toc514226294"/>
      <w:bookmarkStart w:id="26" w:name="_Toc524508496"/>
      <w:r>
        <w:t>Efficiency</w:t>
      </w:r>
      <w:bookmarkEnd w:id="25"/>
      <w:bookmarkEnd w:id="26"/>
    </w:p>
    <w:p w14:paraId="6DC395BF" w14:textId="77777777" w:rsidR="00D3246C" w:rsidRDefault="00D3246C" w:rsidP="00A05166">
      <w:pPr>
        <w:pStyle w:val="BodyText"/>
      </w:pPr>
      <w:r>
        <w:t xml:space="preserve">During the leadership of this program GA sought to identify and exploit efficiencies </w:t>
      </w:r>
      <w:r w:rsidR="00C75C4D">
        <w:t>wherever</w:t>
      </w:r>
      <w:r>
        <w:t xml:space="preserve"> possible. Notable examples include:</w:t>
      </w:r>
    </w:p>
    <w:p w14:paraId="0354A64B" w14:textId="46564B01" w:rsidR="00D3246C" w:rsidRDefault="009D48B4" w:rsidP="00D3246C">
      <w:pPr>
        <w:pStyle w:val="ListBulletLevel1"/>
      </w:pPr>
      <w:r>
        <w:t>C</w:t>
      </w:r>
      <w:r w:rsidR="007C03F9" w:rsidRPr="007C03F9">
        <w:t xml:space="preserve">oordination between </w:t>
      </w:r>
      <w:r w:rsidR="00D3246C">
        <w:t xml:space="preserve">GA, BNPB, GoI technical </w:t>
      </w:r>
      <w:r w:rsidR="00C75C4D">
        <w:t>agencies</w:t>
      </w:r>
      <w:r w:rsidR="00D3246C">
        <w:t xml:space="preserve"> and implementation partners </w:t>
      </w:r>
      <w:r w:rsidR="007C03F9" w:rsidRPr="007C03F9">
        <w:t>to plan, schedule and deliver</w:t>
      </w:r>
      <w:r w:rsidR="00D3246C">
        <w:t xml:space="preserve"> activities</w:t>
      </w:r>
      <w:r w:rsidR="007C03F9" w:rsidRPr="007C03F9">
        <w:t xml:space="preserve">. </w:t>
      </w:r>
      <w:r w:rsidR="007C03F9">
        <w:t xml:space="preserve">This </w:t>
      </w:r>
      <w:r w:rsidR="00D3246C">
        <w:t>facilitated</w:t>
      </w:r>
      <w:r w:rsidR="007C03F9">
        <w:t xml:space="preserve"> the </w:t>
      </w:r>
      <w:r w:rsidR="001544C5">
        <w:t>management</w:t>
      </w:r>
      <w:r w:rsidR="007C03F9">
        <w:t xml:space="preserve"> of contributions from partners (e.g. universities participating in mapathons</w:t>
      </w:r>
      <w:r w:rsidR="001544C5">
        <w:t xml:space="preserve"> and InaSAFE version releases</w:t>
      </w:r>
      <w:r w:rsidR="007C03F9">
        <w:t xml:space="preserve">) to </w:t>
      </w:r>
      <w:r w:rsidR="001544C5">
        <w:t>meet BNPB priority programs and planning needs.</w:t>
      </w:r>
      <w:r w:rsidR="00D3246C">
        <w:t xml:space="preserve"> GA invested in activities that were of a direct interest to GoI partners, therefore increasing collaboration and co-investment from GoI. </w:t>
      </w:r>
    </w:p>
    <w:p w14:paraId="617C3FEB" w14:textId="21288E1F" w:rsidR="00D3246C" w:rsidRPr="00D34ADD" w:rsidRDefault="00D3246C" w:rsidP="00D3246C">
      <w:pPr>
        <w:pStyle w:val="ListBulletLevel1"/>
      </w:pPr>
      <w:r w:rsidRPr="00D34ADD">
        <w:t>As GoA officials, GA staff understand the pressures of operating in a technical capacity within agencies that deliver government mandated activities and services. The efficiency of peer-to-peer engage</w:t>
      </w:r>
      <w:r w:rsidR="00C75C4D">
        <w:t>me</w:t>
      </w:r>
      <w:r w:rsidRPr="00D34ADD">
        <w:t>nt between GA staff and GoI technical officials benefited greatly f</w:t>
      </w:r>
      <w:r w:rsidR="00FE4FE6">
        <w:t>rom this shared understanding.</w:t>
      </w:r>
    </w:p>
    <w:p w14:paraId="5F5B414D" w14:textId="7C40C33F" w:rsidR="00A128AC" w:rsidRDefault="001544C5" w:rsidP="00D3246C">
      <w:pPr>
        <w:pStyle w:val="ListBulletLevel1"/>
      </w:pPr>
      <w:r w:rsidRPr="00D34ADD">
        <w:t>In developing the capacity of GREAT, Australian scientists support</w:t>
      </w:r>
      <w:r w:rsidR="00996364">
        <w:t>ed</w:t>
      </w:r>
      <w:r w:rsidR="00553110">
        <w:t xml:space="preserve"> ITB student research. This leveraged student interest because they were individually motivated to graduate. It also created research that fed directly into other parts of the program, particularly Activity 4.1 and the </w:t>
      </w:r>
      <w:r w:rsidR="000164E3">
        <w:t>National Earthquake Hazard Map</w:t>
      </w:r>
      <w:r w:rsidR="00553110">
        <w:t>.</w:t>
      </w:r>
      <w:r w:rsidRPr="00D34ADD">
        <w:t xml:space="preserve"> </w:t>
      </w:r>
    </w:p>
    <w:p w14:paraId="76AD0ECF" w14:textId="4AE519EA" w:rsidR="00A05166" w:rsidRPr="00D34ADD" w:rsidRDefault="001544C5" w:rsidP="00D3246C">
      <w:pPr>
        <w:pStyle w:val="ListBulletLevel1"/>
      </w:pPr>
      <w:r w:rsidRPr="00D34ADD">
        <w:t>Efficiency of the activity was further enhanced by the opportunity for obtaining additional funding through Australian Research Council proposals to undertake research that will extend the scope of the projects done by GREAT/ITB students. Further e</w:t>
      </w:r>
      <w:r w:rsidR="00A05166" w:rsidRPr="00D34ADD">
        <w:t xml:space="preserve">fficiencies </w:t>
      </w:r>
      <w:r w:rsidRPr="00D34ADD">
        <w:t xml:space="preserve">were identified, such as the </w:t>
      </w:r>
      <w:r w:rsidR="00A05166" w:rsidRPr="00D34ADD">
        <w:t xml:space="preserve">use </w:t>
      </w:r>
      <w:r w:rsidRPr="00D34ADD">
        <w:t xml:space="preserve">of </w:t>
      </w:r>
      <w:r w:rsidR="00A05166" w:rsidRPr="00D34ADD">
        <w:t xml:space="preserve">funding from the grant ($140K) to leverage additional funding from the ANU ($155K) to purchase a joint instrument pool (the AITO) which </w:t>
      </w:r>
      <w:r w:rsidR="007C03F9" w:rsidRPr="00D34ADD">
        <w:t>is intended</w:t>
      </w:r>
      <w:r w:rsidR="00A05166" w:rsidRPr="00D34ADD">
        <w:t xml:space="preserve"> to support GREAT research </w:t>
      </w:r>
      <w:r w:rsidR="007C03F9" w:rsidRPr="00D34ADD">
        <w:t>until 2027</w:t>
      </w:r>
      <w:r w:rsidR="00095315" w:rsidRPr="00D34ADD">
        <w:t>.</w:t>
      </w:r>
    </w:p>
    <w:p w14:paraId="681E1661" w14:textId="72EDEF65" w:rsidR="008068C9" w:rsidRPr="00D34ADD" w:rsidRDefault="008068C9" w:rsidP="00D3246C">
      <w:pPr>
        <w:pStyle w:val="ListBulletLevel1"/>
      </w:pPr>
      <w:r w:rsidRPr="00D34ADD">
        <w:t>Efficiency was greatly improved between the volcanic ash modelling team (GoI and GoA) a</w:t>
      </w:r>
      <w:r w:rsidR="00553110">
        <w:t xml:space="preserve">nd the InaSAFE team who worked </w:t>
      </w:r>
      <w:r w:rsidRPr="00D34ADD">
        <w:t xml:space="preserve">across a number of time zones </w:t>
      </w:r>
      <w:r w:rsidR="00A128AC">
        <w:t>via</w:t>
      </w:r>
      <w:r w:rsidRPr="00D34ADD">
        <w:t xml:space="preserve"> online messaging and </w:t>
      </w:r>
      <w:r w:rsidR="00553110">
        <w:t xml:space="preserve">innovative </w:t>
      </w:r>
      <w:r w:rsidRPr="00D34ADD">
        <w:t>software development tools (e.g. G</w:t>
      </w:r>
      <w:r w:rsidR="00FE4FE6">
        <w:t xml:space="preserve">itHub) and video-conferencing. </w:t>
      </w:r>
      <w:r w:rsidRPr="00D34ADD">
        <w:t>In this way a great deal of progress was made between face-to-face meetings.</w:t>
      </w:r>
    </w:p>
    <w:p w14:paraId="654D78C1" w14:textId="4046F4CE" w:rsidR="00A05166" w:rsidRPr="00095315" w:rsidRDefault="00A05166" w:rsidP="00D3246C">
      <w:pPr>
        <w:pStyle w:val="ListBulletLevel1"/>
      </w:pPr>
      <w:r w:rsidRPr="00095315">
        <w:t>The new Tasking Manager for OSM</w:t>
      </w:r>
      <w:r w:rsidR="007C03F9" w:rsidRPr="00095315">
        <w:t>,</w:t>
      </w:r>
      <w:r w:rsidRPr="00095315">
        <w:t xml:space="preserve"> which was developed </w:t>
      </w:r>
      <w:r w:rsidR="00D3246C">
        <w:t>by implementation partner</w:t>
      </w:r>
      <w:r w:rsidRPr="00095315">
        <w:t xml:space="preserve"> HOT, </w:t>
      </w:r>
      <w:r w:rsidR="00D3246C">
        <w:t>delivered</w:t>
      </w:r>
      <w:r w:rsidRPr="00095315">
        <w:t xml:space="preserve"> efficiencies by sharing the cost of </w:t>
      </w:r>
      <w:r w:rsidR="00D37CA2">
        <w:t xml:space="preserve">mapping projects </w:t>
      </w:r>
      <w:r w:rsidRPr="00095315">
        <w:t>with other interested parties around the world. The new version gains efficiencies in the mapping process by making it easier to mana</w:t>
      </w:r>
      <w:r w:rsidR="00FE4FE6">
        <w:t>ge tasks and validate mapping.</w:t>
      </w:r>
    </w:p>
    <w:p w14:paraId="681E6512" w14:textId="488F40EF" w:rsidR="00A05166" w:rsidRDefault="00A05166" w:rsidP="00D3246C">
      <w:pPr>
        <w:pStyle w:val="ListBulletLevel1"/>
      </w:pPr>
      <w:r w:rsidRPr="00095315">
        <w:t xml:space="preserve">Efficiencies were gained </w:t>
      </w:r>
      <w:r w:rsidR="00D37CA2">
        <w:t xml:space="preserve">in the tsunami activities </w:t>
      </w:r>
      <w:r w:rsidRPr="00095315">
        <w:t xml:space="preserve">by aligning activity timelines with the </w:t>
      </w:r>
      <w:r w:rsidR="00D37CA2">
        <w:t>International Tsunami Symposium</w:t>
      </w:r>
      <w:r w:rsidRPr="00095315">
        <w:t xml:space="preserve"> in Bali; workshop held, and meetings with other partners that were present to discuss and plan for other aspects of the program, including the InaTEWS system and earthquake hazard assessment.</w:t>
      </w:r>
    </w:p>
    <w:p w14:paraId="71183F06" w14:textId="65DE9B96" w:rsidR="00D3246C" w:rsidRPr="009C5942" w:rsidRDefault="006C1048" w:rsidP="009C5942">
      <w:pPr>
        <w:pStyle w:val="BodyText"/>
      </w:pPr>
      <w:r>
        <w:t xml:space="preserve">It is useful to note that </w:t>
      </w:r>
      <w:r w:rsidR="0006540A">
        <w:t>for projects like DMInnovation, with multiple intergrated components, success is supported by regular contact and face-to-face meetings. This can be achieved with short term missions once relationships are established. However, it was our observation that t</w:t>
      </w:r>
      <w:r w:rsidR="00C75C4D" w:rsidRPr="009C5942">
        <w:t>he complet</w:t>
      </w:r>
      <w:r w:rsidR="00D37CA2" w:rsidRPr="009C5942">
        <w:t>ion of GA deployments to Indonesia in June 2017 led to</w:t>
      </w:r>
      <w:r w:rsidR="00D3246C" w:rsidRPr="009C5942">
        <w:t xml:space="preserve"> a decrease in the efficiency of management of the project due to significantly less face to face time with partners, reduced overlapping office hours due to the time difference and relying on internet connections (for example for Skype meetings, which </w:t>
      </w:r>
      <w:r w:rsidR="00D37CA2" w:rsidRPr="009C5942">
        <w:t>were</w:t>
      </w:r>
      <w:r w:rsidR="00D3246C" w:rsidRPr="009C5942">
        <w:t xml:space="preserve"> not always </w:t>
      </w:r>
      <w:r w:rsidR="00D37CA2" w:rsidRPr="009C5942">
        <w:t>reliable</w:t>
      </w:r>
      <w:r w:rsidR="00D3246C" w:rsidRPr="009C5942">
        <w:t xml:space="preserve">). </w:t>
      </w:r>
      <w:r w:rsidR="00D37CA2" w:rsidRPr="009C5942">
        <w:t>In contrast</w:t>
      </w:r>
      <w:r w:rsidR="00D3246C" w:rsidRPr="009C5942">
        <w:t xml:space="preserve">, some </w:t>
      </w:r>
      <w:r w:rsidR="00D37CA2" w:rsidRPr="009C5942">
        <w:t>efficiencies were gained through having all GA employees on the project in one office.</w:t>
      </w:r>
    </w:p>
    <w:p w14:paraId="319974A1" w14:textId="77777777" w:rsidR="00A05166" w:rsidRDefault="00A05166" w:rsidP="00A05166">
      <w:pPr>
        <w:pStyle w:val="Heading2"/>
      </w:pPr>
      <w:bookmarkStart w:id="27" w:name="_Toc514226295"/>
      <w:bookmarkStart w:id="28" w:name="_Toc524508497"/>
      <w:r>
        <w:t>Monitoring and Evaluation</w:t>
      </w:r>
      <w:bookmarkEnd w:id="27"/>
      <w:bookmarkEnd w:id="28"/>
    </w:p>
    <w:p w14:paraId="671C1AF4" w14:textId="77777777" w:rsidR="00A05166" w:rsidRPr="00095315" w:rsidRDefault="00A05166" w:rsidP="00A05166">
      <w:pPr>
        <w:pStyle w:val="BodyText"/>
      </w:pPr>
      <w:r w:rsidRPr="00095315">
        <w:t>The monitoring and evaluation framework set up for the DMInnovation project ha</w:t>
      </w:r>
      <w:r w:rsidR="00095315" w:rsidRPr="00095315">
        <w:t>d</w:t>
      </w:r>
      <w:r w:rsidRPr="00095315">
        <w:t xml:space="preserve"> several components:</w:t>
      </w:r>
    </w:p>
    <w:p w14:paraId="3C42F402" w14:textId="69E6C5D9" w:rsidR="00A05166" w:rsidRPr="00095315" w:rsidRDefault="00A05166" w:rsidP="00A05166">
      <w:pPr>
        <w:pStyle w:val="ListBulletLevel1"/>
      </w:pPr>
      <w:r w:rsidRPr="009C5942">
        <w:rPr>
          <w:rStyle w:val="Italic"/>
        </w:rPr>
        <w:t>Annual Work Plan</w:t>
      </w:r>
      <w:r w:rsidR="00095315" w:rsidRPr="009C5942">
        <w:rPr>
          <w:rStyle w:val="Italic"/>
        </w:rPr>
        <w:t>s</w:t>
      </w:r>
      <w:r w:rsidRPr="009C5942">
        <w:rPr>
          <w:rStyle w:val="Italic"/>
        </w:rPr>
        <w:t xml:space="preserve"> (AWP</w:t>
      </w:r>
      <w:r w:rsidR="00095315" w:rsidRPr="009C5942">
        <w:rPr>
          <w:rStyle w:val="Italic"/>
        </w:rPr>
        <w:t>s</w:t>
      </w:r>
      <w:r w:rsidRPr="009C5942">
        <w:rPr>
          <w:rStyle w:val="Italic"/>
        </w:rPr>
        <w:t>)</w:t>
      </w:r>
      <w:r w:rsidR="001423C7">
        <w:t>: these</w:t>
      </w:r>
      <w:r w:rsidRPr="00095315">
        <w:t xml:space="preserve"> </w:t>
      </w:r>
      <w:r w:rsidR="00095315" w:rsidRPr="00095315">
        <w:t>were</w:t>
      </w:r>
      <w:r w:rsidRPr="00095315">
        <w:t xml:space="preserve"> signed by both DFAT and BNPB. The Programs and Activities listed in the AWP </w:t>
      </w:r>
      <w:r w:rsidR="00A128AC">
        <w:t>are</w:t>
      </w:r>
      <w:r w:rsidRPr="00095315">
        <w:t xml:space="preserve"> reported against in this report.</w:t>
      </w:r>
    </w:p>
    <w:p w14:paraId="6F97C3BF" w14:textId="2803BB76" w:rsidR="00A05166" w:rsidRPr="00095315" w:rsidRDefault="00A05166" w:rsidP="00A05166">
      <w:pPr>
        <w:pStyle w:val="ListBulletLevel1"/>
      </w:pPr>
      <w:r w:rsidRPr="009C5942">
        <w:rPr>
          <w:rStyle w:val="Italic"/>
        </w:rPr>
        <w:t>Terms of Reference (ToRs)</w:t>
      </w:r>
      <w:r w:rsidR="001423C7">
        <w:t>:</w:t>
      </w:r>
      <w:r w:rsidRPr="00095315">
        <w:t xml:space="preserve"> </w:t>
      </w:r>
      <w:r w:rsidR="001423C7">
        <w:t xml:space="preserve">these were developed </w:t>
      </w:r>
      <w:r w:rsidRPr="00095315">
        <w:t>for each Program</w:t>
      </w:r>
      <w:r w:rsidR="00095315" w:rsidRPr="00095315">
        <w:t xml:space="preserve"> under the DMInnovation </w:t>
      </w:r>
      <w:r w:rsidR="000164E3">
        <w:t>p</w:t>
      </w:r>
      <w:r w:rsidR="000164E3" w:rsidRPr="00095315">
        <w:t xml:space="preserve">roject </w:t>
      </w:r>
      <w:r w:rsidR="001423C7">
        <w:t xml:space="preserve">and </w:t>
      </w:r>
      <w:r w:rsidR="00095315" w:rsidRPr="00095315">
        <w:t>were</w:t>
      </w:r>
      <w:r w:rsidRPr="00095315">
        <w:t xml:space="preserve"> finalised and signed</w:t>
      </w:r>
      <w:r w:rsidR="00D37CA2">
        <w:t>/endorsed</w:t>
      </w:r>
      <w:r w:rsidRPr="00095315">
        <w:t xml:space="preserve"> by BNPB. These documents cover</w:t>
      </w:r>
      <w:r w:rsidR="00095315" w:rsidRPr="00095315">
        <w:t>ed</w:t>
      </w:r>
      <w:r w:rsidRPr="00095315">
        <w:t xml:space="preserve"> the life of the program.</w:t>
      </w:r>
    </w:p>
    <w:p w14:paraId="2C3D5A1E" w14:textId="36E5B58D" w:rsidR="00A05166" w:rsidRPr="00DB735B" w:rsidRDefault="00A05166" w:rsidP="00A05166">
      <w:pPr>
        <w:pStyle w:val="ListBulletLevel1"/>
      </w:pPr>
      <w:r w:rsidRPr="009C5942">
        <w:rPr>
          <w:rStyle w:val="Italic"/>
        </w:rPr>
        <w:t>Project Management Units (PMU</w:t>
      </w:r>
      <w:r w:rsidR="001423C7" w:rsidRPr="009C5942">
        <w:rPr>
          <w:rStyle w:val="Italic"/>
        </w:rPr>
        <w:t>s)</w:t>
      </w:r>
      <w:r w:rsidR="001423C7">
        <w:t xml:space="preserve">: </w:t>
      </w:r>
      <w:r w:rsidRPr="00095315">
        <w:t xml:space="preserve">a PMU </w:t>
      </w:r>
      <w:r w:rsidR="001423C7">
        <w:t xml:space="preserve">was established </w:t>
      </w:r>
      <w:r w:rsidRPr="00095315">
        <w:t xml:space="preserve">for each of the Programs (1 to 5) and there </w:t>
      </w:r>
      <w:r w:rsidR="00095315" w:rsidRPr="00095315">
        <w:t>was</w:t>
      </w:r>
      <w:r w:rsidRPr="00095315">
        <w:t xml:space="preserve"> a PMU head in BNPB responsible for each one. They ha</w:t>
      </w:r>
      <w:r w:rsidR="00095315" w:rsidRPr="00095315">
        <w:t>d</w:t>
      </w:r>
      <w:r w:rsidRPr="00095315">
        <w:t xml:space="preserve"> responsibility for signing the ToRs for each of these, including the associated budget. </w:t>
      </w:r>
      <w:r w:rsidR="001423C7" w:rsidRPr="00DB735B">
        <w:t>PMU meetings were</w:t>
      </w:r>
      <w:r w:rsidRPr="00DB735B">
        <w:t xml:space="preserve"> held </w:t>
      </w:r>
      <w:r w:rsidR="001423C7" w:rsidRPr="00AB66BC">
        <w:t xml:space="preserve">in 2017 </w:t>
      </w:r>
      <w:r w:rsidRPr="00DB735B">
        <w:t>for e</w:t>
      </w:r>
      <w:r w:rsidR="00D37CA2">
        <w:t>ach PMU (1 through 5) with BNPB</w:t>
      </w:r>
      <w:r w:rsidRPr="00DB735B">
        <w:t>.</w:t>
      </w:r>
      <w:r w:rsidR="00D37CA2">
        <w:t xml:space="preserve"> Unfortunately, the PMU model was not </w:t>
      </w:r>
      <w:r w:rsidR="003F2BA7">
        <w:t>supported</w:t>
      </w:r>
      <w:r w:rsidR="00D37CA2">
        <w:t xml:space="preserve"> by BNPB as well as </w:t>
      </w:r>
      <w:r w:rsidR="0006540A">
        <w:t xml:space="preserve">GA </w:t>
      </w:r>
      <w:r w:rsidR="00D37CA2">
        <w:t>w</w:t>
      </w:r>
      <w:r w:rsidR="00C75C4D">
        <w:t>ould have liked and DFAT and DMI</w:t>
      </w:r>
      <w:r w:rsidR="00D37CA2">
        <w:t>nnovation in-country staff had d</w:t>
      </w:r>
      <w:r w:rsidR="003F2BA7">
        <w:t>ifficulty scheduling follow-on P</w:t>
      </w:r>
      <w:r w:rsidR="00D37CA2">
        <w:t>MU meetings.</w:t>
      </w:r>
      <w:r w:rsidRPr="00DB735B">
        <w:t xml:space="preserve"> </w:t>
      </w:r>
    </w:p>
    <w:p w14:paraId="48B701BF" w14:textId="77777777" w:rsidR="00A05166" w:rsidRPr="00DB735B" w:rsidRDefault="00D37CA2" w:rsidP="00A05166">
      <w:pPr>
        <w:pStyle w:val="ListBulletLevel1"/>
      </w:pPr>
      <w:r>
        <w:t xml:space="preserve">GA </w:t>
      </w:r>
      <w:r w:rsidR="001423C7" w:rsidRPr="00DB735B">
        <w:t>Progress Reporting</w:t>
      </w:r>
      <w:r>
        <w:t xml:space="preserve"> was yearly in financial years 2014-15 and 2015-2016 and six-monthly thereafter.</w:t>
      </w:r>
      <w:r w:rsidR="00A05166" w:rsidRPr="00DB735B">
        <w:t xml:space="preserve"> </w:t>
      </w:r>
    </w:p>
    <w:p w14:paraId="2FCAD5DA" w14:textId="77777777" w:rsidR="00A05166" w:rsidRPr="00DB735B" w:rsidRDefault="00A05166" w:rsidP="00A05166">
      <w:pPr>
        <w:pStyle w:val="ListBulletLevel1"/>
      </w:pPr>
      <w:r w:rsidRPr="00DB735B">
        <w:t>Repor</w:t>
      </w:r>
      <w:r w:rsidR="00D37CA2">
        <w:t>ting on Competency and Gender. In 2016 t</w:t>
      </w:r>
      <w:r w:rsidRPr="00DB735B">
        <w:t>he hazard programs established methods for capturing data on competency and gender of participants</w:t>
      </w:r>
      <w:r w:rsidR="00D37CA2">
        <w:t xml:space="preserve">. The detail for these is </w:t>
      </w:r>
      <w:r w:rsidRPr="00DB735B">
        <w:t>included in</w:t>
      </w:r>
      <w:r w:rsidR="00DB735B" w:rsidRPr="00DB735B">
        <w:t xml:space="preserve"> Volume 2 of this Completion</w:t>
      </w:r>
      <w:r w:rsidRPr="00DB735B">
        <w:t xml:space="preserve"> Report. Significant work </w:t>
      </w:r>
      <w:r w:rsidR="00DB735B" w:rsidRPr="00DB735B">
        <w:t>was</w:t>
      </w:r>
      <w:r w:rsidRPr="00DB735B">
        <w:t xml:space="preserve"> undertaken with </w:t>
      </w:r>
      <w:r w:rsidR="00D37CA2">
        <w:t xml:space="preserve">implementation partners </w:t>
      </w:r>
      <w:r w:rsidRPr="00DB735B">
        <w:t>Kartoza and HOT to improve their rep</w:t>
      </w:r>
      <w:r w:rsidR="00DB735B" w:rsidRPr="00DB735B">
        <w:t xml:space="preserve">orting on competency and gender, and </w:t>
      </w:r>
      <w:r w:rsidRPr="00DB735B">
        <w:t xml:space="preserve">improvement in this area </w:t>
      </w:r>
      <w:r w:rsidR="00D37CA2">
        <w:t>was</w:t>
      </w:r>
      <w:r w:rsidR="00DB735B" w:rsidRPr="00DB735B">
        <w:t xml:space="preserve"> realised in 2017</w:t>
      </w:r>
      <w:r w:rsidRPr="00DB735B">
        <w:t xml:space="preserve">. </w:t>
      </w:r>
    </w:p>
    <w:p w14:paraId="137AE164" w14:textId="77777777" w:rsidR="00A05166" w:rsidRPr="00095315" w:rsidRDefault="00A05166" w:rsidP="00A05166">
      <w:pPr>
        <w:pStyle w:val="ListBulletLevel1"/>
      </w:pPr>
      <w:r w:rsidRPr="00095315">
        <w:t>Reporti</w:t>
      </w:r>
      <w:r w:rsidR="00095315" w:rsidRPr="00095315">
        <w:t>ng on mapping activities: This wa</w:t>
      </w:r>
      <w:r w:rsidRPr="00095315">
        <w:t xml:space="preserve">s undertaken by HOT and easily obtained from the systems that they have in place to count increases in the number of buildings and roads mapped in Indonesia, and the locations of these. </w:t>
      </w:r>
    </w:p>
    <w:p w14:paraId="6C2580F5" w14:textId="3CA93BF9" w:rsidR="00BD299D" w:rsidRDefault="00BD299D" w:rsidP="00BD299D">
      <w:pPr>
        <w:pStyle w:val="Heading1"/>
      </w:pPr>
      <w:bookmarkStart w:id="29" w:name="_Toc524508498"/>
      <w:r>
        <w:t xml:space="preserve">Cross Cutting </w:t>
      </w:r>
      <w:r w:rsidR="005C567A">
        <w:t>Achievements</w:t>
      </w:r>
      <w:r>
        <w:t xml:space="preserve"> and Adherence to DFAT Guidelines</w:t>
      </w:r>
      <w:bookmarkEnd w:id="29"/>
    </w:p>
    <w:p w14:paraId="75D129B7" w14:textId="7B84F938" w:rsidR="00A05166" w:rsidRPr="00553110" w:rsidRDefault="00BA0D62" w:rsidP="009C5942">
      <w:pPr>
        <w:pStyle w:val="BodyText"/>
      </w:pPr>
      <w:r w:rsidRPr="00553110">
        <w:t>GA</w:t>
      </w:r>
      <w:r w:rsidR="00A05166" w:rsidRPr="00553110">
        <w:t xml:space="preserve"> adhere</w:t>
      </w:r>
      <w:r w:rsidR="00A33914" w:rsidRPr="00553110">
        <w:t>d</w:t>
      </w:r>
      <w:r w:rsidR="00A05166" w:rsidRPr="00553110">
        <w:t xml:space="preserve"> to DFAT’s zero tolerance on fraud and child protection policy </w:t>
      </w:r>
      <w:r w:rsidR="00A33914" w:rsidRPr="00553110">
        <w:t xml:space="preserve">throughout the project </w:t>
      </w:r>
      <w:r w:rsidR="00A05166" w:rsidRPr="00553110">
        <w:t>and continue</w:t>
      </w:r>
      <w:r w:rsidR="00A33914" w:rsidRPr="00553110">
        <w:t>d</w:t>
      </w:r>
      <w:r w:rsidR="00A05166" w:rsidRPr="00553110">
        <w:t xml:space="preserve"> to identify and respond to risks. </w:t>
      </w:r>
      <w:r w:rsidR="00A33914" w:rsidRPr="00553110">
        <w:t>GA</w:t>
      </w:r>
      <w:r w:rsidR="00A05166" w:rsidRPr="00553110">
        <w:t xml:space="preserve"> ensured </w:t>
      </w:r>
      <w:r w:rsidR="00A33914" w:rsidRPr="00553110">
        <w:t>its</w:t>
      </w:r>
      <w:r w:rsidR="00A05166" w:rsidRPr="00553110">
        <w:t xml:space="preserve"> partners, HOT and Kartoza, </w:t>
      </w:r>
      <w:r w:rsidR="00A33914" w:rsidRPr="00553110">
        <w:t>were</w:t>
      </w:r>
      <w:r w:rsidR="00A05166" w:rsidRPr="00553110">
        <w:t xml:space="preserve"> familiar with DFAT’s policy</w:t>
      </w:r>
      <w:r w:rsidR="003F2BA7">
        <w:t>. All implementing partners agreed to adhere to these policies at the time of contract/grant signing. Furthermore, advice from DFAT was forwarded to implementing partners as</w:t>
      </w:r>
      <w:r w:rsidR="00FE4FE6">
        <w:t xml:space="preserve"> new advice was provided to GA.</w:t>
      </w:r>
      <w:r w:rsidR="003F2BA7">
        <w:t xml:space="preserve"> </w:t>
      </w:r>
    </w:p>
    <w:p w14:paraId="7CE6721C" w14:textId="2572BEE9" w:rsidR="00A05166" w:rsidRPr="00553110" w:rsidRDefault="00A05166" w:rsidP="009C5942">
      <w:pPr>
        <w:pStyle w:val="BodyText"/>
      </w:pPr>
      <w:r w:rsidRPr="00553110">
        <w:t xml:space="preserve">All procurement and recruitment </w:t>
      </w:r>
      <w:r w:rsidR="00A33914" w:rsidRPr="00553110">
        <w:t>took</w:t>
      </w:r>
      <w:r w:rsidRPr="00553110">
        <w:t xml:space="preserve"> place in line with GoA procurement and recruitment guidelines. The DMInnovation office at Menara Thamrin had in place compliant Workplace Health and Safety policy an</w:t>
      </w:r>
      <w:r w:rsidR="00A33914" w:rsidRPr="00553110">
        <w:t>d procedures that meet the W</w:t>
      </w:r>
      <w:r w:rsidR="005A433A">
        <w:t>ork, Health and Safety</w:t>
      </w:r>
      <w:r w:rsidR="00A33914" w:rsidRPr="00553110">
        <w:t xml:space="preserve"> A</w:t>
      </w:r>
      <w:r w:rsidRPr="00553110">
        <w:t xml:space="preserve">ct requirements. </w:t>
      </w:r>
    </w:p>
    <w:p w14:paraId="3EF6DF96" w14:textId="77777777" w:rsidR="00BA0D62" w:rsidRPr="00553110" w:rsidRDefault="00BA0D62" w:rsidP="009C5942">
      <w:pPr>
        <w:pStyle w:val="BodyText"/>
      </w:pPr>
      <w:r w:rsidRPr="00553110">
        <w:t xml:space="preserve">Specific cross-cutting achievements are </w:t>
      </w:r>
      <w:r w:rsidR="00BD299D" w:rsidRPr="00553110">
        <w:t xml:space="preserve">summarised as follows: </w:t>
      </w:r>
    </w:p>
    <w:p w14:paraId="4AA834FD" w14:textId="3634EA76" w:rsidR="00BD299D" w:rsidRPr="00553110" w:rsidRDefault="00BD299D" w:rsidP="00BD299D">
      <w:pPr>
        <w:pStyle w:val="ListBulletLevel1"/>
      </w:pPr>
      <w:r w:rsidRPr="00553110">
        <w:rPr>
          <w:b/>
          <w:i/>
        </w:rPr>
        <w:t>Engaging the Private Sector:</w:t>
      </w:r>
      <w:r w:rsidRPr="00553110">
        <w:t xml:space="preserve"> The breadth of </w:t>
      </w:r>
      <w:r w:rsidR="00A128AC" w:rsidRPr="00553110">
        <w:t xml:space="preserve">program </w:t>
      </w:r>
      <w:r w:rsidRPr="00553110">
        <w:t>achievements could not have been covered without significant contribution from the private sector</w:t>
      </w:r>
      <w:r w:rsidRPr="00553110">
        <w:rPr>
          <w:b/>
          <w:i/>
        </w:rPr>
        <w:t xml:space="preserve"> </w:t>
      </w:r>
      <w:r w:rsidRPr="00553110">
        <w:t>particularly in the areas of logistics and software development. Contributions from the university and non-government sectors have also proved</w:t>
      </w:r>
      <w:r w:rsidR="00FE4FE6">
        <w:t xml:space="preserve"> critical to program delivery.</w:t>
      </w:r>
    </w:p>
    <w:p w14:paraId="3205A43B" w14:textId="463BCB8C" w:rsidR="00BD299D" w:rsidRPr="00553110" w:rsidRDefault="00BD299D" w:rsidP="00BD299D">
      <w:pPr>
        <w:pStyle w:val="ListBulletLevel1"/>
      </w:pPr>
      <w:r w:rsidRPr="00553110">
        <w:rPr>
          <w:b/>
          <w:i/>
        </w:rPr>
        <w:t xml:space="preserve">Supporting Private Sector Growth: </w:t>
      </w:r>
      <w:r w:rsidRPr="00553110">
        <w:t xml:space="preserve">Reinsurance companies base premiums and undertake risk assessments using best available hazard and risk information. The national earthquake and tsunami hazard maps </w:t>
      </w:r>
      <w:r w:rsidR="00A128AC" w:rsidRPr="00553110">
        <w:t xml:space="preserve">developed </w:t>
      </w:r>
      <w:r w:rsidRPr="00553110">
        <w:t xml:space="preserve">through this project </w:t>
      </w:r>
      <w:r w:rsidR="00633D6D">
        <w:t xml:space="preserve">represent the best available understanding of </w:t>
      </w:r>
      <w:r w:rsidR="0006540A">
        <w:t xml:space="preserve">hazard in Indonesia. As such, </w:t>
      </w:r>
      <w:r w:rsidR="007A10DC">
        <w:t>GA understands</w:t>
      </w:r>
      <w:r w:rsidR="00633D6D">
        <w:t xml:space="preserve"> that these new hazard maps are being adopted by </w:t>
      </w:r>
      <w:r w:rsidRPr="00553110">
        <w:t>global reinsurance and insurance companies</w:t>
      </w:r>
      <w:r w:rsidR="00633D6D">
        <w:t xml:space="preserve"> to assist them develop markets in Indonesia and price coverage according to best available information. Moreover, </w:t>
      </w:r>
      <w:r w:rsidR="007A10DC">
        <w:t xml:space="preserve">GA </w:t>
      </w:r>
      <w:r w:rsidR="00633D6D">
        <w:t>understand</w:t>
      </w:r>
      <w:r w:rsidR="007A10DC">
        <w:t>s</w:t>
      </w:r>
      <w:r w:rsidR="00633D6D">
        <w:t xml:space="preserve"> that two </w:t>
      </w:r>
      <w:r w:rsidRPr="00553110">
        <w:t>GREAT graduate</w:t>
      </w:r>
      <w:r w:rsidR="00633D6D">
        <w:t>s</w:t>
      </w:r>
      <w:r w:rsidRPr="00553110">
        <w:t xml:space="preserve"> </w:t>
      </w:r>
      <w:r w:rsidR="00633D6D">
        <w:t xml:space="preserve">have attained </w:t>
      </w:r>
      <w:r w:rsidRPr="00553110">
        <w:t xml:space="preserve">employment </w:t>
      </w:r>
      <w:r w:rsidR="00633D6D">
        <w:t xml:space="preserve">within the Indonesian insurance sector </w:t>
      </w:r>
      <w:r w:rsidRPr="00553110">
        <w:t xml:space="preserve">and more are likely </w:t>
      </w:r>
      <w:r w:rsidR="00633D6D">
        <w:t xml:space="preserve">to follow as the </w:t>
      </w:r>
      <w:r w:rsidRPr="00553110">
        <w:t>industry</w:t>
      </w:r>
      <w:r w:rsidR="00633D6D">
        <w:t>, which is currently small for the size of the population, is expected to</w:t>
      </w:r>
      <w:r w:rsidRPr="00553110">
        <w:t xml:space="preserve"> grow. </w:t>
      </w:r>
    </w:p>
    <w:p w14:paraId="1D7A2881" w14:textId="77777777" w:rsidR="00BD299D" w:rsidRPr="00553110" w:rsidRDefault="00BD299D" w:rsidP="00BD299D">
      <w:pPr>
        <w:pStyle w:val="ListBulletLevel1"/>
      </w:pPr>
      <w:r w:rsidRPr="00553110">
        <w:rPr>
          <w:b/>
          <w:i/>
        </w:rPr>
        <w:t>Innovation:</w:t>
      </w:r>
      <w:r w:rsidRPr="00553110">
        <w:t xml:space="preserve"> Our program has focussed on delivering innovative solutions for disaster managers. For example: </w:t>
      </w:r>
    </w:p>
    <w:p w14:paraId="727091C3" w14:textId="7EFC9FAF" w:rsidR="00BD299D" w:rsidRPr="00553110" w:rsidRDefault="00E80A4E" w:rsidP="00BD299D">
      <w:pPr>
        <w:pStyle w:val="ListBulletLevel2"/>
      </w:pPr>
      <w:r w:rsidRPr="00553110">
        <w:t>By assisting</w:t>
      </w:r>
      <w:r w:rsidR="00BD299D" w:rsidRPr="00553110">
        <w:t xml:space="preserve"> disaster managers access information previously only widely available to scientists InaSAFE won the </w:t>
      </w:r>
      <w:r w:rsidR="005A433A">
        <w:t>DFAT</w:t>
      </w:r>
      <w:r w:rsidR="00BD299D" w:rsidRPr="00553110">
        <w:t>’s Indonesia innovation award for the Most Innovative Online Platform in 2017</w:t>
      </w:r>
      <w:r w:rsidRPr="00553110">
        <w:t>,</w:t>
      </w:r>
      <w:r w:rsidR="00BD299D" w:rsidRPr="00553110">
        <w:t xml:space="preserve"> and the 2013 Black Duck Open Source Rookie of the Year Award in 2013 from a global field of candidates. </w:t>
      </w:r>
    </w:p>
    <w:p w14:paraId="6394C8D1" w14:textId="50E902DC" w:rsidR="00BD299D" w:rsidRPr="00553110" w:rsidRDefault="00E80A4E" w:rsidP="00BD299D">
      <w:pPr>
        <w:pStyle w:val="ListBulletLevel2"/>
      </w:pPr>
      <w:r w:rsidRPr="00553110">
        <w:t xml:space="preserve">By using </w:t>
      </w:r>
      <w:r w:rsidR="00BD299D" w:rsidRPr="00553110">
        <w:t>Crowd-Sourcing initiatives</w:t>
      </w:r>
      <w:r w:rsidRPr="00553110">
        <w:t>, GoI agencies</w:t>
      </w:r>
      <w:r w:rsidR="00633D6D">
        <w:t xml:space="preserve"> </w:t>
      </w:r>
      <w:r w:rsidR="00BD299D" w:rsidRPr="00553110">
        <w:t>map</w:t>
      </w:r>
      <w:r w:rsidRPr="00553110">
        <w:t>ped</w:t>
      </w:r>
      <w:r w:rsidR="00BD299D" w:rsidRPr="00553110">
        <w:t xml:space="preserve"> an unprecedented number of buildings and roads and directly informed flood management and response in Jakarta. </w:t>
      </w:r>
    </w:p>
    <w:p w14:paraId="5DE8F82E" w14:textId="594DBCAF" w:rsidR="00BD299D" w:rsidRPr="00553110" w:rsidRDefault="00BD299D" w:rsidP="00BD299D">
      <w:pPr>
        <w:pStyle w:val="ListBulletLevel2"/>
      </w:pPr>
      <w:r w:rsidRPr="00553110">
        <w:t xml:space="preserve">Guidelines were developed in Indonesia for the use </w:t>
      </w:r>
      <w:r w:rsidR="00633D6D">
        <w:t xml:space="preserve">of </w:t>
      </w:r>
      <w:r w:rsidRPr="00553110">
        <w:t>digital elevation data in tsunami inundation modelling and are now being adopted internationally. These guidelines inform the</w:t>
      </w:r>
      <w:r w:rsidR="00E80A4E" w:rsidRPr="00553110">
        <w:t xml:space="preserve"> adoption of new technologies such </w:t>
      </w:r>
      <w:r w:rsidR="00633D6D">
        <w:t xml:space="preserve">as </w:t>
      </w:r>
      <w:r w:rsidRPr="00553110">
        <w:t>drone</w:t>
      </w:r>
      <w:r w:rsidR="00E80A4E" w:rsidRPr="00553110">
        <w:t>s</w:t>
      </w:r>
      <w:r w:rsidRPr="00553110">
        <w:t xml:space="preserve"> </w:t>
      </w:r>
      <w:r w:rsidR="00E80A4E" w:rsidRPr="00553110">
        <w:t>in</w:t>
      </w:r>
      <w:r w:rsidR="00633D6D">
        <w:t xml:space="preserve"> </w:t>
      </w:r>
      <w:r w:rsidRPr="00553110">
        <w:t xml:space="preserve">elevation mapping. </w:t>
      </w:r>
    </w:p>
    <w:p w14:paraId="4D85D906" w14:textId="77777777" w:rsidR="00BD299D" w:rsidRPr="00553110" w:rsidRDefault="00BD299D" w:rsidP="00BD299D">
      <w:pPr>
        <w:pStyle w:val="ListBulletLevel2"/>
      </w:pPr>
      <w:r w:rsidRPr="00553110">
        <w:t xml:space="preserve">High performance computing solutions were deployed across a range of hazard activities facilitating, for the first time, large scale modelling in Indonesia. This infrastructure has been gifted to The Ministry of Public Works and Housing and BMKG. Partners have been trained in their use and supported to budget for ongoing maintenance and potential replacement. </w:t>
      </w:r>
    </w:p>
    <w:p w14:paraId="22E38CA1" w14:textId="1B238A48" w:rsidR="00BD299D" w:rsidRPr="00553110" w:rsidRDefault="00BD299D" w:rsidP="00BD299D">
      <w:pPr>
        <w:pStyle w:val="ListBulletLevel1"/>
      </w:pPr>
      <w:r w:rsidRPr="00553110">
        <w:rPr>
          <w:b/>
          <w:i/>
        </w:rPr>
        <w:t xml:space="preserve">Safeguarding infrastructure: </w:t>
      </w:r>
      <w:r w:rsidRPr="00553110">
        <w:t xml:space="preserve">The national earthquake hazard map will form the basis for the revision of Indonesian building codes, leading to a </w:t>
      </w:r>
      <w:r w:rsidR="00E80A4E" w:rsidRPr="00553110">
        <w:t>reduction in risk of damage to natural disasters</w:t>
      </w:r>
      <w:r w:rsidRPr="00553110">
        <w:t xml:space="preserve"> and safer communities. Similarly the volcanic and tsunami hazard products are being used to inform decisions around critical infrastructure siting and design including airports, power generation facilities and ports. </w:t>
      </w:r>
    </w:p>
    <w:p w14:paraId="0E96C0FA" w14:textId="3C86F702" w:rsidR="00BD299D" w:rsidRPr="00553110" w:rsidRDefault="00BD299D" w:rsidP="003B0567">
      <w:pPr>
        <w:pStyle w:val="ListBulletLevel1"/>
        <w:ind w:left="567" w:hanging="567"/>
      </w:pPr>
      <w:r w:rsidRPr="00553110">
        <w:rPr>
          <w:b/>
          <w:i/>
        </w:rPr>
        <w:t>Supporting the Vulnerable and Underrepresented:</w:t>
      </w:r>
      <w:r w:rsidRPr="00553110">
        <w:t xml:space="preserve"> Disasters disproportionally impact the poorest and most vulnerable members of society. </w:t>
      </w:r>
      <w:r w:rsidR="003B0567">
        <w:t xml:space="preserve">The </w:t>
      </w:r>
      <w:r w:rsidR="007A10DC">
        <w:t xml:space="preserve">DMInnovation project </w:t>
      </w:r>
      <w:r w:rsidRPr="00553110">
        <w:t xml:space="preserve">delivered training for underrepresented and vulnerable communities. </w:t>
      </w:r>
    </w:p>
    <w:p w14:paraId="4875EB0C" w14:textId="164C5946" w:rsidR="00BD299D" w:rsidRPr="00553110" w:rsidRDefault="00BD299D" w:rsidP="00BD299D">
      <w:pPr>
        <w:pStyle w:val="ListBulletLevel2"/>
      </w:pPr>
      <w:r w:rsidRPr="00553110">
        <w:t xml:space="preserve">We encouraged the inclusion of women in all aspects of the program and ran women only participatory mapping activities in February and November 2017. Similarly, we ran a participatory mapping initiative with the Young Persons with Disabilities Association in April 2017. </w:t>
      </w:r>
      <w:r w:rsidR="00633D6D">
        <w:t xml:space="preserve">Detailed statistics for the DMInnovation programs are provided in Volume 2. </w:t>
      </w:r>
    </w:p>
    <w:p w14:paraId="6EC6F5FC" w14:textId="77777777" w:rsidR="00BD299D" w:rsidRPr="00553110" w:rsidRDefault="00BD299D" w:rsidP="00BD299D">
      <w:pPr>
        <w:pStyle w:val="ListBulletLevel2"/>
      </w:pPr>
      <w:r w:rsidRPr="00553110">
        <w:t xml:space="preserve">We enhanced InaSAFE functionality to generate impact reports disaggregated by gender, disability and age ensuring that disaster managers can consider the impact on the vulnerable when undertaking planning and response activities. </w:t>
      </w:r>
    </w:p>
    <w:p w14:paraId="61D7C173" w14:textId="77777777" w:rsidR="00BD299D" w:rsidRPr="00553110" w:rsidRDefault="00BD299D" w:rsidP="00BD299D">
      <w:pPr>
        <w:pStyle w:val="ListBulletLevel2"/>
      </w:pPr>
      <w:r w:rsidRPr="00553110">
        <w:t>We supported and actively encouraged partner organisations to include female partic</w:t>
      </w:r>
      <w:r w:rsidR="00C75C4D" w:rsidRPr="00553110">
        <w:t>i</w:t>
      </w:r>
      <w:r w:rsidRPr="00553110">
        <w:t xml:space="preserve">pants in all GA led training exercises. </w:t>
      </w:r>
    </w:p>
    <w:p w14:paraId="2D255130" w14:textId="01CCDDFC" w:rsidR="00BD299D" w:rsidRPr="00553110" w:rsidRDefault="00BD299D" w:rsidP="00BD299D">
      <w:pPr>
        <w:pStyle w:val="ListBulletLevel1"/>
      </w:pPr>
      <w:r w:rsidRPr="00553110">
        <w:rPr>
          <w:b/>
          <w:i/>
        </w:rPr>
        <w:t xml:space="preserve">Sustainability: </w:t>
      </w:r>
      <w:r w:rsidRPr="00553110">
        <w:t xml:space="preserve">The early phase of our collaboration focussed on pilot studies and testing new ideas and innovations. The program has gradually progressed through proof of concept to a strong focus on sustainability post program. </w:t>
      </w:r>
      <w:r w:rsidR="00633D6D">
        <w:t>The</w:t>
      </w:r>
      <w:r w:rsidRPr="00553110">
        <w:t xml:space="preserve"> incorporation of spatial data, advanced hazard modelling and use of InaSAFE are all expected to continue to inform Indonesian disaster management sustainably into the future. </w:t>
      </w:r>
    </w:p>
    <w:p w14:paraId="0BA8744F" w14:textId="325B8356" w:rsidR="00BD299D" w:rsidRPr="00553110" w:rsidRDefault="00BD299D" w:rsidP="00BD299D">
      <w:pPr>
        <w:pStyle w:val="ListBulletLevel1"/>
      </w:pPr>
      <w:r w:rsidRPr="00553110">
        <w:rPr>
          <w:b/>
          <w:i/>
        </w:rPr>
        <w:t>Mature partnership:</w:t>
      </w:r>
      <w:r w:rsidR="00FE4FE6">
        <w:t xml:space="preserve"> </w:t>
      </w:r>
      <w:r w:rsidRPr="00553110">
        <w:t xml:space="preserve">The Indonesia-Australia partnership on science and technology for disaster management is a mature relationship. Knowledge and experience is translated in both directions with Australia benefiting significantly also. For example: </w:t>
      </w:r>
    </w:p>
    <w:p w14:paraId="5882B451" w14:textId="285C83E0" w:rsidR="00BD299D" w:rsidRPr="00553110" w:rsidRDefault="00BD299D" w:rsidP="00BD299D">
      <w:pPr>
        <w:pStyle w:val="ListBulletLevel2"/>
      </w:pPr>
      <w:r w:rsidRPr="00553110">
        <w:t xml:space="preserve">We have observed an increased use of open source software within </w:t>
      </w:r>
      <w:r w:rsidR="005A433A">
        <w:t>GA</w:t>
      </w:r>
      <w:r w:rsidRPr="00553110">
        <w:t xml:space="preserve"> as a direct result of experience gained working in Indonesia. This has the potential to save on license fees and in some cases lead to improved outcomes. For example, </w:t>
      </w:r>
      <w:r w:rsidR="003B0567">
        <w:t>GA has</w:t>
      </w:r>
      <w:r w:rsidR="003B0567" w:rsidRPr="00553110">
        <w:t xml:space="preserve"> </w:t>
      </w:r>
      <w:r w:rsidRPr="00553110">
        <w:t xml:space="preserve">simultaneously started using new earthquake hazard modelling software in both Indonesia and Australia leveraging limited resources and learning opportunities to serve both countries. </w:t>
      </w:r>
    </w:p>
    <w:p w14:paraId="294C7B6B" w14:textId="24889BCA" w:rsidR="00BD299D" w:rsidRPr="00553110" w:rsidRDefault="00BD299D" w:rsidP="00BD299D">
      <w:pPr>
        <w:pStyle w:val="ListBulletLevel2"/>
      </w:pPr>
      <w:r w:rsidRPr="00553110">
        <w:t xml:space="preserve">The tsunamagenic sources that can potentially impact Northern and Western Australia are the same as those impacting Southern Java and Western Sumatra. Collaborative efforts to understand these sources has led to safer Australian and Indonesian communities. </w:t>
      </w:r>
      <w:r w:rsidR="00633D6D">
        <w:t xml:space="preserve">For example, the Australian tsunami hazard </w:t>
      </w:r>
      <w:r w:rsidR="005C567A">
        <w:t>map, which is currently under development,</w:t>
      </w:r>
      <w:r w:rsidR="00633D6D">
        <w:t xml:space="preserve"> is using many of the same sources as those used in the Indonesian tsunami hazard map. This outcome is good for both countries and only occurred because of the DMInnovation </w:t>
      </w:r>
      <w:r w:rsidR="0006540A">
        <w:t>project</w:t>
      </w:r>
      <w:r w:rsidR="00633D6D">
        <w:t xml:space="preserve">. </w:t>
      </w:r>
    </w:p>
    <w:p w14:paraId="7627723D" w14:textId="1770D033" w:rsidR="00BD299D" w:rsidRPr="00553110" w:rsidRDefault="00BD299D" w:rsidP="00BD299D">
      <w:pPr>
        <w:pStyle w:val="ListBulletLevel2"/>
      </w:pPr>
      <w:r w:rsidRPr="00553110">
        <w:t xml:space="preserve">Australia </w:t>
      </w:r>
      <w:r w:rsidR="00E80A4E" w:rsidRPr="00553110">
        <w:t>has successfully</w:t>
      </w:r>
      <w:r w:rsidR="00633D6D">
        <w:t xml:space="preserve"> </w:t>
      </w:r>
      <w:r w:rsidRPr="00553110">
        <w:t>migrat</w:t>
      </w:r>
      <w:r w:rsidR="00E80A4E" w:rsidRPr="00553110">
        <w:t>ed</w:t>
      </w:r>
      <w:r w:rsidRPr="00553110">
        <w:t xml:space="preserve"> software for its management, acquisition and processing of earthquake data</w:t>
      </w:r>
      <w:r w:rsidR="00E80A4E" w:rsidRPr="00553110">
        <w:t xml:space="preserve"> to Seiscomp3</w:t>
      </w:r>
      <w:r w:rsidRPr="00553110">
        <w:t xml:space="preserve">. </w:t>
      </w:r>
      <w:r w:rsidR="00E80A4E" w:rsidRPr="00553110">
        <w:t>The</w:t>
      </w:r>
      <w:r w:rsidR="00FE4FE6">
        <w:t xml:space="preserve"> same software </w:t>
      </w:r>
      <w:r w:rsidRPr="00553110">
        <w:t>being used in BMKG and have benefited from the opportunity to interact with Indonesian systems ahead of our own migration.</w:t>
      </w:r>
    </w:p>
    <w:p w14:paraId="62567B1B" w14:textId="059782F8" w:rsidR="00BD299D" w:rsidRPr="00553110" w:rsidRDefault="00BD299D" w:rsidP="00BD299D">
      <w:pPr>
        <w:pStyle w:val="ListBulletLevel2"/>
      </w:pPr>
      <w:r w:rsidRPr="00553110">
        <w:t xml:space="preserve">Indonesian volcanos directly impact the </w:t>
      </w:r>
      <w:r w:rsidR="00E80A4E" w:rsidRPr="00553110">
        <w:t xml:space="preserve">international </w:t>
      </w:r>
      <w:r w:rsidR="00633D6D">
        <w:t xml:space="preserve">aviation </w:t>
      </w:r>
      <w:r w:rsidRPr="00553110">
        <w:t>industry with many Australia bound flights crossing Indonesian territories. The</w:t>
      </w:r>
      <w:r w:rsidR="00E80A4E" w:rsidRPr="00553110">
        <w:t>y</w:t>
      </w:r>
      <w:r w:rsidRPr="00553110">
        <w:t xml:space="preserve"> also impact Australian tourists</w:t>
      </w:r>
      <w:r w:rsidR="00E80A4E" w:rsidRPr="00553110">
        <w:t>,</w:t>
      </w:r>
      <w:r w:rsidRPr="00553110">
        <w:t xml:space="preserve"> and in some cases can directly drop ash on Australian territories. Our collaboration has enhanced dialogue between the Indonesian and Australian agencies that manage ash related hazards improving the flow of information in both directions and assisting a more robust regional management approach. </w:t>
      </w:r>
      <w:r w:rsidR="00633D6D">
        <w:t>This improves outcomes for Australian tourists, Australian tourism and the airlines that operate over Indonesian air space.</w:t>
      </w:r>
    </w:p>
    <w:p w14:paraId="2ABD98D8" w14:textId="77777777" w:rsidR="00BD299D" w:rsidRPr="00553110" w:rsidRDefault="00BD299D" w:rsidP="00A05166">
      <w:pPr>
        <w:pStyle w:val="BodyText"/>
      </w:pPr>
    </w:p>
    <w:p w14:paraId="469D6EBC" w14:textId="77777777" w:rsidR="00BD299D" w:rsidRPr="00553110" w:rsidRDefault="00BD299D" w:rsidP="00A05166">
      <w:pPr>
        <w:pStyle w:val="BodyText"/>
      </w:pPr>
    </w:p>
    <w:p w14:paraId="36D890E3" w14:textId="77777777" w:rsidR="00CD50DE" w:rsidRDefault="00CD50DE" w:rsidP="00CD50DE">
      <w:pPr>
        <w:pStyle w:val="Heading1"/>
      </w:pPr>
      <w:bookmarkStart w:id="30" w:name="_Toc514226304"/>
      <w:bookmarkStart w:id="31" w:name="_Toc524508499"/>
      <w:bookmarkStart w:id="32" w:name="_Toc514226308"/>
      <w:bookmarkStart w:id="33" w:name="_Toc514226309"/>
      <w:bookmarkStart w:id="34" w:name="_Toc514226312"/>
      <w:r>
        <w:t>Summary of Short Term Missions</w:t>
      </w:r>
      <w:bookmarkEnd w:id="30"/>
      <w:bookmarkEnd w:id="31"/>
    </w:p>
    <w:p w14:paraId="2D3B1D72" w14:textId="77777777" w:rsidR="00BA7BC1" w:rsidRPr="00BA7BC1" w:rsidRDefault="00BA7BC1" w:rsidP="00BA7BC1">
      <w:pPr>
        <w:pStyle w:val="BodyText"/>
      </w:pPr>
      <w:r w:rsidRPr="00BA7BC1">
        <w:t xml:space="preserve">Short-term missions are conducted in two modes: </w:t>
      </w:r>
    </w:p>
    <w:p w14:paraId="4FE5751B" w14:textId="77777777" w:rsidR="00BA7BC1" w:rsidRPr="00BA7BC1" w:rsidRDefault="00BA7BC1" w:rsidP="00DC6955">
      <w:pPr>
        <w:pStyle w:val="ListNumberedLevel1"/>
        <w:numPr>
          <w:ilvl w:val="0"/>
          <w:numId w:val="23"/>
        </w:numPr>
      </w:pPr>
      <w:r w:rsidRPr="00BA7BC1">
        <w:t>GA technical staff providing support to activities either through travel to Indonesia OR partners travelling to Australia</w:t>
      </w:r>
      <w:r>
        <w:t xml:space="preserve"> (funded through GA, Canberra)</w:t>
      </w:r>
    </w:p>
    <w:p w14:paraId="30CA6CB8" w14:textId="77777777" w:rsidR="00BA7BC1" w:rsidRPr="00BA7BC1" w:rsidRDefault="00BA7BC1" w:rsidP="00DC6955">
      <w:pPr>
        <w:pStyle w:val="ListNumberedLevel1"/>
        <w:numPr>
          <w:ilvl w:val="0"/>
          <w:numId w:val="23"/>
        </w:numPr>
      </w:pPr>
      <w:r w:rsidRPr="00BA7BC1">
        <w:t>DMInnovation staff, both GA posted officers and locally engaged staff, travelling either within Indonesia or internationally to provide support to the activities (funded through DFAT, Jakarta).</w:t>
      </w:r>
    </w:p>
    <w:p w14:paraId="60B99580" w14:textId="77777777" w:rsidR="00BA7BC1" w:rsidRPr="00BA7BC1" w:rsidRDefault="00BA7BC1" w:rsidP="00BA7BC1">
      <w:pPr>
        <w:pStyle w:val="BodyText"/>
      </w:pPr>
      <w:r w:rsidRPr="00BA7BC1">
        <w:t>A summary of these missions is provided in the following sections and the detailed travel reports are included in Ap</w:t>
      </w:r>
      <w:r>
        <w:t>pendices B and C</w:t>
      </w:r>
      <w:r w:rsidR="000A03AA">
        <w:t xml:space="preserve"> in Volume 2 of this report</w:t>
      </w:r>
      <w:r>
        <w:t>.</w:t>
      </w:r>
    </w:p>
    <w:p w14:paraId="4AA9345A" w14:textId="27CD5E05" w:rsidR="00CD50DE" w:rsidRDefault="003B0567" w:rsidP="00CD50DE">
      <w:pPr>
        <w:pStyle w:val="Heading2"/>
      </w:pPr>
      <w:bookmarkStart w:id="35" w:name="_Toc514226305"/>
      <w:bookmarkStart w:id="36" w:name="_Toc524508500"/>
      <w:r>
        <w:t xml:space="preserve">Missions </w:t>
      </w:r>
      <w:r w:rsidR="00CD50DE">
        <w:t>unded through GA, Canberra</w:t>
      </w:r>
      <w:bookmarkEnd w:id="35"/>
      <w:r>
        <w:t>, 2014-18</w:t>
      </w:r>
      <w:bookmarkEnd w:id="36"/>
    </w:p>
    <w:p w14:paraId="584A4D44" w14:textId="77777777" w:rsidR="00D5496B" w:rsidRPr="007D582F" w:rsidRDefault="00D5496B" w:rsidP="007D582F">
      <w:pPr>
        <w:pStyle w:val="BodyText"/>
        <w:rPr>
          <w:b/>
        </w:rPr>
      </w:pPr>
      <w:bookmarkStart w:id="37" w:name="_Toc514226306"/>
      <w:r w:rsidRPr="007D582F">
        <w:rPr>
          <w:b/>
        </w:rPr>
        <w:t>2014</w:t>
      </w:r>
    </w:p>
    <w:tbl>
      <w:tblPr>
        <w:tblStyle w:val="TableGAHeaderRow"/>
        <w:tblW w:w="9284" w:type="dxa"/>
        <w:tblLook w:val="04A0" w:firstRow="1" w:lastRow="0" w:firstColumn="1" w:lastColumn="0" w:noHBand="0" w:noVBand="1"/>
      </w:tblPr>
      <w:tblGrid>
        <w:gridCol w:w="1951"/>
        <w:gridCol w:w="2410"/>
        <w:gridCol w:w="2551"/>
        <w:gridCol w:w="2372"/>
      </w:tblGrid>
      <w:tr w:rsidR="00FB723C" w14:paraId="6311D843" w14:textId="77777777" w:rsidTr="00F90C0E">
        <w:trPr>
          <w:cnfStyle w:val="100000000000" w:firstRow="1" w:lastRow="0" w:firstColumn="0" w:lastColumn="0" w:oddVBand="0" w:evenVBand="0" w:oddHBand="0" w:evenHBand="0" w:firstRowFirstColumn="0" w:firstRowLastColumn="0" w:lastRowFirstColumn="0" w:lastRowLastColumn="0"/>
        </w:trPr>
        <w:tc>
          <w:tcPr>
            <w:tcW w:w="1951" w:type="dxa"/>
          </w:tcPr>
          <w:p w14:paraId="35830B1C" w14:textId="77777777" w:rsidR="00FB723C" w:rsidRDefault="00FB723C" w:rsidP="00F90C0E">
            <w:pPr>
              <w:pStyle w:val="TableTextCentred"/>
            </w:pPr>
            <w:r>
              <w:t>Dates</w:t>
            </w:r>
          </w:p>
        </w:tc>
        <w:tc>
          <w:tcPr>
            <w:tcW w:w="2410" w:type="dxa"/>
          </w:tcPr>
          <w:p w14:paraId="7F4E101A" w14:textId="77777777" w:rsidR="00FB723C" w:rsidRDefault="00FB723C" w:rsidP="00F90C0E">
            <w:pPr>
              <w:pStyle w:val="TableTextCentred"/>
            </w:pPr>
            <w:r>
              <w:t>Officers</w:t>
            </w:r>
          </w:p>
        </w:tc>
        <w:tc>
          <w:tcPr>
            <w:tcW w:w="2551" w:type="dxa"/>
          </w:tcPr>
          <w:p w14:paraId="70CCBAF7" w14:textId="77777777" w:rsidR="00FB723C" w:rsidRDefault="00FB723C" w:rsidP="00F90C0E">
            <w:pPr>
              <w:pStyle w:val="TableTextCentred"/>
            </w:pPr>
            <w:r>
              <w:t>Locations</w:t>
            </w:r>
          </w:p>
        </w:tc>
        <w:tc>
          <w:tcPr>
            <w:tcW w:w="2372" w:type="dxa"/>
          </w:tcPr>
          <w:p w14:paraId="792D89F1" w14:textId="77777777" w:rsidR="00FB723C" w:rsidRDefault="00FB723C" w:rsidP="00F90C0E">
            <w:pPr>
              <w:pStyle w:val="TableTextCentred"/>
            </w:pPr>
            <w:r>
              <w:t>Purpose</w:t>
            </w:r>
          </w:p>
        </w:tc>
      </w:tr>
      <w:tr w:rsidR="00FB723C" w14:paraId="62679444" w14:textId="77777777" w:rsidTr="00F90C0E">
        <w:trPr>
          <w:cnfStyle w:val="000000100000" w:firstRow="0" w:lastRow="0" w:firstColumn="0" w:lastColumn="0" w:oddVBand="0" w:evenVBand="0" w:oddHBand="1" w:evenHBand="0" w:firstRowFirstColumn="0" w:firstRowLastColumn="0" w:lastRowFirstColumn="0" w:lastRowLastColumn="0"/>
        </w:trPr>
        <w:tc>
          <w:tcPr>
            <w:tcW w:w="1951" w:type="dxa"/>
          </w:tcPr>
          <w:p w14:paraId="3EA269F7" w14:textId="5DEFE528" w:rsidR="00FB723C" w:rsidRPr="00FF283D" w:rsidRDefault="00FB723C" w:rsidP="00FB723C">
            <w:pPr>
              <w:pStyle w:val="TableTextLeft"/>
              <w:rPr>
                <w:vertAlign w:val="superscript"/>
              </w:rPr>
            </w:pPr>
            <w:r>
              <w:t>31</w:t>
            </w:r>
            <w:r w:rsidR="00461DA7" w:rsidRPr="00461DA7">
              <w:rPr>
                <w:vertAlign w:val="superscript"/>
              </w:rPr>
              <w:t>st</w:t>
            </w:r>
            <w:r w:rsidR="00461DA7">
              <w:t xml:space="preserve"> </w:t>
            </w:r>
            <w:r>
              <w:t>Aug</w:t>
            </w:r>
            <w:r w:rsidR="00461DA7">
              <w:t>ust</w:t>
            </w:r>
            <w:r>
              <w:t xml:space="preserve"> </w:t>
            </w:r>
            <w:r w:rsidR="00461DA7">
              <w:t>–</w:t>
            </w:r>
            <w:r>
              <w:t xml:space="preserve"> 15</w:t>
            </w:r>
            <w:r w:rsidR="00461DA7" w:rsidRPr="00461DA7">
              <w:rPr>
                <w:vertAlign w:val="superscript"/>
              </w:rPr>
              <w:t>th</w:t>
            </w:r>
            <w:r>
              <w:t xml:space="preserve"> Sept</w:t>
            </w:r>
            <w:r w:rsidR="00461DA7">
              <w:t>ember</w:t>
            </w:r>
          </w:p>
        </w:tc>
        <w:tc>
          <w:tcPr>
            <w:tcW w:w="2410" w:type="dxa"/>
          </w:tcPr>
          <w:p w14:paraId="77C80A95" w14:textId="77777777" w:rsidR="00FB723C" w:rsidRDefault="00FB723C" w:rsidP="00FB723C">
            <w:pPr>
              <w:pStyle w:val="TableTextLeft"/>
            </w:pPr>
            <w:r>
              <w:t>Dr Adele Bear-Crozier</w:t>
            </w:r>
          </w:p>
          <w:p w14:paraId="504AFEDF" w14:textId="77777777" w:rsidR="00FB723C" w:rsidRPr="00FF283D" w:rsidRDefault="00FB723C" w:rsidP="00FB723C">
            <w:pPr>
              <w:pStyle w:val="TableTextLeft"/>
            </w:pPr>
            <w:r>
              <w:t>Dr Victoria Miller</w:t>
            </w:r>
          </w:p>
        </w:tc>
        <w:tc>
          <w:tcPr>
            <w:tcW w:w="2551" w:type="dxa"/>
          </w:tcPr>
          <w:p w14:paraId="68209DE1" w14:textId="10241325" w:rsidR="00FB723C" w:rsidRPr="00FF283D" w:rsidRDefault="00FB723C" w:rsidP="00FB723C">
            <w:pPr>
              <w:pStyle w:val="TableTextLeft"/>
            </w:pPr>
            <w:r>
              <w:t xml:space="preserve">Jakarta, </w:t>
            </w:r>
            <w:r w:rsidR="005C567A">
              <w:t>Manado</w:t>
            </w:r>
            <w:r>
              <w:t>, Yogyakarta</w:t>
            </w:r>
          </w:p>
        </w:tc>
        <w:tc>
          <w:tcPr>
            <w:tcW w:w="2372" w:type="dxa"/>
          </w:tcPr>
          <w:p w14:paraId="64EB283C" w14:textId="63920E98" w:rsidR="00650C53" w:rsidRDefault="00650C53" w:rsidP="00650C53">
            <w:pPr>
              <w:pStyle w:val="BodyText"/>
            </w:pPr>
            <w:r>
              <w:t>Activity 4.4:</w:t>
            </w:r>
          </w:p>
          <w:p w14:paraId="4655BE05" w14:textId="77777777" w:rsidR="00FB723C" w:rsidRDefault="005366D5" w:rsidP="00FB723C">
            <w:pPr>
              <w:pStyle w:val="TableTextLeft"/>
            </w:pPr>
            <w:r>
              <w:t>Volcanic hazard</w:t>
            </w:r>
          </w:p>
        </w:tc>
      </w:tr>
      <w:tr w:rsidR="00FB723C" w14:paraId="37A0082D" w14:textId="77777777" w:rsidTr="00F90C0E">
        <w:trPr>
          <w:cnfStyle w:val="000000010000" w:firstRow="0" w:lastRow="0" w:firstColumn="0" w:lastColumn="0" w:oddVBand="0" w:evenVBand="0" w:oddHBand="0" w:evenHBand="1" w:firstRowFirstColumn="0" w:firstRowLastColumn="0" w:lastRowFirstColumn="0" w:lastRowLastColumn="0"/>
        </w:trPr>
        <w:tc>
          <w:tcPr>
            <w:tcW w:w="1951" w:type="dxa"/>
          </w:tcPr>
          <w:p w14:paraId="3AAFD55C" w14:textId="77777777" w:rsidR="00FB723C" w:rsidRPr="00FF283D" w:rsidRDefault="00461DA7" w:rsidP="00461DA7">
            <w:pPr>
              <w:pStyle w:val="TableTextLeft"/>
            </w:pPr>
            <w:r>
              <w:t>12</w:t>
            </w:r>
            <w:r w:rsidRPr="00461DA7">
              <w:rPr>
                <w:vertAlign w:val="superscript"/>
              </w:rPr>
              <w:t>th</w:t>
            </w:r>
            <w:r>
              <w:t xml:space="preserve"> to </w:t>
            </w:r>
            <w:r w:rsidR="00FB723C">
              <w:t>25</w:t>
            </w:r>
            <w:r w:rsidRPr="00461DA7">
              <w:rPr>
                <w:vertAlign w:val="superscript"/>
              </w:rPr>
              <w:t>th</w:t>
            </w:r>
            <w:r>
              <w:t xml:space="preserve"> </w:t>
            </w:r>
            <w:r w:rsidR="00FB723C">
              <w:t>Oc</w:t>
            </w:r>
            <w:r>
              <w:t>tober</w:t>
            </w:r>
          </w:p>
        </w:tc>
        <w:tc>
          <w:tcPr>
            <w:tcW w:w="2410" w:type="dxa"/>
          </w:tcPr>
          <w:p w14:paraId="06991067" w14:textId="77777777" w:rsidR="00FB723C" w:rsidRDefault="00FB723C" w:rsidP="00FB723C">
            <w:pPr>
              <w:pStyle w:val="TableTextLeft"/>
            </w:pPr>
            <w:r>
              <w:t xml:space="preserve">Mr Jonathan Griffin </w:t>
            </w:r>
          </w:p>
          <w:p w14:paraId="3916FB10" w14:textId="6E57F502" w:rsidR="00FB723C" w:rsidRPr="00FF283D" w:rsidRDefault="00FB723C" w:rsidP="00FB723C">
            <w:pPr>
              <w:pStyle w:val="TableTextLeft"/>
            </w:pPr>
            <w:r>
              <w:t>Ms Rikki Weber</w:t>
            </w:r>
          </w:p>
        </w:tc>
        <w:tc>
          <w:tcPr>
            <w:tcW w:w="2551" w:type="dxa"/>
          </w:tcPr>
          <w:p w14:paraId="41AA5EC4" w14:textId="77777777" w:rsidR="00FB723C" w:rsidRPr="00FF283D" w:rsidRDefault="00FB723C" w:rsidP="00FB723C">
            <w:pPr>
              <w:pStyle w:val="TableTextLeft"/>
            </w:pPr>
            <w:r>
              <w:t>Jakarta, Bandung</w:t>
            </w:r>
          </w:p>
        </w:tc>
        <w:tc>
          <w:tcPr>
            <w:tcW w:w="2372" w:type="dxa"/>
          </w:tcPr>
          <w:p w14:paraId="576A1E2E" w14:textId="77777777" w:rsidR="00650C53" w:rsidRDefault="00650C53" w:rsidP="00650C53">
            <w:pPr>
              <w:pStyle w:val="BodyText"/>
            </w:pPr>
            <w:r>
              <w:t>Activity 4.2:</w:t>
            </w:r>
          </w:p>
          <w:p w14:paraId="400269C2" w14:textId="77777777" w:rsidR="00FB723C" w:rsidRDefault="005366D5" w:rsidP="00FB723C">
            <w:pPr>
              <w:pStyle w:val="TableTextLeft"/>
            </w:pPr>
            <w:r>
              <w:t>Tsunami hazard</w:t>
            </w:r>
          </w:p>
        </w:tc>
      </w:tr>
      <w:tr w:rsidR="00FB723C" w14:paraId="3E95967C" w14:textId="77777777" w:rsidTr="00F90C0E">
        <w:trPr>
          <w:cnfStyle w:val="000000100000" w:firstRow="0" w:lastRow="0" w:firstColumn="0" w:lastColumn="0" w:oddVBand="0" w:evenVBand="0" w:oddHBand="1" w:evenHBand="0" w:firstRowFirstColumn="0" w:firstRowLastColumn="0" w:lastRowFirstColumn="0" w:lastRowLastColumn="0"/>
        </w:trPr>
        <w:tc>
          <w:tcPr>
            <w:tcW w:w="1951" w:type="dxa"/>
          </w:tcPr>
          <w:p w14:paraId="116671E1" w14:textId="573704F3" w:rsidR="00FB723C" w:rsidRPr="00FF283D" w:rsidRDefault="00461DA7" w:rsidP="00FB723C">
            <w:pPr>
              <w:pStyle w:val="TableTextLeft"/>
            </w:pPr>
            <w:r>
              <w:t>9</w:t>
            </w:r>
            <w:r w:rsidRPr="00461DA7">
              <w:rPr>
                <w:vertAlign w:val="superscript"/>
              </w:rPr>
              <w:t>th</w:t>
            </w:r>
            <w:r>
              <w:t xml:space="preserve"> to</w:t>
            </w:r>
            <w:r w:rsidR="00FB723C">
              <w:t xml:space="preserve"> 14</w:t>
            </w:r>
            <w:r w:rsidRPr="00461DA7">
              <w:rPr>
                <w:vertAlign w:val="superscript"/>
              </w:rPr>
              <w:t>th</w:t>
            </w:r>
            <w:r>
              <w:t xml:space="preserve"> </w:t>
            </w:r>
            <w:r w:rsidR="00FB723C">
              <w:t>Nov</w:t>
            </w:r>
            <w:r>
              <w:t>ember</w:t>
            </w:r>
          </w:p>
        </w:tc>
        <w:tc>
          <w:tcPr>
            <w:tcW w:w="2410" w:type="dxa"/>
          </w:tcPr>
          <w:p w14:paraId="222B7BD0" w14:textId="77777777" w:rsidR="00FB723C" w:rsidRPr="00FF283D" w:rsidRDefault="00FB723C" w:rsidP="00FB723C">
            <w:pPr>
              <w:pStyle w:val="TableTextLeft"/>
            </w:pPr>
            <w:r>
              <w:t>Dr Mark Leonard</w:t>
            </w:r>
          </w:p>
        </w:tc>
        <w:tc>
          <w:tcPr>
            <w:tcW w:w="2551" w:type="dxa"/>
          </w:tcPr>
          <w:p w14:paraId="7939A171" w14:textId="77777777" w:rsidR="00FB723C" w:rsidRPr="00FF283D" w:rsidRDefault="00FB723C" w:rsidP="00FB723C">
            <w:pPr>
              <w:pStyle w:val="TableTextLeft"/>
            </w:pPr>
            <w:r>
              <w:t>Jakarta, Bandung</w:t>
            </w:r>
          </w:p>
        </w:tc>
        <w:tc>
          <w:tcPr>
            <w:tcW w:w="2372" w:type="dxa"/>
          </w:tcPr>
          <w:p w14:paraId="1D14AB4C" w14:textId="6D2DCC9A" w:rsidR="00650C53" w:rsidRDefault="00650C53" w:rsidP="00650C53">
            <w:pPr>
              <w:pStyle w:val="BodyText"/>
            </w:pPr>
            <w:r>
              <w:t>Activity 4.1:</w:t>
            </w:r>
          </w:p>
          <w:p w14:paraId="32F365CF" w14:textId="77777777" w:rsidR="00FB723C" w:rsidRDefault="005366D5" w:rsidP="00FB723C">
            <w:pPr>
              <w:pStyle w:val="TableTextLeft"/>
            </w:pPr>
            <w:r>
              <w:t>Earthquake hazard</w:t>
            </w:r>
          </w:p>
        </w:tc>
      </w:tr>
      <w:tr w:rsidR="005366D5" w14:paraId="66C02037" w14:textId="77777777" w:rsidTr="00F90C0E">
        <w:trPr>
          <w:cnfStyle w:val="000000010000" w:firstRow="0" w:lastRow="0" w:firstColumn="0" w:lastColumn="0" w:oddVBand="0" w:evenVBand="0" w:oddHBand="0" w:evenHBand="1" w:firstRowFirstColumn="0" w:firstRowLastColumn="0" w:lastRowFirstColumn="0" w:lastRowLastColumn="0"/>
        </w:trPr>
        <w:tc>
          <w:tcPr>
            <w:tcW w:w="1951" w:type="dxa"/>
          </w:tcPr>
          <w:p w14:paraId="0BBAD630" w14:textId="74C5BAD0" w:rsidR="005366D5" w:rsidRPr="000C2BB4" w:rsidRDefault="005366D5" w:rsidP="00461DA7">
            <w:pPr>
              <w:pStyle w:val="TableTextLeft"/>
            </w:pPr>
            <w:r>
              <w:t>18</w:t>
            </w:r>
            <w:r w:rsidR="00461DA7" w:rsidRPr="00461DA7">
              <w:rPr>
                <w:vertAlign w:val="superscript"/>
              </w:rPr>
              <w:t>th</w:t>
            </w:r>
            <w:r w:rsidR="00461DA7">
              <w:t xml:space="preserve"> </w:t>
            </w:r>
            <w:r>
              <w:t>Nov</w:t>
            </w:r>
            <w:r w:rsidR="00461DA7">
              <w:t>ember to</w:t>
            </w:r>
            <w:r>
              <w:t xml:space="preserve"> 4</w:t>
            </w:r>
            <w:r w:rsidR="00461DA7" w:rsidRPr="00461DA7">
              <w:rPr>
                <w:vertAlign w:val="superscript"/>
              </w:rPr>
              <w:t>th</w:t>
            </w:r>
            <w:r w:rsidR="00461DA7">
              <w:t xml:space="preserve"> D</w:t>
            </w:r>
            <w:r>
              <w:t>ec</w:t>
            </w:r>
            <w:r w:rsidR="00461DA7">
              <w:t>ember</w:t>
            </w:r>
          </w:p>
        </w:tc>
        <w:tc>
          <w:tcPr>
            <w:tcW w:w="2410" w:type="dxa"/>
          </w:tcPr>
          <w:p w14:paraId="19B79953" w14:textId="77777777" w:rsidR="005366D5" w:rsidRPr="00FF283D" w:rsidRDefault="005366D5" w:rsidP="00FB723C">
            <w:pPr>
              <w:pStyle w:val="TableTextLeft"/>
            </w:pPr>
            <w:r>
              <w:t>Prof. Phil Cummins</w:t>
            </w:r>
          </w:p>
        </w:tc>
        <w:tc>
          <w:tcPr>
            <w:tcW w:w="2551" w:type="dxa"/>
          </w:tcPr>
          <w:p w14:paraId="3381CD3C" w14:textId="77777777" w:rsidR="005366D5" w:rsidRPr="00FF283D" w:rsidRDefault="005366D5" w:rsidP="00FB723C">
            <w:pPr>
              <w:pStyle w:val="TableTextLeft"/>
            </w:pPr>
            <w:r>
              <w:t>Jakarta, Bandung</w:t>
            </w:r>
          </w:p>
        </w:tc>
        <w:tc>
          <w:tcPr>
            <w:tcW w:w="2372" w:type="dxa"/>
          </w:tcPr>
          <w:p w14:paraId="110F1806" w14:textId="48B264F1" w:rsidR="00650C53" w:rsidRDefault="00650C53" w:rsidP="00650C53">
            <w:pPr>
              <w:pStyle w:val="BodyText"/>
            </w:pPr>
            <w:r>
              <w:t>Activity 4.1:</w:t>
            </w:r>
          </w:p>
          <w:p w14:paraId="15AB4699" w14:textId="77777777" w:rsidR="005366D5" w:rsidRDefault="005366D5" w:rsidP="00F90C0E">
            <w:pPr>
              <w:pStyle w:val="TableTextLeft"/>
            </w:pPr>
            <w:r>
              <w:t>Earthquake hazard</w:t>
            </w:r>
          </w:p>
        </w:tc>
      </w:tr>
      <w:tr w:rsidR="005366D5" w14:paraId="33747732" w14:textId="77777777" w:rsidTr="00F90C0E">
        <w:trPr>
          <w:cnfStyle w:val="000000100000" w:firstRow="0" w:lastRow="0" w:firstColumn="0" w:lastColumn="0" w:oddVBand="0" w:evenVBand="0" w:oddHBand="1" w:evenHBand="0" w:firstRowFirstColumn="0" w:firstRowLastColumn="0" w:lastRowFirstColumn="0" w:lastRowLastColumn="0"/>
        </w:trPr>
        <w:tc>
          <w:tcPr>
            <w:tcW w:w="1951" w:type="dxa"/>
          </w:tcPr>
          <w:p w14:paraId="73A0C681" w14:textId="77777777" w:rsidR="005366D5" w:rsidRPr="000C2BB4" w:rsidRDefault="00461DA7" w:rsidP="00FB723C">
            <w:pPr>
              <w:pStyle w:val="TableTextLeft"/>
            </w:pPr>
            <w:r>
              <w:t>14</w:t>
            </w:r>
            <w:r w:rsidRPr="00461DA7">
              <w:rPr>
                <w:vertAlign w:val="superscript"/>
              </w:rPr>
              <w:t>th</w:t>
            </w:r>
            <w:r>
              <w:t xml:space="preserve"> to</w:t>
            </w:r>
            <w:r w:rsidR="005366D5">
              <w:t xml:space="preserve"> 20</w:t>
            </w:r>
            <w:r w:rsidRPr="00461DA7">
              <w:rPr>
                <w:vertAlign w:val="superscript"/>
              </w:rPr>
              <w:t>th</w:t>
            </w:r>
            <w:r>
              <w:t xml:space="preserve"> </w:t>
            </w:r>
            <w:r w:rsidR="005366D5">
              <w:t>Dec</w:t>
            </w:r>
            <w:r>
              <w:t>ember</w:t>
            </w:r>
          </w:p>
        </w:tc>
        <w:tc>
          <w:tcPr>
            <w:tcW w:w="2410" w:type="dxa"/>
          </w:tcPr>
          <w:p w14:paraId="79EC2B9C" w14:textId="77777777" w:rsidR="005366D5" w:rsidRPr="00FF283D" w:rsidRDefault="005366D5" w:rsidP="00FB723C">
            <w:pPr>
              <w:pStyle w:val="TableTextLeft"/>
            </w:pPr>
            <w:r>
              <w:t>Dr Hadi Ghasemi</w:t>
            </w:r>
          </w:p>
        </w:tc>
        <w:tc>
          <w:tcPr>
            <w:tcW w:w="2551" w:type="dxa"/>
          </w:tcPr>
          <w:p w14:paraId="7451FD79" w14:textId="77777777" w:rsidR="005366D5" w:rsidRPr="00FF283D" w:rsidRDefault="005366D5" w:rsidP="00FB723C">
            <w:pPr>
              <w:pStyle w:val="TableTextLeft"/>
            </w:pPr>
            <w:r>
              <w:t>Jakarta</w:t>
            </w:r>
          </w:p>
        </w:tc>
        <w:tc>
          <w:tcPr>
            <w:tcW w:w="2372" w:type="dxa"/>
          </w:tcPr>
          <w:p w14:paraId="7ED7531B" w14:textId="2A6AF94F" w:rsidR="00650C53" w:rsidRDefault="00650C53" w:rsidP="00650C53">
            <w:pPr>
              <w:pStyle w:val="BodyText"/>
            </w:pPr>
            <w:r>
              <w:t>Activity 4.1:</w:t>
            </w:r>
          </w:p>
          <w:p w14:paraId="08760A44" w14:textId="77777777" w:rsidR="005366D5" w:rsidRDefault="005366D5" w:rsidP="00F90C0E">
            <w:pPr>
              <w:pStyle w:val="TableTextLeft"/>
            </w:pPr>
            <w:r>
              <w:t>Earthquake hazard</w:t>
            </w:r>
          </w:p>
        </w:tc>
      </w:tr>
    </w:tbl>
    <w:p w14:paraId="160D7E40" w14:textId="77777777" w:rsidR="00D5496B" w:rsidRPr="007D582F" w:rsidRDefault="00D5496B" w:rsidP="007D582F">
      <w:pPr>
        <w:pStyle w:val="BodyText"/>
        <w:rPr>
          <w:b/>
        </w:rPr>
      </w:pPr>
      <w:r w:rsidRPr="007D582F">
        <w:rPr>
          <w:b/>
        </w:rPr>
        <w:t>2015</w:t>
      </w:r>
    </w:p>
    <w:tbl>
      <w:tblPr>
        <w:tblStyle w:val="TableGAHeaderRow"/>
        <w:tblW w:w="9284" w:type="dxa"/>
        <w:tblLook w:val="04A0" w:firstRow="1" w:lastRow="0" w:firstColumn="1" w:lastColumn="0" w:noHBand="0" w:noVBand="1"/>
      </w:tblPr>
      <w:tblGrid>
        <w:gridCol w:w="1951"/>
        <w:gridCol w:w="2410"/>
        <w:gridCol w:w="2551"/>
        <w:gridCol w:w="2372"/>
      </w:tblGrid>
      <w:tr w:rsidR="00FB723C" w14:paraId="14E963D9" w14:textId="77777777" w:rsidTr="00FB723C">
        <w:trPr>
          <w:cnfStyle w:val="100000000000" w:firstRow="1" w:lastRow="0" w:firstColumn="0" w:lastColumn="0" w:oddVBand="0" w:evenVBand="0" w:oddHBand="0" w:evenHBand="0" w:firstRowFirstColumn="0" w:firstRowLastColumn="0" w:lastRowFirstColumn="0" w:lastRowLastColumn="0"/>
        </w:trPr>
        <w:tc>
          <w:tcPr>
            <w:tcW w:w="1951" w:type="dxa"/>
          </w:tcPr>
          <w:p w14:paraId="1EB122DC" w14:textId="77777777" w:rsidR="00FB723C" w:rsidRDefault="00FB723C" w:rsidP="00F90C0E">
            <w:pPr>
              <w:pStyle w:val="TableTextCentred"/>
            </w:pPr>
            <w:r>
              <w:t>Dates</w:t>
            </w:r>
          </w:p>
        </w:tc>
        <w:tc>
          <w:tcPr>
            <w:tcW w:w="2410" w:type="dxa"/>
          </w:tcPr>
          <w:p w14:paraId="0C9321F3" w14:textId="77777777" w:rsidR="00FB723C" w:rsidRDefault="00FB723C" w:rsidP="00F90C0E">
            <w:pPr>
              <w:pStyle w:val="TableTextCentred"/>
            </w:pPr>
            <w:r>
              <w:t>Officers</w:t>
            </w:r>
          </w:p>
        </w:tc>
        <w:tc>
          <w:tcPr>
            <w:tcW w:w="2551" w:type="dxa"/>
          </w:tcPr>
          <w:p w14:paraId="038A1A75" w14:textId="77777777" w:rsidR="00FB723C" w:rsidRDefault="00FB723C" w:rsidP="00F90C0E">
            <w:pPr>
              <w:pStyle w:val="TableTextCentred"/>
            </w:pPr>
            <w:r>
              <w:t>Locations</w:t>
            </w:r>
          </w:p>
        </w:tc>
        <w:tc>
          <w:tcPr>
            <w:tcW w:w="2372" w:type="dxa"/>
          </w:tcPr>
          <w:p w14:paraId="6425B04D" w14:textId="77777777" w:rsidR="00FB723C" w:rsidRDefault="00FB723C" w:rsidP="00F90C0E">
            <w:pPr>
              <w:pStyle w:val="TableTextCentred"/>
            </w:pPr>
            <w:r>
              <w:t>Purpose</w:t>
            </w:r>
          </w:p>
        </w:tc>
      </w:tr>
      <w:tr w:rsidR="005366D5" w14:paraId="5FC73A8B" w14:textId="77777777" w:rsidTr="00FB723C">
        <w:trPr>
          <w:cnfStyle w:val="000000100000" w:firstRow="0" w:lastRow="0" w:firstColumn="0" w:lastColumn="0" w:oddVBand="0" w:evenVBand="0" w:oddHBand="1" w:evenHBand="0" w:firstRowFirstColumn="0" w:firstRowLastColumn="0" w:lastRowFirstColumn="0" w:lastRowLastColumn="0"/>
        </w:trPr>
        <w:tc>
          <w:tcPr>
            <w:tcW w:w="1951" w:type="dxa"/>
          </w:tcPr>
          <w:p w14:paraId="58A8488F" w14:textId="609CA3EA" w:rsidR="005366D5" w:rsidRPr="00FB723C" w:rsidRDefault="005366D5" w:rsidP="00FB723C">
            <w:pPr>
              <w:pStyle w:val="TableTextLeft"/>
            </w:pPr>
            <w:r w:rsidRPr="00FB723C">
              <w:t>25</w:t>
            </w:r>
            <w:r w:rsidR="00461DA7" w:rsidRPr="00461DA7">
              <w:rPr>
                <w:vertAlign w:val="superscript"/>
              </w:rPr>
              <w:t>th</w:t>
            </w:r>
            <w:r w:rsidR="00461DA7">
              <w:t xml:space="preserve"> January to </w:t>
            </w:r>
            <w:r w:rsidRPr="00FB723C">
              <w:t>5</w:t>
            </w:r>
            <w:r w:rsidR="00461DA7" w:rsidRPr="00461DA7">
              <w:rPr>
                <w:vertAlign w:val="superscript"/>
              </w:rPr>
              <w:t>th</w:t>
            </w:r>
            <w:r w:rsidR="00461DA7">
              <w:t xml:space="preserve"> </w:t>
            </w:r>
            <w:r w:rsidRPr="00FB723C">
              <w:t>Feb</w:t>
            </w:r>
            <w:r w:rsidR="00461DA7">
              <w:t>ruary</w:t>
            </w:r>
          </w:p>
        </w:tc>
        <w:tc>
          <w:tcPr>
            <w:tcW w:w="2410" w:type="dxa"/>
          </w:tcPr>
          <w:p w14:paraId="4AF46FCA" w14:textId="44943E7B" w:rsidR="005366D5" w:rsidRPr="00FB723C" w:rsidRDefault="005366D5" w:rsidP="00FB723C">
            <w:pPr>
              <w:pStyle w:val="TableTextLeft"/>
            </w:pPr>
            <w:r w:rsidRPr="00FB723C">
              <w:t>Prof</w:t>
            </w:r>
            <w:r w:rsidR="005A433A">
              <w:t>.</w:t>
            </w:r>
            <w:r w:rsidRPr="00FB723C">
              <w:t xml:space="preserve"> Phil Cummins</w:t>
            </w:r>
          </w:p>
        </w:tc>
        <w:tc>
          <w:tcPr>
            <w:tcW w:w="2551" w:type="dxa"/>
          </w:tcPr>
          <w:p w14:paraId="1E716A0F" w14:textId="77777777" w:rsidR="005366D5" w:rsidRPr="00FB723C" w:rsidRDefault="005366D5" w:rsidP="00FB723C">
            <w:pPr>
              <w:pStyle w:val="TableTextLeft"/>
            </w:pPr>
            <w:r w:rsidRPr="00FB723C">
              <w:t>Jakarta, Bandung, Palu</w:t>
            </w:r>
          </w:p>
        </w:tc>
        <w:tc>
          <w:tcPr>
            <w:tcW w:w="2372" w:type="dxa"/>
          </w:tcPr>
          <w:p w14:paraId="1A617CB4" w14:textId="77777777" w:rsidR="0006540A" w:rsidRDefault="0006540A" w:rsidP="0006540A">
            <w:pPr>
              <w:pStyle w:val="TableTextLeft"/>
            </w:pPr>
            <w:r>
              <w:t xml:space="preserve">Activity 4.1: </w:t>
            </w:r>
          </w:p>
          <w:p w14:paraId="7FFE7479" w14:textId="77777777" w:rsidR="005366D5" w:rsidRDefault="005366D5" w:rsidP="00F90C0E">
            <w:pPr>
              <w:pStyle w:val="TableTextLeft"/>
            </w:pPr>
            <w:r>
              <w:t>Earthquake hazard</w:t>
            </w:r>
          </w:p>
        </w:tc>
      </w:tr>
      <w:tr w:rsidR="005366D5" w14:paraId="7FDE563E" w14:textId="77777777" w:rsidTr="00FB723C">
        <w:trPr>
          <w:cnfStyle w:val="000000010000" w:firstRow="0" w:lastRow="0" w:firstColumn="0" w:lastColumn="0" w:oddVBand="0" w:evenVBand="0" w:oddHBand="0" w:evenHBand="1" w:firstRowFirstColumn="0" w:firstRowLastColumn="0" w:lastRowFirstColumn="0" w:lastRowLastColumn="0"/>
        </w:trPr>
        <w:tc>
          <w:tcPr>
            <w:tcW w:w="1951" w:type="dxa"/>
          </w:tcPr>
          <w:p w14:paraId="791DD89C" w14:textId="7449267D" w:rsidR="005366D5" w:rsidRPr="00FB723C" w:rsidRDefault="005366D5" w:rsidP="00FB723C">
            <w:pPr>
              <w:pStyle w:val="TableTextLeft"/>
            </w:pPr>
            <w:r w:rsidRPr="00FB723C">
              <w:t>25</w:t>
            </w:r>
            <w:r w:rsidR="00461DA7" w:rsidRPr="00461DA7">
              <w:rPr>
                <w:vertAlign w:val="superscript"/>
              </w:rPr>
              <w:t>th</w:t>
            </w:r>
            <w:r w:rsidR="00461DA7">
              <w:t xml:space="preserve"> </w:t>
            </w:r>
            <w:r w:rsidRPr="00FB723C">
              <w:t>Jan</w:t>
            </w:r>
            <w:r w:rsidR="00461DA7">
              <w:t>uary to</w:t>
            </w:r>
            <w:r w:rsidRPr="00FB723C">
              <w:t xml:space="preserve"> 6</w:t>
            </w:r>
            <w:r w:rsidR="00461DA7" w:rsidRPr="00461DA7">
              <w:rPr>
                <w:vertAlign w:val="superscript"/>
              </w:rPr>
              <w:t>th</w:t>
            </w:r>
            <w:r w:rsidRPr="00FB723C">
              <w:t xml:space="preserve"> Feb</w:t>
            </w:r>
            <w:r w:rsidR="00461DA7">
              <w:t>ruary</w:t>
            </w:r>
          </w:p>
        </w:tc>
        <w:tc>
          <w:tcPr>
            <w:tcW w:w="2410" w:type="dxa"/>
          </w:tcPr>
          <w:p w14:paraId="090BCB04" w14:textId="77777777" w:rsidR="005366D5" w:rsidRPr="00FB723C" w:rsidRDefault="005366D5" w:rsidP="00FB723C">
            <w:pPr>
              <w:pStyle w:val="TableTextLeft"/>
            </w:pPr>
            <w:r w:rsidRPr="00FB723C">
              <w:t>Mr Jonathan Griffin</w:t>
            </w:r>
          </w:p>
        </w:tc>
        <w:tc>
          <w:tcPr>
            <w:tcW w:w="2551" w:type="dxa"/>
          </w:tcPr>
          <w:p w14:paraId="24781320" w14:textId="77777777" w:rsidR="005366D5" w:rsidRPr="00FB723C" w:rsidRDefault="005366D5" w:rsidP="00FB723C">
            <w:pPr>
              <w:pStyle w:val="TableTextLeft"/>
            </w:pPr>
            <w:r w:rsidRPr="00FB723C">
              <w:t>Jakarta, Bandung</w:t>
            </w:r>
          </w:p>
        </w:tc>
        <w:tc>
          <w:tcPr>
            <w:tcW w:w="2372" w:type="dxa"/>
          </w:tcPr>
          <w:p w14:paraId="7546C3A5" w14:textId="77777777" w:rsidR="00650C53" w:rsidRDefault="00650C53" w:rsidP="00650C53">
            <w:pPr>
              <w:pStyle w:val="BodyText"/>
            </w:pPr>
            <w:r>
              <w:t>Activity 4.2:</w:t>
            </w:r>
          </w:p>
          <w:p w14:paraId="2D826EB8" w14:textId="77777777" w:rsidR="005366D5" w:rsidRDefault="005366D5" w:rsidP="00F90C0E">
            <w:pPr>
              <w:pStyle w:val="TableTextLeft"/>
            </w:pPr>
            <w:r>
              <w:t>Tsunami hazard</w:t>
            </w:r>
          </w:p>
        </w:tc>
      </w:tr>
      <w:tr w:rsidR="005366D5" w14:paraId="1E5E325E" w14:textId="77777777" w:rsidTr="00FB723C">
        <w:trPr>
          <w:cnfStyle w:val="000000100000" w:firstRow="0" w:lastRow="0" w:firstColumn="0" w:lastColumn="0" w:oddVBand="0" w:evenVBand="0" w:oddHBand="1" w:evenHBand="0" w:firstRowFirstColumn="0" w:firstRowLastColumn="0" w:lastRowFirstColumn="0" w:lastRowLastColumn="0"/>
        </w:trPr>
        <w:tc>
          <w:tcPr>
            <w:tcW w:w="1951" w:type="dxa"/>
          </w:tcPr>
          <w:p w14:paraId="0F9F7AB8" w14:textId="77777777" w:rsidR="005366D5" w:rsidRPr="00FB723C" w:rsidRDefault="00461DA7" w:rsidP="00FB723C">
            <w:pPr>
              <w:pStyle w:val="TableTextLeft"/>
            </w:pPr>
            <w:r>
              <w:t>1</w:t>
            </w:r>
            <w:r w:rsidRPr="00461DA7">
              <w:rPr>
                <w:vertAlign w:val="superscript"/>
              </w:rPr>
              <w:t>st</w:t>
            </w:r>
            <w:r>
              <w:t xml:space="preserve"> to</w:t>
            </w:r>
            <w:r w:rsidR="005366D5" w:rsidRPr="00FB723C">
              <w:t xml:space="preserve"> 7</w:t>
            </w:r>
            <w:r w:rsidRPr="00461DA7">
              <w:rPr>
                <w:vertAlign w:val="superscript"/>
              </w:rPr>
              <w:t>th</w:t>
            </w:r>
            <w:r>
              <w:t xml:space="preserve"> </w:t>
            </w:r>
            <w:r w:rsidR="005366D5" w:rsidRPr="00FB723C">
              <w:t>Feb</w:t>
            </w:r>
            <w:r>
              <w:t>ruary</w:t>
            </w:r>
          </w:p>
        </w:tc>
        <w:tc>
          <w:tcPr>
            <w:tcW w:w="2410" w:type="dxa"/>
          </w:tcPr>
          <w:p w14:paraId="7433916C" w14:textId="77777777" w:rsidR="005366D5" w:rsidRPr="00FB723C" w:rsidRDefault="005366D5" w:rsidP="00FB723C">
            <w:pPr>
              <w:pStyle w:val="TableTextLeft"/>
            </w:pPr>
            <w:r w:rsidRPr="00FB723C">
              <w:t>Dr Hyeuk Ryu</w:t>
            </w:r>
          </w:p>
        </w:tc>
        <w:tc>
          <w:tcPr>
            <w:tcW w:w="2551" w:type="dxa"/>
          </w:tcPr>
          <w:p w14:paraId="795EDF5B" w14:textId="77777777" w:rsidR="005366D5" w:rsidRPr="00FB723C" w:rsidRDefault="005366D5" w:rsidP="00FB723C">
            <w:pPr>
              <w:pStyle w:val="TableTextLeft"/>
            </w:pPr>
            <w:r w:rsidRPr="00FB723C">
              <w:t>Jakarta</w:t>
            </w:r>
          </w:p>
        </w:tc>
        <w:tc>
          <w:tcPr>
            <w:tcW w:w="2372" w:type="dxa"/>
          </w:tcPr>
          <w:p w14:paraId="28F9D318" w14:textId="77777777" w:rsidR="0006540A" w:rsidRDefault="0006540A" w:rsidP="0006540A">
            <w:pPr>
              <w:pStyle w:val="TableTextLeft"/>
            </w:pPr>
            <w:r>
              <w:t xml:space="preserve">Activity 4.1: </w:t>
            </w:r>
          </w:p>
          <w:p w14:paraId="47ABA177" w14:textId="77777777" w:rsidR="005366D5" w:rsidRDefault="005366D5" w:rsidP="00FB723C">
            <w:pPr>
              <w:pStyle w:val="TableTextLeft"/>
            </w:pPr>
            <w:r>
              <w:t>Earthquake impact</w:t>
            </w:r>
          </w:p>
        </w:tc>
      </w:tr>
      <w:tr w:rsidR="005366D5" w14:paraId="6AB1EDCF" w14:textId="77777777" w:rsidTr="00FB723C">
        <w:trPr>
          <w:cnfStyle w:val="000000010000" w:firstRow="0" w:lastRow="0" w:firstColumn="0" w:lastColumn="0" w:oddVBand="0" w:evenVBand="0" w:oddHBand="0" w:evenHBand="1" w:firstRowFirstColumn="0" w:firstRowLastColumn="0" w:lastRowFirstColumn="0" w:lastRowLastColumn="0"/>
        </w:trPr>
        <w:tc>
          <w:tcPr>
            <w:tcW w:w="1951" w:type="dxa"/>
          </w:tcPr>
          <w:p w14:paraId="1EBEF55A" w14:textId="77777777" w:rsidR="005366D5" w:rsidRPr="00FB723C" w:rsidRDefault="00461DA7" w:rsidP="00FB723C">
            <w:pPr>
              <w:pStyle w:val="TableTextLeft"/>
            </w:pPr>
            <w:r>
              <w:t>21</w:t>
            </w:r>
            <w:r w:rsidRPr="00461DA7">
              <w:rPr>
                <w:vertAlign w:val="superscript"/>
              </w:rPr>
              <w:t>st</w:t>
            </w:r>
            <w:r>
              <w:t xml:space="preserve"> to </w:t>
            </w:r>
            <w:r w:rsidR="005366D5" w:rsidRPr="00FB723C">
              <w:t>27</w:t>
            </w:r>
            <w:r w:rsidRPr="00461DA7">
              <w:rPr>
                <w:vertAlign w:val="superscript"/>
              </w:rPr>
              <w:t>th</w:t>
            </w:r>
            <w:r>
              <w:t xml:space="preserve"> </w:t>
            </w:r>
            <w:r w:rsidR="005366D5" w:rsidRPr="00FB723C">
              <w:t>Feb</w:t>
            </w:r>
            <w:r>
              <w:t>ruary</w:t>
            </w:r>
          </w:p>
        </w:tc>
        <w:tc>
          <w:tcPr>
            <w:tcW w:w="2410" w:type="dxa"/>
          </w:tcPr>
          <w:p w14:paraId="1ED72FD3" w14:textId="77777777" w:rsidR="005366D5" w:rsidRPr="00FB723C" w:rsidRDefault="005366D5" w:rsidP="00FB723C">
            <w:pPr>
              <w:pStyle w:val="TableTextLeft"/>
            </w:pPr>
            <w:r w:rsidRPr="00FB723C">
              <w:t>Dr Adele Bear-Crozier</w:t>
            </w:r>
          </w:p>
        </w:tc>
        <w:tc>
          <w:tcPr>
            <w:tcW w:w="2551" w:type="dxa"/>
          </w:tcPr>
          <w:p w14:paraId="405278FC" w14:textId="77777777" w:rsidR="005366D5" w:rsidRPr="00FB723C" w:rsidRDefault="005366D5" w:rsidP="00FB723C">
            <w:pPr>
              <w:pStyle w:val="TableTextLeft"/>
            </w:pPr>
            <w:r w:rsidRPr="00FB723C">
              <w:t>Jakarta</w:t>
            </w:r>
          </w:p>
        </w:tc>
        <w:tc>
          <w:tcPr>
            <w:tcW w:w="2372" w:type="dxa"/>
          </w:tcPr>
          <w:p w14:paraId="1BD8844B" w14:textId="77777777" w:rsidR="0006540A" w:rsidRDefault="0006540A" w:rsidP="0006540A">
            <w:pPr>
              <w:pStyle w:val="TableTextLeft"/>
            </w:pPr>
            <w:r>
              <w:t xml:space="preserve">Activity 4.4: </w:t>
            </w:r>
          </w:p>
          <w:p w14:paraId="36F83264" w14:textId="77777777" w:rsidR="005366D5" w:rsidRDefault="005366D5" w:rsidP="00FB723C">
            <w:pPr>
              <w:pStyle w:val="TableTextLeft"/>
            </w:pPr>
            <w:r>
              <w:t>Volcanic hazard</w:t>
            </w:r>
          </w:p>
        </w:tc>
      </w:tr>
      <w:tr w:rsidR="005366D5" w14:paraId="1AA488AF" w14:textId="77777777" w:rsidTr="00FB723C">
        <w:trPr>
          <w:cnfStyle w:val="000000100000" w:firstRow="0" w:lastRow="0" w:firstColumn="0" w:lastColumn="0" w:oddVBand="0" w:evenVBand="0" w:oddHBand="1" w:evenHBand="0" w:firstRowFirstColumn="0" w:firstRowLastColumn="0" w:lastRowFirstColumn="0" w:lastRowLastColumn="0"/>
        </w:trPr>
        <w:tc>
          <w:tcPr>
            <w:tcW w:w="1951" w:type="dxa"/>
          </w:tcPr>
          <w:p w14:paraId="46FD02FA" w14:textId="77777777" w:rsidR="005366D5" w:rsidRPr="00FB723C" w:rsidRDefault="005366D5" w:rsidP="00461DA7">
            <w:pPr>
              <w:pStyle w:val="TableTextLeft"/>
            </w:pPr>
            <w:r w:rsidRPr="00FB723C">
              <w:t>11</w:t>
            </w:r>
            <w:r w:rsidR="00461DA7" w:rsidRPr="00461DA7">
              <w:rPr>
                <w:vertAlign w:val="superscript"/>
              </w:rPr>
              <w:t>th</w:t>
            </w:r>
            <w:r w:rsidR="00461DA7">
              <w:t xml:space="preserve"> to </w:t>
            </w:r>
            <w:r w:rsidRPr="00FB723C">
              <w:t>18</w:t>
            </w:r>
            <w:r w:rsidR="00461DA7" w:rsidRPr="00461DA7">
              <w:rPr>
                <w:vertAlign w:val="superscript"/>
              </w:rPr>
              <w:t>th</w:t>
            </w:r>
            <w:r w:rsidR="00461DA7">
              <w:t xml:space="preserve"> </w:t>
            </w:r>
            <w:r w:rsidRPr="00FB723C">
              <w:t>April</w:t>
            </w:r>
          </w:p>
        </w:tc>
        <w:tc>
          <w:tcPr>
            <w:tcW w:w="2410" w:type="dxa"/>
          </w:tcPr>
          <w:p w14:paraId="7368166C" w14:textId="77777777" w:rsidR="005366D5" w:rsidRPr="00FB723C" w:rsidRDefault="005366D5" w:rsidP="00FB723C">
            <w:pPr>
              <w:pStyle w:val="TableTextLeft"/>
            </w:pPr>
            <w:r w:rsidRPr="00FB723C">
              <w:t>Dr Adele Bear-Crozier</w:t>
            </w:r>
          </w:p>
        </w:tc>
        <w:tc>
          <w:tcPr>
            <w:tcW w:w="2551" w:type="dxa"/>
          </w:tcPr>
          <w:p w14:paraId="7B3112C2" w14:textId="77777777" w:rsidR="005366D5" w:rsidRPr="00FB723C" w:rsidRDefault="005366D5" w:rsidP="00FB723C">
            <w:pPr>
              <w:pStyle w:val="TableTextLeft"/>
            </w:pPr>
            <w:r w:rsidRPr="00FB723C">
              <w:t>Bima</w:t>
            </w:r>
          </w:p>
        </w:tc>
        <w:tc>
          <w:tcPr>
            <w:tcW w:w="2372" w:type="dxa"/>
          </w:tcPr>
          <w:p w14:paraId="5C58010B" w14:textId="77777777" w:rsidR="0006540A" w:rsidRDefault="0006540A" w:rsidP="0006540A">
            <w:pPr>
              <w:pStyle w:val="TableTextLeft"/>
            </w:pPr>
            <w:r>
              <w:t xml:space="preserve">Activity 4.4: </w:t>
            </w:r>
          </w:p>
          <w:p w14:paraId="24A9A17A" w14:textId="77777777" w:rsidR="005366D5" w:rsidRDefault="005366D5" w:rsidP="00FB723C">
            <w:pPr>
              <w:pStyle w:val="TableTextLeft"/>
            </w:pPr>
            <w:r>
              <w:t>Volcanic hazard</w:t>
            </w:r>
          </w:p>
        </w:tc>
      </w:tr>
      <w:tr w:rsidR="005366D5" w14:paraId="05B03DD8" w14:textId="77777777" w:rsidTr="00FB723C">
        <w:trPr>
          <w:cnfStyle w:val="000000010000" w:firstRow="0" w:lastRow="0" w:firstColumn="0" w:lastColumn="0" w:oddVBand="0" w:evenVBand="0" w:oddHBand="0" w:evenHBand="1" w:firstRowFirstColumn="0" w:firstRowLastColumn="0" w:lastRowFirstColumn="0" w:lastRowLastColumn="0"/>
        </w:trPr>
        <w:tc>
          <w:tcPr>
            <w:tcW w:w="1951" w:type="dxa"/>
          </w:tcPr>
          <w:p w14:paraId="351C605D" w14:textId="77777777" w:rsidR="005366D5" w:rsidRPr="00FB723C" w:rsidRDefault="00461DA7" w:rsidP="00FB723C">
            <w:pPr>
              <w:pStyle w:val="TableTextLeft"/>
            </w:pPr>
            <w:r>
              <w:t>2</w:t>
            </w:r>
            <w:r w:rsidRPr="00461DA7">
              <w:rPr>
                <w:vertAlign w:val="superscript"/>
              </w:rPr>
              <w:t>nd</w:t>
            </w:r>
            <w:r>
              <w:t xml:space="preserve"> to</w:t>
            </w:r>
            <w:r w:rsidR="005366D5" w:rsidRPr="00FB723C">
              <w:t xml:space="preserve"> 16</w:t>
            </w:r>
            <w:r w:rsidRPr="00461DA7">
              <w:rPr>
                <w:vertAlign w:val="superscript"/>
              </w:rPr>
              <w:t>th</w:t>
            </w:r>
            <w:r>
              <w:t xml:space="preserve"> </w:t>
            </w:r>
            <w:r w:rsidR="005366D5" w:rsidRPr="00FB723C">
              <w:t>May</w:t>
            </w:r>
          </w:p>
        </w:tc>
        <w:tc>
          <w:tcPr>
            <w:tcW w:w="2410" w:type="dxa"/>
          </w:tcPr>
          <w:p w14:paraId="1CA9B1DE" w14:textId="77777777" w:rsidR="005366D5" w:rsidRPr="00FB723C" w:rsidRDefault="005366D5" w:rsidP="00FB723C">
            <w:pPr>
              <w:pStyle w:val="TableTextLeft"/>
            </w:pPr>
            <w:r w:rsidRPr="00FB723C">
              <w:t>Dr Charlotte Morgan</w:t>
            </w:r>
          </w:p>
          <w:p w14:paraId="35196292" w14:textId="77777777" w:rsidR="005366D5" w:rsidRPr="00FB723C" w:rsidRDefault="005366D5" w:rsidP="00FB723C">
            <w:pPr>
              <w:pStyle w:val="TableTextLeft"/>
            </w:pPr>
            <w:r w:rsidRPr="00FB723C">
              <w:t>Dr David Robinson</w:t>
            </w:r>
          </w:p>
        </w:tc>
        <w:tc>
          <w:tcPr>
            <w:tcW w:w="2551" w:type="dxa"/>
          </w:tcPr>
          <w:p w14:paraId="29E75B79" w14:textId="77777777" w:rsidR="005366D5" w:rsidRPr="00647FD5" w:rsidRDefault="005366D5" w:rsidP="00FB723C">
            <w:pPr>
              <w:pStyle w:val="TableTextLeft"/>
              <w:rPr>
                <w:lang w:val="sv-SE"/>
              </w:rPr>
            </w:pPr>
            <w:r w:rsidRPr="00647FD5">
              <w:rPr>
                <w:lang w:val="sv-SE"/>
              </w:rPr>
              <w:t>Canberra, Sydney</w:t>
            </w:r>
          </w:p>
          <w:p w14:paraId="2BAD0208" w14:textId="77777777" w:rsidR="005366D5" w:rsidRPr="00647FD5" w:rsidRDefault="005366D5" w:rsidP="00FB723C">
            <w:pPr>
              <w:pStyle w:val="TableTextLeft"/>
              <w:rPr>
                <w:lang w:val="sv-SE"/>
              </w:rPr>
            </w:pPr>
            <w:r w:rsidRPr="00647FD5">
              <w:rPr>
                <w:lang w:val="sv-SE"/>
              </w:rPr>
              <w:t>(from Jakarta Post)</w:t>
            </w:r>
          </w:p>
        </w:tc>
        <w:tc>
          <w:tcPr>
            <w:tcW w:w="2372" w:type="dxa"/>
          </w:tcPr>
          <w:p w14:paraId="2733B4EA" w14:textId="759BA2CF" w:rsidR="005366D5" w:rsidRDefault="0006540A" w:rsidP="00FB723C">
            <w:pPr>
              <w:pStyle w:val="TableTextLeft"/>
            </w:pPr>
            <w:r>
              <w:t>Project M</w:t>
            </w:r>
            <w:r w:rsidR="005366D5">
              <w:t>anagement</w:t>
            </w:r>
          </w:p>
        </w:tc>
      </w:tr>
      <w:tr w:rsidR="005366D5" w14:paraId="194CFC24" w14:textId="77777777" w:rsidTr="00FB723C">
        <w:trPr>
          <w:cnfStyle w:val="000000100000" w:firstRow="0" w:lastRow="0" w:firstColumn="0" w:lastColumn="0" w:oddVBand="0" w:evenVBand="0" w:oddHBand="1" w:evenHBand="0" w:firstRowFirstColumn="0" w:firstRowLastColumn="0" w:lastRowFirstColumn="0" w:lastRowLastColumn="0"/>
        </w:trPr>
        <w:tc>
          <w:tcPr>
            <w:tcW w:w="1951" w:type="dxa"/>
          </w:tcPr>
          <w:p w14:paraId="554129DC" w14:textId="77777777" w:rsidR="005366D5" w:rsidRPr="00FB723C" w:rsidRDefault="00461DA7" w:rsidP="00461DA7">
            <w:pPr>
              <w:pStyle w:val="TableTextLeft"/>
            </w:pPr>
            <w:r>
              <w:t>17</w:t>
            </w:r>
            <w:r w:rsidRPr="00461DA7">
              <w:rPr>
                <w:vertAlign w:val="superscript"/>
              </w:rPr>
              <w:t>th</w:t>
            </w:r>
            <w:r>
              <w:t xml:space="preserve"> to </w:t>
            </w:r>
            <w:r w:rsidR="005366D5" w:rsidRPr="00FB723C">
              <w:t>22</w:t>
            </w:r>
            <w:r w:rsidRPr="00461DA7">
              <w:rPr>
                <w:vertAlign w:val="superscript"/>
              </w:rPr>
              <w:t>nd</w:t>
            </w:r>
            <w:r>
              <w:t xml:space="preserve"> </w:t>
            </w:r>
            <w:r w:rsidR="005366D5" w:rsidRPr="00FB723C">
              <w:t>May</w:t>
            </w:r>
          </w:p>
        </w:tc>
        <w:tc>
          <w:tcPr>
            <w:tcW w:w="2410" w:type="dxa"/>
          </w:tcPr>
          <w:p w14:paraId="3FEFC513" w14:textId="5CE6D848" w:rsidR="005366D5" w:rsidRPr="00FB723C" w:rsidRDefault="005366D5" w:rsidP="00FB723C">
            <w:pPr>
              <w:pStyle w:val="TableTextLeft"/>
            </w:pPr>
            <w:r w:rsidRPr="00FB723C">
              <w:t>Ms Rikki Weber</w:t>
            </w:r>
          </w:p>
        </w:tc>
        <w:tc>
          <w:tcPr>
            <w:tcW w:w="2551" w:type="dxa"/>
          </w:tcPr>
          <w:p w14:paraId="6C682FCF" w14:textId="77777777" w:rsidR="005366D5" w:rsidRPr="00FB723C" w:rsidRDefault="005366D5" w:rsidP="00FB723C">
            <w:pPr>
              <w:pStyle w:val="TableTextLeft"/>
            </w:pPr>
            <w:r w:rsidRPr="00FB723C">
              <w:t>Jakarta</w:t>
            </w:r>
          </w:p>
        </w:tc>
        <w:tc>
          <w:tcPr>
            <w:tcW w:w="2372" w:type="dxa"/>
          </w:tcPr>
          <w:p w14:paraId="5CD7F805" w14:textId="77777777" w:rsidR="00650C53" w:rsidRDefault="00650C53" w:rsidP="00650C53">
            <w:pPr>
              <w:pStyle w:val="BodyText"/>
            </w:pPr>
            <w:r>
              <w:t>Activity 4.2:</w:t>
            </w:r>
          </w:p>
          <w:p w14:paraId="73FF0418" w14:textId="77777777" w:rsidR="005366D5" w:rsidRDefault="005366D5" w:rsidP="00FB723C">
            <w:pPr>
              <w:pStyle w:val="TableTextLeft"/>
            </w:pPr>
            <w:r>
              <w:t>Tsunami hazard</w:t>
            </w:r>
          </w:p>
        </w:tc>
      </w:tr>
      <w:tr w:rsidR="005366D5" w14:paraId="40BC87D1" w14:textId="77777777" w:rsidTr="00FB723C">
        <w:trPr>
          <w:cnfStyle w:val="000000010000" w:firstRow="0" w:lastRow="0" w:firstColumn="0" w:lastColumn="0" w:oddVBand="0" w:evenVBand="0" w:oddHBand="0" w:evenHBand="1" w:firstRowFirstColumn="0" w:firstRowLastColumn="0" w:lastRowFirstColumn="0" w:lastRowLastColumn="0"/>
        </w:trPr>
        <w:tc>
          <w:tcPr>
            <w:tcW w:w="1951" w:type="dxa"/>
          </w:tcPr>
          <w:p w14:paraId="3971A873" w14:textId="77777777" w:rsidR="005366D5" w:rsidRPr="00FB723C" w:rsidRDefault="00461DA7" w:rsidP="00FB723C">
            <w:pPr>
              <w:pStyle w:val="TableTextLeft"/>
            </w:pPr>
            <w:r>
              <w:t>6</w:t>
            </w:r>
            <w:r w:rsidRPr="00461DA7">
              <w:rPr>
                <w:vertAlign w:val="superscript"/>
              </w:rPr>
              <w:t>th</w:t>
            </w:r>
            <w:r>
              <w:t xml:space="preserve"> to</w:t>
            </w:r>
            <w:r w:rsidR="005366D5" w:rsidRPr="00FB723C">
              <w:t xml:space="preserve"> 18</w:t>
            </w:r>
            <w:r w:rsidRPr="00461DA7">
              <w:rPr>
                <w:vertAlign w:val="superscript"/>
              </w:rPr>
              <w:t>th</w:t>
            </w:r>
            <w:r>
              <w:t xml:space="preserve"> </w:t>
            </w:r>
            <w:r w:rsidR="005366D5" w:rsidRPr="00FB723C">
              <w:t>June</w:t>
            </w:r>
          </w:p>
        </w:tc>
        <w:tc>
          <w:tcPr>
            <w:tcW w:w="2410" w:type="dxa"/>
          </w:tcPr>
          <w:p w14:paraId="58582688" w14:textId="77777777" w:rsidR="005366D5" w:rsidRPr="00FB723C" w:rsidRDefault="005366D5" w:rsidP="00FB723C">
            <w:pPr>
              <w:pStyle w:val="TableTextLeft"/>
            </w:pPr>
            <w:r w:rsidRPr="00FB723C">
              <w:t xml:space="preserve">Mr Jonathan Griffin </w:t>
            </w:r>
          </w:p>
        </w:tc>
        <w:tc>
          <w:tcPr>
            <w:tcW w:w="2551" w:type="dxa"/>
          </w:tcPr>
          <w:p w14:paraId="48CB18AE" w14:textId="77777777" w:rsidR="005366D5" w:rsidRPr="00FB723C" w:rsidRDefault="005366D5" w:rsidP="00FB723C">
            <w:pPr>
              <w:pStyle w:val="TableTextLeft"/>
            </w:pPr>
            <w:r w:rsidRPr="00FB723C">
              <w:t>Pangandaran, Bandung</w:t>
            </w:r>
          </w:p>
        </w:tc>
        <w:tc>
          <w:tcPr>
            <w:tcW w:w="2372" w:type="dxa"/>
          </w:tcPr>
          <w:p w14:paraId="6452CC07" w14:textId="77777777" w:rsidR="00650C53" w:rsidRDefault="00650C53" w:rsidP="00650C53">
            <w:pPr>
              <w:pStyle w:val="BodyText"/>
            </w:pPr>
            <w:r>
              <w:t>Activity 4.2:</w:t>
            </w:r>
          </w:p>
          <w:p w14:paraId="327EACEB" w14:textId="77777777" w:rsidR="005366D5" w:rsidRDefault="005366D5" w:rsidP="00FB723C">
            <w:pPr>
              <w:pStyle w:val="TableTextLeft"/>
            </w:pPr>
            <w:r>
              <w:t>Tsunami hazard</w:t>
            </w:r>
          </w:p>
        </w:tc>
      </w:tr>
      <w:tr w:rsidR="005366D5" w14:paraId="178F86BC" w14:textId="77777777" w:rsidTr="00FB723C">
        <w:trPr>
          <w:cnfStyle w:val="000000100000" w:firstRow="0" w:lastRow="0" w:firstColumn="0" w:lastColumn="0" w:oddVBand="0" w:evenVBand="0" w:oddHBand="1" w:evenHBand="0" w:firstRowFirstColumn="0" w:firstRowLastColumn="0" w:lastRowFirstColumn="0" w:lastRowLastColumn="0"/>
        </w:trPr>
        <w:tc>
          <w:tcPr>
            <w:tcW w:w="1951" w:type="dxa"/>
          </w:tcPr>
          <w:p w14:paraId="1BB32B9A" w14:textId="77777777" w:rsidR="005366D5" w:rsidRPr="00FB723C" w:rsidRDefault="005366D5" w:rsidP="00FB723C">
            <w:pPr>
              <w:pStyle w:val="TableTextLeft"/>
            </w:pPr>
            <w:r w:rsidRPr="002060CF">
              <w:t>14</w:t>
            </w:r>
            <w:r w:rsidR="00461DA7" w:rsidRPr="00461DA7">
              <w:rPr>
                <w:vertAlign w:val="superscript"/>
              </w:rPr>
              <w:t>th</w:t>
            </w:r>
            <w:r w:rsidR="00461DA7">
              <w:t xml:space="preserve"> June to</w:t>
            </w:r>
            <w:r w:rsidRPr="002060CF">
              <w:t xml:space="preserve"> 4</w:t>
            </w:r>
            <w:r w:rsidR="00461DA7" w:rsidRPr="00461DA7">
              <w:rPr>
                <w:vertAlign w:val="superscript"/>
              </w:rPr>
              <w:t>th</w:t>
            </w:r>
            <w:r w:rsidR="00461DA7">
              <w:t xml:space="preserve"> </w:t>
            </w:r>
            <w:r w:rsidRPr="002060CF">
              <w:t>July</w:t>
            </w:r>
            <w:r w:rsidRPr="00FB723C">
              <w:rPr>
                <w:rStyle w:val="Superscript"/>
              </w:rPr>
              <w:t>1</w:t>
            </w:r>
          </w:p>
        </w:tc>
        <w:tc>
          <w:tcPr>
            <w:tcW w:w="2410" w:type="dxa"/>
          </w:tcPr>
          <w:p w14:paraId="439C8225" w14:textId="77777777" w:rsidR="005366D5" w:rsidRPr="00FB723C" w:rsidRDefault="005366D5" w:rsidP="00FB723C">
            <w:pPr>
              <w:pStyle w:val="TableTextLeft"/>
            </w:pPr>
            <w:r>
              <w:t xml:space="preserve">Prof. </w:t>
            </w:r>
            <w:r w:rsidRPr="002060CF">
              <w:t>Phil Cummins</w:t>
            </w:r>
          </w:p>
        </w:tc>
        <w:tc>
          <w:tcPr>
            <w:tcW w:w="2551" w:type="dxa"/>
          </w:tcPr>
          <w:p w14:paraId="66399F0E" w14:textId="77777777" w:rsidR="005366D5" w:rsidRPr="00B67345" w:rsidRDefault="005366D5" w:rsidP="00FB723C">
            <w:pPr>
              <w:pStyle w:val="TableTextLeft"/>
            </w:pPr>
            <w:r w:rsidRPr="002060CF">
              <w:t>Bandung</w:t>
            </w:r>
            <w:r>
              <w:t>, Pavia – Italy, Prague, Czech Republic</w:t>
            </w:r>
          </w:p>
        </w:tc>
        <w:tc>
          <w:tcPr>
            <w:tcW w:w="2372" w:type="dxa"/>
          </w:tcPr>
          <w:p w14:paraId="1324010F" w14:textId="77777777" w:rsidR="0006540A" w:rsidRDefault="0006540A" w:rsidP="0006540A">
            <w:pPr>
              <w:pStyle w:val="TableTextLeft"/>
            </w:pPr>
            <w:r>
              <w:t xml:space="preserve">Activity 4.1: </w:t>
            </w:r>
          </w:p>
          <w:p w14:paraId="4B97BF37" w14:textId="77777777" w:rsidR="005366D5" w:rsidRDefault="005366D5" w:rsidP="00F90C0E">
            <w:pPr>
              <w:pStyle w:val="TableTextLeft"/>
            </w:pPr>
            <w:r>
              <w:t>Earthquake hazard</w:t>
            </w:r>
          </w:p>
        </w:tc>
      </w:tr>
      <w:tr w:rsidR="005366D5" w14:paraId="13E46935" w14:textId="77777777" w:rsidTr="00FB723C">
        <w:trPr>
          <w:cnfStyle w:val="000000010000" w:firstRow="0" w:lastRow="0" w:firstColumn="0" w:lastColumn="0" w:oddVBand="0" w:evenVBand="0" w:oddHBand="0" w:evenHBand="1" w:firstRowFirstColumn="0" w:firstRowLastColumn="0" w:lastRowFirstColumn="0" w:lastRowLastColumn="0"/>
        </w:trPr>
        <w:tc>
          <w:tcPr>
            <w:tcW w:w="1951" w:type="dxa"/>
          </w:tcPr>
          <w:p w14:paraId="7830A765" w14:textId="77777777" w:rsidR="005366D5" w:rsidRPr="001B73A5" w:rsidRDefault="00461DA7" w:rsidP="00F90C0E">
            <w:pPr>
              <w:pStyle w:val="BodyText"/>
            </w:pPr>
            <w:r>
              <w:t>24</w:t>
            </w:r>
            <w:r w:rsidRPr="00461DA7">
              <w:rPr>
                <w:vertAlign w:val="superscript"/>
              </w:rPr>
              <w:t>th</w:t>
            </w:r>
            <w:r>
              <w:t xml:space="preserve"> August</w:t>
            </w:r>
            <w:r w:rsidR="005366D5">
              <w:t xml:space="preserve"> to 4</w:t>
            </w:r>
            <w:r w:rsidRPr="00461DA7">
              <w:rPr>
                <w:vertAlign w:val="superscript"/>
              </w:rPr>
              <w:t>th</w:t>
            </w:r>
            <w:r>
              <w:t xml:space="preserve"> September</w:t>
            </w:r>
          </w:p>
        </w:tc>
        <w:tc>
          <w:tcPr>
            <w:tcW w:w="2410" w:type="dxa"/>
          </w:tcPr>
          <w:p w14:paraId="7D92CA5E" w14:textId="4D9B4184" w:rsidR="005366D5" w:rsidRDefault="005A433A" w:rsidP="00F90C0E">
            <w:pPr>
              <w:pStyle w:val="BodyText"/>
            </w:pPr>
            <w:r>
              <w:t xml:space="preserve">Prof. </w:t>
            </w:r>
            <w:r w:rsidR="005366D5">
              <w:t>Phil Cummins</w:t>
            </w:r>
          </w:p>
          <w:p w14:paraId="036A81F2" w14:textId="44298DCB" w:rsidR="005366D5" w:rsidRDefault="005A433A" w:rsidP="00F90C0E">
            <w:pPr>
              <w:pStyle w:val="BodyText"/>
            </w:pPr>
            <w:r>
              <w:t xml:space="preserve">Dr </w:t>
            </w:r>
            <w:r w:rsidR="005366D5">
              <w:t>Hadi Ghasemi</w:t>
            </w:r>
          </w:p>
        </w:tc>
        <w:tc>
          <w:tcPr>
            <w:tcW w:w="2551" w:type="dxa"/>
          </w:tcPr>
          <w:p w14:paraId="2807D5E4" w14:textId="77777777" w:rsidR="005366D5" w:rsidRDefault="005366D5" w:rsidP="00F90C0E">
            <w:pPr>
              <w:pStyle w:val="BodyText"/>
            </w:pPr>
            <w:r>
              <w:t>Jakarta</w:t>
            </w:r>
          </w:p>
        </w:tc>
        <w:tc>
          <w:tcPr>
            <w:tcW w:w="2372" w:type="dxa"/>
          </w:tcPr>
          <w:p w14:paraId="67495EE9" w14:textId="77777777" w:rsidR="0006540A" w:rsidRDefault="0006540A" w:rsidP="0006540A">
            <w:pPr>
              <w:pStyle w:val="TableTextLeft"/>
            </w:pPr>
            <w:r>
              <w:t xml:space="preserve">Activity 4.1: </w:t>
            </w:r>
          </w:p>
          <w:p w14:paraId="4FA54F6A" w14:textId="77777777" w:rsidR="005366D5" w:rsidRDefault="005366D5" w:rsidP="00F90C0E">
            <w:pPr>
              <w:pStyle w:val="BodyText"/>
            </w:pPr>
            <w:r>
              <w:t xml:space="preserve">Earthquake hazard </w:t>
            </w:r>
          </w:p>
        </w:tc>
      </w:tr>
      <w:tr w:rsidR="005366D5" w14:paraId="2058F813" w14:textId="77777777" w:rsidTr="00FB723C">
        <w:trPr>
          <w:cnfStyle w:val="000000100000" w:firstRow="0" w:lastRow="0" w:firstColumn="0" w:lastColumn="0" w:oddVBand="0" w:evenVBand="0" w:oddHBand="1" w:evenHBand="0" w:firstRowFirstColumn="0" w:firstRowLastColumn="0" w:lastRowFirstColumn="0" w:lastRowLastColumn="0"/>
        </w:trPr>
        <w:tc>
          <w:tcPr>
            <w:tcW w:w="1951" w:type="dxa"/>
          </w:tcPr>
          <w:p w14:paraId="3CA4C59C" w14:textId="77777777" w:rsidR="005366D5" w:rsidRDefault="00461DA7" w:rsidP="00461DA7">
            <w:pPr>
              <w:pStyle w:val="BodyText"/>
            </w:pPr>
            <w:r>
              <w:t>5</w:t>
            </w:r>
            <w:r w:rsidRPr="00461DA7">
              <w:rPr>
                <w:vertAlign w:val="superscript"/>
              </w:rPr>
              <w:t>th</w:t>
            </w:r>
            <w:r>
              <w:t xml:space="preserve"> to </w:t>
            </w:r>
            <w:r w:rsidR="005366D5">
              <w:t>12</w:t>
            </w:r>
            <w:r w:rsidRPr="00461DA7">
              <w:rPr>
                <w:vertAlign w:val="superscript"/>
              </w:rPr>
              <w:t>th</w:t>
            </w:r>
            <w:r>
              <w:t xml:space="preserve"> September</w:t>
            </w:r>
          </w:p>
        </w:tc>
        <w:tc>
          <w:tcPr>
            <w:tcW w:w="2410" w:type="dxa"/>
          </w:tcPr>
          <w:p w14:paraId="183DC3B9" w14:textId="21C59B3C" w:rsidR="005366D5" w:rsidRDefault="005A433A" w:rsidP="00F90C0E">
            <w:pPr>
              <w:pStyle w:val="BodyText"/>
            </w:pPr>
            <w:r>
              <w:t xml:space="preserve">Ms </w:t>
            </w:r>
            <w:r w:rsidR="005366D5">
              <w:t>Rikki Weber</w:t>
            </w:r>
          </w:p>
        </w:tc>
        <w:tc>
          <w:tcPr>
            <w:tcW w:w="2551" w:type="dxa"/>
          </w:tcPr>
          <w:p w14:paraId="148A3FB7" w14:textId="77777777" w:rsidR="005366D5" w:rsidRDefault="005366D5" w:rsidP="00F90C0E">
            <w:pPr>
              <w:pStyle w:val="BodyText"/>
            </w:pPr>
            <w:r>
              <w:t>Jakarta</w:t>
            </w:r>
          </w:p>
        </w:tc>
        <w:tc>
          <w:tcPr>
            <w:tcW w:w="2372" w:type="dxa"/>
          </w:tcPr>
          <w:p w14:paraId="254C555A" w14:textId="7C732B3E" w:rsidR="00650C53" w:rsidRDefault="00650C53" w:rsidP="00F90C0E">
            <w:pPr>
              <w:pStyle w:val="BodyText"/>
            </w:pPr>
            <w:r>
              <w:t>Activity 4.2:</w:t>
            </w:r>
          </w:p>
          <w:p w14:paraId="16BB091A" w14:textId="77777777" w:rsidR="005366D5" w:rsidRDefault="005366D5" w:rsidP="00F90C0E">
            <w:pPr>
              <w:pStyle w:val="BodyText"/>
            </w:pPr>
            <w:r>
              <w:t xml:space="preserve">Tsunami hazard </w:t>
            </w:r>
          </w:p>
        </w:tc>
      </w:tr>
      <w:tr w:rsidR="005366D5" w14:paraId="2FB66A33" w14:textId="77777777" w:rsidTr="00FB723C">
        <w:trPr>
          <w:cnfStyle w:val="000000010000" w:firstRow="0" w:lastRow="0" w:firstColumn="0" w:lastColumn="0" w:oddVBand="0" w:evenVBand="0" w:oddHBand="0" w:evenHBand="1" w:firstRowFirstColumn="0" w:firstRowLastColumn="0" w:lastRowFirstColumn="0" w:lastRowLastColumn="0"/>
        </w:trPr>
        <w:tc>
          <w:tcPr>
            <w:tcW w:w="1951" w:type="dxa"/>
          </w:tcPr>
          <w:p w14:paraId="1031AB46" w14:textId="77777777" w:rsidR="005366D5" w:rsidRDefault="00461DA7" w:rsidP="00F90C0E">
            <w:pPr>
              <w:pStyle w:val="BodyText"/>
            </w:pPr>
            <w:r>
              <w:t>6</w:t>
            </w:r>
            <w:r w:rsidRPr="00461DA7">
              <w:rPr>
                <w:vertAlign w:val="superscript"/>
              </w:rPr>
              <w:t>th</w:t>
            </w:r>
            <w:r>
              <w:t xml:space="preserve"> </w:t>
            </w:r>
            <w:r w:rsidR="005366D5">
              <w:t>to 22</w:t>
            </w:r>
            <w:r w:rsidRPr="00461DA7">
              <w:rPr>
                <w:vertAlign w:val="superscript"/>
              </w:rPr>
              <w:t>nd</w:t>
            </w:r>
            <w:r>
              <w:t xml:space="preserve"> October</w:t>
            </w:r>
          </w:p>
        </w:tc>
        <w:tc>
          <w:tcPr>
            <w:tcW w:w="2410" w:type="dxa"/>
          </w:tcPr>
          <w:p w14:paraId="5C846303" w14:textId="4194BA59" w:rsidR="005366D5" w:rsidRDefault="005A433A" w:rsidP="00F90C0E">
            <w:pPr>
              <w:pStyle w:val="BodyText"/>
            </w:pPr>
            <w:r>
              <w:t xml:space="preserve">Prof. </w:t>
            </w:r>
            <w:r w:rsidR="005366D5">
              <w:t>Phil Cummins</w:t>
            </w:r>
          </w:p>
        </w:tc>
        <w:tc>
          <w:tcPr>
            <w:tcW w:w="2551" w:type="dxa"/>
          </w:tcPr>
          <w:p w14:paraId="5DD747F9" w14:textId="77777777" w:rsidR="005366D5" w:rsidRDefault="005366D5" w:rsidP="00F90C0E">
            <w:pPr>
              <w:pStyle w:val="BodyText"/>
            </w:pPr>
            <w:r>
              <w:t>Jakarta, Banda Aceh &amp; Bandung</w:t>
            </w:r>
          </w:p>
        </w:tc>
        <w:tc>
          <w:tcPr>
            <w:tcW w:w="2372" w:type="dxa"/>
          </w:tcPr>
          <w:p w14:paraId="51B311CC" w14:textId="77777777" w:rsidR="0006540A" w:rsidRDefault="0006540A" w:rsidP="0006540A">
            <w:pPr>
              <w:pStyle w:val="TableTextLeft"/>
            </w:pPr>
            <w:r>
              <w:t xml:space="preserve">Activity 4.1: </w:t>
            </w:r>
          </w:p>
          <w:p w14:paraId="26F10C27" w14:textId="77777777" w:rsidR="005366D5" w:rsidRDefault="005366D5" w:rsidP="00F90C0E">
            <w:pPr>
              <w:pStyle w:val="BodyText"/>
            </w:pPr>
            <w:r>
              <w:t>Earthquake hazard training</w:t>
            </w:r>
          </w:p>
          <w:p w14:paraId="086BEED7" w14:textId="77777777" w:rsidR="005366D5" w:rsidRDefault="005366D5" w:rsidP="00F90C0E">
            <w:pPr>
              <w:pStyle w:val="BodyText"/>
            </w:pPr>
            <w:r>
              <w:t>UNESCO assessment Aceh Tsunami Museum</w:t>
            </w:r>
          </w:p>
        </w:tc>
      </w:tr>
      <w:tr w:rsidR="005366D5" w14:paraId="2713C630" w14:textId="77777777" w:rsidTr="00FB723C">
        <w:trPr>
          <w:cnfStyle w:val="000000100000" w:firstRow="0" w:lastRow="0" w:firstColumn="0" w:lastColumn="0" w:oddVBand="0" w:evenVBand="0" w:oddHBand="1" w:evenHBand="0" w:firstRowFirstColumn="0" w:firstRowLastColumn="0" w:lastRowFirstColumn="0" w:lastRowLastColumn="0"/>
        </w:trPr>
        <w:tc>
          <w:tcPr>
            <w:tcW w:w="1951" w:type="dxa"/>
          </w:tcPr>
          <w:p w14:paraId="0414F3EF" w14:textId="77777777" w:rsidR="005366D5" w:rsidRDefault="00461DA7" w:rsidP="00F90C0E">
            <w:pPr>
              <w:pStyle w:val="BodyText"/>
            </w:pPr>
            <w:r>
              <w:t>6</w:t>
            </w:r>
            <w:r w:rsidRPr="00461DA7">
              <w:rPr>
                <w:vertAlign w:val="superscript"/>
              </w:rPr>
              <w:t>th</w:t>
            </w:r>
            <w:r>
              <w:t xml:space="preserve"> to 15</w:t>
            </w:r>
            <w:r w:rsidRPr="00461DA7">
              <w:rPr>
                <w:vertAlign w:val="superscript"/>
              </w:rPr>
              <w:t>th</w:t>
            </w:r>
            <w:r>
              <w:t xml:space="preserve"> October</w:t>
            </w:r>
          </w:p>
        </w:tc>
        <w:tc>
          <w:tcPr>
            <w:tcW w:w="2410" w:type="dxa"/>
          </w:tcPr>
          <w:p w14:paraId="32DEBD4A" w14:textId="5C49C35B" w:rsidR="005366D5" w:rsidRDefault="005A433A" w:rsidP="00F90C0E">
            <w:pPr>
              <w:pStyle w:val="BodyText"/>
            </w:pPr>
            <w:r>
              <w:t xml:space="preserve">Dr </w:t>
            </w:r>
            <w:r w:rsidR="005366D5">
              <w:t>Charlotte Morgan</w:t>
            </w:r>
          </w:p>
        </w:tc>
        <w:tc>
          <w:tcPr>
            <w:tcW w:w="2551" w:type="dxa"/>
          </w:tcPr>
          <w:p w14:paraId="261092D5" w14:textId="77777777" w:rsidR="005366D5" w:rsidRDefault="005366D5" w:rsidP="00F90C0E">
            <w:pPr>
              <w:pStyle w:val="BodyText"/>
            </w:pPr>
            <w:r>
              <w:t>Canberra &amp; Perth</w:t>
            </w:r>
          </w:p>
        </w:tc>
        <w:tc>
          <w:tcPr>
            <w:tcW w:w="2372" w:type="dxa"/>
          </w:tcPr>
          <w:p w14:paraId="4C1F2BFC" w14:textId="77777777" w:rsidR="0006540A" w:rsidRDefault="0006540A" w:rsidP="00F90C0E">
            <w:pPr>
              <w:pStyle w:val="BodyText"/>
            </w:pPr>
            <w:r>
              <w:t xml:space="preserve">Programs 1 and 2: </w:t>
            </w:r>
          </w:p>
          <w:p w14:paraId="64DDABC6" w14:textId="31029BC9" w:rsidR="005366D5" w:rsidRDefault="005366D5" w:rsidP="00F90C0E">
            <w:pPr>
              <w:pStyle w:val="BodyText"/>
            </w:pPr>
            <w:r>
              <w:t>8</w:t>
            </w:r>
            <w:r w:rsidRPr="002D4AE3">
              <w:rPr>
                <w:vertAlign w:val="superscript"/>
              </w:rPr>
              <w:t>th</w:t>
            </w:r>
            <w:r>
              <w:t xml:space="preserve"> Australasian Natural Hazards Management Conference</w:t>
            </w:r>
          </w:p>
        </w:tc>
      </w:tr>
      <w:tr w:rsidR="005366D5" w14:paraId="53AAC84D" w14:textId="77777777" w:rsidTr="00FB723C">
        <w:trPr>
          <w:cnfStyle w:val="000000010000" w:firstRow="0" w:lastRow="0" w:firstColumn="0" w:lastColumn="0" w:oddVBand="0" w:evenVBand="0" w:oddHBand="0" w:evenHBand="1" w:firstRowFirstColumn="0" w:firstRowLastColumn="0" w:lastRowFirstColumn="0" w:lastRowLastColumn="0"/>
        </w:trPr>
        <w:tc>
          <w:tcPr>
            <w:tcW w:w="1951" w:type="dxa"/>
          </w:tcPr>
          <w:p w14:paraId="3CA6F18F" w14:textId="62E744B3" w:rsidR="005366D5" w:rsidRDefault="00461DA7" w:rsidP="00F90C0E">
            <w:pPr>
              <w:pStyle w:val="BodyText"/>
            </w:pPr>
            <w:r>
              <w:t>24</w:t>
            </w:r>
            <w:r w:rsidRPr="00461DA7">
              <w:rPr>
                <w:vertAlign w:val="superscript"/>
              </w:rPr>
              <w:t>th</w:t>
            </w:r>
            <w:r>
              <w:t xml:space="preserve"> October</w:t>
            </w:r>
            <w:r w:rsidR="005366D5">
              <w:t xml:space="preserve"> to 4</w:t>
            </w:r>
            <w:r w:rsidRPr="00461DA7">
              <w:rPr>
                <w:vertAlign w:val="superscript"/>
              </w:rPr>
              <w:t>th</w:t>
            </w:r>
            <w:r>
              <w:t xml:space="preserve"> November</w:t>
            </w:r>
          </w:p>
        </w:tc>
        <w:tc>
          <w:tcPr>
            <w:tcW w:w="2410" w:type="dxa"/>
          </w:tcPr>
          <w:p w14:paraId="6B8DD7C8" w14:textId="70512DC5" w:rsidR="005366D5" w:rsidRDefault="005A433A" w:rsidP="00F90C0E">
            <w:pPr>
              <w:pStyle w:val="BodyText"/>
            </w:pPr>
            <w:r>
              <w:t xml:space="preserve">Dr </w:t>
            </w:r>
            <w:r w:rsidR="005366D5">
              <w:t>Hadi Ghasemi</w:t>
            </w:r>
          </w:p>
          <w:p w14:paraId="3B9C15E2" w14:textId="77777777" w:rsidR="005366D5" w:rsidRDefault="005366D5" w:rsidP="00F90C0E">
            <w:pPr>
              <w:pStyle w:val="BodyText"/>
            </w:pPr>
            <w:r>
              <w:t>Pak Masyhur Isryam (ITB)</w:t>
            </w:r>
          </w:p>
        </w:tc>
        <w:tc>
          <w:tcPr>
            <w:tcW w:w="2551" w:type="dxa"/>
          </w:tcPr>
          <w:p w14:paraId="6E004D40" w14:textId="77777777" w:rsidR="005366D5" w:rsidRDefault="005366D5" w:rsidP="00F90C0E">
            <w:pPr>
              <w:pStyle w:val="BodyText"/>
            </w:pPr>
            <w:r>
              <w:t>Pavia, Italy &amp; Jakarta</w:t>
            </w:r>
          </w:p>
        </w:tc>
        <w:tc>
          <w:tcPr>
            <w:tcW w:w="2372" w:type="dxa"/>
          </w:tcPr>
          <w:p w14:paraId="5D438548" w14:textId="77777777" w:rsidR="0006540A" w:rsidRDefault="0006540A" w:rsidP="0006540A">
            <w:pPr>
              <w:pStyle w:val="TableTextLeft"/>
            </w:pPr>
            <w:r>
              <w:t xml:space="preserve">Activity 4.1: </w:t>
            </w:r>
          </w:p>
          <w:p w14:paraId="1CA07B66" w14:textId="77777777" w:rsidR="005366D5" w:rsidRDefault="005366D5" w:rsidP="00F90C0E">
            <w:pPr>
              <w:pStyle w:val="BodyText"/>
            </w:pPr>
            <w:r>
              <w:t>GEM annual risk workshop</w:t>
            </w:r>
          </w:p>
        </w:tc>
      </w:tr>
      <w:tr w:rsidR="005366D5" w14:paraId="6028FDFC" w14:textId="77777777" w:rsidTr="00FB723C">
        <w:trPr>
          <w:cnfStyle w:val="000000100000" w:firstRow="0" w:lastRow="0" w:firstColumn="0" w:lastColumn="0" w:oddVBand="0" w:evenVBand="0" w:oddHBand="1" w:evenHBand="0" w:firstRowFirstColumn="0" w:firstRowLastColumn="0" w:lastRowFirstColumn="0" w:lastRowLastColumn="0"/>
        </w:trPr>
        <w:tc>
          <w:tcPr>
            <w:tcW w:w="1951" w:type="dxa"/>
          </w:tcPr>
          <w:p w14:paraId="59D3206A" w14:textId="77777777" w:rsidR="005366D5" w:rsidRDefault="00461DA7" w:rsidP="00F90C0E">
            <w:pPr>
              <w:pStyle w:val="BodyText"/>
            </w:pPr>
            <w:r>
              <w:t>24</w:t>
            </w:r>
            <w:r w:rsidRPr="00461DA7">
              <w:rPr>
                <w:vertAlign w:val="superscript"/>
              </w:rPr>
              <w:t>th</w:t>
            </w:r>
            <w:r>
              <w:t xml:space="preserve"> October</w:t>
            </w:r>
            <w:r w:rsidR="005366D5">
              <w:t xml:space="preserve"> to 8</w:t>
            </w:r>
            <w:r w:rsidRPr="00461DA7">
              <w:rPr>
                <w:vertAlign w:val="superscript"/>
              </w:rPr>
              <w:t>th</w:t>
            </w:r>
            <w:r>
              <w:t xml:space="preserve"> November</w:t>
            </w:r>
          </w:p>
        </w:tc>
        <w:tc>
          <w:tcPr>
            <w:tcW w:w="2410" w:type="dxa"/>
          </w:tcPr>
          <w:p w14:paraId="138F78AC" w14:textId="02527815" w:rsidR="005366D5" w:rsidRDefault="005A433A" w:rsidP="00F90C0E">
            <w:pPr>
              <w:pStyle w:val="BodyText"/>
            </w:pPr>
            <w:r>
              <w:t xml:space="preserve">Dr </w:t>
            </w:r>
            <w:r w:rsidR="005366D5">
              <w:t>Jane Sexton</w:t>
            </w:r>
          </w:p>
        </w:tc>
        <w:tc>
          <w:tcPr>
            <w:tcW w:w="2551" w:type="dxa"/>
          </w:tcPr>
          <w:p w14:paraId="0215231F" w14:textId="77777777" w:rsidR="005366D5" w:rsidRDefault="005366D5" w:rsidP="00F90C0E">
            <w:pPr>
              <w:pStyle w:val="BodyText"/>
            </w:pPr>
            <w:r>
              <w:t>Jakarta</w:t>
            </w:r>
          </w:p>
        </w:tc>
        <w:tc>
          <w:tcPr>
            <w:tcW w:w="2372" w:type="dxa"/>
          </w:tcPr>
          <w:p w14:paraId="5068AA46" w14:textId="5DBEA7DC" w:rsidR="0006540A" w:rsidRDefault="0006540A" w:rsidP="00F90C0E">
            <w:pPr>
              <w:pStyle w:val="BodyText"/>
            </w:pPr>
            <w:r>
              <w:t xml:space="preserve">Project Management: </w:t>
            </w:r>
          </w:p>
          <w:p w14:paraId="7FF11E6B" w14:textId="4E05D27B" w:rsidR="005366D5" w:rsidRDefault="005366D5" w:rsidP="00F90C0E">
            <w:pPr>
              <w:pStyle w:val="BodyText"/>
            </w:pPr>
            <w:r>
              <w:t>Science Review</w:t>
            </w:r>
          </w:p>
        </w:tc>
      </w:tr>
    </w:tbl>
    <w:p w14:paraId="1FA49AEB" w14:textId="5A59275B" w:rsidR="00CD50DE" w:rsidRPr="007D582F" w:rsidRDefault="00CD50DE" w:rsidP="007D582F">
      <w:pPr>
        <w:pStyle w:val="BodyText"/>
        <w:rPr>
          <w:b/>
        </w:rPr>
      </w:pPr>
      <w:r w:rsidRPr="007D582F">
        <w:rPr>
          <w:b/>
        </w:rPr>
        <w:t>2016</w:t>
      </w:r>
      <w:bookmarkEnd w:id="37"/>
    </w:p>
    <w:tbl>
      <w:tblPr>
        <w:tblStyle w:val="TableGAHeaderRow"/>
        <w:tblW w:w="9284" w:type="dxa"/>
        <w:tblLook w:val="04A0" w:firstRow="1" w:lastRow="0" w:firstColumn="1" w:lastColumn="0" w:noHBand="0" w:noVBand="1"/>
      </w:tblPr>
      <w:tblGrid>
        <w:gridCol w:w="1951"/>
        <w:gridCol w:w="2410"/>
        <w:gridCol w:w="2551"/>
        <w:gridCol w:w="2372"/>
      </w:tblGrid>
      <w:tr w:rsidR="00E97E75" w14:paraId="731AAF18" w14:textId="77777777" w:rsidTr="00D32CB9">
        <w:trPr>
          <w:cnfStyle w:val="100000000000" w:firstRow="1" w:lastRow="0" w:firstColumn="0" w:lastColumn="0" w:oddVBand="0" w:evenVBand="0" w:oddHBand="0" w:evenHBand="0" w:firstRowFirstColumn="0" w:firstRowLastColumn="0" w:lastRowFirstColumn="0" w:lastRowLastColumn="0"/>
        </w:trPr>
        <w:tc>
          <w:tcPr>
            <w:tcW w:w="1951" w:type="dxa"/>
          </w:tcPr>
          <w:p w14:paraId="08D7F235" w14:textId="77777777" w:rsidR="00E97E75" w:rsidRDefault="00E97E75" w:rsidP="00E97E75">
            <w:pPr>
              <w:pStyle w:val="TableTextCentred"/>
            </w:pPr>
            <w:r>
              <w:t>Dates</w:t>
            </w:r>
          </w:p>
        </w:tc>
        <w:tc>
          <w:tcPr>
            <w:tcW w:w="2410" w:type="dxa"/>
          </w:tcPr>
          <w:p w14:paraId="5F737DA5" w14:textId="77777777" w:rsidR="00E97E75" w:rsidRDefault="00E97E75" w:rsidP="00E97E75">
            <w:pPr>
              <w:pStyle w:val="TableTextCentred"/>
            </w:pPr>
            <w:r>
              <w:t>Officers</w:t>
            </w:r>
          </w:p>
        </w:tc>
        <w:tc>
          <w:tcPr>
            <w:tcW w:w="2551" w:type="dxa"/>
          </w:tcPr>
          <w:p w14:paraId="6CA80B17" w14:textId="77777777" w:rsidR="00E97E75" w:rsidRDefault="00E97E75" w:rsidP="00E97E75">
            <w:pPr>
              <w:pStyle w:val="TableTextCentred"/>
            </w:pPr>
            <w:r>
              <w:t>Locations</w:t>
            </w:r>
          </w:p>
        </w:tc>
        <w:tc>
          <w:tcPr>
            <w:tcW w:w="2372" w:type="dxa"/>
          </w:tcPr>
          <w:p w14:paraId="05BE5DA1" w14:textId="77777777" w:rsidR="00E97E75" w:rsidRDefault="00E97E75" w:rsidP="00E97E75">
            <w:pPr>
              <w:pStyle w:val="TableTextCentred"/>
            </w:pPr>
            <w:r>
              <w:t>Purpose</w:t>
            </w:r>
          </w:p>
        </w:tc>
      </w:tr>
      <w:tr w:rsidR="00E97E75" w14:paraId="42E8919E" w14:textId="77777777" w:rsidTr="00D32CB9">
        <w:trPr>
          <w:cnfStyle w:val="000000100000" w:firstRow="0" w:lastRow="0" w:firstColumn="0" w:lastColumn="0" w:oddVBand="0" w:evenVBand="0" w:oddHBand="1" w:evenHBand="0" w:firstRowFirstColumn="0" w:firstRowLastColumn="0" w:lastRowFirstColumn="0" w:lastRowLastColumn="0"/>
        </w:trPr>
        <w:tc>
          <w:tcPr>
            <w:tcW w:w="1951" w:type="dxa"/>
          </w:tcPr>
          <w:p w14:paraId="61BC221B" w14:textId="77777777" w:rsidR="00E97E75" w:rsidRDefault="00AB66BC" w:rsidP="00AB66BC">
            <w:pPr>
              <w:pStyle w:val="TableTextLeft"/>
            </w:pPr>
            <w:r>
              <w:t>24</w:t>
            </w:r>
            <w:r w:rsidRPr="00AB66BC">
              <w:rPr>
                <w:vertAlign w:val="superscript"/>
              </w:rPr>
              <w:t>th</w:t>
            </w:r>
            <w:r>
              <w:t xml:space="preserve"> January to 5</w:t>
            </w:r>
            <w:r w:rsidRPr="00AB66BC">
              <w:rPr>
                <w:vertAlign w:val="superscript"/>
              </w:rPr>
              <w:t>th</w:t>
            </w:r>
            <w:r>
              <w:t xml:space="preserve"> February</w:t>
            </w:r>
          </w:p>
        </w:tc>
        <w:tc>
          <w:tcPr>
            <w:tcW w:w="2410" w:type="dxa"/>
          </w:tcPr>
          <w:p w14:paraId="09753F5A" w14:textId="77777777" w:rsidR="00E97E75" w:rsidRDefault="00E97E75" w:rsidP="00E97E75">
            <w:pPr>
              <w:pStyle w:val="TableTextLeft"/>
            </w:pPr>
            <w:r>
              <w:t>Badan Geologi Staff (x3)</w:t>
            </w:r>
          </w:p>
        </w:tc>
        <w:tc>
          <w:tcPr>
            <w:tcW w:w="2551" w:type="dxa"/>
          </w:tcPr>
          <w:p w14:paraId="720C157E" w14:textId="77777777" w:rsidR="00E97E75" w:rsidRDefault="00E97E75" w:rsidP="00E97E75">
            <w:pPr>
              <w:pStyle w:val="TableTextLeft"/>
            </w:pPr>
            <w:r>
              <w:t>Melbourne (hosted at BoM by Adele Bear-Crozier)</w:t>
            </w:r>
          </w:p>
        </w:tc>
        <w:tc>
          <w:tcPr>
            <w:tcW w:w="2372" w:type="dxa"/>
          </w:tcPr>
          <w:p w14:paraId="54A16CA5" w14:textId="77777777" w:rsidR="00E97E75" w:rsidRDefault="00E97E75" w:rsidP="00E97E75">
            <w:pPr>
              <w:pStyle w:val="TableTextLeft"/>
            </w:pPr>
            <w:r>
              <w:t xml:space="preserve">Activity 4.4: </w:t>
            </w:r>
          </w:p>
          <w:p w14:paraId="4FD1E91B" w14:textId="77777777" w:rsidR="00E97E75" w:rsidRDefault="00E97E75" w:rsidP="00E97E75">
            <w:pPr>
              <w:pStyle w:val="TableTextLeft"/>
            </w:pPr>
            <w:r>
              <w:t>Volcanic ash hazard</w:t>
            </w:r>
          </w:p>
        </w:tc>
      </w:tr>
      <w:tr w:rsidR="00E97E75" w14:paraId="54C3277B" w14:textId="77777777" w:rsidTr="00D32CB9">
        <w:trPr>
          <w:cnfStyle w:val="000000010000" w:firstRow="0" w:lastRow="0" w:firstColumn="0" w:lastColumn="0" w:oddVBand="0" w:evenVBand="0" w:oddHBand="0" w:evenHBand="1" w:firstRowFirstColumn="0" w:firstRowLastColumn="0" w:lastRowFirstColumn="0" w:lastRowLastColumn="0"/>
        </w:trPr>
        <w:tc>
          <w:tcPr>
            <w:tcW w:w="1951" w:type="dxa"/>
          </w:tcPr>
          <w:p w14:paraId="6F2727F2" w14:textId="77777777" w:rsidR="00E97E75" w:rsidRDefault="00E97E75" w:rsidP="00AB66BC">
            <w:pPr>
              <w:pStyle w:val="TableTextLeft"/>
            </w:pPr>
            <w:r>
              <w:t>31</w:t>
            </w:r>
            <w:r w:rsidR="00AB66BC" w:rsidRPr="00AB66BC">
              <w:rPr>
                <w:vertAlign w:val="superscript"/>
              </w:rPr>
              <w:t>st</w:t>
            </w:r>
            <w:r w:rsidR="00AB66BC">
              <w:t xml:space="preserve"> January</w:t>
            </w:r>
            <w:r>
              <w:t xml:space="preserve"> to 14</w:t>
            </w:r>
            <w:r w:rsidR="00AB66BC" w:rsidRPr="00AB66BC">
              <w:rPr>
                <w:vertAlign w:val="superscript"/>
              </w:rPr>
              <w:t>th</w:t>
            </w:r>
            <w:r w:rsidR="00AB66BC">
              <w:t xml:space="preserve"> February</w:t>
            </w:r>
          </w:p>
        </w:tc>
        <w:tc>
          <w:tcPr>
            <w:tcW w:w="2410" w:type="dxa"/>
          </w:tcPr>
          <w:p w14:paraId="4C346F0B" w14:textId="77777777" w:rsidR="00E97E75" w:rsidRDefault="00E97E75" w:rsidP="00E97E75">
            <w:pPr>
              <w:pStyle w:val="TableTextLeft"/>
            </w:pPr>
            <w:r>
              <w:t>Dr Hyeuk Ryu</w:t>
            </w:r>
          </w:p>
          <w:p w14:paraId="1294C3DA" w14:textId="77777777" w:rsidR="00E97E75" w:rsidRDefault="00E97E75" w:rsidP="00E97E75">
            <w:pPr>
              <w:pStyle w:val="TableTextLeft"/>
            </w:pPr>
            <w:r>
              <w:t>Prof. Phil Cummins</w:t>
            </w:r>
          </w:p>
        </w:tc>
        <w:tc>
          <w:tcPr>
            <w:tcW w:w="2551" w:type="dxa"/>
          </w:tcPr>
          <w:p w14:paraId="702A4747" w14:textId="77777777" w:rsidR="00E97E75" w:rsidRDefault="00E97E75" w:rsidP="00E97E75">
            <w:pPr>
              <w:pStyle w:val="TableTextLeft"/>
            </w:pPr>
            <w:r>
              <w:t>Bandung</w:t>
            </w:r>
          </w:p>
        </w:tc>
        <w:tc>
          <w:tcPr>
            <w:tcW w:w="2372" w:type="dxa"/>
          </w:tcPr>
          <w:p w14:paraId="20FD5AC4" w14:textId="77777777" w:rsidR="00E97E75" w:rsidRDefault="00E97E75" w:rsidP="00E97E75">
            <w:pPr>
              <w:pStyle w:val="TableTextLeft"/>
            </w:pPr>
            <w:r>
              <w:t xml:space="preserve">Activity 4.1: </w:t>
            </w:r>
          </w:p>
          <w:p w14:paraId="328FE14D" w14:textId="77777777" w:rsidR="00E97E75" w:rsidRDefault="00E97E75" w:rsidP="00E97E75">
            <w:pPr>
              <w:pStyle w:val="TableTextLeft"/>
            </w:pPr>
            <w:r>
              <w:t>Earthquake hazard</w:t>
            </w:r>
          </w:p>
        </w:tc>
      </w:tr>
      <w:tr w:rsidR="00E97E75" w14:paraId="13D10A4F" w14:textId="77777777" w:rsidTr="00D32CB9">
        <w:trPr>
          <w:cnfStyle w:val="000000100000" w:firstRow="0" w:lastRow="0" w:firstColumn="0" w:lastColumn="0" w:oddVBand="0" w:evenVBand="0" w:oddHBand="1" w:evenHBand="0" w:firstRowFirstColumn="0" w:firstRowLastColumn="0" w:lastRowFirstColumn="0" w:lastRowLastColumn="0"/>
        </w:trPr>
        <w:tc>
          <w:tcPr>
            <w:tcW w:w="1951" w:type="dxa"/>
          </w:tcPr>
          <w:p w14:paraId="5DCE71B9" w14:textId="5431FA79" w:rsidR="00E97E75" w:rsidRDefault="00AB66BC" w:rsidP="00E97E75">
            <w:pPr>
              <w:pStyle w:val="TableTextLeft"/>
            </w:pPr>
            <w:r>
              <w:t>31</w:t>
            </w:r>
            <w:r w:rsidRPr="00AB66BC">
              <w:rPr>
                <w:vertAlign w:val="superscript"/>
              </w:rPr>
              <w:t>st</w:t>
            </w:r>
            <w:r w:rsidR="00FE4FE6">
              <w:t xml:space="preserve"> January </w:t>
            </w:r>
            <w:r>
              <w:t>to 5</w:t>
            </w:r>
            <w:r w:rsidRPr="00AB66BC">
              <w:rPr>
                <w:vertAlign w:val="superscript"/>
              </w:rPr>
              <w:t>th</w:t>
            </w:r>
            <w:r>
              <w:t xml:space="preserve"> February</w:t>
            </w:r>
          </w:p>
        </w:tc>
        <w:tc>
          <w:tcPr>
            <w:tcW w:w="2410" w:type="dxa"/>
          </w:tcPr>
          <w:p w14:paraId="53EDB074" w14:textId="77777777" w:rsidR="00E97E75" w:rsidRDefault="00E97E75" w:rsidP="00E97E75">
            <w:pPr>
              <w:pStyle w:val="TableTextLeft"/>
            </w:pPr>
            <w:r>
              <w:t>Dr Hadi Ghasemi</w:t>
            </w:r>
          </w:p>
        </w:tc>
        <w:tc>
          <w:tcPr>
            <w:tcW w:w="2551" w:type="dxa"/>
          </w:tcPr>
          <w:p w14:paraId="609741B5" w14:textId="77777777" w:rsidR="00E97E75" w:rsidRDefault="00E97E75" w:rsidP="00E97E75">
            <w:pPr>
              <w:pStyle w:val="TableTextLeft"/>
            </w:pPr>
            <w:r>
              <w:t>Jakarta</w:t>
            </w:r>
          </w:p>
        </w:tc>
        <w:tc>
          <w:tcPr>
            <w:tcW w:w="2372" w:type="dxa"/>
          </w:tcPr>
          <w:p w14:paraId="25C0A85A" w14:textId="77777777" w:rsidR="00E97E75" w:rsidRDefault="00E97E75" w:rsidP="00E97E75">
            <w:pPr>
              <w:pStyle w:val="TableTextLeft"/>
            </w:pPr>
            <w:r>
              <w:t xml:space="preserve">Activity 4.1: </w:t>
            </w:r>
          </w:p>
          <w:p w14:paraId="6B07583D" w14:textId="77777777" w:rsidR="00E97E75" w:rsidRDefault="00E97E75" w:rsidP="00E97E75">
            <w:pPr>
              <w:pStyle w:val="TableTextLeft"/>
            </w:pPr>
            <w:r>
              <w:t>Earthquake hazard</w:t>
            </w:r>
          </w:p>
        </w:tc>
      </w:tr>
      <w:tr w:rsidR="00E97E75" w14:paraId="7B2567CE" w14:textId="77777777" w:rsidTr="00D32CB9">
        <w:trPr>
          <w:cnfStyle w:val="000000010000" w:firstRow="0" w:lastRow="0" w:firstColumn="0" w:lastColumn="0" w:oddVBand="0" w:evenVBand="0" w:oddHBand="0" w:evenHBand="1" w:firstRowFirstColumn="0" w:firstRowLastColumn="0" w:lastRowFirstColumn="0" w:lastRowLastColumn="0"/>
        </w:trPr>
        <w:tc>
          <w:tcPr>
            <w:tcW w:w="1951" w:type="dxa"/>
          </w:tcPr>
          <w:p w14:paraId="55852CC6" w14:textId="77777777" w:rsidR="00E97E75" w:rsidRDefault="00AB66BC" w:rsidP="00E97E75">
            <w:pPr>
              <w:pStyle w:val="TableTextLeft"/>
            </w:pPr>
            <w:r>
              <w:t>28</w:t>
            </w:r>
            <w:r w:rsidRPr="00AB66BC">
              <w:rPr>
                <w:vertAlign w:val="superscript"/>
              </w:rPr>
              <w:t>th</w:t>
            </w:r>
            <w:r>
              <w:t xml:space="preserve"> March to 4</w:t>
            </w:r>
            <w:r w:rsidRPr="00AB66BC">
              <w:rPr>
                <w:vertAlign w:val="superscript"/>
              </w:rPr>
              <w:t>th</w:t>
            </w:r>
            <w:r>
              <w:t xml:space="preserve"> April</w:t>
            </w:r>
          </w:p>
        </w:tc>
        <w:tc>
          <w:tcPr>
            <w:tcW w:w="2410" w:type="dxa"/>
          </w:tcPr>
          <w:p w14:paraId="71138AFB" w14:textId="77777777" w:rsidR="00E97E75" w:rsidRDefault="00E97E75" w:rsidP="00E97E75">
            <w:pPr>
              <w:pStyle w:val="TableTextLeft"/>
            </w:pPr>
            <w:r>
              <w:t>Ms Libby Metz</w:t>
            </w:r>
          </w:p>
        </w:tc>
        <w:tc>
          <w:tcPr>
            <w:tcW w:w="2551" w:type="dxa"/>
          </w:tcPr>
          <w:p w14:paraId="15C7C456" w14:textId="77777777" w:rsidR="00E97E75" w:rsidRDefault="00E97E75" w:rsidP="00E97E75">
            <w:pPr>
              <w:pStyle w:val="TableTextLeft"/>
            </w:pPr>
            <w:r>
              <w:t>Jakarta</w:t>
            </w:r>
          </w:p>
        </w:tc>
        <w:tc>
          <w:tcPr>
            <w:tcW w:w="2372" w:type="dxa"/>
          </w:tcPr>
          <w:p w14:paraId="2BC3C22D" w14:textId="77777777" w:rsidR="00E97E75" w:rsidRDefault="00E97E75" w:rsidP="00E97E75">
            <w:pPr>
              <w:pStyle w:val="TableTextLeft"/>
            </w:pPr>
            <w:r>
              <w:t xml:space="preserve">Program 2: </w:t>
            </w:r>
          </w:p>
          <w:p w14:paraId="0FFD1543" w14:textId="77777777" w:rsidR="00E97E75" w:rsidRDefault="00E97E75" w:rsidP="00E97E75">
            <w:pPr>
              <w:pStyle w:val="TableTextLeft"/>
            </w:pPr>
            <w:r>
              <w:t>Kartoza InaSAFE development meeting</w:t>
            </w:r>
          </w:p>
        </w:tc>
      </w:tr>
      <w:tr w:rsidR="00E97E75" w14:paraId="1D16BBCD" w14:textId="77777777" w:rsidTr="00D32CB9">
        <w:trPr>
          <w:cnfStyle w:val="000000100000" w:firstRow="0" w:lastRow="0" w:firstColumn="0" w:lastColumn="0" w:oddVBand="0" w:evenVBand="0" w:oddHBand="1" w:evenHBand="0" w:firstRowFirstColumn="0" w:firstRowLastColumn="0" w:lastRowFirstColumn="0" w:lastRowLastColumn="0"/>
        </w:trPr>
        <w:tc>
          <w:tcPr>
            <w:tcW w:w="1951" w:type="dxa"/>
          </w:tcPr>
          <w:p w14:paraId="650C3A14" w14:textId="77777777" w:rsidR="00E97E75" w:rsidRDefault="00AB66BC" w:rsidP="00AB66BC">
            <w:pPr>
              <w:pStyle w:val="TableTextLeft"/>
            </w:pPr>
            <w:r>
              <w:t>10</w:t>
            </w:r>
            <w:r w:rsidRPr="00AB66BC">
              <w:rPr>
                <w:vertAlign w:val="superscript"/>
              </w:rPr>
              <w:t>th</w:t>
            </w:r>
            <w:r>
              <w:t xml:space="preserve"> to 16</w:t>
            </w:r>
            <w:r w:rsidRPr="00AB66BC">
              <w:rPr>
                <w:vertAlign w:val="superscript"/>
              </w:rPr>
              <w:t>th</w:t>
            </w:r>
            <w:r>
              <w:t xml:space="preserve"> April</w:t>
            </w:r>
          </w:p>
        </w:tc>
        <w:tc>
          <w:tcPr>
            <w:tcW w:w="2410" w:type="dxa"/>
          </w:tcPr>
          <w:p w14:paraId="211CEF01" w14:textId="77777777" w:rsidR="00E97E75" w:rsidRDefault="00E97E75" w:rsidP="00E97E75">
            <w:pPr>
              <w:pStyle w:val="TableTextLeft"/>
            </w:pPr>
            <w:r>
              <w:t>Prof. Phil Cummins</w:t>
            </w:r>
          </w:p>
        </w:tc>
        <w:tc>
          <w:tcPr>
            <w:tcW w:w="2551" w:type="dxa"/>
          </w:tcPr>
          <w:p w14:paraId="6E09B5C1" w14:textId="77777777" w:rsidR="00E97E75" w:rsidRDefault="00E97E75" w:rsidP="00E97E75">
            <w:pPr>
              <w:pStyle w:val="TableTextLeft"/>
            </w:pPr>
            <w:r>
              <w:t>Bandung</w:t>
            </w:r>
          </w:p>
        </w:tc>
        <w:tc>
          <w:tcPr>
            <w:tcW w:w="2372" w:type="dxa"/>
          </w:tcPr>
          <w:p w14:paraId="058E9664" w14:textId="77777777" w:rsidR="00E97E75" w:rsidRDefault="00E97E75" w:rsidP="00E97E75">
            <w:pPr>
              <w:pStyle w:val="TableTextLeft"/>
            </w:pPr>
            <w:r>
              <w:t xml:space="preserve">Activity 4.1: </w:t>
            </w:r>
          </w:p>
          <w:p w14:paraId="4A2C35BF" w14:textId="77777777" w:rsidR="00E97E75" w:rsidRDefault="00E97E75" w:rsidP="00E97E75">
            <w:pPr>
              <w:pStyle w:val="TableTextLeft"/>
            </w:pPr>
            <w:r>
              <w:t>Earthquake hazard</w:t>
            </w:r>
          </w:p>
        </w:tc>
      </w:tr>
      <w:tr w:rsidR="00E97E75" w14:paraId="39F871BC" w14:textId="77777777" w:rsidTr="00D32CB9">
        <w:trPr>
          <w:cnfStyle w:val="000000010000" w:firstRow="0" w:lastRow="0" w:firstColumn="0" w:lastColumn="0" w:oddVBand="0" w:evenVBand="0" w:oddHBand="0" w:evenHBand="1" w:firstRowFirstColumn="0" w:firstRowLastColumn="0" w:lastRowFirstColumn="0" w:lastRowLastColumn="0"/>
        </w:trPr>
        <w:tc>
          <w:tcPr>
            <w:tcW w:w="1951" w:type="dxa"/>
          </w:tcPr>
          <w:p w14:paraId="0C2F7208" w14:textId="77777777" w:rsidR="00E97E75" w:rsidRDefault="00AB66BC" w:rsidP="00E97E75">
            <w:pPr>
              <w:pStyle w:val="TableTextLeft"/>
            </w:pPr>
            <w:r>
              <w:t>14</w:t>
            </w:r>
            <w:r w:rsidRPr="00AB66BC">
              <w:rPr>
                <w:vertAlign w:val="superscript"/>
              </w:rPr>
              <w:t>th</w:t>
            </w:r>
            <w:r>
              <w:t xml:space="preserve"> to 22</w:t>
            </w:r>
            <w:r w:rsidRPr="00AB66BC">
              <w:rPr>
                <w:vertAlign w:val="superscript"/>
              </w:rPr>
              <w:t>nd</w:t>
            </w:r>
            <w:r>
              <w:t xml:space="preserve"> May</w:t>
            </w:r>
          </w:p>
        </w:tc>
        <w:tc>
          <w:tcPr>
            <w:tcW w:w="2410" w:type="dxa"/>
          </w:tcPr>
          <w:p w14:paraId="1336461F" w14:textId="77777777" w:rsidR="00E97E75" w:rsidRDefault="00E97E75" w:rsidP="00E97E75">
            <w:pPr>
              <w:pStyle w:val="TableTextLeft"/>
            </w:pPr>
            <w:r>
              <w:t>Dr Charlotte Morgan</w:t>
            </w:r>
          </w:p>
        </w:tc>
        <w:tc>
          <w:tcPr>
            <w:tcW w:w="2551" w:type="dxa"/>
          </w:tcPr>
          <w:p w14:paraId="242CC2FE" w14:textId="77777777" w:rsidR="00E97E75" w:rsidRDefault="00E97E75" w:rsidP="00E97E75">
            <w:pPr>
              <w:pStyle w:val="TableTextLeft"/>
            </w:pPr>
            <w:r>
              <w:t>Venice</w:t>
            </w:r>
          </w:p>
        </w:tc>
        <w:tc>
          <w:tcPr>
            <w:tcW w:w="2372" w:type="dxa"/>
          </w:tcPr>
          <w:p w14:paraId="644158CC" w14:textId="77777777" w:rsidR="00E97E75" w:rsidRDefault="00E97E75" w:rsidP="00E97E75">
            <w:pPr>
              <w:pStyle w:val="TableTextLeft"/>
            </w:pPr>
            <w:r>
              <w:t>Programs 1 and 2: Understanding Risk Forum</w:t>
            </w:r>
          </w:p>
        </w:tc>
      </w:tr>
      <w:tr w:rsidR="00E97E75" w14:paraId="2E735766" w14:textId="77777777" w:rsidTr="00D32CB9">
        <w:trPr>
          <w:cnfStyle w:val="000000100000" w:firstRow="0" w:lastRow="0" w:firstColumn="0" w:lastColumn="0" w:oddVBand="0" w:evenVBand="0" w:oddHBand="1" w:evenHBand="0" w:firstRowFirstColumn="0" w:firstRowLastColumn="0" w:lastRowFirstColumn="0" w:lastRowLastColumn="0"/>
        </w:trPr>
        <w:tc>
          <w:tcPr>
            <w:tcW w:w="1951" w:type="dxa"/>
          </w:tcPr>
          <w:p w14:paraId="0B301B28" w14:textId="77777777" w:rsidR="00E97E75" w:rsidRDefault="00AB66BC" w:rsidP="00E97E75">
            <w:pPr>
              <w:pStyle w:val="TableTextLeft"/>
            </w:pPr>
            <w:r>
              <w:t>15</w:t>
            </w:r>
            <w:r w:rsidRPr="00AB66BC">
              <w:rPr>
                <w:vertAlign w:val="superscript"/>
              </w:rPr>
              <w:t>th</w:t>
            </w:r>
            <w:r>
              <w:t xml:space="preserve"> to 27</w:t>
            </w:r>
            <w:r w:rsidRPr="00AB66BC">
              <w:rPr>
                <w:vertAlign w:val="superscript"/>
              </w:rPr>
              <w:t>th</w:t>
            </w:r>
            <w:r>
              <w:t xml:space="preserve"> May</w:t>
            </w:r>
          </w:p>
        </w:tc>
        <w:tc>
          <w:tcPr>
            <w:tcW w:w="2410" w:type="dxa"/>
          </w:tcPr>
          <w:p w14:paraId="4F8E898C" w14:textId="77777777" w:rsidR="00E97E75" w:rsidRDefault="00E97E75" w:rsidP="00FB723C">
            <w:pPr>
              <w:pStyle w:val="TableTextLeft"/>
            </w:pPr>
            <w:r>
              <w:t>Dr Adele Bear-Crozier</w:t>
            </w:r>
            <w:r w:rsidR="00FB723C" w:rsidRPr="00FB723C">
              <w:rPr>
                <w:rStyle w:val="Superscript"/>
              </w:rPr>
              <w:t>2</w:t>
            </w:r>
          </w:p>
        </w:tc>
        <w:tc>
          <w:tcPr>
            <w:tcW w:w="2551" w:type="dxa"/>
          </w:tcPr>
          <w:p w14:paraId="2A3FACA8" w14:textId="77777777" w:rsidR="00E97E75" w:rsidRDefault="00E97E75" w:rsidP="00E97E75">
            <w:pPr>
              <w:pStyle w:val="TableTextLeft"/>
            </w:pPr>
            <w:r>
              <w:t>Denpasar, Bandung &amp; Jakarta</w:t>
            </w:r>
          </w:p>
        </w:tc>
        <w:tc>
          <w:tcPr>
            <w:tcW w:w="2372" w:type="dxa"/>
          </w:tcPr>
          <w:p w14:paraId="67CF78FA" w14:textId="77777777" w:rsidR="00E97E75" w:rsidRDefault="00E97E75" w:rsidP="00E97E75">
            <w:pPr>
              <w:pStyle w:val="TableTextLeft"/>
            </w:pPr>
            <w:r>
              <w:t xml:space="preserve">Activity 4.4: </w:t>
            </w:r>
          </w:p>
          <w:p w14:paraId="1D6107C2" w14:textId="77777777" w:rsidR="00E97E75" w:rsidRDefault="00E97E75" w:rsidP="00E97E75">
            <w:pPr>
              <w:pStyle w:val="TableTextLeft"/>
            </w:pPr>
            <w:r>
              <w:t>Volcanic ash hazard</w:t>
            </w:r>
          </w:p>
        </w:tc>
      </w:tr>
      <w:tr w:rsidR="00E97E75" w14:paraId="04A534D0" w14:textId="77777777" w:rsidTr="00D32CB9">
        <w:trPr>
          <w:cnfStyle w:val="000000010000" w:firstRow="0" w:lastRow="0" w:firstColumn="0" w:lastColumn="0" w:oddVBand="0" w:evenVBand="0" w:oddHBand="0" w:evenHBand="1" w:firstRowFirstColumn="0" w:firstRowLastColumn="0" w:lastRowFirstColumn="0" w:lastRowLastColumn="0"/>
        </w:trPr>
        <w:tc>
          <w:tcPr>
            <w:tcW w:w="1951" w:type="dxa"/>
          </w:tcPr>
          <w:p w14:paraId="19ECA731" w14:textId="77777777" w:rsidR="00E97E75" w:rsidRDefault="00AB66BC" w:rsidP="00E97E75">
            <w:pPr>
              <w:pStyle w:val="TableTextLeft"/>
            </w:pPr>
            <w:r>
              <w:t>12</w:t>
            </w:r>
            <w:r w:rsidRPr="00AB66BC">
              <w:rPr>
                <w:vertAlign w:val="superscript"/>
              </w:rPr>
              <w:t>th</w:t>
            </w:r>
            <w:r>
              <w:t xml:space="preserve"> to 25</w:t>
            </w:r>
            <w:r w:rsidRPr="00AB66BC">
              <w:rPr>
                <w:vertAlign w:val="superscript"/>
              </w:rPr>
              <w:t>th</w:t>
            </w:r>
            <w:r>
              <w:t xml:space="preserve"> May</w:t>
            </w:r>
          </w:p>
        </w:tc>
        <w:tc>
          <w:tcPr>
            <w:tcW w:w="2410" w:type="dxa"/>
          </w:tcPr>
          <w:p w14:paraId="26D6D30D" w14:textId="4AB17976" w:rsidR="00E97E75" w:rsidRDefault="00E97E75" w:rsidP="00E97E75">
            <w:pPr>
              <w:pStyle w:val="TableTextLeft"/>
            </w:pPr>
            <w:r>
              <w:t>Prof</w:t>
            </w:r>
            <w:r w:rsidR="005A433A">
              <w:t>.</w:t>
            </w:r>
            <w:r>
              <w:t xml:space="preserve"> Phil Cummins</w:t>
            </w:r>
          </w:p>
          <w:p w14:paraId="1A6B61CE" w14:textId="77777777" w:rsidR="00E97E75" w:rsidRDefault="00E97E75" w:rsidP="00E97E75">
            <w:pPr>
              <w:pStyle w:val="TableTextLeft"/>
            </w:pPr>
            <w:r>
              <w:t>Dr Hadi Ghasemi</w:t>
            </w:r>
          </w:p>
        </w:tc>
        <w:tc>
          <w:tcPr>
            <w:tcW w:w="2551" w:type="dxa"/>
          </w:tcPr>
          <w:p w14:paraId="2493EBA3" w14:textId="77777777" w:rsidR="00E97E75" w:rsidRDefault="00E97E75" w:rsidP="00E97E75">
            <w:pPr>
              <w:pStyle w:val="TableTextLeft"/>
            </w:pPr>
            <w:r>
              <w:t>Bandung &amp; Jakarta</w:t>
            </w:r>
          </w:p>
        </w:tc>
        <w:tc>
          <w:tcPr>
            <w:tcW w:w="2372" w:type="dxa"/>
          </w:tcPr>
          <w:p w14:paraId="59C390D9" w14:textId="36CC7665" w:rsidR="00E97E75" w:rsidRDefault="00E97E75" w:rsidP="00E97E75">
            <w:pPr>
              <w:pStyle w:val="TableTextLeft"/>
            </w:pPr>
            <w:r>
              <w:t>Activity 4.1 &amp; Program 5</w:t>
            </w:r>
            <w:r w:rsidR="00650C53">
              <w:t>:</w:t>
            </w:r>
          </w:p>
          <w:p w14:paraId="3E98BD5B" w14:textId="77777777" w:rsidR="00E97E75" w:rsidRDefault="00E97E75" w:rsidP="00E97E75">
            <w:pPr>
              <w:pStyle w:val="TableTextLeft"/>
            </w:pPr>
            <w:r>
              <w:t>Earthquake hazard</w:t>
            </w:r>
          </w:p>
        </w:tc>
      </w:tr>
      <w:tr w:rsidR="00E97E75" w14:paraId="745DFA71" w14:textId="77777777" w:rsidTr="00D32CB9">
        <w:trPr>
          <w:cnfStyle w:val="000000100000" w:firstRow="0" w:lastRow="0" w:firstColumn="0" w:lastColumn="0" w:oddVBand="0" w:evenVBand="0" w:oddHBand="1" w:evenHBand="0" w:firstRowFirstColumn="0" w:firstRowLastColumn="0" w:lastRowFirstColumn="0" w:lastRowLastColumn="0"/>
        </w:trPr>
        <w:tc>
          <w:tcPr>
            <w:tcW w:w="1951" w:type="dxa"/>
          </w:tcPr>
          <w:p w14:paraId="50E7C07D" w14:textId="77777777" w:rsidR="00E97E75" w:rsidRDefault="00AB66BC" w:rsidP="00E97E75">
            <w:pPr>
              <w:pStyle w:val="TableTextLeft"/>
            </w:pPr>
            <w:r>
              <w:t>20</w:t>
            </w:r>
            <w:r w:rsidRPr="00AB66BC">
              <w:rPr>
                <w:vertAlign w:val="superscript"/>
              </w:rPr>
              <w:t>th</w:t>
            </w:r>
            <w:r>
              <w:t xml:space="preserve"> June to 2</w:t>
            </w:r>
            <w:r w:rsidRPr="00AB66BC">
              <w:rPr>
                <w:vertAlign w:val="superscript"/>
              </w:rPr>
              <w:t>nd</w:t>
            </w:r>
            <w:r>
              <w:t xml:space="preserve"> August</w:t>
            </w:r>
          </w:p>
        </w:tc>
        <w:tc>
          <w:tcPr>
            <w:tcW w:w="2410" w:type="dxa"/>
          </w:tcPr>
          <w:p w14:paraId="65D06CB3" w14:textId="77777777" w:rsidR="00E97E75" w:rsidRDefault="00E97E75" w:rsidP="00E97E75">
            <w:pPr>
              <w:pStyle w:val="TableTextLeft"/>
            </w:pPr>
            <w:r>
              <w:t>Dr Jane Sexton</w:t>
            </w:r>
          </w:p>
        </w:tc>
        <w:tc>
          <w:tcPr>
            <w:tcW w:w="2551" w:type="dxa"/>
          </w:tcPr>
          <w:p w14:paraId="07E70172" w14:textId="77777777" w:rsidR="00E97E75" w:rsidRDefault="00E97E75" w:rsidP="00E97E75">
            <w:pPr>
              <w:pStyle w:val="TableTextLeft"/>
            </w:pPr>
            <w:r>
              <w:t>Jakarta</w:t>
            </w:r>
          </w:p>
        </w:tc>
        <w:tc>
          <w:tcPr>
            <w:tcW w:w="2372" w:type="dxa"/>
          </w:tcPr>
          <w:p w14:paraId="442F33E7" w14:textId="7A820BEC" w:rsidR="00E97E75" w:rsidRDefault="00650C53" w:rsidP="00E97E75">
            <w:pPr>
              <w:pStyle w:val="TableTextLeft"/>
            </w:pPr>
            <w:r>
              <w:t>Project M</w:t>
            </w:r>
            <w:r w:rsidR="00E97E75">
              <w:t>anagement</w:t>
            </w:r>
            <w:r>
              <w:t>:</w:t>
            </w:r>
          </w:p>
          <w:p w14:paraId="61E6F550" w14:textId="77777777" w:rsidR="00E97E75" w:rsidRDefault="00E97E75" w:rsidP="00E97E75">
            <w:pPr>
              <w:pStyle w:val="TableTextLeft"/>
            </w:pPr>
            <w:r>
              <w:t>All programs</w:t>
            </w:r>
          </w:p>
        </w:tc>
      </w:tr>
      <w:tr w:rsidR="00E97E75" w14:paraId="326AAC61" w14:textId="77777777" w:rsidTr="00D32CB9">
        <w:trPr>
          <w:cnfStyle w:val="000000010000" w:firstRow="0" w:lastRow="0" w:firstColumn="0" w:lastColumn="0" w:oddVBand="0" w:evenVBand="0" w:oddHBand="0" w:evenHBand="1" w:firstRowFirstColumn="0" w:firstRowLastColumn="0" w:lastRowFirstColumn="0" w:lastRowLastColumn="0"/>
        </w:trPr>
        <w:tc>
          <w:tcPr>
            <w:tcW w:w="1951" w:type="dxa"/>
          </w:tcPr>
          <w:p w14:paraId="545DAEF8" w14:textId="77777777" w:rsidR="00E97E75" w:rsidRDefault="00AB66BC" w:rsidP="00E97E75">
            <w:pPr>
              <w:pStyle w:val="TableTextLeft"/>
            </w:pPr>
            <w:r>
              <w:t>31</w:t>
            </w:r>
            <w:r w:rsidRPr="00AB66BC">
              <w:rPr>
                <w:vertAlign w:val="superscript"/>
              </w:rPr>
              <w:t>st</w:t>
            </w:r>
            <w:r>
              <w:t xml:space="preserve"> July to 3</w:t>
            </w:r>
            <w:r w:rsidRPr="00AB66BC">
              <w:rPr>
                <w:vertAlign w:val="superscript"/>
              </w:rPr>
              <w:t>rd</w:t>
            </w:r>
            <w:r>
              <w:t xml:space="preserve"> August</w:t>
            </w:r>
          </w:p>
        </w:tc>
        <w:tc>
          <w:tcPr>
            <w:tcW w:w="2410" w:type="dxa"/>
          </w:tcPr>
          <w:p w14:paraId="290E4BEB" w14:textId="77777777" w:rsidR="00E97E75" w:rsidRDefault="00E97E75" w:rsidP="00E97E75">
            <w:pPr>
              <w:pStyle w:val="TableTextLeft"/>
            </w:pPr>
            <w:r>
              <w:t>Prof. Phil Cummins</w:t>
            </w:r>
          </w:p>
        </w:tc>
        <w:tc>
          <w:tcPr>
            <w:tcW w:w="2551" w:type="dxa"/>
          </w:tcPr>
          <w:p w14:paraId="24833876" w14:textId="77777777" w:rsidR="00E97E75" w:rsidRDefault="00E97E75" w:rsidP="00E97E75">
            <w:pPr>
              <w:pStyle w:val="TableTextLeft"/>
            </w:pPr>
            <w:r>
              <w:t>Bali</w:t>
            </w:r>
          </w:p>
        </w:tc>
        <w:tc>
          <w:tcPr>
            <w:tcW w:w="2372" w:type="dxa"/>
          </w:tcPr>
          <w:p w14:paraId="5919C249" w14:textId="77777777" w:rsidR="00E97E75" w:rsidRDefault="00E97E75" w:rsidP="00E97E75">
            <w:pPr>
              <w:pStyle w:val="TableTextLeft"/>
            </w:pPr>
            <w:r>
              <w:t xml:space="preserve">Activity 4.1: </w:t>
            </w:r>
          </w:p>
          <w:p w14:paraId="4C3F45EE" w14:textId="77777777" w:rsidR="00E97E75" w:rsidRDefault="00E97E75" w:rsidP="00E97E75">
            <w:pPr>
              <w:pStyle w:val="TableTextLeft"/>
            </w:pPr>
            <w:r>
              <w:t>Earthquake hazard</w:t>
            </w:r>
          </w:p>
        </w:tc>
      </w:tr>
      <w:tr w:rsidR="00E97E75" w14:paraId="33825C57" w14:textId="77777777" w:rsidTr="00D32CB9">
        <w:trPr>
          <w:cnfStyle w:val="000000100000" w:firstRow="0" w:lastRow="0" w:firstColumn="0" w:lastColumn="0" w:oddVBand="0" w:evenVBand="0" w:oddHBand="1" w:evenHBand="0" w:firstRowFirstColumn="0" w:firstRowLastColumn="0" w:lastRowFirstColumn="0" w:lastRowLastColumn="0"/>
        </w:trPr>
        <w:tc>
          <w:tcPr>
            <w:tcW w:w="1951" w:type="dxa"/>
          </w:tcPr>
          <w:p w14:paraId="4163D4D0" w14:textId="77777777" w:rsidR="00E97E75" w:rsidRDefault="00AB66BC" w:rsidP="00E97E75">
            <w:pPr>
              <w:pStyle w:val="TableTextLeft"/>
            </w:pPr>
            <w:r>
              <w:t>30</w:t>
            </w:r>
            <w:r w:rsidRPr="00AB66BC">
              <w:rPr>
                <w:vertAlign w:val="superscript"/>
              </w:rPr>
              <w:t>th</w:t>
            </w:r>
            <w:r>
              <w:t xml:space="preserve"> July to 7</w:t>
            </w:r>
            <w:r w:rsidRPr="00AB66BC">
              <w:rPr>
                <w:vertAlign w:val="superscript"/>
              </w:rPr>
              <w:t>th</w:t>
            </w:r>
            <w:r>
              <w:t xml:space="preserve"> August</w:t>
            </w:r>
          </w:p>
        </w:tc>
        <w:tc>
          <w:tcPr>
            <w:tcW w:w="2410" w:type="dxa"/>
          </w:tcPr>
          <w:p w14:paraId="2DE805A8" w14:textId="77777777" w:rsidR="00E97E75" w:rsidRDefault="00E97E75" w:rsidP="00E97E75">
            <w:pPr>
              <w:pStyle w:val="TableTextLeft"/>
            </w:pPr>
            <w:r>
              <w:t>Dr David Robinson</w:t>
            </w:r>
          </w:p>
        </w:tc>
        <w:tc>
          <w:tcPr>
            <w:tcW w:w="2551" w:type="dxa"/>
          </w:tcPr>
          <w:p w14:paraId="392DCC8F" w14:textId="77777777" w:rsidR="00E97E75" w:rsidRDefault="00E97E75" w:rsidP="00E97E75">
            <w:pPr>
              <w:pStyle w:val="TableTextLeft"/>
            </w:pPr>
            <w:r>
              <w:t>Canberra</w:t>
            </w:r>
          </w:p>
        </w:tc>
        <w:tc>
          <w:tcPr>
            <w:tcW w:w="2372" w:type="dxa"/>
          </w:tcPr>
          <w:p w14:paraId="2D0D4B37" w14:textId="15818808" w:rsidR="00E97E75" w:rsidRDefault="00650C53" w:rsidP="00E97E75">
            <w:pPr>
              <w:pStyle w:val="TableTextLeft"/>
            </w:pPr>
            <w:r>
              <w:t>Project M</w:t>
            </w:r>
            <w:r w:rsidR="00E97E75">
              <w:t>anagement</w:t>
            </w:r>
            <w:r>
              <w:t>:</w:t>
            </w:r>
          </w:p>
          <w:p w14:paraId="720B3879" w14:textId="77777777" w:rsidR="00E97E75" w:rsidRDefault="00E97E75" w:rsidP="00E97E75">
            <w:pPr>
              <w:pStyle w:val="TableTextLeft"/>
            </w:pPr>
            <w:r>
              <w:t>All programs</w:t>
            </w:r>
          </w:p>
        </w:tc>
      </w:tr>
      <w:tr w:rsidR="00E97E75" w14:paraId="475FFB91" w14:textId="77777777" w:rsidTr="00D32CB9">
        <w:trPr>
          <w:cnfStyle w:val="000000010000" w:firstRow="0" w:lastRow="0" w:firstColumn="0" w:lastColumn="0" w:oddVBand="0" w:evenVBand="0" w:oddHBand="0" w:evenHBand="1" w:firstRowFirstColumn="0" w:firstRowLastColumn="0" w:lastRowFirstColumn="0" w:lastRowLastColumn="0"/>
        </w:trPr>
        <w:tc>
          <w:tcPr>
            <w:tcW w:w="1951" w:type="dxa"/>
          </w:tcPr>
          <w:p w14:paraId="2B1D3C1D" w14:textId="77777777" w:rsidR="00E97E75" w:rsidRDefault="00AB66BC" w:rsidP="00E97E75">
            <w:pPr>
              <w:pStyle w:val="TableTextLeft"/>
            </w:pPr>
            <w:r>
              <w:t>10</w:t>
            </w:r>
            <w:r w:rsidRPr="00AB66BC">
              <w:rPr>
                <w:vertAlign w:val="superscript"/>
              </w:rPr>
              <w:t>th</w:t>
            </w:r>
            <w:r>
              <w:t xml:space="preserve"> August to 16</w:t>
            </w:r>
            <w:r w:rsidRPr="00AB66BC">
              <w:rPr>
                <w:vertAlign w:val="superscript"/>
              </w:rPr>
              <w:t>th</w:t>
            </w:r>
            <w:r>
              <w:t xml:space="preserve"> September</w:t>
            </w:r>
          </w:p>
        </w:tc>
        <w:tc>
          <w:tcPr>
            <w:tcW w:w="2410" w:type="dxa"/>
          </w:tcPr>
          <w:p w14:paraId="1B97FB74" w14:textId="77777777" w:rsidR="00E97E75" w:rsidRDefault="00E97E75" w:rsidP="00E97E75">
            <w:pPr>
              <w:pStyle w:val="TableTextLeft"/>
            </w:pPr>
            <w:r>
              <w:t>Ms Lauren Power</w:t>
            </w:r>
          </w:p>
        </w:tc>
        <w:tc>
          <w:tcPr>
            <w:tcW w:w="2551" w:type="dxa"/>
          </w:tcPr>
          <w:p w14:paraId="30965F98" w14:textId="77777777" w:rsidR="00E97E75" w:rsidRDefault="00E97E75" w:rsidP="00E97E75">
            <w:pPr>
              <w:pStyle w:val="TableTextLeft"/>
            </w:pPr>
            <w:r>
              <w:t>Jakarta</w:t>
            </w:r>
          </w:p>
        </w:tc>
        <w:tc>
          <w:tcPr>
            <w:tcW w:w="2372" w:type="dxa"/>
          </w:tcPr>
          <w:p w14:paraId="6C19A314" w14:textId="77777777" w:rsidR="00E97E75" w:rsidRDefault="00E97E75" w:rsidP="00E97E75">
            <w:pPr>
              <w:pStyle w:val="TableTextLeft"/>
            </w:pPr>
            <w:r>
              <w:t>Programs 1 and 2</w:t>
            </w:r>
            <w:r w:rsidR="00650C53">
              <w:t>:</w:t>
            </w:r>
          </w:p>
          <w:p w14:paraId="13DE0484" w14:textId="359780F0" w:rsidR="00650C53" w:rsidRDefault="00650C53" w:rsidP="00E97E75">
            <w:pPr>
              <w:pStyle w:val="TableTextLeft"/>
            </w:pPr>
            <w:r>
              <w:t xml:space="preserve">InaSAFE and Spatial Data </w:t>
            </w:r>
          </w:p>
        </w:tc>
      </w:tr>
      <w:tr w:rsidR="00E97E75" w14:paraId="249D30F9" w14:textId="77777777" w:rsidTr="00D32CB9">
        <w:trPr>
          <w:cnfStyle w:val="000000100000" w:firstRow="0" w:lastRow="0" w:firstColumn="0" w:lastColumn="0" w:oddVBand="0" w:evenVBand="0" w:oddHBand="1" w:evenHBand="0" w:firstRowFirstColumn="0" w:firstRowLastColumn="0" w:lastRowFirstColumn="0" w:lastRowLastColumn="0"/>
        </w:trPr>
        <w:tc>
          <w:tcPr>
            <w:tcW w:w="1951" w:type="dxa"/>
          </w:tcPr>
          <w:p w14:paraId="4842CBAF" w14:textId="2E921760" w:rsidR="00E97E75" w:rsidRDefault="00AB66BC" w:rsidP="00E97E75">
            <w:pPr>
              <w:pStyle w:val="TableTextLeft"/>
            </w:pPr>
            <w:r>
              <w:t>19</w:t>
            </w:r>
            <w:r w:rsidRPr="00AB66BC">
              <w:rPr>
                <w:vertAlign w:val="superscript"/>
              </w:rPr>
              <w:t>th</w:t>
            </w:r>
            <w:r>
              <w:t xml:space="preserve"> August to 3</w:t>
            </w:r>
            <w:r w:rsidRPr="00AB66BC">
              <w:rPr>
                <w:vertAlign w:val="superscript"/>
              </w:rPr>
              <w:t>rd</w:t>
            </w:r>
            <w:r>
              <w:t xml:space="preserve"> September</w:t>
            </w:r>
          </w:p>
        </w:tc>
        <w:tc>
          <w:tcPr>
            <w:tcW w:w="2410" w:type="dxa"/>
          </w:tcPr>
          <w:p w14:paraId="458CC287" w14:textId="6555A21F" w:rsidR="00E97E75" w:rsidRDefault="00E97E75" w:rsidP="00E97E75">
            <w:pPr>
              <w:pStyle w:val="TableTextLeft"/>
            </w:pPr>
            <w:r>
              <w:t>Prof</w:t>
            </w:r>
            <w:r w:rsidR="005A433A">
              <w:t>.</w:t>
            </w:r>
            <w:r>
              <w:t xml:space="preserve"> Phil Cummins</w:t>
            </w:r>
          </w:p>
          <w:p w14:paraId="440F9999" w14:textId="77777777" w:rsidR="00E97E75" w:rsidRDefault="00E97E75" w:rsidP="00E97E75">
            <w:pPr>
              <w:pStyle w:val="TableTextLeft"/>
            </w:pPr>
          </w:p>
        </w:tc>
        <w:tc>
          <w:tcPr>
            <w:tcW w:w="2551" w:type="dxa"/>
          </w:tcPr>
          <w:p w14:paraId="25845348" w14:textId="77777777" w:rsidR="00E97E75" w:rsidRDefault="00E97E75" w:rsidP="00E97E75">
            <w:pPr>
              <w:pStyle w:val="TableTextLeft"/>
            </w:pPr>
            <w:r>
              <w:t>Bandung &amp; Jakarta</w:t>
            </w:r>
          </w:p>
        </w:tc>
        <w:tc>
          <w:tcPr>
            <w:tcW w:w="2372" w:type="dxa"/>
          </w:tcPr>
          <w:p w14:paraId="607BBCAF" w14:textId="77777777" w:rsidR="00E97E75" w:rsidRDefault="00E97E75" w:rsidP="00E97E75">
            <w:pPr>
              <w:pStyle w:val="TableTextLeft"/>
            </w:pPr>
            <w:r>
              <w:t xml:space="preserve">Activity 4.1: </w:t>
            </w:r>
          </w:p>
          <w:p w14:paraId="06026303" w14:textId="77777777" w:rsidR="00E97E75" w:rsidRDefault="00E97E75" w:rsidP="00E97E75">
            <w:pPr>
              <w:pStyle w:val="TableTextLeft"/>
            </w:pPr>
            <w:r>
              <w:t>Earthquake hazard</w:t>
            </w:r>
          </w:p>
        </w:tc>
      </w:tr>
      <w:tr w:rsidR="00E97E75" w14:paraId="55842369" w14:textId="77777777" w:rsidTr="00D32CB9">
        <w:trPr>
          <w:cnfStyle w:val="000000010000" w:firstRow="0" w:lastRow="0" w:firstColumn="0" w:lastColumn="0" w:oddVBand="0" w:evenVBand="0" w:oddHBand="0" w:evenHBand="1" w:firstRowFirstColumn="0" w:firstRowLastColumn="0" w:lastRowFirstColumn="0" w:lastRowLastColumn="0"/>
        </w:trPr>
        <w:tc>
          <w:tcPr>
            <w:tcW w:w="1951" w:type="dxa"/>
          </w:tcPr>
          <w:p w14:paraId="3D6C93DA" w14:textId="77777777" w:rsidR="00E97E75" w:rsidRDefault="00AB66BC" w:rsidP="00E97E75">
            <w:pPr>
              <w:pStyle w:val="TableTextLeft"/>
            </w:pPr>
            <w:r>
              <w:t>29</w:t>
            </w:r>
            <w:r w:rsidRPr="00AB66BC">
              <w:rPr>
                <w:vertAlign w:val="superscript"/>
              </w:rPr>
              <w:t>th</w:t>
            </w:r>
            <w:r>
              <w:t xml:space="preserve"> August to 9</w:t>
            </w:r>
            <w:r w:rsidRPr="00AB66BC">
              <w:rPr>
                <w:vertAlign w:val="superscript"/>
              </w:rPr>
              <w:t>th</w:t>
            </w:r>
            <w:r>
              <w:t xml:space="preserve"> September</w:t>
            </w:r>
          </w:p>
        </w:tc>
        <w:tc>
          <w:tcPr>
            <w:tcW w:w="2410" w:type="dxa"/>
          </w:tcPr>
          <w:p w14:paraId="0970F268" w14:textId="77777777" w:rsidR="00E97E75" w:rsidRDefault="00E97E75" w:rsidP="00E97E75">
            <w:pPr>
              <w:pStyle w:val="TableTextLeft"/>
            </w:pPr>
            <w:r>
              <w:t>Badan Geologi Staff (x3)</w:t>
            </w:r>
          </w:p>
        </w:tc>
        <w:tc>
          <w:tcPr>
            <w:tcW w:w="2551" w:type="dxa"/>
          </w:tcPr>
          <w:p w14:paraId="4D103BF3" w14:textId="77777777" w:rsidR="00E97E75" w:rsidRDefault="00E97E75" w:rsidP="00E97E75">
            <w:pPr>
              <w:pStyle w:val="TableTextLeft"/>
            </w:pPr>
            <w:r>
              <w:t>Canberra</w:t>
            </w:r>
          </w:p>
        </w:tc>
        <w:tc>
          <w:tcPr>
            <w:tcW w:w="2372" w:type="dxa"/>
          </w:tcPr>
          <w:p w14:paraId="02D8ADA7" w14:textId="77777777" w:rsidR="00E97E75" w:rsidRDefault="00E97E75" w:rsidP="00E97E75">
            <w:pPr>
              <w:pStyle w:val="TableTextLeft"/>
            </w:pPr>
            <w:r>
              <w:t>Activity 4.2</w:t>
            </w:r>
          </w:p>
          <w:p w14:paraId="4D8A8103" w14:textId="77777777" w:rsidR="00E97E75" w:rsidRDefault="00E97E75" w:rsidP="00E97E75">
            <w:pPr>
              <w:pStyle w:val="TableTextLeft"/>
            </w:pPr>
            <w:r>
              <w:t xml:space="preserve">Tsunami hazard </w:t>
            </w:r>
          </w:p>
        </w:tc>
      </w:tr>
      <w:tr w:rsidR="00E97E75" w14:paraId="57076F54" w14:textId="77777777" w:rsidTr="00D32CB9">
        <w:trPr>
          <w:cnfStyle w:val="000000100000" w:firstRow="0" w:lastRow="0" w:firstColumn="0" w:lastColumn="0" w:oddVBand="0" w:evenVBand="0" w:oddHBand="1" w:evenHBand="0" w:firstRowFirstColumn="0" w:firstRowLastColumn="0" w:lastRowFirstColumn="0" w:lastRowLastColumn="0"/>
        </w:trPr>
        <w:tc>
          <w:tcPr>
            <w:tcW w:w="1951" w:type="dxa"/>
          </w:tcPr>
          <w:p w14:paraId="494F6363" w14:textId="77777777" w:rsidR="00E97E75" w:rsidRDefault="00AB66BC" w:rsidP="00E97E75">
            <w:pPr>
              <w:pStyle w:val="TableTextLeft"/>
            </w:pPr>
            <w:r>
              <w:t>23</w:t>
            </w:r>
            <w:r w:rsidRPr="00AB66BC">
              <w:rPr>
                <w:vertAlign w:val="superscript"/>
              </w:rPr>
              <w:t>rd</w:t>
            </w:r>
            <w:r>
              <w:t xml:space="preserve"> to 29</w:t>
            </w:r>
            <w:r w:rsidRPr="00AB66BC">
              <w:rPr>
                <w:vertAlign w:val="superscript"/>
              </w:rPr>
              <w:t>th</w:t>
            </w:r>
            <w:r>
              <w:t xml:space="preserve"> October</w:t>
            </w:r>
          </w:p>
        </w:tc>
        <w:tc>
          <w:tcPr>
            <w:tcW w:w="2410" w:type="dxa"/>
          </w:tcPr>
          <w:p w14:paraId="05A4AA8E" w14:textId="77777777" w:rsidR="00E97E75" w:rsidRDefault="00E97E75" w:rsidP="00E97E75">
            <w:pPr>
              <w:pStyle w:val="TableTextLeft"/>
            </w:pPr>
            <w:r>
              <w:t>Prof. Phil Cummins</w:t>
            </w:r>
          </w:p>
        </w:tc>
        <w:tc>
          <w:tcPr>
            <w:tcW w:w="2551" w:type="dxa"/>
          </w:tcPr>
          <w:p w14:paraId="192FB80B" w14:textId="77777777" w:rsidR="00E97E75" w:rsidRDefault="00E97E75" w:rsidP="00E97E75">
            <w:pPr>
              <w:pStyle w:val="TableTextLeft"/>
            </w:pPr>
            <w:r>
              <w:t>Bandung &amp; Jakarta</w:t>
            </w:r>
          </w:p>
        </w:tc>
        <w:tc>
          <w:tcPr>
            <w:tcW w:w="2372" w:type="dxa"/>
          </w:tcPr>
          <w:p w14:paraId="56B44926" w14:textId="77777777" w:rsidR="00E97E75" w:rsidRDefault="00E97E75" w:rsidP="00E97E75">
            <w:pPr>
              <w:pStyle w:val="TableTextLeft"/>
            </w:pPr>
            <w:r>
              <w:t xml:space="preserve">Activity 4.1: </w:t>
            </w:r>
          </w:p>
          <w:p w14:paraId="5D6717C3" w14:textId="77777777" w:rsidR="00E97E75" w:rsidRDefault="00E97E75" w:rsidP="00E97E75">
            <w:pPr>
              <w:pStyle w:val="TableTextLeft"/>
            </w:pPr>
            <w:r>
              <w:t>Earthquake hazard</w:t>
            </w:r>
          </w:p>
        </w:tc>
      </w:tr>
      <w:tr w:rsidR="00E97E75" w14:paraId="70BDBAFC" w14:textId="77777777" w:rsidTr="00D32CB9">
        <w:trPr>
          <w:cnfStyle w:val="000000010000" w:firstRow="0" w:lastRow="0" w:firstColumn="0" w:lastColumn="0" w:oddVBand="0" w:evenVBand="0" w:oddHBand="0" w:evenHBand="1" w:firstRowFirstColumn="0" w:firstRowLastColumn="0" w:lastRowFirstColumn="0" w:lastRowLastColumn="0"/>
        </w:trPr>
        <w:tc>
          <w:tcPr>
            <w:tcW w:w="1951" w:type="dxa"/>
          </w:tcPr>
          <w:p w14:paraId="5346BB09" w14:textId="77777777" w:rsidR="00E97E75" w:rsidRDefault="00AB66BC" w:rsidP="00E97E75">
            <w:pPr>
              <w:pStyle w:val="TableTextLeft"/>
            </w:pPr>
            <w:r>
              <w:t>29</w:t>
            </w:r>
            <w:r w:rsidRPr="00AB66BC">
              <w:rPr>
                <w:vertAlign w:val="superscript"/>
              </w:rPr>
              <w:t>th</w:t>
            </w:r>
            <w:r>
              <w:t xml:space="preserve"> October to 5</w:t>
            </w:r>
            <w:r w:rsidRPr="00AB66BC">
              <w:rPr>
                <w:vertAlign w:val="superscript"/>
              </w:rPr>
              <w:t>th</w:t>
            </w:r>
            <w:r>
              <w:t xml:space="preserve"> November</w:t>
            </w:r>
          </w:p>
        </w:tc>
        <w:tc>
          <w:tcPr>
            <w:tcW w:w="2410" w:type="dxa"/>
          </w:tcPr>
          <w:p w14:paraId="5B823A16" w14:textId="77777777" w:rsidR="00E97E75" w:rsidRDefault="00E97E75" w:rsidP="00E97E75">
            <w:pPr>
              <w:pStyle w:val="TableTextLeft"/>
            </w:pPr>
            <w:r>
              <w:t>Dr Hadi Ghasemi</w:t>
            </w:r>
          </w:p>
          <w:p w14:paraId="2DFB3476" w14:textId="33E86C4D" w:rsidR="00E97E75" w:rsidRDefault="00E97E75" w:rsidP="00E97E75">
            <w:pPr>
              <w:pStyle w:val="TableTextLeft"/>
            </w:pPr>
            <w:r>
              <w:t>Prof</w:t>
            </w:r>
            <w:r w:rsidR="005A433A">
              <w:t>.</w:t>
            </w:r>
            <w:r>
              <w:t xml:space="preserve"> Masyhur Irsyam (ITB)</w:t>
            </w:r>
          </w:p>
        </w:tc>
        <w:tc>
          <w:tcPr>
            <w:tcW w:w="2551" w:type="dxa"/>
          </w:tcPr>
          <w:p w14:paraId="19185DE0" w14:textId="77777777" w:rsidR="00E97E75" w:rsidRDefault="00E97E75" w:rsidP="00E97E75">
            <w:pPr>
              <w:pStyle w:val="TableTextLeft"/>
            </w:pPr>
            <w:r>
              <w:t>Beppu, Japan</w:t>
            </w:r>
          </w:p>
        </w:tc>
        <w:tc>
          <w:tcPr>
            <w:tcW w:w="2372" w:type="dxa"/>
          </w:tcPr>
          <w:p w14:paraId="56D60708" w14:textId="77777777" w:rsidR="00E97E75" w:rsidRDefault="00E97E75" w:rsidP="00E97E75">
            <w:pPr>
              <w:pStyle w:val="TableTextLeft"/>
            </w:pPr>
            <w:r>
              <w:t>Activity 4.1 &amp; Program 5</w:t>
            </w:r>
          </w:p>
          <w:p w14:paraId="6BD8A1A2" w14:textId="77777777" w:rsidR="00E97E75" w:rsidRDefault="00E97E75" w:rsidP="00E97E75">
            <w:pPr>
              <w:pStyle w:val="TableTextLeft"/>
            </w:pPr>
            <w:r>
              <w:t>Earthquake hazard</w:t>
            </w:r>
          </w:p>
        </w:tc>
      </w:tr>
      <w:tr w:rsidR="00E97E75" w14:paraId="4B8B181B" w14:textId="77777777" w:rsidTr="00D32CB9">
        <w:trPr>
          <w:cnfStyle w:val="000000100000" w:firstRow="0" w:lastRow="0" w:firstColumn="0" w:lastColumn="0" w:oddVBand="0" w:evenVBand="0" w:oddHBand="1" w:evenHBand="0" w:firstRowFirstColumn="0" w:firstRowLastColumn="0" w:lastRowFirstColumn="0" w:lastRowLastColumn="0"/>
        </w:trPr>
        <w:tc>
          <w:tcPr>
            <w:tcW w:w="1951" w:type="dxa"/>
          </w:tcPr>
          <w:p w14:paraId="39BB4E8F" w14:textId="77777777" w:rsidR="00E97E75" w:rsidRDefault="00AB66BC" w:rsidP="00E97E75">
            <w:pPr>
              <w:pStyle w:val="TableTextLeft"/>
            </w:pPr>
            <w:r>
              <w:t>30</w:t>
            </w:r>
            <w:r w:rsidRPr="00AB66BC">
              <w:rPr>
                <w:vertAlign w:val="superscript"/>
              </w:rPr>
              <w:t>th</w:t>
            </w:r>
            <w:r>
              <w:t xml:space="preserve"> October to 4</w:t>
            </w:r>
            <w:r w:rsidRPr="00AB66BC">
              <w:rPr>
                <w:vertAlign w:val="superscript"/>
              </w:rPr>
              <w:t>th</w:t>
            </w:r>
            <w:r>
              <w:t xml:space="preserve"> November</w:t>
            </w:r>
          </w:p>
        </w:tc>
        <w:tc>
          <w:tcPr>
            <w:tcW w:w="2410" w:type="dxa"/>
          </w:tcPr>
          <w:p w14:paraId="61C184E9" w14:textId="77777777" w:rsidR="00E97E75" w:rsidRDefault="00E97E75" w:rsidP="00E97E75">
            <w:pPr>
              <w:pStyle w:val="TableTextLeft"/>
            </w:pPr>
            <w:r>
              <w:t>Mr Tony Pack</w:t>
            </w:r>
          </w:p>
        </w:tc>
        <w:tc>
          <w:tcPr>
            <w:tcW w:w="2551" w:type="dxa"/>
          </w:tcPr>
          <w:p w14:paraId="5814CAFD" w14:textId="77777777" w:rsidR="00E97E75" w:rsidRDefault="00E97E75" w:rsidP="00E97E75">
            <w:pPr>
              <w:pStyle w:val="TableTextLeft"/>
            </w:pPr>
            <w:r>
              <w:t>Jakarta &amp; Bandung</w:t>
            </w:r>
          </w:p>
        </w:tc>
        <w:tc>
          <w:tcPr>
            <w:tcW w:w="2372" w:type="dxa"/>
          </w:tcPr>
          <w:p w14:paraId="30BC3EC7" w14:textId="77777777" w:rsidR="00E97E75" w:rsidRDefault="00E97E75" w:rsidP="00E97E75">
            <w:pPr>
              <w:pStyle w:val="TableTextLeft"/>
            </w:pPr>
            <w:r>
              <w:t>Project management</w:t>
            </w:r>
          </w:p>
          <w:p w14:paraId="40C11D3A" w14:textId="77777777" w:rsidR="00E97E75" w:rsidRDefault="00E97E75" w:rsidP="00E97E75">
            <w:pPr>
              <w:pStyle w:val="TableTextLeft"/>
            </w:pPr>
            <w:r>
              <w:t>Office closure and IT assets</w:t>
            </w:r>
          </w:p>
        </w:tc>
      </w:tr>
      <w:tr w:rsidR="00E97E75" w14:paraId="7D2C52CC" w14:textId="77777777" w:rsidTr="00D32CB9">
        <w:trPr>
          <w:cnfStyle w:val="000000010000" w:firstRow="0" w:lastRow="0" w:firstColumn="0" w:lastColumn="0" w:oddVBand="0" w:evenVBand="0" w:oddHBand="0" w:evenHBand="1" w:firstRowFirstColumn="0" w:firstRowLastColumn="0" w:lastRowFirstColumn="0" w:lastRowLastColumn="0"/>
        </w:trPr>
        <w:tc>
          <w:tcPr>
            <w:tcW w:w="1951" w:type="dxa"/>
          </w:tcPr>
          <w:p w14:paraId="32289C13" w14:textId="77777777" w:rsidR="00E97E75" w:rsidRDefault="00AB66BC" w:rsidP="00E97E75">
            <w:pPr>
              <w:pStyle w:val="TableTextLeft"/>
            </w:pPr>
            <w:r>
              <w:t>30</w:t>
            </w:r>
            <w:r w:rsidRPr="00AB66BC">
              <w:rPr>
                <w:vertAlign w:val="superscript"/>
              </w:rPr>
              <w:t>th</w:t>
            </w:r>
            <w:r>
              <w:t xml:space="preserve"> October to 4</w:t>
            </w:r>
            <w:r w:rsidRPr="00AB66BC">
              <w:rPr>
                <w:vertAlign w:val="superscript"/>
              </w:rPr>
              <w:t>th</w:t>
            </w:r>
            <w:r>
              <w:t xml:space="preserve"> November</w:t>
            </w:r>
          </w:p>
        </w:tc>
        <w:tc>
          <w:tcPr>
            <w:tcW w:w="2410" w:type="dxa"/>
          </w:tcPr>
          <w:p w14:paraId="5AF85DB1" w14:textId="7451B593" w:rsidR="00E97E75" w:rsidRDefault="00E97E75" w:rsidP="00E97E75">
            <w:pPr>
              <w:pStyle w:val="TableTextLeft"/>
            </w:pPr>
            <w:r>
              <w:t>Ms Rikki Weber</w:t>
            </w:r>
          </w:p>
        </w:tc>
        <w:tc>
          <w:tcPr>
            <w:tcW w:w="2551" w:type="dxa"/>
          </w:tcPr>
          <w:p w14:paraId="052F3282" w14:textId="77777777" w:rsidR="00E97E75" w:rsidRDefault="00E97E75" w:rsidP="00E97E75">
            <w:pPr>
              <w:pStyle w:val="TableTextLeft"/>
            </w:pPr>
            <w:r>
              <w:t>Jakarta</w:t>
            </w:r>
          </w:p>
        </w:tc>
        <w:tc>
          <w:tcPr>
            <w:tcW w:w="2372" w:type="dxa"/>
          </w:tcPr>
          <w:p w14:paraId="7EB16B95" w14:textId="77777777" w:rsidR="00E97E75" w:rsidRDefault="00E97E75" w:rsidP="00E97E75">
            <w:pPr>
              <w:pStyle w:val="TableTextLeft"/>
            </w:pPr>
            <w:r>
              <w:t>Activity 4.2</w:t>
            </w:r>
          </w:p>
          <w:p w14:paraId="77792278" w14:textId="77777777" w:rsidR="00E97E75" w:rsidRDefault="00E97E75" w:rsidP="00E97E75">
            <w:pPr>
              <w:pStyle w:val="TableTextLeft"/>
            </w:pPr>
            <w:r>
              <w:t>Tsunami hazard</w:t>
            </w:r>
          </w:p>
        </w:tc>
      </w:tr>
      <w:tr w:rsidR="00E97E75" w14:paraId="21A23D44" w14:textId="77777777" w:rsidTr="00D32CB9">
        <w:trPr>
          <w:cnfStyle w:val="000000100000" w:firstRow="0" w:lastRow="0" w:firstColumn="0" w:lastColumn="0" w:oddVBand="0" w:evenVBand="0" w:oddHBand="1" w:evenHBand="0" w:firstRowFirstColumn="0" w:firstRowLastColumn="0" w:lastRowFirstColumn="0" w:lastRowLastColumn="0"/>
        </w:trPr>
        <w:tc>
          <w:tcPr>
            <w:tcW w:w="1951" w:type="dxa"/>
          </w:tcPr>
          <w:p w14:paraId="28714A08" w14:textId="77777777" w:rsidR="00E97E75" w:rsidRDefault="00AB66BC" w:rsidP="00E97E75">
            <w:pPr>
              <w:pStyle w:val="TableTextLeft"/>
            </w:pPr>
            <w:r>
              <w:t>29</w:t>
            </w:r>
            <w:r w:rsidRPr="00AB66BC">
              <w:rPr>
                <w:vertAlign w:val="superscript"/>
              </w:rPr>
              <w:t>th</w:t>
            </w:r>
            <w:r>
              <w:t xml:space="preserve"> November to 3</w:t>
            </w:r>
            <w:r w:rsidRPr="00AB66BC">
              <w:rPr>
                <w:vertAlign w:val="superscript"/>
              </w:rPr>
              <w:t>rd</w:t>
            </w:r>
            <w:r>
              <w:t xml:space="preserve"> December</w:t>
            </w:r>
          </w:p>
        </w:tc>
        <w:tc>
          <w:tcPr>
            <w:tcW w:w="2410" w:type="dxa"/>
          </w:tcPr>
          <w:p w14:paraId="1D31DA5E" w14:textId="77777777" w:rsidR="00E97E75" w:rsidRDefault="00E97E75" w:rsidP="00E97E75">
            <w:pPr>
              <w:pStyle w:val="TableTextLeft"/>
            </w:pPr>
            <w:r>
              <w:t>Dr David Robinson</w:t>
            </w:r>
          </w:p>
        </w:tc>
        <w:tc>
          <w:tcPr>
            <w:tcW w:w="2551" w:type="dxa"/>
          </w:tcPr>
          <w:p w14:paraId="1C930A3D" w14:textId="77777777" w:rsidR="00E97E75" w:rsidRDefault="00E97E75" w:rsidP="00E97E75">
            <w:pPr>
              <w:pStyle w:val="TableTextLeft"/>
            </w:pPr>
            <w:r>
              <w:t>Pavia, Italy</w:t>
            </w:r>
          </w:p>
        </w:tc>
        <w:tc>
          <w:tcPr>
            <w:tcW w:w="2372" w:type="dxa"/>
          </w:tcPr>
          <w:p w14:paraId="4FFC8194" w14:textId="77777777" w:rsidR="00E97E75" w:rsidRDefault="00E97E75" w:rsidP="00E97E75">
            <w:pPr>
              <w:pStyle w:val="TableTextLeft"/>
            </w:pPr>
            <w:r>
              <w:t>Activity 4.1 &amp; Program 5</w:t>
            </w:r>
          </w:p>
          <w:p w14:paraId="2503E62E" w14:textId="77777777" w:rsidR="00E97E75" w:rsidRDefault="00E97E75" w:rsidP="00E97E75">
            <w:pPr>
              <w:pStyle w:val="TableTextLeft"/>
            </w:pPr>
            <w:r>
              <w:t>Earthquake hazard</w:t>
            </w:r>
          </w:p>
        </w:tc>
      </w:tr>
    </w:tbl>
    <w:p w14:paraId="68152946" w14:textId="77777777" w:rsidR="00CD50DE" w:rsidRPr="007D582F" w:rsidRDefault="00CD50DE" w:rsidP="007D582F">
      <w:pPr>
        <w:pStyle w:val="BodyText"/>
        <w:rPr>
          <w:b/>
        </w:rPr>
      </w:pPr>
      <w:bookmarkStart w:id="38" w:name="_Toc514226307"/>
      <w:r w:rsidRPr="007D582F">
        <w:rPr>
          <w:b/>
        </w:rPr>
        <w:t>2017</w:t>
      </w:r>
      <w:bookmarkEnd w:id="38"/>
    </w:p>
    <w:tbl>
      <w:tblPr>
        <w:tblStyle w:val="TableGAHeaderRow"/>
        <w:tblW w:w="9284" w:type="dxa"/>
        <w:tblLook w:val="04A0" w:firstRow="1" w:lastRow="0" w:firstColumn="1" w:lastColumn="0" w:noHBand="0" w:noVBand="1"/>
      </w:tblPr>
      <w:tblGrid>
        <w:gridCol w:w="1985"/>
        <w:gridCol w:w="2410"/>
        <w:gridCol w:w="2568"/>
        <w:gridCol w:w="2321"/>
      </w:tblGrid>
      <w:tr w:rsidR="00CD50DE" w14:paraId="5F96F281" w14:textId="77777777" w:rsidTr="005A433A">
        <w:trPr>
          <w:cnfStyle w:val="100000000000" w:firstRow="1" w:lastRow="0" w:firstColumn="0" w:lastColumn="0" w:oddVBand="0" w:evenVBand="0" w:oddHBand="0" w:evenHBand="0" w:firstRowFirstColumn="0" w:firstRowLastColumn="0" w:lastRowFirstColumn="0" w:lastRowLastColumn="0"/>
        </w:trPr>
        <w:tc>
          <w:tcPr>
            <w:tcW w:w="1985" w:type="dxa"/>
          </w:tcPr>
          <w:p w14:paraId="0EDD5EE4" w14:textId="77777777" w:rsidR="00CD50DE" w:rsidRDefault="00CD50DE" w:rsidP="00CD50DE">
            <w:pPr>
              <w:pStyle w:val="TableTextCentred"/>
            </w:pPr>
            <w:r>
              <w:t>Dates</w:t>
            </w:r>
          </w:p>
        </w:tc>
        <w:tc>
          <w:tcPr>
            <w:tcW w:w="2410" w:type="dxa"/>
          </w:tcPr>
          <w:p w14:paraId="5D8DF8FD" w14:textId="77777777" w:rsidR="00CD50DE" w:rsidRDefault="00CD50DE" w:rsidP="00CD50DE">
            <w:pPr>
              <w:pStyle w:val="TableTextCentred"/>
            </w:pPr>
            <w:r>
              <w:t>Officers</w:t>
            </w:r>
          </w:p>
        </w:tc>
        <w:tc>
          <w:tcPr>
            <w:tcW w:w="2568" w:type="dxa"/>
          </w:tcPr>
          <w:p w14:paraId="2A95E98A" w14:textId="77777777" w:rsidR="00CD50DE" w:rsidRDefault="00CD50DE" w:rsidP="00CD50DE">
            <w:pPr>
              <w:pStyle w:val="TableTextCentred"/>
            </w:pPr>
            <w:r>
              <w:t>Locations</w:t>
            </w:r>
          </w:p>
        </w:tc>
        <w:tc>
          <w:tcPr>
            <w:tcW w:w="2321" w:type="dxa"/>
          </w:tcPr>
          <w:p w14:paraId="542D0EA0" w14:textId="77777777" w:rsidR="00CD50DE" w:rsidRDefault="00CD50DE" w:rsidP="00CD50DE">
            <w:pPr>
              <w:pStyle w:val="TableTextCentred"/>
            </w:pPr>
            <w:r>
              <w:t>Purpose</w:t>
            </w:r>
          </w:p>
        </w:tc>
      </w:tr>
      <w:tr w:rsidR="00CD50DE" w14:paraId="2A4FBE15" w14:textId="77777777" w:rsidTr="005A433A">
        <w:trPr>
          <w:cnfStyle w:val="000000100000" w:firstRow="0" w:lastRow="0" w:firstColumn="0" w:lastColumn="0" w:oddVBand="0" w:evenVBand="0" w:oddHBand="1" w:evenHBand="0" w:firstRowFirstColumn="0" w:firstRowLastColumn="0" w:lastRowFirstColumn="0" w:lastRowLastColumn="0"/>
        </w:trPr>
        <w:tc>
          <w:tcPr>
            <w:tcW w:w="1985" w:type="dxa"/>
          </w:tcPr>
          <w:p w14:paraId="3CE22BA9" w14:textId="77777777" w:rsidR="00CD50DE" w:rsidRDefault="00CD50DE" w:rsidP="0008475E">
            <w:pPr>
              <w:pStyle w:val="TableTextLeft"/>
            </w:pPr>
            <w:r>
              <w:t>7</w:t>
            </w:r>
            <w:r w:rsidRPr="00E4780F">
              <w:rPr>
                <w:vertAlign w:val="superscript"/>
              </w:rPr>
              <w:t>th</w:t>
            </w:r>
            <w:r>
              <w:t xml:space="preserve"> to 18</w:t>
            </w:r>
            <w:r w:rsidRPr="00E4780F">
              <w:rPr>
                <w:vertAlign w:val="superscript"/>
              </w:rPr>
              <w:t>th</w:t>
            </w:r>
            <w:r>
              <w:t xml:space="preserve"> February</w:t>
            </w:r>
          </w:p>
        </w:tc>
        <w:tc>
          <w:tcPr>
            <w:tcW w:w="2410" w:type="dxa"/>
          </w:tcPr>
          <w:p w14:paraId="4BB1C258" w14:textId="77777777" w:rsidR="00CD50DE" w:rsidRDefault="00AB66BC" w:rsidP="0008475E">
            <w:pPr>
              <w:pStyle w:val="TableTextLeft"/>
            </w:pPr>
            <w:r>
              <w:t xml:space="preserve">Prof. </w:t>
            </w:r>
            <w:r w:rsidR="00CD50DE">
              <w:t>Phil Cummins</w:t>
            </w:r>
          </w:p>
        </w:tc>
        <w:tc>
          <w:tcPr>
            <w:tcW w:w="2568" w:type="dxa"/>
          </w:tcPr>
          <w:p w14:paraId="7D797C89" w14:textId="77777777" w:rsidR="00CD50DE" w:rsidRDefault="00CD50DE" w:rsidP="0008475E">
            <w:pPr>
              <w:pStyle w:val="TableTextLeft"/>
            </w:pPr>
            <w:r>
              <w:t>Jakarta and Bandung</w:t>
            </w:r>
          </w:p>
        </w:tc>
        <w:tc>
          <w:tcPr>
            <w:tcW w:w="2321" w:type="dxa"/>
          </w:tcPr>
          <w:p w14:paraId="38AB9A6B" w14:textId="77777777" w:rsidR="00CD50DE" w:rsidRDefault="00CD50DE" w:rsidP="0008475E">
            <w:pPr>
              <w:pStyle w:val="TableTextLeft"/>
            </w:pPr>
            <w:r>
              <w:t>Activity 4.1 NEHM and Program 3: GREAT</w:t>
            </w:r>
          </w:p>
        </w:tc>
      </w:tr>
      <w:tr w:rsidR="00CD50DE" w14:paraId="0A8A9BD5" w14:textId="77777777" w:rsidTr="005A433A">
        <w:trPr>
          <w:cnfStyle w:val="000000010000" w:firstRow="0" w:lastRow="0" w:firstColumn="0" w:lastColumn="0" w:oddVBand="0" w:evenVBand="0" w:oddHBand="0" w:evenHBand="1" w:firstRowFirstColumn="0" w:firstRowLastColumn="0" w:lastRowFirstColumn="0" w:lastRowLastColumn="0"/>
        </w:trPr>
        <w:tc>
          <w:tcPr>
            <w:tcW w:w="1985" w:type="dxa"/>
          </w:tcPr>
          <w:p w14:paraId="503C02D8" w14:textId="77777777" w:rsidR="00CD50DE" w:rsidRDefault="00CD50DE" w:rsidP="0008475E">
            <w:pPr>
              <w:pStyle w:val="TableTextLeft"/>
            </w:pPr>
            <w:r>
              <w:t>19</w:t>
            </w:r>
            <w:r w:rsidRPr="00E4780F">
              <w:rPr>
                <w:vertAlign w:val="superscript"/>
              </w:rPr>
              <w:t>th</w:t>
            </w:r>
            <w:r>
              <w:t xml:space="preserve"> to 25</w:t>
            </w:r>
            <w:r w:rsidRPr="00E4780F">
              <w:rPr>
                <w:vertAlign w:val="superscript"/>
              </w:rPr>
              <w:t>th</w:t>
            </w:r>
            <w:r>
              <w:t xml:space="preserve"> February</w:t>
            </w:r>
          </w:p>
        </w:tc>
        <w:tc>
          <w:tcPr>
            <w:tcW w:w="2410" w:type="dxa"/>
          </w:tcPr>
          <w:p w14:paraId="294602CB" w14:textId="77777777" w:rsidR="00CD50DE" w:rsidRDefault="00AB66BC" w:rsidP="0008475E">
            <w:pPr>
              <w:pStyle w:val="TableTextLeft"/>
            </w:pPr>
            <w:r>
              <w:t xml:space="preserve">Ms </w:t>
            </w:r>
            <w:r w:rsidR="00CD50DE">
              <w:t>Rikki Weber</w:t>
            </w:r>
          </w:p>
        </w:tc>
        <w:tc>
          <w:tcPr>
            <w:tcW w:w="2568" w:type="dxa"/>
          </w:tcPr>
          <w:p w14:paraId="7DE5F5EA" w14:textId="77777777" w:rsidR="00CD50DE" w:rsidRDefault="00CD50DE" w:rsidP="0008475E">
            <w:pPr>
              <w:pStyle w:val="TableTextLeft"/>
            </w:pPr>
            <w:r>
              <w:t>Jakarta and Bandung</w:t>
            </w:r>
          </w:p>
        </w:tc>
        <w:tc>
          <w:tcPr>
            <w:tcW w:w="2321" w:type="dxa"/>
          </w:tcPr>
          <w:p w14:paraId="7A181FD8" w14:textId="77777777" w:rsidR="00CD50DE" w:rsidRDefault="00CD50DE" w:rsidP="0008475E">
            <w:pPr>
              <w:pStyle w:val="TableTextLeft"/>
            </w:pPr>
            <w:r>
              <w:t>Project Management Activities 4.2, 4.3, 4.4 and 2.1</w:t>
            </w:r>
          </w:p>
        </w:tc>
      </w:tr>
      <w:tr w:rsidR="00CD50DE" w14:paraId="7840DE33" w14:textId="77777777" w:rsidTr="005A433A">
        <w:trPr>
          <w:cnfStyle w:val="000000100000" w:firstRow="0" w:lastRow="0" w:firstColumn="0" w:lastColumn="0" w:oddVBand="0" w:evenVBand="0" w:oddHBand="1" w:evenHBand="0" w:firstRowFirstColumn="0" w:firstRowLastColumn="0" w:lastRowFirstColumn="0" w:lastRowLastColumn="0"/>
        </w:trPr>
        <w:tc>
          <w:tcPr>
            <w:tcW w:w="1985" w:type="dxa"/>
          </w:tcPr>
          <w:p w14:paraId="0288DF53" w14:textId="77777777" w:rsidR="00CD50DE" w:rsidRDefault="00CD50DE" w:rsidP="0008475E">
            <w:pPr>
              <w:pStyle w:val="TableTextLeft"/>
            </w:pPr>
            <w:r>
              <w:t>26</w:t>
            </w:r>
            <w:r w:rsidRPr="00E4780F">
              <w:rPr>
                <w:vertAlign w:val="superscript"/>
              </w:rPr>
              <w:t>th</w:t>
            </w:r>
            <w:r>
              <w:t xml:space="preserve"> February to 4</w:t>
            </w:r>
            <w:r w:rsidRPr="00E4780F">
              <w:rPr>
                <w:vertAlign w:val="superscript"/>
              </w:rPr>
              <w:t>th</w:t>
            </w:r>
            <w:r>
              <w:t xml:space="preserve"> March</w:t>
            </w:r>
          </w:p>
        </w:tc>
        <w:tc>
          <w:tcPr>
            <w:tcW w:w="2410" w:type="dxa"/>
          </w:tcPr>
          <w:p w14:paraId="57EC1552" w14:textId="77777777" w:rsidR="00CD50DE" w:rsidRDefault="00AB66BC" w:rsidP="0008475E">
            <w:pPr>
              <w:pStyle w:val="TableTextLeft"/>
            </w:pPr>
            <w:r>
              <w:t xml:space="preserve">Dr </w:t>
            </w:r>
            <w:r w:rsidR="00CD50DE">
              <w:t>Hadi Ghasemi</w:t>
            </w:r>
          </w:p>
        </w:tc>
        <w:tc>
          <w:tcPr>
            <w:tcW w:w="2568" w:type="dxa"/>
          </w:tcPr>
          <w:p w14:paraId="16FABE0A" w14:textId="77777777" w:rsidR="00CD50DE" w:rsidRDefault="00CD50DE" w:rsidP="0008475E">
            <w:pPr>
              <w:pStyle w:val="TableTextLeft"/>
            </w:pPr>
            <w:r>
              <w:t>Jakarta</w:t>
            </w:r>
          </w:p>
        </w:tc>
        <w:tc>
          <w:tcPr>
            <w:tcW w:w="2321" w:type="dxa"/>
          </w:tcPr>
          <w:p w14:paraId="2C59488C" w14:textId="77777777" w:rsidR="00CD50DE" w:rsidRDefault="00CD50DE" w:rsidP="0008475E">
            <w:pPr>
              <w:pStyle w:val="TableTextLeft"/>
            </w:pPr>
            <w:r>
              <w:t>Program 5: ShakeMap</w:t>
            </w:r>
          </w:p>
        </w:tc>
      </w:tr>
      <w:tr w:rsidR="00CD50DE" w14:paraId="76C495C2" w14:textId="77777777" w:rsidTr="005A433A">
        <w:trPr>
          <w:cnfStyle w:val="000000010000" w:firstRow="0" w:lastRow="0" w:firstColumn="0" w:lastColumn="0" w:oddVBand="0" w:evenVBand="0" w:oddHBand="0" w:evenHBand="1" w:firstRowFirstColumn="0" w:firstRowLastColumn="0" w:lastRowFirstColumn="0" w:lastRowLastColumn="0"/>
        </w:trPr>
        <w:tc>
          <w:tcPr>
            <w:tcW w:w="1985" w:type="dxa"/>
          </w:tcPr>
          <w:p w14:paraId="6B994555" w14:textId="77777777" w:rsidR="00CD50DE" w:rsidRDefault="00CD50DE" w:rsidP="0008475E">
            <w:pPr>
              <w:pStyle w:val="TableTextLeft"/>
            </w:pPr>
            <w:r>
              <w:t>2</w:t>
            </w:r>
            <w:r>
              <w:rPr>
                <w:vertAlign w:val="superscript"/>
              </w:rPr>
              <w:t xml:space="preserve">nd </w:t>
            </w:r>
            <w:r>
              <w:t>to 13</w:t>
            </w:r>
            <w:r w:rsidRPr="00C516C3">
              <w:rPr>
                <w:vertAlign w:val="superscript"/>
              </w:rPr>
              <w:t>th</w:t>
            </w:r>
            <w:r>
              <w:t xml:space="preserve"> April</w:t>
            </w:r>
          </w:p>
        </w:tc>
        <w:tc>
          <w:tcPr>
            <w:tcW w:w="2410" w:type="dxa"/>
          </w:tcPr>
          <w:p w14:paraId="7205C2FD" w14:textId="7679CEF1" w:rsidR="00CD50DE" w:rsidRDefault="00AB66BC" w:rsidP="005A433A">
            <w:pPr>
              <w:pStyle w:val="TableTextLeft"/>
            </w:pPr>
            <w:r>
              <w:t xml:space="preserve">Prof. </w:t>
            </w:r>
            <w:r w:rsidR="00CD50DE">
              <w:t xml:space="preserve">Phil Cummins </w:t>
            </w:r>
            <w:r w:rsidR="005A433A">
              <w:t xml:space="preserve">Dr. </w:t>
            </w:r>
            <w:r w:rsidR="00CD50DE">
              <w:t>Hadi Ghasemi</w:t>
            </w:r>
          </w:p>
        </w:tc>
        <w:tc>
          <w:tcPr>
            <w:tcW w:w="2568" w:type="dxa"/>
          </w:tcPr>
          <w:p w14:paraId="62166084" w14:textId="77777777" w:rsidR="00CD50DE" w:rsidRDefault="00CD50DE" w:rsidP="0008475E">
            <w:pPr>
              <w:pStyle w:val="TableTextLeft"/>
            </w:pPr>
            <w:r>
              <w:t>Jakarta and Bandung</w:t>
            </w:r>
          </w:p>
        </w:tc>
        <w:tc>
          <w:tcPr>
            <w:tcW w:w="2321" w:type="dxa"/>
          </w:tcPr>
          <w:p w14:paraId="0F81847E" w14:textId="77777777" w:rsidR="00CD50DE" w:rsidRDefault="00CD50DE" w:rsidP="0008475E">
            <w:pPr>
              <w:pStyle w:val="TableTextLeft"/>
            </w:pPr>
            <w:r>
              <w:t>Activity 4.1: NEHM and Program 3: GREAT</w:t>
            </w:r>
          </w:p>
        </w:tc>
      </w:tr>
      <w:tr w:rsidR="00CD50DE" w14:paraId="5BE264B9" w14:textId="77777777" w:rsidTr="005A433A">
        <w:trPr>
          <w:cnfStyle w:val="000000100000" w:firstRow="0" w:lastRow="0" w:firstColumn="0" w:lastColumn="0" w:oddVBand="0" w:evenVBand="0" w:oddHBand="1" w:evenHBand="0" w:firstRowFirstColumn="0" w:firstRowLastColumn="0" w:lastRowFirstColumn="0" w:lastRowLastColumn="0"/>
        </w:trPr>
        <w:tc>
          <w:tcPr>
            <w:tcW w:w="1985" w:type="dxa"/>
          </w:tcPr>
          <w:p w14:paraId="6EB23852" w14:textId="77777777" w:rsidR="00CD50DE" w:rsidRDefault="00CD50DE" w:rsidP="0008475E">
            <w:pPr>
              <w:pStyle w:val="TableTextLeft"/>
            </w:pPr>
            <w:r>
              <w:t>7</w:t>
            </w:r>
            <w:r>
              <w:rPr>
                <w:vertAlign w:val="superscript"/>
              </w:rPr>
              <w:t>th</w:t>
            </w:r>
            <w:r>
              <w:t xml:space="preserve"> to 13</w:t>
            </w:r>
            <w:r>
              <w:rPr>
                <w:vertAlign w:val="superscript"/>
              </w:rPr>
              <w:t>th</w:t>
            </w:r>
            <w:r>
              <w:t xml:space="preserve"> May</w:t>
            </w:r>
          </w:p>
        </w:tc>
        <w:tc>
          <w:tcPr>
            <w:tcW w:w="2410" w:type="dxa"/>
          </w:tcPr>
          <w:p w14:paraId="7DAA0A56" w14:textId="3A04E5E4" w:rsidR="005A433A" w:rsidRDefault="00AB66BC" w:rsidP="0008475E">
            <w:pPr>
              <w:pStyle w:val="TableTextLeft"/>
            </w:pPr>
            <w:r>
              <w:t xml:space="preserve">Ms </w:t>
            </w:r>
            <w:r w:rsidR="00CD50DE">
              <w:t xml:space="preserve">Rikki Weber </w:t>
            </w:r>
          </w:p>
          <w:p w14:paraId="4627A3F1" w14:textId="7F5B7063" w:rsidR="00CD50DE" w:rsidRDefault="00AB66BC" w:rsidP="0008475E">
            <w:pPr>
              <w:pStyle w:val="TableTextLeft"/>
            </w:pPr>
            <w:r>
              <w:t xml:space="preserve">Dr </w:t>
            </w:r>
            <w:r w:rsidR="00CD50DE">
              <w:t>Victoria Miller</w:t>
            </w:r>
          </w:p>
        </w:tc>
        <w:tc>
          <w:tcPr>
            <w:tcW w:w="2568" w:type="dxa"/>
          </w:tcPr>
          <w:p w14:paraId="79C91BA8" w14:textId="77777777" w:rsidR="00CD50DE" w:rsidRDefault="00CD50DE" w:rsidP="0008475E">
            <w:pPr>
              <w:pStyle w:val="TableTextLeft"/>
            </w:pPr>
            <w:r>
              <w:t>Jakarta</w:t>
            </w:r>
          </w:p>
        </w:tc>
        <w:tc>
          <w:tcPr>
            <w:tcW w:w="2321" w:type="dxa"/>
          </w:tcPr>
          <w:p w14:paraId="3336E455" w14:textId="77777777" w:rsidR="00CD50DE" w:rsidRDefault="00CD50DE" w:rsidP="0008475E">
            <w:pPr>
              <w:pStyle w:val="TableTextLeft"/>
            </w:pPr>
            <w:r>
              <w:t>Activity 4.4: Volcanic Ash Forecasting</w:t>
            </w:r>
          </w:p>
        </w:tc>
      </w:tr>
      <w:tr w:rsidR="00CD50DE" w14:paraId="5572F8D5" w14:textId="77777777" w:rsidTr="005A433A">
        <w:trPr>
          <w:cnfStyle w:val="000000010000" w:firstRow="0" w:lastRow="0" w:firstColumn="0" w:lastColumn="0" w:oddVBand="0" w:evenVBand="0" w:oddHBand="0" w:evenHBand="1" w:firstRowFirstColumn="0" w:firstRowLastColumn="0" w:lastRowFirstColumn="0" w:lastRowLastColumn="0"/>
        </w:trPr>
        <w:tc>
          <w:tcPr>
            <w:tcW w:w="1985" w:type="dxa"/>
          </w:tcPr>
          <w:p w14:paraId="173EF0DD" w14:textId="77777777" w:rsidR="00CD50DE" w:rsidRDefault="00CD50DE" w:rsidP="0008475E">
            <w:pPr>
              <w:pStyle w:val="TableTextLeft"/>
            </w:pPr>
            <w:r>
              <w:t>19</w:t>
            </w:r>
            <w:r w:rsidRPr="00C516C3">
              <w:rPr>
                <w:vertAlign w:val="superscript"/>
              </w:rPr>
              <w:t>th</w:t>
            </w:r>
            <w:r>
              <w:t xml:space="preserve"> to 30</w:t>
            </w:r>
            <w:r w:rsidRPr="00C516C3">
              <w:rPr>
                <w:vertAlign w:val="superscript"/>
              </w:rPr>
              <w:t>th</w:t>
            </w:r>
            <w:r>
              <w:t xml:space="preserve"> June</w:t>
            </w:r>
          </w:p>
        </w:tc>
        <w:tc>
          <w:tcPr>
            <w:tcW w:w="2410" w:type="dxa"/>
          </w:tcPr>
          <w:p w14:paraId="6D82C382" w14:textId="77777777" w:rsidR="005A433A" w:rsidRDefault="00AB66BC" w:rsidP="0008475E">
            <w:pPr>
              <w:pStyle w:val="TableTextLeft"/>
            </w:pPr>
            <w:r>
              <w:t xml:space="preserve">Prof. </w:t>
            </w:r>
            <w:r w:rsidR="00CD50DE">
              <w:t>Phil Cummins</w:t>
            </w:r>
          </w:p>
          <w:p w14:paraId="2216ED35" w14:textId="7CC9E6A2" w:rsidR="005A433A" w:rsidRDefault="00CD50DE" w:rsidP="005A433A">
            <w:pPr>
              <w:pStyle w:val="TableTextLeft"/>
            </w:pPr>
            <w:r>
              <w:t>Lutfi Faizal (PU</w:t>
            </w:r>
            <w:r w:rsidR="005A433A">
              <w:t>)</w:t>
            </w:r>
          </w:p>
          <w:p w14:paraId="64AB1816" w14:textId="68A1D0DB" w:rsidR="00CD50DE" w:rsidRDefault="005A433A" w:rsidP="005A433A">
            <w:pPr>
              <w:pStyle w:val="TableTextLeft"/>
            </w:pPr>
            <w:r>
              <w:t xml:space="preserve">Prof. </w:t>
            </w:r>
            <w:r w:rsidR="00CD50DE">
              <w:t>Masyhur Irsyam (ITB)</w:t>
            </w:r>
          </w:p>
        </w:tc>
        <w:tc>
          <w:tcPr>
            <w:tcW w:w="2568" w:type="dxa"/>
          </w:tcPr>
          <w:p w14:paraId="12C800FA" w14:textId="77777777" w:rsidR="00CD50DE" w:rsidRDefault="00CD50DE" w:rsidP="0008475E">
            <w:pPr>
              <w:pStyle w:val="TableTextLeft"/>
            </w:pPr>
            <w:r>
              <w:t>Pavia, Italy and Potsdam, Germany</w:t>
            </w:r>
          </w:p>
        </w:tc>
        <w:tc>
          <w:tcPr>
            <w:tcW w:w="2321" w:type="dxa"/>
          </w:tcPr>
          <w:p w14:paraId="1DDA2966" w14:textId="77777777" w:rsidR="00CD50DE" w:rsidRDefault="00CD50DE" w:rsidP="0008475E">
            <w:pPr>
              <w:pStyle w:val="TableTextLeft"/>
            </w:pPr>
            <w:r>
              <w:t xml:space="preserve">Activity 4.1: GEM membership and Program 5: Gempa contract </w:t>
            </w:r>
          </w:p>
        </w:tc>
      </w:tr>
      <w:tr w:rsidR="00CD50DE" w14:paraId="1D01E7D1" w14:textId="77777777" w:rsidTr="005A433A">
        <w:trPr>
          <w:cnfStyle w:val="000000100000" w:firstRow="0" w:lastRow="0" w:firstColumn="0" w:lastColumn="0" w:oddVBand="0" w:evenVBand="0" w:oddHBand="1" w:evenHBand="0" w:firstRowFirstColumn="0" w:firstRowLastColumn="0" w:lastRowFirstColumn="0" w:lastRowLastColumn="0"/>
        </w:trPr>
        <w:tc>
          <w:tcPr>
            <w:tcW w:w="1985" w:type="dxa"/>
          </w:tcPr>
          <w:p w14:paraId="36C0E7DC" w14:textId="77777777" w:rsidR="00CD50DE" w:rsidRDefault="00CD50DE" w:rsidP="0008475E">
            <w:pPr>
              <w:pStyle w:val="TableTextLeft"/>
            </w:pPr>
            <w:r>
              <w:t>23</w:t>
            </w:r>
            <w:r w:rsidRPr="00C516C3">
              <w:rPr>
                <w:vertAlign w:val="superscript"/>
              </w:rPr>
              <w:t>rd</w:t>
            </w:r>
            <w:r>
              <w:t xml:space="preserve"> to 29</w:t>
            </w:r>
            <w:r w:rsidRPr="00C516C3">
              <w:rPr>
                <w:vertAlign w:val="superscript"/>
              </w:rPr>
              <w:t>th</w:t>
            </w:r>
            <w:r>
              <w:t xml:space="preserve"> July</w:t>
            </w:r>
          </w:p>
        </w:tc>
        <w:tc>
          <w:tcPr>
            <w:tcW w:w="2410" w:type="dxa"/>
          </w:tcPr>
          <w:p w14:paraId="3ECA151F" w14:textId="77777777" w:rsidR="005A433A" w:rsidRDefault="00AB66BC" w:rsidP="0008475E">
            <w:pPr>
              <w:pStyle w:val="TableTextLeft"/>
            </w:pPr>
            <w:r>
              <w:t xml:space="preserve">Prof. </w:t>
            </w:r>
            <w:r w:rsidR="00CD50DE">
              <w:t>Phil Cummins</w:t>
            </w:r>
          </w:p>
          <w:p w14:paraId="218BACA7" w14:textId="22D65314" w:rsidR="00CD50DE" w:rsidRDefault="00AB66BC" w:rsidP="0008475E">
            <w:pPr>
              <w:pStyle w:val="TableTextLeft"/>
            </w:pPr>
            <w:r>
              <w:t xml:space="preserve">Dr </w:t>
            </w:r>
            <w:r w:rsidR="00CD50DE">
              <w:t>Hadi Ghasemi</w:t>
            </w:r>
          </w:p>
        </w:tc>
        <w:tc>
          <w:tcPr>
            <w:tcW w:w="2568" w:type="dxa"/>
          </w:tcPr>
          <w:p w14:paraId="066B5252" w14:textId="77777777" w:rsidR="00CD50DE" w:rsidRDefault="00CD50DE" w:rsidP="0008475E">
            <w:pPr>
              <w:pStyle w:val="TableTextLeft"/>
            </w:pPr>
            <w:r>
              <w:t>Jakarta and Bandung</w:t>
            </w:r>
          </w:p>
        </w:tc>
        <w:tc>
          <w:tcPr>
            <w:tcW w:w="2321" w:type="dxa"/>
          </w:tcPr>
          <w:p w14:paraId="5E41CA7C" w14:textId="77777777" w:rsidR="00CD50DE" w:rsidRDefault="00CD50DE" w:rsidP="0008475E">
            <w:pPr>
              <w:pStyle w:val="TableTextLeft"/>
            </w:pPr>
            <w:r>
              <w:t>Activity 4.1: OpenQuake and Program 5: Strong motion</w:t>
            </w:r>
          </w:p>
        </w:tc>
      </w:tr>
      <w:tr w:rsidR="00CD50DE" w14:paraId="233D6E6C" w14:textId="77777777" w:rsidTr="005A433A">
        <w:trPr>
          <w:cnfStyle w:val="000000010000" w:firstRow="0" w:lastRow="0" w:firstColumn="0" w:lastColumn="0" w:oddVBand="0" w:evenVBand="0" w:oddHBand="0" w:evenHBand="1" w:firstRowFirstColumn="0" w:firstRowLastColumn="0" w:lastRowFirstColumn="0" w:lastRowLastColumn="0"/>
        </w:trPr>
        <w:tc>
          <w:tcPr>
            <w:tcW w:w="1985" w:type="dxa"/>
          </w:tcPr>
          <w:p w14:paraId="6D26FE8F" w14:textId="77777777" w:rsidR="00CD50DE" w:rsidRDefault="00CD50DE" w:rsidP="0008475E">
            <w:pPr>
              <w:pStyle w:val="TableTextLeft"/>
            </w:pPr>
            <w:r>
              <w:t>6</w:t>
            </w:r>
            <w:r w:rsidRPr="00073359">
              <w:rPr>
                <w:vertAlign w:val="superscript"/>
              </w:rPr>
              <w:t>th</w:t>
            </w:r>
            <w:r>
              <w:t xml:space="preserve"> to 12</w:t>
            </w:r>
            <w:r w:rsidRPr="00073359">
              <w:rPr>
                <w:vertAlign w:val="superscript"/>
              </w:rPr>
              <w:t>th</w:t>
            </w:r>
            <w:r>
              <w:t xml:space="preserve"> August</w:t>
            </w:r>
          </w:p>
        </w:tc>
        <w:tc>
          <w:tcPr>
            <w:tcW w:w="2410" w:type="dxa"/>
          </w:tcPr>
          <w:p w14:paraId="0C00B8A7" w14:textId="77777777" w:rsidR="00CD50DE" w:rsidRDefault="00AB66BC" w:rsidP="0008475E">
            <w:pPr>
              <w:pStyle w:val="TableTextLeft"/>
            </w:pPr>
            <w:r>
              <w:t xml:space="preserve">Dr </w:t>
            </w:r>
            <w:r w:rsidR="00CD50DE">
              <w:t>Hadi Ghasemi</w:t>
            </w:r>
          </w:p>
        </w:tc>
        <w:tc>
          <w:tcPr>
            <w:tcW w:w="2568" w:type="dxa"/>
          </w:tcPr>
          <w:p w14:paraId="12B88629" w14:textId="77777777" w:rsidR="00CD50DE" w:rsidRDefault="00CD50DE" w:rsidP="0008475E">
            <w:pPr>
              <w:pStyle w:val="TableTextLeft"/>
            </w:pPr>
            <w:r>
              <w:t>Jakarta</w:t>
            </w:r>
          </w:p>
        </w:tc>
        <w:tc>
          <w:tcPr>
            <w:tcW w:w="2321" w:type="dxa"/>
          </w:tcPr>
          <w:p w14:paraId="4BFF7BCE" w14:textId="77777777" w:rsidR="00CD50DE" w:rsidRDefault="00CD50DE" w:rsidP="0008475E">
            <w:pPr>
              <w:pStyle w:val="TableTextLeft"/>
            </w:pPr>
            <w:r>
              <w:t>Program 5: Seiscomp3</w:t>
            </w:r>
          </w:p>
        </w:tc>
      </w:tr>
      <w:tr w:rsidR="00CD50DE" w14:paraId="6DE181BE" w14:textId="77777777" w:rsidTr="005A433A">
        <w:trPr>
          <w:cnfStyle w:val="000000100000" w:firstRow="0" w:lastRow="0" w:firstColumn="0" w:lastColumn="0" w:oddVBand="0" w:evenVBand="0" w:oddHBand="1" w:evenHBand="0" w:firstRowFirstColumn="0" w:firstRowLastColumn="0" w:lastRowFirstColumn="0" w:lastRowLastColumn="0"/>
        </w:trPr>
        <w:tc>
          <w:tcPr>
            <w:tcW w:w="1985" w:type="dxa"/>
          </w:tcPr>
          <w:p w14:paraId="06C1DDE2" w14:textId="77777777" w:rsidR="00CD50DE" w:rsidRDefault="00CD50DE" w:rsidP="0008475E">
            <w:pPr>
              <w:pStyle w:val="TableTextLeft"/>
            </w:pPr>
            <w:r>
              <w:t>15</w:t>
            </w:r>
            <w:r w:rsidRPr="00073359">
              <w:rPr>
                <w:vertAlign w:val="superscript"/>
              </w:rPr>
              <w:t>th</w:t>
            </w:r>
            <w:r>
              <w:t xml:space="preserve"> to 24</w:t>
            </w:r>
            <w:r w:rsidRPr="00073359">
              <w:rPr>
                <w:vertAlign w:val="superscript"/>
              </w:rPr>
              <w:t>th</w:t>
            </w:r>
            <w:r>
              <w:t xml:space="preserve"> August</w:t>
            </w:r>
          </w:p>
        </w:tc>
        <w:tc>
          <w:tcPr>
            <w:tcW w:w="2410" w:type="dxa"/>
          </w:tcPr>
          <w:p w14:paraId="1792D48B" w14:textId="133DE0DD" w:rsidR="005A433A" w:rsidRDefault="00AB66BC" w:rsidP="0008475E">
            <w:pPr>
              <w:pStyle w:val="TableTextLeft"/>
            </w:pPr>
            <w:r>
              <w:t xml:space="preserve">Ms </w:t>
            </w:r>
            <w:r w:rsidR="00CD50DE">
              <w:t xml:space="preserve">Rikki Weber </w:t>
            </w:r>
          </w:p>
          <w:p w14:paraId="5669E6DD" w14:textId="76F09A5B" w:rsidR="00CD50DE" w:rsidRDefault="00AB66BC" w:rsidP="0008475E">
            <w:pPr>
              <w:pStyle w:val="TableTextLeft"/>
            </w:pPr>
            <w:r>
              <w:t xml:space="preserve">Mr </w:t>
            </w:r>
            <w:r w:rsidR="00CD50DE">
              <w:t>Jonathan Griffin</w:t>
            </w:r>
          </w:p>
        </w:tc>
        <w:tc>
          <w:tcPr>
            <w:tcW w:w="2568" w:type="dxa"/>
          </w:tcPr>
          <w:p w14:paraId="37CA9C3B" w14:textId="77777777" w:rsidR="00CD50DE" w:rsidRDefault="00CD50DE" w:rsidP="0008475E">
            <w:pPr>
              <w:pStyle w:val="TableTextLeft"/>
            </w:pPr>
            <w:r>
              <w:t>Bali</w:t>
            </w:r>
          </w:p>
        </w:tc>
        <w:tc>
          <w:tcPr>
            <w:tcW w:w="2321" w:type="dxa"/>
          </w:tcPr>
          <w:p w14:paraId="72D84525" w14:textId="77777777" w:rsidR="00CD50DE" w:rsidRDefault="00CD50DE" w:rsidP="0008475E">
            <w:pPr>
              <w:pStyle w:val="TableTextLeft"/>
            </w:pPr>
            <w:r>
              <w:t>Activity 4.2: tsunami inundation modelling</w:t>
            </w:r>
          </w:p>
        </w:tc>
      </w:tr>
      <w:tr w:rsidR="00CD50DE" w14:paraId="0D940C98" w14:textId="77777777" w:rsidTr="005A433A">
        <w:trPr>
          <w:cnfStyle w:val="000000010000" w:firstRow="0" w:lastRow="0" w:firstColumn="0" w:lastColumn="0" w:oddVBand="0" w:evenVBand="0" w:oddHBand="0" w:evenHBand="1" w:firstRowFirstColumn="0" w:firstRowLastColumn="0" w:lastRowFirstColumn="0" w:lastRowLastColumn="0"/>
        </w:trPr>
        <w:tc>
          <w:tcPr>
            <w:tcW w:w="1985" w:type="dxa"/>
          </w:tcPr>
          <w:p w14:paraId="7F3B460A" w14:textId="77777777" w:rsidR="00CD50DE" w:rsidRDefault="00CD50DE" w:rsidP="0008475E">
            <w:pPr>
              <w:pStyle w:val="TableTextLeft"/>
            </w:pPr>
            <w:r>
              <w:t>4</w:t>
            </w:r>
            <w:r w:rsidRPr="00073359">
              <w:rPr>
                <w:vertAlign w:val="superscript"/>
              </w:rPr>
              <w:t>th</w:t>
            </w:r>
            <w:r>
              <w:t xml:space="preserve"> to 7</w:t>
            </w:r>
            <w:r w:rsidRPr="00073359">
              <w:rPr>
                <w:vertAlign w:val="superscript"/>
              </w:rPr>
              <w:t>th</w:t>
            </w:r>
            <w:r>
              <w:t xml:space="preserve"> September</w:t>
            </w:r>
          </w:p>
        </w:tc>
        <w:tc>
          <w:tcPr>
            <w:tcW w:w="2410" w:type="dxa"/>
          </w:tcPr>
          <w:p w14:paraId="1FFADCC1" w14:textId="77777777" w:rsidR="00CD50DE" w:rsidRDefault="00AB66BC" w:rsidP="0008475E">
            <w:pPr>
              <w:pStyle w:val="TableTextLeft"/>
            </w:pPr>
            <w:r>
              <w:t xml:space="preserve">Dr </w:t>
            </w:r>
            <w:r w:rsidR="00CD50DE">
              <w:t>Charlotte Morgan</w:t>
            </w:r>
          </w:p>
        </w:tc>
        <w:tc>
          <w:tcPr>
            <w:tcW w:w="2568" w:type="dxa"/>
          </w:tcPr>
          <w:p w14:paraId="75F399F9" w14:textId="77777777" w:rsidR="00CD50DE" w:rsidRDefault="00CD50DE" w:rsidP="0008475E">
            <w:pPr>
              <w:pStyle w:val="TableTextLeft"/>
            </w:pPr>
            <w:r>
              <w:t>Jakarta</w:t>
            </w:r>
          </w:p>
        </w:tc>
        <w:tc>
          <w:tcPr>
            <w:tcW w:w="2321" w:type="dxa"/>
          </w:tcPr>
          <w:p w14:paraId="1D66D8B3" w14:textId="77777777" w:rsidR="00CD50DE" w:rsidRDefault="00CD50DE" w:rsidP="0008475E">
            <w:pPr>
              <w:pStyle w:val="TableTextLeft"/>
            </w:pPr>
            <w:r>
              <w:t>Program 1 and Program 2: Project Management</w:t>
            </w:r>
          </w:p>
        </w:tc>
      </w:tr>
      <w:tr w:rsidR="00CD50DE" w14:paraId="060C70EC" w14:textId="77777777" w:rsidTr="005A433A">
        <w:trPr>
          <w:cnfStyle w:val="000000100000" w:firstRow="0" w:lastRow="0" w:firstColumn="0" w:lastColumn="0" w:oddVBand="0" w:evenVBand="0" w:oddHBand="1" w:evenHBand="0" w:firstRowFirstColumn="0" w:firstRowLastColumn="0" w:lastRowFirstColumn="0" w:lastRowLastColumn="0"/>
        </w:trPr>
        <w:tc>
          <w:tcPr>
            <w:tcW w:w="1985" w:type="dxa"/>
          </w:tcPr>
          <w:p w14:paraId="03B3D43A" w14:textId="77777777" w:rsidR="00CD50DE" w:rsidRDefault="00CD50DE" w:rsidP="0008475E">
            <w:pPr>
              <w:pStyle w:val="TableTextLeft"/>
            </w:pPr>
            <w:r>
              <w:t>17</w:t>
            </w:r>
            <w:r w:rsidRPr="00073359">
              <w:rPr>
                <w:vertAlign w:val="superscript"/>
              </w:rPr>
              <w:t>th</w:t>
            </w:r>
            <w:r>
              <w:t xml:space="preserve"> to 29</w:t>
            </w:r>
            <w:r w:rsidRPr="00073359">
              <w:rPr>
                <w:vertAlign w:val="superscript"/>
              </w:rPr>
              <w:t>th</w:t>
            </w:r>
            <w:r>
              <w:t xml:space="preserve"> September</w:t>
            </w:r>
          </w:p>
        </w:tc>
        <w:tc>
          <w:tcPr>
            <w:tcW w:w="2410" w:type="dxa"/>
          </w:tcPr>
          <w:p w14:paraId="24E1609B" w14:textId="77777777" w:rsidR="00CD50DE" w:rsidRDefault="00AB66BC" w:rsidP="0008475E">
            <w:pPr>
              <w:pStyle w:val="TableTextLeft"/>
            </w:pPr>
            <w:r>
              <w:t xml:space="preserve">Dr </w:t>
            </w:r>
            <w:r w:rsidR="00CD50DE">
              <w:t>Charlotte Morgan</w:t>
            </w:r>
          </w:p>
        </w:tc>
        <w:tc>
          <w:tcPr>
            <w:tcW w:w="2568" w:type="dxa"/>
          </w:tcPr>
          <w:p w14:paraId="7543E23D" w14:textId="77777777" w:rsidR="00CD50DE" w:rsidRDefault="00CD50DE" w:rsidP="0008475E">
            <w:pPr>
              <w:pStyle w:val="TableTextLeft"/>
            </w:pPr>
            <w:r>
              <w:t>Jakarta</w:t>
            </w:r>
          </w:p>
        </w:tc>
        <w:tc>
          <w:tcPr>
            <w:tcW w:w="2321" w:type="dxa"/>
          </w:tcPr>
          <w:p w14:paraId="484B2663" w14:textId="77777777" w:rsidR="00CD50DE" w:rsidRDefault="00CD50DE" w:rsidP="0008475E">
            <w:pPr>
              <w:pStyle w:val="TableTextLeft"/>
            </w:pPr>
            <w:r>
              <w:t>Program 1: Training curriculum, Program 2: InaSAFE capacity building with BNPB</w:t>
            </w:r>
          </w:p>
        </w:tc>
      </w:tr>
      <w:tr w:rsidR="00CD50DE" w14:paraId="4E9EC0CF" w14:textId="77777777" w:rsidTr="005A433A">
        <w:trPr>
          <w:cnfStyle w:val="000000010000" w:firstRow="0" w:lastRow="0" w:firstColumn="0" w:lastColumn="0" w:oddVBand="0" w:evenVBand="0" w:oddHBand="0" w:evenHBand="1" w:firstRowFirstColumn="0" w:firstRowLastColumn="0" w:lastRowFirstColumn="0" w:lastRowLastColumn="0"/>
        </w:trPr>
        <w:tc>
          <w:tcPr>
            <w:tcW w:w="1985" w:type="dxa"/>
          </w:tcPr>
          <w:p w14:paraId="2654AFC1" w14:textId="77777777" w:rsidR="00CD50DE" w:rsidRDefault="00CD50DE" w:rsidP="0008475E">
            <w:pPr>
              <w:pStyle w:val="TableTextLeft"/>
            </w:pPr>
            <w:r>
              <w:t>12</w:t>
            </w:r>
            <w:r>
              <w:rPr>
                <w:vertAlign w:val="superscript"/>
              </w:rPr>
              <w:t xml:space="preserve">th </w:t>
            </w:r>
            <w:r>
              <w:t>to 24</w:t>
            </w:r>
            <w:r w:rsidRPr="00073359">
              <w:rPr>
                <w:vertAlign w:val="superscript"/>
              </w:rPr>
              <w:t>th</w:t>
            </w:r>
            <w:r>
              <w:t xml:space="preserve"> November</w:t>
            </w:r>
          </w:p>
        </w:tc>
        <w:tc>
          <w:tcPr>
            <w:tcW w:w="2410" w:type="dxa"/>
          </w:tcPr>
          <w:p w14:paraId="58712150" w14:textId="47E83369" w:rsidR="005A433A" w:rsidRDefault="00A8735B" w:rsidP="0008475E">
            <w:pPr>
              <w:pStyle w:val="TableTextLeft"/>
            </w:pPr>
            <w:r>
              <w:t xml:space="preserve">Prof. </w:t>
            </w:r>
            <w:r w:rsidR="00CD50DE">
              <w:t xml:space="preserve">Phil Cummins </w:t>
            </w:r>
          </w:p>
          <w:p w14:paraId="19E7446D" w14:textId="0717D627" w:rsidR="00CD50DE" w:rsidRDefault="00AB66BC" w:rsidP="0008475E">
            <w:pPr>
              <w:pStyle w:val="TableTextLeft"/>
            </w:pPr>
            <w:r>
              <w:t xml:space="preserve">Dr </w:t>
            </w:r>
            <w:r w:rsidR="00CD50DE">
              <w:t>Hadi Ghasemi</w:t>
            </w:r>
          </w:p>
        </w:tc>
        <w:tc>
          <w:tcPr>
            <w:tcW w:w="2568" w:type="dxa"/>
          </w:tcPr>
          <w:p w14:paraId="5838BDBF" w14:textId="77777777" w:rsidR="00CD50DE" w:rsidRDefault="00CD50DE" w:rsidP="0008475E">
            <w:pPr>
              <w:pStyle w:val="TableTextLeft"/>
            </w:pPr>
            <w:r>
              <w:t>Jakarta and Bandung</w:t>
            </w:r>
          </w:p>
        </w:tc>
        <w:tc>
          <w:tcPr>
            <w:tcW w:w="2321" w:type="dxa"/>
          </w:tcPr>
          <w:p w14:paraId="13D4326A" w14:textId="77777777" w:rsidR="00CD50DE" w:rsidRDefault="00CD50DE" w:rsidP="0008475E">
            <w:pPr>
              <w:pStyle w:val="TableTextLeft"/>
            </w:pPr>
            <w:r>
              <w:t>Program 3: GREAT and Program 5: Post disaster surveys</w:t>
            </w:r>
          </w:p>
        </w:tc>
      </w:tr>
      <w:tr w:rsidR="00CD50DE" w14:paraId="50FDA146" w14:textId="77777777" w:rsidTr="005A433A">
        <w:trPr>
          <w:cnfStyle w:val="000000100000" w:firstRow="0" w:lastRow="0" w:firstColumn="0" w:lastColumn="0" w:oddVBand="0" w:evenVBand="0" w:oddHBand="1" w:evenHBand="0" w:firstRowFirstColumn="0" w:firstRowLastColumn="0" w:lastRowFirstColumn="0" w:lastRowLastColumn="0"/>
        </w:trPr>
        <w:tc>
          <w:tcPr>
            <w:tcW w:w="1985" w:type="dxa"/>
          </w:tcPr>
          <w:p w14:paraId="3B5796CC" w14:textId="77777777" w:rsidR="00CD50DE" w:rsidRDefault="00CD50DE" w:rsidP="0008475E">
            <w:pPr>
              <w:pStyle w:val="TableTextLeft"/>
            </w:pPr>
            <w:r>
              <w:t>10</w:t>
            </w:r>
            <w:r w:rsidRPr="00073359">
              <w:rPr>
                <w:vertAlign w:val="superscript"/>
              </w:rPr>
              <w:t>th</w:t>
            </w:r>
            <w:r>
              <w:t xml:space="preserve"> to 16</w:t>
            </w:r>
            <w:r w:rsidRPr="00073359">
              <w:rPr>
                <w:vertAlign w:val="superscript"/>
              </w:rPr>
              <w:t>th</w:t>
            </w:r>
            <w:r>
              <w:t xml:space="preserve"> December</w:t>
            </w:r>
          </w:p>
        </w:tc>
        <w:tc>
          <w:tcPr>
            <w:tcW w:w="2410" w:type="dxa"/>
          </w:tcPr>
          <w:p w14:paraId="2A40E288" w14:textId="77777777" w:rsidR="00CD50DE" w:rsidRDefault="00CD50DE" w:rsidP="0008475E">
            <w:pPr>
              <w:pStyle w:val="TableTextLeft"/>
            </w:pPr>
            <w:r>
              <w:t>Eko Yuliatno (LIPI)</w:t>
            </w:r>
          </w:p>
        </w:tc>
        <w:tc>
          <w:tcPr>
            <w:tcW w:w="2568" w:type="dxa"/>
          </w:tcPr>
          <w:p w14:paraId="163F4DC1" w14:textId="77777777" w:rsidR="00CD50DE" w:rsidRDefault="00CD50DE" w:rsidP="0008475E">
            <w:pPr>
              <w:pStyle w:val="TableTextLeft"/>
            </w:pPr>
            <w:r>
              <w:t>Canberra, Australia</w:t>
            </w:r>
          </w:p>
        </w:tc>
        <w:tc>
          <w:tcPr>
            <w:tcW w:w="2321" w:type="dxa"/>
          </w:tcPr>
          <w:p w14:paraId="1596B07E" w14:textId="77777777" w:rsidR="00CD50DE" w:rsidRDefault="00CD50DE" w:rsidP="0008475E">
            <w:pPr>
              <w:pStyle w:val="TableTextLeft"/>
            </w:pPr>
            <w:r>
              <w:t>Activity 4.2: source zones on Java trench for tsunami</w:t>
            </w:r>
          </w:p>
        </w:tc>
      </w:tr>
      <w:tr w:rsidR="00CD50DE" w14:paraId="1CD11044" w14:textId="77777777" w:rsidTr="005A433A">
        <w:trPr>
          <w:cnfStyle w:val="000000010000" w:firstRow="0" w:lastRow="0" w:firstColumn="0" w:lastColumn="0" w:oddVBand="0" w:evenVBand="0" w:oddHBand="0" w:evenHBand="1" w:firstRowFirstColumn="0" w:firstRowLastColumn="0" w:lastRowFirstColumn="0" w:lastRowLastColumn="0"/>
        </w:trPr>
        <w:tc>
          <w:tcPr>
            <w:tcW w:w="1985" w:type="dxa"/>
          </w:tcPr>
          <w:p w14:paraId="2D20C98E" w14:textId="77777777" w:rsidR="00CD50DE" w:rsidRDefault="00CD50DE" w:rsidP="0008475E">
            <w:pPr>
              <w:pStyle w:val="TableTextLeft"/>
            </w:pPr>
            <w:r>
              <w:t>18</w:t>
            </w:r>
            <w:r w:rsidRPr="003E365D">
              <w:rPr>
                <w:vertAlign w:val="superscript"/>
              </w:rPr>
              <w:t>th</w:t>
            </w:r>
            <w:r>
              <w:t xml:space="preserve"> to 23</w:t>
            </w:r>
            <w:r w:rsidRPr="003E365D">
              <w:rPr>
                <w:vertAlign w:val="superscript"/>
              </w:rPr>
              <w:t>rd</w:t>
            </w:r>
            <w:r>
              <w:t xml:space="preserve"> December</w:t>
            </w:r>
          </w:p>
        </w:tc>
        <w:tc>
          <w:tcPr>
            <w:tcW w:w="2410" w:type="dxa"/>
          </w:tcPr>
          <w:p w14:paraId="5DE11F3B" w14:textId="77777777" w:rsidR="00CD50DE" w:rsidRDefault="00A8735B" w:rsidP="0008475E">
            <w:pPr>
              <w:pStyle w:val="TableTextLeft"/>
            </w:pPr>
            <w:r>
              <w:t xml:space="preserve">Prof. </w:t>
            </w:r>
            <w:r w:rsidR="00CD50DE">
              <w:t>Phil Cummins</w:t>
            </w:r>
          </w:p>
        </w:tc>
        <w:tc>
          <w:tcPr>
            <w:tcW w:w="2568" w:type="dxa"/>
          </w:tcPr>
          <w:p w14:paraId="207801B0" w14:textId="77777777" w:rsidR="00CD50DE" w:rsidRDefault="00CD50DE" w:rsidP="0008475E">
            <w:pPr>
              <w:pStyle w:val="TableTextLeft"/>
            </w:pPr>
            <w:r>
              <w:t>Jakarta and Bandung</w:t>
            </w:r>
          </w:p>
        </w:tc>
        <w:tc>
          <w:tcPr>
            <w:tcW w:w="2321" w:type="dxa"/>
          </w:tcPr>
          <w:p w14:paraId="36E57BF4" w14:textId="77777777" w:rsidR="00CD50DE" w:rsidRDefault="00CD50DE" w:rsidP="0008475E">
            <w:pPr>
              <w:pStyle w:val="TableTextLeft"/>
            </w:pPr>
            <w:r>
              <w:t xml:space="preserve">Program 3: GREAT, Program 5: Post disaster surveys </w:t>
            </w:r>
          </w:p>
        </w:tc>
      </w:tr>
    </w:tbl>
    <w:p w14:paraId="1B69C544" w14:textId="77777777" w:rsidR="00CD50DE" w:rsidRPr="007D582F" w:rsidRDefault="00CD50DE" w:rsidP="007D582F">
      <w:pPr>
        <w:pStyle w:val="BodyText"/>
        <w:rPr>
          <w:b/>
        </w:rPr>
      </w:pPr>
      <w:r w:rsidRPr="007D582F">
        <w:rPr>
          <w:b/>
        </w:rPr>
        <w:t>2018</w:t>
      </w:r>
      <w:bookmarkEnd w:id="32"/>
    </w:p>
    <w:tbl>
      <w:tblPr>
        <w:tblStyle w:val="TableGAHeaderRow"/>
        <w:tblW w:w="0" w:type="auto"/>
        <w:tblLook w:val="04A0" w:firstRow="1" w:lastRow="0" w:firstColumn="1" w:lastColumn="0" w:noHBand="0" w:noVBand="1"/>
      </w:tblPr>
      <w:tblGrid>
        <w:gridCol w:w="1960"/>
        <w:gridCol w:w="2658"/>
        <w:gridCol w:w="2240"/>
        <w:gridCol w:w="2156"/>
      </w:tblGrid>
      <w:tr w:rsidR="00E55489" w14:paraId="7EE12241" w14:textId="77777777" w:rsidTr="005A433A">
        <w:trPr>
          <w:cnfStyle w:val="100000000000" w:firstRow="1" w:lastRow="0" w:firstColumn="0" w:lastColumn="0" w:oddVBand="0" w:evenVBand="0" w:oddHBand="0" w:evenHBand="0" w:firstRowFirstColumn="0" w:firstRowLastColumn="0" w:lastRowFirstColumn="0" w:lastRowLastColumn="0"/>
        </w:trPr>
        <w:tc>
          <w:tcPr>
            <w:tcW w:w="1985" w:type="dxa"/>
          </w:tcPr>
          <w:p w14:paraId="43C17CE6" w14:textId="77777777" w:rsidR="00E55489" w:rsidRDefault="00E55489" w:rsidP="00D32CB9">
            <w:pPr>
              <w:pStyle w:val="TableTextCentred"/>
            </w:pPr>
            <w:r>
              <w:t>Dates</w:t>
            </w:r>
          </w:p>
        </w:tc>
        <w:tc>
          <w:tcPr>
            <w:tcW w:w="2694" w:type="dxa"/>
          </w:tcPr>
          <w:p w14:paraId="70E14A0F" w14:textId="77777777" w:rsidR="00E55489" w:rsidRDefault="00E55489" w:rsidP="00D32CB9">
            <w:pPr>
              <w:pStyle w:val="TableTextCentred"/>
            </w:pPr>
            <w:r>
              <w:t>Officers</w:t>
            </w:r>
          </w:p>
        </w:tc>
        <w:tc>
          <w:tcPr>
            <w:tcW w:w="2268" w:type="dxa"/>
          </w:tcPr>
          <w:p w14:paraId="0DE31EBC" w14:textId="77777777" w:rsidR="00E55489" w:rsidRDefault="00E55489" w:rsidP="00D32CB9">
            <w:pPr>
              <w:pStyle w:val="TableTextCentred"/>
            </w:pPr>
            <w:r>
              <w:t>Locations</w:t>
            </w:r>
          </w:p>
        </w:tc>
        <w:tc>
          <w:tcPr>
            <w:tcW w:w="2181" w:type="dxa"/>
          </w:tcPr>
          <w:p w14:paraId="5D1EBA62" w14:textId="77777777" w:rsidR="00E55489" w:rsidRDefault="00E55489" w:rsidP="00D32CB9">
            <w:pPr>
              <w:pStyle w:val="TableTextCentred"/>
            </w:pPr>
            <w:r>
              <w:t>Purpose</w:t>
            </w:r>
          </w:p>
        </w:tc>
      </w:tr>
      <w:tr w:rsidR="00E55489" w14:paraId="3B5D714F" w14:textId="77777777" w:rsidTr="005A433A">
        <w:trPr>
          <w:cnfStyle w:val="000000100000" w:firstRow="0" w:lastRow="0" w:firstColumn="0" w:lastColumn="0" w:oddVBand="0" w:evenVBand="0" w:oddHBand="1" w:evenHBand="0" w:firstRowFirstColumn="0" w:firstRowLastColumn="0" w:lastRowFirstColumn="0" w:lastRowLastColumn="0"/>
        </w:trPr>
        <w:tc>
          <w:tcPr>
            <w:tcW w:w="1985" w:type="dxa"/>
          </w:tcPr>
          <w:p w14:paraId="1DEC23F5" w14:textId="77777777" w:rsidR="00E55489" w:rsidRDefault="00E55489" w:rsidP="00AB66BC">
            <w:pPr>
              <w:pStyle w:val="TableTextLeft"/>
            </w:pPr>
            <w:r w:rsidRPr="00957566">
              <w:t>28</w:t>
            </w:r>
            <w:r w:rsidRPr="00FE74AE">
              <w:rPr>
                <w:rStyle w:val="Superscript"/>
              </w:rPr>
              <w:t>th</w:t>
            </w:r>
            <w:r w:rsidRPr="00957566">
              <w:t xml:space="preserve"> January </w:t>
            </w:r>
            <w:r w:rsidR="00AB66BC">
              <w:t>to</w:t>
            </w:r>
            <w:r w:rsidRPr="00957566">
              <w:t xml:space="preserve"> 3</w:t>
            </w:r>
            <w:r w:rsidRPr="00FE74AE">
              <w:rPr>
                <w:rStyle w:val="Superscript"/>
              </w:rPr>
              <w:t>rd</w:t>
            </w:r>
            <w:r w:rsidRPr="00957566">
              <w:t xml:space="preserve"> February</w:t>
            </w:r>
          </w:p>
        </w:tc>
        <w:tc>
          <w:tcPr>
            <w:tcW w:w="2694" w:type="dxa"/>
          </w:tcPr>
          <w:p w14:paraId="072C29BA" w14:textId="77777777" w:rsidR="00E55489" w:rsidRDefault="00AB66BC" w:rsidP="00E55489">
            <w:pPr>
              <w:pStyle w:val="TableTextLeft"/>
            </w:pPr>
            <w:r>
              <w:t xml:space="preserve">Dr </w:t>
            </w:r>
            <w:r w:rsidR="00E55489">
              <w:t>Charlotte Morgan</w:t>
            </w:r>
          </w:p>
        </w:tc>
        <w:tc>
          <w:tcPr>
            <w:tcW w:w="2268" w:type="dxa"/>
          </w:tcPr>
          <w:p w14:paraId="44496F21" w14:textId="77777777" w:rsidR="00E55489" w:rsidRDefault="00E55489" w:rsidP="00E55489">
            <w:pPr>
              <w:pStyle w:val="TableTextLeft"/>
            </w:pPr>
            <w:r>
              <w:t>Jakarta</w:t>
            </w:r>
          </w:p>
        </w:tc>
        <w:tc>
          <w:tcPr>
            <w:tcW w:w="2181" w:type="dxa"/>
          </w:tcPr>
          <w:p w14:paraId="5039256C" w14:textId="77777777" w:rsidR="00E55489" w:rsidRDefault="00E55489" w:rsidP="00E55489">
            <w:pPr>
              <w:pStyle w:val="TableTextLeft"/>
            </w:pPr>
            <w:r w:rsidRPr="000B7B53">
              <w:t>Program 1: OSM and Program 2: InaSAFE</w:t>
            </w:r>
          </w:p>
        </w:tc>
      </w:tr>
      <w:tr w:rsidR="00CC7745" w14:paraId="7FAF58E0" w14:textId="77777777" w:rsidTr="005A433A">
        <w:trPr>
          <w:cnfStyle w:val="000000010000" w:firstRow="0" w:lastRow="0" w:firstColumn="0" w:lastColumn="0" w:oddVBand="0" w:evenVBand="0" w:oddHBand="0" w:evenHBand="1" w:firstRowFirstColumn="0" w:firstRowLastColumn="0" w:lastRowFirstColumn="0" w:lastRowLastColumn="0"/>
        </w:trPr>
        <w:tc>
          <w:tcPr>
            <w:tcW w:w="1985" w:type="dxa"/>
          </w:tcPr>
          <w:p w14:paraId="43D9AE16" w14:textId="1C62D96A" w:rsidR="00CC7745" w:rsidRPr="00FB723C" w:rsidRDefault="00CC7745" w:rsidP="00CC7745">
            <w:pPr>
              <w:pStyle w:val="TableTextLeft"/>
            </w:pPr>
            <w:r>
              <w:t>1</w:t>
            </w:r>
            <w:r w:rsidRPr="00957566">
              <w:t>8</w:t>
            </w:r>
            <w:r w:rsidRPr="00FE74AE">
              <w:rPr>
                <w:rStyle w:val="Superscript"/>
              </w:rPr>
              <w:t>th</w:t>
            </w:r>
            <w:r w:rsidRPr="00957566">
              <w:t xml:space="preserve"> </w:t>
            </w:r>
            <w:r>
              <w:t>February</w:t>
            </w:r>
            <w:r w:rsidRPr="00957566">
              <w:t xml:space="preserve"> </w:t>
            </w:r>
            <w:r>
              <w:t>to</w:t>
            </w:r>
            <w:r w:rsidRPr="00957566">
              <w:t xml:space="preserve"> </w:t>
            </w:r>
            <w:r>
              <w:t>24</w:t>
            </w:r>
            <w:r w:rsidRPr="00CC7745">
              <w:rPr>
                <w:vertAlign w:val="superscript"/>
              </w:rPr>
              <w:t>th</w:t>
            </w:r>
            <w:r w:rsidRPr="00957566">
              <w:t xml:space="preserve"> February</w:t>
            </w:r>
          </w:p>
        </w:tc>
        <w:tc>
          <w:tcPr>
            <w:tcW w:w="2694" w:type="dxa"/>
          </w:tcPr>
          <w:p w14:paraId="695FDA1B" w14:textId="7BC67C88" w:rsidR="00CC7745" w:rsidRDefault="00CC7745" w:rsidP="00FB723C">
            <w:pPr>
              <w:pStyle w:val="TableTextLeft"/>
            </w:pPr>
            <w:r>
              <w:t>Ms Imun Maemunah, BG</w:t>
            </w:r>
          </w:p>
          <w:p w14:paraId="4EB59786" w14:textId="6D04DF4F" w:rsidR="00CC7745" w:rsidRDefault="00CC7745" w:rsidP="00FB723C">
            <w:pPr>
              <w:pStyle w:val="TableTextLeft"/>
            </w:pPr>
            <w:r>
              <w:t>Ms Merry Christina Natalia, BG</w:t>
            </w:r>
          </w:p>
          <w:p w14:paraId="384B9080" w14:textId="20F5F148" w:rsidR="00CC7745" w:rsidRDefault="00CC7745" w:rsidP="00FB723C">
            <w:pPr>
              <w:pStyle w:val="TableTextLeft"/>
            </w:pPr>
            <w:r>
              <w:t>Ms Arianne Pingkan Lewu, BG</w:t>
            </w:r>
          </w:p>
          <w:p w14:paraId="3DEF7875" w14:textId="1AB62BAE" w:rsidR="00CC7745" w:rsidRDefault="00CC7745" w:rsidP="00FB723C">
            <w:pPr>
              <w:pStyle w:val="TableTextLeft"/>
            </w:pPr>
            <w:r>
              <w:t xml:space="preserve">Mr </w:t>
            </w:r>
            <w:r w:rsidR="00DC7AB3" w:rsidRPr="00DC7AB3">
              <w:t xml:space="preserve">Robiana </w:t>
            </w:r>
            <w:r>
              <w:t>Rahayu, BG</w:t>
            </w:r>
          </w:p>
          <w:p w14:paraId="294D5908" w14:textId="70683D00" w:rsidR="00CC7745" w:rsidRDefault="00CC7745" w:rsidP="00FB723C">
            <w:pPr>
              <w:pStyle w:val="TableTextLeft"/>
            </w:pPr>
            <w:r>
              <w:t>Mr Pandu Adi Minarno, BG</w:t>
            </w:r>
          </w:p>
          <w:p w14:paraId="296C1266" w14:textId="5CFC915B" w:rsidR="00CC7745" w:rsidRDefault="00CC7745" w:rsidP="00FB723C">
            <w:pPr>
              <w:pStyle w:val="TableTextLeft"/>
            </w:pPr>
            <w:r>
              <w:t>Ms Weniza, BMKG</w:t>
            </w:r>
          </w:p>
          <w:p w14:paraId="45A71FC4" w14:textId="6108936A" w:rsidR="00DC7AB3" w:rsidRDefault="00DC7AB3" w:rsidP="00FB723C">
            <w:pPr>
              <w:pStyle w:val="TableTextLeft"/>
            </w:pPr>
            <w:r w:rsidRPr="00DC7AB3">
              <w:t>Dwi Hartanto (BMKG)</w:t>
            </w:r>
          </w:p>
          <w:p w14:paraId="10F859A9" w14:textId="320AA22E" w:rsidR="00CC7745" w:rsidRPr="00FB723C" w:rsidRDefault="00CC7745" w:rsidP="00FB723C">
            <w:pPr>
              <w:pStyle w:val="TableTextLeft"/>
            </w:pPr>
            <w:r>
              <w:t>Mr Indra Gunawan, BMKG</w:t>
            </w:r>
          </w:p>
        </w:tc>
        <w:tc>
          <w:tcPr>
            <w:tcW w:w="2268" w:type="dxa"/>
          </w:tcPr>
          <w:p w14:paraId="22946FCE" w14:textId="42E9D0E9" w:rsidR="00CC7745" w:rsidRPr="00FB723C" w:rsidRDefault="00CC7745" w:rsidP="00FB723C">
            <w:pPr>
              <w:pStyle w:val="TableTextLeft"/>
            </w:pPr>
            <w:r>
              <w:t>Canberra</w:t>
            </w:r>
          </w:p>
        </w:tc>
        <w:tc>
          <w:tcPr>
            <w:tcW w:w="2181" w:type="dxa"/>
          </w:tcPr>
          <w:p w14:paraId="3391E949" w14:textId="04F194E5" w:rsidR="00CC7745" w:rsidRPr="00FB723C" w:rsidRDefault="00CC7745" w:rsidP="00FB723C">
            <w:pPr>
              <w:pStyle w:val="TableTextLeft"/>
            </w:pPr>
            <w:r>
              <w:t>Activity 4.2: Tsunami Inundation</w:t>
            </w:r>
          </w:p>
        </w:tc>
      </w:tr>
      <w:tr w:rsidR="00CC7745" w14:paraId="7A6ADBE1" w14:textId="77777777" w:rsidTr="005A433A">
        <w:trPr>
          <w:cnfStyle w:val="000000100000" w:firstRow="0" w:lastRow="0" w:firstColumn="0" w:lastColumn="0" w:oddVBand="0" w:evenVBand="0" w:oddHBand="1" w:evenHBand="0" w:firstRowFirstColumn="0" w:firstRowLastColumn="0" w:lastRowFirstColumn="0" w:lastRowLastColumn="0"/>
        </w:trPr>
        <w:tc>
          <w:tcPr>
            <w:tcW w:w="1985" w:type="dxa"/>
          </w:tcPr>
          <w:p w14:paraId="49B9A485" w14:textId="1583B63A" w:rsidR="00CC7745" w:rsidRPr="00FB723C" w:rsidRDefault="00CC7745" w:rsidP="00FB723C">
            <w:pPr>
              <w:pStyle w:val="TableTextLeft"/>
            </w:pPr>
            <w:r>
              <w:t>23</w:t>
            </w:r>
            <w:r w:rsidRPr="00CC7745">
              <w:rPr>
                <w:vertAlign w:val="superscript"/>
              </w:rPr>
              <w:t>rd</w:t>
            </w:r>
            <w:r>
              <w:t xml:space="preserve"> April to 27</w:t>
            </w:r>
            <w:r w:rsidRPr="00CC7745">
              <w:rPr>
                <w:vertAlign w:val="superscript"/>
              </w:rPr>
              <w:t>th</w:t>
            </w:r>
            <w:r>
              <w:t xml:space="preserve"> April</w:t>
            </w:r>
          </w:p>
        </w:tc>
        <w:tc>
          <w:tcPr>
            <w:tcW w:w="2694" w:type="dxa"/>
          </w:tcPr>
          <w:p w14:paraId="71E96F2F" w14:textId="3EE03634" w:rsidR="00CC7745" w:rsidRPr="00FB723C" w:rsidRDefault="00CC7745" w:rsidP="00CC7745">
            <w:pPr>
              <w:pStyle w:val="TableTextLeft"/>
            </w:pPr>
            <w:r>
              <w:t>Mr Ryan Pranantyo</w:t>
            </w:r>
            <w:r w:rsidR="005C5A4B">
              <w:rPr>
                <w:vertAlign w:val="superscript"/>
              </w:rPr>
              <w:t>3</w:t>
            </w:r>
            <w:r>
              <w:t>, ANU</w:t>
            </w:r>
          </w:p>
        </w:tc>
        <w:tc>
          <w:tcPr>
            <w:tcW w:w="2268" w:type="dxa"/>
          </w:tcPr>
          <w:p w14:paraId="235B5B5B" w14:textId="69868375" w:rsidR="00CC7745" w:rsidRPr="00FB723C" w:rsidRDefault="00CC7745" w:rsidP="00FB723C">
            <w:pPr>
              <w:pStyle w:val="TableTextLeft"/>
            </w:pPr>
            <w:r>
              <w:t>Jakarta</w:t>
            </w:r>
          </w:p>
        </w:tc>
        <w:tc>
          <w:tcPr>
            <w:tcW w:w="2181" w:type="dxa"/>
          </w:tcPr>
          <w:p w14:paraId="02CC8083" w14:textId="25C97273" w:rsidR="00CC7745" w:rsidRPr="00FB723C" w:rsidRDefault="00CC7745" w:rsidP="00FB723C">
            <w:pPr>
              <w:pStyle w:val="TableTextLeft"/>
            </w:pPr>
            <w:r>
              <w:t>Activity 4.2: Tsunami Inundation</w:t>
            </w:r>
          </w:p>
        </w:tc>
      </w:tr>
      <w:tr w:rsidR="00E55489" w14:paraId="3DF8AE51" w14:textId="77777777" w:rsidTr="005A433A">
        <w:trPr>
          <w:cnfStyle w:val="000000010000" w:firstRow="0" w:lastRow="0" w:firstColumn="0" w:lastColumn="0" w:oddVBand="0" w:evenVBand="0" w:oddHBand="0" w:evenHBand="1" w:firstRowFirstColumn="0" w:firstRowLastColumn="0" w:lastRowFirstColumn="0" w:lastRowLastColumn="0"/>
        </w:trPr>
        <w:tc>
          <w:tcPr>
            <w:tcW w:w="1985" w:type="dxa"/>
          </w:tcPr>
          <w:p w14:paraId="0AD0ABB5" w14:textId="216AAF93" w:rsidR="00E55489" w:rsidRPr="00FB723C" w:rsidRDefault="00E55489" w:rsidP="005A433A">
            <w:pPr>
              <w:pStyle w:val="TableTextLeft"/>
            </w:pPr>
            <w:r w:rsidRPr="00FB723C">
              <w:t>1</w:t>
            </w:r>
            <w:r w:rsidR="005A433A" w:rsidRPr="005A433A">
              <w:rPr>
                <w:vertAlign w:val="superscript"/>
              </w:rPr>
              <w:t>st</w:t>
            </w:r>
            <w:r w:rsidR="005A433A">
              <w:t xml:space="preserve"> </w:t>
            </w:r>
            <w:r w:rsidR="00AB66BC" w:rsidRPr="00FB723C">
              <w:t>to</w:t>
            </w:r>
            <w:r w:rsidRPr="00FB723C">
              <w:t xml:space="preserve"> 10</w:t>
            </w:r>
            <w:r w:rsidR="005A433A" w:rsidRPr="005A433A">
              <w:rPr>
                <w:vertAlign w:val="superscript"/>
              </w:rPr>
              <w:t>th</w:t>
            </w:r>
            <w:r w:rsidR="005A433A">
              <w:t xml:space="preserve"> </w:t>
            </w:r>
            <w:r w:rsidRPr="00FB723C">
              <w:t>May</w:t>
            </w:r>
          </w:p>
        </w:tc>
        <w:tc>
          <w:tcPr>
            <w:tcW w:w="2694" w:type="dxa"/>
          </w:tcPr>
          <w:p w14:paraId="02580797" w14:textId="77777777" w:rsidR="00FB723C" w:rsidRPr="00FB723C" w:rsidRDefault="00E55489" w:rsidP="00FB723C">
            <w:pPr>
              <w:pStyle w:val="TableTextLeft"/>
            </w:pPr>
            <w:r w:rsidRPr="00FB723C">
              <w:t>Dr David Robinson</w:t>
            </w:r>
          </w:p>
          <w:p w14:paraId="0627CE40" w14:textId="22C37159" w:rsidR="00084912" w:rsidRPr="00FB723C" w:rsidRDefault="00084912" w:rsidP="00FB723C">
            <w:pPr>
              <w:pStyle w:val="TableTextLeft"/>
            </w:pPr>
            <w:r w:rsidRPr="00FB723C">
              <w:t>Dr Andy Barnicoat</w:t>
            </w:r>
            <w:r w:rsidR="005C5A4B">
              <w:rPr>
                <w:rStyle w:val="Superscript"/>
              </w:rPr>
              <w:t>4</w:t>
            </w:r>
          </w:p>
        </w:tc>
        <w:tc>
          <w:tcPr>
            <w:tcW w:w="2268" w:type="dxa"/>
          </w:tcPr>
          <w:p w14:paraId="40202F0A" w14:textId="77777777" w:rsidR="00E55489" w:rsidRPr="00FB723C" w:rsidRDefault="00E55489" w:rsidP="00FB723C">
            <w:pPr>
              <w:pStyle w:val="TableTextLeft"/>
            </w:pPr>
            <w:r w:rsidRPr="00FB723C">
              <w:t>Bandung and Jakarta</w:t>
            </w:r>
          </w:p>
        </w:tc>
        <w:tc>
          <w:tcPr>
            <w:tcW w:w="2181" w:type="dxa"/>
          </w:tcPr>
          <w:p w14:paraId="2DB96F89" w14:textId="77777777" w:rsidR="00E55489" w:rsidRPr="00FB723C" w:rsidRDefault="00E55489" w:rsidP="00FB723C">
            <w:pPr>
              <w:pStyle w:val="TableTextLeft"/>
            </w:pPr>
            <w:r w:rsidRPr="00FB723C">
              <w:t>All programs</w:t>
            </w:r>
          </w:p>
        </w:tc>
      </w:tr>
      <w:tr w:rsidR="00A8735B" w14:paraId="7DB7C55B" w14:textId="77777777" w:rsidTr="005A433A">
        <w:trPr>
          <w:cnfStyle w:val="000000100000" w:firstRow="0" w:lastRow="0" w:firstColumn="0" w:lastColumn="0" w:oddVBand="0" w:evenVBand="0" w:oddHBand="1" w:evenHBand="0" w:firstRowFirstColumn="0" w:firstRowLastColumn="0" w:lastRowFirstColumn="0" w:lastRowLastColumn="0"/>
        </w:trPr>
        <w:tc>
          <w:tcPr>
            <w:tcW w:w="1985" w:type="dxa"/>
          </w:tcPr>
          <w:p w14:paraId="08442136" w14:textId="77777777" w:rsidR="00A8735B" w:rsidRDefault="00A8735B" w:rsidP="00AB66BC">
            <w:pPr>
              <w:pStyle w:val="TableTextLeft"/>
            </w:pPr>
            <w:r w:rsidRPr="00A8735B">
              <w:t>13</w:t>
            </w:r>
            <w:r w:rsidRPr="00A8735B">
              <w:rPr>
                <w:rStyle w:val="Superscript"/>
              </w:rPr>
              <w:t xml:space="preserve">th </w:t>
            </w:r>
            <w:r w:rsidR="00AB66BC">
              <w:t>to</w:t>
            </w:r>
            <w:r w:rsidRPr="00A8735B">
              <w:t xml:space="preserve"> 22</w:t>
            </w:r>
            <w:r w:rsidRPr="00A8735B">
              <w:rPr>
                <w:rStyle w:val="Superscript"/>
              </w:rPr>
              <w:t>nd</w:t>
            </w:r>
            <w:r w:rsidRPr="00A8735B">
              <w:t xml:space="preserve"> May</w:t>
            </w:r>
          </w:p>
        </w:tc>
        <w:tc>
          <w:tcPr>
            <w:tcW w:w="2694" w:type="dxa"/>
          </w:tcPr>
          <w:p w14:paraId="38BAC88B" w14:textId="77777777" w:rsidR="00A8735B" w:rsidRDefault="00AB66BC" w:rsidP="00E55489">
            <w:pPr>
              <w:pStyle w:val="TableTextLeft"/>
            </w:pPr>
            <w:r>
              <w:t xml:space="preserve">Dr </w:t>
            </w:r>
            <w:r w:rsidR="00A8735B">
              <w:t>Hadi Ghasemi</w:t>
            </w:r>
          </w:p>
        </w:tc>
        <w:tc>
          <w:tcPr>
            <w:tcW w:w="2268" w:type="dxa"/>
          </w:tcPr>
          <w:p w14:paraId="70AC519D" w14:textId="77777777" w:rsidR="00A8735B" w:rsidRDefault="00A8735B" w:rsidP="00E55489">
            <w:pPr>
              <w:pStyle w:val="TableTextLeft"/>
            </w:pPr>
            <w:r>
              <w:t>Miami, USA</w:t>
            </w:r>
          </w:p>
        </w:tc>
        <w:tc>
          <w:tcPr>
            <w:tcW w:w="2181" w:type="dxa"/>
          </w:tcPr>
          <w:p w14:paraId="1DC3DB10" w14:textId="77777777" w:rsidR="00A8735B" w:rsidRDefault="00A8735B" w:rsidP="00E55489">
            <w:pPr>
              <w:pStyle w:val="TableTextLeft"/>
            </w:pPr>
            <w:r>
              <w:t>Program 5: ShakeMap</w:t>
            </w:r>
          </w:p>
        </w:tc>
      </w:tr>
      <w:tr w:rsidR="00E55489" w14:paraId="2AA86203" w14:textId="77777777" w:rsidTr="005A433A">
        <w:trPr>
          <w:cnfStyle w:val="000000010000" w:firstRow="0" w:lastRow="0" w:firstColumn="0" w:lastColumn="0" w:oddVBand="0" w:evenVBand="0" w:oddHBand="0" w:evenHBand="1" w:firstRowFirstColumn="0" w:firstRowLastColumn="0" w:lastRowFirstColumn="0" w:lastRowLastColumn="0"/>
        </w:trPr>
        <w:tc>
          <w:tcPr>
            <w:tcW w:w="1985" w:type="dxa"/>
          </w:tcPr>
          <w:p w14:paraId="0E1B3E61" w14:textId="77777777" w:rsidR="00E55489" w:rsidRPr="00957566" w:rsidRDefault="00D32CB9" w:rsidP="00AB66BC">
            <w:pPr>
              <w:pStyle w:val="TableTextLeft"/>
            </w:pPr>
            <w:r>
              <w:t>3</w:t>
            </w:r>
            <w:r w:rsidRPr="00084912">
              <w:rPr>
                <w:vertAlign w:val="superscript"/>
              </w:rPr>
              <w:t>rd</w:t>
            </w:r>
            <w:r>
              <w:t xml:space="preserve"> </w:t>
            </w:r>
            <w:r w:rsidR="00AB66BC">
              <w:t>to</w:t>
            </w:r>
            <w:r>
              <w:t xml:space="preserve"> 9</w:t>
            </w:r>
            <w:r w:rsidRPr="00084912">
              <w:rPr>
                <w:vertAlign w:val="superscript"/>
              </w:rPr>
              <w:t>th</w:t>
            </w:r>
            <w:r>
              <w:t xml:space="preserve"> June</w:t>
            </w:r>
          </w:p>
        </w:tc>
        <w:tc>
          <w:tcPr>
            <w:tcW w:w="2694" w:type="dxa"/>
          </w:tcPr>
          <w:p w14:paraId="4634CEB4" w14:textId="77777777" w:rsidR="00E55489" w:rsidRDefault="00E55489" w:rsidP="00E55489">
            <w:pPr>
              <w:pStyle w:val="TableTextLeft"/>
            </w:pPr>
            <w:r>
              <w:t>Prof. Phil Cummins</w:t>
            </w:r>
          </w:p>
        </w:tc>
        <w:tc>
          <w:tcPr>
            <w:tcW w:w="2268" w:type="dxa"/>
          </w:tcPr>
          <w:p w14:paraId="72EAA375" w14:textId="77777777" w:rsidR="00E55489" w:rsidRDefault="00E55489" w:rsidP="00E55489">
            <w:pPr>
              <w:pStyle w:val="TableTextLeft"/>
            </w:pPr>
            <w:r>
              <w:t>Jakarta</w:t>
            </w:r>
          </w:p>
        </w:tc>
        <w:tc>
          <w:tcPr>
            <w:tcW w:w="2181" w:type="dxa"/>
          </w:tcPr>
          <w:p w14:paraId="2E8DB811" w14:textId="77777777" w:rsidR="00E55489" w:rsidRDefault="00E55489" w:rsidP="00E55489">
            <w:pPr>
              <w:pStyle w:val="TableTextLeft"/>
            </w:pPr>
            <w:r>
              <w:t xml:space="preserve">Activity 4.1: </w:t>
            </w:r>
          </w:p>
          <w:p w14:paraId="0DDB21B2" w14:textId="77777777" w:rsidR="00E55489" w:rsidRPr="000B7B53" w:rsidRDefault="00E55489" w:rsidP="00E55489">
            <w:pPr>
              <w:pStyle w:val="TableTextLeft"/>
            </w:pPr>
            <w:r>
              <w:t>Earthquake hazard</w:t>
            </w:r>
          </w:p>
        </w:tc>
      </w:tr>
      <w:tr w:rsidR="00E55489" w14:paraId="540F9C40" w14:textId="77777777" w:rsidTr="005A433A">
        <w:trPr>
          <w:cnfStyle w:val="000000100000" w:firstRow="0" w:lastRow="0" w:firstColumn="0" w:lastColumn="0" w:oddVBand="0" w:evenVBand="0" w:oddHBand="1" w:evenHBand="0" w:firstRowFirstColumn="0" w:firstRowLastColumn="0" w:lastRowFirstColumn="0" w:lastRowLastColumn="0"/>
        </w:trPr>
        <w:tc>
          <w:tcPr>
            <w:tcW w:w="1985" w:type="dxa"/>
          </w:tcPr>
          <w:p w14:paraId="18C4D759" w14:textId="77777777" w:rsidR="00E55489" w:rsidRPr="00957566" w:rsidRDefault="00084912" w:rsidP="00AB66BC">
            <w:pPr>
              <w:pStyle w:val="TableTextLeft"/>
            </w:pPr>
            <w:r>
              <w:t>3</w:t>
            </w:r>
            <w:r w:rsidRPr="00084912">
              <w:rPr>
                <w:vertAlign w:val="superscript"/>
              </w:rPr>
              <w:t>rd</w:t>
            </w:r>
            <w:r>
              <w:t xml:space="preserve"> 12</w:t>
            </w:r>
            <w:r w:rsidRPr="00084912">
              <w:rPr>
                <w:vertAlign w:val="superscript"/>
              </w:rPr>
              <w:t>th</w:t>
            </w:r>
            <w:r>
              <w:t xml:space="preserve"> June</w:t>
            </w:r>
          </w:p>
        </w:tc>
        <w:tc>
          <w:tcPr>
            <w:tcW w:w="2694" w:type="dxa"/>
          </w:tcPr>
          <w:p w14:paraId="52862508" w14:textId="77777777" w:rsidR="00E55489" w:rsidRDefault="00E55489" w:rsidP="00E55489">
            <w:pPr>
              <w:pStyle w:val="TableTextLeft"/>
            </w:pPr>
            <w:r>
              <w:t>Dr David Robinson</w:t>
            </w:r>
          </w:p>
        </w:tc>
        <w:tc>
          <w:tcPr>
            <w:tcW w:w="2268" w:type="dxa"/>
          </w:tcPr>
          <w:p w14:paraId="7F478A7B" w14:textId="77777777" w:rsidR="00E55489" w:rsidRDefault="00E55489" w:rsidP="00E55489">
            <w:pPr>
              <w:pStyle w:val="TableTextLeft"/>
            </w:pPr>
            <w:r>
              <w:t>Jakarta</w:t>
            </w:r>
            <w:r w:rsidR="00084912">
              <w:t xml:space="preserve"> and Bandung</w:t>
            </w:r>
          </w:p>
        </w:tc>
        <w:tc>
          <w:tcPr>
            <w:tcW w:w="2181" w:type="dxa"/>
          </w:tcPr>
          <w:p w14:paraId="76988412" w14:textId="77777777" w:rsidR="00E55489" w:rsidRPr="000B7B53" w:rsidRDefault="00084912" w:rsidP="00E55489">
            <w:pPr>
              <w:pStyle w:val="TableTextLeft"/>
            </w:pPr>
            <w:r>
              <w:t>All programs</w:t>
            </w:r>
          </w:p>
        </w:tc>
      </w:tr>
    </w:tbl>
    <w:p w14:paraId="75EA2ADF" w14:textId="77777777" w:rsidR="00084912" w:rsidRPr="00F90C0E" w:rsidRDefault="00084912" w:rsidP="00F90C0E">
      <w:pPr>
        <w:pStyle w:val="BodyText"/>
      </w:pPr>
    </w:p>
    <w:p w14:paraId="337BB53C" w14:textId="77777777" w:rsidR="00FB723C" w:rsidRDefault="001719B6" w:rsidP="001719B6">
      <w:pPr>
        <w:pStyle w:val="Notes"/>
      </w:pPr>
      <w:r>
        <w:t>Travel components that were outside Indonesia were not invoiced to AIFDR unless specifically mentioned</w:t>
      </w:r>
    </w:p>
    <w:p w14:paraId="2BE47AF7" w14:textId="77777777" w:rsidR="00084912" w:rsidRDefault="00084912" w:rsidP="00084912">
      <w:pPr>
        <w:pStyle w:val="Notes"/>
      </w:pPr>
      <w:r>
        <w:t>Cost for this trip were shared with the Australian Bureau of Meteorology</w:t>
      </w:r>
    </w:p>
    <w:p w14:paraId="42EFCBD3" w14:textId="63961454" w:rsidR="005C5A4B" w:rsidRDefault="005C5A4B" w:rsidP="00637B0C">
      <w:pPr>
        <w:pStyle w:val="Notes"/>
      </w:pPr>
      <w:r>
        <w:t xml:space="preserve">ANU led this workshop on behalf of GA who were unable to send a staff member on this occasion. ANU did so without any salary charges. GA funded the travel costs from the AS34 budget. </w:t>
      </w:r>
    </w:p>
    <w:p w14:paraId="43AEF752" w14:textId="27ACE995" w:rsidR="00637B0C" w:rsidRPr="00637B0C" w:rsidRDefault="00084912" w:rsidP="00637B0C">
      <w:pPr>
        <w:pStyle w:val="Notes"/>
      </w:pPr>
      <w:r>
        <w:t xml:space="preserve">Chief, Community Safety and Earth Monitoring Division (costs for </w:t>
      </w:r>
      <w:r w:rsidR="00CA54E7">
        <w:t xml:space="preserve">the Chief’s travel was </w:t>
      </w:r>
      <w:r>
        <w:t xml:space="preserve">funded by </w:t>
      </w:r>
      <w:r w:rsidR="00CA54E7">
        <w:t xml:space="preserve">the </w:t>
      </w:r>
      <w:r>
        <w:t>GA management budget)</w:t>
      </w:r>
    </w:p>
    <w:p w14:paraId="0CB1EF28" w14:textId="14DE70DF" w:rsidR="00CD50DE" w:rsidRDefault="003B0567" w:rsidP="00CD50DE">
      <w:pPr>
        <w:pStyle w:val="Heading2"/>
      </w:pPr>
      <w:bookmarkStart w:id="39" w:name="_Toc524508501"/>
      <w:r>
        <w:t xml:space="preserve">Missions funded </w:t>
      </w:r>
      <w:r w:rsidR="00CD50DE">
        <w:t>through DFAT, Jakarta</w:t>
      </w:r>
      <w:bookmarkEnd w:id="33"/>
      <w:r>
        <w:t>, 2014-18</w:t>
      </w:r>
      <w:bookmarkEnd w:id="39"/>
    </w:p>
    <w:p w14:paraId="21307E91" w14:textId="77777777" w:rsidR="005972FC" w:rsidRPr="007D582F" w:rsidRDefault="005972FC" w:rsidP="007D582F">
      <w:pPr>
        <w:pStyle w:val="BodyText"/>
        <w:rPr>
          <w:b/>
        </w:rPr>
      </w:pPr>
      <w:bookmarkStart w:id="40" w:name="_Toc514226311"/>
      <w:bookmarkStart w:id="41" w:name="_Toc514226310"/>
      <w:r w:rsidRPr="007D582F">
        <w:rPr>
          <w:b/>
        </w:rPr>
        <w:t>2014</w:t>
      </w:r>
    </w:p>
    <w:tbl>
      <w:tblPr>
        <w:tblStyle w:val="TableGAHeaderRow"/>
        <w:tblW w:w="9284" w:type="dxa"/>
        <w:tblLook w:val="04A0" w:firstRow="1" w:lastRow="0" w:firstColumn="1" w:lastColumn="0" w:noHBand="0" w:noVBand="1"/>
      </w:tblPr>
      <w:tblGrid>
        <w:gridCol w:w="1951"/>
        <w:gridCol w:w="2410"/>
        <w:gridCol w:w="2551"/>
        <w:gridCol w:w="2372"/>
      </w:tblGrid>
      <w:tr w:rsidR="00FB723C" w14:paraId="4FFBD5A5" w14:textId="77777777" w:rsidTr="00F90C0E">
        <w:trPr>
          <w:cnfStyle w:val="100000000000" w:firstRow="1" w:lastRow="0" w:firstColumn="0" w:lastColumn="0" w:oddVBand="0" w:evenVBand="0" w:oddHBand="0" w:evenHBand="0" w:firstRowFirstColumn="0" w:firstRowLastColumn="0" w:lastRowFirstColumn="0" w:lastRowLastColumn="0"/>
        </w:trPr>
        <w:tc>
          <w:tcPr>
            <w:tcW w:w="1951" w:type="dxa"/>
          </w:tcPr>
          <w:p w14:paraId="5C743A85" w14:textId="77777777" w:rsidR="00FB723C" w:rsidRDefault="00FB723C" w:rsidP="00F90C0E">
            <w:pPr>
              <w:pStyle w:val="TableTextCentred"/>
            </w:pPr>
            <w:r>
              <w:t>Dates</w:t>
            </w:r>
          </w:p>
        </w:tc>
        <w:tc>
          <w:tcPr>
            <w:tcW w:w="2410" w:type="dxa"/>
          </w:tcPr>
          <w:p w14:paraId="71F5E2D8" w14:textId="77777777" w:rsidR="00FB723C" w:rsidRDefault="00FB723C" w:rsidP="00F90C0E">
            <w:pPr>
              <w:pStyle w:val="TableTextCentred"/>
            </w:pPr>
            <w:r>
              <w:t>Officers</w:t>
            </w:r>
          </w:p>
        </w:tc>
        <w:tc>
          <w:tcPr>
            <w:tcW w:w="2551" w:type="dxa"/>
          </w:tcPr>
          <w:p w14:paraId="010C7335" w14:textId="77777777" w:rsidR="00FB723C" w:rsidRDefault="00FB723C" w:rsidP="00F90C0E">
            <w:pPr>
              <w:pStyle w:val="TableTextCentred"/>
            </w:pPr>
            <w:r>
              <w:t>Locations</w:t>
            </w:r>
          </w:p>
        </w:tc>
        <w:tc>
          <w:tcPr>
            <w:tcW w:w="2372" w:type="dxa"/>
          </w:tcPr>
          <w:p w14:paraId="55AC59BF" w14:textId="77777777" w:rsidR="00FB723C" w:rsidRDefault="00FB723C" w:rsidP="00F90C0E">
            <w:pPr>
              <w:pStyle w:val="TableTextCentred"/>
            </w:pPr>
            <w:r>
              <w:t>Purpose</w:t>
            </w:r>
          </w:p>
        </w:tc>
      </w:tr>
      <w:tr w:rsidR="008D2705" w14:paraId="4D4277C2" w14:textId="77777777" w:rsidTr="00F90C0E">
        <w:trPr>
          <w:cnfStyle w:val="000000100000" w:firstRow="0" w:lastRow="0" w:firstColumn="0" w:lastColumn="0" w:oddVBand="0" w:evenVBand="0" w:oddHBand="1" w:evenHBand="0" w:firstRowFirstColumn="0" w:firstRowLastColumn="0" w:lastRowFirstColumn="0" w:lastRowLastColumn="0"/>
        </w:trPr>
        <w:tc>
          <w:tcPr>
            <w:tcW w:w="1951" w:type="dxa"/>
          </w:tcPr>
          <w:p w14:paraId="0B3FF768" w14:textId="77777777" w:rsidR="008D2705" w:rsidRPr="008751C5" w:rsidRDefault="00F90C0E" w:rsidP="00F90C0E">
            <w:pPr>
              <w:pStyle w:val="TableTextLeft"/>
            </w:pPr>
            <w:r>
              <w:t>10</w:t>
            </w:r>
            <w:r w:rsidRPr="00F90C0E">
              <w:rPr>
                <w:vertAlign w:val="superscript"/>
              </w:rPr>
              <w:t>th</w:t>
            </w:r>
            <w:r>
              <w:t xml:space="preserve"> to </w:t>
            </w:r>
            <w:r w:rsidR="008D2705">
              <w:t>11</w:t>
            </w:r>
            <w:r w:rsidRPr="00F90C0E">
              <w:rPr>
                <w:vertAlign w:val="superscript"/>
              </w:rPr>
              <w:t>th</w:t>
            </w:r>
            <w:r>
              <w:t xml:space="preserve"> </w:t>
            </w:r>
            <w:r w:rsidR="008D2705">
              <w:t>Nov</w:t>
            </w:r>
            <w:r>
              <w:t>ember</w:t>
            </w:r>
          </w:p>
        </w:tc>
        <w:tc>
          <w:tcPr>
            <w:tcW w:w="2410" w:type="dxa"/>
          </w:tcPr>
          <w:p w14:paraId="300309CE" w14:textId="77777777" w:rsidR="008D2705" w:rsidRDefault="008D2705" w:rsidP="008D2705">
            <w:pPr>
              <w:pStyle w:val="TableTextLeft"/>
            </w:pPr>
            <w:r>
              <w:t>Mr Ignatius Ryan Pranantyo</w:t>
            </w:r>
          </w:p>
          <w:p w14:paraId="7F9BE013" w14:textId="77777777" w:rsidR="008D2705" w:rsidRPr="008751C5" w:rsidRDefault="008D2705" w:rsidP="008D2705">
            <w:pPr>
              <w:pStyle w:val="TableTextLeft"/>
            </w:pPr>
            <w:r>
              <w:t>Ms Mahardika Fadmastuti</w:t>
            </w:r>
          </w:p>
        </w:tc>
        <w:tc>
          <w:tcPr>
            <w:tcW w:w="2551" w:type="dxa"/>
          </w:tcPr>
          <w:p w14:paraId="19F03A9B" w14:textId="77777777" w:rsidR="008D2705" w:rsidRPr="008751C5" w:rsidRDefault="008D2705" w:rsidP="008D2705">
            <w:pPr>
              <w:pStyle w:val="TableTextLeft"/>
            </w:pPr>
            <w:r>
              <w:t>Bandung</w:t>
            </w:r>
          </w:p>
        </w:tc>
        <w:tc>
          <w:tcPr>
            <w:tcW w:w="2372" w:type="dxa"/>
          </w:tcPr>
          <w:p w14:paraId="30050FF8" w14:textId="77777777" w:rsidR="008D2705" w:rsidRDefault="00F90C0E" w:rsidP="008D2705">
            <w:pPr>
              <w:pStyle w:val="TableTextLeft"/>
            </w:pPr>
            <w:r>
              <w:t xml:space="preserve">InaSAFE </w:t>
            </w:r>
            <w:r w:rsidR="00121875">
              <w:t>applications</w:t>
            </w:r>
          </w:p>
        </w:tc>
      </w:tr>
      <w:tr w:rsidR="008D2705" w14:paraId="5512743C" w14:textId="77777777" w:rsidTr="00F90C0E">
        <w:trPr>
          <w:cnfStyle w:val="000000010000" w:firstRow="0" w:lastRow="0" w:firstColumn="0" w:lastColumn="0" w:oddVBand="0" w:evenVBand="0" w:oddHBand="0" w:evenHBand="1" w:firstRowFirstColumn="0" w:firstRowLastColumn="0" w:lastRowFirstColumn="0" w:lastRowLastColumn="0"/>
        </w:trPr>
        <w:tc>
          <w:tcPr>
            <w:tcW w:w="1951" w:type="dxa"/>
          </w:tcPr>
          <w:p w14:paraId="09F91F14" w14:textId="77777777" w:rsidR="008D2705" w:rsidRPr="00A05276" w:rsidRDefault="00F90C0E" w:rsidP="008D2705">
            <w:pPr>
              <w:pStyle w:val="TableTextLeft"/>
              <w:rPr>
                <w:szCs w:val="24"/>
              </w:rPr>
            </w:pPr>
            <w:r>
              <w:t>17</w:t>
            </w:r>
            <w:r w:rsidRPr="00F90C0E">
              <w:rPr>
                <w:vertAlign w:val="superscript"/>
              </w:rPr>
              <w:t>th</w:t>
            </w:r>
            <w:r>
              <w:t xml:space="preserve"> to </w:t>
            </w:r>
            <w:r w:rsidR="008D2705">
              <w:t>20</w:t>
            </w:r>
            <w:r w:rsidRPr="00F90C0E">
              <w:rPr>
                <w:vertAlign w:val="superscript"/>
              </w:rPr>
              <w:t>th</w:t>
            </w:r>
            <w:r>
              <w:t xml:space="preserve"> </w:t>
            </w:r>
            <w:r w:rsidR="008D2705">
              <w:t>Nov</w:t>
            </w:r>
            <w:r>
              <w:t>ember</w:t>
            </w:r>
          </w:p>
        </w:tc>
        <w:tc>
          <w:tcPr>
            <w:tcW w:w="2410" w:type="dxa"/>
          </w:tcPr>
          <w:p w14:paraId="3529EE53" w14:textId="77777777" w:rsidR="008D2705" w:rsidRDefault="008D2705" w:rsidP="008D2705">
            <w:pPr>
              <w:pStyle w:val="TableTextLeft"/>
              <w:rPr>
                <w:szCs w:val="24"/>
              </w:rPr>
            </w:pPr>
            <w:r w:rsidRPr="008751C5">
              <w:t>Mr Fredy Chandra</w:t>
            </w:r>
          </w:p>
        </w:tc>
        <w:tc>
          <w:tcPr>
            <w:tcW w:w="2551" w:type="dxa"/>
          </w:tcPr>
          <w:p w14:paraId="24A8B880" w14:textId="77777777" w:rsidR="008D2705" w:rsidRPr="0067234E" w:rsidRDefault="008D2705" w:rsidP="008D2705">
            <w:pPr>
              <w:pStyle w:val="TableTextLeft"/>
              <w:rPr>
                <w:szCs w:val="24"/>
              </w:rPr>
            </w:pPr>
            <w:r w:rsidRPr="008751C5">
              <w:t>Surabaya</w:t>
            </w:r>
          </w:p>
        </w:tc>
        <w:tc>
          <w:tcPr>
            <w:tcW w:w="2372" w:type="dxa"/>
          </w:tcPr>
          <w:p w14:paraId="77BAD1E0" w14:textId="77777777" w:rsidR="008D2705" w:rsidRDefault="00121875" w:rsidP="00121875">
            <w:pPr>
              <w:pStyle w:val="TableTextLeft"/>
            </w:pPr>
            <w:r>
              <w:t>Risk assessment workshop</w:t>
            </w:r>
          </w:p>
        </w:tc>
      </w:tr>
    </w:tbl>
    <w:p w14:paraId="4002175C" w14:textId="77777777" w:rsidR="005972FC" w:rsidRPr="007D582F" w:rsidRDefault="005972FC" w:rsidP="007D582F">
      <w:pPr>
        <w:pStyle w:val="BodyText"/>
        <w:rPr>
          <w:b/>
        </w:rPr>
      </w:pPr>
      <w:r w:rsidRPr="007D582F">
        <w:rPr>
          <w:b/>
        </w:rPr>
        <w:t>2015</w:t>
      </w:r>
    </w:p>
    <w:tbl>
      <w:tblPr>
        <w:tblStyle w:val="TableGAHeaderRow"/>
        <w:tblW w:w="9284" w:type="dxa"/>
        <w:tblLook w:val="04A0" w:firstRow="1" w:lastRow="0" w:firstColumn="1" w:lastColumn="0" w:noHBand="0" w:noVBand="1"/>
      </w:tblPr>
      <w:tblGrid>
        <w:gridCol w:w="1951"/>
        <w:gridCol w:w="2410"/>
        <w:gridCol w:w="2551"/>
        <w:gridCol w:w="2372"/>
      </w:tblGrid>
      <w:tr w:rsidR="00FB723C" w14:paraId="2394525E" w14:textId="77777777" w:rsidTr="00F90C0E">
        <w:trPr>
          <w:cnfStyle w:val="100000000000" w:firstRow="1" w:lastRow="0" w:firstColumn="0" w:lastColumn="0" w:oddVBand="0" w:evenVBand="0" w:oddHBand="0" w:evenHBand="0" w:firstRowFirstColumn="0" w:firstRowLastColumn="0" w:lastRowFirstColumn="0" w:lastRowLastColumn="0"/>
        </w:trPr>
        <w:tc>
          <w:tcPr>
            <w:tcW w:w="1951" w:type="dxa"/>
          </w:tcPr>
          <w:p w14:paraId="2B46FE0A" w14:textId="77777777" w:rsidR="00FB723C" w:rsidRDefault="00FB723C" w:rsidP="00F90C0E">
            <w:pPr>
              <w:pStyle w:val="TableTextCentred"/>
            </w:pPr>
            <w:r>
              <w:t>Dates</w:t>
            </w:r>
          </w:p>
        </w:tc>
        <w:tc>
          <w:tcPr>
            <w:tcW w:w="2410" w:type="dxa"/>
          </w:tcPr>
          <w:p w14:paraId="5D8C8266" w14:textId="77777777" w:rsidR="00FB723C" w:rsidRDefault="00FB723C" w:rsidP="00F90C0E">
            <w:pPr>
              <w:pStyle w:val="TableTextCentred"/>
            </w:pPr>
            <w:r>
              <w:t>Officers</w:t>
            </w:r>
          </w:p>
        </w:tc>
        <w:tc>
          <w:tcPr>
            <w:tcW w:w="2551" w:type="dxa"/>
          </w:tcPr>
          <w:p w14:paraId="727368CE" w14:textId="77777777" w:rsidR="00FB723C" w:rsidRDefault="00FB723C" w:rsidP="00F90C0E">
            <w:pPr>
              <w:pStyle w:val="TableTextCentred"/>
            </w:pPr>
            <w:r>
              <w:t>Locations</w:t>
            </w:r>
          </w:p>
        </w:tc>
        <w:tc>
          <w:tcPr>
            <w:tcW w:w="2372" w:type="dxa"/>
          </w:tcPr>
          <w:p w14:paraId="50889A4D" w14:textId="77777777" w:rsidR="00FB723C" w:rsidRDefault="00FB723C" w:rsidP="00F90C0E">
            <w:pPr>
              <w:pStyle w:val="TableTextCentred"/>
            </w:pPr>
            <w:r>
              <w:t>Purpose</w:t>
            </w:r>
          </w:p>
        </w:tc>
      </w:tr>
      <w:tr w:rsidR="00121875" w14:paraId="625DE274" w14:textId="77777777" w:rsidTr="00F90C0E">
        <w:trPr>
          <w:cnfStyle w:val="000000100000" w:firstRow="0" w:lastRow="0" w:firstColumn="0" w:lastColumn="0" w:oddVBand="0" w:evenVBand="0" w:oddHBand="1" w:evenHBand="0" w:firstRowFirstColumn="0" w:firstRowLastColumn="0" w:lastRowFirstColumn="0" w:lastRowLastColumn="0"/>
        </w:trPr>
        <w:tc>
          <w:tcPr>
            <w:tcW w:w="1951" w:type="dxa"/>
          </w:tcPr>
          <w:p w14:paraId="0C28A430" w14:textId="77777777" w:rsidR="00121875" w:rsidRDefault="00121875" w:rsidP="00121875">
            <w:pPr>
              <w:pStyle w:val="TableTextLeft"/>
            </w:pPr>
            <w:r>
              <w:t>19</w:t>
            </w:r>
            <w:r w:rsidRPr="00121875">
              <w:rPr>
                <w:vertAlign w:val="superscript"/>
              </w:rPr>
              <w:t>th</w:t>
            </w:r>
            <w:r>
              <w:t xml:space="preserve"> to 23</w:t>
            </w:r>
            <w:r w:rsidRPr="00121875">
              <w:rPr>
                <w:vertAlign w:val="superscript"/>
              </w:rPr>
              <w:t>rd</w:t>
            </w:r>
            <w:r>
              <w:t xml:space="preserve"> January</w:t>
            </w:r>
          </w:p>
        </w:tc>
        <w:tc>
          <w:tcPr>
            <w:tcW w:w="2410" w:type="dxa"/>
          </w:tcPr>
          <w:p w14:paraId="0E2F7638" w14:textId="77777777" w:rsidR="00121875" w:rsidRDefault="00121875" w:rsidP="00121875">
            <w:pPr>
              <w:pStyle w:val="TableTextLeft"/>
            </w:pPr>
            <w:r>
              <w:t>Mr Fredy Chandra</w:t>
            </w:r>
          </w:p>
          <w:p w14:paraId="4DD6FF56" w14:textId="77777777" w:rsidR="00121875" w:rsidRPr="008751C5" w:rsidRDefault="00121875" w:rsidP="00121875">
            <w:pPr>
              <w:pStyle w:val="TableTextLeft"/>
            </w:pPr>
            <w:r>
              <w:t>Dr Charlotte Morgan</w:t>
            </w:r>
          </w:p>
        </w:tc>
        <w:tc>
          <w:tcPr>
            <w:tcW w:w="2551" w:type="dxa"/>
          </w:tcPr>
          <w:p w14:paraId="4C0E5A89" w14:textId="77777777" w:rsidR="00121875" w:rsidRPr="008751C5" w:rsidRDefault="00121875" w:rsidP="00121875">
            <w:pPr>
              <w:pStyle w:val="TableTextLeft"/>
            </w:pPr>
            <w:r>
              <w:t>Sampang &amp; Situbondo, East Java</w:t>
            </w:r>
          </w:p>
        </w:tc>
        <w:tc>
          <w:tcPr>
            <w:tcW w:w="2372" w:type="dxa"/>
          </w:tcPr>
          <w:p w14:paraId="5DB420DF" w14:textId="77777777" w:rsidR="00121875" w:rsidRDefault="00121875" w:rsidP="00121875">
            <w:pPr>
              <w:pStyle w:val="TableTextLeft"/>
            </w:pPr>
            <w:r>
              <w:t>Exposure data development</w:t>
            </w:r>
          </w:p>
        </w:tc>
      </w:tr>
      <w:tr w:rsidR="00121875" w14:paraId="5A4D9BC0" w14:textId="77777777" w:rsidTr="00F90C0E">
        <w:trPr>
          <w:cnfStyle w:val="000000010000" w:firstRow="0" w:lastRow="0" w:firstColumn="0" w:lastColumn="0" w:oddVBand="0" w:evenVBand="0" w:oddHBand="0" w:evenHBand="1" w:firstRowFirstColumn="0" w:firstRowLastColumn="0" w:lastRowFirstColumn="0" w:lastRowLastColumn="0"/>
        </w:trPr>
        <w:tc>
          <w:tcPr>
            <w:tcW w:w="1951" w:type="dxa"/>
          </w:tcPr>
          <w:p w14:paraId="46C55501" w14:textId="77777777" w:rsidR="00121875" w:rsidRPr="00A05276" w:rsidRDefault="00121875" w:rsidP="008D2705">
            <w:pPr>
              <w:pStyle w:val="TableTextLeft"/>
            </w:pPr>
            <w:r>
              <w:t>1</w:t>
            </w:r>
            <w:r w:rsidRPr="00F90C0E">
              <w:rPr>
                <w:vertAlign w:val="superscript"/>
              </w:rPr>
              <w:t>st</w:t>
            </w:r>
            <w:r>
              <w:t xml:space="preserve"> to </w:t>
            </w:r>
            <w:r w:rsidRPr="00A05276">
              <w:t>4</w:t>
            </w:r>
            <w:r w:rsidRPr="00F90C0E">
              <w:rPr>
                <w:vertAlign w:val="superscript"/>
              </w:rPr>
              <w:t>th</w:t>
            </w:r>
            <w:r>
              <w:t xml:space="preserve"> </w:t>
            </w:r>
            <w:r w:rsidRPr="00A05276">
              <w:t>Feb</w:t>
            </w:r>
            <w:r>
              <w:t>ruary</w:t>
            </w:r>
          </w:p>
        </w:tc>
        <w:tc>
          <w:tcPr>
            <w:tcW w:w="2410" w:type="dxa"/>
          </w:tcPr>
          <w:p w14:paraId="1B5AF18A" w14:textId="77777777" w:rsidR="00121875" w:rsidRDefault="00121875" w:rsidP="008D2705">
            <w:pPr>
              <w:pStyle w:val="TableTextLeft"/>
            </w:pPr>
            <w:r>
              <w:t>Ms Tini Astuti</w:t>
            </w:r>
          </w:p>
          <w:p w14:paraId="0AF0FD5F" w14:textId="77777777" w:rsidR="00121875" w:rsidRDefault="00121875" w:rsidP="008D2705">
            <w:pPr>
              <w:pStyle w:val="TableTextLeft"/>
            </w:pPr>
            <w:r>
              <w:t>Mr Henry Pirade</w:t>
            </w:r>
          </w:p>
          <w:p w14:paraId="5A34EEDE" w14:textId="77777777" w:rsidR="00121875" w:rsidRPr="00FF283D" w:rsidRDefault="00121875" w:rsidP="008D2705">
            <w:pPr>
              <w:pStyle w:val="TableTextLeft"/>
            </w:pPr>
            <w:r>
              <w:t>Dr David Robinson</w:t>
            </w:r>
          </w:p>
        </w:tc>
        <w:tc>
          <w:tcPr>
            <w:tcW w:w="2551" w:type="dxa"/>
          </w:tcPr>
          <w:p w14:paraId="3BBC8DD2" w14:textId="77777777" w:rsidR="00121875" w:rsidRPr="00FF283D" w:rsidRDefault="00121875" w:rsidP="008D2705">
            <w:pPr>
              <w:pStyle w:val="TableTextLeft"/>
            </w:pPr>
            <w:r w:rsidRPr="0067234E">
              <w:t>Lembata and Larantuka, East Nusa Tenggara (NTT)</w:t>
            </w:r>
          </w:p>
        </w:tc>
        <w:tc>
          <w:tcPr>
            <w:tcW w:w="2372" w:type="dxa"/>
          </w:tcPr>
          <w:p w14:paraId="4B997C97" w14:textId="77777777" w:rsidR="00121875" w:rsidRDefault="00121875" w:rsidP="008D2705">
            <w:pPr>
              <w:pStyle w:val="TableTextLeft"/>
            </w:pPr>
            <w:r>
              <w:t>Local level DRM preparations</w:t>
            </w:r>
          </w:p>
        </w:tc>
      </w:tr>
      <w:tr w:rsidR="00121875" w14:paraId="7E9FF669" w14:textId="77777777" w:rsidTr="00F90C0E">
        <w:trPr>
          <w:cnfStyle w:val="000000100000" w:firstRow="0" w:lastRow="0" w:firstColumn="0" w:lastColumn="0" w:oddVBand="0" w:evenVBand="0" w:oddHBand="1" w:evenHBand="0" w:firstRowFirstColumn="0" w:firstRowLastColumn="0" w:lastRowFirstColumn="0" w:lastRowLastColumn="0"/>
        </w:trPr>
        <w:tc>
          <w:tcPr>
            <w:tcW w:w="1951" w:type="dxa"/>
          </w:tcPr>
          <w:p w14:paraId="6E5CE7FE" w14:textId="77777777" w:rsidR="00121875" w:rsidRPr="00FF283D" w:rsidRDefault="00121875" w:rsidP="008D2705">
            <w:pPr>
              <w:pStyle w:val="TableTextLeft"/>
            </w:pPr>
            <w:r>
              <w:t>14</w:t>
            </w:r>
            <w:r w:rsidRPr="00F90C0E">
              <w:rPr>
                <w:vertAlign w:val="superscript"/>
              </w:rPr>
              <w:t>th</w:t>
            </w:r>
            <w:r>
              <w:t xml:space="preserve"> to 18</w:t>
            </w:r>
            <w:r w:rsidRPr="00F90C0E">
              <w:rPr>
                <w:vertAlign w:val="superscript"/>
              </w:rPr>
              <w:t>th</w:t>
            </w:r>
            <w:r>
              <w:t xml:space="preserve"> March</w:t>
            </w:r>
          </w:p>
        </w:tc>
        <w:tc>
          <w:tcPr>
            <w:tcW w:w="2410" w:type="dxa"/>
          </w:tcPr>
          <w:p w14:paraId="7D3CF3E8" w14:textId="77777777" w:rsidR="00121875" w:rsidRDefault="00121875" w:rsidP="008D2705">
            <w:pPr>
              <w:pStyle w:val="TableTextLeft"/>
            </w:pPr>
            <w:r>
              <w:t>Dr David Robinson</w:t>
            </w:r>
          </w:p>
          <w:p w14:paraId="2665F635" w14:textId="77777777" w:rsidR="00121875" w:rsidRDefault="00121875" w:rsidP="008D2705">
            <w:pPr>
              <w:pStyle w:val="TableTextLeft"/>
            </w:pPr>
            <w:r>
              <w:t>Mr Henry Pirade</w:t>
            </w:r>
          </w:p>
          <w:p w14:paraId="30A30A86" w14:textId="77777777" w:rsidR="00121875" w:rsidRPr="00FF283D" w:rsidRDefault="00121875" w:rsidP="008D2705">
            <w:pPr>
              <w:pStyle w:val="TableTextLeft"/>
            </w:pPr>
            <w:r>
              <w:t>Mr Fredy Chandra</w:t>
            </w:r>
          </w:p>
        </w:tc>
        <w:tc>
          <w:tcPr>
            <w:tcW w:w="2551" w:type="dxa"/>
          </w:tcPr>
          <w:p w14:paraId="79D78427" w14:textId="77777777" w:rsidR="00121875" w:rsidRPr="00FF283D" w:rsidRDefault="00121875" w:rsidP="008D2705">
            <w:pPr>
              <w:pStyle w:val="TableTextLeft"/>
            </w:pPr>
            <w:r>
              <w:t>Sendai, Japan</w:t>
            </w:r>
          </w:p>
        </w:tc>
        <w:tc>
          <w:tcPr>
            <w:tcW w:w="2372" w:type="dxa"/>
          </w:tcPr>
          <w:p w14:paraId="5BF5C553" w14:textId="7966170E" w:rsidR="00121875" w:rsidRDefault="00121875" w:rsidP="008D2705">
            <w:pPr>
              <w:pStyle w:val="TableTextLeft"/>
            </w:pPr>
            <w:r w:rsidRPr="00121875">
              <w:t>W</w:t>
            </w:r>
            <w:r>
              <w:t xml:space="preserve">orld </w:t>
            </w:r>
            <w:r w:rsidRPr="00121875">
              <w:t>C</w:t>
            </w:r>
            <w:r>
              <w:t xml:space="preserve">onference on DRR - </w:t>
            </w:r>
            <w:r w:rsidRPr="00121875">
              <w:t>Sendai</w:t>
            </w:r>
            <w:r>
              <w:t>,</w:t>
            </w:r>
            <w:r w:rsidRPr="00121875">
              <w:t xml:space="preserve"> Japan</w:t>
            </w:r>
          </w:p>
        </w:tc>
      </w:tr>
      <w:tr w:rsidR="00121875" w14:paraId="10FE8396" w14:textId="77777777" w:rsidTr="00F90C0E">
        <w:trPr>
          <w:cnfStyle w:val="000000010000" w:firstRow="0" w:lastRow="0" w:firstColumn="0" w:lastColumn="0" w:oddVBand="0" w:evenVBand="0" w:oddHBand="0" w:evenHBand="1" w:firstRowFirstColumn="0" w:firstRowLastColumn="0" w:lastRowFirstColumn="0" w:lastRowLastColumn="0"/>
        </w:trPr>
        <w:tc>
          <w:tcPr>
            <w:tcW w:w="1951" w:type="dxa"/>
          </w:tcPr>
          <w:p w14:paraId="59BD249C" w14:textId="77777777" w:rsidR="00121875" w:rsidRPr="000C2BB4" w:rsidRDefault="00121875" w:rsidP="008D2705">
            <w:pPr>
              <w:pStyle w:val="TableTextLeft"/>
            </w:pPr>
            <w:r>
              <w:t>11</w:t>
            </w:r>
            <w:r w:rsidRPr="00F90C0E">
              <w:rPr>
                <w:vertAlign w:val="superscript"/>
              </w:rPr>
              <w:t>th</w:t>
            </w:r>
            <w:r>
              <w:t xml:space="preserve"> to 16</w:t>
            </w:r>
            <w:r w:rsidRPr="00F90C0E">
              <w:rPr>
                <w:vertAlign w:val="superscript"/>
              </w:rPr>
              <w:t>th</w:t>
            </w:r>
            <w:r>
              <w:t xml:space="preserve"> May</w:t>
            </w:r>
          </w:p>
        </w:tc>
        <w:tc>
          <w:tcPr>
            <w:tcW w:w="2410" w:type="dxa"/>
          </w:tcPr>
          <w:p w14:paraId="48326849" w14:textId="77777777" w:rsidR="00121875" w:rsidRDefault="00121875" w:rsidP="008D2705">
            <w:pPr>
              <w:pStyle w:val="TableTextLeft"/>
            </w:pPr>
            <w:r>
              <w:t>Mr Fredy Chandra</w:t>
            </w:r>
          </w:p>
          <w:p w14:paraId="50D79CC6" w14:textId="77777777" w:rsidR="00121875" w:rsidRPr="00FF283D" w:rsidRDefault="00121875" w:rsidP="008D2705">
            <w:pPr>
              <w:pStyle w:val="TableTextLeft"/>
            </w:pPr>
            <w:r>
              <w:t>Mr Adi Kurniawan</w:t>
            </w:r>
          </w:p>
        </w:tc>
        <w:tc>
          <w:tcPr>
            <w:tcW w:w="2551" w:type="dxa"/>
          </w:tcPr>
          <w:p w14:paraId="7AA6331D" w14:textId="77777777" w:rsidR="00121875" w:rsidRPr="00FF283D" w:rsidRDefault="00121875" w:rsidP="008D2705">
            <w:pPr>
              <w:pStyle w:val="TableTextLeft"/>
            </w:pPr>
            <w:r>
              <w:t>Timor Tengah Utara, NTT</w:t>
            </w:r>
          </w:p>
        </w:tc>
        <w:tc>
          <w:tcPr>
            <w:tcW w:w="2372" w:type="dxa"/>
          </w:tcPr>
          <w:p w14:paraId="5503E1E9" w14:textId="77777777" w:rsidR="00121875" w:rsidRDefault="00121875" w:rsidP="009B5BBF">
            <w:pPr>
              <w:pStyle w:val="TableTextLeft"/>
            </w:pPr>
            <w:r>
              <w:t>Risk assessment workshop</w:t>
            </w:r>
          </w:p>
        </w:tc>
      </w:tr>
      <w:tr w:rsidR="00121875" w14:paraId="6988362E" w14:textId="77777777" w:rsidTr="00F90C0E">
        <w:trPr>
          <w:cnfStyle w:val="000000100000" w:firstRow="0" w:lastRow="0" w:firstColumn="0" w:lastColumn="0" w:oddVBand="0" w:evenVBand="0" w:oddHBand="1" w:evenHBand="0" w:firstRowFirstColumn="0" w:firstRowLastColumn="0" w:lastRowFirstColumn="0" w:lastRowLastColumn="0"/>
        </w:trPr>
        <w:tc>
          <w:tcPr>
            <w:tcW w:w="1951" w:type="dxa"/>
          </w:tcPr>
          <w:p w14:paraId="0F0AC01A" w14:textId="77777777" w:rsidR="00121875" w:rsidRPr="000C2BB4" w:rsidRDefault="00121875" w:rsidP="008D2705">
            <w:pPr>
              <w:pStyle w:val="TableTextLeft"/>
            </w:pPr>
            <w:r>
              <w:t>25</w:t>
            </w:r>
            <w:r w:rsidRPr="00F90C0E">
              <w:rPr>
                <w:vertAlign w:val="superscript"/>
              </w:rPr>
              <w:t>th</w:t>
            </w:r>
            <w:r>
              <w:t xml:space="preserve"> to 29</w:t>
            </w:r>
            <w:r w:rsidRPr="00F90C0E">
              <w:rPr>
                <w:vertAlign w:val="superscript"/>
              </w:rPr>
              <w:t>th</w:t>
            </w:r>
            <w:r>
              <w:t xml:space="preserve"> May</w:t>
            </w:r>
          </w:p>
        </w:tc>
        <w:tc>
          <w:tcPr>
            <w:tcW w:w="2410" w:type="dxa"/>
          </w:tcPr>
          <w:p w14:paraId="2A78582C" w14:textId="77777777" w:rsidR="00121875" w:rsidRPr="00FF283D" w:rsidRDefault="00121875" w:rsidP="008D2705">
            <w:pPr>
              <w:pStyle w:val="TableTextLeft"/>
            </w:pPr>
            <w:r>
              <w:t>Mr Fredy Chandra</w:t>
            </w:r>
          </w:p>
        </w:tc>
        <w:tc>
          <w:tcPr>
            <w:tcW w:w="2551" w:type="dxa"/>
          </w:tcPr>
          <w:p w14:paraId="65DB68B3" w14:textId="77777777" w:rsidR="00121875" w:rsidRPr="00FF283D" w:rsidRDefault="00121875" w:rsidP="008D2705">
            <w:pPr>
              <w:pStyle w:val="TableTextLeft"/>
            </w:pPr>
            <w:r>
              <w:t>Nagekeo, NTT</w:t>
            </w:r>
          </w:p>
        </w:tc>
        <w:tc>
          <w:tcPr>
            <w:tcW w:w="2372" w:type="dxa"/>
          </w:tcPr>
          <w:p w14:paraId="2D4C7744" w14:textId="77777777" w:rsidR="00121875" w:rsidRDefault="00121875" w:rsidP="009B5BBF">
            <w:pPr>
              <w:pStyle w:val="TableTextLeft"/>
            </w:pPr>
            <w:r>
              <w:t>Risk assessment workshop</w:t>
            </w:r>
          </w:p>
        </w:tc>
      </w:tr>
      <w:tr w:rsidR="00121875" w14:paraId="392CD6DE" w14:textId="77777777" w:rsidTr="00F90C0E">
        <w:trPr>
          <w:cnfStyle w:val="000000010000" w:firstRow="0" w:lastRow="0" w:firstColumn="0" w:lastColumn="0" w:oddVBand="0" w:evenVBand="0" w:oddHBand="0" w:evenHBand="1" w:firstRowFirstColumn="0" w:firstRowLastColumn="0" w:lastRowFirstColumn="0" w:lastRowLastColumn="0"/>
        </w:trPr>
        <w:tc>
          <w:tcPr>
            <w:tcW w:w="1951" w:type="dxa"/>
          </w:tcPr>
          <w:p w14:paraId="299371AE" w14:textId="77777777" w:rsidR="00121875" w:rsidRPr="00FF283D" w:rsidRDefault="00121875" w:rsidP="008D2705">
            <w:pPr>
              <w:pStyle w:val="TableTextLeft"/>
            </w:pPr>
            <w:r>
              <w:t>8</w:t>
            </w:r>
            <w:r w:rsidRPr="00F90C0E">
              <w:rPr>
                <w:vertAlign w:val="superscript"/>
              </w:rPr>
              <w:t>th</w:t>
            </w:r>
            <w:r>
              <w:t xml:space="preserve"> to 10</w:t>
            </w:r>
            <w:r w:rsidRPr="00F90C0E">
              <w:rPr>
                <w:vertAlign w:val="superscript"/>
              </w:rPr>
              <w:t>th</w:t>
            </w:r>
            <w:r>
              <w:t xml:space="preserve"> June</w:t>
            </w:r>
          </w:p>
        </w:tc>
        <w:tc>
          <w:tcPr>
            <w:tcW w:w="2410" w:type="dxa"/>
          </w:tcPr>
          <w:p w14:paraId="187CFA6D" w14:textId="77777777" w:rsidR="00121875" w:rsidRPr="00FF283D" w:rsidRDefault="00121875" w:rsidP="008D2705">
            <w:pPr>
              <w:pStyle w:val="TableTextLeft"/>
            </w:pPr>
            <w:r>
              <w:t>Mr Fredy Chandra</w:t>
            </w:r>
          </w:p>
        </w:tc>
        <w:tc>
          <w:tcPr>
            <w:tcW w:w="2551" w:type="dxa"/>
          </w:tcPr>
          <w:p w14:paraId="0D9FF5C0" w14:textId="77777777" w:rsidR="00121875" w:rsidRPr="00FF283D" w:rsidRDefault="00121875" w:rsidP="008D2705">
            <w:pPr>
              <w:pStyle w:val="TableTextLeft"/>
            </w:pPr>
            <w:r>
              <w:t>Makasar, South Sulawesi</w:t>
            </w:r>
          </w:p>
        </w:tc>
        <w:tc>
          <w:tcPr>
            <w:tcW w:w="2372" w:type="dxa"/>
          </w:tcPr>
          <w:p w14:paraId="4CA38B89" w14:textId="77777777" w:rsidR="00121875" w:rsidRDefault="00121875" w:rsidP="009B5BBF">
            <w:pPr>
              <w:pStyle w:val="TableTextLeft"/>
            </w:pPr>
            <w:r>
              <w:t>Risk assessment workshop</w:t>
            </w:r>
          </w:p>
        </w:tc>
      </w:tr>
      <w:tr w:rsidR="00121875" w14:paraId="14C2F730" w14:textId="77777777" w:rsidTr="00F90C0E">
        <w:trPr>
          <w:cnfStyle w:val="000000100000" w:firstRow="0" w:lastRow="0" w:firstColumn="0" w:lastColumn="0" w:oddVBand="0" w:evenVBand="0" w:oddHBand="1" w:evenHBand="0" w:firstRowFirstColumn="0" w:firstRowLastColumn="0" w:lastRowFirstColumn="0" w:lastRowLastColumn="0"/>
        </w:trPr>
        <w:tc>
          <w:tcPr>
            <w:tcW w:w="1951" w:type="dxa"/>
          </w:tcPr>
          <w:p w14:paraId="083BE329" w14:textId="77777777" w:rsidR="00121875" w:rsidRDefault="00121875" w:rsidP="00F90C0E">
            <w:pPr>
              <w:pStyle w:val="BodyText"/>
            </w:pPr>
            <w:r>
              <w:t>16</w:t>
            </w:r>
            <w:r w:rsidRPr="00F90C0E">
              <w:rPr>
                <w:vertAlign w:val="superscript"/>
              </w:rPr>
              <w:t>th</w:t>
            </w:r>
            <w:r>
              <w:t xml:space="preserve"> to 18</w:t>
            </w:r>
            <w:r w:rsidRPr="00F90C0E">
              <w:rPr>
                <w:vertAlign w:val="superscript"/>
              </w:rPr>
              <w:t>th</w:t>
            </w:r>
            <w:r>
              <w:t xml:space="preserve"> October</w:t>
            </w:r>
          </w:p>
        </w:tc>
        <w:tc>
          <w:tcPr>
            <w:tcW w:w="2410" w:type="dxa"/>
          </w:tcPr>
          <w:p w14:paraId="7C864D92" w14:textId="77777777" w:rsidR="00121875" w:rsidRDefault="00121875" w:rsidP="00F90C0E">
            <w:pPr>
              <w:pStyle w:val="BodyText"/>
            </w:pPr>
            <w:r>
              <w:t>Charlotte Morgan</w:t>
            </w:r>
          </w:p>
          <w:p w14:paraId="475AC44A" w14:textId="77777777" w:rsidR="00121875" w:rsidRDefault="00121875" w:rsidP="00F90C0E">
            <w:pPr>
              <w:pStyle w:val="BodyText"/>
            </w:pPr>
            <w:r>
              <w:t>Adi Kurniawan</w:t>
            </w:r>
          </w:p>
        </w:tc>
        <w:tc>
          <w:tcPr>
            <w:tcW w:w="2551" w:type="dxa"/>
          </w:tcPr>
          <w:p w14:paraId="0029143E" w14:textId="77777777" w:rsidR="00121875" w:rsidRDefault="00121875" w:rsidP="00F90C0E">
            <w:pPr>
              <w:pStyle w:val="BodyText"/>
            </w:pPr>
            <w:r>
              <w:t>Solo</w:t>
            </w:r>
          </w:p>
        </w:tc>
        <w:tc>
          <w:tcPr>
            <w:tcW w:w="2372" w:type="dxa"/>
          </w:tcPr>
          <w:p w14:paraId="42FA3B55" w14:textId="77777777" w:rsidR="00121875" w:rsidRDefault="00121875" w:rsidP="00F90C0E">
            <w:pPr>
              <w:pStyle w:val="BodyText"/>
            </w:pPr>
            <w:r>
              <w:t>DRR month in Solo</w:t>
            </w:r>
          </w:p>
        </w:tc>
      </w:tr>
      <w:tr w:rsidR="00121875" w14:paraId="0453F317" w14:textId="77777777" w:rsidTr="00F90C0E">
        <w:trPr>
          <w:cnfStyle w:val="000000010000" w:firstRow="0" w:lastRow="0" w:firstColumn="0" w:lastColumn="0" w:oddVBand="0" w:evenVBand="0" w:oddHBand="0" w:evenHBand="1" w:firstRowFirstColumn="0" w:firstRowLastColumn="0" w:lastRowFirstColumn="0" w:lastRowLastColumn="0"/>
        </w:trPr>
        <w:tc>
          <w:tcPr>
            <w:tcW w:w="1951" w:type="dxa"/>
          </w:tcPr>
          <w:p w14:paraId="16919CFE" w14:textId="77777777" w:rsidR="00121875" w:rsidRDefault="00121875" w:rsidP="00F90C0E">
            <w:pPr>
              <w:pStyle w:val="BodyText"/>
            </w:pPr>
            <w:r>
              <w:t>25</w:t>
            </w:r>
            <w:r w:rsidRPr="00F90C0E">
              <w:rPr>
                <w:vertAlign w:val="superscript"/>
              </w:rPr>
              <w:t>th</w:t>
            </w:r>
            <w:r>
              <w:t xml:space="preserve"> to 26</w:t>
            </w:r>
            <w:r w:rsidRPr="00F90C0E">
              <w:rPr>
                <w:vertAlign w:val="superscript"/>
              </w:rPr>
              <w:t>th</w:t>
            </w:r>
            <w:r>
              <w:t xml:space="preserve"> November</w:t>
            </w:r>
          </w:p>
        </w:tc>
        <w:tc>
          <w:tcPr>
            <w:tcW w:w="2410" w:type="dxa"/>
          </w:tcPr>
          <w:p w14:paraId="6B408AB9" w14:textId="77777777" w:rsidR="00121875" w:rsidRDefault="00121875" w:rsidP="00F90C0E">
            <w:pPr>
              <w:pStyle w:val="BodyText"/>
            </w:pPr>
            <w:r>
              <w:t>Adi Kuriawan</w:t>
            </w:r>
          </w:p>
        </w:tc>
        <w:tc>
          <w:tcPr>
            <w:tcW w:w="2551" w:type="dxa"/>
          </w:tcPr>
          <w:p w14:paraId="2616BBDE" w14:textId="77777777" w:rsidR="00121875" w:rsidRDefault="00121875" w:rsidP="00F90C0E">
            <w:pPr>
              <w:pStyle w:val="BodyText"/>
            </w:pPr>
            <w:r>
              <w:t>Yogyakarta</w:t>
            </w:r>
          </w:p>
        </w:tc>
        <w:tc>
          <w:tcPr>
            <w:tcW w:w="2372" w:type="dxa"/>
          </w:tcPr>
          <w:p w14:paraId="5131F369" w14:textId="225E4E89" w:rsidR="00121875" w:rsidRDefault="00121875" w:rsidP="00F90C0E">
            <w:pPr>
              <w:pStyle w:val="BodyText"/>
            </w:pPr>
            <w:r>
              <w:t xml:space="preserve">Symposium </w:t>
            </w:r>
            <w:r w:rsidR="005C567A">
              <w:t>National</w:t>
            </w:r>
            <w:r>
              <w:t xml:space="preserve"> Science Geoinformation</w:t>
            </w:r>
          </w:p>
        </w:tc>
      </w:tr>
      <w:tr w:rsidR="00121875" w14:paraId="53E62D44" w14:textId="77777777" w:rsidTr="00F90C0E">
        <w:trPr>
          <w:cnfStyle w:val="000000100000" w:firstRow="0" w:lastRow="0" w:firstColumn="0" w:lastColumn="0" w:oddVBand="0" w:evenVBand="0" w:oddHBand="1" w:evenHBand="0" w:firstRowFirstColumn="0" w:firstRowLastColumn="0" w:lastRowFirstColumn="0" w:lastRowLastColumn="0"/>
        </w:trPr>
        <w:tc>
          <w:tcPr>
            <w:tcW w:w="1951" w:type="dxa"/>
          </w:tcPr>
          <w:p w14:paraId="23A17B12" w14:textId="77777777" w:rsidR="00121875" w:rsidRDefault="00121875" w:rsidP="00F90C0E">
            <w:pPr>
              <w:pStyle w:val="BodyText"/>
            </w:pPr>
            <w:r>
              <w:t>16</w:t>
            </w:r>
            <w:r w:rsidRPr="00F90C0E">
              <w:rPr>
                <w:vertAlign w:val="superscript"/>
              </w:rPr>
              <w:t>th</w:t>
            </w:r>
            <w:r>
              <w:t xml:space="preserve"> to 18</w:t>
            </w:r>
            <w:r w:rsidRPr="00F90C0E">
              <w:rPr>
                <w:vertAlign w:val="superscript"/>
              </w:rPr>
              <w:t>th</w:t>
            </w:r>
            <w:r>
              <w:t xml:space="preserve"> December</w:t>
            </w:r>
          </w:p>
        </w:tc>
        <w:tc>
          <w:tcPr>
            <w:tcW w:w="2410" w:type="dxa"/>
          </w:tcPr>
          <w:p w14:paraId="04FB207C" w14:textId="77777777" w:rsidR="00121875" w:rsidRDefault="00121875" w:rsidP="00F90C0E">
            <w:pPr>
              <w:pStyle w:val="BodyText"/>
            </w:pPr>
            <w:r>
              <w:t>Fredy Chandra</w:t>
            </w:r>
          </w:p>
          <w:p w14:paraId="3119D857" w14:textId="77777777" w:rsidR="00121875" w:rsidRDefault="00121875" w:rsidP="00F90C0E">
            <w:pPr>
              <w:pStyle w:val="BodyText"/>
            </w:pPr>
            <w:r>
              <w:t>Adi Kurniawan</w:t>
            </w:r>
          </w:p>
          <w:p w14:paraId="478D4A49" w14:textId="77777777" w:rsidR="00121875" w:rsidRDefault="00121875" w:rsidP="00F90C0E">
            <w:pPr>
              <w:pStyle w:val="BodyText"/>
            </w:pPr>
            <w:r>
              <w:t>Aditya (HOT)</w:t>
            </w:r>
          </w:p>
          <w:p w14:paraId="1267B3B4" w14:textId="77777777" w:rsidR="00121875" w:rsidRDefault="00121875" w:rsidP="00F90C0E">
            <w:pPr>
              <w:pStyle w:val="BodyText"/>
            </w:pPr>
            <w:r>
              <w:t>Harry Mahardika (HOT)</w:t>
            </w:r>
          </w:p>
        </w:tc>
        <w:tc>
          <w:tcPr>
            <w:tcW w:w="2551" w:type="dxa"/>
          </w:tcPr>
          <w:p w14:paraId="2F65CA6C" w14:textId="77777777" w:rsidR="00121875" w:rsidRDefault="00121875" w:rsidP="00F90C0E">
            <w:pPr>
              <w:pStyle w:val="BodyText"/>
            </w:pPr>
            <w:r>
              <w:t>Sentul</w:t>
            </w:r>
          </w:p>
        </w:tc>
        <w:tc>
          <w:tcPr>
            <w:tcW w:w="2372" w:type="dxa"/>
          </w:tcPr>
          <w:p w14:paraId="6F135664" w14:textId="77777777" w:rsidR="00121875" w:rsidRDefault="00121875" w:rsidP="00F90C0E">
            <w:pPr>
              <w:pStyle w:val="BodyText"/>
            </w:pPr>
            <w:r>
              <w:t>InaSAFE development</w:t>
            </w:r>
          </w:p>
        </w:tc>
      </w:tr>
    </w:tbl>
    <w:p w14:paraId="40637C1E" w14:textId="77777777" w:rsidR="0008475E" w:rsidRPr="007D582F" w:rsidRDefault="0008475E" w:rsidP="007D582F">
      <w:pPr>
        <w:pStyle w:val="BodyText"/>
        <w:rPr>
          <w:b/>
        </w:rPr>
      </w:pPr>
      <w:r w:rsidRPr="007D582F">
        <w:rPr>
          <w:b/>
        </w:rPr>
        <w:t>201</w:t>
      </w:r>
      <w:bookmarkEnd w:id="40"/>
      <w:r w:rsidRPr="007D582F">
        <w:rPr>
          <w:b/>
        </w:rPr>
        <w:t>6</w:t>
      </w:r>
    </w:p>
    <w:tbl>
      <w:tblPr>
        <w:tblStyle w:val="TableGAHeaderRow"/>
        <w:tblW w:w="9284" w:type="dxa"/>
        <w:tblLook w:val="04A0" w:firstRow="1" w:lastRow="0" w:firstColumn="1" w:lastColumn="0" w:noHBand="0" w:noVBand="1"/>
      </w:tblPr>
      <w:tblGrid>
        <w:gridCol w:w="1985"/>
        <w:gridCol w:w="2693"/>
        <w:gridCol w:w="1559"/>
        <w:gridCol w:w="3047"/>
      </w:tblGrid>
      <w:tr w:rsidR="00E97E75" w14:paraId="2CF8EA01" w14:textId="77777777" w:rsidTr="00D32CB9">
        <w:trPr>
          <w:cnfStyle w:val="100000000000" w:firstRow="1" w:lastRow="0" w:firstColumn="0" w:lastColumn="0" w:oddVBand="0" w:evenVBand="0" w:oddHBand="0" w:evenHBand="0" w:firstRowFirstColumn="0" w:firstRowLastColumn="0" w:lastRowFirstColumn="0" w:lastRowLastColumn="0"/>
        </w:trPr>
        <w:tc>
          <w:tcPr>
            <w:tcW w:w="1985" w:type="dxa"/>
          </w:tcPr>
          <w:p w14:paraId="439D72C0" w14:textId="77777777" w:rsidR="00E97E75" w:rsidRDefault="00E97E75" w:rsidP="00E97E75">
            <w:pPr>
              <w:pStyle w:val="TableTextCentred"/>
            </w:pPr>
            <w:r>
              <w:t>Dates</w:t>
            </w:r>
          </w:p>
        </w:tc>
        <w:tc>
          <w:tcPr>
            <w:tcW w:w="2693" w:type="dxa"/>
          </w:tcPr>
          <w:p w14:paraId="0A480027" w14:textId="77777777" w:rsidR="00E97E75" w:rsidRDefault="00E97E75" w:rsidP="00E97E75">
            <w:pPr>
              <w:pStyle w:val="TableTextCentred"/>
            </w:pPr>
            <w:r>
              <w:t>Officers</w:t>
            </w:r>
          </w:p>
        </w:tc>
        <w:tc>
          <w:tcPr>
            <w:tcW w:w="1559" w:type="dxa"/>
          </w:tcPr>
          <w:p w14:paraId="073A87D3" w14:textId="77777777" w:rsidR="00E97E75" w:rsidRDefault="00E97E75" w:rsidP="00E97E75">
            <w:pPr>
              <w:pStyle w:val="TableTextCentred"/>
            </w:pPr>
            <w:r>
              <w:t>Locations</w:t>
            </w:r>
          </w:p>
        </w:tc>
        <w:tc>
          <w:tcPr>
            <w:tcW w:w="3047" w:type="dxa"/>
          </w:tcPr>
          <w:p w14:paraId="6B797135" w14:textId="77777777" w:rsidR="00E97E75" w:rsidRDefault="00E97E75" w:rsidP="00E97E75">
            <w:pPr>
              <w:pStyle w:val="TableTextCentred"/>
            </w:pPr>
            <w:r>
              <w:t>Purpose</w:t>
            </w:r>
          </w:p>
        </w:tc>
      </w:tr>
      <w:tr w:rsidR="00E97E75" w14:paraId="5B21D113" w14:textId="77777777" w:rsidTr="00D32CB9">
        <w:trPr>
          <w:cnfStyle w:val="000000100000" w:firstRow="0" w:lastRow="0" w:firstColumn="0" w:lastColumn="0" w:oddVBand="0" w:evenVBand="0" w:oddHBand="1" w:evenHBand="0" w:firstRowFirstColumn="0" w:firstRowLastColumn="0" w:lastRowFirstColumn="0" w:lastRowLastColumn="0"/>
        </w:trPr>
        <w:tc>
          <w:tcPr>
            <w:tcW w:w="1985" w:type="dxa"/>
          </w:tcPr>
          <w:p w14:paraId="6435E3A1" w14:textId="77777777" w:rsidR="00E97E75" w:rsidRDefault="00AB66BC" w:rsidP="00E97E75">
            <w:pPr>
              <w:pStyle w:val="TableTextLeft"/>
            </w:pPr>
            <w:r>
              <w:t>11</w:t>
            </w:r>
            <w:r w:rsidRPr="00AB66BC">
              <w:rPr>
                <w:vertAlign w:val="superscript"/>
              </w:rPr>
              <w:t>th</w:t>
            </w:r>
            <w:r>
              <w:t xml:space="preserve"> </w:t>
            </w:r>
            <w:r w:rsidR="00E97E75">
              <w:t>to</w:t>
            </w:r>
            <w:r>
              <w:t xml:space="preserve"> 12</w:t>
            </w:r>
            <w:r w:rsidRPr="00AB66BC">
              <w:rPr>
                <w:vertAlign w:val="superscript"/>
              </w:rPr>
              <w:t>th</w:t>
            </w:r>
            <w:r>
              <w:t xml:space="preserve"> February</w:t>
            </w:r>
          </w:p>
        </w:tc>
        <w:tc>
          <w:tcPr>
            <w:tcW w:w="2693" w:type="dxa"/>
          </w:tcPr>
          <w:p w14:paraId="026A8B55" w14:textId="77777777" w:rsidR="00E97E75" w:rsidRDefault="00BB1184" w:rsidP="00E97E75">
            <w:pPr>
              <w:pStyle w:val="TableTextLeft"/>
            </w:pPr>
            <w:r>
              <w:t xml:space="preserve">Mr </w:t>
            </w:r>
            <w:r w:rsidR="00E97E75">
              <w:t>Fredy Chandra</w:t>
            </w:r>
          </w:p>
          <w:p w14:paraId="4C6FE850" w14:textId="77777777" w:rsidR="00E97E75" w:rsidRDefault="00E97E75" w:rsidP="00E97E75">
            <w:pPr>
              <w:pStyle w:val="TableTextLeft"/>
            </w:pPr>
            <w:r>
              <w:t>Adi Kurniawan</w:t>
            </w:r>
          </w:p>
          <w:p w14:paraId="7C3013E3" w14:textId="77777777" w:rsidR="00E97E75" w:rsidRDefault="00E97E75" w:rsidP="00E97E75">
            <w:pPr>
              <w:pStyle w:val="TableTextLeft"/>
            </w:pPr>
            <w:r>
              <w:t>Harry Mahardika (HOT)</w:t>
            </w:r>
          </w:p>
          <w:p w14:paraId="5B77DF9A" w14:textId="77777777" w:rsidR="00E97E75" w:rsidRDefault="00E97E75" w:rsidP="00E97E75">
            <w:pPr>
              <w:pStyle w:val="TableTextLeft"/>
            </w:pPr>
            <w:r>
              <w:t>Elida Nurohma (HOT)</w:t>
            </w:r>
          </w:p>
        </w:tc>
        <w:tc>
          <w:tcPr>
            <w:tcW w:w="1559" w:type="dxa"/>
          </w:tcPr>
          <w:p w14:paraId="20CA05C4" w14:textId="77777777" w:rsidR="00E97E75" w:rsidRDefault="00E97E75" w:rsidP="00E97E75">
            <w:pPr>
              <w:pStyle w:val="TableTextLeft"/>
            </w:pPr>
            <w:r>
              <w:t>East Jakarta</w:t>
            </w:r>
          </w:p>
        </w:tc>
        <w:tc>
          <w:tcPr>
            <w:tcW w:w="3047" w:type="dxa"/>
          </w:tcPr>
          <w:p w14:paraId="014BFC7C" w14:textId="77777777" w:rsidR="00E97E75" w:rsidRDefault="00E97E75" w:rsidP="00E97E75">
            <w:pPr>
              <w:pStyle w:val="TableTextLeft"/>
            </w:pPr>
            <w:r>
              <w:t>InaSAFE institutionalisation</w:t>
            </w:r>
          </w:p>
        </w:tc>
      </w:tr>
      <w:tr w:rsidR="00E97E75" w14:paraId="03100664" w14:textId="77777777" w:rsidTr="00D32CB9">
        <w:trPr>
          <w:cnfStyle w:val="000000010000" w:firstRow="0" w:lastRow="0" w:firstColumn="0" w:lastColumn="0" w:oddVBand="0" w:evenVBand="0" w:oddHBand="0" w:evenHBand="1" w:firstRowFirstColumn="0" w:firstRowLastColumn="0" w:lastRowFirstColumn="0" w:lastRowLastColumn="0"/>
        </w:trPr>
        <w:tc>
          <w:tcPr>
            <w:tcW w:w="1985" w:type="dxa"/>
          </w:tcPr>
          <w:p w14:paraId="3B5EB04D" w14:textId="77777777" w:rsidR="00E97E75" w:rsidRDefault="00AB66BC" w:rsidP="00E97E75">
            <w:pPr>
              <w:pStyle w:val="TableTextLeft"/>
            </w:pPr>
            <w:r>
              <w:t>18</w:t>
            </w:r>
            <w:r w:rsidRPr="00AB66BC">
              <w:rPr>
                <w:vertAlign w:val="superscript"/>
              </w:rPr>
              <w:t>th</w:t>
            </w:r>
            <w:r>
              <w:t xml:space="preserve"> </w:t>
            </w:r>
            <w:r w:rsidR="00E97E75">
              <w:t>to 20</w:t>
            </w:r>
            <w:r w:rsidRPr="00AB66BC">
              <w:rPr>
                <w:vertAlign w:val="superscript"/>
              </w:rPr>
              <w:t>th</w:t>
            </w:r>
            <w:r>
              <w:t xml:space="preserve"> May</w:t>
            </w:r>
          </w:p>
        </w:tc>
        <w:tc>
          <w:tcPr>
            <w:tcW w:w="2693" w:type="dxa"/>
          </w:tcPr>
          <w:p w14:paraId="3A9E5C94" w14:textId="77777777" w:rsidR="00E97E75" w:rsidRDefault="00BB1184" w:rsidP="00E97E75">
            <w:pPr>
              <w:pStyle w:val="TableTextLeft"/>
            </w:pPr>
            <w:r>
              <w:t xml:space="preserve">Mr </w:t>
            </w:r>
            <w:r w:rsidR="00E97E75">
              <w:t>Fredy Chandra</w:t>
            </w:r>
          </w:p>
        </w:tc>
        <w:tc>
          <w:tcPr>
            <w:tcW w:w="1559" w:type="dxa"/>
          </w:tcPr>
          <w:p w14:paraId="6852751A" w14:textId="77777777" w:rsidR="00E97E75" w:rsidRDefault="00E97E75" w:rsidP="00E97E75">
            <w:pPr>
              <w:pStyle w:val="TableTextLeft"/>
            </w:pPr>
            <w:r>
              <w:t>Ambon</w:t>
            </w:r>
          </w:p>
        </w:tc>
        <w:tc>
          <w:tcPr>
            <w:tcW w:w="3047" w:type="dxa"/>
          </w:tcPr>
          <w:p w14:paraId="3E635065" w14:textId="77777777" w:rsidR="00E97E75" w:rsidRDefault="00E97E75" w:rsidP="00E97E75">
            <w:pPr>
              <w:pStyle w:val="TableTextLeft"/>
            </w:pPr>
            <w:r>
              <w:t>InaSAFE institutionalisation and Ambon Tsunami TTX</w:t>
            </w:r>
          </w:p>
        </w:tc>
      </w:tr>
      <w:tr w:rsidR="00E97E75" w14:paraId="6D19631C" w14:textId="77777777" w:rsidTr="00D32CB9">
        <w:trPr>
          <w:cnfStyle w:val="000000100000" w:firstRow="0" w:lastRow="0" w:firstColumn="0" w:lastColumn="0" w:oddVBand="0" w:evenVBand="0" w:oddHBand="1" w:evenHBand="0" w:firstRowFirstColumn="0" w:firstRowLastColumn="0" w:lastRowFirstColumn="0" w:lastRowLastColumn="0"/>
        </w:trPr>
        <w:tc>
          <w:tcPr>
            <w:tcW w:w="1985" w:type="dxa"/>
          </w:tcPr>
          <w:p w14:paraId="18D1D9AF" w14:textId="77777777" w:rsidR="00E97E75" w:rsidRDefault="00AB66BC" w:rsidP="00E97E75">
            <w:pPr>
              <w:pStyle w:val="TableTextLeft"/>
            </w:pPr>
            <w:r>
              <w:t>23</w:t>
            </w:r>
            <w:r w:rsidRPr="00AB66BC">
              <w:rPr>
                <w:vertAlign w:val="superscript"/>
              </w:rPr>
              <w:t>rd</w:t>
            </w:r>
            <w:r>
              <w:t xml:space="preserve"> to 24</w:t>
            </w:r>
            <w:r w:rsidRPr="00AB66BC">
              <w:rPr>
                <w:vertAlign w:val="superscript"/>
              </w:rPr>
              <w:t>th</w:t>
            </w:r>
            <w:r>
              <w:t xml:space="preserve"> May</w:t>
            </w:r>
          </w:p>
        </w:tc>
        <w:tc>
          <w:tcPr>
            <w:tcW w:w="2693" w:type="dxa"/>
          </w:tcPr>
          <w:p w14:paraId="4598E09F" w14:textId="77777777" w:rsidR="00E97E75" w:rsidRDefault="00E97E75" w:rsidP="00E97E75">
            <w:pPr>
              <w:pStyle w:val="TableTextLeft"/>
            </w:pPr>
            <w:r>
              <w:t>Radhietya Hadikusuma (DFAT)</w:t>
            </w:r>
          </w:p>
          <w:p w14:paraId="14EE20A3" w14:textId="77777777" w:rsidR="00E97E75" w:rsidRDefault="00AB66BC" w:rsidP="00E97E75">
            <w:pPr>
              <w:pStyle w:val="TableTextLeft"/>
            </w:pPr>
            <w:r>
              <w:t xml:space="preserve">Dr </w:t>
            </w:r>
            <w:r w:rsidR="00E97E75">
              <w:t>David Robinson</w:t>
            </w:r>
          </w:p>
        </w:tc>
        <w:tc>
          <w:tcPr>
            <w:tcW w:w="1559" w:type="dxa"/>
          </w:tcPr>
          <w:p w14:paraId="0E66BDC6" w14:textId="77777777" w:rsidR="00E97E75" w:rsidRDefault="00E97E75" w:rsidP="00E97E75">
            <w:pPr>
              <w:pStyle w:val="TableTextLeft"/>
            </w:pPr>
            <w:r>
              <w:t>Bandung</w:t>
            </w:r>
          </w:p>
        </w:tc>
        <w:tc>
          <w:tcPr>
            <w:tcW w:w="3047" w:type="dxa"/>
          </w:tcPr>
          <w:p w14:paraId="168AFD05" w14:textId="77777777" w:rsidR="00E97E75" w:rsidRDefault="00E97E75" w:rsidP="00E97E75">
            <w:pPr>
              <w:pStyle w:val="TableTextLeft"/>
            </w:pPr>
            <w:r>
              <w:t>Annual Scientific Meeting at ITB</w:t>
            </w:r>
          </w:p>
        </w:tc>
      </w:tr>
      <w:tr w:rsidR="00E97E75" w14:paraId="06B00B6E" w14:textId="77777777" w:rsidTr="00D32CB9">
        <w:trPr>
          <w:cnfStyle w:val="000000010000" w:firstRow="0" w:lastRow="0" w:firstColumn="0" w:lastColumn="0" w:oddVBand="0" w:evenVBand="0" w:oddHBand="0" w:evenHBand="1" w:firstRowFirstColumn="0" w:firstRowLastColumn="0" w:lastRowFirstColumn="0" w:lastRowLastColumn="0"/>
        </w:trPr>
        <w:tc>
          <w:tcPr>
            <w:tcW w:w="1985" w:type="dxa"/>
          </w:tcPr>
          <w:p w14:paraId="01FC0F27" w14:textId="77777777" w:rsidR="00E97E75" w:rsidRDefault="00AB66BC" w:rsidP="00E97E75">
            <w:pPr>
              <w:pStyle w:val="TableTextLeft"/>
            </w:pPr>
            <w:r>
              <w:t>24</w:t>
            </w:r>
            <w:r w:rsidRPr="00AB66BC">
              <w:rPr>
                <w:vertAlign w:val="superscript"/>
              </w:rPr>
              <w:t>th</w:t>
            </w:r>
            <w:r>
              <w:t xml:space="preserve"> May</w:t>
            </w:r>
          </w:p>
        </w:tc>
        <w:tc>
          <w:tcPr>
            <w:tcW w:w="2693" w:type="dxa"/>
          </w:tcPr>
          <w:p w14:paraId="3DDE06E3" w14:textId="77777777" w:rsidR="00E97E75" w:rsidRDefault="00BB1184" w:rsidP="00E97E75">
            <w:pPr>
              <w:pStyle w:val="TableTextLeft"/>
            </w:pPr>
            <w:r>
              <w:t xml:space="preserve">Mr </w:t>
            </w:r>
            <w:r w:rsidR="00E97E75">
              <w:t>Fredy Chandra</w:t>
            </w:r>
          </w:p>
        </w:tc>
        <w:tc>
          <w:tcPr>
            <w:tcW w:w="1559" w:type="dxa"/>
          </w:tcPr>
          <w:p w14:paraId="09BB0365" w14:textId="77777777" w:rsidR="00E97E75" w:rsidRDefault="00E97E75" w:rsidP="00E97E75">
            <w:pPr>
              <w:pStyle w:val="TableTextLeft"/>
            </w:pPr>
            <w:r>
              <w:t>Bali</w:t>
            </w:r>
          </w:p>
        </w:tc>
        <w:tc>
          <w:tcPr>
            <w:tcW w:w="3047" w:type="dxa"/>
          </w:tcPr>
          <w:p w14:paraId="667DE466" w14:textId="77777777" w:rsidR="00E97E75" w:rsidRDefault="00E97E75" w:rsidP="00E97E75">
            <w:pPr>
              <w:pStyle w:val="TableTextLeft"/>
            </w:pPr>
            <w:r>
              <w:t>InaSAFE institutionalisation</w:t>
            </w:r>
          </w:p>
        </w:tc>
      </w:tr>
      <w:tr w:rsidR="00E97E75" w14:paraId="48CADEEE" w14:textId="77777777" w:rsidTr="00D32CB9">
        <w:trPr>
          <w:cnfStyle w:val="000000100000" w:firstRow="0" w:lastRow="0" w:firstColumn="0" w:lastColumn="0" w:oddVBand="0" w:evenVBand="0" w:oddHBand="1" w:evenHBand="0" w:firstRowFirstColumn="0" w:firstRowLastColumn="0" w:lastRowFirstColumn="0" w:lastRowLastColumn="0"/>
        </w:trPr>
        <w:tc>
          <w:tcPr>
            <w:tcW w:w="1985" w:type="dxa"/>
          </w:tcPr>
          <w:p w14:paraId="2AB31D6E" w14:textId="5D2DDB19" w:rsidR="00E97E75" w:rsidRDefault="00AB66BC" w:rsidP="00AB66BC">
            <w:pPr>
              <w:pStyle w:val="TableTextLeft"/>
            </w:pPr>
            <w:r>
              <w:t>1</w:t>
            </w:r>
            <w:r w:rsidRPr="00AB66BC">
              <w:rPr>
                <w:vertAlign w:val="superscript"/>
              </w:rPr>
              <w:t>st</w:t>
            </w:r>
            <w:r w:rsidR="00FE4FE6">
              <w:t xml:space="preserve"> to</w:t>
            </w:r>
            <w:r>
              <w:t xml:space="preserve"> 3</w:t>
            </w:r>
            <w:r w:rsidRPr="00AB66BC">
              <w:rPr>
                <w:vertAlign w:val="superscript"/>
              </w:rPr>
              <w:t>rd</w:t>
            </w:r>
            <w:r>
              <w:t xml:space="preserve"> June</w:t>
            </w:r>
          </w:p>
        </w:tc>
        <w:tc>
          <w:tcPr>
            <w:tcW w:w="2693" w:type="dxa"/>
          </w:tcPr>
          <w:p w14:paraId="347CCDB8" w14:textId="77777777" w:rsidR="00E97E75" w:rsidRDefault="00AB66BC" w:rsidP="00E97E75">
            <w:pPr>
              <w:pStyle w:val="TableTextLeft"/>
            </w:pPr>
            <w:r>
              <w:t xml:space="preserve">Mr </w:t>
            </w:r>
            <w:r w:rsidR="00E97E75">
              <w:t>Fredy Chandra</w:t>
            </w:r>
          </w:p>
          <w:p w14:paraId="32ECCDA2" w14:textId="77777777" w:rsidR="00E97E75" w:rsidRDefault="00E97E75" w:rsidP="00E97E75">
            <w:pPr>
              <w:pStyle w:val="TableTextLeft"/>
            </w:pPr>
            <w:r>
              <w:t>Adi Kurniawan</w:t>
            </w:r>
          </w:p>
        </w:tc>
        <w:tc>
          <w:tcPr>
            <w:tcW w:w="1559" w:type="dxa"/>
          </w:tcPr>
          <w:p w14:paraId="419985C3" w14:textId="77777777" w:rsidR="00E97E75" w:rsidRDefault="00E97E75" w:rsidP="00E97E75">
            <w:pPr>
              <w:pStyle w:val="TableTextLeft"/>
            </w:pPr>
            <w:r>
              <w:t>Ambon</w:t>
            </w:r>
          </w:p>
        </w:tc>
        <w:tc>
          <w:tcPr>
            <w:tcW w:w="3047" w:type="dxa"/>
          </w:tcPr>
          <w:p w14:paraId="39AD4F60" w14:textId="77777777" w:rsidR="00E97E75" w:rsidRDefault="00E97E75" w:rsidP="00E97E75">
            <w:pPr>
              <w:pStyle w:val="TableTextLeft"/>
            </w:pPr>
            <w:r>
              <w:t>InaSAFE institutionalisation</w:t>
            </w:r>
          </w:p>
        </w:tc>
      </w:tr>
      <w:tr w:rsidR="00E97E75" w14:paraId="5653FE84" w14:textId="77777777" w:rsidTr="00D32CB9">
        <w:trPr>
          <w:cnfStyle w:val="000000010000" w:firstRow="0" w:lastRow="0" w:firstColumn="0" w:lastColumn="0" w:oddVBand="0" w:evenVBand="0" w:oddHBand="0" w:evenHBand="1" w:firstRowFirstColumn="0" w:firstRowLastColumn="0" w:lastRowFirstColumn="0" w:lastRowLastColumn="0"/>
        </w:trPr>
        <w:tc>
          <w:tcPr>
            <w:tcW w:w="1985" w:type="dxa"/>
          </w:tcPr>
          <w:p w14:paraId="29D72E1F" w14:textId="77777777" w:rsidR="00E97E75" w:rsidRDefault="00AB66BC" w:rsidP="00E97E75">
            <w:pPr>
              <w:pStyle w:val="TableTextLeft"/>
            </w:pPr>
            <w:r>
              <w:t>8</w:t>
            </w:r>
            <w:r w:rsidRPr="00AB66BC">
              <w:rPr>
                <w:vertAlign w:val="superscript"/>
              </w:rPr>
              <w:t>th</w:t>
            </w:r>
            <w:r>
              <w:t xml:space="preserve"> to 10</w:t>
            </w:r>
            <w:r w:rsidRPr="00AB66BC">
              <w:rPr>
                <w:vertAlign w:val="superscript"/>
              </w:rPr>
              <w:t>th</w:t>
            </w:r>
            <w:r>
              <w:t xml:space="preserve"> August</w:t>
            </w:r>
          </w:p>
        </w:tc>
        <w:tc>
          <w:tcPr>
            <w:tcW w:w="2693" w:type="dxa"/>
          </w:tcPr>
          <w:p w14:paraId="3F11370D" w14:textId="77777777" w:rsidR="00E97E75" w:rsidRDefault="00E97E75" w:rsidP="00E97E75">
            <w:pPr>
              <w:pStyle w:val="TableTextLeft"/>
            </w:pPr>
            <w:r>
              <w:t>Mr Fredy Chandra</w:t>
            </w:r>
          </w:p>
        </w:tc>
        <w:tc>
          <w:tcPr>
            <w:tcW w:w="1559" w:type="dxa"/>
          </w:tcPr>
          <w:p w14:paraId="1279B4C2" w14:textId="77777777" w:rsidR="00E97E75" w:rsidRDefault="00E97E75" w:rsidP="00E97E75">
            <w:pPr>
              <w:pStyle w:val="TableTextLeft"/>
            </w:pPr>
            <w:r>
              <w:t>Ambon</w:t>
            </w:r>
          </w:p>
        </w:tc>
        <w:tc>
          <w:tcPr>
            <w:tcW w:w="3047" w:type="dxa"/>
          </w:tcPr>
          <w:p w14:paraId="62183172" w14:textId="77777777" w:rsidR="00E97E75" w:rsidRDefault="00E97E75" w:rsidP="00E97E75">
            <w:pPr>
              <w:pStyle w:val="TableTextLeft"/>
            </w:pPr>
            <w:r>
              <w:t>Activity 2.2</w:t>
            </w:r>
          </w:p>
          <w:p w14:paraId="552DBA61" w14:textId="77777777" w:rsidR="00E97E75" w:rsidRDefault="00E97E75" w:rsidP="00E97E75">
            <w:pPr>
              <w:pStyle w:val="TableTextLeft"/>
            </w:pPr>
            <w:r>
              <w:t>Targeted BNPB Support</w:t>
            </w:r>
          </w:p>
        </w:tc>
      </w:tr>
      <w:tr w:rsidR="00E97E75" w14:paraId="2C0D1ADD" w14:textId="77777777" w:rsidTr="00D32CB9">
        <w:trPr>
          <w:cnfStyle w:val="000000100000" w:firstRow="0" w:lastRow="0" w:firstColumn="0" w:lastColumn="0" w:oddVBand="0" w:evenVBand="0" w:oddHBand="1" w:evenHBand="0" w:firstRowFirstColumn="0" w:firstRowLastColumn="0" w:lastRowFirstColumn="0" w:lastRowLastColumn="0"/>
        </w:trPr>
        <w:tc>
          <w:tcPr>
            <w:tcW w:w="1985" w:type="dxa"/>
          </w:tcPr>
          <w:p w14:paraId="6F5801A4" w14:textId="77777777" w:rsidR="00E97E75" w:rsidRDefault="00AB66BC" w:rsidP="00E97E75">
            <w:pPr>
              <w:pStyle w:val="TableTextLeft"/>
            </w:pPr>
            <w:r>
              <w:t>19</w:t>
            </w:r>
            <w:r w:rsidRPr="00AB66BC">
              <w:rPr>
                <w:vertAlign w:val="superscript"/>
              </w:rPr>
              <w:t>th</w:t>
            </w:r>
            <w:r>
              <w:t xml:space="preserve"> to 21</w:t>
            </w:r>
            <w:r w:rsidRPr="00AB66BC">
              <w:rPr>
                <w:vertAlign w:val="superscript"/>
              </w:rPr>
              <w:t>st</w:t>
            </w:r>
            <w:r>
              <w:t xml:space="preserve"> August</w:t>
            </w:r>
          </w:p>
        </w:tc>
        <w:tc>
          <w:tcPr>
            <w:tcW w:w="2693" w:type="dxa"/>
          </w:tcPr>
          <w:p w14:paraId="1E43DBCE" w14:textId="77777777" w:rsidR="00E97E75" w:rsidRDefault="00E97E75" w:rsidP="00E97E75">
            <w:pPr>
              <w:pStyle w:val="TableTextLeft"/>
            </w:pPr>
            <w:r>
              <w:t>Dr David Robinson</w:t>
            </w:r>
          </w:p>
        </w:tc>
        <w:tc>
          <w:tcPr>
            <w:tcW w:w="1559" w:type="dxa"/>
          </w:tcPr>
          <w:p w14:paraId="2C541E9E" w14:textId="77777777" w:rsidR="00E97E75" w:rsidRDefault="00E97E75" w:rsidP="00E97E75">
            <w:pPr>
              <w:pStyle w:val="TableTextLeft"/>
            </w:pPr>
            <w:r>
              <w:t>Bandung</w:t>
            </w:r>
          </w:p>
        </w:tc>
        <w:tc>
          <w:tcPr>
            <w:tcW w:w="3047" w:type="dxa"/>
          </w:tcPr>
          <w:p w14:paraId="32275064" w14:textId="77777777" w:rsidR="00E97E75" w:rsidRDefault="00E97E75" w:rsidP="00E97E75">
            <w:pPr>
              <w:pStyle w:val="TableTextLeft"/>
            </w:pPr>
            <w:r>
              <w:t>Activity 4.1</w:t>
            </w:r>
          </w:p>
          <w:p w14:paraId="2943E0A0" w14:textId="77777777" w:rsidR="00E97E75" w:rsidRDefault="00E97E75" w:rsidP="00E97E75">
            <w:pPr>
              <w:pStyle w:val="TableTextLeft"/>
            </w:pPr>
            <w:r>
              <w:t>Earthquake Hazard</w:t>
            </w:r>
          </w:p>
        </w:tc>
      </w:tr>
      <w:tr w:rsidR="00E97E75" w14:paraId="5E57B0A1" w14:textId="77777777" w:rsidTr="00D32CB9">
        <w:trPr>
          <w:cnfStyle w:val="000000010000" w:firstRow="0" w:lastRow="0" w:firstColumn="0" w:lastColumn="0" w:oddVBand="0" w:evenVBand="0" w:oddHBand="0" w:evenHBand="1" w:firstRowFirstColumn="0" w:firstRowLastColumn="0" w:lastRowFirstColumn="0" w:lastRowLastColumn="0"/>
        </w:trPr>
        <w:tc>
          <w:tcPr>
            <w:tcW w:w="1985" w:type="dxa"/>
          </w:tcPr>
          <w:p w14:paraId="0DCC67BB" w14:textId="77777777" w:rsidR="00E97E75" w:rsidRDefault="00AB66BC" w:rsidP="00AB66BC">
            <w:pPr>
              <w:pStyle w:val="TableTextLeft"/>
            </w:pPr>
            <w:r>
              <w:t>30</w:t>
            </w:r>
            <w:r w:rsidRPr="00AB66BC">
              <w:rPr>
                <w:vertAlign w:val="superscript"/>
              </w:rPr>
              <w:t>th</w:t>
            </w:r>
            <w:r>
              <w:t xml:space="preserve"> </w:t>
            </w:r>
            <w:r w:rsidR="00E97E75">
              <w:t>to 31</w:t>
            </w:r>
            <w:r w:rsidRPr="00AB66BC">
              <w:rPr>
                <w:vertAlign w:val="superscript"/>
              </w:rPr>
              <w:t>st</w:t>
            </w:r>
            <w:r>
              <w:t xml:space="preserve"> August</w:t>
            </w:r>
          </w:p>
        </w:tc>
        <w:tc>
          <w:tcPr>
            <w:tcW w:w="2693" w:type="dxa"/>
          </w:tcPr>
          <w:p w14:paraId="75B4236F" w14:textId="77777777" w:rsidR="00E97E75" w:rsidRDefault="00E97E75" w:rsidP="00E97E75">
            <w:pPr>
              <w:pStyle w:val="TableTextLeft"/>
            </w:pPr>
            <w:r>
              <w:t>Mr Fredy Chandra</w:t>
            </w:r>
          </w:p>
          <w:p w14:paraId="1AC04380" w14:textId="77777777" w:rsidR="00E97E75" w:rsidRDefault="00E97E75" w:rsidP="00E97E75">
            <w:pPr>
              <w:pStyle w:val="TableTextLeft"/>
            </w:pPr>
            <w:r>
              <w:t>Mr Piter Edward</w:t>
            </w:r>
          </w:p>
        </w:tc>
        <w:tc>
          <w:tcPr>
            <w:tcW w:w="1559" w:type="dxa"/>
          </w:tcPr>
          <w:p w14:paraId="5CEA47CF" w14:textId="77777777" w:rsidR="00E97E75" w:rsidRDefault="00E97E75" w:rsidP="00E97E75">
            <w:pPr>
              <w:pStyle w:val="TableTextLeft"/>
            </w:pPr>
            <w:r>
              <w:t>Ambon</w:t>
            </w:r>
          </w:p>
        </w:tc>
        <w:tc>
          <w:tcPr>
            <w:tcW w:w="3047" w:type="dxa"/>
          </w:tcPr>
          <w:p w14:paraId="22D1C6E3" w14:textId="77777777" w:rsidR="00E97E75" w:rsidRDefault="00E97E75" w:rsidP="00E97E75">
            <w:pPr>
              <w:pStyle w:val="TableTextLeft"/>
            </w:pPr>
            <w:r>
              <w:t>Activity 2.2</w:t>
            </w:r>
          </w:p>
          <w:p w14:paraId="64C7C183" w14:textId="77777777" w:rsidR="00E97E75" w:rsidRDefault="00E97E75" w:rsidP="00E97E75">
            <w:pPr>
              <w:pStyle w:val="TableTextLeft"/>
            </w:pPr>
            <w:r>
              <w:t>Targeted BNPB Support</w:t>
            </w:r>
          </w:p>
        </w:tc>
      </w:tr>
      <w:tr w:rsidR="00E97E75" w14:paraId="328EBCE1" w14:textId="77777777" w:rsidTr="00D32CB9">
        <w:trPr>
          <w:cnfStyle w:val="000000100000" w:firstRow="0" w:lastRow="0" w:firstColumn="0" w:lastColumn="0" w:oddVBand="0" w:evenVBand="0" w:oddHBand="1" w:evenHBand="0" w:firstRowFirstColumn="0" w:firstRowLastColumn="0" w:lastRowFirstColumn="0" w:lastRowLastColumn="0"/>
        </w:trPr>
        <w:tc>
          <w:tcPr>
            <w:tcW w:w="1985" w:type="dxa"/>
          </w:tcPr>
          <w:p w14:paraId="651FFBDC" w14:textId="77777777" w:rsidR="00E97E75" w:rsidRDefault="00AB66BC" w:rsidP="00E97E75">
            <w:pPr>
              <w:pStyle w:val="TableTextLeft"/>
            </w:pPr>
            <w:r>
              <w:t>6</w:t>
            </w:r>
            <w:r w:rsidRPr="00AB66BC">
              <w:rPr>
                <w:vertAlign w:val="superscript"/>
              </w:rPr>
              <w:t>th</w:t>
            </w:r>
            <w:r>
              <w:t xml:space="preserve"> October</w:t>
            </w:r>
          </w:p>
        </w:tc>
        <w:tc>
          <w:tcPr>
            <w:tcW w:w="2693" w:type="dxa"/>
          </w:tcPr>
          <w:p w14:paraId="170E0BEE" w14:textId="77777777" w:rsidR="00E97E75" w:rsidRDefault="00E97E75" w:rsidP="00E97E75">
            <w:pPr>
              <w:pStyle w:val="TableTextLeft"/>
            </w:pPr>
            <w:r>
              <w:t>Mr Fredy Chandra</w:t>
            </w:r>
          </w:p>
        </w:tc>
        <w:tc>
          <w:tcPr>
            <w:tcW w:w="1559" w:type="dxa"/>
          </w:tcPr>
          <w:p w14:paraId="10EC573F" w14:textId="77777777" w:rsidR="00E97E75" w:rsidRDefault="00E97E75" w:rsidP="00E97E75">
            <w:pPr>
              <w:pStyle w:val="TableTextLeft"/>
            </w:pPr>
            <w:r>
              <w:t>Jakarta</w:t>
            </w:r>
          </w:p>
        </w:tc>
        <w:tc>
          <w:tcPr>
            <w:tcW w:w="3047" w:type="dxa"/>
          </w:tcPr>
          <w:p w14:paraId="55DBBEB0" w14:textId="77777777" w:rsidR="00E97E75" w:rsidRDefault="00E97E75" w:rsidP="00E97E75">
            <w:pPr>
              <w:pStyle w:val="TableTextLeft"/>
            </w:pPr>
            <w:r>
              <w:t>Activity 2.2</w:t>
            </w:r>
          </w:p>
          <w:p w14:paraId="6A2F459E" w14:textId="77777777" w:rsidR="00E97E75" w:rsidRDefault="00E97E75" w:rsidP="00E97E75">
            <w:pPr>
              <w:pStyle w:val="TableTextLeft"/>
            </w:pPr>
            <w:r>
              <w:t>Targeted BNPB Support</w:t>
            </w:r>
          </w:p>
        </w:tc>
      </w:tr>
      <w:tr w:rsidR="00E97E75" w14:paraId="450ECCCF" w14:textId="77777777" w:rsidTr="00D32CB9">
        <w:trPr>
          <w:cnfStyle w:val="000000010000" w:firstRow="0" w:lastRow="0" w:firstColumn="0" w:lastColumn="0" w:oddVBand="0" w:evenVBand="0" w:oddHBand="0" w:evenHBand="1" w:firstRowFirstColumn="0" w:firstRowLastColumn="0" w:lastRowFirstColumn="0" w:lastRowLastColumn="0"/>
        </w:trPr>
        <w:tc>
          <w:tcPr>
            <w:tcW w:w="1985" w:type="dxa"/>
          </w:tcPr>
          <w:p w14:paraId="28F0CE98" w14:textId="77777777" w:rsidR="00E97E75" w:rsidRDefault="00AB66BC" w:rsidP="00AB66BC">
            <w:pPr>
              <w:pStyle w:val="TableTextLeft"/>
            </w:pPr>
            <w:r>
              <w:t>12</w:t>
            </w:r>
            <w:r w:rsidRPr="00AB66BC">
              <w:rPr>
                <w:vertAlign w:val="superscript"/>
              </w:rPr>
              <w:t>th</w:t>
            </w:r>
            <w:r>
              <w:t xml:space="preserve"> </w:t>
            </w:r>
            <w:r w:rsidR="00E97E75">
              <w:t>t</w:t>
            </w:r>
            <w:r>
              <w:t>o</w:t>
            </w:r>
            <w:r w:rsidR="00E97E75">
              <w:t xml:space="preserve"> 15</w:t>
            </w:r>
            <w:r w:rsidRPr="00AB66BC">
              <w:rPr>
                <w:vertAlign w:val="superscript"/>
              </w:rPr>
              <w:t>th</w:t>
            </w:r>
            <w:r>
              <w:t xml:space="preserve"> October</w:t>
            </w:r>
          </w:p>
        </w:tc>
        <w:tc>
          <w:tcPr>
            <w:tcW w:w="2693" w:type="dxa"/>
          </w:tcPr>
          <w:p w14:paraId="3932624E" w14:textId="77777777" w:rsidR="00E97E75" w:rsidRDefault="00E97E75" w:rsidP="00E97E75">
            <w:pPr>
              <w:pStyle w:val="TableTextLeft"/>
            </w:pPr>
            <w:r>
              <w:t>Dr Charlotte Morgan</w:t>
            </w:r>
          </w:p>
          <w:p w14:paraId="5CF20FF1" w14:textId="77777777" w:rsidR="00E97E75" w:rsidRDefault="00E97E75" w:rsidP="00E97E75">
            <w:pPr>
              <w:pStyle w:val="TableTextLeft"/>
            </w:pPr>
            <w:r>
              <w:t>Mr Fredy Chandra</w:t>
            </w:r>
          </w:p>
          <w:p w14:paraId="4D5A86F0" w14:textId="77777777" w:rsidR="00E97E75" w:rsidRDefault="00E97E75" w:rsidP="00E97E75">
            <w:pPr>
              <w:pStyle w:val="TableTextLeft"/>
            </w:pPr>
            <w:r>
              <w:t>Mr Adi Kurniawan</w:t>
            </w:r>
          </w:p>
        </w:tc>
        <w:tc>
          <w:tcPr>
            <w:tcW w:w="1559" w:type="dxa"/>
          </w:tcPr>
          <w:p w14:paraId="24F77EBB" w14:textId="77777777" w:rsidR="00E97E75" w:rsidRDefault="00E97E75" w:rsidP="00E97E75">
            <w:pPr>
              <w:pStyle w:val="TableTextLeft"/>
            </w:pPr>
            <w:r>
              <w:t>Manado</w:t>
            </w:r>
          </w:p>
        </w:tc>
        <w:tc>
          <w:tcPr>
            <w:tcW w:w="3047" w:type="dxa"/>
          </w:tcPr>
          <w:p w14:paraId="45C581BB" w14:textId="77777777" w:rsidR="00E97E75" w:rsidRDefault="00E97E75" w:rsidP="00E97E75">
            <w:pPr>
              <w:pStyle w:val="TableTextLeft"/>
            </w:pPr>
            <w:r>
              <w:t>Programs 1 and 1</w:t>
            </w:r>
          </w:p>
        </w:tc>
      </w:tr>
      <w:tr w:rsidR="00E97E75" w14:paraId="38B20E4A" w14:textId="77777777" w:rsidTr="00D32CB9">
        <w:trPr>
          <w:cnfStyle w:val="000000100000" w:firstRow="0" w:lastRow="0" w:firstColumn="0" w:lastColumn="0" w:oddVBand="0" w:evenVBand="0" w:oddHBand="1" w:evenHBand="0" w:firstRowFirstColumn="0" w:firstRowLastColumn="0" w:lastRowFirstColumn="0" w:lastRowLastColumn="0"/>
        </w:trPr>
        <w:tc>
          <w:tcPr>
            <w:tcW w:w="1985" w:type="dxa"/>
          </w:tcPr>
          <w:p w14:paraId="63D3EDED" w14:textId="77777777" w:rsidR="00E97E75" w:rsidRDefault="00AB66BC" w:rsidP="00E97E75">
            <w:pPr>
              <w:pStyle w:val="TableTextLeft"/>
            </w:pPr>
            <w:r>
              <w:t>25</w:t>
            </w:r>
            <w:r w:rsidRPr="00AB66BC">
              <w:rPr>
                <w:vertAlign w:val="superscript"/>
              </w:rPr>
              <w:t>th</w:t>
            </w:r>
            <w:r>
              <w:t xml:space="preserve"> </w:t>
            </w:r>
            <w:r w:rsidR="00E97E75" w:rsidRPr="00951AAD">
              <w:t>to 27</w:t>
            </w:r>
            <w:r w:rsidRPr="00AB66BC">
              <w:rPr>
                <w:vertAlign w:val="superscript"/>
              </w:rPr>
              <w:t>th</w:t>
            </w:r>
            <w:r>
              <w:t xml:space="preserve"> October</w:t>
            </w:r>
          </w:p>
        </w:tc>
        <w:tc>
          <w:tcPr>
            <w:tcW w:w="2693" w:type="dxa"/>
          </w:tcPr>
          <w:p w14:paraId="545B76F0" w14:textId="77777777" w:rsidR="00E97E75" w:rsidRDefault="00E97E75" w:rsidP="00E97E75">
            <w:pPr>
              <w:pStyle w:val="TableTextLeft"/>
            </w:pPr>
            <w:r w:rsidRPr="00951AAD">
              <w:t>Dr David Robinson</w:t>
            </w:r>
          </w:p>
        </w:tc>
        <w:tc>
          <w:tcPr>
            <w:tcW w:w="1559" w:type="dxa"/>
          </w:tcPr>
          <w:p w14:paraId="53EEA6DC" w14:textId="77777777" w:rsidR="00E97E75" w:rsidRDefault="00E97E75" w:rsidP="00E97E75">
            <w:pPr>
              <w:pStyle w:val="TableTextLeft"/>
            </w:pPr>
            <w:r w:rsidRPr="00951AAD">
              <w:t>Bandung</w:t>
            </w:r>
          </w:p>
        </w:tc>
        <w:tc>
          <w:tcPr>
            <w:tcW w:w="3047" w:type="dxa"/>
          </w:tcPr>
          <w:p w14:paraId="05841F51" w14:textId="77777777" w:rsidR="00E97E75" w:rsidRDefault="00E97E75" w:rsidP="00E97E75">
            <w:pPr>
              <w:pStyle w:val="TableTextLeft"/>
            </w:pPr>
            <w:r w:rsidRPr="00951AAD">
              <w:t>Activities 2.2, 4.1, 4.2, 4.4 and 5.1</w:t>
            </w:r>
          </w:p>
        </w:tc>
      </w:tr>
      <w:tr w:rsidR="00E97E75" w14:paraId="5F9134B9" w14:textId="77777777" w:rsidTr="00D32CB9">
        <w:trPr>
          <w:cnfStyle w:val="000000010000" w:firstRow="0" w:lastRow="0" w:firstColumn="0" w:lastColumn="0" w:oddVBand="0" w:evenVBand="0" w:oddHBand="0" w:evenHBand="1" w:firstRowFirstColumn="0" w:firstRowLastColumn="0" w:lastRowFirstColumn="0" w:lastRowLastColumn="0"/>
        </w:trPr>
        <w:tc>
          <w:tcPr>
            <w:tcW w:w="1985" w:type="dxa"/>
          </w:tcPr>
          <w:p w14:paraId="21DAF8A3" w14:textId="77777777" w:rsidR="00E97E75" w:rsidRDefault="00AB66BC" w:rsidP="00E97E75">
            <w:pPr>
              <w:pStyle w:val="TableTextLeft"/>
            </w:pPr>
            <w:r>
              <w:t>2</w:t>
            </w:r>
            <w:r w:rsidRPr="00AB66BC">
              <w:rPr>
                <w:vertAlign w:val="superscript"/>
              </w:rPr>
              <w:t>nd</w:t>
            </w:r>
            <w:r>
              <w:t xml:space="preserve"> to 3</w:t>
            </w:r>
            <w:r w:rsidRPr="00AB66BC">
              <w:rPr>
                <w:vertAlign w:val="superscript"/>
              </w:rPr>
              <w:t>rd</w:t>
            </w:r>
            <w:r>
              <w:t xml:space="preserve"> November</w:t>
            </w:r>
          </w:p>
        </w:tc>
        <w:tc>
          <w:tcPr>
            <w:tcW w:w="2693" w:type="dxa"/>
          </w:tcPr>
          <w:p w14:paraId="68815131" w14:textId="77777777" w:rsidR="00E97E75" w:rsidRDefault="00E97E75" w:rsidP="00E97E75">
            <w:pPr>
              <w:pStyle w:val="TableTextLeft"/>
            </w:pPr>
            <w:r>
              <w:t>Dr David Robinson</w:t>
            </w:r>
          </w:p>
          <w:p w14:paraId="4414A5AF" w14:textId="77777777" w:rsidR="00E97E75" w:rsidRDefault="00E97E75" w:rsidP="00E97E75">
            <w:pPr>
              <w:pStyle w:val="TableTextLeft"/>
            </w:pPr>
            <w:r>
              <w:t>Mr Simon Field</w:t>
            </w:r>
          </w:p>
          <w:p w14:paraId="6724FF17" w14:textId="77777777" w:rsidR="00E97E75" w:rsidRDefault="00E97E75" w:rsidP="00E97E75">
            <w:pPr>
              <w:pStyle w:val="TableTextLeft"/>
            </w:pPr>
            <w:r>
              <w:t>Mr Tony Pack</w:t>
            </w:r>
          </w:p>
          <w:p w14:paraId="115B115D" w14:textId="77777777" w:rsidR="00E97E75" w:rsidRDefault="00E97E75" w:rsidP="00E97E75">
            <w:pPr>
              <w:pStyle w:val="TableTextLeft"/>
            </w:pPr>
            <w:r>
              <w:t>Mr Rangga</w:t>
            </w:r>
          </w:p>
        </w:tc>
        <w:tc>
          <w:tcPr>
            <w:tcW w:w="1559" w:type="dxa"/>
          </w:tcPr>
          <w:p w14:paraId="6DB5E7DC" w14:textId="77777777" w:rsidR="00E97E75" w:rsidRDefault="00E97E75" w:rsidP="00E97E75">
            <w:pPr>
              <w:pStyle w:val="TableTextLeft"/>
            </w:pPr>
            <w:r w:rsidRPr="00951AAD">
              <w:t>Bandung</w:t>
            </w:r>
          </w:p>
        </w:tc>
        <w:tc>
          <w:tcPr>
            <w:tcW w:w="3047" w:type="dxa"/>
          </w:tcPr>
          <w:p w14:paraId="768CE345" w14:textId="77777777" w:rsidR="00E97E75" w:rsidRDefault="00E97E75" w:rsidP="00E97E75">
            <w:pPr>
              <w:pStyle w:val="TableTextLeft"/>
            </w:pPr>
            <w:r>
              <w:t>Project management</w:t>
            </w:r>
          </w:p>
          <w:p w14:paraId="15F7D41E" w14:textId="77777777" w:rsidR="00E97E75" w:rsidRDefault="00E97E75" w:rsidP="00E97E75">
            <w:pPr>
              <w:pStyle w:val="TableTextLeft"/>
            </w:pPr>
            <w:r>
              <w:t>Office closure and IT assets</w:t>
            </w:r>
          </w:p>
        </w:tc>
      </w:tr>
      <w:tr w:rsidR="00E97E75" w14:paraId="7DA3373E" w14:textId="77777777" w:rsidTr="00D32CB9">
        <w:trPr>
          <w:cnfStyle w:val="000000100000" w:firstRow="0" w:lastRow="0" w:firstColumn="0" w:lastColumn="0" w:oddVBand="0" w:evenVBand="0" w:oddHBand="1" w:evenHBand="0" w:firstRowFirstColumn="0" w:firstRowLastColumn="0" w:lastRowFirstColumn="0" w:lastRowLastColumn="0"/>
        </w:trPr>
        <w:tc>
          <w:tcPr>
            <w:tcW w:w="1985" w:type="dxa"/>
          </w:tcPr>
          <w:p w14:paraId="60A09564" w14:textId="77777777" w:rsidR="00E97E75" w:rsidRDefault="00AB66BC" w:rsidP="00E97E75">
            <w:pPr>
              <w:pStyle w:val="TableTextLeft"/>
            </w:pPr>
            <w:r>
              <w:t>29</w:t>
            </w:r>
            <w:r w:rsidRPr="00AB66BC">
              <w:rPr>
                <w:vertAlign w:val="superscript"/>
              </w:rPr>
              <w:t>th</w:t>
            </w:r>
            <w:r>
              <w:t xml:space="preserve"> to 30</w:t>
            </w:r>
            <w:r w:rsidRPr="00AB66BC">
              <w:rPr>
                <w:vertAlign w:val="superscript"/>
              </w:rPr>
              <w:t>th</w:t>
            </w:r>
            <w:r>
              <w:t xml:space="preserve"> November</w:t>
            </w:r>
          </w:p>
        </w:tc>
        <w:tc>
          <w:tcPr>
            <w:tcW w:w="2693" w:type="dxa"/>
          </w:tcPr>
          <w:p w14:paraId="0B9004A8" w14:textId="77777777" w:rsidR="00E97E75" w:rsidRDefault="00E97E75" w:rsidP="00E97E75">
            <w:pPr>
              <w:pStyle w:val="TableTextLeft"/>
            </w:pPr>
            <w:r>
              <w:t>Mr Fredy Chandra</w:t>
            </w:r>
          </w:p>
          <w:p w14:paraId="2F0F6704" w14:textId="77777777" w:rsidR="00E97E75" w:rsidRDefault="00E97E75" w:rsidP="00E97E75">
            <w:pPr>
              <w:pStyle w:val="TableTextLeft"/>
            </w:pPr>
            <w:r>
              <w:t>Mr Adi Kurniawan</w:t>
            </w:r>
          </w:p>
          <w:p w14:paraId="7CEFD0F4" w14:textId="77777777" w:rsidR="00E97E75" w:rsidRDefault="00E97E75" w:rsidP="00E97E75">
            <w:pPr>
              <w:pStyle w:val="TableTextLeft"/>
            </w:pPr>
            <w:r>
              <w:t>Mr Felix Yanuar</w:t>
            </w:r>
          </w:p>
          <w:p w14:paraId="17300BF1" w14:textId="77777777" w:rsidR="00E97E75" w:rsidRDefault="00E97E75" w:rsidP="00E97E75">
            <w:pPr>
              <w:pStyle w:val="TableTextLeft"/>
            </w:pPr>
            <w:r>
              <w:t>Mr Ivan Busthomi</w:t>
            </w:r>
          </w:p>
        </w:tc>
        <w:tc>
          <w:tcPr>
            <w:tcW w:w="1559" w:type="dxa"/>
          </w:tcPr>
          <w:p w14:paraId="2946D439" w14:textId="77777777" w:rsidR="00E97E75" w:rsidRDefault="00E97E75" w:rsidP="00E97E75">
            <w:pPr>
              <w:pStyle w:val="TableTextLeft"/>
            </w:pPr>
            <w:r>
              <w:t>Jakarta</w:t>
            </w:r>
          </w:p>
        </w:tc>
        <w:tc>
          <w:tcPr>
            <w:tcW w:w="3047" w:type="dxa"/>
          </w:tcPr>
          <w:p w14:paraId="1D4866FA" w14:textId="77777777" w:rsidR="00E97E75" w:rsidRDefault="00E97E75" w:rsidP="00E97E75">
            <w:pPr>
              <w:pStyle w:val="TableTextLeft"/>
            </w:pPr>
            <w:r>
              <w:t>Programs 1 and 2</w:t>
            </w:r>
          </w:p>
        </w:tc>
      </w:tr>
      <w:tr w:rsidR="00E97E75" w14:paraId="13288470" w14:textId="77777777" w:rsidTr="00D32CB9">
        <w:trPr>
          <w:cnfStyle w:val="000000010000" w:firstRow="0" w:lastRow="0" w:firstColumn="0" w:lastColumn="0" w:oddVBand="0" w:evenVBand="0" w:oddHBand="0" w:evenHBand="1" w:firstRowFirstColumn="0" w:firstRowLastColumn="0" w:lastRowFirstColumn="0" w:lastRowLastColumn="0"/>
        </w:trPr>
        <w:tc>
          <w:tcPr>
            <w:tcW w:w="1985" w:type="dxa"/>
          </w:tcPr>
          <w:p w14:paraId="798B4F17" w14:textId="77777777" w:rsidR="00E97E75" w:rsidRDefault="00AB66BC" w:rsidP="00E97E75">
            <w:pPr>
              <w:pStyle w:val="TableTextLeft"/>
            </w:pPr>
            <w:r>
              <w:t>18</w:t>
            </w:r>
            <w:r w:rsidRPr="00AB66BC">
              <w:rPr>
                <w:vertAlign w:val="superscript"/>
              </w:rPr>
              <w:t>th</w:t>
            </w:r>
            <w:r>
              <w:t xml:space="preserve"> November</w:t>
            </w:r>
          </w:p>
        </w:tc>
        <w:tc>
          <w:tcPr>
            <w:tcW w:w="2693" w:type="dxa"/>
          </w:tcPr>
          <w:p w14:paraId="70661213" w14:textId="77777777" w:rsidR="00E97E75" w:rsidRDefault="00E97E75" w:rsidP="00E97E75">
            <w:pPr>
              <w:pStyle w:val="TableTextLeft"/>
            </w:pPr>
            <w:r>
              <w:t>Mr Adi Kurniawan</w:t>
            </w:r>
          </w:p>
        </w:tc>
        <w:tc>
          <w:tcPr>
            <w:tcW w:w="1559" w:type="dxa"/>
          </w:tcPr>
          <w:p w14:paraId="16D05253" w14:textId="77777777" w:rsidR="00E97E75" w:rsidRDefault="00E97E75" w:rsidP="00E97E75">
            <w:pPr>
              <w:pStyle w:val="TableTextLeft"/>
            </w:pPr>
            <w:r>
              <w:t>Jakarta</w:t>
            </w:r>
          </w:p>
        </w:tc>
        <w:tc>
          <w:tcPr>
            <w:tcW w:w="3047" w:type="dxa"/>
          </w:tcPr>
          <w:p w14:paraId="50F2F186" w14:textId="77777777" w:rsidR="00E97E75" w:rsidRDefault="00E97E75" w:rsidP="00E97E75">
            <w:pPr>
              <w:pStyle w:val="TableTextLeft"/>
            </w:pPr>
            <w:r>
              <w:t>Programs 1 and 2</w:t>
            </w:r>
          </w:p>
        </w:tc>
      </w:tr>
      <w:tr w:rsidR="00E97E75" w14:paraId="357B1500" w14:textId="77777777" w:rsidTr="00D32CB9">
        <w:trPr>
          <w:cnfStyle w:val="000000100000" w:firstRow="0" w:lastRow="0" w:firstColumn="0" w:lastColumn="0" w:oddVBand="0" w:evenVBand="0" w:oddHBand="1" w:evenHBand="0" w:firstRowFirstColumn="0" w:firstRowLastColumn="0" w:lastRowFirstColumn="0" w:lastRowLastColumn="0"/>
        </w:trPr>
        <w:tc>
          <w:tcPr>
            <w:tcW w:w="1985" w:type="dxa"/>
          </w:tcPr>
          <w:p w14:paraId="146D7F9A" w14:textId="77777777" w:rsidR="00E97E75" w:rsidRDefault="00AB66BC" w:rsidP="00E97E75">
            <w:pPr>
              <w:pStyle w:val="TableTextLeft"/>
            </w:pPr>
            <w:r>
              <w:t>22</w:t>
            </w:r>
            <w:r w:rsidRPr="00AB66BC">
              <w:rPr>
                <w:vertAlign w:val="superscript"/>
              </w:rPr>
              <w:t>nd</w:t>
            </w:r>
            <w:r>
              <w:t xml:space="preserve"> December</w:t>
            </w:r>
          </w:p>
        </w:tc>
        <w:tc>
          <w:tcPr>
            <w:tcW w:w="2693" w:type="dxa"/>
          </w:tcPr>
          <w:p w14:paraId="47C4F24A" w14:textId="77777777" w:rsidR="00E97E75" w:rsidRDefault="00E97E75" w:rsidP="00E97E75">
            <w:pPr>
              <w:pStyle w:val="TableTextLeft"/>
            </w:pPr>
            <w:r>
              <w:t>Mr Fredy Chandra</w:t>
            </w:r>
          </w:p>
        </w:tc>
        <w:tc>
          <w:tcPr>
            <w:tcW w:w="1559" w:type="dxa"/>
          </w:tcPr>
          <w:p w14:paraId="698FD553" w14:textId="77777777" w:rsidR="00E97E75" w:rsidRDefault="00E97E75" w:rsidP="00E97E75">
            <w:pPr>
              <w:pStyle w:val="TableTextLeft"/>
            </w:pPr>
            <w:r>
              <w:t>Solo</w:t>
            </w:r>
          </w:p>
        </w:tc>
        <w:tc>
          <w:tcPr>
            <w:tcW w:w="3047" w:type="dxa"/>
          </w:tcPr>
          <w:p w14:paraId="4DF7C631" w14:textId="77777777" w:rsidR="00E97E75" w:rsidRDefault="00E97E75" w:rsidP="00E97E75">
            <w:pPr>
              <w:pStyle w:val="TableTextLeft"/>
            </w:pPr>
            <w:r>
              <w:t>Programs 1 and 2</w:t>
            </w:r>
          </w:p>
        </w:tc>
      </w:tr>
    </w:tbl>
    <w:p w14:paraId="4DE17A9D" w14:textId="77777777" w:rsidR="00CD50DE" w:rsidRPr="007D582F" w:rsidRDefault="00CD50DE" w:rsidP="007D582F">
      <w:pPr>
        <w:pStyle w:val="BodyText"/>
        <w:rPr>
          <w:b/>
        </w:rPr>
      </w:pPr>
      <w:r w:rsidRPr="007D582F">
        <w:rPr>
          <w:b/>
        </w:rPr>
        <w:t>201</w:t>
      </w:r>
      <w:bookmarkEnd w:id="41"/>
      <w:r w:rsidR="0008475E" w:rsidRPr="007D582F">
        <w:rPr>
          <w:b/>
        </w:rPr>
        <w:t>7</w:t>
      </w:r>
    </w:p>
    <w:tbl>
      <w:tblPr>
        <w:tblStyle w:val="TableGAHeaderRow"/>
        <w:tblW w:w="9284" w:type="dxa"/>
        <w:tblLook w:val="04A0" w:firstRow="1" w:lastRow="0" w:firstColumn="1" w:lastColumn="0" w:noHBand="0" w:noVBand="1"/>
      </w:tblPr>
      <w:tblGrid>
        <w:gridCol w:w="2321"/>
        <w:gridCol w:w="2321"/>
        <w:gridCol w:w="2321"/>
        <w:gridCol w:w="2321"/>
      </w:tblGrid>
      <w:tr w:rsidR="0008475E" w14:paraId="493FE055" w14:textId="77777777" w:rsidTr="00D32CB9">
        <w:trPr>
          <w:cnfStyle w:val="100000000000" w:firstRow="1" w:lastRow="0" w:firstColumn="0" w:lastColumn="0" w:oddVBand="0" w:evenVBand="0" w:oddHBand="0" w:evenHBand="0" w:firstRowFirstColumn="0" w:firstRowLastColumn="0" w:lastRowFirstColumn="0" w:lastRowLastColumn="0"/>
        </w:trPr>
        <w:tc>
          <w:tcPr>
            <w:tcW w:w="2321" w:type="dxa"/>
          </w:tcPr>
          <w:p w14:paraId="5E29BC2A" w14:textId="77777777" w:rsidR="0008475E" w:rsidRDefault="0008475E" w:rsidP="002B3269">
            <w:pPr>
              <w:pStyle w:val="TableTextCentred"/>
            </w:pPr>
            <w:r>
              <w:t>Dates</w:t>
            </w:r>
          </w:p>
        </w:tc>
        <w:tc>
          <w:tcPr>
            <w:tcW w:w="2321" w:type="dxa"/>
          </w:tcPr>
          <w:p w14:paraId="02247D04" w14:textId="77777777" w:rsidR="0008475E" w:rsidRDefault="0008475E" w:rsidP="002B3269">
            <w:pPr>
              <w:pStyle w:val="TableTextCentred"/>
            </w:pPr>
            <w:r>
              <w:t>Officers</w:t>
            </w:r>
          </w:p>
        </w:tc>
        <w:tc>
          <w:tcPr>
            <w:tcW w:w="2321" w:type="dxa"/>
          </w:tcPr>
          <w:p w14:paraId="4CDCA931" w14:textId="77777777" w:rsidR="0008475E" w:rsidRDefault="0008475E" w:rsidP="002B3269">
            <w:pPr>
              <w:pStyle w:val="TableTextCentred"/>
            </w:pPr>
            <w:r>
              <w:t>Locations</w:t>
            </w:r>
          </w:p>
        </w:tc>
        <w:tc>
          <w:tcPr>
            <w:tcW w:w="2321" w:type="dxa"/>
          </w:tcPr>
          <w:p w14:paraId="4853931F" w14:textId="77777777" w:rsidR="0008475E" w:rsidRDefault="0008475E" w:rsidP="002B3269">
            <w:pPr>
              <w:pStyle w:val="TableTextCentred"/>
            </w:pPr>
            <w:r>
              <w:t>Purpose</w:t>
            </w:r>
          </w:p>
        </w:tc>
      </w:tr>
      <w:tr w:rsidR="0008475E" w14:paraId="5A757EA2" w14:textId="77777777" w:rsidTr="00D32CB9">
        <w:trPr>
          <w:cnfStyle w:val="000000100000" w:firstRow="0" w:lastRow="0" w:firstColumn="0" w:lastColumn="0" w:oddVBand="0" w:evenVBand="0" w:oddHBand="1" w:evenHBand="0" w:firstRowFirstColumn="0" w:firstRowLastColumn="0" w:lastRowFirstColumn="0" w:lastRowLastColumn="0"/>
        </w:trPr>
        <w:tc>
          <w:tcPr>
            <w:tcW w:w="2321" w:type="dxa"/>
          </w:tcPr>
          <w:p w14:paraId="328DEF14" w14:textId="77777777" w:rsidR="0008475E" w:rsidRPr="000B7B53" w:rsidRDefault="00AB66BC" w:rsidP="0008475E">
            <w:pPr>
              <w:pStyle w:val="TableTextLeft"/>
            </w:pPr>
            <w:r>
              <w:t>23</w:t>
            </w:r>
            <w:r w:rsidRPr="00AB66BC">
              <w:rPr>
                <w:vertAlign w:val="superscript"/>
              </w:rPr>
              <w:t>rd</w:t>
            </w:r>
            <w:r>
              <w:t xml:space="preserve"> to 25</w:t>
            </w:r>
            <w:r w:rsidRPr="00AB66BC">
              <w:rPr>
                <w:vertAlign w:val="superscript"/>
              </w:rPr>
              <w:t>th</w:t>
            </w:r>
            <w:r>
              <w:t xml:space="preserve"> </w:t>
            </w:r>
            <w:r w:rsidR="0008475E" w:rsidRPr="000B7B53">
              <w:t>October</w:t>
            </w:r>
          </w:p>
        </w:tc>
        <w:tc>
          <w:tcPr>
            <w:tcW w:w="2321" w:type="dxa"/>
          </w:tcPr>
          <w:p w14:paraId="0A198FB6" w14:textId="77777777" w:rsidR="00D32CB9" w:rsidRPr="00647FD5" w:rsidRDefault="0008475E" w:rsidP="0008475E">
            <w:pPr>
              <w:pStyle w:val="TableTextLeft"/>
              <w:rPr>
                <w:lang w:val="nb-NO"/>
              </w:rPr>
            </w:pPr>
            <w:r w:rsidRPr="00647FD5">
              <w:rPr>
                <w:lang w:val="nb-NO"/>
              </w:rPr>
              <w:t>Adi Kurn</w:t>
            </w:r>
            <w:r w:rsidR="00D32CB9" w:rsidRPr="00647FD5">
              <w:rPr>
                <w:lang w:val="nb-NO"/>
              </w:rPr>
              <w:t>iawan</w:t>
            </w:r>
          </w:p>
          <w:p w14:paraId="11AAEA80" w14:textId="77777777" w:rsidR="00D32CB9" w:rsidRPr="00647FD5" w:rsidRDefault="00D32CB9" w:rsidP="0008475E">
            <w:pPr>
              <w:pStyle w:val="TableTextLeft"/>
              <w:rPr>
                <w:lang w:val="nb-NO"/>
              </w:rPr>
            </w:pPr>
            <w:r w:rsidRPr="00647FD5">
              <w:rPr>
                <w:lang w:val="nb-NO"/>
              </w:rPr>
              <w:t>Felix Yanuar</w:t>
            </w:r>
          </w:p>
          <w:p w14:paraId="64F2D883" w14:textId="77777777" w:rsidR="00D32CB9" w:rsidRPr="00647FD5" w:rsidRDefault="00D32CB9" w:rsidP="0008475E">
            <w:pPr>
              <w:pStyle w:val="TableTextLeft"/>
              <w:rPr>
                <w:lang w:val="nb-NO"/>
              </w:rPr>
            </w:pPr>
            <w:r w:rsidRPr="00647FD5">
              <w:rPr>
                <w:lang w:val="nb-NO"/>
              </w:rPr>
              <w:t>Endro Wicaksono</w:t>
            </w:r>
          </w:p>
          <w:p w14:paraId="5368F347" w14:textId="77777777" w:rsidR="00D32CB9" w:rsidRPr="00647FD5" w:rsidRDefault="00D32CB9" w:rsidP="0008475E">
            <w:pPr>
              <w:pStyle w:val="TableTextLeft"/>
              <w:rPr>
                <w:lang w:val="nb-NO"/>
              </w:rPr>
            </w:pPr>
            <w:r w:rsidRPr="00647FD5">
              <w:rPr>
                <w:lang w:val="nb-NO"/>
              </w:rPr>
              <w:t>Ivan Busthomi</w:t>
            </w:r>
          </w:p>
          <w:p w14:paraId="7C49D4E3" w14:textId="77777777" w:rsidR="0008475E" w:rsidRPr="00647FD5" w:rsidRDefault="0008475E" w:rsidP="0008475E">
            <w:pPr>
              <w:pStyle w:val="TableTextLeft"/>
              <w:rPr>
                <w:lang w:val="nb-NO"/>
              </w:rPr>
            </w:pPr>
            <w:r w:rsidRPr="00647FD5">
              <w:rPr>
                <w:lang w:val="nb-NO"/>
              </w:rPr>
              <w:t>Danang Wijaya (BNPB)</w:t>
            </w:r>
          </w:p>
        </w:tc>
        <w:tc>
          <w:tcPr>
            <w:tcW w:w="2321" w:type="dxa"/>
          </w:tcPr>
          <w:p w14:paraId="37791076" w14:textId="77777777" w:rsidR="0008475E" w:rsidRPr="000B7B53" w:rsidRDefault="0008475E" w:rsidP="0008475E">
            <w:pPr>
              <w:pStyle w:val="TableTextLeft"/>
            </w:pPr>
            <w:r w:rsidRPr="000B7B53">
              <w:t>Sorong</w:t>
            </w:r>
          </w:p>
        </w:tc>
        <w:tc>
          <w:tcPr>
            <w:tcW w:w="2321" w:type="dxa"/>
          </w:tcPr>
          <w:p w14:paraId="3A794C6B" w14:textId="77777777" w:rsidR="0008475E" w:rsidRDefault="0008475E" w:rsidP="0008475E">
            <w:pPr>
              <w:pStyle w:val="TableTextLeft"/>
            </w:pPr>
            <w:r w:rsidRPr="000B7B53">
              <w:t>Program 1: OSM and Program 2: InaSAFE</w:t>
            </w:r>
          </w:p>
        </w:tc>
      </w:tr>
      <w:tr w:rsidR="0008475E" w14:paraId="727DA896" w14:textId="77777777" w:rsidTr="00D32CB9">
        <w:trPr>
          <w:cnfStyle w:val="000000010000" w:firstRow="0" w:lastRow="0" w:firstColumn="0" w:lastColumn="0" w:oddVBand="0" w:evenVBand="0" w:oddHBand="0" w:evenHBand="1" w:firstRowFirstColumn="0" w:firstRowLastColumn="0" w:lastRowFirstColumn="0" w:lastRowLastColumn="0"/>
        </w:trPr>
        <w:tc>
          <w:tcPr>
            <w:tcW w:w="2321" w:type="dxa"/>
          </w:tcPr>
          <w:p w14:paraId="6887FDEB" w14:textId="77777777" w:rsidR="0008475E" w:rsidRDefault="0008475E" w:rsidP="0008475E">
            <w:pPr>
              <w:pStyle w:val="TableTextLeft"/>
            </w:pPr>
            <w:r>
              <w:t>14</w:t>
            </w:r>
            <w:r>
              <w:rPr>
                <w:vertAlign w:val="superscript"/>
              </w:rPr>
              <w:t xml:space="preserve">th </w:t>
            </w:r>
            <w:r>
              <w:t>to 15</w:t>
            </w:r>
            <w:r w:rsidRPr="003E365D">
              <w:rPr>
                <w:vertAlign w:val="superscript"/>
              </w:rPr>
              <w:t>th</w:t>
            </w:r>
            <w:r>
              <w:t xml:space="preserve"> November</w:t>
            </w:r>
          </w:p>
        </w:tc>
        <w:tc>
          <w:tcPr>
            <w:tcW w:w="2321" w:type="dxa"/>
          </w:tcPr>
          <w:p w14:paraId="4424FDE2" w14:textId="77777777" w:rsidR="0008475E" w:rsidRDefault="0008475E" w:rsidP="0008475E">
            <w:pPr>
              <w:pStyle w:val="TableTextLeft"/>
            </w:pPr>
            <w:r>
              <w:t>Adi Kurniawan</w:t>
            </w:r>
          </w:p>
        </w:tc>
        <w:tc>
          <w:tcPr>
            <w:tcW w:w="2321" w:type="dxa"/>
          </w:tcPr>
          <w:p w14:paraId="5A2C94F3" w14:textId="77777777" w:rsidR="0008475E" w:rsidRDefault="0008475E" w:rsidP="0008475E">
            <w:pPr>
              <w:pStyle w:val="TableTextLeft"/>
            </w:pPr>
            <w:r>
              <w:t>Bandung</w:t>
            </w:r>
          </w:p>
        </w:tc>
        <w:tc>
          <w:tcPr>
            <w:tcW w:w="2321" w:type="dxa"/>
          </w:tcPr>
          <w:p w14:paraId="7B5B23E9" w14:textId="77777777" w:rsidR="0008475E" w:rsidRDefault="0008475E" w:rsidP="0008475E">
            <w:pPr>
              <w:pStyle w:val="TableTextLeft"/>
            </w:pPr>
            <w:r>
              <w:t>Program 5 and Program 2: post disaster information in InaSAFE</w:t>
            </w:r>
          </w:p>
        </w:tc>
      </w:tr>
      <w:tr w:rsidR="0008475E" w14:paraId="36E4D40D" w14:textId="77777777" w:rsidTr="00D32CB9">
        <w:trPr>
          <w:cnfStyle w:val="000000100000" w:firstRow="0" w:lastRow="0" w:firstColumn="0" w:lastColumn="0" w:oddVBand="0" w:evenVBand="0" w:oddHBand="1" w:evenHBand="0" w:firstRowFirstColumn="0" w:firstRowLastColumn="0" w:lastRowFirstColumn="0" w:lastRowLastColumn="0"/>
        </w:trPr>
        <w:tc>
          <w:tcPr>
            <w:tcW w:w="2321" w:type="dxa"/>
          </w:tcPr>
          <w:p w14:paraId="59B987F0" w14:textId="77777777" w:rsidR="0008475E" w:rsidRDefault="0008475E" w:rsidP="0008475E">
            <w:pPr>
              <w:pStyle w:val="TableTextLeft"/>
            </w:pPr>
            <w:r>
              <w:t>19</w:t>
            </w:r>
            <w:r>
              <w:rPr>
                <w:vertAlign w:val="superscript"/>
              </w:rPr>
              <w:t xml:space="preserve">th </w:t>
            </w:r>
            <w:r>
              <w:t>to 25</w:t>
            </w:r>
            <w:r w:rsidRPr="003E365D">
              <w:rPr>
                <w:vertAlign w:val="superscript"/>
              </w:rPr>
              <w:t>th</w:t>
            </w:r>
            <w:r>
              <w:t xml:space="preserve"> November</w:t>
            </w:r>
          </w:p>
        </w:tc>
        <w:tc>
          <w:tcPr>
            <w:tcW w:w="2321" w:type="dxa"/>
          </w:tcPr>
          <w:p w14:paraId="3DA0EF5C" w14:textId="77777777" w:rsidR="0008475E" w:rsidRDefault="0008475E" w:rsidP="0008475E">
            <w:pPr>
              <w:pStyle w:val="TableTextLeft"/>
            </w:pPr>
            <w:r>
              <w:t>Adi Kurniawan and Felix Yanuar Endro Wicaksono</w:t>
            </w:r>
          </w:p>
        </w:tc>
        <w:tc>
          <w:tcPr>
            <w:tcW w:w="2321" w:type="dxa"/>
          </w:tcPr>
          <w:p w14:paraId="620B68D9" w14:textId="77777777" w:rsidR="0008475E" w:rsidRDefault="0008475E" w:rsidP="0008475E">
            <w:pPr>
              <w:pStyle w:val="TableTextLeft"/>
            </w:pPr>
            <w:r>
              <w:t>Padang</w:t>
            </w:r>
          </w:p>
        </w:tc>
        <w:tc>
          <w:tcPr>
            <w:tcW w:w="2321" w:type="dxa"/>
          </w:tcPr>
          <w:p w14:paraId="6AC23129" w14:textId="77777777" w:rsidR="0008475E" w:rsidRDefault="0008475E" w:rsidP="0008475E">
            <w:pPr>
              <w:pStyle w:val="TableTextLeft"/>
            </w:pPr>
            <w:r>
              <w:t>Program 2: InsaSAFE and community and sustainability</w:t>
            </w:r>
          </w:p>
        </w:tc>
      </w:tr>
      <w:tr w:rsidR="0008475E" w14:paraId="4EE9A4AA" w14:textId="77777777" w:rsidTr="00D32CB9">
        <w:trPr>
          <w:cnfStyle w:val="000000010000" w:firstRow="0" w:lastRow="0" w:firstColumn="0" w:lastColumn="0" w:oddVBand="0" w:evenVBand="0" w:oddHBand="0" w:evenHBand="1" w:firstRowFirstColumn="0" w:firstRowLastColumn="0" w:lastRowFirstColumn="0" w:lastRowLastColumn="0"/>
        </w:trPr>
        <w:tc>
          <w:tcPr>
            <w:tcW w:w="2321" w:type="dxa"/>
          </w:tcPr>
          <w:p w14:paraId="03A7CE9E" w14:textId="77777777" w:rsidR="0008475E" w:rsidRDefault="0008475E" w:rsidP="0008475E">
            <w:pPr>
              <w:pStyle w:val="TableTextLeft"/>
            </w:pPr>
            <w:r>
              <w:t>22</w:t>
            </w:r>
            <w:r w:rsidRPr="003E365D">
              <w:rPr>
                <w:vertAlign w:val="superscript"/>
              </w:rPr>
              <w:t>nd</w:t>
            </w:r>
            <w:r>
              <w:t xml:space="preserve"> December</w:t>
            </w:r>
          </w:p>
        </w:tc>
        <w:tc>
          <w:tcPr>
            <w:tcW w:w="2321" w:type="dxa"/>
          </w:tcPr>
          <w:p w14:paraId="57AE3958" w14:textId="77777777" w:rsidR="0008475E" w:rsidRDefault="0008475E" w:rsidP="0008475E">
            <w:pPr>
              <w:pStyle w:val="TableTextLeft"/>
            </w:pPr>
            <w:r>
              <w:t>Ivan Busthomi</w:t>
            </w:r>
          </w:p>
        </w:tc>
        <w:tc>
          <w:tcPr>
            <w:tcW w:w="2321" w:type="dxa"/>
          </w:tcPr>
          <w:p w14:paraId="51DADCC7" w14:textId="77777777" w:rsidR="0008475E" w:rsidRDefault="0008475E" w:rsidP="0008475E">
            <w:pPr>
              <w:pStyle w:val="TableTextLeft"/>
            </w:pPr>
            <w:r>
              <w:t>Yogyakarta</w:t>
            </w:r>
          </w:p>
        </w:tc>
        <w:tc>
          <w:tcPr>
            <w:tcW w:w="2321" w:type="dxa"/>
          </w:tcPr>
          <w:p w14:paraId="5454A924" w14:textId="77777777" w:rsidR="0008475E" w:rsidRDefault="0008475E" w:rsidP="0008475E">
            <w:pPr>
              <w:pStyle w:val="TableTextLeft"/>
            </w:pPr>
            <w:r>
              <w:t>Program 2: InaSAFE academic community and sustainability</w:t>
            </w:r>
          </w:p>
        </w:tc>
      </w:tr>
      <w:bookmarkEnd w:id="34"/>
    </w:tbl>
    <w:p w14:paraId="745EFEBF" w14:textId="77777777" w:rsidR="0008475E" w:rsidRPr="0008475E" w:rsidRDefault="0008475E" w:rsidP="0008475E">
      <w:pPr>
        <w:pStyle w:val="BodyText"/>
      </w:pPr>
    </w:p>
    <w:p w14:paraId="7B5FE24A" w14:textId="77777777" w:rsidR="00CD50DE" w:rsidRDefault="00CD50DE" w:rsidP="00A05166">
      <w:pPr>
        <w:pStyle w:val="BodyText"/>
      </w:pPr>
    </w:p>
    <w:p w14:paraId="2879294B" w14:textId="77777777" w:rsidR="0008475E" w:rsidRDefault="0008475E">
      <w:pPr>
        <w:rPr>
          <w:color w:val="auto"/>
        </w:rPr>
      </w:pPr>
      <w:r>
        <w:br w:type="page"/>
      </w:r>
    </w:p>
    <w:p w14:paraId="4B31F830" w14:textId="77777777" w:rsidR="0008475E" w:rsidRDefault="0008475E" w:rsidP="0008475E">
      <w:pPr>
        <w:pStyle w:val="Heading1"/>
      </w:pPr>
      <w:bookmarkStart w:id="42" w:name="_Toc514226313"/>
      <w:bookmarkStart w:id="43" w:name="_Toc524508502"/>
      <w:r>
        <w:t>Acknowledgements</w:t>
      </w:r>
      <w:bookmarkEnd w:id="42"/>
      <w:bookmarkEnd w:id="43"/>
    </w:p>
    <w:p w14:paraId="59AF6C6D" w14:textId="4FBE6F63" w:rsidR="00A04B33" w:rsidRPr="009C5942" w:rsidRDefault="0008475E" w:rsidP="009C5942">
      <w:pPr>
        <w:pStyle w:val="BodyText"/>
      </w:pPr>
      <w:r w:rsidRPr="009C5942">
        <w:t>GA wishes to acknowledge and thank the DFAT Devel</w:t>
      </w:r>
      <w:r w:rsidR="009D48B4" w:rsidRPr="009C5942">
        <w:t xml:space="preserve">opment Program for funding the DMInnovation </w:t>
      </w:r>
      <w:r w:rsidR="00B413BD">
        <w:t>p</w:t>
      </w:r>
      <w:r w:rsidR="00B413BD" w:rsidRPr="009C5942">
        <w:t>roject</w:t>
      </w:r>
      <w:r w:rsidR="009D48B4" w:rsidRPr="009C5942">
        <w:t>.</w:t>
      </w:r>
      <w:r w:rsidRPr="009C5942">
        <w:t xml:space="preserve"> We acknowledge our Government of Indonesia partners for their contribution towards the shared goals of these activities. </w:t>
      </w:r>
      <w:r w:rsidR="00A04B33" w:rsidRPr="009C5942">
        <w:t>This program has been delivered in partnership with many collaborators as summarised below:</w:t>
      </w:r>
    </w:p>
    <w:p w14:paraId="4E205737" w14:textId="6CCD3160" w:rsidR="00A04B33" w:rsidRDefault="00FA5B03" w:rsidP="0008475E">
      <w:pPr>
        <w:pStyle w:val="BodyText"/>
      </w:pPr>
      <w:r>
        <w:rPr>
          <w:noProof/>
        </w:rPr>
        <w:drawing>
          <wp:inline distT="0" distB="0" distL="0" distR="0" wp14:anchorId="4F58F13F" wp14:editId="5805AD10">
            <wp:extent cx="5756275" cy="3492500"/>
            <wp:effectExtent l="0" t="0" r="0" b="0"/>
            <wp:docPr id="1" name="Picture 1" descr="Z:\DMInnovation - 2017-2018\reporting\Completion Report\Draft Report\CollectionofLogosForAcknowledg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MInnovation - 2017-2018\reporting\Completion Report\Draft Report\CollectionofLogosForAcknowledgement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6275" cy="3492500"/>
                    </a:xfrm>
                    <a:prstGeom prst="rect">
                      <a:avLst/>
                    </a:prstGeom>
                    <a:noFill/>
                    <a:ln>
                      <a:noFill/>
                    </a:ln>
                  </pic:spPr>
                </pic:pic>
              </a:graphicData>
            </a:graphic>
          </wp:inline>
        </w:drawing>
      </w:r>
    </w:p>
    <w:p w14:paraId="41D50C9A" w14:textId="57C3F8C3" w:rsidR="00A04B33" w:rsidRPr="00BB1184" w:rsidRDefault="00F36AC5" w:rsidP="009C5942">
      <w:pPr>
        <w:pStyle w:val="BodyText"/>
      </w:pPr>
      <w:r>
        <w:t xml:space="preserve">GA </w:t>
      </w:r>
      <w:r w:rsidR="0008475E" w:rsidRPr="00BB1184">
        <w:t>would like to highlight that the success of these activities would not have been possible without the hard work of our contract and</w:t>
      </w:r>
      <w:r w:rsidR="00BB1184" w:rsidRPr="00BB1184">
        <w:t xml:space="preserve"> grant implementation partners:</w:t>
      </w:r>
      <w:r w:rsidR="00CA24AD">
        <w:t xml:space="preserve"> </w:t>
      </w:r>
      <w:r w:rsidR="00BB1184" w:rsidRPr="00BB1184">
        <w:t>Kartoza</w:t>
      </w:r>
      <w:r w:rsidR="00CA24AD">
        <w:t xml:space="preserve">; </w:t>
      </w:r>
      <w:r w:rsidR="0008475E" w:rsidRPr="00BB1184">
        <w:t>Humanitarian OpenStreetMap Team</w:t>
      </w:r>
      <w:r w:rsidR="00BB1184" w:rsidRPr="00BB1184">
        <w:t xml:space="preserve"> (HOT)</w:t>
      </w:r>
      <w:r w:rsidR="00CA24AD">
        <w:t xml:space="preserve">; </w:t>
      </w:r>
      <w:r w:rsidR="00BB1184" w:rsidRPr="00BB1184">
        <w:t>The Alfred Wegner Institute</w:t>
      </w:r>
      <w:r w:rsidR="00CA24AD">
        <w:t xml:space="preserve">; </w:t>
      </w:r>
      <w:r w:rsidR="00BB1184" w:rsidRPr="00BB1184">
        <w:t>Gempa</w:t>
      </w:r>
      <w:r w:rsidR="00CA24AD">
        <w:t xml:space="preserve">; </w:t>
      </w:r>
      <w:r w:rsidR="00A04B33">
        <w:t>University of Wollongong</w:t>
      </w:r>
      <w:r w:rsidR="00CA24AD">
        <w:t xml:space="preserve">; </w:t>
      </w:r>
      <w:r w:rsidR="00BB1184" w:rsidRPr="00BB1184">
        <w:t>Institut Teknologi Bandung (ITB)</w:t>
      </w:r>
      <w:r w:rsidR="00CA24AD">
        <w:t xml:space="preserve">; </w:t>
      </w:r>
      <w:r w:rsidR="0008475E" w:rsidRPr="00BB1184">
        <w:t>The Australian National University</w:t>
      </w:r>
      <w:r w:rsidR="00BB1184" w:rsidRPr="00BB1184">
        <w:t xml:space="preserve"> (ANU)</w:t>
      </w:r>
      <w:r w:rsidR="00CA24AD">
        <w:t xml:space="preserve">; </w:t>
      </w:r>
      <w:r w:rsidR="00A04B33">
        <w:t xml:space="preserve">North Road; and </w:t>
      </w:r>
      <w:r w:rsidR="00CA24AD">
        <w:t>the Fall3D Development Team</w:t>
      </w:r>
      <w:r w:rsidR="00A04B33">
        <w:t xml:space="preserve">. </w:t>
      </w:r>
    </w:p>
    <w:p w14:paraId="434080FA" w14:textId="142B3BD7" w:rsidR="0008475E" w:rsidRPr="008E61F4" w:rsidRDefault="0008475E" w:rsidP="009C5942">
      <w:pPr>
        <w:pStyle w:val="BodyText"/>
      </w:pPr>
      <w:r w:rsidRPr="00BB1184">
        <w:t xml:space="preserve">Finally </w:t>
      </w:r>
      <w:r w:rsidR="00F36AC5">
        <w:t>GA</w:t>
      </w:r>
      <w:r w:rsidR="00F36AC5" w:rsidRPr="00BB1184">
        <w:t xml:space="preserve"> </w:t>
      </w:r>
      <w:r w:rsidRPr="00BB1184">
        <w:t>would like to thank Simon Field, the Project Director and the HKL/Palladium</w:t>
      </w:r>
      <w:r w:rsidR="00B010B7">
        <w:t xml:space="preserve"> team</w:t>
      </w:r>
      <w:r w:rsidRPr="00BB1184">
        <w:t xml:space="preserve">, who </w:t>
      </w:r>
      <w:r w:rsidR="00A04B33">
        <w:t xml:space="preserve">formed a significant part of the DMInnovation Family during Phase 3 of the program. </w:t>
      </w:r>
    </w:p>
    <w:p w14:paraId="1CA0CA11" w14:textId="59A36944" w:rsidR="00A05166" w:rsidRPr="00A05166" w:rsidRDefault="00564E18" w:rsidP="009C5942">
      <w:pPr>
        <w:pStyle w:val="BodyText"/>
      </w:pPr>
      <w:r w:rsidRPr="005972FC">
        <w:t>The completion of</w:t>
      </w:r>
      <w:r w:rsidR="00B413BD">
        <w:t xml:space="preserve"> the DMInnovation project</w:t>
      </w:r>
      <w:r w:rsidRPr="005972FC">
        <w:t xml:space="preserve"> concludes the 10 year partnership between GA and the Government of Indonesia partners on disaster management. Over those 10 years, GA has forged strong and enduring relationships with science and technical agencies at both organisational and personal levels. GA welcomes opportunities to continue partnering with the Government of Indonesia in the future to help Australia and DFAT reach its Development Program goals in the Indo-Pacific region.</w:t>
      </w:r>
    </w:p>
    <w:p w14:paraId="5F74C072" w14:textId="77777777" w:rsidR="00B600F1" w:rsidRDefault="00B600F1" w:rsidP="009C5942">
      <w:pPr>
        <w:pStyle w:val="BodyText"/>
      </w:pPr>
    </w:p>
    <w:sectPr w:rsidR="00B600F1" w:rsidSect="002503A7">
      <w:footerReference w:type="even" r:id="rId23"/>
      <w:footerReference w:type="default" r:id="rId24"/>
      <w:pgSz w:w="11907" w:h="16840" w:code="9"/>
      <w:pgMar w:top="1418" w:right="1418" w:bottom="1418" w:left="1418" w:header="567" w:footer="17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2D41E6" w16cid:durableId="1EDFC7E7"/>
  <w16cid:commentId w16cid:paraId="3745F37D" w16cid:durableId="1EDFCC84"/>
  <w16cid:commentId w16cid:paraId="119AE192" w16cid:durableId="1EDFCCF1"/>
  <w16cid:commentId w16cid:paraId="7DCC6BBC" w16cid:durableId="1EDFD08D"/>
  <w16cid:commentId w16cid:paraId="264E195D" w16cid:durableId="1EDFD72B"/>
  <w16cid:commentId w16cid:paraId="1D2FC740" w16cid:durableId="1EDFC7E8"/>
  <w16cid:commentId w16cid:paraId="4CFB9A25" w16cid:durableId="1EDFE43A"/>
  <w16cid:commentId w16cid:paraId="6B556A9C" w16cid:durableId="1EDFE26F"/>
  <w16cid:commentId w16cid:paraId="46E7D576" w16cid:durableId="1EDFC7EA"/>
  <w16cid:commentId w16cid:paraId="79761085" w16cid:durableId="1EDFE5D8"/>
  <w16cid:commentId w16cid:paraId="4164B621" w16cid:durableId="1EDFC7EB"/>
  <w16cid:commentId w16cid:paraId="127F2F62" w16cid:durableId="1EDFE6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13AFE" w14:textId="77777777" w:rsidR="006374C2" w:rsidRPr="00E5034F" w:rsidRDefault="006374C2" w:rsidP="00E5034F">
      <w:pPr>
        <w:pStyle w:val="FootnoteText"/>
      </w:pPr>
    </w:p>
    <w:p w14:paraId="4290E6C2" w14:textId="77777777" w:rsidR="006374C2" w:rsidRDefault="006374C2"/>
    <w:p w14:paraId="4BF17B11" w14:textId="77777777" w:rsidR="006374C2" w:rsidRDefault="006374C2"/>
  </w:endnote>
  <w:endnote w:type="continuationSeparator" w:id="0">
    <w:p w14:paraId="63EA8660" w14:textId="77777777" w:rsidR="006374C2" w:rsidRPr="00E5034F" w:rsidRDefault="006374C2" w:rsidP="00E5034F">
      <w:pPr>
        <w:pStyle w:val="FootnoteText"/>
      </w:pPr>
    </w:p>
    <w:p w14:paraId="37320936" w14:textId="77777777" w:rsidR="006374C2" w:rsidRDefault="006374C2"/>
    <w:p w14:paraId="15982B85" w14:textId="77777777" w:rsidR="006374C2" w:rsidRDefault="006374C2"/>
  </w:endnote>
  <w:endnote w:type="continuationNotice" w:id="1">
    <w:p w14:paraId="30AE4BB4" w14:textId="77777777" w:rsidR="006374C2" w:rsidRDefault="006374C2" w:rsidP="00E5034F">
      <w:pPr>
        <w:pStyle w:val="FootnoteText"/>
      </w:pPr>
    </w:p>
    <w:p w14:paraId="299AF648" w14:textId="77777777" w:rsidR="006374C2" w:rsidRDefault="006374C2"/>
    <w:p w14:paraId="38E70358" w14:textId="77777777" w:rsidR="006374C2" w:rsidRDefault="00637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8904" w14:textId="77777777" w:rsidR="001D4650" w:rsidRDefault="001D4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03F6F" w14:textId="77777777" w:rsidR="001D4650" w:rsidRDefault="001D4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DE63" w14:textId="77777777" w:rsidR="001D4650" w:rsidRDefault="001D46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379317"/>
      <w:docPartObj>
        <w:docPartGallery w:val="Page Numbers (Bottom of Page)"/>
        <w:docPartUnique/>
      </w:docPartObj>
    </w:sdtPr>
    <w:sdtEndPr>
      <w:rPr>
        <w:rStyle w:val="PageNumber"/>
      </w:rPr>
    </w:sdtEndPr>
    <w:sdtContent>
      <w:p w14:paraId="7B5760E3" w14:textId="77777777" w:rsidR="005449E3" w:rsidRPr="000B1669" w:rsidRDefault="005449E3" w:rsidP="00E1079C">
        <w:pPr>
          <w:pStyle w:val="Footer"/>
          <w:rPr>
            <w:rStyle w:val="PageNumber"/>
          </w:rPr>
        </w:pPr>
        <w:r w:rsidRPr="000B1669">
          <w:rPr>
            <w:rStyle w:val="PageNumber"/>
          </w:rPr>
          <w:fldChar w:fldCharType="begin"/>
        </w:r>
        <w:r w:rsidRPr="000B1669">
          <w:rPr>
            <w:rStyle w:val="PageNumber"/>
          </w:rPr>
          <w:instrText xml:space="preserve"> PAGE   \* MERGEFORMAT </w:instrText>
        </w:r>
        <w:r w:rsidRPr="000B1669">
          <w:rPr>
            <w:rStyle w:val="PageNumber"/>
          </w:rPr>
          <w:fldChar w:fldCharType="separate"/>
        </w:r>
        <w:r>
          <w:rPr>
            <w:rStyle w:val="PageNumber"/>
            <w:noProof/>
          </w:rPr>
          <w:t>iv</w:t>
        </w:r>
        <w:r w:rsidRPr="000B1669">
          <w:rPr>
            <w:rStyle w:val="PageNumber"/>
          </w:rPr>
          <w:fldChar w:fldCharType="end"/>
        </w:r>
        <w:r>
          <w:rPr>
            <w:rStyle w:val="PageNumber"/>
          </w:rPr>
          <w:ptab w:relativeTo="margin" w:alignment="right" w:leader="none"/>
        </w:r>
        <w:r w:rsidRPr="00CD50DE">
          <w:t xml:space="preserve"> Completion Report: Cooperation on the Disaster Risk Management Program in Indonesia</w:t>
        </w:r>
        <w:r>
          <w:t xml:space="preserve"> (Volume 1)</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04710"/>
      <w:docPartObj>
        <w:docPartGallery w:val="Page Numbers (Bottom of Page)"/>
        <w:docPartUnique/>
      </w:docPartObj>
    </w:sdtPr>
    <w:sdtEndPr>
      <w:rPr>
        <w:noProof/>
      </w:rPr>
    </w:sdtEndPr>
    <w:sdtContent>
      <w:p w14:paraId="6C116B1D" w14:textId="01402BD1" w:rsidR="005449E3" w:rsidRDefault="005449E3" w:rsidP="00135632">
        <w:pPr>
          <w:pStyle w:val="Footer"/>
        </w:pPr>
        <w:r>
          <w:t>Completion Report: Cooperation on t</w:t>
        </w:r>
        <w:r w:rsidRPr="00CD50DE">
          <w:t>he Di</w:t>
        </w:r>
        <w:r>
          <w:t>saster Risk Management Program i</w:t>
        </w:r>
        <w:r w:rsidRPr="00CD50DE">
          <w:t>n Indonesia</w:t>
        </w:r>
        <w:r>
          <w:t xml:space="preserve"> (Volume 1)</w:t>
        </w:r>
        <w:r>
          <w:ptab w:relativeTo="margin" w:alignment="right" w:leader="none"/>
        </w:r>
        <w:r w:rsidRPr="008E7CDC">
          <w:rPr>
            <w:rStyle w:val="PageNumber"/>
          </w:rPr>
          <w:fldChar w:fldCharType="begin"/>
        </w:r>
        <w:r w:rsidRPr="008E7CDC">
          <w:rPr>
            <w:rStyle w:val="PageNumber"/>
          </w:rPr>
          <w:instrText xml:space="preserve"> PAGE   \* MERGEFORMAT </w:instrText>
        </w:r>
        <w:r w:rsidRPr="008E7CDC">
          <w:rPr>
            <w:rStyle w:val="PageNumber"/>
          </w:rPr>
          <w:fldChar w:fldCharType="separate"/>
        </w:r>
        <w:r w:rsidR="001D4650">
          <w:rPr>
            <w:rStyle w:val="PageNumber"/>
            <w:noProof/>
          </w:rPr>
          <w:t>iii</w:t>
        </w:r>
        <w:r w:rsidRPr="008E7CDC">
          <w:rPr>
            <w:rStyle w:val="PageNumber"/>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07A96" w14:textId="569C7B00" w:rsidR="005449E3" w:rsidRPr="000B1669" w:rsidRDefault="001D4650" w:rsidP="00D357BB">
    <w:pPr>
      <w:pStyle w:val="Footer"/>
      <w:rPr>
        <w:rStyle w:val="PageNumber"/>
      </w:rPr>
    </w:pPr>
    <w:sdt>
      <w:sdtPr>
        <w:id w:val="1100917548"/>
        <w:docPartObj>
          <w:docPartGallery w:val="Page Numbers (Bottom of Page)"/>
          <w:docPartUnique/>
        </w:docPartObj>
      </w:sdtPr>
      <w:sdtEndPr>
        <w:rPr>
          <w:rStyle w:val="PageNumber"/>
        </w:rPr>
      </w:sdtEndPr>
      <w:sdtContent>
        <w:r w:rsidR="005449E3" w:rsidRPr="000B1669">
          <w:rPr>
            <w:rStyle w:val="PageNumber"/>
          </w:rPr>
          <w:fldChar w:fldCharType="begin"/>
        </w:r>
        <w:r w:rsidR="005449E3" w:rsidRPr="000B1669">
          <w:rPr>
            <w:rStyle w:val="PageNumber"/>
          </w:rPr>
          <w:instrText xml:space="preserve"> PAGE   \* MERGEFORMAT </w:instrText>
        </w:r>
        <w:r w:rsidR="005449E3" w:rsidRPr="000B1669">
          <w:rPr>
            <w:rStyle w:val="PageNumber"/>
          </w:rPr>
          <w:fldChar w:fldCharType="separate"/>
        </w:r>
        <w:r>
          <w:rPr>
            <w:rStyle w:val="PageNumber"/>
            <w:noProof/>
          </w:rPr>
          <w:t>16</w:t>
        </w:r>
        <w:r w:rsidR="005449E3" w:rsidRPr="000B1669">
          <w:rPr>
            <w:rStyle w:val="PageNumber"/>
          </w:rPr>
          <w:fldChar w:fldCharType="end"/>
        </w:r>
        <w:r w:rsidR="005449E3">
          <w:rPr>
            <w:rStyle w:val="PageNumber"/>
          </w:rPr>
          <w:ptab w:relativeTo="margin" w:alignment="right" w:leader="none"/>
        </w:r>
        <w:r w:rsidR="005449E3" w:rsidRPr="00084912">
          <w:t xml:space="preserve"> </w:t>
        </w:r>
        <w:r w:rsidR="005449E3" w:rsidRPr="00CD50DE">
          <w:t>Completion Report: Cooperation on the Disaster Risk Management Program in Indonesia</w:t>
        </w:r>
      </w:sdtContent>
    </w:sdt>
    <w:r w:rsidR="005449E3">
      <w:rPr>
        <w:rStyle w:val="PageNumber"/>
      </w:rPr>
      <w:t xml:space="preserve"> (Volume 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224479"/>
      <w:docPartObj>
        <w:docPartGallery w:val="Page Numbers (Bottom of Page)"/>
        <w:docPartUnique/>
      </w:docPartObj>
    </w:sdtPr>
    <w:sdtEndPr>
      <w:rPr>
        <w:noProof/>
      </w:rPr>
    </w:sdtEndPr>
    <w:sdtContent>
      <w:p w14:paraId="00388149" w14:textId="26B8EF40" w:rsidR="005449E3" w:rsidRDefault="005449E3" w:rsidP="00D357BB">
        <w:pPr>
          <w:pStyle w:val="Footer"/>
        </w:pPr>
        <w:r>
          <w:t>Completion Report: Cooperation on t</w:t>
        </w:r>
        <w:r w:rsidRPr="00CD50DE">
          <w:t>he Di</w:t>
        </w:r>
        <w:r>
          <w:t>saster Risk Management Program i</w:t>
        </w:r>
        <w:r w:rsidRPr="00CD50DE">
          <w:t>n Indonesia</w:t>
        </w:r>
        <w:r>
          <w:t xml:space="preserve"> (Volume 1)</w:t>
        </w:r>
        <w:r>
          <w:ptab w:relativeTo="margin" w:alignment="right" w:leader="none"/>
        </w:r>
        <w:r w:rsidRPr="008E7CDC">
          <w:rPr>
            <w:rStyle w:val="PageNumber"/>
          </w:rPr>
          <w:fldChar w:fldCharType="begin"/>
        </w:r>
        <w:r w:rsidRPr="008E7CDC">
          <w:rPr>
            <w:rStyle w:val="PageNumber"/>
          </w:rPr>
          <w:instrText xml:space="preserve"> PAGE   \* MERGEFORMAT </w:instrText>
        </w:r>
        <w:r w:rsidRPr="008E7CDC">
          <w:rPr>
            <w:rStyle w:val="PageNumber"/>
          </w:rPr>
          <w:fldChar w:fldCharType="separate"/>
        </w:r>
        <w:r w:rsidR="001D4650">
          <w:rPr>
            <w:rStyle w:val="PageNumber"/>
            <w:noProof/>
          </w:rPr>
          <w:t>17</w:t>
        </w:r>
        <w:r w:rsidRPr="008E7CDC">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99D12" w14:textId="77777777" w:rsidR="006374C2" w:rsidRPr="00050174" w:rsidRDefault="006374C2" w:rsidP="00050174">
      <w:pPr>
        <w:pStyle w:val="FootnoteText"/>
      </w:pPr>
    </w:p>
  </w:footnote>
  <w:footnote w:type="continuationSeparator" w:id="0">
    <w:p w14:paraId="541B4F7F" w14:textId="77777777" w:rsidR="006374C2" w:rsidRPr="00050174" w:rsidRDefault="006374C2" w:rsidP="00050174">
      <w:pPr>
        <w:pStyle w:val="FootnoteText"/>
      </w:pPr>
    </w:p>
  </w:footnote>
  <w:footnote w:type="continuationNotice" w:id="1">
    <w:p w14:paraId="56301E23" w14:textId="77777777" w:rsidR="006374C2" w:rsidRPr="00050174" w:rsidRDefault="006374C2" w:rsidP="00050174">
      <w:pPr>
        <w:pStyle w:val="FootnoteText"/>
      </w:pPr>
    </w:p>
  </w:footnote>
  <w:footnote w:id="2">
    <w:p w14:paraId="00EC5BAB" w14:textId="77777777" w:rsidR="005449E3" w:rsidRDefault="005449E3" w:rsidP="00D7381C">
      <w:pPr>
        <w:pStyle w:val="FootnoteText"/>
      </w:pPr>
      <w:r>
        <w:rPr>
          <w:rStyle w:val="FootnoteReference"/>
        </w:rPr>
        <w:footnoteRef/>
      </w:r>
      <w:r>
        <w:t xml:space="preserve"> These values are as reported by HOT in May 2018. </w:t>
      </w:r>
    </w:p>
  </w:footnote>
  <w:footnote w:id="3">
    <w:p w14:paraId="38FE8AB6" w14:textId="3501733D" w:rsidR="005449E3" w:rsidRDefault="005449E3">
      <w:pPr>
        <w:pStyle w:val="FootnoteText"/>
      </w:pPr>
      <w:r>
        <w:rPr>
          <w:rStyle w:val="FootnoteReference"/>
        </w:rPr>
        <w:footnoteRef/>
      </w:r>
      <w:r>
        <w:t xml:space="preserve"> As this report was going to press InaSAFE Realtime worked successfully and was used by BNPB to inform the initial responses to the Magnitude 6.9 5 August 2018 and the Magnitude 6.4 29 July 2018 earthquakes in Lombok. These were the first two significant Indonesian earthquake following the closure of DMInnovation.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EDB5" w14:textId="77777777" w:rsidR="001D4650" w:rsidRDefault="001D4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88C5" w14:textId="77777777" w:rsidR="001D4650" w:rsidRDefault="001D4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7CC0" w14:textId="77777777" w:rsidR="001D4650" w:rsidRDefault="001D46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6D18C" w14:textId="77777777" w:rsidR="005449E3" w:rsidRPr="00E34239" w:rsidRDefault="005449E3" w:rsidP="00E34239">
    <w:pPr>
      <w:pStyle w:val="BodyTex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6776" w14:textId="77777777" w:rsidR="005449E3" w:rsidRPr="00E34239" w:rsidRDefault="005449E3" w:rsidP="00E34239">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D258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EB094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741F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F8A7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1E1A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DCDF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1EFB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A29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1E5A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A090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12767B18"/>
    <w:lvl w:ilvl="0">
      <w:start w:val="1"/>
      <w:numFmt w:val="decimal"/>
      <w:pStyle w:val="Notes"/>
      <w:lvlText w:val="%1."/>
      <w:lvlJc w:val="left"/>
      <w:pPr>
        <w:tabs>
          <w:tab w:val="num" w:pos="360"/>
        </w:tabs>
        <w:ind w:left="360" w:hanging="360"/>
      </w:pPr>
    </w:lvl>
  </w:abstractNum>
  <w:abstractNum w:abstractNumId="11" w15:restartNumberingAfterBreak="0">
    <w:nsid w:val="00D62FE1"/>
    <w:multiLevelType w:val="multilevel"/>
    <w:tmpl w:val="A4B8C762"/>
    <w:styleLink w:val="GAAppendices"/>
    <w:lvl w:ilvl="0">
      <w:start w:val="1"/>
      <w:numFmt w:val="upperLetter"/>
      <w:suff w:val="space"/>
      <w:lvlText w:val="Appendix %1"/>
      <w:lvlJc w:val="left"/>
      <w:pPr>
        <w:ind w:left="0" w:firstLine="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01C80A0C"/>
    <w:multiLevelType w:val="multilevel"/>
    <w:tmpl w:val="26BE9DAC"/>
    <w:lvl w:ilvl="0">
      <w:start w:val="1"/>
      <w:numFmt w:val="bullet"/>
      <w:pStyle w:val="ListBulletLevel1"/>
      <w:lvlText w:val=""/>
      <w:lvlJc w:val="left"/>
      <w:pPr>
        <w:tabs>
          <w:tab w:val="num" w:pos="312"/>
        </w:tabs>
        <w:ind w:left="312" w:hanging="312"/>
      </w:pPr>
      <w:rPr>
        <w:rFonts w:ascii="Symbol" w:hAnsi="Symbol" w:hint="default"/>
        <w:color w:val="auto"/>
        <w:sz w:val="16"/>
        <w:szCs w:val="16"/>
      </w:rPr>
    </w:lvl>
    <w:lvl w:ilvl="1">
      <w:start w:val="1"/>
      <w:numFmt w:val="bullet"/>
      <w:pStyle w:val="ListBulletLevel2"/>
      <w:lvlText w:val="o"/>
      <w:lvlJc w:val="left"/>
      <w:pPr>
        <w:tabs>
          <w:tab w:val="num" w:pos="624"/>
        </w:tabs>
        <w:ind w:left="624" w:hanging="312"/>
      </w:pPr>
      <w:rPr>
        <w:rFonts w:ascii="Courier New" w:hAnsi="Courier New" w:cs="Courier New" w:hint="default"/>
        <w:color w:val="auto"/>
        <w:sz w:val="16"/>
        <w:szCs w:val="16"/>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207720D"/>
    <w:multiLevelType w:val="multilevel"/>
    <w:tmpl w:val="71DA1A00"/>
    <w:lvl w:ilvl="0">
      <w:start w:val="1"/>
      <w:numFmt w:val="decimal"/>
      <w:pStyle w:val="ListNumberedLevel1"/>
      <w:lvlText w:val="%1."/>
      <w:lvlJc w:val="left"/>
      <w:pPr>
        <w:tabs>
          <w:tab w:val="num" w:pos="312"/>
        </w:tabs>
        <w:ind w:left="312" w:hanging="312"/>
      </w:pPr>
      <w:rPr>
        <w:rFonts w:hint="default"/>
      </w:rPr>
    </w:lvl>
    <w:lvl w:ilvl="1">
      <w:start w:val="1"/>
      <w:numFmt w:val="lowerLetter"/>
      <w:pStyle w:val="ListNumberedLevel2"/>
      <w:lvlText w:val="%2."/>
      <w:lvlJc w:val="left"/>
      <w:pPr>
        <w:tabs>
          <w:tab w:val="num" w:pos="624"/>
        </w:tabs>
        <w:ind w:left="624" w:hanging="312"/>
      </w:pPr>
      <w:rPr>
        <w:rFonts w:hint="default"/>
      </w:rPr>
    </w:lvl>
    <w:lvl w:ilvl="2">
      <w:start w:val="1"/>
      <w:numFmt w:val="none"/>
      <w:lvlText w:val=""/>
      <w:lvlJc w:val="left"/>
      <w:pPr>
        <w:ind w:left="2269" w:hanging="283"/>
      </w:pPr>
      <w:rPr>
        <w:rFonts w:hint="default"/>
      </w:rPr>
    </w:lvl>
    <w:lvl w:ilvl="3">
      <w:start w:val="1"/>
      <w:numFmt w:val="none"/>
      <w:lvlText w:val=""/>
      <w:lvlJc w:val="left"/>
      <w:pPr>
        <w:ind w:left="3120" w:hanging="283"/>
      </w:pPr>
      <w:rPr>
        <w:rFonts w:hint="default"/>
      </w:rPr>
    </w:lvl>
    <w:lvl w:ilvl="4">
      <w:start w:val="1"/>
      <w:numFmt w:val="none"/>
      <w:lvlText w:val=""/>
      <w:lvlJc w:val="left"/>
      <w:pPr>
        <w:ind w:left="3971" w:hanging="283"/>
      </w:pPr>
      <w:rPr>
        <w:rFonts w:hint="default"/>
      </w:rPr>
    </w:lvl>
    <w:lvl w:ilvl="5">
      <w:start w:val="1"/>
      <w:numFmt w:val="none"/>
      <w:lvlText w:val=""/>
      <w:lvlJc w:val="left"/>
      <w:pPr>
        <w:ind w:left="4822" w:hanging="283"/>
      </w:pPr>
      <w:rPr>
        <w:rFonts w:hint="default"/>
      </w:rPr>
    </w:lvl>
    <w:lvl w:ilvl="6">
      <w:start w:val="1"/>
      <w:numFmt w:val="none"/>
      <w:lvlText w:val=""/>
      <w:lvlJc w:val="left"/>
      <w:pPr>
        <w:ind w:left="5673" w:hanging="283"/>
      </w:pPr>
      <w:rPr>
        <w:rFonts w:hint="default"/>
      </w:rPr>
    </w:lvl>
    <w:lvl w:ilvl="7">
      <w:start w:val="1"/>
      <w:numFmt w:val="none"/>
      <w:lvlText w:val=""/>
      <w:lvlJc w:val="left"/>
      <w:pPr>
        <w:ind w:left="6524" w:hanging="283"/>
      </w:pPr>
      <w:rPr>
        <w:rFonts w:hint="default"/>
      </w:rPr>
    </w:lvl>
    <w:lvl w:ilvl="8">
      <w:start w:val="1"/>
      <w:numFmt w:val="none"/>
      <w:lvlText w:val=""/>
      <w:lvlJc w:val="left"/>
      <w:pPr>
        <w:ind w:left="7375" w:hanging="283"/>
      </w:pPr>
      <w:rPr>
        <w:rFonts w:hint="default"/>
      </w:rPr>
    </w:lvl>
  </w:abstractNum>
  <w:abstractNum w:abstractNumId="14" w15:restartNumberingAfterBreak="0">
    <w:nsid w:val="06132AA8"/>
    <w:multiLevelType w:val="hybridMultilevel"/>
    <w:tmpl w:val="7166E24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7A738A9"/>
    <w:multiLevelType w:val="hybridMultilevel"/>
    <w:tmpl w:val="C8D4FB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58373F"/>
    <w:multiLevelType w:val="hybridMultilevel"/>
    <w:tmpl w:val="7526A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B1593A"/>
    <w:multiLevelType w:val="hybridMultilevel"/>
    <w:tmpl w:val="99DAAAE4"/>
    <w:lvl w:ilvl="0" w:tplc="FFFFFFFF">
      <w:start w:val="1"/>
      <w:numFmt w:val="bullet"/>
      <w:pStyle w:val="Dot00"/>
      <w:lvlText w:val=""/>
      <w:lvlJc w:val="left"/>
      <w:pPr>
        <w:tabs>
          <w:tab w:val="num" w:pos="425"/>
        </w:tabs>
        <w:ind w:left="425"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5730F1"/>
    <w:multiLevelType w:val="hybridMultilevel"/>
    <w:tmpl w:val="88F2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9A1F5D"/>
    <w:multiLevelType w:val="multilevel"/>
    <w:tmpl w:val="FF7031EA"/>
    <w:styleLink w:val="1ai"/>
    <w:lvl w:ilvl="0">
      <w:start w:val="1"/>
      <w:numFmt w:val="decimal"/>
      <w:lvlText w:val="%1."/>
      <w:lvlJc w:val="left"/>
      <w:pPr>
        <w:ind w:left="432" w:hanging="432"/>
      </w:pPr>
      <w:rPr>
        <w:rFonts w:hint="default"/>
        <w:color w:val="FF0000"/>
      </w:rPr>
    </w:lvl>
    <w:lvl w:ilvl="1">
      <w:start w:val="1"/>
      <w:numFmt w:val="decimal"/>
      <w:suff w:val="space"/>
      <w:lvlText w:val="%1.%2"/>
      <w:lvlJc w:val="left"/>
      <w:pPr>
        <w:ind w:left="576" w:hanging="576"/>
      </w:pPr>
      <w:rPr>
        <w:rFonts w:hint="default"/>
        <w:color w:val="FF0000"/>
      </w:rPr>
    </w:lvl>
    <w:lvl w:ilvl="2">
      <w:start w:val="1"/>
      <w:numFmt w:val="decimal"/>
      <w:suff w:val="space"/>
      <w:lvlText w:val="%1.%2.%3"/>
      <w:lvlJc w:val="left"/>
      <w:pPr>
        <w:ind w:left="720" w:hanging="720"/>
      </w:pPr>
      <w:rPr>
        <w:rFonts w:hint="default"/>
        <w:color w:val="FF0000"/>
      </w:rPr>
    </w:lvl>
    <w:lvl w:ilvl="3">
      <w:start w:val="1"/>
      <w:numFmt w:val="decimal"/>
      <w:suff w:val="space"/>
      <w:lvlText w:val="%1.%2.%3.%4"/>
      <w:lvlJc w:val="left"/>
      <w:pPr>
        <w:ind w:left="864" w:hanging="864"/>
      </w:pPr>
      <w:rPr>
        <w:rFonts w:hint="default"/>
        <w:color w:val="FF0000"/>
      </w:rPr>
    </w:lvl>
    <w:lvl w:ilvl="4">
      <w:start w:val="1"/>
      <w:numFmt w:val="decimal"/>
      <w:suff w:val="space"/>
      <w:lvlText w:val="%1.%2.%3.%4.%5"/>
      <w:lvlJc w:val="left"/>
      <w:pPr>
        <w:ind w:left="1008" w:hanging="1008"/>
      </w:pPr>
      <w:rPr>
        <w:rFonts w:hint="default"/>
        <w:color w:val="FF0000"/>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15:restartNumberingAfterBreak="0">
    <w:nsid w:val="183563DD"/>
    <w:multiLevelType w:val="hybridMultilevel"/>
    <w:tmpl w:val="CF00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8922BB"/>
    <w:multiLevelType w:val="hybridMultilevel"/>
    <w:tmpl w:val="3CD05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71600B"/>
    <w:multiLevelType w:val="multilevel"/>
    <w:tmpl w:val="2CEA796A"/>
    <w:styleLink w:val="GAMultilevelList"/>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1F8C69F1"/>
    <w:multiLevelType w:val="hybridMultilevel"/>
    <w:tmpl w:val="02E20A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5620E9"/>
    <w:multiLevelType w:val="hybridMultilevel"/>
    <w:tmpl w:val="C030A5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8441ED"/>
    <w:multiLevelType w:val="hybridMultilevel"/>
    <w:tmpl w:val="C00E9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F7713"/>
    <w:multiLevelType w:val="hybridMultilevel"/>
    <w:tmpl w:val="D6982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726BFC"/>
    <w:multiLevelType w:val="hybridMultilevel"/>
    <w:tmpl w:val="F13A0164"/>
    <w:lvl w:ilvl="0" w:tplc="0C090001">
      <w:start w:val="1"/>
      <w:numFmt w:val="bullet"/>
      <w:lvlText w:val=""/>
      <w:lvlJc w:val="left"/>
      <w:pPr>
        <w:ind w:left="927" w:hanging="360"/>
      </w:pPr>
      <w:rPr>
        <w:rFonts w:ascii="Symbol" w:hAnsi="Symbol"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2DF37FEF"/>
    <w:multiLevelType w:val="multilevel"/>
    <w:tmpl w:val="75024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467CAD"/>
    <w:multiLevelType w:val="hybridMultilevel"/>
    <w:tmpl w:val="ACB29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660E74"/>
    <w:multiLevelType w:val="hybridMultilevel"/>
    <w:tmpl w:val="D8F6DCC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4F11C97"/>
    <w:multiLevelType w:val="hybridMultilevel"/>
    <w:tmpl w:val="F0A47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207874"/>
    <w:multiLevelType w:val="hybridMultilevel"/>
    <w:tmpl w:val="8460FB6A"/>
    <w:lvl w:ilvl="0" w:tplc="0C090001">
      <w:start w:val="1"/>
      <w:numFmt w:val="bullet"/>
      <w:lvlText w:val=""/>
      <w:lvlJc w:val="left"/>
      <w:pPr>
        <w:ind w:left="927" w:hanging="360"/>
      </w:pPr>
      <w:rPr>
        <w:rFonts w:ascii="Symbol" w:hAnsi="Symbol"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4CA756E0"/>
    <w:multiLevelType w:val="multilevel"/>
    <w:tmpl w:val="0C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34" w15:restartNumberingAfterBreak="0">
    <w:nsid w:val="52B40B6E"/>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BA46A0F"/>
    <w:multiLevelType w:val="hybridMultilevel"/>
    <w:tmpl w:val="97F8B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31688A"/>
    <w:multiLevelType w:val="hybridMultilevel"/>
    <w:tmpl w:val="7458C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0E0275"/>
    <w:multiLevelType w:val="hybridMultilevel"/>
    <w:tmpl w:val="6DA85C1A"/>
    <w:lvl w:ilvl="0" w:tplc="96A22BEC">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2D749B"/>
    <w:multiLevelType w:val="hybridMultilevel"/>
    <w:tmpl w:val="6D560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F70DFF"/>
    <w:multiLevelType w:val="multilevel"/>
    <w:tmpl w:val="5A7CB9E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0" w15:restartNumberingAfterBreak="0">
    <w:nsid w:val="6FA31F47"/>
    <w:multiLevelType w:val="multilevel"/>
    <w:tmpl w:val="AEEAD722"/>
    <w:lvl w:ilvl="0">
      <w:start w:val="1"/>
      <w:numFmt w:val="bullet"/>
      <w:pStyle w:val="TableTextBulletL1"/>
      <w:lvlText w:val=""/>
      <w:lvlJc w:val="left"/>
      <w:pPr>
        <w:tabs>
          <w:tab w:val="num" w:pos="170"/>
        </w:tabs>
        <w:ind w:left="170" w:hanging="170"/>
      </w:pPr>
      <w:rPr>
        <w:rFonts w:ascii="Symbol" w:hAnsi="Symbol" w:hint="default"/>
        <w:sz w:val="16"/>
      </w:rPr>
    </w:lvl>
    <w:lvl w:ilvl="1">
      <w:start w:val="1"/>
      <w:numFmt w:val="bullet"/>
      <w:pStyle w:val="TableTextBulletL2"/>
      <w:lvlText w:val="-"/>
      <w:lvlJc w:val="left"/>
      <w:pPr>
        <w:tabs>
          <w:tab w:val="num" w:pos="340"/>
        </w:tabs>
        <w:ind w:left="340" w:hanging="17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B31F14"/>
    <w:multiLevelType w:val="multilevel"/>
    <w:tmpl w:val="6972CBF2"/>
    <w:lvl w:ilvl="0">
      <w:start w:val="1"/>
      <w:numFmt w:val="upperLetter"/>
      <w:pStyle w:val="Heading9"/>
      <w:suff w:val="space"/>
      <w:lvlText w:val="Appendix %1"/>
      <w:lvlJc w:val="left"/>
      <w:pPr>
        <w:ind w:left="0" w:firstLine="0"/>
      </w:pPr>
      <w:rPr>
        <w:rFonts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Appendix2"/>
      <w:suff w:val="space"/>
      <w:lvlText w:val="%1.%2"/>
      <w:lvlJc w:val="left"/>
      <w:pPr>
        <w:ind w:left="0" w:firstLine="0"/>
      </w:pPr>
      <w:rPr>
        <w:rFonts w:hint="default"/>
      </w:rPr>
    </w:lvl>
    <w:lvl w:ilvl="2">
      <w:start w:val="1"/>
      <w:numFmt w:val="decimal"/>
      <w:pStyle w:val="HeadingAppendix3"/>
      <w:suff w:val="space"/>
      <w:lvlText w:val="%1.%2.%3"/>
      <w:lvlJc w:val="left"/>
      <w:pPr>
        <w:ind w:left="0" w:firstLine="0"/>
      </w:pPr>
      <w:rPr>
        <w:rFonts w:hint="default"/>
      </w:rPr>
    </w:lvl>
    <w:lvl w:ilvl="3">
      <w:start w:val="1"/>
      <w:numFmt w:val="decimal"/>
      <w:pStyle w:val="HeadingAppendix4"/>
      <w:suff w:val="space"/>
      <w:lvlText w:val="%1.%2.%3.%4"/>
      <w:lvlJc w:val="left"/>
      <w:pPr>
        <w:ind w:left="0" w:firstLine="0"/>
      </w:pPr>
      <w:rPr>
        <w:rFonts w:hint="default"/>
      </w:rPr>
    </w:lvl>
    <w:lvl w:ilvl="4">
      <w:start w:val="1"/>
      <w:numFmt w:val="decimal"/>
      <w:pStyle w:val="HeadingAppendix5"/>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15:restartNumberingAfterBreak="0">
    <w:nsid w:val="734D3246"/>
    <w:multiLevelType w:val="hybridMultilevel"/>
    <w:tmpl w:val="8D14E28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054274"/>
    <w:multiLevelType w:val="hybridMultilevel"/>
    <w:tmpl w:val="550E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3"/>
  </w:num>
  <w:num w:numId="13">
    <w:abstractNumId w:val="19"/>
  </w:num>
  <w:num w:numId="14">
    <w:abstractNumId w:val="34"/>
  </w:num>
  <w:num w:numId="15">
    <w:abstractNumId w:val="22"/>
  </w:num>
  <w:num w:numId="16">
    <w:abstractNumId w:val="11"/>
  </w:num>
  <w:num w:numId="17">
    <w:abstractNumId w:val="12"/>
  </w:num>
  <w:num w:numId="18">
    <w:abstractNumId w:val="13"/>
  </w:num>
  <w:num w:numId="19">
    <w:abstractNumId w:val="39"/>
  </w:num>
  <w:num w:numId="20">
    <w:abstractNumId w:val="41"/>
  </w:num>
  <w:num w:numId="21">
    <w:abstractNumId w:val="40"/>
  </w:num>
  <w:num w:numId="22">
    <w:abstractNumId w:val="1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4"/>
  </w:num>
  <w:num w:numId="26">
    <w:abstractNumId w:val="23"/>
  </w:num>
  <w:num w:numId="27">
    <w:abstractNumId w:val="32"/>
  </w:num>
  <w:num w:numId="28">
    <w:abstractNumId w:val="27"/>
  </w:num>
  <w:num w:numId="29">
    <w:abstractNumId w:val="24"/>
  </w:num>
  <w:num w:numId="30">
    <w:abstractNumId w:val="35"/>
  </w:num>
  <w:num w:numId="31">
    <w:abstractNumId w:val="43"/>
  </w:num>
  <w:num w:numId="32">
    <w:abstractNumId w:val="15"/>
  </w:num>
  <w:num w:numId="33">
    <w:abstractNumId w:val="20"/>
  </w:num>
  <w:num w:numId="34">
    <w:abstractNumId w:val="31"/>
  </w:num>
  <w:num w:numId="35">
    <w:abstractNumId w:val="21"/>
  </w:num>
  <w:num w:numId="36">
    <w:abstractNumId w:val="36"/>
  </w:num>
  <w:num w:numId="37">
    <w:abstractNumId w:val="16"/>
  </w:num>
  <w:num w:numId="38">
    <w:abstractNumId w:val="18"/>
  </w:num>
  <w:num w:numId="39">
    <w:abstractNumId w:val="25"/>
  </w:num>
  <w:num w:numId="40">
    <w:abstractNumId w:val="26"/>
  </w:num>
  <w:num w:numId="41">
    <w:abstractNumId w:val="30"/>
  </w:num>
  <w:num w:numId="42">
    <w:abstractNumId w:val="42"/>
  </w:num>
  <w:num w:numId="43">
    <w:abstractNumId w:val="37"/>
  </w:num>
  <w:num w:numId="44">
    <w:abstractNumId w:val="29"/>
  </w:num>
  <w:num w:numId="45">
    <w:abstractNumId w:val="28"/>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mirrorMargins/>
  <w:hideSpellingErrors/>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stylePaneSortMethod w:val="0000"/>
  <w:doNotTrackFormatting/>
  <w:defaultTabStop w:val="567"/>
  <w:clickAndTypeStyle w:val="BodyText"/>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CD"/>
    <w:rsid w:val="0000139E"/>
    <w:rsid w:val="00001856"/>
    <w:rsid w:val="00002347"/>
    <w:rsid w:val="00003790"/>
    <w:rsid w:val="00004E0E"/>
    <w:rsid w:val="000065C4"/>
    <w:rsid w:val="000074B0"/>
    <w:rsid w:val="000158AC"/>
    <w:rsid w:val="000164E3"/>
    <w:rsid w:val="00017FB4"/>
    <w:rsid w:val="00022452"/>
    <w:rsid w:val="00024F53"/>
    <w:rsid w:val="00025273"/>
    <w:rsid w:val="000302E2"/>
    <w:rsid w:val="00030886"/>
    <w:rsid w:val="00031F5D"/>
    <w:rsid w:val="00032BC0"/>
    <w:rsid w:val="0003615C"/>
    <w:rsid w:val="0003728F"/>
    <w:rsid w:val="00037F6A"/>
    <w:rsid w:val="00040250"/>
    <w:rsid w:val="00040B06"/>
    <w:rsid w:val="000410C0"/>
    <w:rsid w:val="000418AA"/>
    <w:rsid w:val="000463E0"/>
    <w:rsid w:val="000467F3"/>
    <w:rsid w:val="0004694B"/>
    <w:rsid w:val="00050174"/>
    <w:rsid w:val="00051D60"/>
    <w:rsid w:val="00052CF1"/>
    <w:rsid w:val="00055CA8"/>
    <w:rsid w:val="00056176"/>
    <w:rsid w:val="000562CA"/>
    <w:rsid w:val="00056336"/>
    <w:rsid w:val="00056A83"/>
    <w:rsid w:val="00057D52"/>
    <w:rsid w:val="00061E69"/>
    <w:rsid w:val="00064B35"/>
    <w:rsid w:val="0006540A"/>
    <w:rsid w:val="00065A46"/>
    <w:rsid w:val="00066F1D"/>
    <w:rsid w:val="00070295"/>
    <w:rsid w:val="000704C9"/>
    <w:rsid w:val="00071E90"/>
    <w:rsid w:val="000815EB"/>
    <w:rsid w:val="00082994"/>
    <w:rsid w:val="00082D8D"/>
    <w:rsid w:val="00082DBA"/>
    <w:rsid w:val="0008475E"/>
    <w:rsid w:val="00084912"/>
    <w:rsid w:val="00084BF3"/>
    <w:rsid w:val="0008638C"/>
    <w:rsid w:val="000916BA"/>
    <w:rsid w:val="000917A9"/>
    <w:rsid w:val="00092833"/>
    <w:rsid w:val="00092F93"/>
    <w:rsid w:val="00094076"/>
    <w:rsid w:val="00095315"/>
    <w:rsid w:val="000956A2"/>
    <w:rsid w:val="000A03AA"/>
    <w:rsid w:val="000A2D24"/>
    <w:rsid w:val="000A565E"/>
    <w:rsid w:val="000B006F"/>
    <w:rsid w:val="000B0228"/>
    <w:rsid w:val="000B1669"/>
    <w:rsid w:val="000B1D96"/>
    <w:rsid w:val="000B257C"/>
    <w:rsid w:val="000B3C6F"/>
    <w:rsid w:val="000B419F"/>
    <w:rsid w:val="000C1CA5"/>
    <w:rsid w:val="000C44EF"/>
    <w:rsid w:val="000C7648"/>
    <w:rsid w:val="000D063F"/>
    <w:rsid w:val="000D0ECD"/>
    <w:rsid w:val="000D24B8"/>
    <w:rsid w:val="000D3BBA"/>
    <w:rsid w:val="000D4976"/>
    <w:rsid w:val="000E0646"/>
    <w:rsid w:val="000E20DE"/>
    <w:rsid w:val="000E2860"/>
    <w:rsid w:val="000E4671"/>
    <w:rsid w:val="000E53EE"/>
    <w:rsid w:val="000E5865"/>
    <w:rsid w:val="000E5BBE"/>
    <w:rsid w:val="000F147A"/>
    <w:rsid w:val="000F59F8"/>
    <w:rsid w:val="000F68D0"/>
    <w:rsid w:val="000F74CF"/>
    <w:rsid w:val="00100153"/>
    <w:rsid w:val="00102FAD"/>
    <w:rsid w:val="00103188"/>
    <w:rsid w:val="001070CF"/>
    <w:rsid w:val="001117FF"/>
    <w:rsid w:val="001121D6"/>
    <w:rsid w:val="00115B11"/>
    <w:rsid w:val="00116568"/>
    <w:rsid w:val="00120843"/>
    <w:rsid w:val="00121875"/>
    <w:rsid w:val="0012381D"/>
    <w:rsid w:val="00123CA3"/>
    <w:rsid w:val="00126384"/>
    <w:rsid w:val="00130009"/>
    <w:rsid w:val="00130AC8"/>
    <w:rsid w:val="001312FF"/>
    <w:rsid w:val="0013133D"/>
    <w:rsid w:val="00131A4D"/>
    <w:rsid w:val="00134516"/>
    <w:rsid w:val="00135632"/>
    <w:rsid w:val="00140E1D"/>
    <w:rsid w:val="001421C3"/>
    <w:rsid w:val="001423C7"/>
    <w:rsid w:val="00142623"/>
    <w:rsid w:val="001439D6"/>
    <w:rsid w:val="001446B4"/>
    <w:rsid w:val="0014508A"/>
    <w:rsid w:val="0014638A"/>
    <w:rsid w:val="00150271"/>
    <w:rsid w:val="001537AB"/>
    <w:rsid w:val="00153F7B"/>
    <w:rsid w:val="001544C5"/>
    <w:rsid w:val="001549E7"/>
    <w:rsid w:val="00155627"/>
    <w:rsid w:val="00160E7F"/>
    <w:rsid w:val="00161640"/>
    <w:rsid w:val="001627C9"/>
    <w:rsid w:val="00163DBF"/>
    <w:rsid w:val="001674EE"/>
    <w:rsid w:val="001719B6"/>
    <w:rsid w:val="00172783"/>
    <w:rsid w:val="001730F4"/>
    <w:rsid w:val="00173730"/>
    <w:rsid w:val="00175476"/>
    <w:rsid w:val="001761FD"/>
    <w:rsid w:val="00176A2A"/>
    <w:rsid w:val="001779A9"/>
    <w:rsid w:val="00182949"/>
    <w:rsid w:val="00183903"/>
    <w:rsid w:val="001869CD"/>
    <w:rsid w:val="00191C8A"/>
    <w:rsid w:val="00193088"/>
    <w:rsid w:val="0019311E"/>
    <w:rsid w:val="001945B4"/>
    <w:rsid w:val="00195601"/>
    <w:rsid w:val="001A0069"/>
    <w:rsid w:val="001A07B0"/>
    <w:rsid w:val="001B0696"/>
    <w:rsid w:val="001B2435"/>
    <w:rsid w:val="001B382C"/>
    <w:rsid w:val="001B4D1D"/>
    <w:rsid w:val="001B527E"/>
    <w:rsid w:val="001C1AE7"/>
    <w:rsid w:val="001C32B7"/>
    <w:rsid w:val="001C3D3B"/>
    <w:rsid w:val="001C5B69"/>
    <w:rsid w:val="001C619B"/>
    <w:rsid w:val="001D1286"/>
    <w:rsid w:val="001D2B40"/>
    <w:rsid w:val="001D3EFC"/>
    <w:rsid w:val="001D4650"/>
    <w:rsid w:val="001D4CA5"/>
    <w:rsid w:val="001D4CCD"/>
    <w:rsid w:val="001D7691"/>
    <w:rsid w:val="001D78B5"/>
    <w:rsid w:val="001E0BEB"/>
    <w:rsid w:val="001E728E"/>
    <w:rsid w:val="001F0804"/>
    <w:rsid w:val="001F1EFD"/>
    <w:rsid w:val="001F2EA5"/>
    <w:rsid w:val="001F32A3"/>
    <w:rsid w:val="001F58B9"/>
    <w:rsid w:val="001F763D"/>
    <w:rsid w:val="002003C5"/>
    <w:rsid w:val="002021A0"/>
    <w:rsid w:val="00202A2E"/>
    <w:rsid w:val="00205B70"/>
    <w:rsid w:val="00205E9C"/>
    <w:rsid w:val="00212255"/>
    <w:rsid w:val="00212EDB"/>
    <w:rsid w:val="00214AC3"/>
    <w:rsid w:val="002156FE"/>
    <w:rsid w:val="002160FD"/>
    <w:rsid w:val="00220E4F"/>
    <w:rsid w:val="00223DD7"/>
    <w:rsid w:val="002250C3"/>
    <w:rsid w:val="00225397"/>
    <w:rsid w:val="002302CD"/>
    <w:rsid w:val="00230718"/>
    <w:rsid w:val="0024079F"/>
    <w:rsid w:val="0024188E"/>
    <w:rsid w:val="002429E6"/>
    <w:rsid w:val="00243F6F"/>
    <w:rsid w:val="00246BA9"/>
    <w:rsid w:val="002503A7"/>
    <w:rsid w:val="002504D9"/>
    <w:rsid w:val="002520FF"/>
    <w:rsid w:val="00252F33"/>
    <w:rsid w:val="0025490A"/>
    <w:rsid w:val="00254FA0"/>
    <w:rsid w:val="00255300"/>
    <w:rsid w:val="00255529"/>
    <w:rsid w:val="00256A49"/>
    <w:rsid w:val="00262224"/>
    <w:rsid w:val="00262B65"/>
    <w:rsid w:val="00267986"/>
    <w:rsid w:val="00267BE3"/>
    <w:rsid w:val="002712FC"/>
    <w:rsid w:val="00271DDF"/>
    <w:rsid w:val="0027204C"/>
    <w:rsid w:val="00273536"/>
    <w:rsid w:val="00274F2C"/>
    <w:rsid w:val="00277007"/>
    <w:rsid w:val="00281855"/>
    <w:rsid w:val="00283131"/>
    <w:rsid w:val="0028393E"/>
    <w:rsid w:val="00290ED1"/>
    <w:rsid w:val="00293686"/>
    <w:rsid w:val="00294220"/>
    <w:rsid w:val="00295CB9"/>
    <w:rsid w:val="00296D70"/>
    <w:rsid w:val="00296DBF"/>
    <w:rsid w:val="002A0371"/>
    <w:rsid w:val="002A1AAB"/>
    <w:rsid w:val="002A64C3"/>
    <w:rsid w:val="002B1F80"/>
    <w:rsid w:val="002B3269"/>
    <w:rsid w:val="002B3E41"/>
    <w:rsid w:val="002B4972"/>
    <w:rsid w:val="002B585A"/>
    <w:rsid w:val="002B5957"/>
    <w:rsid w:val="002B5FB8"/>
    <w:rsid w:val="002C07EA"/>
    <w:rsid w:val="002C2322"/>
    <w:rsid w:val="002C24AE"/>
    <w:rsid w:val="002C51F4"/>
    <w:rsid w:val="002C5A77"/>
    <w:rsid w:val="002D58B5"/>
    <w:rsid w:val="002E0C35"/>
    <w:rsid w:val="002E27F7"/>
    <w:rsid w:val="002E4BF6"/>
    <w:rsid w:val="002E5354"/>
    <w:rsid w:val="002E5D85"/>
    <w:rsid w:val="002F1F32"/>
    <w:rsid w:val="002F2668"/>
    <w:rsid w:val="002F4E0D"/>
    <w:rsid w:val="002F5C0B"/>
    <w:rsid w:val="002F79D6"/>
    <w:rsid w:val="003022AD"/>
    <w:rsid w:val="00302A1E"/>
    <w:rsid w:val="00305413"/>
    <w:rsid w:val="003056BE"/>
    <w:rsid w:val="00305E3B"/>
    <w:rsid w:val="00305F12"/>
    <w:rsid w:val="00310E9D"/>
    <w:rsid w:val="0031108D"/>
    <w:rsid w:val="003113AA"/>
    <w:rsid w:val="00311E8F"/>
    <w:rsid w:val="00313E0A"/>
    <w:rsid w:val="00314463"/>
    <w:rsid w:val="0031580F"/>
    <w:rsid w:val="003164FF"/>
    <w:rsid w:val="00317526"/>
    <w:rsid w:val="00323913"/>
    <w:rsid w:val="00325C36"/>
    <w:rsid w:val="00326180"/>
    <w:rsid w:val="003268E4"/>
    <w:rsid w:val="0033114B"/>
    <w:rsid w:val="0033245F"/>
    <w:rsid w:val="0033294A"/>
    <w:rsid w:val="00332996"/>
    <w:rsid w:val="00333BDB"/>
    <w:rsid w:val="00335826"/>
    <w:rsid w:val="003375DF"/>
    <w:rsid w:val="00340CD3"/>
    <w:rsid w:val="00341462"/>
    <w:rsid w:val="00343CCE"/>
    <w:rsid w:val="00344EA3"/>
    <w:rsid w:val="00345A80"/>
    <w:rsid w:val="00345ABA"/>
    <w:rsid w:val="00347C4D"/>
    <w:rsid w:val="00347D34"/>
    <w:rsid w:val="00347FB6"/>
    <w:rsid w:val="00350489"/>
    <w:rsid w:val="00350C1E"/>
    <w:rsid w:val="00353C64"/>
    <w:rsid w:val="00355709"/>
    <w:rsid w:val="00356214"/>
    <w:rsid w:val="003563A5"/>
    <w:rsid w:val="00356C14"/>
    <w:rsid w:val="003576DB"/>
    <w:rsid w:val="003579CB"/>
    <w:rsid w:val="00361CE7"/>
    <w:rsid w:val="00361CF5"/>
    <w:rsid w:val="0036394B"/>
    <w:rsid w:val="00363A9A"/>
    <w:rsid w:val="00364471"/>
    <w:rsid w:val="0036635E"/>
    <w:rsid w:val="00370E9B"/>
    <w:rsid w:val="00372134"/>
    <w:rsid w:val="00372C74"/>
    <w:rsid w:val="003734B9"/>
    <w:rsid w:val="00375A79"/>
    <w:rsid w:val="003802B0"/>
    <w:rsid w:val="00381B51"/>
    <w:rsid w:val="00381C2C"/>
    <w:rsid w:val="00382E17"/>
    <w:rsid w:val="0038662A"/>
    <w:rsid w:val="00395946"/>
    <w:rsid w:val="00395E2D"/>
    <w:rsid w:val="00396080"/>
    <w:rsid w:val="00396D65"/>
    <w:rsid w:val="003A1CA9"/>
    <w:rsid w:val="003A1D0C"/>
    <w:rsid w:val="003A4105"/>
    <w:rsid w:val="003A66C2"/>
    <w:rsid w:val="003A78B4"/>
    <w:rsid w:val="003B0567"/>
    <w:rsid w:val="003B2FEE"/>
    <w:rsid w:val="003B46FE"/>
    <w:rsid w:val="003B4864"/>
    <w:rsid w:val="003B6E9A"/>
    <w:rsid w:val="003C066E"/>
    <w:rsid w:val="003C29DF"/>
    <w:rsid w:val="003C43E0"/>
    <w:rsid w:val="003D140A"/>
    <w:rsid w:val="003D5DFB"/>
    <w:rsid w:val="003D6697"/>
    <w:rsid w:val="003E037E"/>
    <w:rsid w:val="003E134D"/>
    <w:rsid w:val="003E2181"/>
    <w:rsid w:val="003E31E2"/>
    <w:rsid w:val="003E5D4D"/>
    <w:rsid w:val="003F2BA7"/>
    <w:rsid w:val="003F654A"/>
    <w:rsid w:val="003F67AC"/>
    <w:rsid w:val="0040043B"/>
    <w:rsid w:val="0040094A"/>
    <w:rsid w:val="0040298B"/>
    <w:rsid w:val="00403BB1"/>
    <w:rsid w:val="00405597"/>
    <w:rsid w:val="0040750B"/>
    <w:rsid w:val="004144F6"/>
    <w:rsid w:val="00415C4B"/>
    <w:rsid w:val="00416AAF"/>
    <w:rsid w:val="00417522"/>
    <w:rsid w:val="0042000F"/>
    <w:rsid w:val="004205B2"/>
    <w:rsid w:val="00425713"/>
    <w:rsid w:val="004259AA"/>
    <w:rsid w:val="00427956"/>
    <w:rsid w:val="0043162E"/>
    <w:rsid w:val="0043322D"/>
    <w:rsid w:val="0043471F"/>
    <w:rsid w:val="00434B36"/>
    <w:rsid w:val="00437AA1"/>
    <w:rsid w:val="004400B1"/>
    <w:rsid w:val="00440A23"/>
    <w:rsid w:val="00442312"/>
    <w:rsid w:val="00442C70"/>
    <w:rsid w:val="00442DE4"/>
    <w:rsid w:val="0044467F"/>
    <w:rsid w:val="00445071"/>
    <w:rsid w:val="0044610C"/>
    <w:rsid w:val="00447490"/>
    <w:rsid w:val="004475C8"/>
    <w:rsid w:val="004511B2"/>
    <w:rsid w:val="00454116"/>
    <w:rsid w:val="00455DA0"/>
    <w:rsid w:val="004573FC"/>
    <w:rsid w:val="0046018F"/>
    <w:rsid w:val="00461DA7"/>
    <w:rsid w:val="0046348E"/>
    <w:rsid w:val="00463DBD"/>
    <w:rsid w:val="0046448F"/>
    <w:rsid w:val="004655A5"/>
    <w:rsid w:val="004666B0"/>
    <w:rsid w:val="0047452F"/>
    <w:rsid w:val="004747DD"/>
    <w:rsid w:val="00475B1F"/>
    <w:rsid w:val="00480723"/>
    <w:rsid w:val="00481A41"/>
    <w:rsid w:val="004831E5"/>
    <w:rsid w:val="004832D8"/>
    <w:rsid w:val="00484D6B"/>
    <w:rsid w:val="004855D9"/>
    <w:rsid w:val="004861D9"/>
    <w:rsid w:val="0048721C"/>
    <w:rsid w:val="0048786D"/>
    <w:rsid w:val="00491CFE"/>
    <w:rsid w:val="00494225"/>
    <w:rsid w:val="00497435"/>
    <w:rsid w:val="004A01CF"/>
    <w:rsid w:val="004A1105"/>
    <w:rsid w:val="004A2344"/>
    <w:rsid w:val="004A2C1D"/>
    <w:rsid w:val="004B147F"/>
    <w:rsid w:val="004B3751"/>
    <w:rsid w:val="004B3FC6"/>
    <w:rsid w:val="004B4628"/>
    <w:rsid w:val="004B528B"/>
    <w:rsid w:val="004B55EB"/>
    <w:rsid w:val="004B6C6C"/>
    <w:rsid w:val="004C27B8"/>
    <w:rsid w:val="004C2C63"/>
    <w:rsid w:val="004C6819"/>
    <w:rsid w:val="004C6BBD"/>
    <w:rsid w:val="004D692A"/>
    <w:rsid w:val="004D7B75"/>
    <w:rsid w:val="004F06C6"/>
    <w:rsid w:val="004F0DF1"/>
    <w:rsid w:val="004F1A2D"/>
    <w:rsid w:val="004F26E6"/>
    <w:rsid w:val="004F3B57"/>
    <w:rsid w:val="004F4E97"/>
    <w:rsid w:val="004F60E1"/>
    <w:rsid w:val="004F6C1F"/>
    <w:rsid w:val="005029C2"/>
    <w:rsid w:val="00504420"/>
    <w:rsid w:val="00516E6A"/>
    <w:rsid w:val="0052043D"/>
    <w:rsid w:val="005222DF"/>
    <w:rsid w:val="00524146"/>
    <w:rsid w:val="00524A01"/>
    <w:rsid w:val="00530DFD"/>
    <w:rsid w:val="005338D7"/>
    <w:rsid w:val="00533CA0"/>
    <w:rsid w:val="00534020"/>
    <w:rsid w:val="005366D5"/>
    <w:rsid w:val="00537260"/>
    <w:rsid w:val="005404AB"/>
    <w:rsid w:val="005407CF"/>
    <w:rsid w:val="00541B16"/>
    <w:rsid w:val="005449E3"/>
    <w:rsid w:val="00550326"/>
    <w:rsid w:val="00553110"/>
    <w:rsid w:val="00553B4F"/>
    <w:rsid w:val="00554755"/>
    <w:rsid w:val="00557D7D"/>
    <w:rsid w:val="00560E60"/>
    <w:rsid w:val="005619C8"/>
    <w:rsid w:val="00564141"/>
    <w:rsid w:val="00564E18"/>
    <w:rsid w:val="0056564A"/>
    <w:rsid w:val="00572D5D"/>
    <w:rsid w:val="00573983"/>
    <w:rsid w:val="00573C68"/>
    <w:rsid w:val="0057560A"/>
    <w:rsid w:val="00577405"/>
    <w:rsid w:val="00577B37"/>
    <w:rsid w:val="00580084"/>
    <w:rsid w:val="0058027F"/>
    <w:rsid w:val="005851E4"/>
    <w:rsid w:val="0058784C"/>
    <w:rsid w:val="005879E6"/>
    <w:rsid w:val="00587AB9"/>
    <w:rsid w:val="005904F2"/>
    <w:rsid w:val="005917D3"/>
    <w:rsid w:val="0059275D"/>
    <w:rsid w:val="00592B53"/>
    <w:rsid w:val="005936FC"/>
    <w:rsid w:val="005971D9"/>
    <w:rsid w:val="005972FC"/>
    <w:rsid w:val="00597BDE"/>
    <w:rsid w:val="005A0114"/>
    <w:rsid w:val="005A0C08"/>
    <w:rsid w:val="005A2422"/>
    <w:rsid w:val="005A41E2"/>
    <w:rsid w:val="005A42BF"/>
    <w:rsid w:val="005A433A"/>
    <w:rsid w:val="005A4E31"/>
    <w:rsid w:val="005A53AE"/>
    <w:rsid w:val="005A577E"/>
    <w:rsid w:val="005A5BCD"/>
    <w:rsid w:val="005A7843"/>
    <w:rsid w:val="005A78E8"/>
    <w:rsid w:val="005B1CC3"/>
    <w:rsid w:val="005B5107"/>
    <w:rsid w:val="005B572B"/>
    <w:rsid w:val="005C069C"/>
    <w:rsid w:val="005C08EB"/>
    <w:rsid w:val="005C3E58"/>
    <w:rsid w:val="005C5102"/>
    <w:rsid w:val="005C567A"/>
    <w:rsid w:val="005C5A4B"/>
    <w:rsid w:val="005C6FC1"/>
    <w:rsid w:val="005D078C"/>
    <w:rsid w:val="005D221A"/>
    <w:rsid w:val="005D2322"/>
    <w:rsid w:val="005D34BC"/>
    <w:rsid w:val="005D562F"/>
    <w:rsid w:val="005D6DC1"/>
    <w:rsid w:val="005E147D"/>
    <w:rsid w:val="005E1820"/>
    <w:rsid w:val="005E1C5F"/>
    <w:rsid w:val="005E22B6"/>
    <w:rsid w:val="005E29BC"/>
    <w:rsid w:val="005E3314"/>
    <w:rsid w:val="005E3FC3"/>
    <w:rsid w:val="005E46B7"/>
    <w:rsid w:val="005F35D2"/>
    <w:rsid w:val="005F3CC4"/>
    <w:rsid w:val="005F3D72"/>
    <w:rsid w:val="005F3F0F"/>
    <w:rsid w:val="005F502D"/>
    <w:rsid w:val="005F6E32"/>
    <w:rsid w:val="00606F01"/>
    <w:rsid w:val="00610A8C"/>
    <w:rsid w:val="006127D9"/>
    <w:rsid w:val="00612CE5"/>
    <w:rsid w:val="006139E0"/>
    <w:rsid w:val="00615756"/>
    <w:rsid w:val="00615B77"/>
    <w:rsid w:val="00617DDE"/>
    <w:rsid w:val="00622F63"/>
    <w:rsid w:val="00623E3E"/>
    <w:rsid w:val="00624A7F"/>
    <w:rsid w:val="006306BF"/>
    <w:rsid w:val="006314D5"/>
    <w:rsid w:val="006318AA"/>
    <w:rsid w:val="00633D6D"/>
    <w:rsid w:val="00635652"/>
    <w:rsid w:val="006374C2"/>
    <w:rsid w:val="00637B0C"/>
    <w:rsid w:val="00640B07"/>
    <w:rsid w:val="00643E88"/>
    <w:rsid w:val="00647FD5"/>
    <w:rsid w:val="00650062"/>
    <w:rsid w:val="00650639"/>
    <w:rsid w:val="006507DF"/>
    <w:rsid w:val="00650C53"/>
    <w:rsid w:val="00651288"/>
    <w:rsid w:val="00652023"/>
    <w:rsid w:val="0065374A"/>
    <w:rsid w:val="006571C5"/>
    <w:rsid w:val="00661A73"/>
    <w:rsid w:val="006639BF"/>
    <w:rsid w:val="00663CFD"/>
    <w:rsid w:val="00664319"/>
    <w:rsid w:val="0066594E"/>
    <w:rsid w:val="00667848"/>
    <w:rsid w:val="00673D0F"/>
    <w:rsid w:val="00676D3B"/>
    <w:rsid w:val="00677361"/>
    <w:rsid w:val="006773AC"/>
    <w:rsid w:val="00681A19"/>
    <w:rsid w:val="0068464F"/>
    <w:rsid w:val="00685B39"/>
    <w:rsid w:val="0068736C"/>
    <w:rsid w:val="00690FFB"/>
    <w:rsid w:val="00691AF9"/>
    <w:rsid w:val="00692160"/>
    <w:rsid w:val="0069250C"/>
    <w:rsid w:val="006926D3"/>
    <w:rsid w:val="006A24D0"/>
    <w:rsid w:val="006A2664"/>
    <w:rsid w:val="006A2893"/>
    <w:rsid w:val="006A37F7"/>
    <w:rsid w:val="006A4465"/>
    <w:rsid w:val="006A59FC"/>
    <w:rsid w:val="006A788A"/>
    <w:rsid w:val="006B06E4"/>
    <w:rsid w:val="006B07E2"/>
    <w:rsid w:val="006B35F2"/>
    <w:rsid w:val="006B4A90"/>
    <w:rsid w:val="006B5FA0"/>
    <w:rsid w:val="006B62DA"/>
    <w:rsid w:val="006C1048"/>
    <w:rsid w:val="006C2849"/>
    <w:rsid w:val="006C5639"/>
    <w:rsid w:val="006C6F48"/>
    <w:rsid w:val="006D1D66"/>
    <w:rsid w:val="006D5616"/>
    <w:rsid w:val="006D5639"/>
    <w:rsid w:val="006D65DD"/>
    <w:rsid w:val="006D6F5A"/>
    <w:rsid w:val="006D70FC"/>
    <w:rsid w:val="006E08C1"/>
    <w:rsid w:val="006E1411"/>
    <w:rsid w:val="006E1D55"/>
    <w:rsid w:val="006E5225"/>
    <w:rsid w:val="006E6D28"/>
    <w:rsid w:val="006F000C"/>
    <w:rsid w:val="006F02F2"/>
    <w:rsid w:val="006F10FE"/>
    <w:rsid w:val="006F4586"/>
    <w:rsid w:val="006F6274"/>
    <w:rsid w:val="006F7481"/>
    <w:rsid w:val="00700AB5"/>
    <w:rsid w:val="00701F23"/>
    <w:rsid w:val="007023E6"/>
    <w:rsid w:val="00703302"/>
    <w:rsid w:val="007057D4"/>
    <w:rsid w:val="00707F1B"/>
    <w:rsid w:val="00710117"/>
    <w:rsid w:val="0071091F"/>
    <w:rsid w:val="00710932"/>
    <w:rsid w:val="00711A95"/>
    <w:rsid w:val="007124C5"/>
    <w:rsid w:val="00713569"/>
    <w:rsid w:val="00714D0A"/>
    <w:rsid w:val="00717265"/>
    <w:rsid w:val="00717E91"/>
    <w:rsid w:val="00720E45"/>
    <w:rsid w:val="0072204E"/>
    <w:rsid w:val="007237BA"/>
    <w:rsid w:val="00725524"/>
    <w:rsid w:val="00727D15"/>
    <w:rsid w:val="0073058F"/>
    <w:rsid w:val="007315BB"/>
    <w:rsid w:val="0073185B"/>
    <w:rsid w:val="0073241D"/>
    <w:rsid w:val="00732488"/>
    <w:rsid w:val="007335BB"/>
    <w:rsid w:val="00733F22"/>
    <w:rsid w:val="007349C8"/>
    <w:rsid w:val="00735649"/>
    <w:rsid w:val="00740391"/>
    <w:rsid w:val="00742079"/>
    <w:rsid w:val="007434E1"/>
    <w:rsid w:val="00743A84"/>
    <w:rsid w:val="00745104"/>
    <w:rsid w:val="00747882"/>
    <w:rsid w:val="007517F9"/>
    <w:rsid w:val="007601B5"/>
    <w:rsid w:val="00762332"/>
    <w:rsid w:val="007635BF"/>
    <w:rsid w:val="00763632"/>
    <w:rsid w:val="00767893"/>
    <w:rsid w:val="007701E3"/>
    <w:rsid w:val="00771FE4"/>
    <w:rsid w:val="00772044"/>
    <w:rsid w:val="007729CF"/>
    <w:rsid w:val="00773C9E"/>
    <w:rsid w:val="0078034C"/>
    <w:rsid w:val="0078157E"/>
    <w:rsid w:val="00782E11"/>
    <w:rsid w:val="007848D4"/>
    <w:rsid w:val="00785A2C"/>
    <w:rsid w:val="0078614C"/>
    <w:rsid w:val="0078624C"/>
    <w:rsid w:val="00786432"/>
    <w:rsid w:val="007879AF"/>
    <w:rsid w:val="00787C33"/>
    <w:rsid w:val="00792071"/>
    <w:rsid w:val="007938CE"/>
    <w:rsid w:val="00794B43"/>
    <w:rsid w:val="00797053"/>
    <w:rsid w:val="007A0425"/>
    <w:rsid w:val="007A0A7A"/>
    <w:rsid w:val="007A10DC"/>
    <w:rsid w:val="007A159D"/>
    <w:rsid w:val="007A1DD9"/>
    <w:rsid w:val="007B0DC1"/>
    <w:rsid w:val="007B4BCD"/>
    <w:rsid w:val="007B5ADC"/>
    <w:rsid w:val="007B64E1"/>
    <w:rsid w:val="007B71C1"/>
    <w:rsid w:val="007C03F9"/>
    <w:rsid w:val="007C07B3"/>
    <w:rsid w:val="007C1B00"/>
    <w:rsid w:val="007C466B"/>
    <w:rsid w:val="007C5861"/>
    <w:rsid w:val="007C682E"/>
    <w:rsid w:val="007D0530"/>
    <w:rsid w:val="007D3E3D"/>
    <w:rsid w:val="007D582F"/>
    <w:rsid w:val="007D6268"/>
    <w:rsid w:val="007E1905"/>
    <w:rsid w:val="007E1AC4"/>
    <w:rsid w:val="007E1D91"/>
    <w:rsid w:val="007E49B2"/>
    <w:rsid w:val="007E54CC"/>
    <w:rsid w:val="007F27B1"/>
    <w:rsid w:val="007F28E2"/>
    <w:rsid w:val="007F2C46"/>
    <w:rsid w:val="007F4AD9"/>
    <w:rsid w:val="007F4E1A"/>
    <w:rsid w:val="007F7B8C"/>
    <w:rsid w:val="008009E4"/>
    <w:rsid w:val="0080325C"/>
    <w:rsid w:val="008044DE"/>
    <w:rsid w:val="00804C42"/>
    <w:rsid w:val="00804D21"/>
    <w:rsid w:val="00806006"/>
    <w:rsid w:val="008068C9"/>
    <w:rsid w:val="00806F26"/>
    <w:rsid w:val="008103A8"/>
    <w:rsid w:val="008116A0"/>
    <w:rsid w:val="00815FC6"/>
    <w:rsid w:val="008168C0"/>
    <w:rsid w:val="00821E11"/>
    <w:rsid w:val="00826825"/>
    <w:rsid w:val="008305CD"/>
    <w:rsid w:val="00830A4F"/>
    <w:rsid w:val="008355B7"/>
    <w:rsid w:val="00837267"/>
    <w:rsid w:val="0083733E"/>
    <w:rsid w:val="00840AA9"/>
    <w:rsid w:val="008414DC"/>
    <w:rsid w:val="00841693"/>
    <w:rsid w:val="00842638"/>
    <w:rsid w:val="0084375F"/>
    <w:rsid w:val="008439FB"/>
    <w:rsid w:val="00843C8F"/>
    <w:rsid w:val="008440AF"/>
    <w:rsid w:val="00845117"/>
    <w:rsid w:val="00852645"/>
    <w:rsid w:val="00852786"/>
    <w:rsid w:val="00856BF0"/>
    <w:rsid w:val="0086085E"/>
    <w:rsid w:val="00861666"/>
    <w:rsid w:val="008623A2"/>
    <w:rsid w:val="0086335B"/>
    <w:rsid w:val="00864137"/>
    <w:rsid w:val="008718FF"/>
    <w:rsid w:val="0087306E"/>
    <w:rsid w:val="00875977"/>
    <w:rsid w:val="00877F77"/>
    <w:rsid w:val="008817BE"/>
    <w:rsid w:val="0088218A"/>
    <w:rsid w:val="00882A36"/>
    <w:rsid w:val="00883A0E"/>
    <w:rsid w:val="0088425D"/>
    <w:rsid w:val="008851C2"/>
    <w:rsid w:val="00887FDE"/>
    <w:rsid w:val="008903F2"/>
    <w:rsid w:val="00891D12"/>
    <w:rsid w:val="00892C31"/>
    <w:rsid w:val="00893172"/>
    <w:rsid w:val="00895DC9"/>
    <w:rsid w:val="00897E62"/>
    <w:rsid w:val="008A1CC3"/>
    <w:rsid w:val="008A26AE"/>
    <w:rsid w:val="008A2CE2"/>
    <w:rsid w:val="008A3B40"/>
    <w:rsid w:val="008A478E"/>
    <w:rsid w:val="008A4E5C"/>
    <w:rsid w:val="008A5A15"/>
    <w:rsid w:val="008A732B"/>
    <w:rsid w:val="008B004C"/>
    <w:rsid w:val="008B157E"/>
    <w:rsid w:val="008B17D1"/>
    <w:rsid w:val="008B1CAB"/>
    <w:rsid w:val="008B25C3"/>
    <w:rsid w:val="008B3B11"/>
    <w:rsid w:val="008C0F61"/>
    <w:rsid w:val="008C0FD3"/>
    <w:rsid w:val="008C6818"/>
    <w:rsid w:val="008C6E2C"/>
    <w:rsid w:val="008C7FAB"/>
    <w:rsid w:val="008D2705"/>
    <w:rsid w:val="008D2732"/>
    <w:rsid w:val="008D64E7"/>
    <w:rsid w:val="008E4133"/>
    <w:rsid w:val="008E4996"/>
    <w:rsid w:val="008E4BEE"/>
    <w:rsid w:val="008E617E"/>
    <w:rsid w:val="008E6EEB"/>
    <w:rsid w:val="008E7CDC"/>
    <w:rsid w:val="008F1E8F"/>
    <w:rsid w:val="008F3E14"/>
    <w:rsid w:val="008F3E9D"/>
    <w:rsid w:val="008F4C52"/>
    <w:rsid w:val="008F5C11"/>
    <w:rsid w:val="009063AF"/>
    <w:rsid w:val="00907C11"/>
    <w:rsid w:val="00910FB5"/>
    <w:rsid w:val="009118AD"/>
    <w:rsid w:val="009153F9"/>
    <w:rsid w:val="009177D3"/>
    <w:rsid w:val="00921819"/>
    <w:rsid w:val="00921D43"/>
    <w:rsid w:val="009250DE"/>
    <w:rsid w:val="00930768"/>
    <w:rsid w:val="00932561"/>
    <w:rsid w:val="0093491D"/>
    <w:rsid w:val="00935E59"/>
    <w:rsid w:val="00936865"/>
    <w:rsid w:val="00937423"/>
    <w:rsid w:val="00944B66"/>
    <w:rsid w:val="009461EC"/>
    <w:rsid w:val="009471F7"/>
    <w:rsid w:val="009500C3"/>
    <w:rsid w:val="009504D0"/>
    <w:rsid w:val="00954985"/>
    <w:rsid w:val="00956816"/>
    <w:rsid w:val="009574E6"/>
    <w:rsid w:val="00960C6E"/>
    <w:rsid w:val="00962E50"/>
    <w:rsid w:val="00964078"/>
    <w:rsid w:val="00965F57"/>
    <w:rsid w:val="00966592"/>
    <w:rsid w:val="00966795"/>
    <w:rsid w:val="009675BB"/>
    <w:rsid w:val="00970E2B"/>
    <w:rsid w:val="009725D7"/>
    <w:rsid w:val="00974281"/>
    <w:rsid w:val="00981727"/>
    <w:rsid w:val="0098369A"/>
    <w:rsid w:val="0098375E"/>
    <w:rsid w:val="00983C60"/>
    <w:rsid w:val="00983F40"/>
    <w:rsid w:val="00987348"/>
    <w:rsid w:val="009876A9"/>
    <w:rsid w:val="00991097"/>
    <w:rsid w:val="00991883"/>
    <w:rsid w:val="00996364"/>
    <w:rsid w:val="009A00B4"/>
    <w:rsid w:val="009A145F"/>
    <w:rsid w:val="009A1DCF"/>
    <w:rsid w:val="009A398A"/>
    <w:rsid w:val="009B4541"/>
    <w:rsid w:val="009B50D7"/>
    <w:rsid w:val="009B5AF4"/>
    <w:rsid w:val="009B5BBF"/>
    <w:rsid w:val="009C0C10"/>
    <w:rsid w:val="009C1018"/>
    <w:rsid w:val="009C37A8"/>
    <w:rsid w:val="009C3C0B"/>
    <w:rsid w:val="009C51CF"/>
    <w:rsid w:val="009C5942"/>
    <w:rsid w:val="009C76B7"/>
    <w:rsid w:val="009C7B98"/>
    <w:rsid w:val="009D0BC2"/>
    <w:rsid w:val="009D3604"/>
    <w:rsid w:val="009D3E58"/>
    <w:rsid w:val="009D48B4"/>
    <w:rsid w:val="009D4993"/>
    <w:rsid w:val="009D717C"/>
    <w:rsid w:val="009D774A"/>
    <w:rsid w:val="009E221E"/>
    <w:rsid w:val="009E2696"/>
    <w:rsid w:val="009E3F50"/>
    <w:rsid w:val="009F6E9C"/>
    <w:rsid w:val="009F7773"/>
    <w:rsid w:val="00A02627"/>
    <w:rsid w:val="00A0279A"/>
    <w:rsid w:val="00A03075"/>
    <w:rsid w:val="00A04B33"/>
    <w:rsid w:val="00A0508B"/>
    <w:rsid w:val="00A05166"/>
    <w:rsid w:val="00A053BB"/>
    <w:rsid w:val="00A11C89"/>
    <w:rsid w:val="00A128AC"/>
    <w:rsid w:val="00A131E6"/>
    <w:rsid w:val="00A13810"/>
    <w:rsid w:val="00A14AD7"/>
    <w:rsid w:val="00A14ADE"/>
    <w:rsid w:val="00A22723"/>
    <w:rsid w:val="00A23227"/>
    <w:rsid w:val="00A242C4"/>
    <w:rsid w:val="00A24DBE"/>
    <w:rsid w:val="00A2542B"/>
    <w:rsid w:val="00A304D2"/>
    <w:rsid w:val="00A30831"/>
    <w:rsid w:val="00A32A11"/>
    <w:rsid w:val="00A32F0F"/>
    <w:rsid w:val="00A33914"/>
    <w:rsid w:val="00A34D66"/>
    <w:rsid w:val="00A366A3"/>
    <w:rsid w:val="00A37939"/>
    <w:rsid w:val="00A43D42"/>
    <w:rsid w:val="00A45278"/>
    <w:rsid w:val="00A525B9"/>
    <w:rsid w:val="00A54471"/>
    <w:rsid w:val="00A54C1B"/>
    <w:rsid w:val="00A566DA"/>
    <w:rsid w:val="00A56E54"/>
    <w:rsid w:val="00A57B3C"/>
    <w:rsid w:val="00A57FA0"/>
    <w:rsid w:val="00A63B86"/>
    <w:rsid w:val="00A64014"/>
    <w:rsid w:val="00A669F2"/>
    <w:rsid w:val="00A70BA2"/>
    <w:rsid w:val="00A718CB"/>
    <w:rsid w:val="00A71EF1"/>
    <w:rsid w:val="00A7364A"/>
    <w:rsid w:val="00A74E16"/>
    <w:rsid w:val="00A75F8B"/>
    <w:rsid w:val="00A7774D"/>
    <w:rsid w:val="00A8172F"/>
    <w:rsid w:val="00A8508A"/>
    <w:rsid w:val="00A862BE"/>
    <w:rsid w:val="00A8735B"/>
    <w:rsid w:val="00A90974"/>
    <w:rsid w:val="00A91475"/>
    <w:rsid w:val="00A91F04"/>
    <w:rsid w:val="00A95B42"/>
    <w:rsid w:val="00A95C83"/>
    <w:rsid w:val="00AA0039"/>
    <w:rsid w:val="00AA1AB0"/>
    <w:rsid w:val="00AA756B"/>
    <w:rsid w:val="00AB0343"/>
    <w:rsid w:val="00AB2758"/>
    <w:rsid w:val="00AB2D74"/>
    <w:rsid w:val="00AB4EBB"/>
    <w:rsid w:val="00AB4F29"/>
    <w:rsid w:val="00AB66BC"/>
    <w:rsid w:val="00AB69A5"/>
    <w:rsid w:val="00AC51E4"/>
    <w:rsid w:val="00AC5340"/>
    <w:rsid w:val="00AC72E3"/>
    <w:rsid w:val="00AD2347"/>
    <w:rsid w:val="00AD34F2"/>
    <w:rsid w:val="00AD37F4"/>
    <w:rsid w:val="00AD4457"/>
    <w:rsid w:val="00AD592C"/>
    <w:rsid w:val="00AD71BC"/>
    <w:rsid w:val="00AD7E19"/>
    <w:rsid w:val="00AE01F1"/>
    <w:rsid w:val="00AE3C86"/>
    <w:rsid w:val="00AE42AA"/>
    <w:rsid w:val="00AE4A6A"/>
    <w:rsid w:val="00AF3213"/>
    <w:rsid w:val="00AF4991"/>
    <w:rsid w:val="00B010B7"/>
    <w:rsid w:val="00B034E2"/>
    <w:rsid w:val="00B039AC"/>
    <w:rsid w:val="00B05C3D"/>
    <w:rsid w:val="00B07669"/>
    <w:rsid w:val="00B0777D"/>
    <w:rsid w:val="00B07F3D"/>
    <w:rsid w:val="00B10841"/>
    <w:rsid w:val="00B14606"/>
    <w:rsid w:val="00B220F6"/>
    <w:rsid w:val="00B233AA"/>
    <w:rsid w:val="00B23E20"/>
    <w:rsid w:val="00B26F78"/>
    <w:rsid w:val="00B27364"/>
    <w:rsid w:val="00B35B3A"/>
    <w:rsid w:val="00B36336"/>
    <w:rsid w:val="00B363F1"/>
    <w:rsid w:val="00B413BD"/>
    <w:rsid w:val="00B41676"/>
    <w:rsid w:val="00B44605"/>
    <w:rsid w:val="00B600F1"/>
    <w:rsid w:val="00B619BC"/>
    <w:rsid w:val="00B62258"/>
    <w:rsid w:val="00B636E4"/>
    <w:rsid w:val="00B66B66"/>
    <w:rsid w:val="00B73520"/>
    <w:rsid w:val="00B7409B"/>
    <w:rsid w:val="00B80664"/>
    <w:rsid w:val="00B8111F"/>
    <w:rsid w:val="00B81C8A"/>
    <w:rsid w:val="00B83539"/>
    <w:rsid w:val="00B83794"/>
    <w:rsid w:val="00B858CD"/>
    <w:rsid w:val="00B868EE"/>
    <w:rsid w:val="00B87102"/>
    <w:rsid w:val="00B9058B"/>
    <w:rsid w:val="00B91A99"/>
    <w:rsid w:val="00B93BAC"/>
    <w:rsid w:val="00B96548"/>
    <w:rsid w:val="00B97AC9"/>
    <w:rsid w:val="00BA0046"/>
    <w:rsid w:val="00BA083E"/>
    <w:rsid w:val="00BA0D62"/>
    <w:rsid w:val="00BA7BC1"/>
    <w:rsid w:val="00BA7EC3"/>
    <w:rsid w:val="00BB1184"/>
    <w:rsid w:val="00BB7864"/>
    <w:rsid w:val="00BC3760"/>
    <w:rsid w:val="00BC3E44"/>
    <w:rsid w:val="00BC5398"/>
    <w:rsid w:val="00BC651E"/>
    <w:rsid w:val="00BD1149"/>
    <w:rsid w:val="00BD299D"/>
    <w:rsid w:val="00BE31B0"/>
    <w:rsid w:val="00BE3237"/>
    <w:rsid w:val="00BE4857"/>
    <w:rsid w:val="00BE7925"/>
    <w:rsid w:val="00BF33B3"/>
    <w:rsid w:val="00BF4095"/>
    <w:rsid w:val="00BF6275"/>
    <w:rsid w:val="00BF7934"/>
    <w:rsid w:val="00BF7D63"/>
    <w:rsid w:val="00C00B6E"/>
    <w:rsid w:val="00C01FF9"/>
    <w:rsid w:val="00C03FE6"/>
    <w:rsid w:val="00C04ACB"/>
    <w:rsid w:val="00C07E32"/>
    <w:rsid w:val="00C10900"/>
    <w:rsid w:val="00C10CF2"/>
    <w:rsid w:val="00C10DE6"/>
    <w:rsid w:val="00C1106C"/>
    <w:rsid w:val="00C1125E"/>
    <w:rsid w:val="00C12856"/>
    <w:rsid w:val="00C13020"/>
    <w:rsid w:val="00C153F9"/>
    <w:rsid w:val="00C15852"/>
    <w:rsid w:val="00C21490"/>
    <w:rsid w:val="00C23BAA"/>
    <w:rsid w:val="00C27FFA"/>
    <w:rsid w:val="00C3184D"/>
    <w:rsid w:val="00C334F2"/>
    <w:rsid w:val="00C337DD"/>
    <w:rsid w:val="00C34D6F"/>
    <w:rsid w:val="00C364FF"/>
    <w:rsid w:val="00C42336"/>
    <w:rsid w:val="00C4340B"/>
    <w:rsid w:val="00C51536"/>
    <w:rsid w:val="00C546B2"/>
    <w:rsid w:val="00C553B4"/>
    <w:rsid w:val="00C62CC8"/>
    <w:rsid w:val="00C64702"/>
    <w:rsid w:val="00C64E80"/>
    <w:rsid w:val="00C65962"/>
    <w:rsid w:val="00C67B2A"/>
    <w:rsid w:val="00C74A21"/>
    <w:rsid w:val="00C75C4D"/>
    <w:rsid w:val="00C76952"/>
    <w:rsid w:val="00C801C8"/>
    <w:rsid w:val="00C819D8"/>
    <w:rsid w:val="00C82A39"/>
    <w:rsid w:val="00C82D23"/>
    <w:rsid w:val="00C83341"/>
    <w:rsid w:val="00C841B6"/>
    <w:rsid w:val="00C873B0"/>
    <w:rsid w:val="00C87BF2"/>
    <w:rsid w:val="00C925B9"/>
    <w:rsid w:val="00C9465D"/>
    <w:rsid w:val="00C95A1D"/>
    <w:rsid w:val="00C96012"/>
    <w:rsid w:val="00CA0217"/>
    <w:rsid w:val="00CA0454"/>
    <w:rsid w:val="00CA05CE"/>
    <w:rsid w:val="00CA06A4"/>
    <w:rsid w:val="00CA0868"/>
    <w:rsid w:val="00CA1983"/>
    <w:rsid w:val="00CA1E7C"/>
    <w:rsid w:val="00CA24AD"/>
    <w:rsid w:val="00CA2786"/>
    <w:rsid w:val="00CA4D02"/>
    <w:rsid w:val="00CA54E7"/>
    <w:rsid w:val="00CA6FF6"/>
    <w:rsid w:val="00CA7B69"/>
    <w:rsid w:val="00CB15F0"/>
    <w:rsid w:val="00CB1B3E"/>
    <w:rsid w:val="00CB1BB1"/>
    <w:rsid w:val="00CB20A6"/>
    <w:rsid w:val="00CB230E"/>
    <w:rsid w:val="00CB2440"/>
    <w:rsid w:val="00CB2531"/>
    <w:rsid w:val="00CB33E0"/>
    <w:rsid w:val="00CB3D23"/>
    <w:rsid w:val="00CB74DF"/>
    <w:rsid w:val="00CC4D0A"/>
    <w:rsid w:val="00CC7745"/>
    <w:rsid w:val="00CD2239"/>
    <w:rsid w:val="00CD2F74"/>
    <w:rsid w:val="00CD305F"/>
    <w:rsid w:val="00CD34F6"/>
    <w:rsid w:val="00CD4F80"/>
    <w:rsid w:val="00CD5000"/>
    <w:rsid w:val="00CD50DE"/>
    <w:rsid w:val="00CD517D"/>
    <w:rsid w:val="00CD5AE1"/>
    <w:rsid w:val="00CE3FA5"/>
    <w:rsid w:val="00CE7B5F"/>
    <w:rsid w:val="00CE7E78"/>
    <w:rsid w:val="00CE7EA0"/>
    <w:rsid w:val="00CF0AC1"/>
    <w:rsid w:val="00CF10C4"/>
    <w:rsid w:val="00D003DF"/>
    <w:rsid w:val="00D01650"/>
    <w:rsid w:val="00D01B3A"/>
    <w:rsid w:val="00D036AC"/>
    <w:rsid w:val="00D078AB"/>
    <w:rsid w:val="00D132B0"/>
    <w:rsid w:val="00D147C2"/>
    <w:rsid w:val="00D14BEE"/>
    <w:rsid w:val="00D1646B"/>
    <w:rsid w:val="00D16753"/>
    <w:rsid w:val="00D1739C"/>
    <w:rsid w:val="00D17B8F"/>
    <w:rsid w:val="00D200CA"/>
    <w:rsid w:val="00D2161B"/>
    <w:rsid w:val="00D22DD5"/>
    <w:rsid w:val="00D26085"/>
    <w:rsid w:val="00D27C98"/>
    <w:rsid w:val="00D3246C"/>
    <w:rsid w:val="00D32CB9"/>
    <w:rsid w:val="00D3395E"/>
    <w:rsid w:val="00D34ADD"/>
    <w:rsid w:val="00D34D5B"/>
    <w:rsid w:val="00D357BB"/>
    <w:rsid w:val="00D37CA2"/>
    <w:rsid w:val="00D465AB"/>
    <w:rsid w:val="00D51364"/>
    <w:rsid w:val="00D5496B"/>
    <w:rsid w:val="00D56C90"/>
    <w:rsid w:val="00D56D54"/>
    <w:rsid w:val="00D56DA9"/>
    <w:rsid w:val="00D64693"/>
    <w:rsid w:val="00D717F5"/>
    <w:rsid w:val="00D724A8"/>
    <w:rsid w:val="00D7381C"/>
    <w:rsid w:val="00D74C7D"/>
    <w:rsid w:val="00D75C70"/>
    <w:rsid w:val="00D809E4"/>
    <w:rsid w:val="00D80E80"/>
    <w:rsid w:val="00D80E9D"/>
    <w:rsid w:val="00D8201B"/>
    <w:rsid w:val="00D82BA4"/>
    <w:rsid w:val="00D84E12"/>
    <w:rsid w:val="00D8647C"/>
    <w:rsid w:val="00D879F4"/>
    <w:rsid w:val="00DA0D07"/>
    <w:rsid w:val="00DA0FBF"/>
    <w:rsid w:val="00DA108D"/>
    <w:rsid w:val="00DA1FA8"/>
    <w:rsid w:val="00DA2C12"/>
    <w:rsid w:val="00DA4843"/>
    <w:rsid w:val="00DA627B"/>
    <w:rsid w:val="00DA7BD5"/>
    <w:rsid w:val="00DA7CEC"/>
    <w:rsid w:val="00DB11D7"/>
    <w:rsid w:val="00DB1F21"/>
    <w:rsid w:val="00DB2696"/>
    <w:rsid w:val="00DB40FF"/>
    <w:rsid w:val="00DB552A"/>
    <w:rsid w:val="00DB59B3"/>
    <w:rsid w:val="00DB735B"/>
    <w:rsid w:val="00DC0DD7"/>
    <w:rsid w:val="00DC26B1"/>
    <w:rsid w:val="00DC282B"/>
    <w:rsid w:val="00DC571D"/>
    <w:rsid w:val="00DC58B1"/>
    <w:rsid w:val="00DC6955"/>
    <w:rsid w:val="00DC7AB3"/>
    <w:rsid w:val="00DD0728"/>
    <w:rsid w:val="00DD189F"/>
    <w:rsid w:val="00DD3EB3"/>
    <w:rsid w:val="00DD5A35"/>
    <w:rsid w:val="00DD76E8"/>
    <w:rsid w:val="00DD77E1"/>
    <w:rsid w:val="00DD7D9E"/>
    <w:rsid w:val="00DE191C"/>
    <w:rsid w:val="00DE2865"/>
    <w:rsid w:val="00DE2D3F"/>
    <w:rsid w:val="00DE3FFD"/>
    <w:rsid w:val="00DE7181"/>
    <w:rsid w:val="00DF015F"/>
    <w:rsid w:val="00DF0397"/>
    <w:rsid w:val="00DF130B"/>
    <w:rsid w:val="00DF2324"/>
    <w:rsid w:val="00DF2D85"/>
    <w:rsid w:val="00DF688C"/>
    <w:rsid w:val="00E0318A"/>
    <w:rsid w:val="00E04952"/>
    <w:rsid w:val="00E068D3"/>
    <w:rsid w:val="00E06DBF"/>
    <w:rsid w:val="00E070AD"/>
    <w:rsid w:val="00E07381"/>
    <w:rsid w:val="00E07F33"/>
    <w:rsid w:val="00E1079C"/>
    <w:rsid w:val="00E1575C"/>
    <w:rsid w:val="00E176A9"/>
    <w:rsid w:val="00E17B53"/>
    <w:rsid w:val="00E30618"/>
    <w:rsid w:val="00E30F1D"/>
    <w:rsid w:val="00E31459"/>
    <w:rsid w:val="00E328EF"/>
    <w:rsid w:val="00E3324A"/>
    <w:rsid w:val="00E34239"/>
    <w:rsid w:val="00E34403"/>
    <w:rsid w:val="00E36509"/>
    <w:rsid w:val="00E3780C"/>
    <w:rsid w:val="00E40DF9"/>
    <w:rsid w:val="00E427F7"/>
    <w:rsid w:val="00E42D9B"/>
    <w:rsid w:val="00E44447"/>
    <w:rsid w:val="00E47579"/>
    <w:rsid w:val="00E5034F"/>
    <w:rsid w:val="00E50B39"/>
    <w:rsid w:val="00E53EAE"/>
    <w:rsid w:val="00E55489"/>
    <w:rsid w:val="00E5696B"/>
    <w:rsid w:val="00E63A50"/>
    <w:rsid w:val="00E63DBA"/>
    <w:rsid w:val="00E64750"/>
    <w:rsid w:val="00E678E8"/>
    <w:rsid w:val="00E710F9"/>
    <w:rsid w:val="00E71836"/>
    <w:rsid w:val="00E72959"/>
    <w:rsid w:val="00E7385E"/>
    <w:rsid w:val="00E77BC4"/>
    <w:rsid w:val="00E80A4E"/>
    <w:rsid w:val="00E8411E"/>
    <w:rsid w:val="00E8598A"/>
    <w:rsid w:val="00E861E7"/>
    <w:rsid w:val="00E949CC"/>
    <w:rsid w:val="00E95149"/>
    <w:rsid w:val="00E9534E"/>
    <w:rsid w:val="00E972B4"/>
    <w:rsid w:val="00E9734D"/>
    <w:rsid w:val="00E97E75"/>
    <w:rsid w:val="00EA0A34"/>
    <w:rsid w:val="00EA5183"/>
    <w:rsid w:val="00EA5AEF"/>
    <w:rsid w:val="00EB065B"/>
    <w:rsid w:val="00EB1965"/>
    <w:rsid w:val="00EB3B3C"/>
    <w:rsid w:val="00EB3EC9"/>
    <w:rsid w:val="00EB7D40"/>
    <w:rsid w:val="00EC0E97"/>
    <w:rsid w:val="00EC2CB0"/>
    <w:rsid w:val="00EC603E"/>
    <w:rsid w:val="00ED1590"/>
    <w:rsid w:val="00ED34BD"/>
    <w:rsid w:val="00ED4D79"/>
    <w:rsid w:val="00ED531A"/>
    <w:rsid w:val="00ED5599"/>
    <w:rsid w:val="00ED66E0"/>
    <w:rsid w:val="00ED6D05"/>
    <w:rsid w:val="00ED7808"/>
    <w:rsid w:val="00EE06A1"/>
    <w:rsid w:val="00EE28DE"/>
    <w:rsid w:val="00EE2974"/>
    <w:rsid w:val="00EE39CE"/>
    <w:rsid w:val="00EE47BA"/>
    <w:rsid w:val="00EE4A9C"/>
    <w:rsid w:val="00EE790C"/>
    <w:rsid w:val="00EF0378"/>
    <w:rsid w:val="00EF2987"/>
    <w:rsid w:val="00F012C2"/>
    <w:rsid w:val="00F0406D"/>
    <w:rsid w:val="00F04E50"/>
    <w:rsid w:val="00F10847"/>
    <w:rsid w:val="00F119A4"/>
    <w:rsid w:val="00F131F6"/>
    <w:rsid w:val="00F168AF"/>
    <w:rsid w:val="00F16A71"/>
    <w:rsid w:val="00F1795A"/>
    <w:rsid w:val="00F20713"/>
    <w:rsid w:val="00F20AAA"/>
    <w:rsid w:val="00F23330"/>
    <w:rsid w:val="00F26234"/>
    <w:rsid w:val="00F27312"/>
    <w:rsid w:val="00F27F15"/>
    <w:rsid w:val="00F3005F"/>
    <w:rsid w:val="00F300D5"/>
    <w:rsid w:val="00F30274"/>
    <w:rsid w:val="00F30FD1"/>
    <w:rsid w:val="00F31412"/>
    <w:rsid w:val="00F33F8B"/>
    <w:rsid w:val="00F342D5"/>
    <w:rsid w:val="00F36AC5"/>
    <w:rsid w:val="00F37330"/>
    <w:rsid w:val="00F42E88"/>
    <w:rsid w:val="00F43CEA"/>
    <w:rsid w:val="00F45C1A"/>
    <w:rsid w:val="00F476CA"/>
    <w:rsid w:val="00F51477"/>
    <w:rsid w:val="00F514FD"/>
    <w:rsid w:val="00F5164C"/>
    <w:rsid w:val="00F53E25"/>
    <w:rsid w:val="00F54EE6"/>
    <w:rsid w:val="00F555B5"/>
    <w:rsid w:val="00F5577A"/>
    <w:rsid w:val="00F55F4A"/>
    <w:rsid w:val="00F56949"/>
    <w:rsid w:val="00F56952"/>
    <w:rsid w:val="00F6638A"/>
    <w:rsid w:val="00F72E6B"/>
    <w:rsid w:val="00F74FCD"/>
    <w:rsid w:val="00F76E61"/>
    <w:rsid w:val="00F774ED"/>
    <w:rsid w:val="00F77E2B"/>
    <w:rsid w:val="00F90052"/>
    <w:rsid w:val="00F90C0E"/>
    <w:rsid w:val="00F9209F"/>
    <w:rsid w:val="00F937F4"/>
    <w:rsid w:val="00FA021A"/>
    <w:rsid w:val="00FA1149"/>
    <w:rsid w:val="00FA1BD7"/>
    <w:rsid w:val="00FA3943"/>
    <w:rsid w:val="00FA3B21"/>
    <w:rsid w:val="00FA5B03"/>
    <w:rsid w:val="00FA5EC5"/>
    <w:rsid w:val="00FB0DD9"/>
    <w:rsid w:val="00FB19C3"/>
    <w:rsid w:val="00FB1AF6"/>
    <w:rsid w:val="00FB2291"/>
    <w:rsid w:val="00FB42E2"/>
    <w:rsid w:val="00FB42FE"/>
    <w:rsid w:val="00FB5E44"/>
    <w:rsid w:val="00FB723C"/>
    <w:rsid w:val="00FC1251"/>
    <w:rsid w:val="00FC5193"/>
    <w:rsid w:val="00FC5501"/>
    <w:rsid w:val="00FC6276"/>
    <w:rsid w:val="00FC79D0"/>
    <w:rsid w:val="00FD42CB"/>
    <w:rsid w:val="00FD4C7A"/>
    <w:rsid w:val="00FD6B9D"/>
    <w:rsid w:val="00FD7698"/>
    <w:rsid w:val="00FE073F"/>
    <w:rsid w:val="00FE32EF"/>
    <w:rsid w:val="00FE4FE6"/>
    <w:rsid w:val="00FE74AE"/>
    <w:rsid w:val="00FE7FE0"/>
    <w:rsid w:val="00FF36F2"/>
    <w:rsid w:val="00FF3B10"/>
    <w:rsid w:val="00FF455E"/>
    <w:rsid w:val="00FF4F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45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w:hAnsi="Arial" w:cs="Times New Roman"/>
        <w:lang w:val="en-AU" w:eastAsia="en-AU" w:bidi="ar-SA"/>
      </w:rPr>
    </w:rPrDefault>
    <w:pPrDefault>
      <w:pPr>
        <w:spacing w:before="180" w:after="180" w:line="280" w:lineRule="atLeast"/>
      </w:pPr>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locked="0" w:semiHidden="1" w:unhideWhenUsed="1" w:qFormat="1"/>
    <w:lsdException w:name="index heading" w:semiHidden="1" w:unhideWhenUsed="1"/>
    <w:lsdException w:name="caption" w:locked="0" w:semiHidden="1" w:unhideWhenUsed="1" w:qFormat="1"/>
    <w:lsdException w:name="table of figures" w:locked="0" w:semiHidden="1"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iPriority="9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locked="0"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DO NOT USE"/>
    <w:next w:val="BodyText"/>
    <w:qFormat/>
    <w:rsid w:val="009D774A"/>
    <w:rPr>
      <w:rFonts w:cs="Arial"/>
      <w:color w:val="FF0000"/>
    </w:rPr>
  </w:style>
  <w:style w:type="paragraph" w:styleId="Heading1">
    <w:name w:val="heading 1"/>
    <w:next w:val="BodyText"/>
    <w:link w:val="Heading1Char"/>
    <w:qFormat/>
    <w:rsid w:val="008B25C3"/>
    <w:pPr>
      <w:keepNext/>
      <w:keepLines/>
      <w:pageBreakBefore/>
      <w:numPr>
        <w:numId w:val="19"/>
      </w:numPr>
      <w:spacing w:before="0" w:after="960" w:line="240" w:lineRule="atLeast"/>
      <w:outlineLvl w:val="0"/>
    </w:pPr>
    <w:rPr>
      <w:rFonts w:cs="Arial"/>
      <w:color w:val="006983"/>
      <w:kern w:val="28"/>
      <w:sz w:val="40"/>
    </w:rPr>
  </w:style>
  <w:style w:type="paragraph" w:styleId="Heading2">
    <w:name w:val="heading 2"/>
    <w:basedOn w:val="Heading1"/>
    <w:next w:val="BodyText"/>
    <w:link w:val="Heading2Char"/>
    <w:qFormat/>
    <w:rsid w:val="008B25C3"/>
    <w:pPr>
      <w:pageBreakBefore w:val="0"/>
      <w:numPr>
        <w:ilvl w:val="1"/>
      </w:numPr>
      <w:spacing w:before="480" w:after="180"/>
      <w:outlineLvl w:val="1"/>
    </w:pPr>
    <w:rPr>
      <w:sz w:val="30"/>
      <w:szCs w:val="30"/>
    </w:rPr>
  </w:style>
  <w:style w:type="paragraph" w:styleId="Heading3">
    <w:name w:val="heading 3"/>
    <w:basedOn w:val="Heading2"/>
    <w:next w:val="BodyText"/>
    <w:link w:val="Heading3Char"/>
    <w:qFormat/>
    <w:rsid w:val="008B25C3"/>
    <w:pPr>
      <w:numPr>
        <w:ilvl w:val="2"/>
      </w:numPr>
      <w:outlineLvl w:val="2"/>
    </w:pPr>
    <w:rPr>
      <w:b/>
      <w:sz w:val="24"/>
    </w:rPr>
  </w:style>
  <w:style w:type="paragraph" w:styleId="Heading4">
    <w:name w:val="heading 4"/>
    <w:basedOn w:val="Heading3"/>
    <w:next w:val="BodyText"/>
    <w:link w:val="Heading4Char"/>
    <w:qFormat/>
    <w:rsid w:val="008B25C3"/>
    <w:pPr>
      <w:numPr>
        <w:ilvl w:val="3"/>
      </w:numPr>
      <w:spacing w:before="240"/>
      <w:outlineLvl w:val="3"/>
    </w:pPr>
    <w:rPr>
      <w:i/>
      <w:sz w:val="22"/>
    </w:rPr>
  </w:style>
  <w:style w:type="paragraph" w:styleId="Heading5">
    <w:name w:val="heading 5"/>
    <w:basedOn w:val="Heading4"/>
    <w:next w:val="BodyText"/>
    <w:qFormat/>
    <w:rsid w:val="008B25C3"/>
    <w:pPr>
      <w:numPr>
        <w:ilvl w:val="4"/>
      </w:numPr>
      <w:spacing w:before="260"/>
      <w:outlineLvl w:val="4"/>
    </w:pPr>
    <w:rPr>
      <w:b w:val="0"/>
    </w:rPr>
  </w:style>
  <w:style w:type="paragraph" w:styleId="Heading6">
    <w:name w:val="heading 6"/>
    <w:basedOn w:val="Heading5"/>
    <w:next w:val="BodyText"/>
    <w:link w:val="Heading6Char"/>
    <w:semiHidden/>
    <w:qFormat/>
    <w:locked/>
    <w:rsid w:val="000E4671"/>
    <w:pPr>
      <w:numPr>
        <w:ilvl w:val="5"/>
      </w:numPr>
      <w:spacing w:before="240"/>
      <w:outlineLvl w:val="5"/>
    </w:pPr>
    <w:rPr>
      <w:b/>
      <w:i w:val="0"/>
      <w:color w:val="FF0000"/>
      <w:sz w:val="20"/>
    </w:rPr>
  </w:style>
  <w:style w:type="paragraph" w:styleId="Heading7">
    <w:name w:val="heading 7"/>
    <w:basedOn w:val="Heading6"/>
    <w:next w:val="BodyText"/>
    <w:semiHidden/>
    <w:qFormat/>
    <w:locked/>
    <w:rsid w:val="00F33F8B"/>
    <w:pPr>
      <w:numPr>
        <w:ilvl w:val="6"/>
      </w:numPr>
      <w:spacing w:line="220" w:lineRule="exact"/>
      <w:outlineLvl w:val="6"/>
    </w:pPr>
    <w:rPr>
      <w:rFonts w:ascii="Arial Bold" w:hAnsi="Arial Bold"/>
      <w:i/>
      <w:spacing w:val="10"/>
      <w:sz w:val="16"/>
    </w:rPr>
  </w:style>
  <w:style w:type="paragraph" w:styleId="Heading8">
    <w:name w:val="heading 8"/>
    <w:basedOn w:val="Heading7"/>
    <w:next w:val="BodyText"/>
    <w:semiHidden/>
    <w:qFormat/>
    <w:locked/>
    <w:rsid w:val="00C153F9"/>
    <w:pPr>
      <w:numPr>
        <w:ilvl w:val="7"/>
      </w:numPr>
      <w:outlineLvl w:val="7"/>
    </w:pPr>
    <w:rPr>
      <w:i w:val="0"/>
    </w:rPr>
  </w:style>
  <w:style w:type="paragraph" w:styleId="Heading9">
    <w:name w:val="heading 9"/>
    <w:aliases w:val="Heading Appendix 1"/>
    <w:basedOn w:val="Headingappendix1base"/>
    <w:next w:val="BodyText"/>
    <w:qFormat/>
    <w:rsid w:val="008B25C3"/>
    <w:pPr>
      <w:numPr>
        <w:numId w:val="20"/>
      </w:numPr>
      <w:spacing w:before="0" w:after="960" w:line="240" w:lineRule="atLeast"/>
      <w:outlineLvl w:val="8"/>
    </w:pPr>
    <w:rPr>
      <w:color w:val="0069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0768"/>
    <w:pPr>
      <w:suppressAutoHyphens/>
    </w:pPr>
    <w:rPr>
      <w:rFonts w:cs="Arial"/>
    </w:rPr>
  </w:style>
  <w:style w:type="paragraph" w:styleId="Footer">
    <w:name w:val="footer"/>
    <w:next w:val="BodyText"/>
    <w:link w:val="FooterChar"/>
    <w:qFormat/>
    <w:rsid w:val="00372C74"/>
    <w:pPr>
      <w:pBdr>
        <w:top w:val="single" w:sz="2" w:space="2" w:color="auto"/>
      </w:pBdr>
      <w:spacing w:line="160" w:lineRule="atLeast"/>
      <w:mirrorIndents/>
    </w:pPr>
    <w:rPr>
      <w:rFonts w:ascii="Arial Bold" w:hAnsi="Arial Bold" w:cs="Arial"/>
      <w:b/>
      <w:sz w:val="16"/>
      <w:szCs w:val="16"/>
    </w:rPr>
  </w:style>
  <w:style w:type="paragraph" w:styleId="Header">
    <w:name w:val="header"/>
    <w:basedOn w:val="BodyText"/>
    <w:link w:val="HeaderChar"/>
    <w:semiHidden/>
    <w:locked/>
    <w:rsid w:val="00966592"/>
    <w:pPr>
      <w:spacing w:before="0" w:after="0"/>
    </w:pPr>
    <w:rPr>
      <w:rFonts w:ascii="Arial Bold" w:hAnsi="Arial Bold"/>
      <w:b/>
      <w:sz w:val="16"/>
      <w:szCs w:val="16"/>
    </w:rPr>
  </w:style>
  <w:style w:type="paragraph" w:customStyle="1" w:styleId="Record">
    <w:name w:val="Record #"/>
    <w:basedOn w:val="BodyText"/>
    <w:next w:val="Authors"/>
    <w:qFormat/>
    <w:rsid w:val="00FA1BD7"/>
    <w:pPr>
      <w:keepNext/>
      <w:spacing w:after="1440"/>
    </w:pPr>
    <w:rPr>
      <w:rFonts w:eastAsia="Times New Roman"/>
      <w:caps/>
      <w:spacing w:val="10"/>
      <w:sz w:val="19"/>
    </w:rPr>
  </w:style>
  <w:style w:type="character" w:styleId="FollowedHyperlink">
    <w:name w:val="FollowedHyperlink"/>
    <w:basedOn w:val="DefaultParagraphFont"/>
    <w:semiHidden/>
    <w:rsid w:val="00153F7B"/>
    <w:rPr>
      <w:color w:val="0000FF"/>
      <w:u w:val="none"/>
    </w:rPr>
  </w:style>
  <w:style w:type="paragraph" w:customStyle="1" w:styleId="DocumentTitle">
    <w:name w:val="Document Title"/>
    <w:next w:val="DocumentSubtitle"/>
    <w:qFormat/>
    <w:rsid w:val="008B25C3"/>
    <w:pPr>
      <w:keepNext/>
      <w:spacing w:before="1680" w:after="360" w:line="240" w:lineRule="atLeast"/>
      <w:outlineLvl w:val="0"/>
    </w:pPr>
    <w:rPr>
      <w:rFonts w:eastAsia="Times New Roman"/>
      <w:color w:val="006983"/>
      <w:sz w:val="48"/>
    </w:rPr>
  </w:style>
  <w:style w:type="paragraph" w:customStyle="1" w:styleId="Notes">
    <w:name w:val="Notes"/>
    <w:basedOn w:val="BodyText"/>
    <w:next w:val="BodyText"/>
    <w:qFormat/>
    <w:rsid w:val="00DA2C12"/>
    <w:pPr>
      <w:numPr>
        <w:numId w:val="11"/>
      </w:numPr>
      <w:pBdr>
        <w:top w:val="single" w:sz="4" w:space="1" w:color="808080"/>
      </w:pBdr>
      <w:tabs>
        <w:tab w:val="clear" w:pos="360"/>
        <w:tab w:val="left" w:pos="357"/>
      </w:tabs>
      <w:spacing w:before="0" w:after="0" w:line="160" w:lineRule="atLeast"/>
      <w:ind w:left="357" w:hanging="357"/>
    </w:pPr>
    <w:rPr>
      <w:rFonts w:eastAsia="Times New Roman"/>
      <w:sz w:val="16"/>
    </w:rPr>
  </w:style>
  <w:style w:type="paragraph" w:styleId="CommentText">
    <w:name w:val="annotation text"/>
    <w:aliases w:val="CT-DO NOT USE"/>
    <w:next w:val="BodyText"/>
    <w:link w:val="CommentTextChar"/>
    <w:locked/>
    <w:rsid w:val="00FE073F"/>
    <w:rPr>
      <w:rFonts w:cs="Arial"/>
    </w:rPr>
  </w:style>
  <w:style w:type="character" w:customStyle="1" w:styleId="CommentTextChar">
    <w:name w:val="Comment Text Char"/>
    <w:aliases w:val="CT-DO NOT USE Char"/>
    <w:basedOn w:val="DefaultParagraphFont"/>
    <w:link w:val="CommentText"/>
    <w:rsid w:val="000410C0"/>
    <w:rPr>
      <w:rFonts w:cs="Arial"/>
    </w:rPr>
  </w:style>
  <w:style w:type="paragraph" w:customStyle="1" w:styleId="ListBulletLevel1">
    <w:name w:val="List Bullet Level 1"/>
    <w:basedOn w:val="BodyText"/>
    <w:link w:val="ListBulletLevel1Char"/>
    <w:qFormat/>
    <w:rsid w:val="008009E4"/>
    <w:pPr>
      <w:numPr>
        <w:numId w:val="17"/>
      </w:numPr>
      <w:spacing w:before="60" w:after="60"/>
    </w:pPr>
    <w:rPr>
      <w:rFonts w:eastAsia="Times New Roman"/>
    </w:rPr>
  </w:style>
  <w:style w:type="character" w:styleId="BookTitle">
    <w:name w:val="Book Title"/>
    <w:aliases w:val="BT-DO NOT USE"/>
    <w:uiPriority w:val="33"/>
    <w:semiHidden/>
    <w:locked/>
    <w:rsid w:val="00806006"/>
  </w:style>
  <w:style w:type="paragraph" w:customStyle="1" w:styleId="ListBulletLevel2">
    <w:name w:val="List Bullet Level 2"/>
    <w:basedOn w:val="ListBulletLevel1"/>
    <w:qFormat/>
    <w:rsid w:val="00F119A4"/>
    <w:pPr>
      <w:numPr>
        <w:ilvl w:val="1"/>
      </w:numPr>
      <w:spacing w:before="0"/>
    </w:pPr>
  </w:style>
  <w:style w:type="paragraph" w:customStyle="1" w:styleId="TableTitle">
    <w:name w:val="Table Title"/>
    <w:basedOn w:val="BodyText"/>
    <w:next w:val="BodyText"/>
    <w:qFormat/>
    <w:rsid w:val="000917A9"/>
    <w:pPr>
      <w:keepNext/>
      <w:spacing w:before="360" w:after="120" w:line="240" w:lineRule="atLeast"/>
    </w:pPr>
    <w:rPr>
      <w:rFonts w:eastAsia="Times New Roman"/>
      <w:i/>
      <w:sz w:val="18"/>
      <w:szCs w:val="18"/>
    </w:rPr>
  </w:style>
  <w:style w:type="paragraph" w:customStyle="1" w:styleId="TableTextLeft">
    <w:name w:val="Table Text Left"/>
    <w:qFormat/>
    <w:rsid w:val="000A2D24"/>
    <w:pPr>
      <w:spacing w:before="20" w:after="20" w:line="180" w:lineRule="atLeast"/>
    </w:pPr>
    <w:rPr>
      <w:rFonts w:eastAsia="Times New Roman" w:cs="Arial"/>
      <w:sz w:val="18"/>
    </w:rPr>
  </w:style>
  <w:style w:type="paragraph" w:customStyle="1" w:styleId="Tableheadingleft">
    <w:name w:val="Table heading left"/>
    <w:next w:val="BodyText"/>
    <w:semiHidden/>
    <w:rsid w:val="00F30274"/>
    <w:pPr>
      <w:spacing w:before="20" w:after="20" w:line="200" w:lineRule="atLeast"/>
    </w:pPr>
    <w:rPr>
      <w:rFonts w:ascii="Arial Bold" w:eastAsia="Times New Roman" w:hAnsi="Arial Bold" w:cs="Arial"/>
      <w:color w:val="FFFFFF"/>
      <w:sz w:val="18"/>
    </w:rPr>
  </w:style>
  <w:style w:type="paragraph" w:customStyle="1" w:styleId="References">
    <w:name w:val="References"/>
    <w:basedOn w:val="BodyText"/>
    <w:qFormat/>
    <w:rsid w:val="00DD3EB3"/>
    <w:pPr>
      <w:keepLines/>
      <w:spacing w:before="60" w:after="60" w:line="240" w:lineRule="atLeast"/>
      <w:ind w:left="284" w:hanging="284"/>
    </w:pPr>
    <w:rPr>
      <w:rFonts w:eastAsia="Times New Roman"/>
    </w:rPr>
  </w:style>
  <w:style w:type="character" w:styleId="CommentReference">
    <w:name w:val="annotation reference"/>
    <w:aliases w:val="CR-DO NOT USE"/>
    <w:locked/>
    <w:rsid w:val="00FE073F"/>
  </w:style>
  <w:style w:type="paragraph" w:styleId="EndnoteText">
    <w:name w:val="endnote text"/>
    <w:aliases w:val="ET-DO NOT USE"/>
    <w:semiHidden/>
    <w:locked/>
    <w:rsid w:val="00F30FD1"/>
    <w:rPr>
      <w:rFonts w:cs="Arial"/>
    </w:rPr>
  </w:style>
  <w:style w:type="character" w:customStyle="1" w:styleId="HeaderChar">
    <w:name w:val="Header Char"/>
    <w:basedOn w:val="DefaultParagraphFont"/>
    <w:link w:val="Header"/>
    <w:semiHidden/>
    <w:rsid w:val="00966592"/>
    <w:rPr>
      <w:rFonts w:ascii="Arial Bold" w:hAnsi="Arial Bold" w:cs="Arial"/>
      <w:b/>
      <w:sz w:val="16"/>
      <w:szCs w:val="16"/>
    </w:rPr>
  </w:style>
  <w:style w:type="character" w:customStyle="1" w:styleId="BodyTextChar">
    <w:name w:val="Body Text Char"/>
    <w:basedOn w:val="DefaultParagraphFont"/>
    <w:link w:val="BodyText"/>
    <w:rsid w:val="00930768"/>
    <w:rPr>
      <w:rFonts w:cs="Arial"/>
    </w:rPr>
  </w:style>
  <w:style w:type="character" w:styleId="Strong">
    <w:name w:val="Strong"/>
    <w:aliases w:val="St-DO NOT USE"/>
    <w:semiHidden/>
    <w:qFormat/>
    <w:locked/>
    <w:rsid w:val="00516E6A"/>
  </w:style>
  <w:style w:type="paragraph" w:styleId="TOC1">
    <w:name w:val="toc 1"/>
    <w:basedOn w:val="BodyText"/>
    <w:next w:val="BodyText"/>
    <w:autoRedefine/>
    <w:uiPriority w:val="39"/>
    <w:qFormat/>
    <w:rsid w:val="005E22B6"/>
    <w:pPr>
      <w:keepLines/>
      <w:tabs>
        <w:tab w:val="right" w:leader="dot" w:pos="9072"/>
      </w:tabs>
      <w:spacing w:before="120" w:after="0" w:line="200" w:lineRule="atLeast"/>
      <w:ind w:right="567"/>
    </w:pPr>
    <w:rPr>
      <w:noProof/>
    </w:rPr>
  </w:style>
  <w:style w:type="paragraph" w:styleId="TOC2">
    <w:name w:val="toc 2"/>
    <w:basedOn w:val="TOC1"/>
    <w:next w:val="BodyText"/>
    <w:autoRedefine/>
    <w:uiPriority w:val="39"/>
    <w:qFormat/>
    <w:rsid w:val="005E22B6"/>
    <w:pPr>
      <w:spacing w:before="60"/>
      <w:ind w:left="142"/>
    </w:pPr>
  </w:style>
  <w:style w:type="paragraph" w:styleId="TOC3">
    <w:name w:val="toc 3"/>
    <w:basedOn w:val="TOC2"/>
    <w:next w:val="BodyText"/>
    <w:autoRedefine/>
    <w:uiPriority w:val="39"/>
    <w:qFormat/>
    <w:rsid w:val="005E22B6"/>
    <w:pPr>
      <w:ind w:left="284"/>
    </w:pPr>
  </w:style>
  <w:style w:type="paragraph" w:styleId="TOC4">
    <w:name w:val="toc 4"/>
    <w:basedOn w:val="TOC3"/>
    <w:next w:val="BodyText"/>
    <w:autoRedefine/>
    <w:uiPriority w:val="39"/>
    <w:qFormat/>
    <w:rsid w:val="008E617E"/>
    <w:pPr>
      <w:ind w:left="425"/>
    </w:pPr>
  </w:style>
  <w:style w:type="paragraph" w:styleId="BodyText3">
    <w:name w:val="Body Text 3"/>
    <w:aliases w:val="BT3-DO NOT USE"/>
    <w:basedOn w:val="BodyText"/>
    <w:link w:val="BodyText3Char"/>
    <w:semiHidden/>
    <w:locked/>
    <w:rsid w:val="00806006"/>
  </w:style>
  <w:style w:type="paragraph" w:customStyle="1" w:styleId="Heading1NoNumbers">
    <w:name w:val="Heading1 No Numbers"/>
    <w:next w:val="BodyText"/>
    <w:link w:val="Heading1NoNumbersChar"/>
    <w:qFormat/>
    <w:rsid w:val="008B25C3"/>
    <w:pPr>
      <w:keepNext/>
      <w:keepLines/>
      <w:pageBreakBefore/>
      <w:spacing w:before="0" w:after="960" w:line="240" w:lineRule="atLeast"/>
      <w:outlineLvl w:val="0"/>
    </w:pPr>
    <w:rPr>
      <w:rFonts w:cs="Arial"/>
      <w:color w:val="006983"/>
      <w:kern w:val="28"/>
      <w:sz w:val="40"/>
    </w:rPr>
  </w:style>
  <w:style w:type="paragraph" w:customStyle="1" w:styleId="FiguresImagesLeft">
    <w:name w:val="Figures &amp; Images Left"/>
    <w:basedOn w:val="BodyText"/>
    <w:next w:val="Caption"/>
    <w:link w:val="FiguresImagesLeftChar"/>
    <w:qFormat/>
    <w:rsid w:val="00D717F5"/>
    <w:pPr>
      <w:keepNext/>
      <w:spacing w:before="480" w:after="80" w:line="160" w:lineRule="atLeast"/>
    </w:pPr>
  </w:style>
  <w:style w:type="character" w:customStyle="1" w:styleId="FiguresImagesLeftChar">
    <w:name w:val="Figures &amp; Images Left Char"/>
    <w:basedOn w:val="BodyTextChar"/>
    <w:link w:val="FiguresImagesLeft"/>
    <w:rsid w:val="00D717F5"/>
    <w:rPr>
      <w:rFonts w:cs="Arial"/>
    </w:rPr>
  </w:style>
  <w:style w:type="character" w:styleId="Hyperlink">
    <w:name w:val="Hyperlink"/>
    <w:uiPriority w:val="99"/>
    <w:qFormat/>
    <w:rsid w:val="002520FF"/>
    <w:rPr>
      <w:color w:val="0000FF"/>
    </w:rPr>
  </w:style>
  <w:style w:type="paragraph" w:styleId="TOC5">
    <w:name w:val="toc 5"/>
    <w:basedOn w:val="TOC4"/>
    <w:next w:val="BodyText"/>
    <w:autoRedefine/>
    <w:uiPriority w:val="39"/>
    <w:qFormat/>
    <w:rsid w:val="008E617E"/>
    <w:pPr>
      <w:ind w:left="567"/>
    </w:pPr>
  </w:style>
  <w:style w:type="paragraph" w:customStyle="1" w:styleId="VersoPageInfo">
    <w:name w:val="Verso Page Info"/>
    <w:basedOn w:val="BodyText"/>
    <w:link w:val="VersoPageInfoChar"/>
    <w:qFormat/>
    <w:rsid w:val="00661A73"/>
    <w:pPr>
      <w:spacing w:before="0"/>
    </w:pPr>
  </w:style>
  <w:style w:type="character" w:customStyle="1" w:styleId="Heading6Char">
    <w:name w:val="Heading 6 Char"/>
    <w:basedOn w:val="BodyTextChar"/>
    <w:link w:val="Heading6"/>
    <w:semiHidden/>
    <w:rsid w:val="000E4671"/>
    <w:rPr>
      <w:rFonts w:cs="Arial"/>
      <w:b/>
      <w:color w:val="FF0000"/>
      <w:kern w:val="28"/>
      <w:szCs w:val="30"/>
    </w:rPr>
  </w:style>
  <w:style w:type="character" w:customStyle="1" w:styleId="VersoPageInfoChar">
    <w:name w:val="Verso Page Info Char"/>
    <w:basedOn w:val="BodyTextChar"/>
    <w:link w:val="VersoPageInfo"/>
    <w:rsid w:val="00661A73"/>
    <w:rPr>
      <w:rFonts w:cs="Arial"/>
    </w:rPr>
  </w:style>
  <w:style w:type="character" w:customStyle="1" w:styleId="ListBulletLevel1Char">
    <w:name w:val="List Bullet Level 1 Char"/>
    <w:basedOn w:val="BodyTextChar"/>
    <w:link w:val="ListBulletLevel1"/>
    <w:rsid w:val="008009E4"/>
    <w:rPr>
      <w:rFonts w:eastAsia="Times New Roman" w:cs="Arial"/>
    </w:rPr>
  </w:style>
  <w:style w:type="paragraph" w:styleId="TOCHeading">
    <w:name w:val="TOC Heading"/>
    <w:next w:val="BodyText"/>
    <w:uiPriority w:val="39"/>
    <w:qFormat/>
    <w:rsid w:val="003C29DF"/>
    <w:pPr>
      <w:keepNext/>
      <w:pageBreakBefore/>
      <w:spacing w:before="0" w:after="960" w:line="240" w:lineRule="atLeast"/>
    </w:pPr>
    <w:rPr>
      <w:rFonts w:eastAsia="Times New Roman"/>
      <w:color w:val="006983"/>
      <w:sz w:val="40"/>
    </w:rPr>
  </w:style>
  <w:style w:type="paragraph" w:styleId="Closing">
    <w:name w:val="Closing"/>
    <w:aliases w:val="C-DO NOT USE"/>
    <w:basedOn w:val="CommentSubject"/>
    <w:next w:val="BodyText"/>
    <w:semiHidden/>
    <w:locked/>
    <w:rsid w:val="00FE073F"/>
  </w:style>
  <w:style w:type="paragraph" w:styleId="Date">
    <w:name w:val="Date"/>
    <w:aliases w:val="D-DO NOT USE"/>
    <w:next w:val="BodyText"/>
    <w:semiHidden/>
    <w:locked/>
    <w:rsid w:val="00F30FD1"/>
    <w:rPr>
      <w:rFonts w:cs="Arial"/>
    </w:rPr>
  </w:style>
  <w:style w:type="paragraph" w:styleId="E-mailSignature">
    <w:name w:val="E-mail Signature"/>
    <w:aliases w:val="EM-DO NOT USE"/>
    <w:next w:val="BodyText"/>
    <w:semiHidden/>
    <w:locked/>
    <w:rsid w:val="00F30FD1"/>
    <w:rPr>
      <w:rFonts w:cs="Arial"/>
    </w:rPr>
  </w:style>
  <w:style w:type="paragraph" w:styleId="EnvelopeAddress">
    <w:name w:val="envelope address"/>
    <w:aliases w:val="EA-DO NOT USE"/>
    <w:next w:val="BodyText"/>
    <w:semiHidden/>
    <w:locked/>
    <w:rsid w:val="00F30FD1"/>
    <w:rPr>
      <w:rFonts w:cs="Arial"/>
    </w:rPr>
  </w:style>
  <w:style w:type="paragraph" w:styleId="EnvelopeReturn">
    <w:name w:val="envelope return"/>
    <w:aliases w:val="ER-DO NOT USE"/>
    <w:next w:val="BodyText"/>
    <w:semiHidden/>
    <w:locked/>
    <w:rsid w:val="00F30FD1"/>
    <w:rPr>
      <w:rFonts w:cs="Arial"/>
    </w:rPr>
  </w:style>
  <w:style w:type="paragraph" w:styleId="HTMLAddress">
    <w:name w:val="HTML Address"/>
    <w:aliases w:val="HAd-DO NOT USE"/>
    <w:next w:val="BodyText"/>
    <w:semiHidden/>
    <w:locked/>
    <w:rsid w:val="005D2322"/>
    <w:rPr>
      <w:rFonts w:cs="Arial"/>
    </w:rPr>
  </w:style>
  <w:style w:type="paragraph" w:styleId="HTMLPreformatted">
    <w:name w:val="HTML Preformatted"/>
    <w:aliases w:val="HP-DO NOT USE"/>
    <w:next w:val="BodyText"/>
    <w:semiHidden/>
    <w:locked/>
    <w:rsid w:val="005D2322"/>
    <w:rPr>
      <w:rFonts w:cs="Arial"/>
    </w:rPr>
  </w:style>
  <w:style w:type="paragraph" w:styleId="List">
    <w:name w:val="List"/>
    <w:basedOn w:val="BodyText"/>
    <w:next w:val="BodyText"/>
    <w:semiHidden/>
    <w:locked/>
    <w:rsid w:val="006A2893"/>
    <w:pPr>
      <w:ind w:left="283" w:hanging="283"/>
    </w:pPr>
  </w:style>
  <w:style w:type="paragraph" w:styleId="List2">
    <w:name w:val="List 2"/>
    <w:basedOn w:val="List"/>
    <w:next w:val="BodyText"/>
    <w:semiHidden/>
    <w:locked/>
    <w:rsid w:val="006A2893"/>
    <w:pPr>
      <w:ind w:left="566"/>
    </w:pPr>
  </w:style>
  <w:style w:type="paragraph" w:styleId="List3">
    <w:name w:val="List 3"/>
    <w:basedOn w:val="List2"/>
    <w:next w:val="BodyText"/>
    <w:semiHidden/>
    <w:locked/>
    <w:rsid w:val="006A2893"/>
    <w:pPr>
      <w:ind w:left="849"/>
    </w:pPr>
  </w:style>
  <w:style w:type="paragraph" w:styleId="List4">
    <w:name w:val="List 4"/>
    <w:basedOn w:val="List3"/>
    <w:next w:val="BodyText"/>
    <w:semiHidden/>
    <w:locked/>
    <w:rsid w:val="006A2893"/>
    <w:pPr>
      <w:ind w:left="1132"/>
    </w:pPr>
  </w:style>
  <w:style w:type="paragraph" w:styleId="List5">
    <w:name w:val="List 5"/>
    <w:basedOn w:val="List4"/>
    <w:next w:val="BodyText"/>
    <w:semiHidden/>
    <w:locked/>
    <w:rsid w:val="006A2893"/>
    <w:pPr>
      <w:ind w:left="1415"/>
    </w:pPr>
  </w:style>
  <w:style w:type="paragraph" w:styleId="ListBullet">
    <w:name w:val="List Bullet"/>
    <w:basedOn w:val="BodyText"/>
    <w:next w:val="BodyText"/>
    <w:semiHidden/>
    <w:locked/>
    <w:rsid w:val="00252F33"/>
    <w:pPr>
      <w:numPr>
        <w:numId w:val="1"/>
      </w:numPr>
    </w:pPr>
  </w:style>
  <w:style w:type="paragraph" w:styleId="ListBullet2">
    <w:name w:val="List Bullet 2"/>
    <w:basedOn w:val="ListBullet"/>
    <w:next w:val="BodyText"/>
    <w:semiHidden/>
    <w:locked/>
    <w:rsid w:val="00252F33"/>
    <w:pPr>
      <w:numPr>
        <w:numId w:val="2"/>
      </w:numPr>
    </w:pPr>
  </w:style>
  <w:style w:type="paragraph" w:styleId="ListBullet3">
    <w:name w:val="List Bullet 3"/>
    <w:basedOn w:val="ListBullet2"/>
    <w:next w:val="BodyText"/>
    <w:semiHidden/>
    <w:locked/>
    <w:rsid w:val="00252F33"/>
    <w:pPr>
      <w:numPr>
        <w:numId w:val="3"/>
      </w:numPr>
    </w:pPr>
  </w:style>
  <w:style w:type="paragraph" w:styleId="ListBullet4">
    <w:name w:val="List Bullet 4"/>
    <w:basedOn w:val="ListBullet3"/>
    <w:next w:val="BodyText"/>
    <w:semiHidden/>
    <w:locked/>
    <w:rsid w:val="00252F33"/>
    <w:pPr>
      <w:numPr>
        <w:numId w:val="4"/>
      </w:numPr>
    </w:pPr>
  </w:style>
  <w:style w:type="paragraph" w:styleId="ListBullet5">
    <w:name w:val="List Bullet 5"/>
    <w:basedOn w:val="ListBullet4"/>
    <w:next w:val="BodyText"/>
    <w:semiHidden/>
    <w:locked/>
    <w:rsid w:val="00252F33"/>
    <w:pPr>
      <w:numPr>
        <w:numId w:val="5"/>
      </w:numPr>
    </w:pPr>
  </w:style>
  <w:style w:type="paragraph" w:styleId="ListContinue">
    <w:name w:val="List Continue"/>
    <w:basedOn w:val="BodyText"/>
    <w:next w:val="BodyText"/>
    <w:semiHidden/>
    <w:locked/>
    <w:rsid w:val="00252F33"/>
    <w:pPr>
      <w:ind w:left="283"/>
    </w:pPr>
  </w:style>
  <w:style w:type="paragraph" w:styleId="ListContinue2">
    <w:name w:val="List Continue 2"/>
    <w:basedOn w:val="ListContinue"/>
    <w:next w:val="BodyText"/>
    <w:semiHidden/>
    <w:locked/>
    <w:rsid w:val="00252F33"/>
    <w:pPr>
      <w:ind w:left="566"/>
    </w:pPr>
  </w:style>
  <w:style w:type="paragraph" w:styleId="ListContinue3">
    <w:name w:val="List Continue 3"/>
    <w:basedOn w:val="ListContinue2"/>
    <w:next w:val="BodyText"/>
    <w:semiHidden/>
    <w:locked/>
    <w:rsid w:val="00252F33"/>
    <w:pPr>
      <w:ind w:left="849"/>
    </w:pPr>
  </w:style>
  <w:style w:type="paragraph" w:styleId="ListContinue4">
    <w:name w:val="List Continue 4"/>
    <w:basedOn w:val="ListContinue3"/>
    <w:next w:val="BodyText"/>
    <w:semiHidden/>
    <w:locked/>
    <w:rsid w:val="00252F33"/>
    <w:pPr>
      <w:ind w:left="1132"/>
    </w:pPr>
  </w:style>
  <w:style w:type="paragraph" w:styleId="ListContinue5">
    <w:name w:val="List Continue 5"/>
    <w:basedOn w:val="ListContinue4"/>
    <w:next w:val="BodyText"/>
    <w:semiHidden/>
    <w:locked/>
    <w:rsid w:val="00252F33"/>
    <w:pPr>
      <w:ind w:left="1415"/>
    </w:pPr>
  </w:style>
  <w:style w:type="paragraph" w:styleId="ListNumber">
    <w:name w:val="List Number"/>
    <w:basedOn w:val="BodyText"/>
    <w:next w:val="BodyText"/>
    <w:semiHidden/>
    <w:locked/>
    <w:rsid w:val="00252F33"/>
    <w:pPr>
      <w:numPr>
        <w:numId w:val="6"/>
      </w:numPr>
    </w:pPr>
  </w:style>
  <w:style w:type="paragraph" w:styleId="ListNumber2">
    <w:name w:val="List Number 2"/>
    <w:basedOn w:val="ListNumber"/>
    <w:next w:val="BodyText"/>
    <w:semiHidden/>
    <w:locked/>
    <w:rsid w:val="00252F33"/>
    <w:pPr>
      <w:numPr>
        <w:numId w:val="7"/>
      </w:numPr>
    </w:pPr>
  </w:style>
  <w:style w:type="paragraph" w:styleId="ListNumber3">
    <w:name w:val="List Number 3"/>
    <w:basedOn w:val="ListNumber2"/>
    <w:next w:val="BodyText"/>
    <w:semiHidden/>
    <w:locked/>
    <w:rsid w:val="00252F33"/>
    <w:pPr>
      <w:numPr>
        <w:numId w:val="8"/>
      </w:numPr>
    </w:pPr>
  </w:style>
  <w:style w:type="paragraph" w:styleId="ListNumber4">
    <w:name w:val="List Number 4"/>
    <w:basedOn w:val="ListNumber3"/>
    <w:next w:val="BodyText"/>
    <w:semiHidden/>
    <w:locked/>
    <w:rsid w:val="00252F33"/>
    <w:pPr>
      <w:numPr>
        <w:numId w:val="9"/>
      </w:numPr>
    </w:pPr>
  </w:style>
  <w:style w:type="paragraph" w:styleId="ListNumber5">
    <w:name w:val="List Number 5"/>
    <w:basedOn w:val="ListNumber4"/>
    <w:next w:val="BodyText"/>
    <w:semiHidden/>
    <w:locked/>
    <w:rsid w:val="00252F33"/>
    <w:pPr>
      <w:numPr>
        <w:numId w:val="10"/>
      </w:numPr>
    </w:pPr>
  </w:style>
  <w:style w:type="paragraph" w:styleId="MessageHeader">
    <w:name w:val="Message Header"/>
    <w:aliases w:val="MH-DO NOT USE"/>
    <w:semiHidden/>
    <w:locked/>
    <w:rsid w:val="009876A9"/>
    <w:rPr>
      <w:rFonts w:cs="Arial"/>
    </w:rPr>
  </w:style>
  <w:style w:type="paragraph" w:styleId="NormalWeb">
    <w:name w:val="Normal (Web)"/>
    <w:aliases w:val="NW-DO NOT USE"/>
    <w:next w:val="BodyText"/>
    <w:uiPriority w:val="99"/>
    <w:locked/>
    <w:rsid w:val="00516E6A"/>
    <w:rPr>
      <w:rFonts w:cs="Arial"/>
    </w:rPr>
  </w:style>
  <w:style w:type="paragraph" w:styleId="NormalIndent">
    <w:name w:val="Normal Indent"/>
    <w:aliases w:val="NI-DO NOT USE"/>
    <w:next w:val="BodyText"/>
    <w:semiHidden/>
    <w:locked/>
    <w:rsid w:val="00516E6A"/>
    <w:rPr>
      <w:rFonts w:cs="Arial"/>
    </w:rPr>
  </w:style>
  <w:style w:type="paragraph" w:styleId="NoteHeading">
    <w:name w:val="Note Heading"/>
    <w:basedOn w:val="BodyText"/>
    <w:next w:val="BodyText"/>
    <w:semiHidden/>
    <w:locked/>
    <w:rsid w:val="00252F33"/>
  </w:style>
  <w:style w:type="character" w:styleId="PageNumber">
    <w:name w:val="page number"/>
    <w:aliases w:val="P-DO NOT USE"/>
    <w:semiHidden/>
    <w:locked/>
    <w:rsid w:val="00516E6A"/>
  </w:style>
  <w:style w:type="paragraph" w:styleId="PlainText">
    <w:name w:val="Plain Text"/>
    <w:aliases w:val="PT-DO NOT USE"/>
    <w:semiHidden/>
    <w:locked/>
    <w:rsid w:val="00516E6A"/>
    <w:rPr>
      <w:rFonts w:cs="Arial"/>
    </w:rPr>
  </w:style>
  <w:style w:type="paragraph" w:styleId="Salutation">
    <w:name w:val="Salutation"/>
    <w:aliases w:val="Sa-DO NOT USE"/>
    <w:next w:val="BodyText"/>
    <w:semiHidden/>
    <w:locked/>
    <w:rsid w:val="00516E6A"/>
    <w:rPr>
      <w:rFonts w:cs="Arial"/>
    </w:rPr>
  </w:style>
  <w:style w:type="paragraph" w:styleId="Signature">
    <w:name w:val="Signature"/>
    <w:aliases w:val="Si-DO NOT USE"/>
    <w:next w:val="BodyText"/>
    <w:semiHidden/>
    <w:locked/>
    <w:rsid w:val="00516E6A"/>
    <w:rPr>
      <w:rFonts w:cs="Arial"/>
    </w:rPr>
  </w:style>
  <w:style w:type="paragraph" w:styleId="Subtitle">
    <w:name w:val="Subtitle"/>
    <w:aliases w:val="S-DO NOT USE"/>
    <w:next w:val="BodyText"/>
    <w:semiHidden/>
    <w:qFormat/>
    <w:locked/>
    <w:rsid w:val="00516E6A"/>
    <w:rPr>
      <w:rFonts w:cs="Arial"/>
    </w:rPr>
  </w:style>
  <w:style w:type="table" w:styleId="Table3Deffects1">
    <w:name w:val="Table 3D effects 1"/>
    <w:basedOn w:val="TableNormal"/>
    <w:semiHidden/>
    <w:locked/>
    <w:rsid w:val="00714D0A"/>
    <w:pPr>
      <w:spacing w:before="600" w:after="600"/>
      <w:jc w:val="righ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itle">
    <w:name w:val="Title"/>
    <w:aliases w:val="T-DO NOT USE"/>
    <w:next w:val="BodyText"/>
    <w:semiHidden/>
    <w:locked/>
    <w:rsid w:val="00516E6A"/>
    <w:rPr>
      <w:rFonts w:cs="Arial"/>
    </w:rPr>
  </w:style>
  <w:style w:type="character" w:customStyle="1" w:styleId="Heading1Char">
    <w:name w:val="Heading 1 Char"/>
    <w:basedOn w:val="DefaultParagraphFont"/>
    <w:link w:val="Heading1"/>
    <w:rsid w:val="008B25C3"/>
    <w:rPr>
      <w:rFonts w:cs="Arial"/>
      <w:color w:val="006983"/>
      <w:kern w:val="28"/>
      <w:sz w:val="40"/>
    </w:rPr>
  </w:style>
  <w:style w:type="character" w:customStyle="1" w:styleId="Heading1NoNumbersChar">
    <w:name w:val="Heading1 No Numbers Char"/>
    <w:basedOn w:val="Heading1Char"/>
    <w:link w:val="Heading1NoNumbers"/>
    <w:rsid w:val="008B25C3"/>
    <w:rPr>
      <w:rFonts w:cs="Arial"/>
      <w:color w:val="006983"/>
      <w:kern w:val="28"/>
      <w:sz w:val="40"/>
    </w:rPr>
  </w:style>
  <w:style w:type="paragraph" w:customStyle="1" w:styleId="Heading2NoNumbers">
    <w:name w:val="Heading2 No Numbers"/>
    <w:basedOn w:val="Heading1NoNumbers"/>
    <w:next w:val="BodyText"/>
    <w:link w:val="Heading2NoNumbersChar"/>
    <w:qFormat/>
    <w:rsid w:val="008B25C3"/>
    <w:pPr>
      <w:pageBreakBefore w:val="0"/>
      <w:numPr>
        <w:ilvl w:val="1"/>
      </w:numPr>
      <w:spacing w:before="480" w:after="180"/>
      <w:outlineLvl w:val="1"/>
    </w:pPr>
    <w:rPr>
      <w:sz w:val="30"/>
      <w:szCs w:val="28"/>
    </w:rPr>
  </w:style>
  <w:style w:type="paragraph" w:customStyle="1" w:styleId="Heading3NoNumbers">
    <w:name w:val="Heading3 No Numbers"/>
    <w:basedOn w:val="Heading2NoNumbers"/>
    <w:next w:val="BodyText"/>
    <w:link w:val="Heading3NoNumbersChar"/>
    <w:qFormat/>
    <w:rsid w:val="008B25C3"/>
    <w:pPr>
      <w:numPr>
        <w:ilvl w:val="2"/>
      </w:numPr>
      <w:outlineLvl w:val="2"/>
    </w:pPr>
    <w:rPr>
      <w:rFonts w:cs="Lucida Sans Unicode"/>
      <w:b/>
      <w:sz w:val="24"/>
      <w:szCs w:val="24"/>
    </w:rPr>
  </w:style>
  <w:style w:type="paragraph" w:customStyle="1" w:styleId="Heading4NoNumbers">
    <w:name w:val="Heading4 No Numbers"/>
    <w:basedOn w:val="Heading3NoNumbers"/>
    <w:next w:val="BodyText"/>
    <w:link w:val="Heading4NoNumbersChar"/>
    <w:qFormat/>
    <w:rsid w:val="008B25C3"/>
    <w:pPr>
      <w:numPr>
        <w:ilvl w:val="3"/>
      </w:numPr>
      <w:spacing w:before="240"/>
      <w:outlineLvl w:val="3"/>
    </w:pPr>
    <w:rPr>
      <w:i/>
      <w:sz w:val="22"/>
      <w:szCs w:val="22"/>
    </w:rPr>
  </w:style>
  <w:style w:type="paragraph" w:customStyle="1" w:styleId="Heading5NoNumbers">
    <w:name w:val="Heading5 No Numbers"/>
    <w:basedOn w:val="Heading4NoNumbers"/>
    <w:next w:val="BodyText"/>
    <w:qFormat/>
    <w:rsid w:val="008B25C3"/>
    <w:pPr>
      <w:numPr>
        <w:ilvl w:val="4"/>
      </w:numPr>
      <w:spacing w:before="260"/>
      <w:outlineLvl w:val="4"/>
    </w:pPr>
    <w:rPr>
      <w:b w:val="0"/>
    </w:rPr>
  </w:style>
  <w:style w:type="character" w:customStyle="1" w:styleId="Heading2Char">
    <w:name w:val="Heading 2 Char"/>
    <w:basedOn w:val="Heading1Char"/>
    <w:link w:val="Heading2"/>
    <w:rsid w:val="008B25C3"/>
    <w:rPr>
      <w:rFonts w:cs="Arial"/>
      <w:color w:val="006983"/>
      <w:kern w:val="28"/>
      <w:sz w:val="30"/>
      <w:szCs w:val="30"/>
    </w:rPr>
  </w:style>
  <w:style w:type="character" w:customStyle="1" w:styleId="Heading2NoNumbersChar">
    <w:name w:val="Heading2 No Numbers Char"/>
    <w:basedOn w:val="Heading1NoNumbersChar"/>
    <w:link w:val="Heading2NoNumbers"/>
    <w:rsid w:val="008B25C3"/>
    <w:rPr>
      <w:rFonts w:cs="Arial"/>
      <w:color w:val="006983"/>
      <w:kern w:val="28"/>
      <w:sz w:val="30"/>
      <w:szCs w:val="28"/>
    </w:rPr>
  </w:style>
  <w:style w:type="character" w:customStyle="1" w:styleId="Heading3NoNumbersChar">
    <w:name w:val="Heading3 No Numbers Char"/>
    <w:basedOn w:val="Heading2NoNumbersChar"/>
    <w:link w:val="Heading3NoNumbers"/>
    <w:rsid w:val="008B25C3"/>
    <w:rPr>
      <w:rFonts w:cs="Lucida Sans Unicode"/>
      <w:b/>
      <w:color w:val="006983"/>
      <w:kern w:val="28"/>
      <w:sz w:val="24"/>
      <w:szCs w:val="24"/>
    </w:rPr>
  </w:style>
  <w:style w:type="character" w:customStyle="1" w:styleId="Heading3Char">
    <w:name w:val="Heading 3 Char"/>
    <w:basedOn w:val="Heading2Char"/>
    <w:link w:val="Heading3"/>
    <w:rsid w:val="008B25C3"/>
    <w:rPr>
      <w:rFonts w:cs="Arial"/>
      <w:b/>
      <w:color w:val="006983"/>
      <w:kern w:val="28"/>
      <w:sz w:val="24"/>
      <w:szCs w:val="30"/>
    </w:rPr>
  </w:style>
  <w:style w:type="character" w:customStyle="1" w:styleId="Heading4Char">
    <w:name w:val="Heading 4 Char"/>
    <w:basedOn w:val="Heading3Char"/>
    <w:link w:val="Heading4"/>
    <w:rsid w:val="008B25C3"/>
    <w:rPr>
      <w:rFonts w:cs="Arial"/>
      <w:b/>
      <w:i/>
      <w:color w:val="006983"/>
      <w:kern w:val="28"/>
      <w:sz w:val="22"/>
      <w:szCs w:val="30"/>
    </w:rPr>
  </w:style>
  <w:style w:type="character" w:customStyle="1" w:styleId="Heading4NoNumbersChar">
    <w:name w:val="Heading4 No Numbers Char"/>
    <w:basedOn w:val="Heading4Char"/>
    <w:link w:val="Heading4NoNumbers"/>
    <w:rsid w:val="008B25C3"/>
    <w:rPr>
      <w:rFonts w:cs="Lucida Sans Unicode"/>
      <w:b/>
      <w:i/>
      <w:color w:val="006983"/>
      <w:kern w:val="28"/>
      <w:sz w:val="22"/>
      <w:szCs w:val="22"/>
    </w:rPr>
  </w:style>
  <w:style w:type="paragraph" w:styleId="TOC6">
    <w:name w:val="toc 6"/>
    <w:basedOn w:val="Normal"/>
    <w:next w:val="Normal"/>
    <w:autoRedefine/>
    <w:uiPriority w:val="39"/>
    <w:locked/>
    <w:rsid w:val="0093491D"/>
    <w:pPr>
      <w:ind w:left="1050"/>
    </w:pPr>
  </w:style>
  <w:style w:type="paragraph" w:customStyle="1" w:styleId="ListNumberedLevel1">
    <w:name w:val="List Numbered Level 1"/>
    <w:basedOn w:val="BodyText"/>
    <w:link w:val="ListNumberedLevel1Char"/>
    <w:qFormat/>
    <w:rsid w:val="008009E4"/>
    <w:pPr>
      <w:numPr>
        <w:numId w:val="18"/>
      </w:numPr>
      <w:spacing w:before="60" w:after="60"/>
    </w:pPr>
  </w:style>
  <w:style w:type="character" w:customStyle="1" w:styleId="ListNumberedLevel1Char">
    <w:name w:val="List Numbered Level 1 Char"/>
    <w:basedOn w:val="ListBulletLevel1Char"/>
    <w:link w:val="ListNumberedLevel1"/>
    <w:rsid w:val="008009E4"/>
    <w:rPr>
      <w:rFonts w:eastAsia="Times New Roman" w:cs="Arial"/>
    </w:rPr>
  </w:style>
  <w:style w:type="paragraph" w:customStyle="1" w:styleId="ListNumberedLevel2">
    <w:name w:val="List Numbered Level 2"/>
    <w:basedOn w:val="ListNumberedLevel1"/>
    <w:qFormat/>
    <w:rsid w:val="00405597"/>
    <w:pPr>
      <w:numPr>
        <w:ilvl w:val="1"/>
      </w:numPr>
      <w:spacing w:before="0"/>
    </w:pPr>
  </w:style>
  <w:style w:type="paragraph" w:styleId="TableofFigures">
    <w:name w:val="table of figures"/>
    <w:basedOn w:val="TOC1"/>
    <w:next w:val="BodyText"/>
    <w:semiHidden/>
    <w:qFormat/>
    <w:rsid w:val="005E22B6"/>
  </w:style>
  <w:style w:type="numbering" w:styleId="111111">
    <w:name w:val="Outline List 2"/>
    <w:basedOn w:val="NoList"/>
    <w:semiHidden/>
    <w:locked/>
    <w:rsid w:val="00D809E4"/>
    <w:pPr>
      <w:numPr>
        <w:numId w:val="12"/>
      </w:numPr>
    </w:pPr>
  </w:style>
  <w:style w:type="numbering" w:styleId="1ai">
    <w:name w:val="Outline List 1"/>
    <w:basedOn w:val="NoList"/>
    <w:semiHidden/>
    <w:locked/>
    <w:rsid w:val="005A42BF"/>
    <w:pPr>
      <w:numPr>
        <w:numId w:val="13"/>
      </w:numPr>
    </w:pPr>
  </w:style>
  <w:style w:type="numbering" w:styleId="ArticleSection">
    <w:name w:val="Outline List 3"/>
    <w:basedOn w:val="NoList"/>
    <w:semiHidden/>
    <w:locked/>
    <w:rsid w:val="00D809E4"/>
    <w:pPr>
      <w:numPr>
        <w:numId w:val="14"/>
      </w:numPr>
    </w:pPr>
  </w:style>
  <w:style w:type="character" w:styleId="Emphasis">
    <w:name w:val="Emphasis"/>
    <w:aliases w:val="E-DO NOT USE"/>
    <w:qFormat/>
    <w:locked/>
    <w:rsid w:val="00F30FD1"/>
  </w:style>
  <w:style w:type="character" w:styleId="HTMLAcronym">
    <w:name w:val="HTML Acronym"/>
    <w:aliases w:val="HA-DO NOT USE"/>
    <w:semiHidden/>
    <w:locked/>
    <w:rsid w:val="005D2322"/>
  </w:style>
  <w:style w:type="character" w:styleId="HTMLCite">
    <w:name w:val="HTML Cite"/>
    <w:aliases w:val="HCi-DO NOT USE"/>
    <w:semiHidden/>
    <w:locked/>
    <w:rsid w:val="005D2322"/>
  </w:style>
  <w:style w:type="character" w:styleId="HTMLCode">
    <w:name w:val="HTML Code"/>
    <w:aliases w:val="HC-DO NOT USE"/>
    <w:semiHidden/>
    <w:locked/>
    <w:rsid w:val="005D2322"/>
  </w:style>
  <w:style w:type="character" w:styleId="HTMLDefinition">
    <w:name w:val="HTML Definition"/>
    <w:aliases w:val="HD-DO NOT USE"/>
    <w:semiHidden/>
    <w:locked/>
    <w:rsid w:val="005D2322"/>
  </w:style>
  <w:style w:type="character" w:styleId="HTMLKeyboard">
    <w:name w:val="HTML Keyboard"/>
    <w:aliases w:val="HK-DO NOT USE"/>
    <w:semiHidden/>
    <w:locked/>
    <w:rsid w:val="005D2322"/>
  </w:style>
  <w:style w:type="character" w:styleId="HTMLSample">
    <w:name w:val="HTML Sample"/>
    <w:aliases w:val="HS-DO NOT USE"/>
    <w:semiHidden/>
    <w:locked/>
    <w:rsid w:val="005D2322"/>
  </w:style>
  <w:style w:type="character" w:styleId="HTMLTypewriter">
    <w:name w:val="HTML Typewriter"/>
    <w:aliases w:val="HT-DO NOT USE"/>
    <w:semiHidden/>
    <w:locked/>
    <w:rsid w:val="005D2322"/>
  </w:style>
  <w:style w:type="character" w:styleId="HTMLVariable">
    <w:name w:val="HTML Variable"/>
    <w:aliases w:val="HV-DO NOT USE"/>
    <w:semiHidden/>
    <w:locked/>
    <w:rsid w:val="005D2322"/>
  </w:style>
  <w:style w:type="character" w:styleId="LineNumber">
    <w:name w:val="line number"/>
    <w:aliases w:val="LN-DO NOT USE"/>
    <w:semiHidden/>
    <w:locked/>
    <w:rsid w:val="009876A9"/>
  </w:style>
  <w:style w:type="table" w:styleId="Table3Deffects2">
    <w:name w:val="Table 3D effects 2"/>
    <w:basedOn w:val="TableNormal"/>
    <w:semiHidden/>
    <w:locked/>
    <w:rsid w:val="00D809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D809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D809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D809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D809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D809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D809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D809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D809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D809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D809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D809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D809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D809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D809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D809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D80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D809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D809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D809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D809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D809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D809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D809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D809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D809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D809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D809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D809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D809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D809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D809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D809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D809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D809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D809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D809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D809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D809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D80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D809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D809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D809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AHeaderRow">
    <w:name w:val="Table GA Header Row"/>
    <w:basedOn w:val="TableNormal"/>
    <w:rsid w:val="00CA1E7C"/>
    <w:pPr>
      <w:spacing w:before="20" w:after="20" w:line="200" w:lineRule="atLeast"/>
    </w:pPr>
    <w:rPr>
      <w:sz w:val="18"/>
    </w:rPr>
    <w:tblPr>
      <w:tblStyleRowBandSize w:val="1"/>
      <w:tblStyleColBandSize w:val="1"/>
      <w:tblInd w:w="57" w:type="dxa"/>
      <w:tblCellMar>
        <w:top w:w="57" w:type="dxa"/>
        <w:left w:w="57" w:type="dxa"/>
        <w:bottom w:w="28" w:type="dxa"/>
        <w:right w:w="57" w:type="dxa"/>
      </w:tblCellMar>
    </w:tblPr>
    <w:trPr>
      <w:cantSplit/>
    </w:trPr>
    <w:tcPr>
      <w:shd w:val="clear" w:color="auto" w:fill="FFFFFF" w:themeFill="background1"/>
    </w:tcPr>
    <w:tblStylePr w:type="firstRow">
      <w:pPr>
        <w:keepNext/>
        <w:wordWrap/>
        <w:spacing w:beforeLines="0" w:before="0" w:beforeAutospacing="0" w:afterLines="0" w:after="0" w:afterAutospacing="0" w:line="120" w:lineRule="atLeast"/>
        <w:jc w:val="left"/>
      </w:pPr>
      <w:rPr>
        <w:rFonts w:ascii="Arial" w:hAnsi="Arial"/>
        <w:b/>
        <w:color w:val="FFFFFF"/>
        <w:sz w:val="18"/>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6983"/>
      </w:tcPr>
    </w:tblStylePr>
    <w:tblStylePr w:type="band1Vert">
      <w:pPr>
        <w:wordWrap/>
        <w:jc w:val="left"/>
      </w:pPr>
    </w:tblStylePr>
    <w:tblStylePr w:type="band1Horz">
      <w:pPr>
        <w:wordWrap/>
        <w:spacing w:beforeLines="0" w:before="0" w:beforeAutospacing="0" w:afterLines="0" w:after="0" w:afterAutospacing="0" w:line="120" w:lineRule="atLeast"/>
        <w:jc w:val="left"/>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9E9EC"/>
      </w:tcPr>
    </w:tblStylePr>
    <w:tblStylePr w:type="band2Horz">
      <w:pPr>
        <w:wordWrap/>
        <w:spacing w:beforeLines="0" w:before="0" w:beforeAutospacing="0" w:afterLines="0" w:after="0" w:afterAutospacing="0" w:line="120" w:lineRule="atLeast"/>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2F8F9"/>
      </w:tcPr>
    </w:tblStylePr>
  </w:style>
  <w:style w:type="character" w:customStyle="1" w:styleId="Superscript">
    <w:name w:val="Superscript"/>
    <w:basedOn w:val="DefaultParagraphFont"/>
    <w:qFormat/>
    <w:rsid w:val="00703302"/>
    <w:rPr>
      <w:position w:val="0"/>
      <w:vertAlign w:val="superscript"/>
    </w:rPr>
  </w:style>
  <w:style w:type="character" w:customStyle="1" w:styleId="Subscript">
    <w:name w:val="Subscript"/>
    <w:basedOn w:val="DefaultParagraphFont"/>
    <w:qFormat/>
    <w:rsid w:val="00617DDE"/>
    <w:rPr>
      <w:position w:val="-4"/>
      <w:vertAlign w:val="subscript"/>
    </w:rPr>
  </w:style>
  <w:style w:type="character" w:customStyle="1" w:styleId="BodyText3Char">
    <w:name w:val="Body Text 3 Char"/>
    <w:aliases w:val="BT3-DO NOT USE Char"/>
    <w:basedOn w:val="DefaultParagraphFont"/>
    <w:link w:val="BodyText3"/>
    <w:semiHidden/>
    <w:rsid w:val="00806006"/>
    <w:rPr>
      <w:rFonts w:cs="Arial"/>
    </w:rPr>
  </w:style>
  <w:style w:type="paragraph" w:styleId="BodyText2">
    <w:name w:val="Body Text 2"/>
    <w:aliases w:val="BT2-DO NOT USE"/>
    <w:basedOn w:val="Normal"/>
    <w:link w:val="BodyText2Char"/>
    <w:semiHidden/>
    <w:locked/>
    <w:rsid w:val="00806006"/>
    <w:pPr>
      <w:spacing w:after="120" w:line="480" w:lineRule="auto"/>
    </w:pPr>
  </w:style>
  <w:style w:type="character" w:customStyle="1" w:styleId="FooterChar">
    <w:name w:val="Footer Char"/>
    <w:basedOn w:val="DefaultParagraphFont"/>
    <w:link w:val="Footer"/>
    <w:rsid w:val="00372C74"/>
    <w:rPr>
      <w:rFonts w:ascii="Arial Bold" w:hAnsi="Arial Bold" w:cs="Arial"/>
      <w:b/>
      <w:sz w:val="16"/>
      <w:szCs w:val="16"/>
    </w:rPr>
  </w:style>
  <w:style w:type="table" w:styleId="LightShading-Accent5">
    <w:name w:val="Light Shading Accent 5"/>
    <w:basedOn w:val="TableNormal"/>
    <w:uiPriority w:val="60"/>
    <w:locked/>
    <w:rsid w:val="00821E1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locked/>
    <w:rsid w:val="00821E1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821E1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821E1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821E1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locked/>
    <w:rsid w:val="00821E1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4">
    <w:name w:val="Medium Shading 2 Accent 4"/>
    <w:basedOn w:val="TableNormal"/>
    <w:uiPriority w:val="64"/>
    <w:locked/>
    <w:rsid w:val="008B3B1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ocumentSubtitle">
    <w:name w:val="Document Subtitle"/>
    <w:basedOn w:val="DocumentTitle"/>
    <w:next w:val="Record"/>
    <w:link w:val="DocumentSubtitleChar"/>
    <w:qFormat/>
    <w:rsid w:val="00FA1BD7"/>
    <w:pPr>
      <w:spacing w:before="0" w:after="600"/>
      <w:outlineLvl w:val="1"/>
    </w:pPr>
    <w:rPr>
      <w:sz w:val="32"/>
      <w:szCs w:val="36"/>
    </w:rPr>
  </w:style>
  <w:style w:type="character" w:customStyle="1" w:styleId="DocumentSubtitleChar">
    <w:name w:val="Document Subtitle Char"/>
    <w:basedOn w:val="DefaultParagraphFont"/>
    <w:link w:val="DocumentSubtitle"/>
    <w:rsid w:val="00FA1BD7"/>
    <w:rPr>
      <w:rFonts w:eastAsia="Times New Roman"/>
      <w:sz w:val="32"/>
      <w:szCs w:val="36"/>
    </w:rPr>
  </w:style>
  <w:style w:type="paragraph" w:styleId="Bibliography">
    <w:name w:val="Bibliography"/>
    <w:basedOn w:val="VersoPageInfo"/>
    <w:next w:val="BodyText"/>
    <w:uiPriority w:val="37"/>
    <w:locked/>
    <w:rsid w:val="001D2B40"/>
    <w:pPr>
      <w:pBdr>
        <w:top w:val="single" w:sz="4" w:space="1" w:color="808080"/>
        <w:left w:val="single" w:sz="4" w:space="4" w:color="808080"/>
        <w:bottom w:val="single" w:sz="4" w:space="1" w:color="808080"/>
        <w:right w:val="single" w:sz="4" w:space="4" w:color="808080"/>
      </w:pBdr>
      <w:spacing w:before="360" w:after="360"/>
    </w:pPr>
    <w:rPr>
      <w:rFonts w:eastAsia="Times New Roman"/>
    </w:rPr>
  </w:style>
  <w:style w:type="paragraph" w:styleId="Caption">
    <w:name w:val="caption"/>
    <w:next w:val="BodyText"/>
    <w:qFormat/>
    <w:rsid w:val="00B7409B"/>
    <w:pPr>
      <w:spacing w:before="120" w:after="480" w:line="200" w:lineRule="atLeast"/>
    </w:pPr>
    <w:rPr>
      <w:rFonts w:eastAsia="Times New Roman" w:cs="Arial"/>
      <w:i/>
      <w:sz w:val="18"/>
      <w:szCs w:val="18"/>
    </w:rPr>
  </w:style>
  <w:style w:type="paragraph" w:styleId="CommentSubject">
    <w:name w:val="annotation subject"/>
    <w:aliases w:val="CS-DO NOT USE"/>
    <w:link w:val="CommentSubjectChar"/>
    <w:semiHidden/>
    <w:locked/>
    <w:rsid w:val="00FE073F"/>
    <w:rPr>
      <w:rFonts w:cs="Arial"/>
    </w:rPr>
  </w:style>
  <w:style w:type="character" w:customStyle="1" w:styleId="CommentSubjectChar">
    <w:name w:val="Comment Subject Char"/>
    <w:aliases w:val="CS-DO NOT USE Char"/>
    <w:basedOn w:val="DefaultParagraphFont"/>
    <w:link w:val="CommentSubject"/>
    <w:semiHidden/>
    <w:rsid w:val="00FE073F"/>
    <w:rPr>
      <w:rFonts w:cs="Arial"/>
    </w:rPr>
  </w:style>
  <w:style w:type="paragraph" w:styleId="DocumentMap">
    <w:name w:val="Document Map"/>
    <w:aliases w:val="DM-DO NOT USE"/>
    <w:link w:val="DocumentMapChar"/>
    <w:semiHidden/>
    <w:locked/>
    <w:rsid w:val="00F30FD1"/>
    <w:rPr>
      <w:rFonts w:cs="Arial"/>
    </w:rPr>
  </w:style>
  <w:style w:type="character" w:customStyle="1" w:styleId="DocumentMapChar">
    <w:name w:val="Document Map Char"/>
    <w:aliases w:val="DM-DO NOT USE Char"/>
    <w:basedOn w:val="DefaultParagraphFont"/>
    <w:link w:val="DocumentMap"/>
    <w:semiHidden/>
    <w:rsid w:val="00F30FD1"/>
    <w:rPr>
      <w:rFonts w:cs="Arial"/>
    </w:rPr>
  </w:style>
  <w:style w:type="paragraph" w:styleId="FootnoteText">
    <w:name w:val="footnote text"/>
    <w:link w:val="FootnoteTextChar"/>
    <w:uiPriority w:val="99"/>
    <w:locked/>
    <w:rsid w:val="0073241D"/>
    <w:pPr>
      <w:tabs>
        <w:tab w:val="left" w:pos="284"/>
      </w:tabs>
      <w:spacing w:before="30" w:after="0" w:line="240" w:lineRule="auto"/>
      <w:ind w:left="113" w:hanging="113"/>
    </w:pPr>
    <w:rPr>
      <w:rFonts w:cs="Arial"/>
      <w:position w:val="4"/>
      <w:sz w:val="16"/>
    </w:rPr>
  </w:style>
  <w:style w:type="character" w:customStyle="1" w:styleId="FootnoteTextChar">
    <w:name w:val="Footnote Text Char"/>
    <w:basedOn w:val="DefaultParagraphFont"/>
    <w:link w:val="FootnoteText"/>
    <w:uiPriority w:val="99"/>
    <w:rsid w:val="0073241D"/>
    <w:rPr>
      <w:rFonts w:cs="Arial"/>
      <w:position w:val="4"/>
      <w:sz w:val="16"/>
    </w:rPr>
  </w:style>
  <w:style w:type="paragraph" w:styleId="Index1">
    <w:name w:val="index 1"/>
    <w:basedOn w:val="Normal"/>
    <w:next w:val="Normal"/>
    <w:autoRedefine/>
    <w:semiHidden/>
    <w:locked/>
    <w:rsid w:val="00792071"/>
    <w:pPr>
      <w:spacing w:line="240" w:lineRule="auto"/>
      <w:ind w:left="200" w:hanging="200"/>
    </w:pPr>
  </w:style>
  <w:style w:type="paragraph" w:styleId="Index2">
    <w:name w:val="index 2"/>
    <w:basedOn w:val="Normal"/>
    <w:next w:val="Normal"/>
    <w:autoRedefine/>
    <w:semiHidden/>
    <w:locked/>
    <w:rsid w:val="00792071"/>
    <w:pPr>
      <w:spacing w:line="240" w:lineRule="auto"/>
      <w:ind w:left="400" w:hanging="200"/>
    </w:pPr>
  </w:style>
  <w:style w:type="paragraph" w:styleId="Index3">
    <w:name w:val="index 3"/>
    <w:basedOn w:val="Normal"/>
    <w:next w:val="Normal"/>
    <w:autoRedefine/>
    <w:semiHidden/>
    <w:locked/>
    <w:rsid w:val="00792071"/>
    <w:pPr>
      <w:spacing w:line="240" w:lineRule="auto"/>
      <w:ind w:left="600" w:hanging="200"/>
    </w:pPr>
  </w:style>
  <w:style w:type="paragraph" w:styleId="Index4">
    <w:name w:val="index 4"/>
    <w:basedOn w:val="Normal"/>
    <w:next w:val="Normal"/>
    <w:autoRedefine/>
    <w:semiHidden/>
    <w:locked/>
    <w:rsid w:val="00792071"/>
    <w:pPr>
      <w:spacing w:line="240" w:lineRule="auto"/>
      <w:ind w:left="800" w:hanging="200"/>
    </w:pPr>
  </w:style>
  <w:style w:type="paragraph" w:styleId="Index5">
    <w:name w:val="index 5"/>
    <w:basedOn w:val="Normal"/>
    <w:next w:val="Normal"/>
    <w:autoRedefine/>
    <w:semiHidden/>
    <w:locked/>
    <w:rsid w:val="00792071"/>
    <w:pPr>
      <w:spacing w:line="240" w:lineRule="auto"/>
      <w:ind w:left="1000" w:hanging="200"/>
    </w:pPr>
  </w:style>
  <w:style w:type="paragraph" w:styleId="Index6">
    <w:name w:val="index 6"/>
    <w:basedOn w:val="Normal"/>
    <w:next w:val="Normal"/>
    <w:autoRedefine/>
    <w:semiHidden/>
    <w:locked/>
    <w:rsid w:val="00792071"/>
    <w:pPr>
      <w:spacing w:line="240" w:lineRule="auto"/>
      <w:ind w:left="1200" w:hanging="200"/>
    </w:pPr>
  </w:style>
  <w:style w:type="paragraph" w:styleId="Index7">
    <w:name w:val="index 7"/>
    <w:basedOn w:val="Normal"/>
    <w:next w:val="Normal"/>
    <w:autoRedefine/>
    <w:semiHidden/>
    <w:locked/>
    <w:rsid w:val="00792071"/>
    <w:pPr>
      <w:spacing w:line="240" w:lineRule="auto"/>
      <w:ind w:left="1400" w:hanging="200"/>
    </w:pPr>
  </w:style>
  <w:style w:type="paragraph" w:styleId="Index8">
    <w:name w:val="index 8"/>
    <w:basedOn w:val="Normal"/>
    <w:next w:val="Normal"/>
    <w:autoRedefine/>
    <w:semiHidden/>
    <w:locked/>
    <w:rsid w:val="00792071"/>
    <w:pPr>
      <w:spacing w:line="240" w:lineRule="auto"/>
      <w:ind w:left="1600" w:hanging="200"/>
    </w:pPr>
  </w:style>
  <w:style w:type="paragraph" w:styleId="Index9">
    <w:name w:val="index 9"/>
    <w:basedOn w:val="Normal"/>
    <w:next w:val="Normal"/>
    <w:autoRedefine/>
    <w:semiHidden/>
    <w:locked/>
    <w:rsid w:val="00792071"/>
    <w:pPr>
      <w:spacing w:line="240" w:lineRule="auto"/>
      <w:ind w:left="1800" w:hanging="200"/>
    </w:pPr>
  </w:style>
  <w:style w:type="paragraph" w:styleId="IndexHeading">
    <w:name w:val="index heading"/>
    <w:aliases w:val="IH-DO NOT USE"/>
    <w:basedOn w:val="IntenseQuote"/>
    <w:next w:val="Index1"/>
    <w:semiHidden/>
    <w:locked/>
    <w:rsid w:val="009876A9"/>
  </w:style>
  <w:style w:type="paragraph" w:styleId="IntenseQuote">
    <w:name w:val="Intense Quote"/>
    <w:aliases w:val="IQ-DO NOT USE"/>
    <w:next w:val="Normal"/>
    <w:link w:val="IntenseQuoteChar"/>
    <w:uiPriority w:val="30"/>
    <w:semiHidden/>
    <w:qFormat/>
    <w:locked/>
    <w:rsid w:val="009876A9"/>
    <w:rPr>
      <w:rFonts w:cs="Arial"/>
    </w:rPr>
  </w:style>
  <w:style w:type="character" w:customStyle="1" w:styleId="IntenseQuoteChar">
    <w:name w:val="Intense Quote Char"/>
    <w:aliases w:val="IQ-DO NOT USE Char"/>
    <w:basedOn w:val="DefaultParagraphFont"/>
    <w:link w:val="IntenseQuote"/>
    <w:uiPriority w:val="30"/>
    <w:semiHidden/>
    <w:rsid w:val="009876A9"/>
    <w:rPr>
      <w:rFonts w:cs="Arial"/>
    </w:rPr>
  </w:style>
  <w:style w:type="paragraph" w:styleId="ListParagraph">
    <w:name w:val="List Paragraph"/>
    <w:aliases w:val="LP-DO NOT USE,List Paragraph1,Recommendation,List Paragraph11"/>
    <w:basedOn w:val="MacroText"/>
    <w:link w:val="ListParagraphChar"/>
    <w:uiPriority w:val="34"/>
    <w:qFormat/>
    <w:locked/>
    <w:rsid w:val="009876A9"/>
  </w:style>
  <w:style w:type="paragraph" w:styleId="MacroText">
    <w:name w:val="macro"/>
    <w:aliases w:val="MT-DO NOT USE"/>
    <w:basedOn w:val="MessageHeader"/>
    <w:link w:val="MacroTextChar"/>
    <w:semiHidden/>
    <w:locked/>
    <w:rsid w:val="009876A9"/>
  </w:style>
  <w:style w:type="character" w:customStyle="1" w:styleId="MacroTextChar">
    <w:name w:val="Macro Text Char"/>
    <w:aliases w:val="MT-DO NOT USE Char"/>
    <w:basedOn w:val="DefaultParagraphFont"/>
    <w:link w:val="MacroText"/>
    <w:semiHidden/>
    <w:rsid w:val="009876A9"/>
    <w:rPr>
      <w:rFonts w:cs="Arial"/>
    </w:rPr>
  </w:style>
  <w:style w:type="paragraph" w:styleId="NoSpacing">
    <w:name w:val="No Spacing"/>
    <w:aliases w:val="NS-DO NOT USE"/>
    <w:uiPriority w:val="1"/>
    <w:semiHidden/>
    <w:qFormat/>
    <w:locked/>
    <w:rsid w:val="00792071"/>
    <w:pPr>
      <w:spacing w:line="240" w:lineRule="auto"/>
    </w:pPr>
  </w:style>
  <w:style w:type="paragraph" w:styleId="Quote">
    <w:name w:val="Quote"/>
    <w:basedOn w:val="Equation"/>
    <w:next w:val="BodyText"/>
    <w:link w:val="QuoteChar"/>
    <w:uiPriority w:val="29"/>
    <w:qFormat/>
    <w:locked/>
    <w:rsid w:val="00262224"/>
    <w:pPr>
      <w:tabs>
        <w:tab w:val="clear" w:pos="9072"/>
      </w:tabs>
      <w:spacing w:before="480" w:after="480"/>
      <w:ind w:left="851" w:right="851"/>
    </w:pPr>
    <w:rPr>
      <w:i/>
    </w:rPr>
  </w:style>
  <w:style w:type="character" w:customStyle="1" w:styleId="QuoteChar">
    <w:name w:val="Quote Char"/>
    <w:basedOn w:val="DefaultParagraphFont"/>
    <w:link w:val="Quote"/>
    <w:uiPriority w:val="29"/>
    <w:rsid w:val="00262224"/>
    <w:rPr>
      <w:rFonts w:eastAsia="Times New Roman" w:cs="Arial"/>
      <w:i/>
      <w:szCs w:val="24"/>
      <w:lang w:eastAsia="en-US"/>
    </w:rPr>
  </w:style>
  <w:style w:type="paragraph" w:styleId="TOAHeading">
    <w:name w:val="toa heading"/>
    <w:next w:val="Normal"/>
    <w:uiPriority w:val="99"/>
    <w:semiHidden/>
    <w:locked/>
    <w:rsid w:val="002160FD"/>
    <w:pPr>
      <w:spacing w:before="120"/>
    </w:pPr>
    <w:rPr>
      <w:rFonts w:eastAsiaTheme="majorEastAsia" w:cstheme="majorBidi"/>
      <w:bCs/>
      <w:szCs w:val="24"/>
    </w:rPr>
  </w:style>
  <w:style w:type="paragraph" w:styleId="TOC7">
    <w:name w:val="toc 7"/>
    <w:basedOn w:val="Normal"/>
    <w:next w:val="Normal"/>
    <w:autoRedefine/>
    <w:uiPriority w:val="39"/>
    <w:locked/>
    <w:rsid w:val="00792071"/>
    <w:pPr>
      <w:spacing w:after="100"/>
      <w:ind w:left="1200"/>
    </w:pPr>
  </w:style>
  <w:style w:type="paragraph" w:styleId="TOC8">
    <w:name w:val="toc 8"/>
    <w:basedOn w:val="Normal"/>
    <w:next w:val="Normal"/>
    <w:autoRedefine/>
    <w:uiPriority w:val="39"/>
    <w:locked/>
    <w:rsid w:val="00792071"/>
    <w:pPr>
      <w:spacing w:after="100"/>
      <w:ind w:left="1400"/>
    </w:pPr>
  </w:style>
  <w:style w:type="paragraph" w:styleId="TOC9">
    <w:name w:val="toc 9"/>
    <w:basedOn w:val="Normal"/>
    <w:next w:val="Normal"/>
    <w:autoRedefine/>
    <w:uiPriority w:val="39"/>
    <w:locked/>
    <w:rsid w:val="00792071"/>
    <w:pPr>
      <w:spacing w:after="100"/>
      <w:ind w:left="1600"/>
    </w:pPr>
  </w:style>
  <w:style w:type="numbering" w:customStyle="1" w:styleId="GAMultilevelList">
    <w:name w:val="GA Multilevel List"/>
    <w:uiPriority w:val="99"/>
    <w:rsid w:val="00153F7B"/>
    <w:pPr>
      <w:numPr>
        <w:numId w:val="15"/>
      </w:numPr>
    </w:pPr>
  </w:style>
  <w:style w:type="paragraph" w:customStyle="1" w:styleId="Tableheadingcentred">
    <w:name w:val="Table heading centred"/>
    <w:basedOn w:val="Tableheadingleft"/>
    <w:next w:val="BodyText"/>
    <w:semiHidden/>
    <w:rsid w:val="00182949"/>
    <w:pPr>
      <w:jc w:val="center"/>
    </w:pPr>
  </w:style>
  <w:style w:type="paragraph" w:customStyle="1" w:styleId="Tableheadingright">
    <w:name w:val="Table heading right"/>
    <w:basedOn w:val="Tableheadingcentred"/>
    <w:next w:val="BodyText"/>
    <w:semiHidden/>
    <w:rsid w:val="00182949"/>
    <w:pPr>
      <w:jc w:val="right"/>
    </w:pPr>
  </w:style>
  <w:style w:type="paragraph" w:customStyle="1" w:styleId="TableTextCentred">
    <w:name w:val="Table Text Centred"/>
    <w:basedOn w:val="TableTextLeft"/>
    <w:qFormat/>
    <w:rsid w:val="00182949"/>
    <w:pPr>
      <w:jc w:val="center"/>
    </w:pPr>
  </w:style>
  <w:style w:type="paragraph" w:customStyle="1" w:styleId="TableTextRight">
    <w:name w:val="Table Text Right"/>
    <w:basedOn w:val="TableTextCentred"/>
    <w:qFormat/>
    <w:rsid w:val="000A2D24"/>
    <w:pPr>
      <w:jc w:val="right"/>
    </w:pPr>
  </w:style>
  <w:style w:type="character" w:customStyle="1" w:styleId="SubscriptItalic">
    <w:name w:val="Subscript Italic"/>
    <w:basedOn w:val="Subscript"/>
    <w:qFormat/>
    <w:rsid w:val="00617DDE"/>
    <w:rPr>
      <w:i/>
      <w:iCs/>
      <w:position w:val="-4"/>
      <w:vertAlign w:val="subscript"/>
    </w:rPr>
  </w:style>
  <w:style w:type="character" w:customStyle="1" w:styleId="SuperscriptItalic">
    <w:name w:val="Superscript Italic"/>
    <w:basedOn w:val="Superscript"/>
    <w:qFormat/>
    <w:rsid w:val="00703302"/>
    <w:rPr>
      <w:i/>
      <w:iCs/>
      <w:position w:val="0"/>
      <w:vertAlign w:val="superscript"/>
    </w:rPr>
  </w:style>
  <w:style w:type="table" w:customStyle="1" w:styleId="TableGANoHeader">
    <w:name w:val="Table GA No Header"/>
    <w:basedOn w:val="TableGAHeaderRow"/>
    <w:uiPriority w:val="99"/>
    <w:rsid w:val="00CA1E7C"/>
    <w:tblPr/>
    <w:tcPr>
      <w:shd w:val="clear" w:color="auto" w:fill="FFFFFF" w:themeFill="background1"/>
    </w:tcPr>
    <w:tblStylePr w:type="firstRow">
      <w:pPr>
        <w:keepNext/>
        <w:wordWrap/>
        <w:spacing w:beforeLines="0" w:before="0" w:beforeAutospacing="0" w:afterLines="0" w:after="0" w:afterAutospacing="0" w:line="120" w:lineRule="atLeast"/>
        <w:jc w:val="left"/>
      </w:pPr>
      <w:rPr>
        <w:rFonts w:ascii="Arial" w:hAnsi="Arial"/>
        <w:b w:val="0"/>
        <w:color w:val="auto"/>
        <w:sz w:val="18"/>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9E9EC"/>
      </w:tcPr>
    </w:tblStylePr>
    <w:tblStylePr w:type="band1Vert">
      <w:pPr>
        <w:wordWrap/>
        <w:jc w:val="left"/>
      </w:pPr>
    </w:tblStylePr>
    <w:tblStylePr w:type="band1Horz">
      <w:pPr>
        <w:wordWrap/>
        <w:spacing w:beforeLines="0" w:before="0" w:beforeAutospacing="0" w:afterLines="0" w:after="0" w:afterAutospacing="0" w:line="120" w:lineRule="atLeast"/>
        <w:jc w:val="left"/>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2F8F9"/>
      </w:tcPr>
    </w:tblStylePr>
    <w:tblStylePr w:type="band2Horz">
      <w:pPr>
        <w:wordWrap/>
        <w:spacing w:beforeLines="0" w:before="0" w:beforeAutospacing="0" w:afterLines="0" w:after="0" w:afterAutospacing="0" w:line="120" w:lineRule="atLeast"/>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9E9EC"/>
      </w:tcPr>
    </w:tblStylePr>
  </w:style>
  <w:style w:type="paragraph" w:customStyle="1" w:styleId="FiguresImagesCentred">
    <w:name w:val="Figures &amp; Images Centred"/>
    <w:basedOn w:val="FiguresImagesLeft"/>
    <w:next w:val="Caption"/>
    <w:qFormat/>
    <w:rsid w:val="00A54C1B"/>
    <w:pPr>
      <w:jc w:val="center"/>
    </w:pPr>
  </w:style>
  <w:style w:type="paragraph" w:customStyle="1" w:styleId="Authors">
    <w:name w:val="Authors"/>
    <w:basedOn w:val="BodyText"/>
    <w:next w:val="FiguresImagesLeft"/>
    <w:qFormat/>
    <w:rsid w:val="008F3E14"/>
    <w:pPr>
      <w:spacing w:after="2280"/>
    </w:pPr>
  </w:style>
  <w:style w:type="table" w:styleId="MediumShading1">
    <w:name w:val="Medium Shading 1"/>
    <w:basedOn w:val="TableNormal"/>
    <w:uiPriority w:val="63"/>
    <w:locked/>
    <w:rsid w:val="00910FB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2">
    <w:name w:val="Medium Grid 2"/>
    <w:basedOn w:val="TableNormal"/>
    <w:uiPriority w:val="68"/>
    <w:locked/>
    <w:rsid w:val="00375A7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AHeaderRowColumn">
    <w:name w:val="Table GA Header Row &amp; Column"/>
    <w:basedOn w:val="TableNormal"/>
    <w:uiPriority w:val="99"/>
    <w:rsid w:val="00CA1E7C"/>
    <w:pPr>
      <w:spacing w:before="20" w:after="20" w:line="200" w:lineRule="atLeast"/>
    </w:pPr>
    <w:rPr>
      <w:sz w:val="18"/>
    </w:rPr>
    <w:tblPr>
      <w:tblStyleRowBandSize w:val="1"/>
      <w:tblStyleColBandSize w:val="1"/>
      <w:tblInd w:w="57" w:type="dxa"/>
      <w:tblCellMar>
        <w:top w:w="57" w:type="dxa"/>
        <w:left w:w="57" w:type="dxa"/>
        <w:bottom w:w="28" w:type="dxa"/>
        <w:right w:w="57" w:type="dxa"/>
      </w:tblCellMar>
    </w:tblPr>
    <w:trPr>
      <w:cantSplit/>
    </w:trPr>
    <w:tcPr>
      <w:shd w:val="clear" w:color="auto" w:fill="FFFFFF" w:themeFill="background1"/>
    </w:tcPr>
    <w:tblStylePr w:type="firstRow">
      <w:pPr>
        <w:keepNext/>
        <w:wordWrap/>
        <w:spacing w:beforeLines="0" w:before="0" w:beforeAutospacing="0" w:afterLines="0" w:after="0" w:afterAutospacing="0" w:line="120" w:lineRule="atLeast"/>
        <w:jc w:val="left"/>
      </w:pPr>
      <w:rPr>
        <w:rFonts w:ascii="Arial" w:hAnsi="Arial"/>
        <w:b/>
        <w:color w:val="FFFFFF"/>
        <w:sz w:val="18"/>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6983"/>
      </w:tcPr>
    </w:tblStylePr>
    <w:tblStylePr w:type="firstCol">
      <w:rPr>
        <w:b/>
        <w:color w:val="FFFFFF"/>
      </w:rPr>
      <w:tblPr/>
      <w:tcPr>
        <w:tcBorders>
          <w:top w:val="nil"/>
          <w:left w:val="nil"/>
          <w:bottom w:val="nil"/>
          <w:right w:val="nil"/>
          <w:insideH w:val="nil"/>
          <w:insideV w:val="nil"/>
          <w:tl2br w:val="nil"/>
          <w:tr2bl w:val="nil"/>
        </w:tcBorders>
        <w:shd w:val="clear" w:color="auto" w:fill="006983"/>
      </w:tcPr>
    </w:tblStylePr>
    <w:tblStylePr w:type="band1Vert">
      <w:pPr>
        <w:wordWrap/>
        <w:jc w:val="left"/>
      </w:pPr>
    </w:tblStylePr>
    <w:tblStylePr w:type="band1Horz">
      <w:pPr>
        <w:wordWrap/>
        <w:spacing w:beforeLines="0" w:before="0" w:beforeAutospacing="0" w:afterLines="0" w:after="0" w:afterAutospacing="0" w:line="120" w:lineRule="atLeast"/>
        <w:jc w:val="left"/>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9E9EC"/>
      </w:tcPr>
    </w:tblStylePr>
    <w:tblStylePr w:type="band2Horz">
      <w:pPr>
        <w:wordWrap/>
        <w:spacing w:beforeLines="0" w:before="0" w:beforeAutospacing="0" w:afterLines="0" w:after="0" w:afterAutospacing="0" w:line="120" w:lineRule="atLeast"/>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2F8F9"/>
      </w:tcPr>
    </w:tblStylePr>
    <w:tblStylePr w:type="nwCell">
      <w:rPr>
        <w:color w:val="FFFFFF"/>
      </w:rPr>
      <w:tblPr/>
      <w:tcPr>
        <w:shd w:val="clear" w:color="auto" w:fill="FFFFFF"/>
      </w:tcPr>
    </w:tblStylePr>
  </w:style>
  <w:style w:type="paragraph" w:customStyle="1" w:styleId="FooterLandscape">
    <w:name w:val="Footer Landscape"/>
    <w:basedOn w:val="Footer"/>
    <w:semiHidden/>
    <w:qFormat/>
    <w:rsid w:val="00DC58B1"/>
    <w:pPr>
      <w:tabs>
        <w:tab w:val="right" w:pos="14005"/>
      </w:tabs>
    </w:pPr>
  </w:style>
  <w:style w:type="table" w:customStyle="1" w:styleId="TableGAHeaderColumn">
    <w:name w:val="Table GA Header Column"/>
    <w:basedOn w:val="TableGAHeaderRowColumn"/>
    <w:uiPriority w:val="99"/>
    <w:rsid w:val="00CA1E7C"/>
    <w:tblPr/>
    <w:tcPr>
      <w:shd w:val="clear" w:color="auto" w:fill="FFFFFF" w:themeFill="background1"/>
    </w:tcPr>
    <w:tblStylePr w:type="firstRow">
      <w:pPr>
        <w:keepNext/>
        <w:wordWrap/>
        <w:spacing w:beforeLines="0" w:before="0" w:beforeAutospacing="0" w:afterLines="0" w:after="0" w:afterAutospacing="0" w:line="120" w:lineRule="atLeast"/>
        <w:jc w:val="left"/>
      </w:pPr>
      <w:rPr>
        <w:rFonts w:ascii="Arial" w:hAnsi="Arial"/>
        <w:b w:val="0"/>
        <w:color w:val="auto"/>
        <w:sz w:val="18"/>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9E9EC"/>
      </w:tcPr>
    </w:tblStylePr>
    <w:tblStylePr w:type="firstCol">
      <w:pPr>
        <w:jc w:val="left"/>
      </w:pPr>
      <w:rPr>
        <w:b/>
        <w:color w:val="FFFFFF"/>
      </w:rPr>
      <w:tblPr/>
      <w:tcPr>
        <w:tcBorders>
          <w:top w:val="nil"/>
          <w:left w:val="nil"/>
          <w:bottom w:val="nil"/>
          <w:right w:val="nil"/>
          <w:insideH w:val="nil"/>
          <w:insideV w:val="nil"/>
          <w:tl2br w:val="nil"/>
          <w:tr2bl w:val="nil"/>
        </w:tcBorders>
        <w:shd w:val="clear" w:color="auto" w:fill="006983"/>
      </w:tcPr>
    </w:tblStylePr>
    <w:tblStylePr w:type="band1Vert">
      <w:pPr>
        <w:wordWrap/>
        <w:jc w:val="left"/>
      </w:pPr>
    </w:tblStylePr>
    <w:tblStylePr w:type="band1Horz">
      <w:pPr>
        <w:wordWrap/>
        <w:spacing w:beforeLines="0" w:before="0" w:beforeAutospacing="0" w:afterLines="0" w:after="0" w:afterAutospacing="0" w:line="120" w:lineRule="atLeast"/>
        <w:jc w:val="left"/>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2F8F9"/>
      </w:tcPr>
    </w:tblStylePr>
    <w:tblStylePr w:type="band2Horz">
      <w:pPr>
        <w:wordWrap/>
        <w:spacing w:beforeLines="0" w:before="0" w:beforeAutospacing="0" w:afterLines="0" w:after="0" w:afterAutospacing="0" w:line="120" w:lineRule="atLeast"/>
        <w:jc w:val="left"/>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9E9EC"/>
      </w:tcPr>
    </w:tblStylePr>
    <w:tblStylePr w:type="nwCell">
      <w:rPr>
        <w:b/>
        <w:color w:val="FFFFFF"/>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006983"/>
      </w:tcPr>
    </w:tblStylePr>
  </w:style>
  <w:style w:type="paragraph" w:customStyle="1" w:styleId="VersoBoldPgB4">
    <w:name w:val="Verso Bold Pg B4"/>
    <w:basedOn w:val="BodyText"/>
    <w:next w:val="VersoPageInfo"/>
    <w:qFormat/>
    <w:rsid w:val="00A525B9"/>
    <w:pPr>
      <w:pageBreakBefore/>
      <w:spacing w:before="0" w:after="0" w:line="240" w:lineRule="atLeast"/>
    </w:pPr>
    <w:rPr>
      <w:b/>
      <w:kern w:val="28"/>
    </w:rPr>
  </w:style>
  <w:style w:type="character" w:customStyle="1" w:styleId="Bold">
    <w:name w:val="Bold"/>
    <w:basedOn w:val="DefaultParagraphFont"/>
    <w:qFormat/>
    <w:rsid w:val="00FD4C7A"/>
    <w:rPr>
      <w:b/>
    </w:rPr>
  </w:style>
  <w:style w:type="character" w:customStyle="1" w:styleId="Italic">
    <w:name w:val="Italic"/>
    <w:basedOn w:val="DefaultParagraphFont"/>
    <w:qFormat/>
    <w:rsid w:val="00FD4C7A"/>
    <w:rPr>
      <w:i/>
    </w:rPr>
  </w:style>
  <w:style w:type="paragraph" w:customStyle="1" w:styleId="FooterLandscapeA3">
    <w:name w:val="Footer Landscape A3"/>
    <w:basedOn w:val="FooterLandscape"/>
    <w:semiHidden/>
    <w:qFormat/>
    <w:rsid w:val="00DC58B1"/>
    <w:pPr>
      <w:tabs>
        <w:tab w:val="clear" w:pos="14005"/>
        <w:tab w:val="right" w:pos="20979"/>
      </w:tabs>
    </w:pPr>
  </w:style>
  <w:style w:type="paragraph" w:customStyle="1" w:styleId="Headingappendix1base">
    <w:name w:val="Heading appendix 1 base"/>
    <w:next w:val="BodyText"/>
    <w:semiHidden/>
    <w:rsid w:val="004666B0"/>
    <w:pPr>
      <w:keepNext/>
      <w:keepLines/>
      <w:pageBreakBefore/>
      <w:spacing w:after="1080"/>
      <w:outlineLvl w:val="0"/>
    </w:pPr>
    <w:rPr>
      <w:sz w:val="40"/>
      <w:szCs w:val="40"/>
    </w:rPr>
  </w:style>
  <w:style w:type="paragraph" w:customStyle="1" w:styleId="HeadingAppendix2">
    <w:name w:val="Heading Appendix 2"/>
    <w:basedOn w:val="Headingappendix1base"/>
    <w:next w:val="BodyText"/>
    <w:qFormat/>
    <w:rsid w:val="008B25C3"/>
    <w:pPr>
      <w:pageBreakBefore w:val="0"/>
      <w:numPr>
        <w:ilvl w:val="1"/>
        <w:numId w:val="20"/>
      </w:numPr>
      <w:spacing w:before="480" w:after="180" w:line="240" w:lineRule="atLeast"/>
      <w:outlineLvl w:val="1"/>
    </w:pPr>
    <w:rPr>
      <w:color w:val="006983"/>
      <w:sz w:val="30"/>
      <w:szCs w:val="30"/>
    </w:rPr>
  </w:style>
  <w:style w:type="paragraph" w:customStyle="1" w:styleId="HeadingAppendix3">
    <w:name w:val="Heading Appendix 3"/>
    <w:basedOn w:val="HeadingAppendix2"/>
    <w:next w:val="BodyText"/>
    <w:qFormat/>
    <w:rsid w:val="008B25C3"/>
    <w:pPr>
      <w:numPr>
        <w:ilvl w:val="2"/>
      </w:numPr>
      <w:outlineLvl w:val="2"/>
    </w:pPr>
    <w:rPr>
      <w:b/>
      <w:bCs/>
      <w:sz w:val="24"/>
    </w:rPr>
  </w:style>
  <w:style w:type="paragraph" w:customStyle="1" w:styleId="HeadingAppendix4">
    <w:name w:val="Heading Appendix 4"/>
    <w:basedOn w:val="HeadingAppendix3"/>
    <w:next w:val="BodyText"/>
    <w:qFormat/>
    <w:rsid w:val="008B25C3"/>
    <w:pPr>
      <w:numPr>
        <w:ilvl w:val="3"/>
      </w:numPr>
      <w:spacing w:before="240"/>
      <w:outlineLvl w:val="3"/>
    </w:pPr>
    <w:rPr>
      <w:rFonts w:eastAsia="Times New Roman"/>
      <w:i/>
      <w:iCs/>
      <w:sz w:val="22"/>
      <w:szCs w:val="20"/>
    </w:rPr>
  </w:style>
  <w:style w:type="paragraph" w:customStyle="1" w:styleId="HeadingAppendix5">
    <w:name w:val="Heading Appendix 5"/>
    <w:basedOn w:val="HeadingAppendix4"/>
    <w:next w:val="BodyText"/>
    <w:qFormat/>
    <w:rsid w:val="00CA1E7C"/>
    <w:pPr>
      <w:numPr>
        <w:ilvl w:val="4"/>
      </w:numPr>
      <w:spacing w:before="260"/>
      <w:outlineLvl w:val="4"/>
    </w:pPr>
    <w:rPr>
      <w:b w:val="0"/>
      <w:bCs w:val="0"/>
    </w:rPr>
  </w:style>
  <w:style w:type="paragraph" w:customStyle="1" w:styleId="Equation">
    <w:name w:val="Equation"/>
    <w:basedOn w:val="BodyText"/>
    <w:next w:val="BodyText"/>
    <w:uiPriority w:val="7"/>
    <w:qFormat/>
    <w:rsid w:val="00932561"/>
    <w:pPr>
      <w:tabs>
        <w:tab w:val="right" w:pos="9072"/>
      </w:tabs>
      <w:spacing w:before="360" w:after="360"/>
      <w:ind w:left="567"/>
    </w:pPr>
    <w:rPr>
      <w:rFonts w:eastAsia="Times New Roman"/>
      <w:szCs w:val="24"/>
      <w:lang w:eastAsia="en-US"/>
    </w:rPr>
  </w:style>
  <w:style w:type="paragraph" w:customStyle="1" w:styleId="VersoBold">
    <w:name w:val="Verso Bold"/>
    <w:basedOn w:val="BodyText"/>
    <w:next w:val="VersoPageInfo"/>
    <w:rsid w:val="001D2B40"/>
    <w:pPr>
      <w:spacing w:before="0" w:after="0"/>
    </w:pPr>
    <w:rPr>
      <w:b/>
      <w:kern w:val="28"/>
    </w:rPr>
  </w:style>
  <w:style w:type="character" w:styleId="SubtleReference">
    <w:name w:val="Subtle Reference"/>
    <w:aliases w:val="SR-DO NOT USE"/>
    <w:uiPriority w:val="31"/>
    <w:semiHidden/>
    <w:locked/>
    <w:rsid w:val="00335826"/>
  </w:style>
  <w:style w:type="character" w:styleId="SubtleEmphasis">
    <w:name w:val="Subtle Emphasis"/>
    <w:aliases w:val="SE-DO NOT USE"/>
    <w:uiPriority w:val="19"/>
    <w:semiHidden/>
    <w:locked/>
    <w:rsid w:val="00335826"/>
  </w:style>
  <w:style w:type="character" w:styleId="PlaceholderText">
    <w:name w:val="Placeholder Text"/>
    <w:aliases w:val="Pl-DO NOT USE"/>
    <w:uiPriority w:val="99"/>
    <w:semiHidden/>
    <w:locked/>
    <w:rsid w:val="00516E6A"/>
  </w:style>
  <w:style w:type="character" w:styleId="IntenseReference">
    <w:name w:val="Intense Reference"/>
    <w:aliases w:val="IR-DO NOT USE"/>
    <w:uiPriority w:val="32"/>
    <w:semiHidden/>
    <w:qFormat/>
    <w:locked/>
    <w:rsid w:val="009876A9"/>
  </w:style>
  <w:style w:type="character" w:styleId="IntenseEmphasis">
    <w:name w:val="Intense Emphasis"/>
    <w:aliases w:val="IE-DO NOT USE"/>
    <w:uiPriority w:val="21"/>
    <w:semiHidden/>
    <w:qFormat/>
    <w:locked/>
    <w:rsid w:val="009876A9"/>
  </w:style>
  <w:style w:type="character" w:styleId="EndnoteReference">
    <w:name w:val="endnote reference"/>
    <w:aliases w:val="ERe-DO NOT USE"/>
    <w:semiHidden/>
    <w:locked/>
    <w:rsid w:val="00F30FD1"/>
  </w:style>
  <w:style w:type="character" w:customStyle="1" w:styleId="BodyText2Char">
    <w:name w:val="Body Text 2 Char"/>
    <w:aliases w:val="BT2-DO NOT USE Char"/>
    <w:basedOn w:val="DefaultParagraphFont"/>
    <w:link w:val="BodyText2"/>
    <w:semiHidden/>
    <w:rsid w:val="00806006"/>
    <w:rPr>
      <w:rFonts w:cs="Arial"/>
    </w:rPr>
  </w:style>
  <w:style w:type="paragraph" w:styleId="BlockText">
    <w:name w:val="Block Text"/>
    <w:aliases w:val="BLT-DO NOT USE"/>
    <w:basedOn w:val="BalloonText"/>
    <w:semiHidden/>
    <w:locked/>
    <w:rsid w:val="00806006"/>
  </w:style>
  <w:style w:type="paragraph" w:styleId="BodyTextFirstIndent">
    <w:name w:val="Body Text First Indent"/>
    <w:aliases w:val="B1-DO NOT USE"/>
    <w:basedOn w:val="BodyText3"/>
    <w:link w:val="BodyTextFirstIndentChar"/>
    <w:semiHidden/>
    <w:locked/>
    <w:rsid w:val="00806006"/>
  </w:style>
  <w:style w:type="character" w:styleId="FootnoteReference">
    <w:name w:val="footnote reference"/>
    <w:basedOn w:val="FootnoteTextChar"/>
    <w:uiPriority w:val="99"/>
    <w:locked/>
    <w:rsid w:val="0072204E"/>
    <w:rPr>
      <w:rFonts w:ascii="Arial" w:hAnsi="Arial" w:cs="Arial"/>
      <w:color w:val="auto"/>
      <w:position w:val="6"/>
      <w:sz w:val="16"/>
      <w:vertAlign w:val="superscript"/>
    </w:rPr>
  </w:style>
  <w:style w:type="numbering" w:customStyle="1" w:styleId="GAAppendices">
    <w:name w:val="GA Appendices"/>
    <w:uiPriority w:val="99"/>
    <w:rsid w:val="007D3E3D"/>
    <w:pPr>
      <w:numPr>
        <w:numId w:val="16"/>
      </w:numPr>
    </w:pPr>
  </w:style>
  <w:style w:type="character" w:customStyle="1" w:styleId="BodyTextFirstIndentChar">
    <w:name w:val="Body Text First Indent Char"/>
    <w:aliases w:val="B1-DO NOT USE Char"/>
    <w:basedOn w:val="BodyTextChar"/>
    <w:link w:val="BodyTextFirstIndent"/>
    <w:semiHidden/>
    <w:rsid w:val="00806006"/>
    <w:rPr>
      <w:rFonts w:cs="Arial"/>
    </w:rPr>
  </w:style>
  <w:style w:type="paragraph" w:styleId="BodyTextIndent">
    <w:name w:val="Body Text Indent"/>
    <w:aliases w:val="B3-DO NOT USE"/>
    <w:basedOn w:val="BodyTextFirstIndent2"/>
    <w:link w:val="BodyTextIndentChar"/>
    <w:semiHidden/>
    <w:locked/>
    <w:rsid w:val="00806006"/>
  </w:style>
  <w:style w:type="character" w:customStyle="1" w:styleId="BodyTextIndentChar">
    <w:name w:val="Body Text Indent Char"/>
    <w:aliases w:val="B3-DO NOT USE Char"/>
    <w:basedOn w:val="DefaultParagraphFont"/>
    <w:link w:val="BodyTextIndent"/>
    <w:semiHidden/>
    <w:rsid w:val="00806006"/>
    <w:rPr>
      <w:rFonts w:cs="Arial"/>
    </w:rPr>
  </w:style>
  <w:style w:type="paragraph" w:styleId="BodyTextFirstIndent2">
    <w:name w:val="Body Text First Indent 2"/>
    <w:aliases w:val="B2-DO NOT USE"/>
    <w:basedOn w:val="BodyTextFirstIndent"/>
    <w:link w:val="BodyTextFirstIndent2Char"/>
    <w:semiHidden/>
    <w:locked/>
    <w:rsid w:val="00806006"/>
  </w:style>
  <w:style w:type="character" w:customStyle="1" w:styleId="BodyTextFirstIndent2Char">
    <w:name w:val="Body Text First Indent 2 Char"/>
    <w:aliases w:val="B2-DO NOT USE Char"/>
    <w:basedOn w:val="BodyTextIndentChar"/>
    <w:link w:val="BodyTextFirstIndent2"/>
    <w:semiHidden/>
    <w:rsid w:val="00806006"/>
    <w:rPr>
      <w:rFonts w:cs="Arial"/>
    </w:rPr>
  </w:style>
  <w:style w:type="paragraph" w:styleId="BodyTextIndent2">
    <w:name w:val="Body Text Indent 2"/>
    <w:aliases w:val="B4-DO NOT USE"/>
    <w:basedOn w:val="BodyTextIndent"/>
    <w:link w:val="BodyTextIndent2Char"/>
    <w:semiHidden/>
    <w:locked/>
    <w:rsid w:val="00806006"/>
  </w:style>
  <w:style w:type="character" w:customStyle="1" w:styleId="BodyTextIndent2Char">
    <w:name w:val="Body Text Indent 2 Char"/>
    <w:aliases w:val="B4-DO NOT USE Char"/>
    <w:basedOn w:val="DefaultParagraphFont"/>
    <w:link w:val="BodyTextIndent2"/>
    <w:semiHidden/>
    <w:rsid w:val="00806006"/>
    <w:rPr>
      <w:rFonts w:cs="Arial"/>
    </w:rPr>
  </w:style>
  <w:style w:type="paragraph" w:styleId="BodyTextIndent3">
    <w:name w:val="Body Text Indent 3"/>
    <w:aliases w:val="B5-DO NOT USE"/>
    <w:basedOn w:val="BodyTextIndent2"/>
    <w:link w:val="BodyTextIndent3Char"/>
    <w:semiHidden/>
    <w:locked/>
    <w:rsid w:val="00806006"/>
  </w:style>
  <w:style w:type="character" w:customStyle="1" w:styleId="BodyTextIndent3Char">
    <w:name w:val="Body Text Indent 3 Char"/>
    <w:aliases w:val="B5-DO NOT USE Char"/>
    <w:basedOn w:val="DefaultParagraphFont"/>
    <w:link w:val="BodyTextIndent3"/>
    <w:semiHidden/>
    <w:rsid w:val="00806006"/>
    <w:rPr>
      <w:rFonts w:cs="Arial"/>
    </w:rPr>
  </w:style>
  <w:style w:type="paragraph" w:styleId="BalloonText">
    <w:name w:val="Balloon Text"/>
    <w:aliases w:val="B6-DO NOT USE"/>
    <w:basedOn w:val="BodyTextIndent3"/>
    <w:link w:val="BalloonTextChar"/>
    <w:semiHidden/>
    <w:locked/>
    <w:rsid w:val="00806006"/>
  </w:style>
  <w:style w:type="character" w:customStyle="1" w:styleId="BalloonTextChar">
    <w:name w:val="Balloon Text Char"/>
    <w:aliases w:val="B6-DO NOT USE Char"/>
    <w:basedOn w:val="DefaultParagraphFont"/>
    <w:link w:val="BalloonText"/>
    <w:semiHidden/>
    <w:rsid w:val="00001856"/>
    <w:rPr>
      <w:rFonts w:cs="Arial"/>
    </w:rPr>
  </w:style>
  <w:style w:type="character" w:customStyle="1" w:styleId="BoldItalic">
    <w:name w:val="Bold Italic"/>
    <w:basedOn w:val="DefaultParagraphFont"/>
    <w:rsid w:val="0043471F"/>
    <w:rPr>
      <w:b/>
      <w:i/>
    </w:rPr>
  </w:style>
  <w:style w:type="paragraph" w:customStyle="1" w:styleId="ExtractAuthorNames">
    <w:name w:val="Extract Author Names"/>
    <w:basedOn w:val="BodyText"/>
    <w:next w:val="ExtractAuthorLocation"/>
    <w:rsid w:val="00326180"/>
    <w:pPr>
      <w:spacing w:before="120" w:after="60" w:line="240" w:lineRule="auto"/>
    </w:pPr>
    <w:rPr>
      <w:rFonts w:eastAsia="Times New Roman" w:cs="Times New Roman"/>
    </w:rPr>
  </w:style>
  <w:style w:type="paragraph" w:customStyle="1" w:styleId="ExtractAuthorLocation">
    <w:name w:val="Extract Author Location"/>
    <w:basedOn w:val="BodyText"/>
    <w:next w:val="ExtractAuthorEmail"/>
    <w:rsid w:val="00326180"/>
    <w:pPr>
      <w:tabs>
        <w:tab w:val="left" w:pos="170"/>
      </w:tabs>
      <w:spacing w:before="60" w:after="0" w:line="240" w:lineRule="auto"/>
      <w:ind w:left="170" w:hanging="170"/>
    </w:pPr>
    <w:rPr>
      <w:sz w:val="16"/>
    </w:rPr>
  </w:style>
  <w:style w:type="paragraph" w:customStyle="1" w:styleId="ExtractAuthorEmail">
    <w:name w:val="Extract Author Email"/>
    <w:basedOn w:val="BodyText"/>
    <w:next w:val="Heading2"/>
    <w:rsid w:val="00FF36F2"/>
    <w:pPr>
      <w:spacing w:before="120" w:after="480" w:line="240" w:lineRule="auto"/>
    </w:pPr>
    <w:rPr>
      <w:rFonts w:eastAsia="Times New Roman" w:cs="Times New Roman"/>
    </w:rPr>
  </w:style>
  <w:style w:type="character" w:customStyle="1" w:styleId="Symbol">
    <w:name w:val="Symbol"/>
    <w:basedOn w:val="DefaultParagraphFont"/>
    <w:uiPriority w:val="1"/>
    <w:rsid w:val="00577B37"/>
    <w:rPr>
      <w:rFonts w:ascii="Symbol" w:hAnsi="Symbol"/>
    </w:rPr>
  </w:style>
  <w:style w:type="paragraph" w:customStyle="1" w:styleId="TableTextBulletL1">
    <w:name w:val="Table Text Bullet L1"/>
    <w:basedOn w:val="TableTextLeft"/>
    <w:qFormat/>
    <w:rsid w:val="001537AB"/>
    <w:pPr>
      <w:numPr>
        <w:numId w:val="21"/>
      </w:numPr>
    </w:pPr>
    <w:rPr>
      <w:szCs w:val="18"/>
    </w:rPr>
  </w:style>
  <w:style w:type="paragraph" w:customStyle="1" w:styleId="TableTextBulletL2">
    <w:name w:val="Table Text Bullet L2"/>
    <w:basedOn w:val="TableTextBulletL1"/>
    <w:qFormat/>
    <w:rsid w:val="001537AB"/>
    <w:pPr>
      <w:numPr>
        <w:ilvl w:val="1"/>
      </w:numPr>
      <w:spacing w:line="120" w:lineRule="atLeast"/>
    </w:pPr>
  </w:style>
  <w:style w:type="paragraph" w:customStyle="1" w:styleId="TableSource">
    <w:name w:val="Table Source"/>
    <w:basedOn w:val="BodyText"/>
    <w:next w:val="BodyText"/>
    <w:qFormat/>
    <w:rsid w:val="00677361"/>
    <w:pPr>
      <w:spacing w:before="120" w:after="480" w:line="160" w:lineRule="atLeast"/>
    </w:pPr>
    <w:rPr>
      <w:rFonts w:eastAsia="Times New Roman"/>
      <w:i/>
      <w:iCs/>
      <w:sz w:val="16"/>
      <w:szCs w:val="18"/>
    </w:rPr>
  </w:style>
  <w:style w:type="paragraph" w:customStyle="1" w:styleId="TableEmptyParaAfter">
    <w:name w:val="Table Empty Para After"/>
    <w:basedOn w:val="BodyText"/>
    <w:rsid w:val="00CE7B5F"/>
    <w:pPr>
      <w:spacing w:before="0" w:after="0" w:line="200" w:lineRule="atLeast"/>
    </w:pPr>
    <w:rPr>
      <w:rFonts w:eastAsia="Times New Roman" w:cs="Times New Roman"/>
      <w:sz w:val="16"/>
    </w:rPr>
  </w:style>
  <w:style w:type="table" w:customStyle="1" w:styleId="TableGANoBanding">
    <w:name w:val="Table GA NoBanding"/>
    <w:basedOn w:val="TableNormal"/>
    <w:rsid w:val="00E72959"/>
    <w:pPr>
      <w:spacing w:before="20" w:after="20" w:line="200" w:lineRule="atLeast"/>
    </w:pPr>
    <w:rPr>
      <w:sz w:val="18"/>
    </w:rPr>
    <w:tblPr>
      <w:tblStyleRowBandSize w:val="1"/>
      <w:tblStyleColBandSize w:val="1"/>
      <w:tblInd w:w="0" w:type="nil"/>
      <w:tblBorders>
        <w:top w:val="single" w:sz="8" w:space="0" w:color="006983"/>
        <w:left w:val="single" w:sz="8" w:space="0" w:color="006983"/>
        <w:bottom w:val="single" w:sz="8" w:space="0" w:color="006983"/>
        <w:right w:val="single" w:sz="8" w:space="0" w:color="006983"/>
        <w:insideH w:val="single" w:sz="8" w:space="0" w:color="006983"/>
        <w:insideV w:val="single" w:sz="8" w:space="0" w:color="006983"/>
      </w:tblBorders>
      <w:tblCellMar>
        <w:top w:w="57" w:type="dxa"/>
        <w:left w:w="57" w:type="dxa"/>
        <w:bottom w:w="28" w:type="dxa"/>
        <w:right w:w="57" w:type="dxa"/>
      </w:tblCellMar>
    </w:tblPr>
    <w:tcPr>
      <w:shd w:val="clear" w:color="auto" w:fill="FFFFFF" w:themeFill="background1"/>
    </w:tcPr>
    <w:tblStylePr w:type="firstRow">
      <w:pPr>
        <w:wordWrap/>
        <w:spacing w:beforeLines="0" w:before="100" w:beforeAutospacing="1" w:afterLines="0" w:after="100" w:afterAutospacing="1" w:line="120" w:lineRule="atLeast"/>
        <w:jc w:val="left"/>
      </w:pPr>
      <w:rPr>
        <w:rFonts w:ascii="Arial" w:hAnsi="Arial" w:cs="Arial" w:hint="default"/>
        <w:b/>
        <w:color w:val="FFFFFF"/>
        <w:sz w:val="18"/>
        <w:szCs w:val="18"/>
      </w:rPr>
      <w:tblPr/>
      <w:tcPr>
        <w:tcBorders>
          <w:top w:val="single" w:sz="8" w:space="0" w:color="006983"/>
          <w:left w:val="single" w:sz="8" w:space="0" w:color="006983"/>
          <w:bottom w:val="single" w:sz="8" w:space="0" w:color="006983"/>
          <w:right w:val="single" w:sz="8" w:space="0" w:color="006983"/>
          <w:insideH w:val="single" w:sz="8" w:space="0" w:color="006983"/>
          <w:insideV w:val="single" w:sz="8" w:space="0" w:color="FFFFFF" w:themeColor="background1"/>
          <w:tl2br w:val="nil"/>
          <w:tr2bl w:val="nil"/>
        </w:tcBorders>
        <w:shd w:val="clear" w:color="auto" w:fill="006983"/>
      </w:tcPr>
    </w:tblStylePr>
    <w:tblStylePr w:type="band1Vert">
      <w:pPr>
        <w:wordWrap/>
        <w:jc w:val="left"/>
      </w:pPr>
    </w:tblStylePr>
    <w:tblStylePr w:type="band1Horz">
      <w:pPr>
        <w:wordWrap/>
        <w:spacing w:beforeLines="0" w:before="100" w:beforeAutospacing="1" w:afterLines="0" w:after="100" w:afterAutospacing="1" w:line="120" w:lineRule="atLeast"/>
        <w:jc w:val="left"/>
      </w:pPr>
      <w:tblPr/>
      <w:tcPr>
        <w:shd w:val="clear" w:color="auto" w:fill="FFFFFF" w:themeFill="background1"/>
      </w:tcPr>
    </w:tblStylePr>
    <w:tblStylePr w:type="band2Horz">
      <w:pPr>
        <w:wordWrap/>
        <w:spacing w:beforeLines="0" w:before="100" w:beforeAutospacing="1" w:afterLines="0" w:after="100" w:afterAutospacing="1" w:line="120" w:lineRule="atLeast"/>
      </w:pPr>
      <w:tblPr/>
      <w:tcPr>
        <w:shd w:val="clear" w:color="auto" w:fill="FFFFFF" w:themeFill="background1"/>
      </w:tcPr>
    </w:tblStylePr>
  </w:style>
  <w:style w:type="table" w:customStyle="1" w:styleId="TableGANoHeaderNoBanding">
    <w:name w:val="Table GA NoHeader NoBanding"/>
    <w:basedOn w:val="TableNormal"/>
    <w:rsid w:val="00E72959"/>
    <w:pPr>
      <w:spacing w:before="20" w:after="20" w:line="200" w:lineRule="atLeast"/>
    </w:pPr>
    <w:rPr>
      <w:sz w:val="18"/>
    </w:rPr>
    <w:tblPr>
      <w:tblStyleRowBandSize w:val="1"/>
      <w:tblStyleColBandSize w:val="1"/>
      <w:tblInd w:w="0" w:type="nil"/>
      <w:tblBorders>
        <w:top w:val="single" w:sz="8" w:space="0" w:color="006983"/>
        <w:left w:val="single" w:sz="8" w:space="0" w:color="006983"/>
        <w:bottom w:val="single" w:sz="8" w:space="0" w:color="006983"/>
        <w:right w:val="single" w:sz="8" w:space="0" w:color="006983"/>
        <w:insideH w:val="single" w:sz="8" w:space="0" w:color="006983"/>
        <w:insideV w:val="single" w:sz="8" w:space="0" w:color="006983"/>
      </w:tblBorders>
      <w:tblCellMar>
        <w:top w:w="57" w:type="dxa"/>
        <w:left w:w="57" w:type="dxa"/>
        <w:bottom w:w="28" w:type="dxa"/>
        <w:right w:w="57" w:type="dxa"/>
      </w:tblCellMar>
    </w:tblPr>
    <w:tblStylePr w:type="firstRow">
      <w:pPr>
        <w:wordWrap/>
        <w:spacing w:beforeLines="0" w:before="100" w:beforeAutospacing="1" w:afterLines="0" w:after="100" w:afterAutospacing="1" w:line="120" w:lineRule="atLeast"/>
        <w:jc w:val="left"/>
      </w:pPr>
      <w:rPr>
        <w:rFonts w:ascii="Arial" w:hAnsi="Arial" w:cs="Arial" w:hint="default"/>
        <w:b w:val="0"/>
        <w:color w:val="auto"/>
        <w:sz w:val="18"/>
        <w:szCs w:val="18"/>
      </w:rPr>
    </w:tblStylePr>
    <w:tblStylePr w:type="band1Vert">
      <w:pPr>
        <w:wordWrap/>
        <w:jc w:val="left"/>
      </w:pPr>
    </w:tblStylePr>
    <w:tblStylePr w:type="band1Horz">
      <w:pPr>
        <w:wordWrap/>
        <w:spacing w:beforeLines="0" w:before="100" w:beforeAutospacing="1" w:afterLines="0" w:after="100" w:afterAutospacing="1" w:line="120" w:lineRule="atLeast"/>
        <w:jc w:val="left"/>
      </w:pPr>
      <w:tblPr/>
      <w:tcPr>
        <w:shd w:val="clear" w:color="auto" w:fill="FFFFFF" w:themeFill="background1"/>
      </w:tcPr>
    </w:tblStylePr>
    <w:tblStylePr w:type="band2Horz">
      <w:pPr>
        <w:wordWrap/>
        <w:spacing w:beforeLines="0" w:before="100" w:beforeAutospacing="1" w:afterLines="0" w:after="100" w:afterAutospacing="1" w:line="120" w:lineRule="atLeast"/>
      </w:pPr>
      <w:tblPr/>
      <w:tcPr>
        <w:shd w:val="clear" w:color="auto" w:fill="FFFFFF" w:themeFill="background1"/>
      </w:tcPr>
    </w:tblStylePr>
  </w:style>
  <w:style w:type="paragraph" w:customStyle="1" w:styleId="Dot00">
    <w:name w:val="Dot (0.0)"/>
    <w:basedOn w:val="Normal"/>
    <w:uiPriority w:val="99"/>
    <w:rsid w:val="000B0228"/>
    <w:pPr>
      <w:numPr>
        <w:numId w:val="22"/>
      </w:numPr>
      <w:spacing w:before="0" w:after="0" w:line="240" w:lineRule="auto"/>
    </w:pPr>
    <w:rPr>
      <w:rFonts w:ascii="Times New Roman" w:eastAsia="Batang" w:hAnsi="Times New Roman" w:cs="Times New Roman"/>
      <w:color w:val="auto"/>
      <w:sz w:val="24"/>
    </w:rPr>
  </w:style>
  <w:style w:type="table" w:customStyle="1" w:styleId="TableGrid10">
    <w:name w:val="Table Grid1"/>
    <w:basedOn w:val="TableNormal"/>
    <w:next w:val="TableGrid"/>
    <w:uiPriority w:val="59"/>
    <w:rsid w:val="000C44EF"/>
    <w:pPr>
      <w:spacing w:before="0" w:after="0" w:line="240"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ANoHeader1">
    <w:name w:val="Table GA No Header1"/>
    <w:basedOn w:val="TableGAHeaderRow"/>
    <w:uiPriority w:val="99"/>
    <w:rsid w:val="000C44EF"/>
    <w:tblPr/>
    <w:tcPr>
      <w:shd w:val="clear" w:color="auto" w:fill="FFFFFF" w:themeFill="background1"/>
    </w:tcPr>
    <w:tblStylePr w:type="firstRow">
      <w:pPr>
        <w:keepNext/>
        <w:wordWrap/>
        <w:spacing w:beforeLines="0" w:before="0" w:beforeAutospacing="0" w:afterLines="0" w:after="0" w:afterAutospacing="0" w:line="120" w:lineRule="atLeast"/>
        <w:jc w:val="left"/>
      </w:pPr>
      <w:rPr>
        <w:rFonts w:ascii="Arial" w:hAnsi="Arial"/>
        <w:b w:val="0"/>
        <w:color w:val="auto"/>
        <w:sz w:val="18"/>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9E9EC"/>
      </w:tcPr>
    </w:tblStylePr>
    <w:tblStylePr w:type="band1Vert">
      <w:pPr>
        <w:wordWrap/>
        <w:jc w:val="left"/>
      </w:pPr>
    </w:tblStylePr>
    <w:tblStylePr w:type="band1Horz">
      <w:pPr>
        <w:wordWrap/>
        <w:spacing w:beforeLines="0" w:before="0" w:beforeAutospacing="0" w:afterLines="0" w:after="0" w:afterAutospacing="0" w:line="120" w:lineRule="atLeast"/>
        <w:jc w:val="left"/>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2F8F9"/>
      </w:tcPr>
    </w:tblStylePr>
    <w:tblStylePr w:type="band2Horz">
      <w:pPr>
        <w:wordWrap/>
        <w:spacing w:beforeLines="0" w:before="0" w:beforeAutospacing="0" w:afterLines="0" w:after="0" w:afterAutospacing="0" w:line="120" w:lineRule="atLeast"/>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9E9EC"/>
      </w:tcPr>
    </w:tblStylePr>
  </w:style>
  <w:style w:type="paragraph" w:styleId="Revision">
    <w:name w:val="Revision"/>
    <w:hidden/>
    <w:uiPriority w:val="99"/>
    <w:semiHidden/>
    <w:rsid w:val="000C44EF"/>
    <w:pPr>
      <w:spacing w:before="0" w:after="0" w:line="240" w:lineRule="auto"/>
    </w:pPr>
    <w:rPr>
      <w:rFonts w:cs="Arial"/>
      <w:color w:val="FF0000"/>
    </w:rPr>
  </w:style>
  <w:style w:type="character" w:customStyle="1" w:styleId="ListParagraphChar">
    <w:name w:val="List Paragraph Char"/>
    <w:aliases w:val="LP-DO NOT USE Char,List Paragraph1 Char,Recommendation Char,List Paragraph11 Char"/>
    <w:link w:val="ListParagraph"/>
    <w:uiPriority w:val="34"/>
    <w:locked/>
    <w:rsid w:val="000C44EF"/>
    <w:rPr>
      <w:rFonts w:cs="Arial"/>
    </w:rPr>
  </w:style>
  <w:style w:type="table" w:customStyle="1" w:styleId="TableGrid40">
    <w:name w:val="Table Grid4"/>
    <w:basedOn w:val="TableNormal"/>
    <w:next w:val="TableGrid"/>
    <w:uiPriority w:val="59"/>
    <w:rsid w:val="000C44EF"/>
    <w:pPr>
      <w:spacing w:before="0"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0C44EF"/>
    <w:pPr>
      <w:spacing w:before="0"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0C44EF"/>
    <w:pPr>
      <w:spacing w:before="0"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C44EF"/>
  </w:style>
  <w:style w:type="paragraph" w:customStyle="1" w:styleId="Normal1">
    <w:name w:val="Normal1"/>
    <w:rsid w:val="000C44EF"/>
    <w:pPr>
      <w:spacing w:before="0" w:after="0" w:line="276" w:lineRule="auto"/>
    </w:pPr>
    <w:rPr>
      <w:rFonts w:eastAsia="Arial" w:cs="Arial"/>
      <w:color w:val="000000"/>
      <w:sz w:val="22"/>
      <w:szCs w:val="22"/>
      <w:lang w:val="en-GB" w:eastAsia="en-GB"/>
    </w:rPr>
  </w:style>
  <w:style w:type="paragraph" w:customStyle="1" w:styleId="Normal2">
    <w:name w:val="Normal2"/>
    <w:rsid w:val="000C44EF"/>
    <w:pPr>
      <w:spacing w:before="0" w:after="0" w:line="276" w:lineRule="auto"/>
    </w:pPr>
    <w:rPr>
      <w:rFonts w:eastAsia="Arial" w:cs="Arial"/>
      <w:color w:val="00000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6858">
      <w:bodyDiv w:val="1"/>
      <w:marLeft w:val="0"/>
      <w:marRight w:val="0"/>
      <w:marTop w:val="0"/>
      <w:marBottom w:val="0"/>
      <w:divBdr>
        <w:top w:val="none" w:sz="0" w:space="0" w:color="auto"/>
        <w:left w:val="none" w:sz="0" w:space="0" w:color="auto"/>
        <w:bottom w:val="none" w:sz="0" w:space="0" w:color="auto"/>
        <w:right w:val="none" w:sz="0" w:space="0" w:color="auto"/>
      </w:divBdr>
    </w:div>
    <w:div w:id="217321211">
      <w:bodyDiv w:val="1"/>
      <w:marLeft w:val="0"/>
      <w:marRight w:val="0"/>
      <w:marTop w:val="0"/>
      <w:marBottom w:val="0"/>
      <w:divBdr>
        <w:top w:val="none" w:sz="0" w:space="0" w:color="auto"/>
        <w:left w:val="none" w:sz="0" w:space="0" w:color="auto"/>
        <w:bottom w:val="none" w:sz="0" w:space="0" w:color="auto"/>
        <w:right w:val="none" w:sz="0" w:space="0" w:color="auto"/>
      </w:divBdr>
    </w:div>
    <w:div w:id="302583352">
      <w:bodyDiv w:val="1"/>
      <w:marLeft w:val="0"/>
      <w:marRight w:val="0"/>
      <w:marTop w:val="0"/>
      <w:marBottom w:val="0"/>
      <w:divBdr>
        <w:top w:val="none" w:sz="0" w:space="0" w:color="auto"/>
        <w:left w:val="none" w:sz="0" w:space="0" w:color="auto"/>
        <w:bottom w:val="none" w:sz="0" w:space="0" w:color="auto"/>
        <w:right w:val="none" w:sz="0" w:space="0" w:color="auto"/>
      </w:divBdr>
    </w:div>
    <w:div w:id="617294312">
      <w:bodyDiv w:val="1"/>
      <w:marLeft w:val="0"/>
      <w:marRight w:val="0"/>
      <w:marTop w:val="0"/>
      <w:marBottom w:val="0"/>
      <w:divBdr>
        <w:top w:val="none" w:sz="0" w:space="0" w:color="auto"/>
        <w:left w:val="none" w:sz="0" w:space="0" w:color="auto"/>
        <w:bottom w:val="none" w:sz="0" w:space="0" w:color="auto"/>
        <w:right w:val="none" w:sz="0" w:space="0" w:color="auto"/>
      </w:divBdr>
    </w:div>
    <w:div w:id="833493511">
      <w:bodyDiv w:val="1"/>
      <w:marLeft w:val="0"/>
      <w:marRight w:val="0"/>
      <w:marTop w:val="0"/>
      <w:marBottom w:val="0"/>
      <w:divBdr>
        <w:top w:val="none" w:sz="0" w:space="0" w:color="auto"/>
        <w:left w:val="none" w:sz="0" w:space="0" w:color="auto"/>
        <w:bottom w:val="none" w:sz="0" w:space="0" w:color="auto"/>
        <w:right w:val="none" w:sz="0" w:space="0" w:color="auto"/>
      </w:divBdr>
    </w:div>
    <w:div w:id="865294023">
      <w:bodyDiv w:val="1"/>
      <w:marLeft w:val="0"/>
      <w:marRight w:val="0"/>
      <w:marTop w:val="0"/>
      <w:marBottom w:val="0"/>
      <w:divBdr>
        <w:top w:val="none" w:sz="0" w:space="0" w:color="auto"/>
        <w:left w:val="none" w:sz="0" w:space="0" w:color="auto"/>
        <w:bottom w:val="none" w:sz="0" w:space="0" w:color="auto"/>
        <w:right w:val="none" w:sz="0" w:space="0" w:color="auto"/>
      </w:divBdr>
    </w:div>
    <w:div w:id="1086419618">
      <w:bodyDiv w:val="1"/>
      <w:marLeft w:val="0"/>
      <w:marRight w:val="0"/>
      <w:marTop w:val="0"/>
      <w:marBottom w:val="0"/>
      <w:divBdr>
        <w:top w:val="none" w:sz="0" w:space="0" w:color="auto"/>
        <w:left w:val="none" w:sz="0" w:space="0" w:color="auto"/>
        <w:bottom w:val="none" w:sz="0" w:space="0" w:color="auto"/>
        <w:right w:val="none" w:sz="0" w:space="0" w:color="auto"/>
      </w:divBdr>
    </w:div>
    <w:div w:id="1301034758">
      <w:bodyDiv w:val="1"/>
      <w:marLeft w:val="0"/>
      <w:marRight w:val="0"/>
      <w:marTop w:val="0"/>
      <w:marBottom w:val="0"/>
      <w:divBdr>
        <w:top w:val="none" w:sz="0" w:space="0" w:color="auto"/>
        <w:left w:val="none" w:sz="0" w:space="0" w:color="auto"/>
        <w:bottom w:val="none" w:sz="0" w:space="0" w:color="auto"/>
        <w:right w:val="none" w:sz="0" w:space="0" w:color="auto"/>
      </w:divBdr>
    </w:div>
    <w:div w:id="1306161318">
      <w:bodyDiv w:val="1"/>
      <w:marLeft w:val="0"/>
      <w:marRight w:val="0"/>
      <w:marTop w:val="0"/>
      <w:marBottom w:val="0"/>
      <w:divBdr>
        <w:top w:val="none" w:sz="0" w:space="0" w:color="auto"/>
        <w:left w:val="none" w:sz="0" w:space="0" w:color="auto"/>
        <w:bottom w:val="none" w:sz="0" w:space="0" w:color="auto"/>
        <w:right w:val="none" w:sz="0" w:space="0" w:color="auto"/>
      </w:divBdr>
      <w:divsChild>
        <w:div w:id="42605765">
          <w:marLeft w:val="0"/>
          <w:marRight w:val="0"/>
          <w:marTop w:val="0"/>
          <w:marBottom w:val="0"/>
          <w:divBdr>
            <w:top w:val="none" w:sz="0" w:space="0" w:color="auto"/>
            <w:left w:val="none" w:sz="0" w:space="0" w:color="auto"/>
            <w:bottom w:val="none" w:sz="0" w:space="0" w:color="auto"/>
            <w:right w:val="none" w:sz="0" w:space="0" w:color="auto"/>
          </w:divBdr>
        </w:div>
        <w:div w:id="62873952">
          <w:marLeft w:val="0"/>
          <w:marRight w:val="0"/>
          <w:marTop w:val="0"/>
          <w:marBottom w:val="0"/>
          <w:divBdr>
            <w:top w:val="none" w:sz="0" w:space="0" w:color="auto"/>
            <w:left w:val="none" w:sz="0" w:space="0" w:color="auto"/>
            <w:bottom w:val="none" w:sz="0" w:space="0" w:color="auto"/>
            <w:right w:val="none" w:sz="0" w:space="0" w:color="auto"/>
          </w:divBdr>
        </w:div>
        <w:div w:id="248930724">
          <w:marLeft w:val="0"/>
          <w:marRight w:val="0"/>
          <w:marTop w:val="0"/>
          <w:marBottom w:val="0"/>
          <w:divBdr>
            <w:top w:val="none" w:sz="0" w:space="0" w:color="auto"/>
            <w:left w:val="none" w:sz="0" w:space="0" w:color="auto"/>
            <w:bottom w:val="none" w:sz="0" w:space="0" w:color="auto"/>
            <w:right w:val="none" w:sz="0" w:space="0" w:color="auto"/>
          </w:divBdr>
        </w:div>
        <w:div w:id="389233467">
          <w:marLeft w:val="0"/>
          <w:marRight w:val="0"/>
          <w:marTop w:val="0"/>
          <w:marBottom w:val="0"/>
          <w:divBdr>
            <w:top w:val="none" w:sz="0" w:space="0" w:color="auto"/>
            <w:left w:val="none" w:sz="0" w:space="0" w:color="auto"/>
            <w:bottom w:val="none" w:sz="0" w:space="0" w:color="auto"/>
            <w:right w:val="none" w:sz="0" w:space="0" w:color="auto"/>
          </w:divBdr>
        </w:div>
        <w:div w:id="496770780">
          <w:marLeft w:val="0"/>
          <w:marRight w:val="0"/>
          <w:marTop w:val="0"/>
          <w:marBottom w:val="0"/>
          <w:divBdr>
            <w:top w:val="none" w:sz="0" w:space="0" w:color="auto"/>
            <w:left w:val="none" w:sz="0" w:space="0" w:color="auto"/>
            <w:bottom w:val="none" w:sz="0" w:space="0" w:color="auto"/>
            <w:right w:val="none" w:sz="0" w:space="0" w:color="auto"/>
          </w:divBdr>
        </w:div>
        <w:div w:id="552935835">
          <w:marLeft w:val="0"/>
          <w:marRight w:val="0"/>
          <w:marTop w:val="0"/>
          <w:marBottom w:val="0"/>
          <w:divBdr>
            <w:top w:val="none" w:sz="0" w:space="0" w:color="auto"/>
            <w:left w:val="none" w:sz="0" w:space="0" w:color="auto"/>
            <w:bottom w:val="none" w:sz="0" w:space="0" w:color="auto"/>
            <w:right w:val="none" w:sz="0" w:space="0" w:color="auto"/>
          </w:divBdr>
        </w:div>
        <w:div w:id="669257385">
          <w:marLeft w:val="0"/>
          <w:marRight w:val="0"/>
          <w:marTop w:val="0"/>
          <w:marBottom w:val="0"/>
          <w:divBdr>
            <w:top w:val="none" w:sz="0" w:space="0" w:color="auto"/>
            <w:left w:val="none" w:sz="0" w:space="0" w:color="auto"/>
            <w:bottom w:val="none" w:sz="0" w:space="0" w:color="auto"/>
            <w:right w:val="none" w:sz="0" w:space="0" w:color="auto"/>
          </w:divBdr>
        </w:div>
        <w:div w:id="700207112">
          <w:marLeft w:val="0"/>
          <w:marRight w:val="0"/>
          <w:marTop w:val="0"/>
          <w:marBottom w:val="0"/>
          <w:divBdr>
            <w:top w:val="none" w:sz="0" w:space="0" w:color="auto"/>
            <w:left w:val="none" w:sz="0" w:space="0" w:color="auto"/>
            <w:bottom w:val="none" w:sz="0" w:space="0" w:color="auto"/>
            <w:right w:val="none" w:sz="0" w:space="0" w:color="auto"/>
          </w:divBdr>
        </w:div>
        <w:div w:id="781850707">
          <w:marLeft w:val="0"/>
          <w:marRight w:val="0"/>
          <w:marTop w:val="0"/>
          <w:marBottom w:val="0"/>
          <w:divBdr>
            <w:top w:val="none" w:sz="0" w:space="0" w:color="auto"/>
            <w:left w:val="none" w:sz="0" w:space="0" w:color="auto"/>
            <w:bottom w:val="none" w:sz="0" w:space="0" w:color="auto"/>
            <w:right w:val="none" w:sz="0" w:space="0" w:color="auto"/>
          </w:divBdr>
        </w:div>
        <w:div w:id="980427888">
          <w:marLeft w:val="0"/>
          <w:marRight w:val="0"/>
          <w:marTop w:val="0"/>
          <w:marBottom w:val="0"/>
          <w:divBdr>
            <w:top w:val="none" w:sz="0" w:space="0" w:color="auto"/>
            <w:left w:val="none" w:sz="0" w:space="0" w:color="auto"/>
            <w:bottom w:val="none" w:sz="0" w:space="0" w:color="auto"/>
            <w:right w:val="none" w:sz="0" w:space="0" w:color="auto"/>
          </w:divBdr>
        </w:div>
        <w:div w:id="1238662185">
          <w:marLeft w:val="0"/>
          <w:marRight w:val="0"/>
          <w:marTop w:val="0"/>
          <w:marBottom w:val="0"/>
          <w:divBdr>
            <w:top w:val="none" w:sz="0" w:space="0" w:color="auto"/>
            <w:left w:val="none" w:sz="0" w:space="0" w:color="auto"/>
            <w:bottom w:val="none" w:sz="0" w:space="0" w:color="auto"/>
            <w:right w:val="none" w:sz="0" w:space="0" w:color="auto"/>
          </w:divBdr>
        </w:div>
        <w:div w:id="1288505118">
          <w:marLeft w:val="0"/>
          <w:marRight w:val="0"/>
          <w:marTop w:val="0"/>
          <w:marBottom w:val="0"/>
          <w:divBdr>
            <w:top w:val="none" w:sz="0" w:space="0" w:color="auto"/>
            <w:left w:val="none" w:sz="0" w:space="0" w:color="auto"/>
            <w:bottom w:val="none" w:sz="0" w:space="0" w:color="auto"/>
            <w:right w:val="none" w:sz="0" w:space="0" w:color="auto"/>
          </w:divBdr>
        </w:div>
        <w:div w:id="1396510159">
          <w:marLeft w:val="0"/>
          <w:marRight w:val="0"/>
          <w:marTop w:val="0"/>
          <w:marBottom w:val="0"/>
          <w:divBdr>
            <w:top w:val="none" w:sz="0" w:space="0" w:color="auto"/>
            <w:left w:val="none" w:sz="0" w:space="0" w:color="auto"/>
            <w:bottom w:val="none" w:sz="0" w:space="0" w:color="auto"/>
            <w:right w:val="none" w:sz="0" w:space="0" w:color="auto"/>
          </w:divBdr>
        </w:div>
        <w:div w:id="1476683207">
          <w:marLeft w:val="0"/>
          <w:marRight w:val="0"/>
          <w:marTop w:val="0"/>
          <w:marBottom w:val="0"/>
          <w:divBdr>
            <w:top w:val="none" w:sz="0" w:space="0" w:color="auto"/>
            <w:left w:val="none" w:sz="0" w:space="0" w:color="auto"/>
            <w:bottom w:val="none" w:sz="0" w:space="0" w:color="auto"/>
            <w:right w:val="none" w:sz="0" w:space="0" w:color="auto"/>
          </w:divBdr>
        </w:div>
        <w:div w:id="1480807102">
          <w:marLeft w:val="0"/>
          <w:marRight w:val="0"/>
          <w:marTop w:val="0"/>
          <w:marBottom w:val="0"/>
          <w:divBdr>
            <w:top w:val="none" w:sz="0" w:space="0" w:color="auto"/>
            <w:left w:val="none" w:sz="0" w:space="0" w:color="auto"/>
            <w:bottom w:val="none" w:sz="0" w:space="0" w:color="auto"/>
            <w:right w:val="none" w:sz="0" w:space="0" w:color="auto"/>
          </w:divBdr>
        </w:div>
        <w:div w:id="1493836830">
          <w:marLeft w:val="0"/>
          <w:marRight w:val="0"/>
          <w:marTop w:val="0"/>
          <w:marBottom w:val="0"/>
          <w:divBdr>
            <w:top w:val="none" w:sz="0" w:space="0" w:color="auto"/>
            <w:left w:val="none" w:sz="0" w:space="0" w:color="auto"/>
            <w:bottom w:val="none" w:sz="0" w:space="0" w:color="auto"/>
            <w:right w:val="none" w:sz="0" w:space="0" w:color="auto"/>
          </w:divBdr>
        </w:div>
        <w:div w:id="1566447481">
          <w:marLeft w:val="0"/>
          <w:marRight w:val="0"/>
          <w:marTop w:val="0"/>
          <w:marBottom w:val="0"/>
          <w:divBdr>
            <w:top w:val="none" w:sz="0" w:space="0" w:color="auto"/>
            <w:left w:val="none" w:sz="0" w:space="0" w:color="auto"/>
            <w:bottom w:val="none" w:sz="0" w:space="0" w:color="auto"/>
            <w:right w:val="none" w:sz="0" w:space="0" w:color="auto"/>
          </w:divBdr>
        </w:div>
        <w:div w:id="1662586397">
          <w:marLeft w:val="0"/>
          <w:marRight w:val="0"/>
          <w:marTop w:val="0"/>
          <w:marBottom w:val="0"/>
          <w:divBdr>
            <w:top w:val="none" w:sz="0" w:space="0" w:color="auto"/>
            <w:left w:val="none" w:sz="0" w:space="0" w:color="auto"/>
            <w:bottom w:val="none" w:sz="0" w:space="0" w:color="auto"/>
            <w:right w:val="none" w:sz="0" w:space="0" w:color="auto"/>
          </w:divBdr>
        </w:div>
        <w:div w:id="1698045460">
          <w:marLeft w:val="0"/>
          <w:marRight w:val="0"/>
          <w:marTop w:val="0"/>
          <w:marBottom w:val="0"/>
          <w:divBdr>
            <w:top w:val="none" w:sz="0" w:space="0" w:color="auto"/>
            <w:left w:val="none" w:sz="0" w:space="0" w:color="auto"/>
            <w:bottom w:val="none" w:sz="0" w:space="0" w:color="auto"/>
            <w:right w:val="none" w:sz="0" w:space="0" w:color="auto"/>
          </w:divBdr>
        </w:div>
        <w:div w:id="1774132886">
          <w:marLeft w:val="0"/>
          <w:marRight w:val="0"/>
          <w:marTop w:val="0"/>
          <w:marBottom w:val="0"/>
          <w:divBdr>
            <w:top w:val="none" w:sz="0" w:space="0" w:color="auto"/>
            <w:left w:val="none" w:sz="0" w:space="0" w:color="auto"/>
            <w:bottom w:val="none" w:sz="0" w:space="0" w:color="auto"/>
            <w:right w:val="none" w:sz="0" w:space="0" w:color="auto"/>
          </w:divBdr>
        </w:div>
        <w:div w:id="1839882512">
          <w:marLeft w:val="0"/>
          <w:marRight w:val="0"/>
          <w:marTop w:val="0"/>
          <w:marBottom w:val="0"/>
          <w:divBdr>
            <w:top w:val="none" w:sz="0" w:space="0" w:color="auto"/>
            <w:left w:val="none" w:sz="0" w:space="0" w:color="auto"/>
            <w:bottom w:val="none" w:sz="0" w:space="0" w:color="auto"/>
            <w:right w:val="none" w:sz="0" w:space="0" w:color="auto"/>
          </w:divBdr>
        </w:div>
        <w:div w:id="1889874055">
          <w:marLeft w:val="0"/>
          <w:marRight w:val="0"/>
          <w:marTop w:val="0"/>
          <w:marBottom w:val="0"/>
          <w:divBdr>
            <w:top w:val="none" w:sz="0" w:space="0" w:color="auto"/>
            <w:left w:val="none" w:sz="0" w:space="0" w:color="auto"/>
            <w:bottom w:val="none" w:sz="0" w:space="0" w:color="auto"/>
            <w:right w:val="none" w:sz="0" w:space="0" w:color="auto"/>
          </w:divBdr>
        </w:div>
        <w:div w:id="1914732373">
          <w:marLeft w:val="0"/>
          <w:marRight w:val="0"/>
          <w:marTop w:val="0"/>
          <w:marBottom w:val="0"/>
          <w:divBdr>
            <w:top w:val="none" w:sz="0" w:space="0" w:color="auto"/>
            <w:left w:val="none" w:sz="0" w:space="0" w:color="auto"/>
            <w:bottom w:val="none" w:sz="0" w:space="0" w:color="auto"/>
            <w:right w:val="none" w:sz="0" w:space="0" w:color="auto"/>
          </w:divBdr>
        </w:div>
        <w:div w:id="2001928640">
          <w:marLeft w:val="0"/>
          <w:marRight w:val="0"/>
          <w:marTop w:val="0"/>
          <w:marBottom w:val="0"/>
          <w:divBdr>
            <w:top w:val="none" w:sz="0" w:space="0" w:color="auto"/>
            <w:left w:val="none" w:sz="0" w:space="0" w:color="auto"/>
            <w:bottom w:val="none" w:sz="0" w:space="0" w:color="auto"/>
            <w:right w:val="none" w:sz="0" w:space="0" w:color="auto"/>
          </w:divBdr>
        </w:div>
        <w:div w:id="2019036142">
          <w:marLeft w:val="0"/>
          <w:marRight w:val="0"/>
          <w:marTop w:val="0"/>
          <w:marBottom w:val="0"/>
          <w:divBdr>
            <w:top w:val="none" w:sz="0" w:space="0" w:color="auto"/>
            <w:left w:val="none" w:sz="0" w:space="0" w:color="auto"/>
            <w:bottom w:val="none" w:sz="0" w:space="0" w:color="auto"/>
            <w:right w:val="none" w:sz="0" w:space="0" w:color="auto"/>
          </w:divBdr>
        </w:div>
      </w:divsChild>
    </w:div>
    <w:div w:id="1353187733">
      <w:bodyDiv w:val="1"/>
      <w:marLeft w:val="0"/>
      <w:marRight w:val="0"/>
      <w:marTop w:val="0"/>
      <w:marBottom w:val="0"/>
      <w:divBdr>
        <w:top w:val="none" w:sz="0" w:space="0" w:color="auto"/>
        <w:left w:val="none" w:sz="0" w:space="0" w:color="auto"/>
        <w:bottom w:val="none" w:sz="0" w:space="0" w:color="auto"/>
        <w:right w:val="none" w:sz="0" w:space="0" w:color="auto"/>
      </w:divBdr>
    </w:div>
    <w:div w:id="1805847859">
      <w:bodyDiv w:val="1"/>
      <w:marLeft w:val="0"/>
      <w:marRight w:val="0"/>
      <w:marTop w:val="0"/>
      <w:marBottom w:val="0"/>
      <w:divBdr>
        <w:top w:val="none" w:sz="0" w:space="0" w:color="auto"/>
        <w:left w:val="none" w:sz="0" w:space="0" w:color="auto"/>
        <w:bottom w:val="none" w:sz="0" w:space="0" w:color="auto"/>
        <w:right w:val="none" w:sz="0" w:space="0" w:color="auto"/>
      </w:divBdr>
    </w:div>
    <w:div w:id="1851261056">
      <w:bodyDiv w:val="1"/>
      <w:marLeft w:val="0"/>
      <w:marRight w:val="0"/>
      <w:marTop w:val="0"/>
      <w:marBottom w:val="0"/>
      <w:divBdr>
        <w:top w:val="none" w:sz="0" w:space="0" w:color="auto"/>
        <w:left w:val="none" w:sz="0" w:space="0" w:color="auto"/>
        <w:bottom w:val="none" w:sz="0" w:space="0" w:color="auto"/>
        <w:right w:val="none" w:sz="0" w:space="0" w:color="auto"/>
      </w:divBdr>
    </w:div>
    <w:div w:id="1882934386">
      <w:bodyDiv w:val="1"/>
      <w:marLeft w:val="0"/>
      <w:marRight w:val="0"/>
      <w:marTop w:val="0"/>
      <w:marBottom w:val="0"/>
      <w:divBdr>
        <w:top w:val="none" w:sz="0" w:space="0" w:color="auto"/>
        <w:left w:val="none" w:sz="0" w:space="0" w:color="auto"/>
        <w:bottom w:val="none" w:sz="0" w:space="0" w:color="auto"/>
        <w:right w:val="none" w:sz="0" w:space="0" w:color="auto"/>
      </w:divBdr>
    </w:div>
    <w:div w:id="1893074259">
      <w:bodyDiv w:val="1"/>
      <w:marLeft w:val="0"/>
      <w:marRight w:val="0"/>
      <w:marTop w:val="0"/>
      <w:marBottom w:val="0"/>
      <w:divBdr>
        <w:top w:val="none" w:sz="0" w:space="0" w:color="auto"/>
        <w:left w:val="none" w:sz="0" w:space="0" w:color="auto"/>
        <w:bottom w:val="none" w:sz="0" w:space="0" w:color="auto"/>
        <w:right w:val="none" w:sz="0" w:space="0" w:color="auto"/>
      </w:divBdr>
    </w:div>
    <w:div w:id="20265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cs.google.com/document/d/1mWcwjGalRtldH2_8sB5NHTEgf2Uudl_Y7ItAGMrTEBk/edit?usp=shar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google.com/document/d/12jczk65nPYJuumVix83Ykyv42nrwtQ-loHs9-XWJQc8/edit?usp=sharin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openstreetmap.id/docs/Panduan_Mengumpulkan_Data_Menggunakan_OpenStreetMap2017.pdf"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file://prod.lan/active/ops/rds_mgmt/DMInnovation%20-%202017-2018/reporting/Completion%20Report/Draft%20Report/goog_93278087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jpeg"/><Relationship Id="rId27" Type="http://schemas.microsoft.com/office/2016/09/relationships/commentsIds" Target="commentsIds.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BD5FF6-9009-489D-96DB-6AB035B5D62A}"/>
</file>

<file path=customXml/itemProps2.xml><?xml version="1.0" encoding="utf-8"?>
<ds:datastoreItem xmlns:ds="http://schemas.openxmlformats.org/officeDocument/2006/customXml" ds:itemID="{AB946C79-FDA1-4F73-95B9-B636056C826B}"/>
</file>

<file path=customXml/itemProps3.xml><?xml version="1.0" encoding="utf-8"?>
<ds:datastoreItem xmlns:ds="http://schemas.openxmlformats.org/officeDocument/2006/customXml" ds:itemID="{07421107-5313-4170-94EF-3BC4E2A1B974}"/>
</file>

<file path=customXml/itemProps4.xml><?xml version="1.0" encoding="utf-8"?>
<ds:datastoreItem xmlns:ds="http://schemas.openxmlformats.org/officeDocument/2006/customXml" ds:itemID="{EE8BB436-8B93-47FC-B28C-A41A835A4C9A}"/>
</file>

<file path=docProps/app.xml><?xml version="1.0" encoding="utf-8"?>
<Properties xmlns="http://schemas.openxmlformats.org/officeDocument/2006/extended-properties" xmlns:vt="http://schemas.openxmlformats.org/officeDocument/2006/docPropsVTypes">
  <Template>Normal.dotm</Template>
  <TotalTime>0</TotalTime>
  <Pages>36</Pages>
  <Words>12628</Words>
  <Characters>74566</Characters>
  <Application>Microsoft Office Word</Application>
  <DocSecurity>0</DocSecurity>
  <Lines>621</Lines>
  <Paragraphs>174</Paragraphs>
  <ScaleCrop>false</ScaleCrop>
  <Company/>
  <LinksUpToDate>false</LinksUpToDate>
  <CharactersWithSpaces>87020</CharactersWithSpaces>
  <SharedDoc>false</SharedDoc>
  <HLinks>
    <vt:vector size="66" baseType="variant">
      <vt:variant>
        <vt:i4>1048639</vt:i4>
      </vt:variant>
      <vt:variant>
        <vt:i4>62</vt:i4>
      </vt:variant>
      <vt:variant>
        <vt:i4>0</vt:i4>
      </vt:variant>
      <vt:variant>
        <vt:i4>5</vt:i4>
      </vt:variant>
      <vt:variant>
        <vt:lpwstr/>
      </vt:variant>
      <vt:variant>
        <vt:lpwstr>_Toc335392058</vt:lpwstr>
      </vt:variant>
      <vt:variant>
        <vt:i4>1048639</vt:i4>
      </vt:variant>
      <vt:variant>
        <vt:i4>56</vt:i4>
      </vt:variant>
      <vt:variant>
        <vt:i4>0</vt:i4>
      </vt:variant>
      <vt:variant>
        <vt:i4>5</vt:i4>
      </vt:variant>
      <vt:variant>
        <vt:lpwstr/>
      </vt:variant>
      <vt:variant>
        <vt:lpwstr>_Toc335392057</vt:lpwstr>
      </vt:variant>
      <vt:variant>
        <vt:i4>1048639</vt:i4>
      </vt:variant>
      <vt:variant>
        <vt:i4>50</vt:i4>
      </vt:variant>
      <vt:variant>
        <vt:i4>0</vt:i4>
      </vt:variant>
      <vt:variant>
        <vt:i4>5</vt:i4>
      </vt:variant>
      <vt:variant>
        <vt:lpwstr/>
      </vt:variant>
      <vt:variant>
        <vt:lpwstr>_Toc335392056</vt:lpwstr>
      </vt:variant>
      <vt:variant>
        <vt:i4>1048639</vt:i4>
      </vt:variant>
      <vt:variant>
        <vt:i4>44</vt:i4>
      </vt:variant>
      <vt:variant>
        <vt:i4>0</vt:i4>
      </vt:variant>
      <vt:variant>
        <vt:i4>5</vt:i4>
      </vt:variant>
      <vt:variant>
        <vt:lpwstr/>
      </vt:variant>
      <vt:variant>
        <vt:lpwstr>_Toc335392055</vt:lpwstr>
      </vt:variant>
      <vt:variant>
        <vt:i4>1048639</vt:i4>
      </vt:variant>
      <vt:variant>
        <vt:i4>38</vt:i4>
      </vt:variant>
      <vt:variant>
        <vt:i4>0</vt:i4>
      </vt:variant>
      <vt:variant>
        <vt:i4>5</vt:i4>
      </vt:variant>
      <vt:variant>
        <vt:lpwstr/>
      </vt:variant>
      <vt:variant>
        <vt:lpwstr>_Toc335392054</vt:lpwstr>
      </vt:variant>
      <vt:variant>
        <vt:i4>1048639</vt:i4>
      </vt:variant>
      <vt:variant>
        <vt:i4>32</vt:i4>
      </vt:variant>
      <vt:variant>
        <vt:i4>0</vt:i4>
      </vt:variant>
      <vt:variant>
        <vt:i4>5</vt:i4>
      </vt:variant>
      <vt:variant>
        <vt:lpwstr/>
      </vt:variant>
      <vt:variant>
        <vt:lpwstr>_Toc335392053</vt:lpwstr>
      </vt:variant>
      <vt:variant>
        <vt:i4>1048639</vt:i4>
      </vt:variant>
      <vt:variant>
        <vt:i4>26</vt:i4>
      </vt:variant>
      <vt:variant>
        <vt:i4>0</vt:i4>
      </vt:variant>
      <vt:variant>
        <vt:i4>5</vt:i4>
      </vt:variant>
      <vt:variant>
        <vt:lpwstr/>
      </vt:variant>
      <vt:variant>
        <vt:lpwstr>_Toc335392052</vt:lpwstr>
      </vt:variant>
      <vt:variant>
        <vt:i4>1048639</vt:i4>
      </vt:variant>
      <vt:variant>
        <vt:i4>20</vt:i4>
      </vt:variant>
      <vt:variant>
        <vt:i4>0</vt:i4>
      </vt:variant>
      <vt:variant>
        <vt:i4>5</vt:i4>
      </vt:variant>
      <vt:variant>
        <vt:lpwstr/>
      </vt:variant>
      <vt:variant>
        <vt:lpwstr>_Toc335392051</vt:lpwstr>
      </vt:variant>
      <vt:variant>
        <vt:i4>1048639</vt:i4>
      </vt:variant>
      <vt:variant>
        <vt:i4>14</vt:i4>
      </vt:variant>
      <vt:variant>
        <vt:i4>0</vt:i4>
      </vt:variant>
      <vt:variant>
        <vt:i4>5</vt:i4>
      </vt:variant>
      <vt:variant>
        <vt:lpwstr/>
      </vt:variant>
      <vt:variant>
        <vt:lpwstr>_Toc335392050</vt:lpwstr>
      </vt:variant>
      <vt:variant>
        <vt:i4>1114175</vt:i4>
      </vt:variant>
      <vt:variant>
        <vt:i4>8</vt:i4>
      </vt:variant>
      <vt:variant>
        <vt:i4>0</vt:i4>
      </vt:variant>
      <vt:variant>
        <vt:i4>5</vt:i4>
      </vt:variant>
      <vt:variant>
        <vt:lpwstr/>
      </vt:variant>
      <vt:variant>
        <vt:lpwstr>_Toc335392049</vt:lpwstr>
      </vt:variant>
      <vt:variant>
        <vt:i4>1114175</vt:i4>
      </vt:variant>
      <vt:variant>
        <vt:i4>2</vt:i4>
      </vt:variant>
      <vt:variant>
        <vt:i4>0</vt:i4>
      </vt:variant>
      <vt:variant>
        <vt:i4>5</vt:i4>
      </vt:variant>
      <vt:variant>
        <vt:lpwstr/>
      </vt:variant>
      <vt:variant>
        <vt:lpwstr>_Toc335392048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2019-02-17T23:23:00Z</dcterms:created>
  <dcterms:modified xsi:type="dcterms:W3CDTF">2019-02-17T23:23:00Z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053cd1a4-6d1d-488f-928c-261b75360b74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1228100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