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57" w:rsidRPr="00E77D0C" w:rsidRDefault="00863B0E" w:rsidP="002B67D3">
      <w:pPr>
        <w:pStyle w:val="Title"/>
        <w:tabs>
          <w:tab w:val="right" w:pos="7938"/>
        </w:tabs>
      </w:pPr>
      <w:r>
        <w:rPr>
          <w:noProof/>
          <w:spacing w:val="-200"/>
          <w:sz w:val="2"/>
          <w:szCs w:val="2"/>
          <w:lang w:val="en-US" w:eastAsia="en-US"/>
        </w:rPr>
        <w:drawing>
          <wp:anchor distT="0" distB="0" distL="114300" distR="114300" simplePos="0" relativeHeight="251655680" behindDoc="1" locked="0" layoutInCell="1" allowOverlap="1">
            <wp:simplePos x="0" y="0"/>
            <wp:positionH relativeFrom="page">
              <wp:posOffset>8890</wp:posOffset>
            </wp:positionH>
            <wp:positionV relativeFrom="page">
              <wp:posOffset>26035</wp:posOffset>
            </wp:positionV>
            <wp:extent cx="7560310" cy="3025140"/>
            <wp:effectExtent l="0" t="0" r="2540" b="3810"/>
            <wp:wrapNone/>
            <wp:docPr id="8" name="Picture 2"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157" w:rsidRPr="00E77D0C">
        <w:t>Annual program performance report 20</w:t>
      </w:r>
      <w:r w:rsidR="005C6E63">
        <w:t>1</w:t>
      </w:r>
      <w:r w:rsidR="004B6157" w:rsidRPr="00E77D0C">
        <w:t>0:</w:t>
      </w:r>
      <w:r w:rsidR="004B6157">
        <w:t xml:space="preserve"> </w:t>
      </w:r>
      <w:smartTag w:uri="urn:schemas-microsoft-com:office:smarttags" w:element="place">
        <w:smartTag w:uri="urn:schemas-microsoft-com:office:smarttags" w:element="country-region">
          <w:r w:rsidR="005C6E63">
            <w:t>Indonesia</w:t>
          </w:r>
        </w:smartTag>
      </w:smartTag>
    </w:p>
    <w:p w:rsidR="000E3F26" w:rsidRDefault="0043570C" w:rsidP="000E3F26">
      <w:pPr>
        <w:pStyle w:val="Date"/>
      </w:pPr>
      <w:r>
        <w:t>July, 2011</w:t>
      </w:r>
    </w:p>
    <w:p w:rsidR="00CE03FB" w:rsidRDefault="00561F63" w:rsidP="00A46B9C">
      <w:pPr>
        <w:pStyle w:val="Heading1"/>
        <w:spacing w:before="0"/>
      </w:pPr>
      <w:bookmarkStart w:id="0" w:name="_Toc261972318"/>
      <w:bookmarkStart w:id="1" w:name="_Toc300905097"/>
      <w:bookmarkStart w:id="2" w:name="_Toc360981817"/>
      <w:r>
        <w:t>Abbreviation</w:t>
      </w:r>
      <w:bookmarkEnd w:id="0"/>
      <w:bookmarkEnd w:id="1"/>
      <w:bookmarkEnd w:id="2"/>
    </w:p>
    <w:sdt>
      <w:sdtPr>
        <w:rPr>
          <w:rFonts w:ascii="Times New Roman" w:eastAsia="Times New Roman" w:hAnsi="Times New Roman" w:cs="Times New Roman"/>
          <w:color w:val="auto"/>
          <w:sz w:val="20"/>
          <w:szCs w:val="24"/>
          <w:lang w:val="en-AU" w:eastAsia="en-AU"/>
        </w:rPr>
        <w:id w:val="860172953"/>
        <w:docPartObj>
          <w:docPartGallery w:val="Table of Contents"/>
          <w:docPartUnique/>
        </w:docPartObj>
      </w:sdtPr>
      <w:sdtEndPr>
        <w:rPr>
          <w:b/>
          <w:bCs/>
          <w:noProof/>
        </w:rPr>
      </w:sdtEndPr>
      <w:sdtContent>
        <w:p w:rsidR="003F032C" w:rsidRDefault="003F032C">
          <w:pPr>
            <w:pStyle w:val="TOCHeading"/>
          </w:pPr>
          <w:r>
            <w:t>Contents</w:t>
          </w:r>
        </w:p>
        <w:p w:rsidR="003F032C" w:rsidRDefault="003F032C">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981817" w:history="1">
            <w:r w:rsidRPr="00A06E87">
              <w:rPr>
                <w:rStyle w:val="Hyperlink"/>
                <w:noProof/>
              </w:rPr>
              <w:t>Abbreviation</w:t>
            </w:r>
            <w:r>
              <w:rPr>
                <w:noProof/>
                <w:webHidden/>
              </w:rPr>
              <w:tab/>
            </w:r>
            <w:r>
              <w:rPr>
                <w:noProof/>
                <w:webHidden/>
              </w:rPr>
              <w:fldChar w:fldCharType="begin"/>
            </w:r>
            <w:r>
              <w:rPr>
                <w:noProof/>
                <w:webHidden/>
              </w:rPr>
              <w:instrText xml:space="preserve"> PAGEREF _Toc360981817 \h </w:instrText>
            </w:r>
            <w:r>
              <w:rPr>
                <w:noProof/>
                <w:webHidden/>
              </w:rPr>
            </w:r>
            <w:r>
              <w:rPr>
                <w:noProof/>
                <w:webHidden/>
              </w:rPr>
              <w:fldChar w:fldCharType="separate"/>
            </w:r>
            <w:r>
              <w:rPr>
                <w:noProof/>
                <w:webHidden/>
              </w:rPr>
              <w:t>1</w:t>
            </w:r>
            <w:r>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818" w:history="1">
            <w:r w:rsidR="003F032C" w:rsidRPr="00A06E87">
              <w:rPr>
                <w:rStyle w:val="Hyperlink"/>
                <w:noProof/>
              </w:rPr>
              <w:t>Summary</w:t>
            </w:r>
            <w:r w:rsidR="003F032C">
              <w:rPr>
                <w:noProof/>
                <w:webHidden/>
              </w:rPr>
              <w:tab/>
            </w:r>
            <w:r w:rsidR="003F032C">
              <w:rPr>
                <w:noProof/>
                <w:webHidden/>
              </w:rPr>
              <w:fldChar w:fldCharType="begin"/>
            </w:r>
            <w:r w:rsidR="003F032C">
              <w:rPr>
                <w:noProof/>
                <w:webHidden/>
              </w:rPr>
              <w:instrText xml:space="preserve"> PAGEREF _Toc360981818 \h </w:instrText>
            </w:r>
            <w:r w:rsidR="003F032C">
              <w:rPr>
                <w:noProof/>
                <w:webHidden/>
              </w:rPr>
            </w:r>
            <w:r w:rsidR="003F032C">
              <w:rPr>
                <w:noProof/>
                <w:webHidden/>
              </w:rPr>
              <w:fldChar w:fldCharType="separate"/>
            </w:r>
            <w:r w:rsidR="003F032C">
              <w:rPr>
                <w:noProof/>
                <w:webHidden/>
              </w:rPr>
              <w:t>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19" w:history="1">
            <w:r w:rsidR="003F032C" w:rsidRPr="00A06E87">
              <w:rPr>
                <w:rStyle w:val="Hyperlink"/>
                <w:noProof/>
              </w:rPr>
              <w:t>Overview of Indonesia context</w:t>
            </w:r>
            <w:r w:rsidR="003F032C">
              <w:rPr>
                <w:noProof/>
                <w:webHidden/>
              </w:rPr>
              <w:tab/>
            </w:r>
            <w:r w:rsidR="003F032C">
              <w:rPr>
                <w:noProof/>
                <w:webHidden/>
              </w:rPr>
              <w:fldChar w:fldCharType="begin"/>
            </w:r>
            <w:r w:rsidR="003F032C">
              <w:rPr>
                <w:noProof/>
                <w:webHidden/>
              </w:rPr>
              <w:instrText xml:space="preserve"> PAGEREF _Toc360981819 \h </w:instrText>
            </w:r>
            <w:r w:rsidR="003F032C">
              <w:rPr>
                <w:noProof/>
                <w:webHidden/>
              </w:rPr>
            </w:r>
            <w:r w:rsidR="003F032C">
              <w:rPr>
                <w:noProof/>
                <w:webHidden/>
              </w:rPr>
              <w:fldChar w:fldCharType="separate"/>
            </w:r>
            <w:r w:rsidR="003F032C">
              <w:rPr>
                <w:noProof/>
                <w:webHidden/>
              </w:rPr>
              <w:t>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20"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_Toc360981820 \h </w:instrText>
            </w:r>
            <w:r w:rsidR="003F032C">
              <w:rPr>
                <w:noProof/>
                <w:webHidden/>
              </w:rPr>
            </w:r>
            <w:r w:rsidR="003F032C">
              <w:rPr>
                <w:noProof/>
                <w:webHidden/>
              </w:rPr>
              <w:fldChar w:fldCharType="separate"/>
            </w:r>
            <w:r w:rsidR="003F032C">
              <w:rPr>
                <w:noProof/>
                <w:webHidden/>
              </w:rPr>
              <w:t>10</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821" w:history="1">
            <w:r w:rsidR="003F032C" w:rsidRPr="00A06E87">
              <w:rPr>
                <w:rStyle w:val="Hyperlink"/>
                <w:noProof/>
              </w:rPr>
              <w:t>MAIN REPORT</w:t>
            </w:r>
            <w:r w:rsidR="003F032C">
              <w:rPr>
                <w:noProof/>
                <w:webHidden/>
              </w:rPr>
              <w:tab/>
            </w:r>
            <w:r w:rsidR="003F032C">
              <w:rPr>
                <w:noProof/>
                <w:webHidden/>
              </w:rPr>
              <w:fldChar w:fldCharType="begin"/>
            </w:r>
            <w:r w:rsidR="003F032C">
              <w:rPr>
                <w:noProof/>
                <w:webHidden/>
              </w:rPr>
              <w:instrText xml:space="preserve"> PAGEREF _Toc360981821 \h </w:instrText>
            </w:r>
            <w:r w:rsidR="003F032C">
              <w:rPr>
                <w:noProof/>
                <w:webHidden/>
              </w:rPr>
            </w:r>
            <w:r w:rsidR="003F032C">
              <w:rPr>
                <w:noProof/>
                <w:webHidden/>
              </w:rPr>
              <w:fldChar w:fldCharType="separate"/>
            </w:r>
            <w:r w:rsidR="003F032C">
              <w:rPr>
                <w:noProof/>
                <w:webHidden/>
              </w:rPr>
              <w:t>12</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822" w:history="1">
            <w:r w:rsidR="003F032C" w:rsidRPr="00A06E87">
              <w:rPr>
                <w:rStyle w:val="Hyperlink"/>
                <w:noProof/>
              </w:rPr>
              <w:t>Indonesia context</w:t>
            </w:r>
            <w:r w:rsidR="003F032C">
              <w:rPr>
                <w:noProof/>
                <w:webHidden/>
              </w:rPr>
              <w:tab/>
            </w:r>
            <w:r w:rsidR="003F032C">
              <w:rPr>
                <w:noProof/>
                <w:webHidden/>
              </w:rPr>
              <w:fldChar w:fldCharType="begin"/>
            </w:r>
            <w:r w:rsidR="003F032C">
              <w:rPr>
                <w:noProof/>
                <w:webHidden/>
              </w:rPr>
              <w:instrText xml:space="preserve"> PAGEREF _Toc360981822 \h </w:instrText>
            </w:r>
            <w:r w:rsidR="003F032C">
              <w:rPr>
                <w:noProof/>
                <w:webHidden/>
              </w:rPr>
            </w:r>
            <w:r w:rsidR="003F032C">
              <w:rPr>
                <w:noProof/>
                <w:webHidden/>
              </w:rPr>
              <w:fldChar w:fldCharType="separate"/>
            </w:r>
            <w:r w:rsidR="003F032C">
              <w:rPr>
                <w:noProof/>
                <w:webHidden/>
              </w:rPr>
              <w:t>12</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823" w:history="1">
            <w:r w:rsidR="003F032C" w:rsidRPr="00A06E87">
              <w:rPr>
                <w:rStyle w:val="Hyperlink"/>
                <w:noProof/>
              </w:rPr>
              <w:t>Summary of results in 2010</w:t>
            </w:r>
            <w:r w:rsidR="003F032C">
              <w:rPr>
                <w:noProof/>
                <w:webHidden/>
              </w:rPr>
              <w:tab/>
            </w:r>
            <w:r w:rsidR="003F032C">
              <w:rPr>
                <w:noProof/>
                <w:webHidden/>
              </w:rPr>
              <w:fldChar w:fldCharType="begin"/>
            </w:r>
            <w:r w:rsidR="003F032C">
              <w:rPr>
                <w:noProof/>
                <w:webHidden/>
              </w:rPr>
              <w:instrText xml:space="preserve"> PAGEREF _Toc360981823 \h </w:instrText>
            </w:r>
            <w:r w:rsidR="003F032C">
              <w:rPr>
                <w:noProof/>
                <w:webHidden/>
              </w:rPr>
            </w:r>
            <w:r w:rsidR="003F032C">
              <w:rPr>
                <w:noProof/>
                <w:webHidden/>
              </w:rPr>
              <w:fldChar w:fldCharType="separate"/>
            </w:r>
            <w:r w:rsidR="003F032C">
              <w:rPr>
                <w:noProof/>
                <w:webHidden/>
              </w:rPr>
              <w:t>14</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824" w:history="1">
            <w:r w:rsidR="003F032C" w:rsidRPr="00A06E87">
              <w:rPr>
                <w:rStyle w:val="Hyperlink"/>
                <w:noProof/>
              </w:rPr>
              <w:t>Sector Performance ratings</w:t>
            </w:r>
            <w:r w:rsidR="003F032C">
              <w:rPr>
                <w:noProof/>
                <w:webHidden/>
              </w:rPr>
              <w:tab/>
            </w:r>
            <w:r w:rsidR="003F032C">
              <w:rPr>
                <w:noProof/>
                <w:webHidden/>
              </w:rPr>
              <w:fldChar w:fldCharType="begin"/>
            </w:r>
            <w:r w:rsidR="003F032C">
              <w:rPr>
                <w:noProof/>
                <w:webHidden/>
              </w:rPr>
              <w:instrText xml:space="preserve"> PAGEREF _Toc360981824 \h </w:instrText>
            </w:r>
            <w:r w:rsidR="003F032C">
              <w:rPr>
                <w:noProof/>
                <w:webHidden/>
              </w:rPr>
            </w:r>
            <w:r w:rsidR="003F032C">
              <w:rPr>
                <w:noProof/>
                <w:webHidden/>
              </w:rPr>
              <w:fldChar w:fldCharType="separate"/>
            </w:r>
            <w:r w:rsidR="003F032C">
              <w:rPr>
                <w:noProof/>
                <w:webHidden/>
              </w:rPr>
              <w:t>15</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825" w:history="1">
            <w:r w:rsidR="003F032C" w:rsidRPr="00A06E87">
              <w:rPr>
                <w:rStyle w:val="Hyperlink"/>
                <w:noProof/>
              </w:rPr>
              <w:t>Sector</w:t>
            </w:r>
            <w:r w:rsidR="003F032C" w:rsidRPr="00A06E87">
              <w:rPr>
                <w:rStyle w:val="Hyperlink"/>
                <w:noProof/>
                <w:lang w:eastAsia="en-US"/>
              </w:rPr>
              <w:t xml:space="preserve"> Reports</w:t>
            </w:r>
            <w:r w:rsidR="003F032C">
              <w:rPr>
                <w:noProof/>
                <w:webHidden/>
              </w:rPr>
              <w:tab/>
            </w:r>
            <w:r w:rsidR="003F032C">
              <w:rPr>
                <w:noProof/>
                <w:webHidden/>
              </w:rPr>
              <w:fldChar w:fldCharType="begin"/>
            </w:r>
            <w:r w:rsidR="003F032C">
              <w:rPr>
                <w:noProof/>
                <w:webHidden/>
              </w:rPr>
              <w:instrText xml:space="preserve"> PAGEREF _Toc360981825 \h </w:instrText>
            </w:r>
            <w:r w:rsidR="003F032C">
              <w:rPr>
                <w:noProof/>
                <w:webHidden/>
              </w:rPr>
            </w:r>
            <w:r w:rsidR="003F032C">
              <w:rPr>
                <w:noProof/>
                <w:webHidden/>
              </w:rPr>
              <w:fldChar w:fldCharType="separate"/>
            </w:r>
            <w:r w:rsidR="003F032C">
              <w:rPr>
                <w:noProof/>
                <w:webHidden/>
              </w:rPr>
              <w:t>18</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826" w:history="1">
            <w:r w:rsidR="003F032C" w:rsidRPr="00A06E87">
              <w:rPr>
                <w:rStyle w:val="Hyperlink"/>
                <w:noProof/>
              </w:rPr>
              <w:t>Sector Results of the Indonesia program</w:t>
            </w:r>
            <w:r w:rsidR="003F032C">
              <w:rPr>
                <w:noProof/>
                <w:webHidden/>
              </w:rPr>
              <w:tab/>
            </w:r>
            <w:r w:rsidR="003F032C">
              <w:rPr>
                <w:noProof/>
                <w:webHidden/>
              </w:rPr>
              <w:fldChar w:fldCharType="begin"/>
            </w:r>
            <w:r w:rsidR="003F032C">
              <w:rPr>
                <w:noProof/>
                <w:webHidden/>
              </w:rPr>
              <w:instrText xml:space="preserve"> PAGEREF _Toc360981826 \h </w:instrText>
            </w:r>
            <w:r w:rsidR="003F032C">
              <w:rPr>
                <w:noProof/>
                <w:webHidden/>
              </w:rPr>
            </w:r>
            <w:r w:rsidR="003F032C">
              <w:rPr>
                <w:noProof/>
                <w:webHidden/>
              </w:rPr>
              <w:fldChar w:fldCharType="separate"/>
            </w:r>
            <w:r w:rsidR="003F032C">
              <w:rPr>
                <w:noProof/>
                <w:webHidden/>
              </w:rPr>
              <w:t>18</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27" w:history="1">
            <w:r w:rsidR="003F032C" w:rsidRPr="00A06E87">
              <w:rPr>
                <w:rStyle w:val="Hyperlink"/>
                <w:noProof/>
              </w:rPr>
              <w:t>Education and scholarshi</w:t>
            </w:r>
            <w:r w:rsidR="003F032C">
              <w:rPr>
                <w:noProof/>
                <w:webHidden/>
              </w:rPr>
              <w:tab/>
            </w:r>
            <w:r w:rsidR="003F032C">
              <w:rPr>
                <w:noProof/>
                <w:webHidden/>
              </w:rPr>
              <w:fldChar w:fldCharType="begin"/>
            </w:r>
            <w:r w:rsidR="003F032C">
              <w:rPr>
                <w:noProof/>
                <w:webHidden/>
              </w:rPr>
              <w:instrText xml:space="preserve"> PAGEREF _Toc360981827 \h </w:instrText>
            </w:r>
            <w:r w:rsidR="003F032C">
              <w:rPr>
                <w:noProof/>
                <w:webHidden/>
              </w:rPr>
            </w:r>
            <w:r w:rsidR="003F032C">
              <w:rPr>
                <w:noProof/>
                <w:webHidden/>
              </w:rPr>
              <w:fldChar w:fldCharType="separate"/>
            </w:r>
            <w:r w:rsidR="003F032C">
              <w:rPr>
                <w:noProof/>
                <w:webHidden/>
              </w:rPr>
              <w:t>18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28"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_Toc360981828 \h </w:instrText>
            </w:r>
            <w:r w:rsidR="003F032C">
              <w:rPr>
                <w:noProof/>
                <w:webHidden/>
              </w:rPr>
            </w:r>
            <w:r w:rsidR="003F032C">
              <w:rPr>
                <w:noProof/>
                <w:webHidden/>
              </w:rPr>
              <w:fldChar w:fldCharType="separate"/>
            </w:r>
            <w:r w:rsidR="003F032C">
              <w:rPr>
                <w:noProof/>
                <w:webHidden/>
              </w:rPr>
              <w:t>18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29" w:history="1">
            <w:r w:rsidR="003F032C" w:rsidRPr="00A06E87">
              <w:rPr>
                <w:rStyle w:val="Hyperlink"/>
                <w:noProof/>
              </w:rPr>
              <w:t>Education</w:t>
            </w:r>
            <w:r w:rsidR="003F032C">
              <w:rPr>
                <w:noProof/>
                <w:webHidden/>
              </w:rPr>
              <w:tab/>
            </w:r>
            <w:r w:rsidR="003F032C">
              <w:rPr>
                <w:noProof/>
                <w:webHidden/>
              </w:rPr>
              <w:fldChar w:fldCharType="begin"/>
            </w:r>
            <w:r w:rsidR="003F032C">
              <w:rPr>
                <w:noProof/>
                <w:webHidden/>
              </w:rPr>
              <w:instrText xml:space="preserve"> PAGEREF _Toc360981829 \h </w:instrText>
            </w:r>
            <w:r w:rsidR="003F032C">
              <w:rPr>
                <w:noProof/>
                <w:webHidden/>
              </w:rPr>
            </w:r>
            <w:r w:rsidR="003F032C">
              <w:rPr>
                <w:noProof/>
                <w:webHidden/>
              </w:rPr>
              <w:fldChar w:fldCharType="separate"/>
            </w:r>
            <w:r w:rsidR="003F032C">
              <w:rPr>
                <w:noProof/>
                <w:webHidden/>
              </w:rPr>
              <w:t>18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0" w:history="1">
            <w:r w:rsidR="003F032C" w:rsidRPr="00A06E87">
              <w:rPr>
                <w:rStyle w:val="Hyperlink"/>
                <w:noProof/>
              </w:rPr>
              <w:t>Scholarships</w:t>
            </w:r>
            <w:r w:rsidR="003F032C">
              <w:rPr>
                <w:noProof/>
                <w:webHidden/>
              </w:rPr>
              <w:tab/>
            </w:r>
            <w:r w:rsidR="003F032C">
              <w:rPr>
                <w:noProof/>
                <w:webHidden/>
              </w:rPr>
              <w:fldChar w:fldCharType="begin"/>
            </w:r>
            <w:r w:rsidR="003F032C">
              <w:rPr>
                <w:noProof/>
                <w:webHidden/>
              </w:rPr>
              <w:instrText xml:space="preserve"> PAGEREF _Toc360981830 \h </w:instrText>
            </w:r>
            <w:r w:rsidR="003F032C">
              <w:rPr>
                <w:noProof/>
                <w:webHidden/>
              </w:rPr>
            </w:r>
            <w:r w:rsidR="003F032C">
              <w:rPr>
                <w:noProof/>
                <w:webHidden/>
              </w:rPr>
              <w:fldChar w:fldCharType="separate"/>
            </w:r>
            <w:r w:rsidR="003F032C">
              <w:rPr>
                <w:noProof/>
                <w:webHidden/>
              </w:rPr>
              <w:t>21</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1" w:history="1">
            <w:r w:rsidR="003F032C" w:rsidRPr="00A06E87">
              <w:rPr>
                <w:rStyle w:val="Hyperlink"/>
                <w:noProof/>
              </w:rPr>
              <w:t>Knowledge</w:t>
            </w:r>
            <w:r w:rsidR="003F032C">
              <w:rPr>
                <w:noProof/>
                <w:webHidden/>
              </w:rPr>
              <w:tab/>
            </w:r>
            <w:r w:rsidR="003F032C">
              <w:rPr>
                <w:noProof/>
                <w:webHidden/>
              </w:rPr>
              <w:fldChar w:fldCharType="begin"/>
            </w:r>
            <w:r w:rsidR="003F032C">
              <w:rPr>
                <w:noProof/>
                <w:webHidden/>
              </w:rPr>
              <w:instrText xml:space="preserve"> PAGEREF _Toc360981831 \h </w:instrText>
            </w:r>
            <w:r w:rsidR="003F032C">
              <w:rPr>
                <w:noProof/>
                <w:webHidden/>
              </w:rPr>
            </w:r>
            <w:r w:rsidR="003F032C">
              <w:rPr>
                <w:noProof/>
                <w:webHidden/>
              </w:rPr>
              <w:fldChar w:fldCharType="separate"/>
            </w:r>
            <w:r w:rsidR="003F032C">
              <w:rPr>
                <w:noProof/>
                <w:webHidden/>
              </w:rPr>
              <w:t>21</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2"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_Toc360981832 \h </w:instrText>
            </w:r>
            <w:r w:rsidR="003F032C">
              <w:rPr>
                <w:noProof/>
                <w:webHidden/>
              </w:rPr>
            </w:r>
            <w:r w:rsidR="003F032C">
              <w:rPr>
                <w:noProof/>
                <w:webHidden/>
              </w:rPr>
              <w:fldChar w:fldCharType="separate"/>
            </w:r>
            <w:r w:rsidR="003F032C">
              <w:rPr>
                <w:noProof/>
                <w:webHidden/>
              </w:rPr>
              <w:t>22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3"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_Toc360981833 \h </w:instrText>
            </w:r>
            <w:r w:rsidR="003F032C">
              <w:rPr>
                <w:noProof/>
                <w:webHidden/>
              </w:rPr>
            </w:r>
            <w:r w:rsidR="003F032C">
              <w:rPr>
                <w:noProof/>
                <w:webHidden/>
              </w:rPr>
              <w:fldChar w:fldCharType="separate"/>
            </w:r>
            <w:r w:rsidR="003F032C">
              <w:rPr>
                <w:noProof/>
                <w:webHidden/>
              </w:rPr>
              <w:t>23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4" w:history="1">
            <w:r w:rsidR="003F032C" w:rsidRPr="00A06E87">
              <w:rPr>
                <w:rStyle w:val="Hyperlink"/>
                <w:noProof/>
              </w:rPr>
              <w:t>Estimated expenditure in 2010</w:t>
            </w:r>
            <w:r w:rsidR="003F032C">
              <w:rPr>
                <w:noProof/>
                <w:webHidden/>
              </w:rPr>
              <w:tab/>
            </w:r>
            <w:r w:rsidR="003F032C">
              <w:rPr>
                <w:noProof/>
                <w:webHidden/>
              </w:rPr>
              <w:fldChar w:fldCharType="begin"/>
            </w:r>
            <w:r w:rsidR="003F032C">
              <w:rPr>
                <w:noProof/>
                <w:webHidden/>
              </w:rPr>
              <w:instrText xml:space="preserve"> PAGEREF _Toc360981834 \h </w:instrText>
            </w:r>
            <w:r w:rsidR="003F032C">
              <w:rPr>
                <w:noProof/>
                <w:webHidden/>
              </w:rPr>
            </w:r>
            <w:r w:rsidR="003F032C">
              <w:rPr>
                <w:noProof/>
                <w:webHidden/>
              </w:rPr>
              <w:fldChar w:fldCharType="separate"/>
            </w:r>
            <w:r w:rsidR="003F032C">
              <w:rPr>
                <w:noProof/>
                <w:webHidden/>
              </w:rPr>
              <w:t>23</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35" w:history="1">
            <w:r w:rsidR="003F032C" w:rsidRPr="00A06E87">
              <w:rPr>
                <w:rStyle w:val="Hyperlink"/>
                <w:noProof/>
              </w:rPr>
              <w:t>HealthHealth</w:t>
            </w:r>
            <w:r w:rsidR="003F032C">
              <w:rPr>
                <w:noProof/>
                <w:webHidden/>
              </w:rPr>
              <w:tab/>
            </w:r>
            <w:r w:rsidR="003F032C">
              <w:rPr>
                <w:noProof/>
                <w:webHidden/>
              </w:rPr>
              <w:fldChar w:fldCharType="begin"/>
            </w:r>
            <w:r w:rsidR="003F032C">
              <w:rPr>
                <w:noProof/>
                <w:webHidden/>
              </w:rPr>
              <w:instrText xml:space="preserve"> PAGEREF _Toc360981835 \h </w:instrText>
            </w:r>
            <w:r w:rsidR="003F032C">
              <w:rPr>
                <w:noProof/>
                <w:webHidden/>
              </w:rPr>
            </w:r>
            <w:r w:rsidR="003F032C">
              <w:rPr>
                <w:noProof/>
                <w:webHidden/>
              </w:rPr>
              <w:fldChar w:fldCharType="separate"/>
            </w:r>
            <w:r w:rsidR="003F032C">
              <w:rPr>
                <w:noProof/>
                <w:webHidden/>
              </w:rPr>
              <w:t>23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6" w:history="1">
            <w:r w:rsidR="003F032C" w:rsidRPr="00A06E87">
              <w:rPr>
                <w:rStyle w:val="Hyperlink"/>
                <w:noProof/>
              </w:rPr>
              <w:t>Health</w:t>
            </w:r>
            <w:r w:rsidR="003F032C">
              <w:rPr>
                <w:noProof/>
                <w:webHidden/>
              </w:rPr>
              <w:tab/>
            </w:r>
            <w:r w:rsidR="003F032C">
              <w:rPr>
                <w:noProof/>
                <w:webHidden/>
              </w:rPr>
              <w:fldChar w:fldCharType="begin"/>
            </w:r>
            <w:r w:rsidR="003F032C">
              <w:rPr>
                <w:noProof/>
                <w:webHidden/>
              </w:rPr>
              <w:instrText xml:space="preserve"> PAGEREF _Toc360981836 \h </w:instrText>
            </w:r>
            <w:r w:rsidR="003F032C">
              <w:rPr>
                <w:noProof/>
                <w:webHidden/>
              </w:rPr>
            </w:r>
            <w:r w:rsidR="003F032C">
              <w:rPr>
                <w:noProof/>
                <w:webHidden/>
              </w:rPr>
              <w:fldChar w:fldCharType="separate"/>
            </w:r>
            <w:r w:rsidR="003F032C">
              <w:rPr>
                <w:noProof/>
                <w:webHidden/>
              </w:rPr>
              <w:t>23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7"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_Toc360981837 \h </w:instrText>
            </w:r>
            <w:r w:rsidR="003F032C">
              <w:rPr>
                <w:noProof/>
                <w:webHidden/>
              </w:rPr>
            </w:r>
            <w:r w:rsidR="003F032C">
              <w:rPr>
                <w:noProof/>
                <w:webHidden/>
              </w:rPr>
              <w:fldChar w:fldCharType="separate"/>
            </w:r>
            <w:r w:rsidR="003F032C">
              <w:rPr>
                <w:noProof/>
                <w:webHidden/>
              </w:rPr>
              <w:t>23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8"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_Toc360981838 \h </w:instrText>
            </w:r>
            <w:r w:rsidR="003F032C">
              <w:rPr>
                <w:noProof/>
                <w:webHidden/>
              </w:rPr>
            </w:r>
            <w:r w:rsidR="003F032C">
              <w:rPr>
                <w:noProof/>
                <w:webHidden/>
              </w:rPr>
              <w:fldChar w:fldCharType="separate"/>
            </w:r>
            <w:r w:rsidR="003F032C">
              <w:rPr>
                <w:noProof/>
                <w:webHidden/>
              </w:rPr>
              <w:t>24</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39" w:history="1">
            <w:r w:rsidR="003F032C" w:rsidRPr="00A06E87">
              <w:rPr>
                <w:rStyle w:val="Hyperlink"/>
                <w:noProof/>
              </w:rPr>
              <w:t>HIV/AIDs</w:t>
            </w:r>
            <w:r w:rsidR="003F032C">
              <w:rPr>
                <w:noProof/>
                <w:webHidden/>
              </w:rPr>
              <w:tab/>
            </w:r>
            <w:r w:rsidR="003F032C">
              <w:rPr>
                <w:noProof/>
                <w:webHidden/>
              </w:rPr>
              <w:fldChar w:fldCharType="begin"/>
            </w:r>
            <w:r w:rsidR="003F032C">
              <w:rPr>
                <w:noProof/>
                <w:webHidden/>
              </w:rPr>
              <w:instrText xml:space="preserve"> PAGEREF _Toc360981839 \h </w:instrText>
            </w:r>
            <w:r w:rsidR="003F032C">
              <w:rPr>
                <w:noProof/>
                <w:webHidden/>
              </w:rPr>
            </w:r>
            <w:r w:rsidR="003F032C">
              <w:rPr>
                <w:noProof/>
                <w:webHidden/>
              </w:rPr>
              <w:fldChar w:fldCharType="separate"/>
            </w:r>
            <w:r w:rsidR="003F032C">
              <w:rPr>
                <w:noProof/>
                <w:webHidden/>
              </w:rPr>
              <w:t>24</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0" w:history="1">
            <w:r w:rsidR="003F032C" w:rsidRPr="00A06E87">
              <w:rPr>
                <w:rStyle w:val="Hyperlink"/>
                <w:noProof/>
              </w:rPr>
              <w:t>Maternal and Neonatal Health</w:t>
            </w:r>
            <w:r w:rsidR="003F032C">
              <w:rPr>
                <w:noProof/>
                <w:webHidden/>
              </w:rPr>
              <w:tab/>
            </w:r>
            <w:r w:rsidR="003F032C">
              <w:rPr>
                <w:noProof/>
                <w:webHidden/>
              </w:rPr>
              <w:fldChar w:fldCharType="begin"/>
            </w:r>
            <w:r w:rsidR="003F032C">
              <w:rPr>
                <w:noProof/>
                <w:webHidden/>
              </w:rPr>
              <w:instrText xml:space="preserve"> PAGEREF _Toc360981840 \h </w:instrText>
            </w:r>
            <w:r w:rsidR="003F032C">
              <w:rPr>
                <w:noProof/>
                <w:webHidden/>
              </w:rPr>
            </w:r>
            <w:r w:rsidR="003F032C">
              <w:rPr>
                <w:noProof/>
                <w:webHidden/>
              </w:rPr>
              <w:fldChar w:fldCharType="separate"/>
            </w:r>
            <w:r w:rsidR="003F032C">
              <w:rPr>
                <w:noProof/>
                <w:webHidden/>
              </w:rPr>
              <w:t>25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1" w:history="1">
            <w:r w:rsidR="003F032C" w:rsidRPr="00A06E87">
              <w:rPr>
                <w:rStyle w:val="Hyperlink"/>
                <w:noProof/>
              </w:rPr>
              <w:t>Health systems strengthening</w:t>
            </w:r>
            <w:r w:rsidR="003F032C">
              <w:rPr>
                <w:noProof/>
                <w:webHidden/>
              </w:rPr>
              <w:tab/>
            </w:r>
            <w:r w:rsidR="003F032C">
              <w:rPr>
                <w:noProof/>
                <w:webHidden/>
              </w:rPr>
              <w:fldChar w:fldCharType="begin"/>
            </w:r>
            <w:r w:rsidR="003F032C">
              <w:rPr>
                <w:noProof/>
                <w:webHidden/>
              </w:rPr>
              <w:instrText xml:space="preserve"> PAGEREF _Toc360981841 \h </w:instrText>
            </w:r>
            <w:r w:rsidR="003F032C">
              <w:rPr>
                <w:noProof/>
                <w:webHidden/>
              </w:rPr>
            </w:r>
            <w:r w:rsidR="003F032C">
              <w:rPr>
                <w:noProof/>
                <w:webHidden/>
              </w:rPr>
              <w:fldChar w:fldCharType="separate"/>
            </w:r>
            <w:r w:rsidR="003F032C">
              <w:rPr>
                <w:noProof/>
                <w:webHidden/>
              </w:rPr>
              <w:t>25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2"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_Toc360981842 \h </w:instrText>
            </w:r>
            <w:r w:rsidR="003F032C">
              <w:rPr>
                <w:noProof/>
                <w:webHidden/>
              </w:rPr>
            </w:r>
            <w:r w:rsidR="003F032C">
              <w:rPr>
                <w:noProof/>
                <w:webHidden/>
              </w:rPr>
              <w:fldChar w:fldCharType="separate"/>
            </w:r>
            <w:r w:rsidR="003F032C">
              <w:rPr>
                <w:noProof/>
                <w:webHidden/>
              </w:rPr>
              <w:t>26</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3"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_Toc360981843 \h </w:instrText>
            </w:r>
            <w:r w:rsidR="003F032C">
              <w:rPr>
                <w:noProof/>
                <w:webHidden/>
              </w:rPr>
            </w:r>
            <w:r w:rsidR="003F032C">
              <w:rPr>
                <w:noProof/>
                <w:webHidden/>
              </w:rPr>
              <w:fldChar w:fldCharType="separate"/>
            </w:r>
            <w:r w:rsidR="003F032C">
              <w:rPr>
                <w:noProof/>
                <w:webHidden/>
              </w:rPr>
              <w:t>26</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4" w:history="1">
            <w:r w:rsidR="003F032C" w:rsidRPr="00A06E87">
              <w:rPr>
                <w:rStyle w:val="Hyperlink"/>
                <w:noProof/>
              </w:rPr>
              <w:t>Estimated expenditure in 2010</w:t>
            </w:r>
            <w:r w:rsidR="003F032C">
              <w:rPr>
                <w:noProof/>
                <w:webHidden/>
              </w:rPr>
              <w:tab/>
            </w:r>
            <w:r w:rsidR="003F032C">
              <w:rPr>
                <w:noProof/>
                <w:webHidden/>
              </w:rPr>
              <w:fldChar w:fldCharType="begin"/>
            </w:r>
            <w:r w:rsidR="003F032C">
              <w:rPr>
                <w:noProof/>
                <w:webHidden/>
              </w:rPr>
              <w:instrText xml:space="preserve"> PAGEREF _Toc360981844 \h </w:instrText>
            </w:r>
            <w:r w:rsidR="003F032C">
              <w:rPr>
                <w:noProof/>
                <w:webHidden/>
              </w:rPr>
            </w:r>
            <w:r w:rsidR="003F032C">
              <w:rPr>
                <w:noProof/>
                <w:webHidden/>
              </w:rPr>
              <w:fldChar w:fldCharType="separate"/>
            </w:r>
            <w:r w:rsidR="003F032C">
              <w:rPr>
                <w:noProof/>
                <w:webHidden/>
              </w:rPr>
              <w:t>27</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45" w:history="1">
            <w:r w:rsidR="003F032C" w:rsidRPr="00A06E87">
              <w:rPr>
                <w:rStyle w:val="Hyperlink"/>
                <w:noProof/>
              </w:rPr>
              <w:t>Water and sanitation</w:t>
            </w:r>
            <w:r w:rsidR="003F032C">
              <w:rPr>
                <w:noProof/>
                <w:webHidden/>
              </w:rPr>
              <w:tab/>
            </w:r>
            <w:r w:rsidR="003F032C">
              <w:rPr>
                <w:noProof/>
                <w:webHidden/>
              </w:rPr>
              <w:fldChar w:fldCharType="begin"/>
            </w:r>
            <w:r w:rsidR="003F032C">
              <w:rPr>
                <w:noProof/>
                <w:webHidden/>
              </w:rPr>
              <w:instrText xml:space="preserve"> PAGEREF _Toc360981845 \h </w:instrText>
            </w:r>
            <w:r w:rsidR="003F032C">
              <w:rPr>
                <w:noProof/>
                <w:webHidden/>
              </w:rPr>
            </w:r>
            <w:r w:rsidR="003F032C">
              <w:rPr>
                <w:noProof/>
                <w:webHidden/>
              </w:rPr>
              <w:fldChar w:fldCharType="separate"/>
            </w:r>
            <w:r w:rsidR="003F032C">
              <w:rPr>
                <w:noProof/>
                <w:webHidden/>
              </w:rPr>
              <w:t>27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6" w:history="1">
            <w:r w:rsidR="003F032C" w:rsidRPr="00A06E87">
              <w:rPr>
                <w:rStyle w:val="Hyperlink"/>
                <w:noProof/>
              </w:rPr>
              <w:t>Water and sanitation</w:t>
            </w:r>
            <w:r w:rsidR="003F032C">
              <w:rPr>
                <w:noProof/>
                <w:webHidden/>
              </w:rPr>
              <w:tab/>
            </w:r>
            <w:r w:rsidR="003F032C">
              <w:rPr>
                <w:noProof/>
                <w:webHidden/>
              </w:rPr>
              <w:fldChar w:fldCharType="begin"/>
            </w:r>
            <w:r w:rsidR="003F032C">
              <w:rPr>
                <w:noProof/>
                <w:webHidden/>
              </w:rPr>
              <w:instrText xml:space="preserve"> PAGEREF _Toc360981846 \h </w:instrText>
            </w:r>
            <w:r w:rsidR="003F032C">
              <w:rPr>
                <w:noProof/>
                <w:webHidden/>
              </w:rPr>
            </w:r>
            <w:r w:rsidR="003F032C">
              <w:rPr>
                <w:noProof/>
                <w:webHidden/>
              </w:rPr>
              <w:fldChar w:fldCharType="separate"/>
            </w:r>
            <w:r w:rsidR="003F032C">
              <w:rPr>
                <w:noProof/>
                <w:webHidden/>
              </w:rPr>
              <w:t>27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7"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_Toc360981847 \h </w:instrText>
            </w:r>
            <w:r w:rsidR="003F032C">
              <w:rPr>
                <w:noProof/>
                <w:webHidden/>
              </w:rPr>
            </w:r>
            <w:r w:rsidR="003F032C">
              <w:rPr>
                <w:noProof/>
                <w:webHidden/>
              </w:rPr>
              <w:fldChar w:fldCharType="separate"/>
            </w:r>
            <w:r w:rsidR="003F032C">
              <w:rPr>
                <w:noProof/>
                <w:webHidden/>
              </w:rPr>
              <w:t>27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8"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_Toc360981848 \h </w:instrText>
            </w:r>
            <w:r w:rsidR="003F032C">
              <w:rPr>
                <w:noProof/>
                <w:webHidden/>
              </w:rPr>
            </w:r>
            <w:r w:rsidR="003F032C">
              <w:rPr>
                <w:noProof/>
                <w:webHidden/>
              </w:rPr>
              <w:fldChar w:fldCharType="separate"/>
            </w:r>
            <w:r w:rsidR="003F032C">
              <w:rPr>
                <w:noProof/>
                <w:webHidden/>
              </w:rPr>
              <w:t>27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49"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_Toc360981849 \h </w:instrText>
            </w:r>
            <w:r w:rsidR="003F032C">
              <w:rPr>
                <w:noProof/>
                <w:webHidden/>
              </w:rPr>
            </w:r>
            <w:r w:rsidR="003F032C">
              <w:rPr>
                <w:noProof/>
                <w:webHidden/>
              </w:rPr>
              <w:fldChar w:fldCharType="separate"/>
            </w:r>
            <w:r w:rsidR="003F032C">
              <w:rPr>
                <w:noProof/>
                <w:webHidden/>
              </w:rPr>
              <w:t>28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0"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_Toc360981850 \h </w:instrText>
            </w:r>
            <w:r w:rsidR="003F032C">
              <w:rPr>
                <w:noProof/>
                <w:webHidden/>
              </w:rPr>
            </w:r>
            <w:r w:rsidR="003F032C">
              <w:rPr>
                <w:noProof/>
                <w:webHidden/>
              </w:rPr>
              <w:fldChar w:fldCharType="separate"/>
            </w:r>
            <w:r w:rsidR="003F032C">
              <w:rPr>
                <w:noProof/>
                <w:webHidden/>
              </w:rPr>
              <w:t>28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1" w:history="1">
            <w:r w:rsidR="003F032C" w:rsidRPr="00A06E87">
              <w:rPr>
                <w:rStyle w:val="Hyperlink"/>
                <w:noProof/>
              </w:rPr>
              <w:t>Estimated expenditure in 2010</w:t>
            </w:r>
            <w:r w:rsidR="003F032C">
              <w:rPr>
                <w:noProof/>
                <w:webHidden/>
              </w:rPr>
              <w:tab/>
            </w:r>
            <w:r w:rsidR="003F032C">
              <w:rPr>
                <w:noProof/>
                <w:webHidden/>
              </w:rPr>
              <w:fldChar w:fldCharType="begin"/>
            </w:r>
            <w:r w:rsidR="003F032C">
              <w:rPr>
                <w:noProof/>
                <w:webHidden/>
              </w:rPr>
              <w:instrText xml:space="preserve"> PAGEREF _Toc360981851 \h </w:instrText>
            </w:r>
            <w:r w:rsidR="003F032C">
              <w:rPr>
                <w:noProof/>
                <w:webHidden/>
              </w:rPr>
            </w:r>
            <w:r w:rsidR="003F032C">
              <w:rPr>
                <w:noProof/>
                <w:webHidden/>
              </w:rPr>
              <w:fldChar w:fldCharType="separate"/>
            </w:r>
            <w:r w:rsidR="003F032C">
              <w:rPr>
                <w:noProof/>
                <w:webHidden/>
              </w:rPr>
              <w:t>29</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52" w:history="1">
            <w:r w:rsidR="003F032C" w:rsidRPr="00A06E87">
              <w:rPr>
                <w:rStyle w:val="Hyperlink"/>
                <w:noProof/>
              </w:rPr>
              <w:t>Transport and connectivity</w:t>
            </w:r>
            <w:r w:rsidR="003F032C">
              <w:rPr>
                <w:noProof/>
                <w:webHidden/>
              </w:rPr>
              <w:tab/>
            </w:r>
            <w:r w:rsidR="003F032C">
              <w:rPr>
                <w:noProof/>
                <w:webHidden/>
              </w:rPr>
              <w:fldChar w:fldCharType="begin"/>
            </w:r>
            <w:r w:rsidR="003F032C">
              <w:rPr>
                <w:noProof/>
                <w:webHidden/>
              </w:rPr>
              <w:instrText xml:space="preserve"> PAGEREF _Toc360981852 \h </w:instrText>
            </w:r>
            <w:r w:rsidR="003F032C">
              <w:rPr>
                <w:noProof/>
                <w:webHidden/>
              </w:rPr>
            </w:r>
            <w:r w:rsidR="003F032C">
              <w:rPr>
                <w:noProof/>
                <w:webHidden/>
              </w:rPr>
              <w:fldChar w:fldCharType="separate"/>
            </w:r>
            <w:r w:rsidR="003F032C">
              <w:rPr>
                <w:noProof/>
                <w:webHidden/>
              </w:rPr>
              <w:t>29</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3" w:history="1">
            <w:r w:rsidR="003F032C" w:rsidRPr="00A06E87">
              <w:rPr>
                <w:rStyle w:val="Hyperlink"/>
                <w:noProof/>
              </w:rPr>
              <w:t>Transport and connectivity</w:t>
            </w:r>
            <w:r w:rsidR="003F032C">
              <w:rPr>
                <w:noProof/>
                <w:webHidden/>
              </w:rPr>
              <w:tab/>
            </w:r>
            <w:r w:rsidR="003F032C">
              <w:rPr>
                <w:noProof/>
                <w:webHidden/>
              </w:rPr>
              <w:fldChar w:fldCharType="begin"/>
            </w:r>
            <w:r w:rsidR="003F032C">
              <w:rPr>
                <w:noProof/>
                <w:webHidden/>
              </w:rPr>
              <w:instrText xml:space="preserve"> PAGEREF _Toc360981853 \h </w:instrText>
            </w:r>
            <w:r w:rsidR="003F032C">
              <w:rPr>
                <w:noProof/>
                <w:webHidden/>
              </w:rPr>
            </w:r>
            <w:r w:rsidR="003F032C">
              <w:rPr>
                <w:noProof/>
                <w:webHidden/>
              </w:rPr>
              <w:fldChar w:fldCharType="separate"/>
            </w:r>
            <w:r w:rsidR="003F032C">
              <w:rPr>
                <w:noProof/>
                <w:webHidden/>
              </w:rPr>
              <w:t>30</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4"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_Toc360981854 \h </w:instrText>
            </w:r>
            <w:r w:rsidR="003F032C">
              <w:rPr>
                <w:noProof/>
                <w:webHidden/>
              </w:rPr>
            </w:r>
            <w:r w:rsidR="003F032C">
              <w:rPr>
                <w:noProof/>
                <w:webHidden/>
              </w:rPr>
              <w:fldChar w:fldCharType="separate"/>
            </w:r>
            <w:r w:rsidR="003F032C">
              <w:rPr>
                <w:noProof/>
                <w:webHidden/>
              </w:rPr>
              <w:t>30</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5"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_Toc360981855 \h </w:instrText>
            </w:r>
            <w:r w:rsidR="003F032C">
              <w:rPr>
                <w:noProof/>
                <w:webHidden/>
              </w:rPr>
            </w:r>
            <w:r w:rsidR="003F032C">
              <w:rPr>
                <w:noProof/>
                <w:webHidden/>
              </w:rPr>
              <w:fldChar w:fldCharType="separate"/>
            </w:r>
            <w:r w:rsidR="003F032C">
              <w:rPr>
                <w:noProof/>
                <w:webHidden/>
              </w:rPr>
              <w:t>30</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6"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_Toc360981856 \h </w:instrText>
            </w:r>
            <w:r w:rsidR="003F032C">
              <w:rPr>
                <w:noProof/>
                <w:webHidden/>
              </w:rPr>
            </w:r>
            <w:r w:rsidR="003F032C">
              <w:rPr>
                <w:noProof/>
                <w:webHidden/>
              </w:rPr>
              <w:fldChar w:fldCharType="separate"/>
            </w:r>
            <w:r w:rsidR="003F032C">
              <w:rPr>
                <w:noProof/>
                <w:webHidden/>
              </w:rPr>
              <w:t>31</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7"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_Toc360981857 \h </w:instrText>
            </w:r>
            <w:r w:rsidR="003F032C">
              <w:rPr>
                <w:noProof/>
                <w:webHidden/>
              </w:rPr>
            </w:r>
            <w:r w:rsidR="003F032C">
              <w:rPr>
                <w:noProof/>
                <w:webHidden/>
              </w:rPr>
              <w:fldChar w:fldCharType="separate"/>
            </w:r>
            <w:r w:rsidR="003F032C">
              <w:rPr>
                <w:noProof/>
                <w:webHidden/>
              </w:rPr>
              <w:t>31</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58" w:history="1">
            <w:r w:rsidR="003F032C" w:rsidRPr="00A06E87">
              <w:rPr>
                <w:rStyle w:val="Hyperlink"/>
                <w:noProof/>
              </w:rPr>
              <w:t>Estimated expenditure in 2010</w:t>
            </w:r>
            <w:r w:rsidR="003F032C">
              <w:rPr>
                <w:noProof/>
                <w:webHidden/>
              </w:rPr>
              <w:tab/>
            </w:r>
            <w:r w:rsidR="003F032C">
              <w:rPr>
                <w:noProof/>
                <w:webHidden/>
              </w:rPr>
              <w:fldChar w:fldCharType="begin"/>
            </w:r>
            <w:r w:rsidR="003F032C">
              <w:rPr>
                <w:noProof/>
                <w:webHidden/>
              </w:rPr>
              <w:instrText xml:space="preserve"> PAGEREF _Toc360981858 \h </w:instrText>
            </w:r>
            <w:r w:rsidR="003F032C">
              <w:rPr>
                <w:noProof/>
                <w:webHidden/>
              </w:rPr>
            </w:r>
            <w:r w:rsidR="003F032C">
              <w:rPr>
                <w:noProof/>
                <w:webHidden/>
              </w:rPr>
              <w:fldChar w:fldCharType="separate"/>
            </w:r>
            <w:r w:rsidR="003F032C">
              <w:rPr>
                <w:noProof/>
                <w:webHidden/>
              </w:rPr>
              <w:t>32</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59" w:history="1">
            <w:r w:rsidR="003F032C" w:rsidRPr="00A06E87">
              <w:rPr>
                <w:rStyle w:val="Hyperlink"/>
                <w:noProof/>
              </w:rPr>
              <w:t>Decentralisation</w:t>
            </w:r>
            <w:r w:rsidR="003F032C">
              <w:rPr>
                <w:noProof/>
                <w:webHidden/>
              </w:rPr>
              <w:tab/>
            </w:r>
            <w:r w:rsidR="003F032C">
              <w:rPr>
                <w:noProof/>
                <w:webHidden/>
              </w:rPr>
              <w:fldChar w:fldCharType="begin"/>
            </w:r>
            <w:r w:rsidR="003F032C">
              <w:rPr>
                <w:noProof/>
                <w:webHidden/>
              </w:rPr>
              <w:instrText xml:space="preserve"> PAGEREF _Toc360981859 \h </w:instrText>
            </w:r>
            <w:r w:rsidR="003F032C">
              <w:rPr>
                <w:noProof/>
                <w:webHidden/>
              </w:rPr>
            </w:r>
            <w:r w:rsidR="003F032C">
              <w:rPr>
                <w:noProof/>
                <w:webHidden/>
              </w:rPr>
              <w:fldChar w:fldCharType="separate"/>
            </w:r>
            <w:r w:rsidR="003F032C">
              <w:rPr>
                <w:noProof/>
                <w:webHidden/>
              </w:rPr>
              <w:t>32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0" w:history="1">
            <w:r w:rsidR="003F032C" w:rsidRPr="00A06E87">
              <w:rPr>
                <w:rStyle w:val="Hyperlink"/>
                <w:noProof/>
              </w:rPr>
              <w:t>Decentralisation</w:t>
            </w:r>
            <w:r w:rsidR="003F032C">
              <w:rPr>
                <w:noProof/>
                <w:webHidden/>
              </w:rPr>
              <w:tab/>
            </w:r>
            <w:r w:rsidR="003F032C">
              <w:rPr>
                <w:noProof/>
                <w:webHidden/>
              </w:rPr>
              <w:fldChar w:fldCharType="begin"/>
            </w:r>
            <w:r w:rsidR="003F032C">
              <w:rPr>
                <w:noProof/>
                <w:webHidden/>
              </w:rPr>
              <w:instrText xml:space="preserve"> PAGEREF _Toc360981860 \h </w:instrText>
            </w:r>
            <w:r w:rsidR="003F032C">
              <w:rPr>
                <w:noProof/>
                <w:webHidden/>
              </w:rPr>
            </w:r>
            <w:r w:rsidR="003F032C">
              <w:rPr>
                <w:noProof/>
                <w:webHidden/>
              </w:rPr>
              <w:fldChar w:fldCharType="separate"/>
            </w:r>
            <w:r w:rsidR="003F032C">
              <w:rPr>
                <w:noProof/>
                <w:webHidden/>
              </w:rPr>
              <w:t>32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1"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_Toc360981861 \h </w:instrText>
            </w:r>
            <w:r w:rsidR="003F032C">
              <w:rPr>
                <w:noProof/>
                <w:webHidden/>
              </w:rPr>
            </w:r>
            <w:r w:rsidR="003F032C">
              <w:rPr>
                <w:noProof/>
                <w:webHidden/>
              </w:rPr>
              <w:fldChar w:fldCharType="separate"/>
            </w:r>
            <w:r w:rsidR="003F032C">
              <w:rPr>
                <w:noProof/>
                <w:webHidden/>
              </w:rPr>
              <w:t>32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2"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_Toc360981862 \h </w:instrText>
            </w:r>
            <w:r w:rsidR="003F032C">
              <w:rPr>
                <w:noProof/>
                <w:webHidden/>
              </w:rPr>
            </w:r>
            <w:r w:rsidR="003F032C">
              <w:rPr>
                <w:noProof/>
                <w:webHidden/>
              </w:rPr>
              <w:fldChar w:fldCharType="separate"/>
            </w:r>
            <w:r w:rsidR="003F032C">
              <w:rPr>
                <w:noProof/>
                <w:webHidden/>
              </w:rPr>
              <w:t>32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3"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_Toc360981863 \h </w:instrText>
            </w:r>
            <w:r w:rsidR="003F032C">
              <w:rPr>
                <w:noProof/>
                <w:webHidden/>
              </w:rPr>
            </w:r>
            <w:r w:rsidR="003F032C">
              <w:rPr>
                <w:noProof/>
                <w:webHidden/>
              </w:rPr>
              <w:fldChar w:fldCharType="separate"/>
            </w:r>
            <w:r w:rsidR="003F032C">
              <w:rPr>
                <w:noProof/>
                <w:webHidden/>
              </w:rPr>
              <w:t>34</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4"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_Toc360981864 \h </w:instrText>
            </w:r>
            <w:r w:rsidR="003F032C">
              <w:rPr>
                <w:noProof/>
                <w:webHidden/>
              </w:rPr>
            </w:r>
            <w:r w:rsidR="003F032C">
              <w:rPr>
                <w:noProof/>
                <w:webHidden/>
              </w:rPr>
              <w:fldChar w:fldCharType="separate"/>
            </w:r>
            <w:r w:rsidR="003F032C">
              <w:rPr>
                <w:noProof/>
                <w:webHidden/>
              </w:rPr>
              <w:t>34</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65" w:history="1">
            <w:r w:rsidR="003F032C" w:rsidRPr="00A06E87">
              <w:rPr>
                <w:rStyle w:val="Hyperlink"/>
                <w:noProof/>
              </w:rPr>
              <w:t>Poverty reducti</w:t>
            </w:r>
            <w:r w:rsidR="003F032C">
              <w:rPr>
                <w:noProof/>
                <w:webHidden/>
              </w:rPr>
              <w:tab/>
            </w:r>
            <w:r w:rsidR="003F032C">
              <w:rPr>
                <w:noProof/>
                <w:webHidden/>
              </w:rPr>
              <w:fldChar w:fldCharType="begin"/>
            </w:r>
            <w:r w:rsidR="003F032C">
              <w:rPr>
                <w:noProof/>
                <w:webHidden/>
              </w:rPr>
              <w:instrText xml:space="preserve"> PAGEREF _Toc360981865 \h </w:instrText>
            </w:r>
            <w:r w:rsidR="003F032C">
              <w:rPr>
                <w:noProof/>
                <w:webHidden/>
              </w:rPr>
            </w:r>
            <w:r w:rsidR="003F032C">
              <w:rPr>
                <w:noProof/>
                <w:webHidden/>
              </w:rPr>
              <w:fldChar w:fldCharType="separate"/>
            </w:r>
            <w:r w:rsidR="003F032C">
              <w:rPr>
                <w:noProof/>
                <w:webHidden/>
              </w:rPr>
              <w:t>35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6" w:history="1">
            <w:r w:rsidR="003F032C" w:rsidRPr="00A06E87">
              <w:rPr>
                <w:rStyle w:val="Hyperlink"/>
                <w:noProof/>
              </w:rPr>
              <w:t>Social Protection and Community Driven Development (PNPM)</w:t>
            </w:r>
            <w:r w:rsidR="003F032C">
              <w:rPr>
                <w:noProof/>
                <w:webHidden/>
              </w:rPr>
              <w:tab/>
            </w:r>
            <w:r w:rsidR="003F032C">
              <w:rPr>
                <w:noProof/>
                <w:webHidden/>
              </w:rPr>
              <w:fldChar w:fldCharType="begin"/>
            </w:r>
            <w:r w:rsidR="003F032C">
              <w:rPr>
                <w:noProof/>
                <w:webHidden/>
              </w:rPr>
              <w:instrText xml:space="preserve"> PAGEREF _Toc360981866 \h </w:instrText>
            </w:r>
            <w:r w:rsidR="003F032C">
              <w:rPr>
                <w:noProof/>
                <w:webHidden/>
              </w:rPr>
            </w:r>
            <w:r w:rsidR="003F032C">
              <w:rPr>
                <w:noProof/>
                <w:webHidden/>
              </w:rPr>
              <w:fldChar w:fldCharType="separate"/>
            </w:r>
            <w:r w:rsidR="003F032C">
              <w:rPr>
                <w:noProof/>
                <w:webHidden/>
              </w:rPr>
              <w:t>35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7"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_Toc360981867 \h </w:instrText>
            </w:r>
            <w:r w:rsidR="003F032C">
              <w:rPr>
                <w:noProof/>
                <w:webHidden/>
              </w:rPr>
            </w:r>
            <w:r w:rsidR="003F032C">
              <w:rPr>
                <w:noProof/>
                <w:webHidden/>
              </w:rPr>
              <w:fldChar w:fldCharType="separate"/>
            </w:r>
            <w:r w:rsidR="003F032C">
              <w:rPr>
                <w:noProof/>
                <w:webHidden/>
              </w:rPr>
              <w:t>35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8"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_Toc360981868 \h </w:instrText>
            </w:r>
            <w:r w:rsidR="003F032C">
              <w:rPr>
                <w:noProof/>
                <w:webHidden/>
              </w:rPr>
            </w:r>
            <w:r w:rsidR="003F032C">
              <w:rPr>
                <w:noProof/>
                <w:webHidden/>
              </w:rPr>
              <w:fldChar w:fldCharType="separate"/>
            </w:r>
            <w:r w:rsidR="003F032C">
              <w:rPr>
                <w:noProof/>
                <w:webHidden/>
              </w:rPr>
              <w:t>35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69"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_Toc360981869 \h </w:instrText>
            </w:r>
            <w:r w:rsidR="003F032C">
              <w:rPr>
                <w:noProof/>
                <w:webHidden/>
              </w:rPr>
            </w:r>
            <w:r w:rsidR="003F032C">
              <w:rPr>
                <w:noProof/>
                <w:webHidden/>
              </w:rPr>
              <w:fldChar w:fldCharType="separate"/>
            </w:r>
            <w:r w:rsidR="003F032C">
              <w:rPr>
                <w:noProof/>
                <w:webHidden/>
              </w:rPr>
              <w:t>35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0"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_Toc360981870 \h </w:instrText>
            </w:r>
            <w:r w:rsidR="003F032C">
              <w:rPr>
                <w:noProof/>
                <w:webHidden/>
              </w:rPr>
            </w:r>
            <w:r w:rsidR="003F032C">
              <w:rPr>
                <w:noProof/>
                <w:webHidden/>
              </w:rPr>
              <w:fldChar w:fldCharType="separate"/>
            </w:r>
            <w:r w:rsidR="003F032C">
              <w:rPr>
                <w:noProof/>
                <w:webHidden/>
              </w:rPr>
              <w:t>36</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71" w:history="1">
            <w:r w:rsidR="003F032C" w:rsidRPr="00A06E87">
              <w:rPr>
                <w:rStyle w:val="Hyperlink"/>
                <w:noProof/>
              </w:rPr>
              <w:t>Economic governance</w:t>
            </w:r>
            <w:r w:rsidR="003F032C">
              <w:rPr>
                <w:noProof/>
                <w:webHidden/>
              </w:rPr>
              <w:tab/>
            </w:r>
            <w:r w:rsidR="003F032C">
              <w:rPr>
                <w:noProof/>
                <w:webHidden/>
              </w:rPr>
              <w:fldChar w:fldCharType="begin"/>
            </w:r>
            <w:r w:rsidR="003F032C">
              <w:rPr>
                <w:noProof/>
                <w:webHidden/>
              </w:rPr>
              <w:instrText xml:space="preserve"> PAGEREF _Toc360981871 \h </w:instrText>
            </w:r>
            <w:r w:rsidR="003F032C">
              <w:rPr>
                <w:noProof/>
                <w:webHidden/>
              </w:rPr>
            </w:r>
            <w:r w:rsidR="003F032C">
              <w:rPr>
                <w:noProof/>
                <w:webHidden/>
              </w:rPr>
              <w:fldChar w:fldCharType="separate"/>
            </w:r>
            <w:r w:rsidR="003F032C">
              <w:rPr>
                <w:noProof/>
                <w:webHidden/>
              </w:rPr>
              <w:t>36</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2" w:history="1">
            <w:r w:rsidR="003F032C" w:rsidRPr="00A06E87">
              <w:rPr>
                <w:rStyle w:val="Hyperlink"/>
                <w:noProof/>
              </w:rPr>
              <w:t>Economic governance</w:t>
            </w:r>
            <w:r w:rsidR="003F032C">
              <w:rPr>
                <w:noProof/>
                <w:webHidden/>
              </w:rPr>
              <w:tab/>
            </w:r>
            <w:r w:rsidR="003F032C">
              <w:rPr>
                <w:noProof/>
                <w:webHidden/>
              </w:rPr>
              <w:fldChar w:fldCharType="begin"/>
            </w:r>
            <w:r w:rsidR="003F032C">
              <w:rPr>
                <w:noProof/>
                <w:webHidden/>
              </w:rPr>
              <w:instrText xml:space="preserve"> PAGEREF _Toc360981872 \h </w:instrText>
            </w:r>
            <w:r w:rsidR="003F032C">
              <w:rPr>
                <w:noProof/>
                <w:webHidden/>
              </w:rPr>
            </w:r>
            <w:r w:rsidR="003F032C">
              <w:rPr>
                <w:noProof/>
                <w:webHidden/>
              </w:rPr>
              <w:fldChar w:fldCharType="separate"/>
            </w:r>
            <w:r w:rsidR="003F032C">
              <w:rPr>
                <w:noProof/>
                <w:webHidden/>
              </w:rPr>
              <w:t>36</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3"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_Toc360981873 \h </w:instrText>
            </w:r>
            <w:r w:rsidR="003F032C">
              <w:rPr>
                <w:noProof/>
                <w:webHidden/>
              </w:rPr>
            </w:r>
            <w:r w:rsidR="003F032C">
              <w:rPr>
                <w:noProof/>
                <w:webHidden/>
              </w:rPr>
              <w:fldChar w:fldCharType="separate"/>
            </w:r>
            <w:r w:rsidR="003F032C">
              <w:rPr>
                <w:noProof/>
                <w:webHidden/>
              </w:rPr>
              <w:t>36</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4"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_Toc360981874 \h </w:instrText>
            </w:r>
            <w:r w:rsidR="003F032C">
              <w:rPr>
                <w:noProof/>
                <w:webHidden/>
              </w:rPr>
            </w:r>
            <w:r w:rsidR="003F032C">
              <w:rPr>
                <w:noProof/>
                <w:webHidden/>
              </w:rPr>
              <w:fldChar w:fldCharType="separate"/>
            </w:r>
            <w:r w:rsidR="003F032C">
              <w:rPr>
                <w:noProof/>
                <w:webHidden/>
              </w:rPr>
              <w:t>37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5"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_Toc360981875 \h </w:instrText>
            </w:r>
            <w:r w:rsidR="003F032C">
              <w:rPr>
                <w:noProof/>
                <w:webHidden/>
              </w:rPr>
            </w:r>
            <w:r w:rsidR="003F032C">
              <w:rPr>
                <w:noProof/>
                <w:webHidden/>
              </w:rPr>
              <w:fldChar w:fldCharType="separate"/>
            </w:r>
            <w:r w:rsidR="003F032C">
              <w:rPr>
                <w:noProof/>
                <w:webHidden/>
              </w:rPr>
              <w:t>38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6"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_Toc360981876 \h </w:instrText>
            </w:r>
            <w:r w:rsidR="003F032C">
              <w:rPr>
                <w:noProof/>
                <w:webHidden/>
              </w:rPr>
            </w:r>
            <w:r w:rsidR="003F032C">
              <w:rPr>
                <w:noProof/>
                <w:webHidden/>
              </w:rPr>
              <w:fldChar w:fldCharType="separate"/>
            </w:r>
            <w:r w:rsidR="003F032C">
              <w:rPr>
                <w:noProof/>
                <w:webHidden/>
              </w:rPr>
              <w:t>38</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77" w:history="1">
            <w:r w:rsidR="003F032C" w:rsidRPr="00A06E87">
              <w:rPr>
                <w:rStyle w:val="Hyperlink"/>
                <w:noProof/>
              </w:rPr>
              <w:t>Disaster risk management</w:t>
            </w:r>
            <w:r w:rsidR="003F032C">
              <w:rPr>
                <w:noProof/>
                <w:webHidden/>
              </w:rPr>
              <w:tab/>
            </w:r>
            <w:r w:rsidR="003F032C">
              <w:rPr>
                <w:noProof/>
                <w:webHidden/>
              </w:rPr>
              <w:fldChar w:fldCharType="begin"/>
            </w:r>
            <w:r w:rsidR="003F032C">
              <w:rPr>
                <w:noProof/>
                <w:webHidden/>
              </w:rPr>
              <w:instrText xml:space="preserve"> PAGEREF _Toc360981877 \h </w:instrText>
            </w:r>
            <w:r w:rsidR="003F032C">
              <w:rPr>
                <w:noProof/>
                <w:webHidden/>
              </w:rPr>
            </w:r>
            <w:r w:rsidR="003F032C">
              <w:rPr>
                <w:noProof/>
                <w:webHidden/>
              </w:rPr>
              <w:fldChar w:fldCharType="separate"/>
            </w:r>
            <w:r w:rsidR="003F032C">
              <w:rPr>
                <w:noProof/>
                <w:webHidden/>
              </w:rPr>
              <w:t>38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8" w:history="1">
            <w:r w:rsidR="003F032C" w:rsidRPr="00A06E87">
              <w:rPr>
                <w:rStyle w:val="Hyperlink"/>
                <w:noProof/>
              </w:rPr>
              <w:t>Disaster risk management</w:t>
            </w:r>
            <w:r w:rsidR="003F032C">
              <w:rPr>
                <w:noProof/>
                <w:webHidden/>
              </w:rPr>
              <w:tab/>
            </w:r>
            <w:r w:rsidR="003F032C">
              <w:rPr>
                <w:noProof/>
                <w:webHidden/>
              </w:rPr>
              <w:fldChar w:fldCharType="begin"/>
            </w:r>
            <w:r w:rsidR="003F032C">
              <w:rPr>
                <w:noProof/>
                <w:webHidden/>
              </w:rPr>
              <w:instrText xml:space="preserve"> PAGEREF _Toc360981878 \h </w:instrText>
            </w:r>
            <w:r w:rsidR="003F032C">
              <w:rPr>
                <w:noProof/>
                <w:webHidden/>
              </w:rPr>
            </w:r>
            <w:r w:rsidR="003F032C">
              <w:rPr>
                <w:noProof/>
                <w:webHidden/>
              </w:rPr>
              <w:fldChar w:fldCharType="separate"/>
            </w:r>
            <w:r w:rsidR="003F032C">
              <w:rPr>
                <w:noProof/>
                <w:webHidden/>
              </w:rPr>
              <w:t>38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79"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_Toc360981879 \h </w:instrText>
            </w:r>
            <w:r w:rsidR="003F032C">
              <w:rPr>
                <w:noProof/>
                <w:webHidden/>
              </w:rPr>
            </w:r>
            <w:r w:rsidR="003F032C">
              <w:rPr>
                <w:noProof/>
                <w:webHidden/>
              </w:rPr>
              <w:fldChar w:fldCharType="separate"/>
            </w:r>
            <w:r w:rsidR="003F032C">
              <w:rPr>
                <w:noProof/>
                <w:webHidden/>
              </w:rPr>
              <w:t>38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0"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_Toc360981880 \h </w:instrText>
            </w:r>
            <w:r w:rsidR="003F032C">
              <w:rPr>
                <w:noProof/>
                <w:webHidden/>
              </w:rPr>
            </w:r>
            <w:r w:rsidR="003F032C">
              <w:rPr>
                <w:noProof/>
                <w:webHidden/>
              </w:rPr>
              <w:fldChar w:fldCharType="separate"/>
            </w:r>
            <w:r w:rsidR="003F032C">
              <w:rPr>
                <w:noProof/>
                <w:webHidden/>
              </w:rPr>
              <w:t>38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1"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_Toc360981881 \h </w:instrText>
            </w:r>
            <w:r w:rsidR="003F032C">
              <w:rPr>
                <w:noProof/>
                <w:webHidden/>
              </w:rPr>
            </w:r>
            <w:r w:rsidR="003F032C">
              <w:rPr>
                <w:noProof/>
                <w:webHidden/>
              </w:rPr>
              <w:fldChar w:fldCharType="separate"/>
            </w:r>
            <w:r w:rsidR="003F032C">
              <w:rPr>
                <w:noProof/>
                <w:webHidden/>
              </w:rPr>
              <w:t>40</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2"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_Toc360981882 \h </w:instrText>
            </w:r>
            <w:r w:rsidR="003F032C">
              <w:rPr>
                <w:noProof/>
                <w:webHidden/>
              </w:rPr>
            </w:r>
            <w:r w:rsidR="003F032C">
              <w:rPr>
                <w:noProof/>
                <w:webHidden/>
              </w:rPr>
              <w:fldChar w:fldCharType="separate"/>
            </w:r>
            <w:r w:rsidR="003F032C">
              <w:rPr>
                <w:noProof/>
                <w:webHidden/>
              </w:rPr>
              <w:t>40</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3" w:history="1">
            <w:r w:rsidR="003F032C" w:rsidRPr="00A06E87">
              <w:rPr>
                <w:rStyle w:val="Hyperlink"/>
                <w:noProof/>
              </w:rPr>
              <w:t>Climate Change</w:t>
            </w:r>
            <w:r w:rsidR="003F032C">
              <w:rPr>
                <w:noProof/>
                <w:webHidden/>
              </w:rPr>
              <w:tab/>
            </w:r>
            <w:r w:rsidR="003F032C">
              <w:rPr>
                <w:noProof/>
                <w:webHidden/>
              </w:rPr>
              <w:fldChar w:fldCharType="begin"/>
            </w:r>
            <w:r w:rsidR="003F032C">
              <w:rPr>
                <w:noProof/>
                <w:webHidden/>
              </w:rPr>
              <w:instrText xml:space="preserve"> PAGEREF _Toc360981883 \h </w:instrText>
            </w:r>
            <w:r w:rsidR="003F032C">
              <w:rPr>
                <w:noProof/>
                <w:webHidden/>
              </w:rPr>
            </w:r>
            <w:r w:rsidR="003F032C">
              <w:rPr>
                <w:noProof/>
                <w:webHidden/>
              </w:rPr>
              <w:fldChar w:fldCharType="separate"/>
            </w:r>
            <w:r w:rsidR="003F032C">
              <w:rPr>
                <w:noProof/>
                <w:webHidden/>
              </w:rPr>
              <w:t>40</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4"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_Toc360981884 \h </w:instrText>
            </w:r>
            <w:r w:rsidR="003F032C">
              <w:rPr>
                <w:noProof/>
                <w:webHidden/>
              </w:rPr>
            </w:r>
            <w:r w:rsidR="003F032C">
              <w:rPr>
                <w:noProof/>
                <w:webHidden/>
              </w:rPr>
              <w:fldChar w:fldCharType="separate"/>
            </w:r>
            <w:r w:rsidR="003F032C">
              <w:rPr>
                <w:noProof/>
                <w:webHidden/>
              </w:rPr>
              <w:t>40</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5"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_Toc360981885 \h </w:instrText>
            </w:r>
            <w:r w:rsidR="003F032C">
              <w:rPr>
                <w:noProof/>
                <w:webHidden/>
              </w:rPr>
            </w:r>
            <w:r w:rsidR="003F032C">
              <w:rPr>
                <w:noProof/>
                <w:webHidden/>
              </w:rPr>
              <w:fldChar w:fldCharType="separate"/>
            </w:r>
            <w:r w:rsidR="003F032C">
              <w:rPr>
                <w:noProof/>
                <w:webHidden/>
              </w:rPr>
              <w:t>41</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6"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_Toc360981886 \h </w:instrText>
            </w:r>
            <w:r w:rsidR="003F032C">
              <w:rPr>
                <w:noProof/>
                <w:webHidden/>
              </w:rPr>
            </w:r>
            <w:r w:rsidR="003F032C">
              <w:rPr>
                <w:noProof/>
                <w:webHidden/>
              </w:rPr>
              <w:fldChar w:fldCharType="separate"/>
            </w:r>
            <w:r w:rsidR="003F032C">
              <w:rPr>
                <w:noProof/>
                <w:webHidden/>
              </w:rPr>
              <w:t>42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7"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_Toc360981887 \h </w:instrText>
            </w:r>
            <w:r w:rsidR="003F032C">
              <w:rPr>
                <w:noProof/>
                <w:webHidden/>
              </w:rPr>
            </w:r>
            <w:r w:rsidR="003F032C">
              <w:rPr>
                <w:noProof/>
                <w:webHidden/>
              </w:rPr>
              <w:fldChar w:fldCharType="separate"/>
            </w:r>
            <w:r w:rsidR="003F032C">
              <w:rPr>
                <w:noProof/>
                <w:webHidden/>
              </w:rPr>
              <w:t>42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8" w:history="1">
            <w:r w:rsidR="003F032C" w:rsidRPr="00A06E87">
              <w:rPr>
                <w:rStyle w:val="Hyperlink"/>
                <w:noProof/>
              </w:rPr>
              <w:t>Rural livelihoods and agribusiness</w:t>
            </w:r>
            <w:r w:rsidR="003F032C">
              <w:rPr>
                <w:noProof/>
                <w:webHidden/>
              </w:rPr>
              <w:tab/>
            </w:r>
            <w:r w:rsidR="003F032C">
              <w:rPr>
                <w:noProof/>
                <w:webHidden/>
              </w:rPr>
              <w:fldChar w:fldCharType="begin"/>
            </w:r>
            <w:r w:rsidR="003F032C">
              <w:rPr>
                <w:noProof/>
                <w:webHidden/>
              </w:rPr>
              <w:instrText xml:space="preserve"> PAGEREF _Toc360981888 \h </w:instrText>
            </w:r>
            <w:r w:rsidR="003F032C">
              <w:rPr>
                <w:noProof/>
                <w:webHidden/>
              </w:rPr>
            </w:r>
            <w:r w:rsidR="003F032C">
              <w:rPr>
                <w:noProof/>
                <w:webHidden/>
              </w:rPr>
              <w:fldChar w:fldCharType="separate"/>
            </w:r>
            <w:r w:rsidR="003F032C">
              <w:rPr>
                <w:noProof/>
                <w:webHidden/>
              </w:rPr>
              <w:t>43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89"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_Toc360981889 \h </w:instrText>
            </w:r>
            <w:r w:rsidR="003F032C">
              <w:rPr>
                <w:noProof/>
                <w:webHidden/>
              </w:rPr>
            </w:r>
            <w:r w:rsidR="003F032C">
              <w:rPr>
                <w:noProof/>
                <w:webHidden/>
              </w:rPr>
              <w:fldChar w:fldCharType="separate"/>
            </w:r>
            <w:r w:rsidR="003F032C">
              <w:rPr>
                <w:noProof/>
                <w:webHidden/>
              </w:rPr>
              <w:t>43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0"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_Toc360981890 \h </w:instrText>
            </w:r>
            <w:r w:rsidR="003F032C">
              <w:rPr>
                <w:noProof/>
                <w:webHidden/>
              </w:rPr>
            </w:r>
            <w:r w:rsidR="003F032C">
              <w:rPr>
                <w:noProof/>
                <w:webHidden/>
              </w:rPr>
              <w:fldChar w:fldCharType="separate"/>
            </w:r>
            <w:r w:rsidR="003F032C">
              <w:rPr>
                <w:noProof/>
                <w:webHidden/>
              </w:rPr>
              <w:t>43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1"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_Toc360981891 \h </w:instrText>
            </w:r>
            <w:r w:rsidR="003F032C">
              <w:rPr>
                <w:noProof/>
                <w:webHidden/>
              </w:rPr>
            </w:r>
            <w:r w:rsidR="003F032C">
              <w:rPr>
                <w:noProof/>
                <w:webHidden/>
              </w:rPr>
              <w:fldChar w:fldCharType="separate"/>
            </w:r>
            <w:r w:rsidR="003F032C">
              <w:rPr>
                <w:noProof/>
                <w:webHidden/>
              </w:rPr>
              <w:t>44</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2"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_Toc360981892 \h </w:instrText>
            </w:r>
            <w:r w:rsidR="003F032C">
              <w:rPr>
                <w:noProof/>
                <w:webHidden/>
              </w:rPr>
            </w:r>
            <w:r w:rsidR="003F032C">
              <w:rPr>
                <w:noProof/>
                <w:webHidden/>
              </w:rPr>
              <w:fldChar w:fldCharType="separate"/>
            </w:r>
            <w:r w:rsidR="003F032C">
              <w:rPr>
                <w:noProof/>
                <w:webHidden/>
              </w:rPr>
              <w:t>44</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93" w:history="1">
            <w:r w:rsidR="003F032C" w:rsidRPr="00A06E87">
              <w:rPr>
                <w:rStyle w:val="Hyperlink"/>
                <w:noProof/>
              </w:rPr>
              <w:t>Law and justice</w:t>
            </w:r>
            <w:r w:rsidR="003F032C">
              <w:rPr>
                <w:noProof/>
                <w:webHidden/>
              </w:rPr>
              <w:tab/>
            </w:r>
            <w:r w:rsidR="003F032C">
              <w:rPr>
                <w:noProof/>
                <w:webHidden/>
              </w:rPr>
              <w:fldChar w:fldCharType="begin"/>
            </w:r>
            <w:r w:rsidR="003F032C">
              <w:rPr>
                <w:noProof/>
                <w:webHidden/>
              </w:rPr>
              <w:instrText xml:space="preserve"> PAGEREF _Toc360981893 \h </w:instrText>
            </w:r>
            <w:r w:rsidR="003F032C">
              <w:rPr>
                <w:noProof/>
                <w:webHidden/>
              </w:rPr>
            </w:r>
            <w:r w:rsidR="003F032C">
              <w:rPr>
                <w:noProof/>
                <w:webHidden/>
              </w:rPr>
              <w:fldChar w:fldCharType="separate"/>
            </w:r>
            <w:r w:rsidR="003F032C">
              <w:rPr>
                <w:noProof/>
                <w:webHidden/>
              </w:rPr>
              <w:t>45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4" w:history="1">
            <w:r w:rsidR="003F032C" w:rsidRPr="00A06E87">
              <w:rPr>
                <w:rStyle w:val="Hyperlink"/>
                <w:noProof/>
              </w:rPr>
              <w:t>Law and justice</w:t>
            </w:r>
            <w:r w:rsidR="003F032C">
              <w:rPr>
                <w:noProof/>
                <w:webHidden/>
              </w:rPr>
              <w:tab/>
            </w:r>
            <w:r w:rsidR="003F032C">
              <w:rPr>
                <w:noProof/>
                <w:webHidden/>
              </w:rPr>
              <w:fldChar w:fldCharType="begin"/>
            </w:r>
            <w:r w:rsidR="003F032C">
              <w:rPr>
                <w:noProof/>
                <w:webHidden/>
              </w:rPr>
              <w:instrText xml:space="preserve"> PAGEREF _Toc360981894 \h </w:instrText>
            </w:r>
            <w:r w:rsidR="003F032C">
              <w:rPr>
                <w:noProof/>
                <w:webHidden/>
              </w:rPr>
            </w:r>
            <w:r w:rsidR="003F032C">
              <w:rPr>
                <w:noProof/>
                <w:webHidden/>
              </w:rPr>
              <w:fldChar w:fldCharType="separate"/>
            </w:r>
            <w:r w:rsidR="003F032C">
              <w:rPr>
                <w:noProof/>
                <w:webHidden/>
              </w:rPr>
              <w:t>45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5"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_Toc360981895 \h </w:instrText>
            </w:r>
            <w:r w:rsidR="003F032C">
              <w:rPr>
                <w:noProof/>
                <w:webHidden/>
              </w:rPr>
            </w:r>
            <w:r w:rsidR="003F032C">
              <w:rPr>
                <w:noProof/>
                <w:webHidden/>
              </w:rPr>
              <w:fldChar w:fldCharType="separate"/>
            </w:r>
            <w:r w:rsidR="003F032C">
              <w:rPr>
                <w:noProof/>
                <w:webHidden/>
              </w:rPr>
              <w:t>45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6"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_Toc360981896 \h </w:instrText>
            </w:r>
            <w:r w:rsidR="003F032C">
              <w:rPr>
                <w:noProof/>
                <w:webHidden/>
              </w:rPr>
            </w:r>
            <w:r w:rsidR="003F032C">
              <w:rPr>
                <w:noProof/>
                <w:webHidden/>
              </w:rPr>
              <w:fldChar w:fldCharType="separate"/>
            </w:r>
            <w:r w:rsidR="003F032C">
              <w:rPr>
                <w:noProof/>
                <w:webHidden/>
              </w:rPr>
              <w:t>45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7"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_Toc360981897 \h </w:instrText>
            </w:r>
            <w:r w:rsidR="003F032C">
              <w:rPr>
                <w:noProof/>
                <w:webHidden/>
              </w:rPr>
            </w:r>
            <w:r w:rsidR="003F032C">
              <w:rPr>
                <w:noProof/>
                <w:webHidden/>
              </w:rPr>
              <w:fldChar w:fldCharType="separate"/>
            </w:r>
            <w:r w:rsidR="003F032C">
              <w:rPr>
                <w:noProof/>
                <w:webHidden/>
              </w:rPr>
              <w:t>46</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898"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_Toc360981898 \h </w:instrText>
            </w:r>
            <w:r w:rsidR="003F032C">
              <w:rPr>
                <w:noProof/>
                <w:webHidden/>
              </w:rPr>
            </w:r>
            <w:r w:rsidR="003F032C">
              <w:rPr>
                <w:noProof/>
                <w:webHidden/>
              </w:rPr>
              <w:fldChar w:fldCharType="separate"/>
            </w:r>
            <w:r w:rsidR="003F032C">
              <w:rPr>
                <w:noProof/>
                <w:webHidden/>
              </w:rPr>
              <w:t>46</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899" w:history="1">
            <w:r w:rsidR="003F032C" w:rsidRPr="00A06E87">
              <w:rPr>
                <w:rStyle w:val="Hyperlink"/>
                <w:noProof/>
              </w:rPr>
              <w:t>Election</w:t>
            </w:r>
            <w:r w:rsidR="003F032C">
              <w:rPr>
                <w:noProof/>
                <w:webHidden/>
              </w:rPr>
              <w:tab/>
            </w:r>
            <w:r w:rsidR="003F032C">
              <w:rPr>
                <w:noProof/>
                <w:webHidden/>
              </w:rPr>
              <w:fldChar w:fldCharType="begin"/>
            </w:r>
            <w:r w:rsidR="003F032C">
              <w:rPr>
                <w:noProof/>
                <w:webHidden/>
              </w:rPr>
              <w:instrText xml:space="preserve"> PAGEREF _Toc360981899 \h </w:instrText>
            </w:r>
            <w:r w:rsidR="003F032C">
              <w:rPr>
                <w:noProof/>
                <w:webHidden/>
              </w:rPr>
            </w:r>
            <w:r w:rsidR="003F032C">
              <w:rPr>
                <w:noProof/>
                <w:webHidden/>
              </w:rPr>
              <w:fldChar w:fldCharType="separate"/>
            </w:r>
            <w:r w:rsidR="003F032C">
              <w:rPr>
                <w:noProof/>
                <w:webHidden/>
              </w:rPr>
              <w:t>47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0" w:history="1">
            <w:r w:rsidR="003F032C" w:rsidRPr="00A06E87">
              <w:rPr>
                <w:rStyle w:val="Hyperlink"/>
                <w:noProof/>
              </w:rPr>
              <w:t>Elections</w:t>
            </w:r>
            <w:r w:rsidR="003F032C">
              <w:rPr>
                <w:noProof/>
                <w:webHidden/>
              </w:rPr>
              <w:tab/>
            </w:r>
            <w:r w:rsidR="003F032C">
              <w:rPr>
                <w:noProof/>
                <w:webHidden/>
              </w:rPr>
              <w:fldChar w:fldCharType="begin"/>
            </w:r>
            <w:r w:rsidR="003F032C">
              <w:rPr>
                <w:noProof/>
                <w:webHidden/>
              </w:rPr>
              <w:instrText xml:space="preserve"> PAGEREF _Toc360981900 \h </w:instrText>
            </w:r>
            <w:r w:rsidR="003F032C">
              <w:rPr>
                <w:noProof/>
                <w:webHidden/>
              </w:rPr>
            </w:r>
            <w:r w:rsidR="003F032C">
              <w:rPr>
                <w:noProof/>
                <w:webHidden/>
              </w:rPr>
              <w:fldChar w:fldCharType="separate"/>
            </w:r>
            <w:r w:rsidR="003F032C">
              <w:rPr>
                <w:noProof/>
                <w:webHidden/>
              </w:rPr>
              <w:t>47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1" w:history="1">
            <w:r w:rsidR="003F032C" w:rsidRPr="00A06E87">
              <w:rPr>
                <w:rStyle w:val="Hyperlink"/>
                <w:noProof/>
              </w:rPr>
              <w:t>Rating</w:t>
            </w:r>
            <w:r w:rsidR="003F032C">
              <w:rPr>
                <w:noProof/>
                <w:webHidden/>
              </w:rPr>
              <w:tab/>
            </w:r>
            <w:r w:rsidR="003F032C">
              <w:rPr>
                <w:noProof/>
                <w:webHidden/>
              </w:rPr>
              <w:fldChar w:fldCharType="begin"/>
            </w:r>
            <w:r w:rsidR="003F032C">
              <w:rPr>
                <w:noProof/>
                <w:webHidden/>
              </w:rPr>
              <w:instrText xml:space="preserve"> PAGEREF _Toc360981901 \h </w:instrText>
            </w:r>
            <w:r w:rsidR="003F032C">
              <w:rPr>
                <w:noProof/>
                <w:webHidden/>
              </w:rPr>
            </w:r>
            <w:r w:rsidR="003F032C">
              <w:rPr>
                <w:noProof/>
                <w:webHidden/>
              </w:rPr>
              <w:fldChar w:fldCharType="separate"/>
            </w:r>
            <w:r w:rsidR="003F032C">
              <w:rPr>
                <w:noProof/>
                <w:webHidden/>
              </w:rPr>
              <w:t>47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2" w:history="1">
            <w:r w:rsidR="003F032C" w:rsidRPr="00A06E87">
              <w:rPr>
                <w:rStyle w:val="Hyperlink"/>
                <w:noProof/>
              </w:rPr>
              <w:t>Assessment of results and performance</w:t>
            </w:r>
            <w:r w:rsidR="003F032C">
              <w:rPr>
                <w:noProof/>
                <w:webHidden/>
              </w:rPr>
              <w:tab/>
            </w:r>
            <w:r w:rsidR="003F032C">
              <w:rPr>
                <w:noProof/>
                <w:webHidden/>
              </w:rPr>
              <w:fldChar w:fldCharType="begin"/>
            </w:r>
            <w:r w:rsidR="003F032C">
              <w:rPr>
                <w:noProof/>
                <w:webHidden/>
              </w:rPr>
              <w:instrText xml:space="preserve"> PAGEREF _Toc360981902 \h </w:instrText>
            </w:r>
            <w:r w:rsidR="003F032C">
              <w:rPr>
                <w:noProof/>
                <w:webHidden/>
              </w:rPr>
            </w:r>
            <w:r w:rsidR="003F032C">
              <w:rPr>
                <w:noProof/>
                <w:webHidden/>
              </w:rPr>
              <w:fldChar w:fldCharType="separate"/>
            </w:r>
            <w:r w:rsidR="003F032C">
              <w:rPr>
                <w:noProof/>
                <w:webHidden/>
              </w:rPr>
              <w:t>47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3" w:history="1">
            <w:r w:rsidR="003F032C" w:rsidRPr="00A06E87">
              <w:rPr>
                <w:rStyle w:val="Hyperlink"/>
                <w:noProof/>
              </w:rPr>
              <w:t>Factors contributing to or hampering success</w:t>
            </w:r>
            <w:r w:rsidR="003F032C">
              <w:rPr>
                <w:noProof/>
                <w:webHidden/>
              </w:rPr>
              <w:tab/>
            </w:r>
            <w:r w:rsidR="003F032C">
              <w:rPr>
                <w:noProof/>
                <w:webHidden/>
              </w:rPr>
              <w:fldChar w:fldCharType="begin"/>
            </w:r>
            <w:r w:rsidR="003F032C">
              <w:rPr>
                <w:noProof/>
                <w:webHidden/>
              </w:rPr>
              <w:instrText xml:space="preserve"> PAGEREF _Toc360981903 \h </w:instrText>
            </w:r>
            <w:r w:rsidR="003F032C">
              <w:rPr>
                <w:noProof/>
                <w:webHidden/>
              </w:rPr>
            </w:r>
            <w:r w:rsidR="003F032C">
              <w:rPr>
                <w:noProof/>
                <w:webHidden/>
              </w:rPr>
              <w:fldChar w:fldCharType="separate"/>
            </w:r>
            <w:r w:rsidR="003F032C">
              <w:rPr>
                <w:noProof/>
                <w:webHidden/>
              </w:rPr>
              <w:t>47</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4"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_Toc360981904 \h </w:instrText>
            </w:r>
            <w:r w:rsidR="003F032C">
              <w:rPr>
                <w:noProof/>
                <w:webHidden/>
              </w:rPr>
            </w:r>
            <w:r w:rsidR="003F032C">
              <w:rPr>
                <w:noProof/>
                <w:webHidden/>
              </w:rPr>
              <w:fldChar w:fldCharType="separate"/>
            </w:r>
            <w:r w:rsidR="003F032C">
              <w:rPr>
                <w:noProof/>
                <w:webHidden/>
              </w:rPr>
              <w:t>48</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5" w:history="1">
            <w:r w:rsidR="003F032C" w:rsidRPr="00A06E87">
              <w:rPr>
                <w:rStyle w:val="Hyperlink"/>
                <w:noProof/>
              </w:rPr>
              <w:t>Anti Corruption</w:t>
            </w:r>
            <w:r w:rsidR="003F032C">
              <w:rPr>
                <w:noProof/>
                <w:webHidden/>
              </w:rPr>
              <w:tab/>
            </w:r>
            <w:r w:rsidR="003F032C">
              <w:rPr>
                <w:noProof/>
                <w:webHidden/>
              </w:rPr>
              <w:fldChar w:fldCharType="begin"/>
            </w:r>
            <w:r w:rsidR="003F032C">
              <w:rPr>
                <w:noProof/>
                <w:webHidden/>
              </w:rPr>
              <w:instrText xml:space="preserve"> PAGEREF _Toc360981905 \h </w:instrText>
            </w:r>
            <w:r w:rsidR="003F032C">
              <w:rPr>
                <w:noProof/>
                <w:webHidden/>
              </w:rPr>
            </w:r>
            <w:r w:rsidR="003F032C">
              <w:rPr>
                <w:noProof/>
                <w:webHidden/>
              </w:rPr>
              <w:fldChar w:fldCharType="separate"/>
            </w:r>
            <w:r w:rsidR="003F032C">
              <w:rPr>
                <w:noProof/>
                <w:webHidden/>
              </w:rPr>
              <w:t>51</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6" w:history="1">
            <w:r w:rsidR="003F032C" w:rsidRPr="00A06E87">
              <w:rPr>
                <w:rStyle w:val="Hyperlink"/>
                <w:noProof/>
              </w:rPr>
              <w:t>Aid effectiveness agenda</w:t>
            </w:r>
            <w:r w:rsidR="003F032C">
              <w:rPr>
                <w:noProof/>
                <w:webHidden/>
              </w:rPr>
              <w:tab/>
            </w:r>
            <w:r w:rsidR="003F032C">
              <w:rPr>
                <w:noProof/>
                <w:webHidden/>
              </w:rPr>
              <w:fldChar w:fldCharType="begin"/>
            </w:r>
            <w:r w:rsidR="003F032C">
              <w:rPr>
                <w:noProof/>
                <w:webHidden/>
              </w:rPr>
              <w:instrText xml:space="preserve"> PAGEREF _Toc360981906 \h </w:instrText>
            </w:r>
            <w:r w:rsidR="003F032C">
              <w:rPr>
                <w:noProof/>
                <w:webHidden/>
              </w:rPr>
            </w:r>
            <w:r w:rsidR="003F032C">
              <w:rPr>
                <w:noProof/>
                <w:webHidden/>
              </w:rPr>
              <w:fldChar w:fldCharType="separate"/>
            </w:r>
            <w:r w:rsidR="003F032C">
              <w:rPr>
                <w:noProof/>
                <w:webHidden/>
              </w:rPr>
              <w:t>52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7" w:history="1">
            <w:r w:rsidR="003F032C" w:rsidRPr="00A06E87">
              <w:rPr>
                <w:rStyle w:val="Hyperlink"/>
                <w:noProof/>
              </w:rPr>
              <w:t>Public Financial Management/Working in Partner Systems</w:t>
            </w:r>
            <w:r w:rsidR="003F032C">
              <w:rPr>
                <w:noProof/>
                <w:webHidden/>
              </w:rPr>
              <w:tab/>
            </w:r>
            <w:r w:rsidR="003F032C">
              <w:rPr>
                <w:noProof/>
                <w:webHidden/>
              </w:rPr>
              <w:fldChar w:fldCharType="begin"/>
            </w:r>
            <w:r w:rsidR="003F032C">
              <w:rPr>
                <w:noProof/>
                <w:webHidden/>
              </w:rPr>
              <w:instrText xml:space="preserve"> PAGEREF _Toc360981907 \h </w:instrText>
            </w:r>
            <w:r w:rsidR="003F032C">
              <w:rPr>
                <w:noProof/>
                <w:webHidden/>
              </w:rPr>
            </w:r>
            <w:r w:rsidR="003F032C">
              <w:rPr>
                <w:noProof/>
                <w:webHidden/>
              </w:rPr>
              <w:fldChar w:fldCharType="separate"/>
            </w:r>
            <w:r w:rsidR="003F032C">
              <w:rPr>
                <w:noProof/>
                <w:webHidden/>
              </w:rPr>
              <w:t>52</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8" w:history="1">
            <w:r w:rsidR="003F032C" w:rsidRPr="00A06E87">
              <w:rPr>
                <w:rStyle w:val="Hyperlink"/>
                <w:noProof/>
              </w:rPr>
              <w:t>Indonesia Review of Long-Term Adviser Positions</w:t>
            </w:r>
            <w:r w:rsidR="003F032C">
              <w:rPr>
                <w:noProof/>
                <w:webHidden/>
              </w:rPr>
              <w:tab/>
            </w:r>
            <w:r w:rsidR="003F032C">
              <w:rPr>
                <w:noProof/>
                <w:webHidden/>
              </w:rPr>
              <w:fldChar w:fldCharType="begin"/>
            </w:r>
            <w:r w:rsidR="003F032C">
              <w:rPr>
                <w:noProof/>
                <w:webHidden/>
              </w:rPr>
              <w:instrText xml:space="preserve"> PAGEREF _Toc360981908 \h </w:instrText>
            </w:r>
            <w:r w:rsidR="003F032C">
              <w:rPr>
                <w:noProof/>
                <w:webHidden/>
              </w:rPr>
            </w:r>
            <w:r w:rsidR="003F032C">
              <w:rPr>
                <w:noProof/>
                <w:webHidden/>
              </w:rPr>
              <w:fldChar w:fldCharType="separate"/>
            </w:r>
            <w:r w:rsidR="003F032C">
              <w:rPr>
                <w:noProof/>
                <w:webHidden/>
              </w:rPr>
              <w:t>53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09" w:history="1">
            <w:r w:rsidR="003F032C" w:rsidRPr="00A06E87">
              <w:rPr>
                <w:rStyle w:val="Hyperlink"/>
                <w:noProof/>
              </w:rPr>
              <w:t>Performance and Quality</w:t>
            </w:r>
            <w:r w:rsidR="003F032C">
              <w:rPr>
                <w:noProof/>
                <w:webHidden/>
              </w:rPr>
              <w:tab/>
            </w:r>
            <w:r w:rsidR="003F032C">
              <w:rPr>
                <w:noProof/>
                <w:webHidden/>
              </w:rPr>
              <w:fldChar w:fldCharType="begin"/>
            </w:r>
            <w:r w:rsidR="003F032C">
              <w:rPr>
                <w:noProof/>
                <w:webHidden/>
              </w:rPr>
              <w:instrText xml:space="preserve"> PAGEREF _Toc360981909 \h </w:instrText>
            </w:r>
            <w:r w:rsidR="003F032C">
              <w:rPr>
                <w:noProof/>
                <w:webHidden/>
              </w:rPr>
            </w:r>
            <w:r w:rsidR="003F032C">
              <w:rPr>
                <w:noProof/>
                <w:webHidden/>
              </w:rPr>
              <w:fldChar w:fldCharType="separate"/>
            </w:r>
            <w:r w:rsidR="003F032C">
              <w:rPr>
                <w:noProof/>
                <w:webHidden/>
              </w:rPr>
              <w:t>53</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10" w:history="1">
            <w:r w:rsidR="003F032C" w:rsidRPr="00A06E87">
              <w:rPr>
                <w:rStyle w:val="Hyperlink"/>
                <w:noProof/>
              </w:rPr>
              <w:t>Disaster Response  Indonesia is one of the world’s most disaster prone countries, with 1 946 people killed and 2 876 919 people affected by natural disasters in 2009. While the Australia-Indonesia Facility for Disaster Reduction (AIFDR) continues to build Indonesia’s capacity to mitigate against and prepare for disasters, the Indonesian Government can still request international assistance to deal with major or complex natural disasters. In such an event AusAID Jakarta’s Disaster Response Unit stands ready to coordinate the Australian Government’s humanitarian assistance.</w:t>
            </w:r>
            <w:r w:rsidR="003F032C">
              <w:rPr>
                <w:noProof/>
                <w:webHidden/>
              </w:rPr>
              <w:tab/>
            </w:r>
            <w:r w:rsidR="003F032C">
              <w:rPr>
                <w:noProof/>
                <w:webHidden/>
              </w:rPr>
              <w:fldChar w:fldCharType="begin"/>
            </w:r>
            <w:r w:rsidR="003F032C">
              <w:rPr>
                <w:noProof/>
                <w:webHidden/>
              </w:rPr>
              <w:instrText xml:space="preserve"> PAGEREF _Toc360981910 \h </w:instrText>
            </w:r>
            <w:r w:rsidR="003F032C">
              <w:rPr>
                <w:noProof/>
                <w:webHidden/>
              </w:rPr>
            </w:r>
            <w:r w:rsidR="003F032C">
              <w:rPr>
                <w:noProof/>
                <w:webHidden/>
              </w:rPr>
              <w:fldChar w:fldCharType="separate"/>
            </w:r>
            <w:r w:rsidR="003F032C">
              <w:rPr>
                <w:noProof/>
                <w:webHidden/>
              </w:rPr>
              <w:t>55</w:t>
            </w:r>
            <w:r w:rsidR="003F032C">
              <w:rPr>
                <w:noProof/>
                <w:webHidden/>
              </w:rPr>
              <w:fldChar w:fldCharType="end"/>
            </w:r>
          </w:hyperlink>
        </w:p>
        <w:p w:rsidR="003F032C" w:rsidRDefault="004E4E1D">
          <w:pPr>
            <w:pStyle w:val="TOC3"/>
            <w:rPr>
              <w:rFonts w:asciiTheme="minorHAnsi" w:eastAsiaTheme="minorEastAsia" w:hAnsiTheme="minorHAnsi" w:cstheme="minorBidi"/>
              <w:noProof/>
              <w:sz w:val="22"/>
              <w:szCs w:val="22"/>
              <w:lang w:val="en-US" w:eastAsia="en-US"/>
            </w:rPr>
          </w:pPr>
          <w:hyperlink w:anchor="_Toc360981911" w:history="1">
            <w:r w:rsidR="003F032C" w:rsidRPr="00A06E87">
              <w:rPr>
                <w:rStyle w:val="Hyperlink"/>
                <w:noProof/>
              </w:rPr>
              <w:t>Management Consequences</w:t>
            </w:r>
            <w:r w:rsidR="003F032C">
              <w:rPr>
                <w:noProof/>
                <w:webHidden/>
              </w:rPr>
              <w:tab/>
            </w:r>
            <w:r w:rsidR="003F032C">
              <w:rPr>
                <w:noProof/>
                <w:webHidden/>
              </w:rPr>
              <w:fldChar w:fldCharType="begin"/>
            </w:r>
            <w:r w:rsidR="003F032C">
              <w:rPr>
                <w:noProof/>
                <w:webHidden/>
              </w:rPr>
              <w:instrText xml:space="preserve"> PAGEREF _Toc360981911 \h </w:instrText>
            </w:r>
            <w:r w:rsidR="003F032C">
              <w:rPr>
                <w:noProof/>
                <w:webHidden/>
              </w:rPr>
            </w:r>
            <w:r w:rsidR="003F032C">
              <w:rPr>
                <w:noProof/>
                <w:webHidden/>
              </w:rPr>
              <w:fldChar w:fldCharType="separate"/>
            </w:r>
            <w:r w:rsidR="003F032C">
              <w:rPr>
                <w:noProof/>
                <w:webHidden/>
              </w:rPr>
              <w:t>57</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912" w:history="1">
            <w:r w:rsidR="003F032C" w:rsidRPr="00A06E87">
              <w:rPr>
                <w:rStyle w:val="Hyperlink"/>
                <w:noProof/>
              </w:rPr>
              <w:t>Annex 1: Indonesia’s progress against the Millennium Development Goals in 2010</w:t>
            </w:r>
            <w:r w:rsidR="003F032C">
              <w:rPr>
                <w:noProof/>
                <w:webHidden/>
              </w:rPr>
              <w:tab/>
            </w:r>
            <w:r w:rsidR="003F032C">
              <w:rPr>
                <w:noProof/>
                <w:webHidden/>
              </w:rPr>
              <w:fldChar w:fldCharType="begin"/>
            </w:r>
            <w:r w:rsidR="003F032C">
              <w:rPr>
                <w:noProof/>
                <w:webHidden/>
              </w:rPr>
              <w:instrText xml:space="preserve"> PAGEREF _Toc360981912 \h </w:instrText>
            </w:r>
            <w:r w:rsidR="003F032C">
              <w:rPr>
                <w:noProof/>
                <w:webHidden/>
              </w:rPr>
            </w:r>
            <w:r w:rsidR="003F032C">
              <w:rPr>
                <w:noProof/>
                <w:webHidden/>
              </w:rPr>
              <w:fldChar w:fldCharType="separate"/>
            </w:r>
            <w:r w:rsidR="003F032C">
              <w:rPr>
                <w:noProof/>
                <w:webHidden/>
              </w:rPr>
              <w:t>58</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913" w:history="1">
            <w:r w:rsidR="003F032C" w:rsidRPr="00A06E87">
              <w:rPr>
                <w:rStyle w:val="Hyperlink"/>
                <w:noProof/>
              </w:rPr>
              <w:t>Annex 2: Basis for ratings against sub-sector outcomes</w:t>
            </w:r>
            <w:r w:rsidR="003F032C">
              <w:rPr>
                <w:noProof/>
                <w:webHidden/>
              </w:rPr>
              <w:tab/>
            </w:r>
            <w:r w:rsidR="003F032C">
              <w:rPr>
                <w:noProof/>
                <w:webHidden/>
              </w:rPr>
              <w:fldChar w:fldCharType="begin"/>
            </w:r>
            <w:r w:rsidR="003F032C">
              <w:rPr>
                <w:noProof/>
                <w:webHidden/>
              </w:rPr>
              <w:instrText xml:space="preserve"> PAGEREF _Toc360981913 \h </w:instrText>
            </w:r>
            <w:r w:rsidR="003F032C">
              <w:rPr>
                <w:noProof/>
                <w:webHidden/>
              </w:rPr>
            </w:r>
            <w:r w:rsidR="003F032C">
              <w:rPr>
                <w:noProof/>
                <w:webHidden/>
              </w:rPr>
              <w:fldChar w:fldCharType="separate"/>
            </w:r>
            <w:r w:rsidR="003F032C">
              <w:rPr>
                <w:noProof/>
                <w:webHidden/>
              </w:rPr>
              <w:t>61</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914" w:history="1">
            <w:r w:rsidR="003F032C" w:rsidRPr="00A06E87">
              <w:rPr>
                <w:rStyle w:val="Hyperlink"/>
                <w:noProof/>
              </w:rPr>
              <w:t>Annex 3: Quality at Implementation – Indonesia (2010-11)</w:t>
            </w:r>
            <w:r w:rsidR="003F032C">
              <w:rPr>
                <w:noProof/>
                <w:webHidden/>
              </w:rPr>
              <w:tab/>
            </w:r>
            <w:r w:rsidR="003F032C">
              <w:rPr>
                <w:noProof/>
                <w:webHidden/>
              </w:rPr>
              <w:fldChar w:fldCharType="begin"/>
            </w:r>
            <w:r w:rsidR="003F032C">
              <w:rPr>
                <w:noProof/>
                <w:webHidden/>
              </w:rPr>
              <w:instrText xml:space="preserve"> PAGEREF _Toc360981914 \h </w:instrText>
            </w:r>
            <w:r w:rsidR="003F032C">
              <w:rPr>
                <w:noProof/>
                <w:webHidden/>
              </w:rPr>
            </w:r>
            <w:r w:rsidR="003F032C">
              <w:rPr>
                <w:noProof/>
                <w:webHidden/>
              </w:rPr>
              <w:fldChar w:fldCharType="separate"/>
            </w:r>
            <w:r w:rsidR="003F032C">
              <w:rPr>
                <w:noProof/>
                <w:webHidden/>
              </w:rPr>
              <w:t>61</w:t>
            </w:r>
            <w:r w:rsidR="003F032C">
              <w:rPr>
                <w:noProof/>
                <w:webHidden/>
              </w:rPr>
              <w:fldChar w:fldCharType="end"/>
            </w:r>
          </w:hyperlink>
        </w:p>
        <w:p w:rsidR="003F032C" w:rsidRDefault="004E4E1D">
          <w:pPr>
            <w:pStyle w:val="TOC1"/>
            <w:rPr>
              <w:rFonts w:asciiTheme="minorHAnsi" w:eastAsiaTheme="minorEastAsia" w:hAnsiTheme="minorHAnsi" w:cstheme="minorBidi"/>
              <w:noProof/>
              <w:color w:val="auto"/>
              <w:sz w:val="22"/>
              <w:szCs w:val="22"/>
              <w:lang w:val="en-US" w:eastAsia="en-US"/>
            </w:rPr>
          </w:pPr>
          <w:hyperlink w:anchor="_Toc360981915" w:history="1">
            <w:r w:rsidR="003F032C" w:rsidRPr="00A06E87">
              <w:rPr>
                <w:rStyle w:val="Hyperlink"/>
                <w:noProof/>
              </w:rPr>
              <w:t>Annex 4: Actions taken to address 2009 APPR management consequence</w:t>
            </w:r>
            <w:r w:rsidR="003F032C">
              <w:rPr>
                <w:noProof/>
                <w:webHidden/>
              </w:rPr>
              <w:tab/>
            </w:r>
            <w:r w:rsidR="003F032C">
              <w:rPr>
                <w:noProof/>
                <w:webHidden/>
              </w:rPr>
              <w:fldChar w:fldCharType="begin"/>
            </w:r>
            <w:r w:rsidR="003F032C">
              <w:rPr>
                <w:noProof/>
                <w:webHidden/>
              </w:rPr>
              <w:instrText xml:space="preserve"> PAGEREF _Toc360981915 \h </w:instrText>
            </w:r>
            <w:r w:rsidR="003F032C">
              <w:rPr>
                <w:noProof/>
                <w:webHidden/>
              </w:rPr>
            </w:r>
            <w:r w:rsidR="003F032C">
              <w:rPr>
                <w:noProof/>
                <w:webHidden/>
              </w:rPr>
              <w:fldChar w:fldCharType="separate"/>
            </w:r>
            <w:r w:rsidR="003F032C">
              <w:rPr>
                <w:noProof/>
                <w:webHidden/>
              </w:rPr>
              <w:t>63</w:t>
            </w:r>
            <w:r w:rsidR="003F032C">
              <w:rPr>
                <w:noProof/>
                <w:webHidden/>
              </w:rPr>
              <w:fldChar w:fldCharType="end"/>
            </w:r>
          </w:hyperlink>
        </w:p>
        <w:p w:rsidR="003F032C" w:rsidRDefault="004E4E1D">
          <w:pPr>
            <w:pStyle w:val="TOC2"/>
            <w:rPr>
              <w:rFonts w:asciiTheme="minorHAnsi" w:eastAsiaTheme="minorEastAsia" w:hAnsiTheme="minorHAnsi" w:cstheme="minorBidi"/>
              <w:noProof/>
              <w:color w:val="auto"/>
              <w:sz w:val="22"/>
              <w:szCs w:val="22"/>
              <w:lang w:val="en-US" w:eastAsia="en-US"/>
            </w:rPr>
          </w:pPr>
          <w:hyperlink w:anchor="_Toc360981916" w:history="1">
            <w:r w:rsidR="003F032C" w:rsidRPr="00A06E87">
              <w:rPr>
                <w:rStyle w:val="Hyperlink"/>
                <w:noProof/>
              </w:rPr>
              <w:t>Rural livelihoods and agribu</w:t>
            </w:r>
            <w:r w:rsidR="003F032C">
              <w:rPr>
                <w:noProof/>
                <w:webHidden/>
              </w:rPr>
              <w:tab/>
            </w:r>
            <w:r w:rsidR="003F032C">
              <w:rPr>
                <w:noProof/>
                <w:webHidden/>
              </w:rPr>
              <w:fldChar w:fldCharType="begin"/>
            </w:r>
            <w:r w:rsidR="003F032C">
              <w:rPr>
                <w:noProof/>
                <w:webHidden/>
              </w:rPr>
              <w:instrText xml:space="preserve"> PAGEREF _Toc360981916 \h </w:instrText>
            </w:r>
            <w:r w:rsidR="003F032C">
              <w:rPr>
                <w:noProof/>
                <w:webHidden/>
              </w:rPr>
            </w:r>
            <w:r w:rsidR="003F032C">
              <w:rPr>
                <w:noProof/>
                <w:webHidden/>
              </w:rPr>
              <w:fldChar w:fldCharType="separate"/>
            </w:r>
            <w:r w:rsidR="003F032C">
              <w:rPr>
                <w:noProof/>
                <w:webHidden/>
              </w:rPr>
              <w:t>66</w:t>
            </w:r>
            <w:r w:rsidR="003F032C">
              <w:rPr>
                <w:noProof/>
                <w:webHidden/>
              </w:rPr>
              <w:fldChar w:fldCharType="end"/>
            </w:r>
          </w:hyperlink>
        </w:p>
        <w:p w:rsidR="003F032C" w:rsidRDefault="003F032C">
          <w:r>
            <w:rPr>
              <w:b/>
              <w:bCs/>
              <w:noProof/>
            </w:rPr>
            <w:fldChar w:fldCharType="end"/>
          </w:r>
        </w:p>
      </w:sdtContent>
    </w:sdt>
    <w:p w:rsidR="005A038B" w:rsidRDefault="005A038B">
      <w:pPr>
        <w:rPr>
          <w:rFonts w:ascii="Georgia" w:hAnsi="Georgia"/>
          <w:b/>
          <w:sz w:val="22"/>
          <w:szCs w:val="22"/>
        </w:rPr>
      </w:pPr>
      <w:r>
        <w:rPr>
          <w:rFonts w:ascii="Georgia" w:hAnsi="Georgia"/>
          <w:b/>
          <w:sz w:val="22"/>
          <w:szCs w:val="22"/>
        </w:rPr>
        <w:br w:type="page"/>
      </w:r>
    </w:p>
    <w:p w:rsidR="000F675B" w:rsidRDefault="000F675B" w:rsidP="00AD591F">
      <w:pPr>
        <w:pStyle w:val="H1A"/>
      </w:pPr>
      <w:r w:rsidRPr="00AD591F">
        <w:lastRenderedPageBreak/>
        <w:t>Abbreviations</w:t>
      </w:r>
      <w:r w:rsidRPr="000F675B">
        <w:t xml:space="preserve"> </w:t>
      </w:r>
    </w:p>
    <w:tbl>
      <w:tblPr>
        <w:tblW w:w="8392" w:type="dxa"/>
        <w:tblInd w:w="96" w:type="dxa"/>
        <w:tblLook w:val="0000" w:firstRow="0" w:lastRow="0" w:firstColumn="0" w:lastColumn="0" w:noHBand="0" w:noVBand="0"/>
      </w:tblPr>
      <w:tblGrid>
        <w:gridCol w:w="2172"/>
        <w:gridCol w:w="6220"/>
      </w:tblGrid>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A4DES</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Aid for Development Effectiveness Secretariat </w:t>
            </w:r>
          </w:p>
        </w:tc>
      </w:tr>
      <w:tr w:rsidR="00E4234C"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ACCESS</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place">
              <w:smartTag w:uri="urn:schemas-microsoft-com:office:smarttags" w:element="country-region">
                <w:r w:rsidRPr="002B0BC6">
                  <w:rPr>
                    <w:rFonts w:ascii="Georgia" w:hAnsi="Georgia" w:cs="Arial"/>
                    <w:sz w:val="19"/>
                    <w:szCs w:val="19"/>
                  </w:rPr>
                  <w:t>Australia</w:t>
                </w:r>
              </w:smartTag>
            </w:smartTag>
            <w:r w:rsidRPr="002B0BC6">
              <w:rPr>
                <w:rFonts w:ascii="Georgia" w:hAnsi="Georgia" w:cs="Arial"/>
                <w:sz w:val="19"/>
                <w:szCs w:val="19"/>
              </w:rPr>
              <w:t xml:space="preserve"> Community Development and Civil Society Strengthening Scheme</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ADS</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Australian Development Scholarship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AGO</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Attor</w:t>
            </w:r>
            <w:r w:rsidR="00E4234C">
              <w:rPr>
                <w:rFonts w:ascii="Georgia" w:hAnsi="Georgia" w:cs="Arial"/>
                <w:sz w:val="19"/>
                <w:szCs w:val="19"/>
              </w:rPr>
              <w:t>ne</w:t>
            </w:r>
            <w:r w:rsidRPr="002B0BC6">
              <w:rPr>
                <w:rFonts w:ascii="Georgia" w:hAnsi="Georgia" w:cs="Arial"/>
                <w:sz w:val="19"/>
                <w:szCs w:val="19"/>
              </w:rPr>
              <w:t xml:space="preserve">y General's Office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AIFDR</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country-region">
              <w:r w:rsidRPr="002B0BC6">
                <w:rPr>
                  <w:rFonts w:ascii="Georgia" w:hAnsi="Georgia" w:cs="Arial"/>
                  <w:sz w:val="19"/>
                  <w:szCs w:val="19"/>
                </w:rPr>
                <w:t>Australia</w:t>
              </w:r>
            </w:smartTag>
            <w:r w:rsidRPr="002B0BC6">
              <w:rPr>
                <w:rFonts w:ascii="Georgia" w:hAnsi="Georgia" w:cs="Arial"/>
                <w:sz w:val="19"/>
                <w:szCs w:val="19"/>
              </w:rPr>
              <w:t xml:space="preserve"> </w:t>
            </w:r>
            <w:smartTag w:uri="urn:schemas-microsoft-com:office:smarttags" w:element="place">
              <w:smartTag w:uri="urn:schemas-microsoft-com:office:smarttags" w:element="country-region">
                <w:r w:rsidRPr="002B0BC6">
                  <w:rPr>
                    <w:rFonts w:ascii="Georgia" w:hAnsi="Georgia" w:cs="Arial"/>
                    <w:sz w:val="19"/>
                    <w:szCs w:val="19"/>
                  </w:rPr>
                  <w:t>Indonesia</w:t>
                </w:r>
              </w:smartTag>
            </w:smartTag>
            <w:r w:rsidRPr="002B0BC6">
              <w:rPr>
                <w:rFonts w:ascii="Georgia" w:hAnsi="Georgia" w:cs="Arial"/>
                <w:sz w:val="19"/>
                <w:szCs w:val="19"/>
              </w:rPr>
              <w:t xml:space="preserve"> Partnership Facility for Disaster Reduction </w:t>
            </w:r>
          </w:p>
        </w:tc>
      </w:tr>
      <w:tr w:rsidR="002B0BC6" w:rsidRPr="002B0BC6" w:rsidTr="008645D5">
        <w:trPr>
          <w:trHeight w:val="403"/>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AIPEG</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country-region">
              <w:r w:rsidRPr="002B0BC6">
                <w:rPr>
                  <w:rFonts w:ascii="Georgia" w:hAnsi="Georgia" w:cs="Arial"/>
                  <w:sz w:val="19"/>
                  <w:szCs w:val="19"/>
                </w:rPr>
                <w:t>Australia</w:t>
              </w:r>
            </w:smartTag>
            <w:r w:rsidRPr="002B0BC6">
              <w:rPr>
                <w:rFonts w:ascii="Georgia" w:hAnsi="Georgia" w:cs="Arial"/>
                <w:sz w:val="19"/>
                <w:szCs w:val="19"/>
              </w:rPr>
              <w:t xml:space="preserve"> </w:t>
            </w:r>
            <w:smartTag w:uri="urn:schemas-microsoft-com:office:smarttags" w:element="place">
              <w:smartTag w:uri="urn:schemas-microsoft-com:office:smarttags" w:element="country-region">
                <w:r w:rsidRPr="002B0BC6">
                  <w:rPr>
                    <w:rFonts w:ascii="Georgia" w:hAnsi="Georgia" w:cs="Arial"/>
                    <w:sz w:val="19"/>
                    <w:szCs w:val="19"/>
                  </w:rPr>
                  <w:t>Indonesia</w:t>
                </w:r>
              </w:smartTag>
            </w:smartTag>
            <w:r w:rsidRPr="002B0BC6">
              <w:rPr>
                <w:rFonts w:ascii="Georgia" w:hAnsi="Georgia" w:cs="Arial"/>
                <w:sz w:val="19"/>
                <w:szCs w:val="19"/>
              </w:rPr>
              <w:t xml:space="preserve"> Partnership for Economic Governance Facility</w:t>
            </w:r>
          </w:p>
        </w:tc>
      </w:tr>
      <w:tr w:rsidR="0079192D" w:rsidRPr="002B0BC6" w:rsidTr="008645D5">
        <w:trPr>
          <w:trHeight w:val="403"/>
        </w:trPr>
        <w:tc>
          <w:tcPr>
            <w:tcW w:w="2172" w:type="dxa"/>
            <w:tcBorders>
              <w:top w:val="nil"/>
              <w:left w:val="nil"/>
              <w:bottom w:val="nil"/>
              <w:right w:val="nil"/>
            </w:tcBorders>
            <w:shd w:val="clear" w:color="auto" w:fill="auto"/>
          </w:tcPr>
          <w:p w:rsidR="0079192D" w:rsidRPr="002B0BC6" w:rsidRDefault="0079192D" w:rsidP="002B0BC6">
            <w:pPr>
              <w:rPr>
                <w:rFonts w:ascii="Georgia" w:hAnsi="Georgia" w:cs="Arial"/>
                <w:sz w:val="19"/>
                <w:szCs w:val="19"/>
              </w:rPr>
            </w:pPr>
            <w:r>
              <w:rPr>
                <w:rFonts w:ascii="Georgia" w:hAnsi="Georgia" w:cs="Arial"/>
                <w:sz w:val="19"/>
                <w:szCs w:val="19"/>
              </w:rPr>
              <w:t>AIPD</w:t>
            </w:r>
          </w:p>
        </w:tc>
        <w:tc>
          <w:tcPr>
            <w:tcW w:w="6220" w:type="dxa"/>
            <w:tcBorders>
              <w:top w:val="nil"/>
              <w:left w:val="nil"/>
              <w:bottom w:val="nil"/>
              <w:right w:val="nil"/>
            </w:tcBorders>
            <w:shd w:val="clear" w:color="auto" w:fill="auto"/>
          </w:tcPr>
          <w:p w:rsidR="0079192D" w:rsidRPr="002B0BC6" w:rsidRDefault="0079192D" w:rsidP="002B0BC6">
            <w:pPr>
              <w:rPr>
                <w:rFonts w:ascii="Georgia" w:hAnsi="Georgia" w:cs="Arial"/>
                <w:sz w:val="19"/>
                <w:szCs w:val="19"/>
              </w:rPr>
            </w:pPr>
            <w:smartTag w:uri="urn:schemas-microsoft-com:office:smarttags" w:element="country-region">
              <w:r>
                <w:rPr>
                  <w:rFonts w:ascii="Georgia" w:hAnsi="Georgia" w:cs="Arial"/>
                  <w:sz w:val="19"/>
                  <w:szCs w:val="19"/>
                </w:rPr>
                <w:t>Australia</w:t>
              </w:r>
            </w:smartTag>
            <w:r>
              <w:rPr>
                <w:rFonts w:ascii="Georgia" w:hAnsi="Georgia" w:cs="Arial"/>
                <w:sz w:val="19"/>
                <w:szCs w:val="19"/>
              </w:rPr>
              <w:t xml:space="preserve"> </w:t>
            </w:r>
            <w:smartTag w:uri="urn:schemas-microsoft-com:office:smarttags" w:element="place">
              <w:smartTag w:uri="urn:schemas-microsoft-com:office:smarttags" w:element="country-region">
                <w:r>
                  <w:rPr>
                    <w:rFonts w:ascii="Georgia" w:hAnsi="Georgia" w:cs="Arial"/>
                    <w:sz w:val="19"/>
                    <w:szCs w:val="19"/>
                  </w:rPr>
                  <w:t>Indonesia</w:t>
                </w:r>
              </w:smartTag>
            </w:smartTag>
            <w:r>
              <w:rPr>
                <w:rFonts w:ascii="Georgia" w:hAnsi="Georgia" w:cs="Arial"/>
                <w:sz w:val="19"/>
                <w:szCs w:val="19"/>
              </w:rPr>
              <w:t xml:space="preserve"> Partnership for Decentralisation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AIPMNH</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country-region">
              <w:r w:rsidRPr="002B0BC6">
                <w:rPr>
                  <w:rFonts w:ascii="Georgia" w:hAnsi="Georgia" w:cs="Arial"/>
                  <w:sz w:val="19"/>
                  <w:szCs w:val="19"/>
                </w:rPr>
                <w:t>Australia</w:t>
              </w:r>
            </w:smartTag>
            <w:r w:rsidRPr="002B0BC6">
              <w:rPr>
                <w:rFonts w:ascii="Georgia" w:hAnsi="Georgia" w:cs="Arial"/>
                <w:sz w:val="19"/>
                <w:szCs w:val="19"/>
              </w:rPr>
              <w:t xml:space="preserve"> </w:t>
            </w:r>
            <w:smartTag w:uri="urn:schemas-microsoft-com:office:smarttags" w:element="place">
              <w:smartTag w:uri="urn:schemas-microsoft-com:office:smarttags" w:element="country-region">
                <w:r w:rsidRPr="002B0BC6">
                  <w:rPr>
                    <w:rFonts w:ascii="Georgia" w:hAnsi="Georgia" w:cs="Arial"/>
                    <w:sz w:val="19"/>
                    <w:szCs w:val="19"/>
                  </w:rPr>
                  <w:t>Indonesia</w:t>
                </w:r>
              </w:smartTag>
            </w:smartTag>
            <w:r w:rsidRPr="002B0BC6">
              <w:rPr>
                <w:rFonts w:ascii="Georgia" w:hAnsi="Georgia" w:cs="Arial"/>
                <w:sz w:val="19"/>
                <w:szCs w:val="19"/>
              </w:rPr>
              <w:t xml:space="preserve"> </w:t>
            </w:r>
            <w:r w:rsidR="00E4234C" w:rsidRPr="002B0BC6">
              <w:rPr>
                <w:rFonts w:ascii="Georgia" w:hAnsi="Georgia" w:cs="Arial"/>
                <w:sz w:val="19"/>
                <w:szCs w:val="19"/>
              </w:rPr>
              <w:t>Partnership</w:t>
            </w:r>
            <w:r w:rsidRPr="002B0BC6">
              <w:rPr>
                <w:rFonts w:ascii="Georgia" w:hAnsi="Georgia" w:cs="Arial"/>
                <w:sz w:val="19"/>
                <w:szCs w:val="19"/>
              </w:rPr>
              <w:t xml:space="preserve"> for Maternal and Neonatal Health </w:t>
            </w:r>
          </w:p>
        </w:tc>
      </w:tr>
      <w:tr w:rsidR="002B0BC6" w:rsidRPr="002B0BC6" w:rsidTr="008645D5">
        <w:trPr>
          <w:trHeight w:val="403"/>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ANTARA</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place">
              <w:smartTag w:uri="urn:schemas-microsoft-com:office:smarttags" w:element="country-region">
                <w:r w:rsidRPr="002B0BC6">
                  <w:rPr>
                    <w:rFonts w:ascii="Georgia" w:hAnsi="Georgia" w:cs="Arial"/>
                    <w:sz w:val="19"/>
                    <w:szCs w:val="19"/>
                  </w:rPr>
                  <w:t>Australia</w:t>
                </w:r>
              </w:smartTag>
            </w:smartTag>
            <w:r w:rsidRPr="002B0BC6">
              <w:rPr>
                <w:rFonts w:ascii="Georgia" w:hAnsi="Georgia" w:cs="Arial"/>
                <w:sz w:val="19"/>
                <w:szCs w:val="19"/>
              </w:rPr>
              <w:t xml:space="preserve"> Nusa Tenggara Assistance for</w:t>
            </w:r>
            <w:r w:rsidR="00E4234C">
              <w:rPr>
                <w:rFonts w:ascii="Georgia" w:hAnsi="Georgia" w:cs="Arial"/>
                <w:sz w:val="19"/>
                <w:szCs w:val="19"/>
              </w:rPr>
              <w:t xml:space="preserve"> </w:t>
            </w:r>
            <w:r w:rsidRPr="002B0BC6">
              <w:rPr>
                <w:rFonts w:ascii="Georgia" w:hAnsi="Georgia" w:cs="Arial"/>
                <w:sz w:val="19"/>
                <w:szCs w:val="19"/>
              </w:rPr>
              <w:t>Regional Autonomy Program</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t>BaKTI</w:t>
            </w:r>
            <w:proofErr w:type="spellEnd"/>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place">
              <w:r w:rsidRPr="002B0BC6">
                <w:rPr>
                  <w:rFonts w:ascii="Georgia" w:hAnsi="Georgia" w:cs="Arial"/>
                  <w:sz w:val="19"/>
                  <w:szCs w:val="19"/>
                </w:rPr>
                <w:t>Eastern Indonesia</w:t>
              </w:r>
            </w:smartTag>
            <w:r w:rsidRPr="002B0BC6">
              <w:rPr>
                <w:rFonts w:ascii="Georgia" w:hAnsi="Georgia" w:cs="Arial"/>
                <w:sz w:val="19"/>
                <w:szCs w:val="19"/>
              </w:rPr>
              <w:t xml:space="preserve"> Knowledge Exchange</w:t>
            </w:r>
          </w:p>
        </w:tc>
      </w:tr>
      <w:tr w:rsidR="002B0BC6" w:rsidRPr="002B0BC6" w:rsidTr="008645D5">
        <w:trPr>
          <w:trHeight w:val="403"/>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BAPPEDA </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Provincial and District/Municipal Development Planning Agencies</w:t>
            </w: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B</w:t>
            </w:r>
            <w:r w:rsidR="00B877DF">
              <w:rPr>
                <w:rFonts w:ascii="Georgia" w:hAnsi="Georgia" w:cs="Arial"/>
                <w:sz w:val="19"/>
                <w:szCs w:val="19"/>
              </w:rPr>
              <w:t>APPENAS</w:t>
            </w:r>
            <w:r w:rsidRPr="002B0BC6">
              <w:rPr>
                <w:rFonts w:ascii="Georgia" w:hAnsi="Georgia" w:cs="Arial"/>
                <w:sz w:val="19"/>
                <w:szCs w:val="19"/>
              </w:rPr>
              <w:t xml:space="preserve"> </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i/>
                <w:iCs/>
                <w:sz w:val="19"/>
                <w:szCs w:val="19"/>
              </w:rPr>
            </w:pPr>
            <w:proofErr w:type="spellStart"/>
            <w:r w:rsidRPr="002B0BC6">
              <w:rPr>
                <w:rFonts w:ascii="Georgia" w:hAnsi="Georgia" w:cs="Arial"/>
                <w:i/>
                <w:iCs/>
                <w:sz w:val="19"/>
                <w:szCs w:val="19"/>
              </w:rPr>
              <w:t>Badan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Perencanaan</w:t>
            </w:r>
            <w:proofErr w:type="spellEnd"/>
            <w:r w:rsidRPr="002B0BC6">
              <w:rPr>
                <w:rFonts w:ascii="Georgia" w:hAnsi="Georgia" w:cs="Arial"/>
                <w:i/>
                <w:iCs/>
                <w:sz w:val="19"/>
                <w:szCs w:val="19"/>
              </w:rPr>
              <w:t xml:space="preserve"> Pembangunan </w:t>
            </w:r>
            <w:proofErr w:type="spellStart"/>
            <w:r w:rsidRPr="002B0BC6">
              <w:rPr>
                <w:rFonts w:ascii="Georgia" w:hAnsi="Georgia" w:cs="Arial"/>
                <w:i/>
                <w:iCs/>
                <w:sz w:val="19"/>
                <w:szCs w:val="19"/>
              </w:rPr>
              <w:t>Nasional</w:t>
            </w:r>
            <w:proofErr w:type="spellEnd"/>
            <w:r w:rsidRPr="002B0BC6">
              <w:rPr>
                <w:rFonts w:ascii="Georgia" w:hAnsi="Georgia" w:cs="Arial"/>
                <w:sz w:val="19"/>
                <w:szCs w:val="19"/>
              </w:rPr>
              <w:t>, the National Development Planning Agency</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BEP</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Basic Education Program </w:t>
            </w: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BNPB</w:t>
            </w:r>
          </w:p>
        </w:tc>
        <w:tc>
          <w:tcPr>
            <w:tcW w:w="6220" w:type="dxa"/>
            <w:tcBorders>
              <w:top w:val="nil"/>
              <w:left w:val="nil"/>
              <w:bottom w:val="nil"/>
              <w:right w:val="nil"/>
            </w:tcBorders>
            <w:shd w:val="clear" w:color="auto" w:fill="auto"/>
          </w:tcPr>
          <w:p w:rsidR="002B0BC6" w:rsidRPr="002B0BC6" w:rsidRDefault="002B0BC6" w:rsidP="002B0BC6">
            <w:pPr>
              <w:pBdr>
                <w:bottom w:val="single" w:sz="6" w:space="1" w:color="auto"/>
              </w:pBdr>
              <w:rPr>
                <w:rFonts w:ascii="Georgia" w:hAnsi="Georgia" w:cs="Arial"/>
                <w:vanish/>
                <w:sz w:val="19"/>
                <w:szCs w:val="19"/>
              </w:rPr>
            </w:pPr>
            <w:r w:rsidRPr="002B0BC6">
              <w:rPr>
                <w:rFonts w:ascii="Georgia" w:hAnsi="Georgia" w:cs="Arial"/>
                <w:vanish/>
                <w:sz w:val="19"/>
                <w:szCs w:val="19"/>
              </w:rPr>
              <w:t>Top of Form</w:t>
            </w:r>
          </w:p>
          <w:p w:rsidR="002B0BC6" w:rsidRPr="002B0BC6" w:rsidRDefault="002B0BC6" w:rsidP="002B0BC6">
            <w:pPr>
              <w:rPr>
                <w:rFonts w:ascii="Georgia" w:hAnsi="Georgia" w:cs="Arial"/>
                <w:i/>
                <w:iCs/>
                <w:sz w:val="19"/>
                <w:szCs w:val="19"/>
              </w:rPr>
            </w:pPr>
            <w:proofErr w:type="spellStart"/>
            <w:r w:rsidRPr="002B0BC6">
              <w:rPr>
                <w:rFonts w:ascii="Georgia" w:hAnsi="Georgia" w:cs="Arial"/>
                <w:i/>
                <w:iCs/>
                <w:sz w:val="19"/>
                <w:szCs w:val="19"/>
              </w:rPr>
              <w:t>Badan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Nasional</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Penanggulangan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Bencana</w:t>
            </w:r>
            <w:proofErr w:type="spellEnd"/>
            <w:r w:rsidRPr="002B0BC6">
              <w:rPr>
                <w:rFonts w:ascii="Georgia" w:hAnsi="Georgia" w:cs="Arial"/>
                <w:sz w:val="19"/>
                <w:szCs w:val="19"/>
              </w:rPr>
              <w:t xml:space="preserve">, National Coordinating Agency for Disaster </w:t>
            </w:r>
          </w:p>
          <w:p w:rsidR="002B0BC6" w:rsidRPr="002B0BC6" w:rsidRDefault="002B0BC6" w:rsidP="002B0BC6">
            <w:pPr>
              <w:pBdr>
                <w:top w:val="single" w:sz="6" w:space="1" w:color="auto"/>
              </w:pBdr>
              <w:rPr>
                <w:rFonts w:ascii="Georgia" w:hAnsi="Georgia" w:cs="Arial"/>
                <w:vanish/>
                <w:sz w:val="19"/>
                <w:szCs w:val="19"/>
              </w:rPr>
            </w:pPr>
            <w:r w:rsidRPr="002B0BC6">
              <w:rPr>
                <w:rFonts w:ascii="Georgia" w:hAnsi="Georgia" w:cs="Arial"/>
                <w:vanish/>
                <w:sz w:val="19"/>
                <w:szCs w:val="19"/>
              </w:rPr>
              <w:t>Bottom of Form</w:t>
            </w:r>
          </w:p>
          <w:p w:rsidR="002C2D4D" w:rsidRPr="002B0BC6" w:rsidRDefault="002C2D4D" w:rsidP="002B0BC6">
            <w:pPr>
              <w:rPr>
                <w:rFonts w:ascii="Georgia" w:hAnsi="Georgia"/>
                <w:sz w:val="19"/>
                <w:szCs w:val="19"/>
              </w:rPr>
            </w:pP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BSNP</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 National Education Standards Board</w:t>
            </w:r>
          </w:p>
        </w:tc>
      </w:tr>
      <w:tr w:rsidR="002B0BC6" w:rsidRPr="002B0BC6" w:rsidTr="008645D5">
        <w:trPr>
          <w:trHeight w:val="403"/>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COP16</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United Nations Climate Change Conference in </w:t>
            </w:r>
            <w:smartTag w:uri="urn:schemas-microsoft-com:office:smarttags" w:element="place">
              <w:smartTag w:uri="urn:schemas-microsoft-com:office:smarttags" w:element="City">
                <w:r w:rsidRPr="002B0BC6">
                  <w:rPr>
                    <w:rFonts w:ascii="Georgia" w:hAnsi="Georgia" w:cs="Arial"/>
                    <w:sz w:val="19"/>
                    <w:szCs w:val="19"/>
                  </w:rPr>
                  <w:t>Cancun</w:t>
                </w:r>
              </w:smartTag>
              <w:r w:rsidRPr="002B0BC6">
                <w:rPr>
                  <w:rFonts w:ascii="Georgia" w:hAnsi="Georgia" w:cs="Arial"/>
                  <w:sz w:val="19"/>
                  <w:szCs w:val="19"/>
                </w:rPr>
                <w:t xml:space="preserve">, </w:t>
              </w:r>
              <w:smartTag w:uri="urn:schemas-microsoft-com:office:smarttags" w:element="country-region">
                <w:r w:rsidRPr="002B0BC6">
                  <w:rPr>
                    <w:rFonts w:ascii="Georgia" w:hAnsi="Georgia" w:cs="Arial"/>
                    <w:sz w:val="19"/>
                    <w:szCs w:val="19"/>
                  </w:rPr>
                  <w:t>Mexico</w:t>
                </w:r>
              </w:smartTag>
            </w:smartTag>
            <w:r w:rsidRPr="002B0BC6">
              <w:rPr>
                <w:rFonts w:ascii="Georgia" w:hAnsi="Georgia" w:cs="Arial"/>
                <w:sz w:val="19"/>
                <w:szCs w:val="19"/>
              </w:rPr>
              <w:t xml:space="preserve"> 2010</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DGH</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Directorate General of Highways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ECBP</w:t>
            </w:r>
          </w:p>
        </w:tc>
        <w:tc>
          <w:tcPr>
            <w:tcW w:w="6220" w:type="dxa"/>
            <w:tcBorders>
              <w:top w:val="nil"/>
              <w:left w:val="nil"/>
              <w:bottom w:val="nil"/>
              <w:right w:val="nil"/>
            </w:tcBorders>
            <w:shd w:val="clear" w:color="auto" w:fill="auto"/>
          </w:tcPr>
          <w:p w:rsidR="002B0BC6" w:rsidRPr="002B0BC6" w:rsidRDefault="00E4234C" w:rsidP="002B0BC6">
            <w:pPr>
              <w:rPr>
                <w:rFonts w:ascii="Georgia" w:hAnsi="Georgia" w:cs="Arial"/>
                <w:sz w:val="19"/>
                <w:szCs w:val="19"/>
              </w:rPr>
            </w:pPr>
            <w:smartTag w:uri="urn:schemas-microsoft-com:office:smarttags" w:element="place">
              <w:smartTag w:uri="urn:schemas-microsoft-com:office:smarttags" w:element="PlaceName">
                <w:r w:rsidRPr="002B0BC6">
                  <w:rPr>
                    <w:rFonts w:ascii="Georgia" w:hAnsi="Georgia" w:cs="Arial"/>
                    <w:sz w:val="19"/>
                    <w:szCs w:val="19"/>
                  </w:rPr>
                  <w:t>Evaluation</w:t>
                </w:r>
              </w:smartTag>
              <w:r w:rsidR="002B0BC6" w:rsidRPr="002B0BC6">
                <w:rPr>
                  <w:rFonts w:ascii="Georgia" w:hAnsi="Georgia" w:cs="Arial"/>
                  <w:sz w:val="19"/>
                  <w:szCs w:val="19"/>
                </w:rPr>
                <w:t xml:space="preserve"> </w:t>
              </w:r>
              <w:smartTag w:uri="urn:schemas-microsoft-com:office:smarttags" w:element="PlaceName">
                <w:r w:rsidR="002B0BC6" w:rsidRPr="002B0BC6">
                  <w:rPr>
                    <w:rFonts w:ascii="Georgia" w:hAnsi="Georgia" w:cs="Arial"/>
                    <w:sz w:val="19"/>
                    <w:szCs w:val="19"/>
                  </w:rPr>
                  <w:t>Capacity</w:t>
                </w:r>
              </w:smartTag>
              <w:r w:rsidR="002B0BC6" w:rsidRPr="002B0BC6">
                <w:rPr>
                  <w:rFonts w:ascii="Georgia" w:hAnsi="Georgia" w:cs="Arial"/>
                  <w:sz w:val="19"/>
                  <w:szCs w:val="19"/>
                </w:rPr>
                <w:t xml:space="preserve"> </w:t>
              </w:r>
              <w:smartTag w:uri="urn:schemas-microsoft-com:office:smarttags" w:element="PlaceType">
                <w:r w:rsidR="002B0BC6" w:rsidRPr="002B0BC6">
                  <w:rPr>
                    <w:rFonts w:ascii="Georgia" w:hAnsi="Georgia" w:cs="Arial"/>
                    <w:sz w:val="19"/>
                    <w:szCs w:val="19"/>
                  </w:rPr>
                  <w:t>Building</w:t>
                </w:r>
              </w:smartTag>
            </w:smartTag>
            <w:r w:rsidR="002B0BC6" w:rsidRPr="002B0BC6">
              <w:rPr>
                <w:rFonts w:ascii="Georgia" w:hAnsi="Georgia" w:cs="Arial"/>
                <w:sz w:val="19"/>
                <w:szCs w:val="19"/>
              </w:rPr>
              <w:t xml:space="preserve"> Program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EINRIP</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Eastern </w:t>
            </w:r>
            <w:smartTag w:uri="urn:schemas-microsoft-com:office:smarttags" w:element="Street">
              <w:smartTag w:uri="urn:schemas-microsoft-com:office:smarttags" w:element="address">
                <w:r w:rsidRPr="002B0BC6">
                  <w:rPr>
                    <w:rFonts w:ascii="Georgia" w:hAnsi="Georgia" w:cs="Arial"/>
                    <w:sz w:val="19"/>
                    <w:szCs w:val="19"/>
                  </w:rPr>
                  <w:t>Indonesia National Road</w:t>
                </w:r>
              </w:smartTag>
            </w:smartTag>
            <w:r w:rsidRPr="002B0BC6">
              <w:rPr>
                <w:rFonts w:ascii="Georgia" w:hAnsi="Georgia" w:cs="Arial"/>
                <w:sz w:val="19"/>
                <w:szCs w:val="19"/>
              </w:rPr>
              <w:t xml:space="preserve"> Improvement Program </w:t>
            </w:r>
          </w:p>
        </w:tc>
      </w:tr>
      <w:tr w:rsidR="00612B0D" w:rsidRPr="002B0BC6" w:rsidTr="008645D5">
        <w:trPr>
          <w:trHeight w:val="402"/>
        </w:trPr>
        <w:tc>
          <w:tcPr>
            <w:tcW w:w="2172" w:type="dxa"/>
            <w:tcBorders>
              <w:top w:val="nil"/>
              <w:left w:val="nil"/>
              <w:bottom w:val="nil"/>
              <w:right w:val="nil"/>
            </w:tcBorders>
            <w:shd w:val="clear" w:color="auto" w:fill="auto"/>
          </w:tcPr>
          <w:p w:rsidR="00612B0D" w:rsidRPr="002B0BC6" w:rsidRDefault="00612B0D" w:rsidP="002B0BC6">
            <w:pPr>
              <w:rPr>
                <w:rFonts w:ascii="Georgia" w:hAnsi="Georgia" w:cs="Arial"/>
                <w:sz w:val="19"/>
                <w:szCs w:val="19"/>
              </w:rPr>
            </w:pPr>
            <w:r>
              <w:rPr>
                <w:rFonts w:ascii="Georgia" w:hAnsi="Georgia" w:cs="Arial"/>
                <w:sz w:val="19"/>
                <w:szCs w:val="19"/>
              </w:rPr>
              <w:t>ESP</w:t>
            </w:r>
          </w:p>
        </w:tc>
        <w:tc>
          <w:tcPr>
            <w:tcW w:w="6220" w:type="dxa"/>
            <w:tcBorders>
              <w:top w:val="nil"/>
              <w:left w:val="nil"/>
              <w:bottom w:val="nil"/>
              <w:right w:val="nil"/>
            </w:tcBorders>
            <w:shd w:val="clear" w:color="auto" w:fill="auto"/>
          </w:tcPr>
          <w:p w:rsidR="00612B0D" w:rsidRPr="002B0BC6" w:rsidRDefault="00612B0D" w:rsidP="002B0BC6">
            <w:pPr>
              <w:rPr>
                <w:rFonts w:ascii="Georgia" w:hAnsi="Georgia" w:cs="Arial"/>
                <w:sz w:val="19"/>
                <w:szCs w:val="19"/>
              </w:rPr>
            </w:pPr>
            <w:r w:rsidRPr="003D1563">
              <w:rPr>
                <w:rFonts w:ascii="Georgia" w:hAnsi="Georgia"/>
                <w:sz w:val="19"/>
                <w:szCs w:val="19"/>
              </w:rPr>
              <w:t>Education Support Program</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FPO </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Fiscal Policy Office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GENERASI</w:t>
            </w:r>
          </w:p>
        </w:tc>
        <w:tc>
          <w:tcPr>
            <w:tcW w:w="6220" w:type="dxa"/>
            <w:tcBorders>
              <w:top w:val="nil"/>
              <w:left w:val="nil"/>
              <w:bottom w:val="nil"/>
              <w:right w:val="nil"/>
            </w:tcBorders>
            <w:shd w:val="clear" w:color="auto" w:fill="auto"/>
          </w:tcPr>
          <w:p w:rsidR="002B0BC6" w:rsidRPr="002B0BC6" w:rsidRDefault="00663408" w:rsidP="002B0BC6">
            <w:pPr>
              <w:rPr>
                <w:rFonts w:ascii="Georgia" w:hAnsi="Georgia" w:cs="Arial"/>
                <w:sz w:val="19"/>
                <w:szCs w:val="19"/>
              </w:rPr>
            </w:pPr>
            <w:r>
              <w:rPr>
                <w:rFonts w:ascii="Georgia" w:hAnsi="Georgia" w:cs="Arial"/>
                <w:sz w:val="19"/>
                <w:szCs w:val="19"/>
              </w:rPr>
              <w:t>Component of PNPM</w:t>
            </w:r>
            <w:r w:rsidRPr="002B0BC6" w:rsidDel="00663408">
              <w:rPr>
                <w:rFonts w:ascii="Georgia" w:hAnsi="Georgia" w:cs="Arial"/>
                <w:sz w:val="19"/>
                <w:szCs w:val="19"/>
              </w:rPr>
              <w:t xml:space="preserve"> </w:t>
            </w:r>
            <w:r w:rsidR="002B0BC6" w:rsidRPr="002B0BC6">
              <w:rPr>
                <w:rFonts w:ascii="Georgia" w:hAnsi="Georgia" w:cs="Arial"/>
                <w:sz w:val="19"/>
                <w:szCs w:val="19"/>
              </w:rPr>
              <w:t xml:space="preserve">to improve health and education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GER</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Gross </w:t>
            </w:r>
            <w:r w:rsidR="00E4234C" w:rsidRPr="002B0BC6">
              <w:rPr>
                <w:rFonts w:ascii="Georgia" w:hAnsi="Georgia" w:cs="Arial"/>
                <w:sz w:val="19"/>
                <w:szCs w:val="19"/>
              </w:rPr>
              <w:t>Enrolment</w:t>
            </w:r>
            <w:r w:rsidRPr="002B0BC6">
              <w:rPr>
                <w:rFonts w:ascii="Georgia" w:hAnsi="Georgia" w:cs="Arial"/>
                <w:sz w:val="19"/>
                <w:szCs w:val="19"/>
              </w:rPr>
              <w:t xml:space="preserve"> Rate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t>GoI</w:t>
            </w:r>
            <w:proofErr w:type="spellEnd"/>
            <w:r w:rsidRPr="002B0BC6">
              <w:rPr>
                <w:rFonts w:ascii="Georgia" w:hAnsi="Georgia" w:cs="Arial"/>
                <w:sz w:val="19"/>
                <w:szCs w:val="19"/>
              </w:rPr>
              <w:t xml:space="preserve"> </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Government of </w:t>
            </w:r>
            <w:smartTag w:uri="urn:schemas-microsoft-com:office:smarttags" w:element="place">
              <w:smartTag w:uri="urn:schemas-microsoft-com:office:smarttags" w:element="country-region">
                <w:r w:rsidRPr="002B0BC6">
                  <w:rPr>
                    <w:rFonts w:ascii="Georgia" w:hAnsi="Georgia" w:cs="Arial"/>
                    <w:sz w:val="19"/>
                    <w:szCs w:val="19"/>
                  </w:rPr>
                  <w:t>Indonesia</w:t>
                </w:r>
              </w:smartTag>
            </w:smartTag>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GPF</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Government Partnership Fund</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HSS</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Health System Strengthening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IAFCP</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place">
              <w:smartTag w:uri="urn:schemas-microsoft-com:office:smarttags" w:element="PlaceName">
                <w:r w:rsidRPr="002B0BC6">
                  <w:rPr>
                    <w:rFonts w:ascii="Georgia" w:hAnsi="Georgia" w:cs="Arial"/>
                    <w:sz w:val="19"/>
                    <w:szCs w:val="19"/>
                  </w:rPr>
                  <w:t>Indonesia-Australia</w:t>
                </w:r>
              </w:smartTag>
              <w:r w:rsidRPr="002B0BC6">
                <w:rPr>
                  <w:rFonts w:ascii="Georgia" w:hAnsi="Georgia" w:cs="Arial"/>
                  <w:sz w:val="19"/>
                  <w:szCs w:val="19"/>
                </w:rPr>
                <w:t xml:space="preserve"> </w:t>
              </w:r>
              <w:smartTag w:uri="urn:schemas-microsoft-com:office:smarttags" w:element="PlaceType">
                <w:r w:rsidRPr="002B0BC6">
                  <w:rPr>
                    <w:rFonts w:ascii="Georgia" w:hAnsi="Georgia" w:cs="Arial"/>
                    <w:sz w:val="19"/>
                    <w:szCs w:val="19"/>
                  </w:rPr>
                  <w:t>Forest</w:t>
                </w:r>
              </w:smartTag>
            </w:smartTag>
            <w:r w:rsidRPr="002B0BC6">
              <w:rPr>
                <w:rFonts w:ascii="Georgia" w:hAnsi="Georgia" w:cs="Arial"/>
                <w:sz w:val="19"/>
                <w:szCs w:val="19"/>
              </w:rPr>
              <w:t xml:space="preserve"> Carbon Partnership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ICCTF</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place">
              <w:smartTag w:uri="urn:schemas-microsoft-com:office:smarttags" w:element="country-region">
                <w:r w:rsidRPr="002B0BC6">
                  <w:rPr>
                    <w:rFonts w:ascii="Georgia" w:hAnsi="Georgia" w:cs="Arial"/>
                    <w:sz w:val="19"/>
                    <w:szCs w:val="19"/>
                  </w:rPr>
                  <w:t>Indonesia</w:t>
                </w:r>
              </w:smartTag>
            </w:smartTag>
            <w:r w:rsidRPr="002B0BC6">
              <w:rPr>
                <w:rFonts w:ascii="Georgia" w:hAnsi="Georgia" w:cs="Arial"/>
                <w:sz w:val="19"/>
                <w:szCs w:val="19"/>
              </w:rPr>
              <w:t xml:space="preserve"> Climate Change Trust Fund </w:t>
            </w:r>
          </w:p>
        </w:tc>
      </w:tr>
      <w:tr w:rsidR="00301A7B" w:rsidRPr="002B0BC6" w:rsidTr="008645D5">
        <w:trPr>
          <w:trHeight w:val="402"/>
        </w:trPr>
        <w:tc>
          <w:tcPr>
            <w:tcW w:w="2172" w:type="dxa"/>
            <w:tcBorders>
              <w:top w:val="nil"/>
              <w:left w:val="nil"/>
              <w:bottom w:val="nil"/>
              <w:right w:val="nil"/>
            </w:tcBorders>
            <w:shd w:val="clear" w:color="auto" w:fill="auto"/>
          </w:tcPr>
          <w:p w:rsidR="00301A7B" w:rsidRPr="00301A7B" w:rsidRDefault="00301A7B" w:rsidP="002B0BC6">
            <w:pPr>
              <w:rPr>
                <w:rFonts w:ascii="Georgia" w:hAnsi="Georgia" w:cs="Arial"/>
                <w:sz w:val="19"/>
                <w:szCs w:val="19"/>
              </w:rPr>
            </w:pPr>
            <w:r w:rsidRPr="00301A7B">
              <w:rPr>
                <w:rFonts w:ascii="Georgia" w:hAnsi="Georgia" w:cs="Arial"/>
                <w:sz w:val="19"/>
                <w:szCs w:val="19"/>
              </w:rPr>
              <w:t>ISP3</w:t>
            </w:r>
          </w:p>
        </w:tc>
        <w:tc>
          <w:tcPr>
            <w:tcW w:w="6220" w:type="dxa"/>
            <w:tcBorders>
              <w:top w:val="nil"/>
              <w:left w:val="nil"/>
              <w:bottom w:val="nil"/>
              <w:right w:val="nil"/>
            </w:tcBorders>
            <w:shd w:val="clear" w:color="auto" w:fill="auto"/>
          </w:tcPr>
          <w:p w:rsidR="00301A7B" w:rsidRPr="00301A7B" w:rsidRDefault="00301A7B" w:rsidP="00301A7B">
            <w:pPr>
              <w:rPr>
                <w:rFonts w:ascii="Georgia" w:hAnsi="Georgia" w:cs="Arial"/>
                <w:sz w:val="19"/>
                <w:szCs w:val="19"/>
              </w:rPr>
            </w:pPr>
            <w:smartTag w:uri="urn:schemas-microsoft-com:office:smarttags" w:element="place">
              <w:smartTag w:uri="urn:schemas-microsoft-com:office:smarttags" w:element="country-region">
                <w:r w:rsidRPr="00301A7B">
                  <w:rPr>
                    <w:rFonts w:ascii="Georgia" w:hAnsi="Georgia"/>
                    <w:bCs/>
                    <w:sz w:val="19"/>
                    <w:szCs w:val="19"/>
                  </w:rPr>
                  <w:t>Indonesia</w:t>
                </w:r>
              </w:smartTag>
            </w:smartTag>
            <w:r w:rsidRPr="00301A7B">
              <w:rPr>
                <w:rFonts w:ascii="Georgia" w:hAnsi="Georgia"/>
                <w:bCs/>
                <w:sz w:val="19"/>
                <w:szCs w:val="19"/>
              </w:rPr>
              <w:t xml:space="preserve"> Strengthening Public Procurement Program</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lastRenderedPageBreak/>
              <w:t>IndII</w:t>
            </w:r>
            <w:proofErr w:type="spellEnd"/>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place">
              <w:smartTag w:uri="urn:schemas-microsoft-com:office:smarttags" w:element="country-region">
                <w:r w:rsidRPr="002B0BC6">
                  <w:rPr>
                    <w:rFonts w:ascii="Georgia" w:hAnsi="Georgia" w:cs="Arial"/>
                    <w:sz w:val="19"/>
                    <w:szCs w:val="19"/>
                  </w:rPr>
                  <w:t>Indonesia</w:t>
                </w:r>
              </w:smartTag>
            </w:smartTag>
            <w:r w:rsidRPr="002B0BC6">
              <w:rPr>
                <w:rFonts w:ascii="Georgia" w:hAnsi="Georgia" w:cs="Arial"/>
                <w:sz w:val="19"/>
                <w:szCs w:val="19"/>
              </w:rPr>
              <w:t xml:space="preserve"> Infrastructure Initiative</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t>JiKTI</w:t>
            </w:r>
            <w:proofErr w:type="spellEnd"/>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Eastern </w:t>
            </w:r>
            <w:r w:rsidR="00E4234C" w:rsidRPr="002B0BC6">
              <w:rPr>
                <w:rFonts w:ascii="Georgia" w:hAnsi="Georgia" w:cs="Arial"/>
                <w:sz w:val="19"/>
                <w:szCs w:val="19"/>
              </w:rPr>
              <w:t>Indonesia</w:t>
            </w:r>
            <w:r w:rsidRPr="002B0BC6">
              <w:rPr>
                <w:rFonts w:ascii="Georgia" w:hAnsi="Georgia" w:cs="Arial"/>
                <w:sz w:val="19"/>
                <w:szCs w:val="19"/>
              </w:rPr>
              <w:t xml:space="preserve"> </w:t>
            </w:r>
            <w:r w:rsidR="00E4234C" w:rsidRPr="002B0BC6">
              <w:rPr>
                <w:rFonts w:ascii="Georgia" w:hAnsi="Georgia" w:cs="Arial"/>
                <w:sz w:val="19"/>
                <w:szCs w:val="19"/>
              </w:rPr>
              <w:t>Research’s</w:t>
            </w:r>
            <w:r w:rsidRPr="002B0BC6">
              <w:rPr>
                <w:rFonts w:ascii="Georgia" w:hAnsi="Georgia" w:cs="Arial"/>
                <w:sz w:val="19"/>
                <w:szCs w:val="19"/>
              </w:rPr>
              <w:t xml:space="preserve"> Network </w:t>
            </w: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KPPOD</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i/>
                <w:iCs/>
                <w:sz w:val="19"/>
                <w:szCs w:val="19"/>
              </w:rPr>
            </w:pPr>
            <w:proofErr w:type="spellStart"/>
            <w:r w:rsidRPr="002B0BC6">
              <w:rPr>
                <w:rFonts w:ascii="Georgia" w:hAnsi="Georgia" w:cs="Arial"/>
                <w:i/>
                <w:iCs/>
                <w:sz w:val="19"/>
                <w:szCs w:val="19"/>
              </w:rPr>
              <w:t>Komite</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Pemantauan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Pelaksanaan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Otonomi</w:t>
            </w:r>
            <w:proofErr w:type="spellEnd"/>
            <w:r w:rsidRPr="002B0BC6">
              <w:rPr>
                <w:rFonts w:ascii="Georgia" w:hAnsi="Georgia" w:cs="Arial"/>
                <w:i/>
                <w:iCs/>
                <w:sz w:val="19"/>
                <w:szCs w:val="19"/>
              </w:rPr>
              <w:t xml:space="preserve"> Daerah</w:t>
            </w:r>
            <w:r w:rsidRPr="002B0BC6">
              <w:rPr>
                <w:rFonts w:ascii="Georgia" w:hAnsi="Georgia" w:cs="Arial"/>
                <w:sz w:val="19"/>
                <w:szCs w:val="19"/>
              </w:rPr>
              <w:t xml:space="preserve">, </w:t>
            </w:r>
            <w:r w:rsidR="00297B6E">
              <w:rPr>
                <w:rFonts w:ascii="Georgia" w:hAnsi="Georgia" w:cs="Arial"/>
                <w:sz w:val="19"/>
                <w:szCs w:val="19"/>
              </w:rPr>
              <w:t>R</w:t>
            </w:r>
            <w:r w:rsidRPr="002B0BC6">
              <w:rPr>
                <w:rFonts w:ascii="Georgia" w:hAnsi="Georgia" w:cs="Arial"/>
                <w:sz w:val="19"/>
                <w:szCs w:val="19"/>
              </w:rPr>
              <w:t xml:space="preserve">egional </w:t>
            </w:r>
            <w:r w:rsidR="00297B6E">
              <w:rPr>
                <w:rFonts w:ascii="Georgia" w:hAnsi="Georgia" w:cs="Arial"/>
                <w:sz w:val="19"/>
                <w:szCs w:val="19"/>
              </w:rPr>
              <w:t>A</w:t>
            </w:r>
            <w:r w:rsidRPr="002B0BC6">
              <w:rPr>
                <w:rFonts w:ascii="Georgia" w:hAnsi="Georgia" w:cs="Arial"/>
                <w:sz w:val="19"/>
                <w:szCs w:val="19"/>
              </w:rPr>
              <w:t xml:space="preserve">utonomy </w:t>
            </w:r>
            <w:r w:rsidR="00297B6E">
              <w:rPr>
                <w:rFonts w:ascii="Georgia" w:hAnsi="Georgia" w:cs="Arial"/>
                <w:sz w:val="19"/>
                <w:szCs w:val="19"/>
              </w:rPr>
              <w:t>W</w:t>
            </w:r>
            <w:r w:rsidRPr="002B0BC6">
              <w:rPr>
                <w:rFonts w:ascii="Georgia" w:hAnsi="Georgia" w:cs="Arial"/>
                <w:sz w:val="19"/>
                <w:szCs w:val="19"/>
              </w:rPr>
              <w:t xml:space="preserve">atch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LAPIS</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Learning Assistance Program in Islamic Schools </w:t>
            </w: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LOGICA</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Local Governance and Infrastructure for Communities in Aceh Program</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Madrasah </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Islamic Schools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MDGs</w:t>
            </w:r>
          </w:p>
        </w:tc>
        <w:tc>
          <w:tcPr>
            <w:tcW w:w="6220" w:type="dxa"/>
            <w:tcBorders>
              <w:top w:val="nil"/>
              <w:left w:val="nil"/>
              <w:bottom w:val="nil"/>
              <w:right w:val="nil"/>
            </w:tcBorders>
            <w:shd w:val="clear" w:color="auto" w:fill="auto"/>
          </w:tcPr>
          <w:p w:rsidR="002B0BC6" w:rsidRPr="002B0BC6" w:rsidRDefault="00E4234C" w:rsidP="002B0BC6">
            <w:pPr>
              <w:rPr>
                <w:rFonts w:ascii="Georgia" w:hAnsi="Georgia" w:cs="Arial"/>
                <w:sz w:val="19"/>
                <w:szCs w:val="19"/>
              </w:rPr>
            </w:pPr>
            <w:r w:rsidRPr="002B0BC6">
              <w:rPr>
                <w:rFonts w:ascii="Georgia" w:hAnsi="Georgia" w:cs="Arial"/>
                <w:sz w:val="19"/>
                <w:szCs w:val="19"/>
              </w:rPr>
              <w:t>Millennium</w:t>
            </w:r>
            <w:r w:rsidR="002B0BC6" w:rsidRPr="002B0BC6">
              <w:rPr>
                <w:rFonts w:ascii="Georgia" w:hAnsi="Georgia" w:cs="Arial"/>
                <w:sz w:val="19"/>
                <w:szCs w:val="19"/>
              </w:rPr>
              <w:t xml:space="preserve"> Development Goals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MENKOKESRA</w:t>
            </w:r>
          </w:p>
        </w:tc>
        <w:tc>
          <w:tcPr>
            <w:tcW w:w="6220" w:type="dxa"/>
            <w:tcBorders>
              <w:top w:val="nil"/>
              <w:left w:val="nil"/>
              <w:bottom w:val="nil"/>
              <w:right w:val="nil"/>
            </w:tcBorders>
            <w:shd w:val="clear" w:color="auto" w:fill="auto"/>
          </w:tcPr>
          <w:p w:rsidR="002B0BC6" w:rsidRPr="002B0BC6" w:rsidRDefault="00663408" w:rsidP="002B0BC6">
            <w:pPr>
              <w:rPr>
                <w:rFonts w:ascii="Georgia" w:hAnsi="Georgia" w:cs="Arial"/>
                <w:sz w:val="19"/>
                <w:szCs w:val="19"/>
              </w:rPr>
            </w:pPr>
            <w:r w:rsidRPr="002B0BC6">
              <w:rPr>
                <w:rFonts w:ascii="Georgia" w:hAnsi="Georgia" w:cs="Arial"/>
                <w:sz w:val="19"/>
                <w:szCs w:val="19"/>
              </w:rPr>
              <w:t>Coordinating</w:t>
            </w:r>
            <w:r w:rsidR="002B0BC6" w:rsidRPr="002B0BC6">
              <w:rPr>
                <w:rFonts w:ascii="Georgia" w:hAnsi="Georgia" w:cs="Arial"/>
                <w:sz w:val="19"/>
                <w:szCs w:val="19"/>
              </w:rPr>
              <w:t xml:space="preserve"> Ministry for Social Welfare </w:t>
            </w: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MKPP+</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150486">
              <w:rPr>
                <w:rFonts w:ascii="Georgia" w:hAnsi="Georgia" w:cs="Arial"/>
                <w:i/>
                <w:sz w:val="19"/>
                <w:szCs w:val="19"/>
              </w:rPr>
              <w:t>Matriks</w:t>
            </w:r>
            <w:proofErr w:type="spellEnd"/>
            <w:r w:rsidRPr="00150486">
              <w:rPr>
                <w:rFonts w:ascii="Georgia" w:hAnsi="Georgia" w:cs="Arial"/>
                <w:i/>
                <w:sz w:val="19"/>
                <w:szCs w:val="19"/>
              </w:rPr>
              <w:t xml:space="preserve"> </w:t>
            </w:r>
            <w:proofErr w:type="spellStart"/>
            <w:r w:rsidRPr="00150486">
              <w:rPr>
                <w:rFonts w:ascii="Georgia" w:hAnsi="Georgia" w:cs="Arial"/>
                <w:i/>
                <w:sz w:val="19"/>
                <w:szCs w:val="19"/>
              </w:rPr>
              <w:t>Koordinasi</w:t>
            </w:r>
            <w:proofErr w:type="spellEnd"/>
            <w:r w:rsidRPr="00150486">
              <w:rPr>
                <w:rFonts w:ascii="Georgia" w:hAnsi="Georgia" w:cs="Arial"/>
                <w:i/>
                <w:sz w:val="19"/>
                <w:szCs w:val="19"/>
              </w:rPr>
              <w:t xml:space="preserve"> </w:t>
            </w:r>
            <w:proofErr w:type="spellStart"/>
            <w:r w:rsidRPr="00150486">
              <w:rPr>
                <w:rFonts w:ascii="Georgia" w:hAnsi="Georgia" w:cs="Arial"/>
                <w:i/>
                <w:sz w:val="19"/>
                <w:szCs w:val="19"/>
              </w:rPr>
              <w:t>Perencanaan</w:t>
            </w:r>
            <w:proofErr w:type="spellEnd"/>
            <w:r w:rsidRPr="00150486">
              <w:rPr>
                <w:rFonts w:ascii="Georgia" w:hAnsi="Georgia" w:cs="Arial"/>
                <w:i/>
                <w:sz w:val="19"/>
                <w:szCs w:val="19"/>
              </w:rPr>
              <w:t xml:space="preserve"> </w:t>
            </w:r>
            <w:proofErr w:type="spellStart"/>
            <w:r w:rsidRPr="00150486">
              <w:rPr>
                <w:rFonts w:ascii="Georgia" w:hAnsi="Georgia" w:cs="Arial"/>
                <w:i/>
                <w:sz w:val="19"/>
                <w:szCs w:val="19"/>
              </w:rPr>
              <w:t>dan</w:t>
            </w:r>
            <w:proofErr w:type="spellEnd"/>
            <w:r w:rsidRPr="00150486">
              <w:rPr>
                <w:rFonts w:ascii="Georgia" w:hAnsi="Georgia" w:cs="Arial"/>
                <w:i/>
                <w:sz w:val="19"/>
                <w:szCs w:val="19"/>
              </w:rPr>
              <w:t xml:space="preserve"> </w:t>
            </w:r>
            <w:proofErr w:type="spellStart"/>
            <w:r w:rsidRPr="00150486">
              <w:rPr>
                <w:rFonts w:ascii="Georgia" w:hAnsi="Georgia" w:cs="Arial"/>
                <w:i/>
                <w:sz w:val="19"/>
                <w:szCs w:val="19"/>
              </w:rPr>
              <w:t>Penganggaran</w:t>
            </w:r>
            <w:proofErr w:type="spellEnd"/>
            <w:r w:rsidRPr="002B0BC6">
              <w:rPr>
                <w:rFonts w:ascii="Georgia" w:hAnsi="Georgia" w:cs="Arial"/>
                <w:sz w:val="19"/>
                <w:szCs w:val="19"/>
              </w:rPr>
              <w:t xml:space="preserve">, the tool for consolidating </w:t>
            </w:r>
            <w:r w:rsidR="00E4234C" w:rsidRPr="002B0BC6">
              <w:rPr>
                <w:rFonts w:ascii="Georgia" w:hAnsi="Georgia" w:cs="Arial"/>
                <w:sz w:val="19"/>
                <w:szCs w:val="19"/>
              </w:rPr>
              <w:t>documents</w:t>
            </w:r>
            <w:r w:rsidRPr="002B0BC6">
              <w:rPr>
                <w:rFonts w:ascii="Georgia" w:hAnsi="Georgia" w:cs="Arial"/>
                <w:sz w:val="19"/>
                <w:szCs w:val="19"/>
              </w:rPr>
              <w:t xml:space="preserve"> </w:t>
            </w:r>
            <w:r w:rsidR="00E4234C" w:rsidRPr="002B0BC6">
              <w:rPr>
                <w:rFonts w:ascii="Georgia" w:hAnsi="Georgia" w:cs="Arial"/>
                <w:sz w:val="19"/>
                <w:szCs w:val="19"/>
              </w:rPr>
              <w:t>related</w:t>
            </w:r>
            <w:r w:rsidRPr="002B0BC6">
              <w:rPr>
                <w:rFonts w:ascii="Georgia" w:hAnsi="Georgia" w:cs="Arial"/>
                <w:sz w:val="19"/>
                <w:szCs w:val="19"/>
              </w:rPr>
              <w:t xml:space="preserve"> to planning and </w:t>
            </w:r>
            <w:r w:rsidR="00E4234C" w:rsidRPr="002B0BC6">
              <w:rPr>
                <w:rFonts w:ascii="Georgia" w:hAnsi="Georgia" w:cs="Arial"/>
                <w:sz w:val="19"/>
                <w:szCs w:val="19"/>
              </w:rPr>
              <w:t>begetting</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t>MoH</w:t>
            </w:r>
            <w:proofErr w:type="spellEnd"/>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Ministry of Health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t>MoHA</w:t>
            </w:r>
            <w:proofErr w:type="spellEnd"/>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Ministry of Home Affairs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t>MoNE</w:t>
            </w:r>
            <w:proofErr w:type="spellEnd"/>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Ministry of National Education</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proofErr w:type="spellStart"/>
            <w:r w:rsidRPr="002B0BC6">
              <w:rPr>
                <w:rFonts w:ascii="Georgia" w:hAnsi="Georgia" w:cs="Arial"/>
                <w:sz w:val="19"/>
                <w:szCs w:val="19"/>
              </w:rPr>
              <w:t>MoT</w:t>
            </w:r>
            <w:proofErr w:type="spellEnd"/>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Ministry of Transport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NTB</w:t>
            </w:r>
          </w:p>
        </w:tc>
        <w:tc>
          <w:tcPr>
            <w:tcW w:w="6220" w:type="dxa"/>
            <w:tcBorders>
              <w:top w:val="nil"/>
              <w:left w:val="nil"/>
              <w:bottom w:val="nil"/>
              <w:right w:val="nil"/>
            </w:tcBorders>
            <w:shd w:val="clear" w:color="auto" w:fill="auto"/>
          </w:tcPr>
          <w:p w:rsidR="002B0BC6" w:rsidRPr="002B0BC6" w:rsidRDefault="006A434B" w:rsidP="002B0BC6">
            <w:pPr>
              <w:rPr>
                <w:rFonts w:ascii="Georgia" w:hAnsi="Georgia" w:cs="Arial"/>
                <w:sz w:val="19"/>
                <w:szCs w:val="19"/>
              </w:rPr>
            </w:pPr>
            <w:r w:rsidRPr="006A434B">
              <w:rPr>
                <w:rFonts w:ascii="Georgia" w:hAnsi="Georgia" w:cs="Arial"/>
                <w:i/>
                <w:sz w:val="19"/>
                <w:szCs w:val="19"/>
              </w:rPr>
              <w:t xml:space="preserve">Nusa Tenggara </w:t>
            </w:r>
            <w:r>
              <w:rPr>
                <w:rFonts w:ascii="Georgia" w:hAnsi="Georgia" w:cs="Arial"/>
                <w:i/>
                <w:sz w:val="19"/>
                <w:szCs w:val="19"/>
              </w:rPr>
              <w:t>Barat</w:t>
            </w:r>
            <w:r w:rsidRPr="006A434B">
              <w:rPr>
                <w:rFonts w:ascii="Georgia" w:hAnsi="Georgia" w:cs="Arial"/>
                <w:i/>
                <w:sz w:val="19"/>
                <w:szCs w:val="19"/>
              </w:rPr>
              <w:t>,</w:t>
            </w:r>
            <w:r>
              <w:rPr>
                <w:rFonts w:ascii="Georgia" w:hAnsi="Georgia" w:cs="Arial"/>
                <w:sz w:val="19"/>
                <w:szCs w:val="19"/>
              </w:rPr>
              <w:t xml:space="preserve"> the </w:t>
            </w:r>
            <w:smartTag w:uri="urn:schemas-microsoft-com:office:smarttags" w:element="place">
              <w:smartTag w:uri="urn:schemas-microsoft-com:office:smarttags" w:element="PlaceType">
                <w:r>
                  <w:rPr>
                    <w:rFonts w:ascii="Georgia" w:hAnsi="Georgia" w:cs="Arial"/>
                    <w:sz w:val="19"/>
                    <w:szCs w:val="19"/>
                  </w:rPr>
                  <w:t>p</w:t>
                </w:r>
                <w:r w:rsidR="002B0BC6" w:rsidRPr="002B0BC6">
                  <w:rPr>
                    <w:rFonts w:ascii="Georgia" w:hAnsi="Georgia" w:cs="Arial"/>
                    <w:sz w:val="19"/>
                    <w:szCs w:val="19"/>
                  </w:rPr>
                  <w:t>rovince</w:t>
                </w:r>
              </w:smartTag>
              <w:r w:rsidR="002B0BC6" w:rsidRPr="002B0BC6">
                <w:rPr>
                  <w:rFonts w:ascii="Georgia" w:hAnsi="Georgia" w:cs="Arial"/>
                  <w:sz w:val="19"/>
                  <w:szCs w:val="19"/>
                </w:rPr>
                <w:t xml:space="preserve"> of </w:t>
              </w:r>
              <w:smartTag w:uri="urn:schemas-microsoft-com:office:smarttags" w:element="PlaceName">
                <w:r w:rsidR="002B0BC6" w:rsidRPr="002B0BC6">
                  <w:rPr>
                    <w:rFonts w:ascii="Georgia" w:hAnsi="Georgia" w:cs="Arial"/>
                    <w:sz w:val="19"/>
                    <w:szCs w:val="19"/>
                  </w:rPr>
                  <w:t>West Nusa Tenggara</w:t>
                </w:r>
              </w:smartTag>
            </w:smartTag>
            <w:r w:rsidR="002B0BC6" w:rsidRPr="002B0BC6">
              <w:rPr>
                <w:rFonts w:ascii="Georgia" w:hAnsi="Georgia" w:cs="Arial"/>
                <w:sz w:val="19"/>
                <w:szCs w:val="19"/>
              </w:rPr>
              <w:t xml:space="preserve">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NTT</w:t>
            </w:r>
          </w:p>
        </w:tc>
        <w:tc>
          <w:tcPr>
            <w:tcW w:w="6220" w:type="dxa"/>
            <w:tcBorders>
              <w:top w:val="nil"/>
              <w:left w:val="nil"/>
              <w:bottom w:val="nil"/>
              <w:right w:val="nil"/>
            </w:tcBorders>
            <w:shd w:val="clear" w:color="auto" w:fill="auto"/>
          </w:tcPr>
          <w:p w:rsidR="002B0BC6" w:rsidRPr="002B0BC6" w:rsidRDefault="006A434B" w:rsidP="002B0BC6">
            <w:pPr>
              <w:rPr>
                <w:rFonts w:ascii="Georgia" w:hAnsi="Georgia" w:cs="Arial"/>
                <w:sz w:val="19"/>
                <w:szCs w:val="19"/>
              </w:rPr>
            </w:pPr>
            <w:r w:rsidRPr="006A434B">
              <w:rPr>
                <w:rFonts w:ascii="Georgia" w:hAnsi="Georgia" w:cs="Arial"/>
                <w:i/>
                <w:sz w:val="19"/>
                <w:szCs w:val="19"/>
              </w:rPr>
              <w:t xml:space="preserve">Nusa Tenggara </w:t>
            </w:r>
            <w:proofErr w:type="spellStart"/>
            <w:r>
              <w:rPr>
                <w:rFonts w:ascii="Georgia" w:hAnsi="Georgia" w:cs="Arial"/>
                <w:i/>
                <w:sz w:val="19"/>
                <w:szCs w:val="19"/>
              </w:rPr>
              <w:t>Timur</w:t>
            </w:r>
            <w:proofErr w:type="spellEnd"/>
            <w:r>
              <w:rPr>
                <w:rFonts w:ascii="Georgia" w:hAnsi="Georgia" w:cs="Arial"/>
                <w:sz w:val="19"/>
                <w:szCs w:val="19"/>
              </w:rPr>
              <w:t>, the</w:t>
            </w:r>
            <w:r w:rsidR="00301A7B">
              <w:rPr>
                <w:rFonts w:ascii="Georgia" w:hAnsi="Georgia" w:cs="Arial"/>
                <w:sz w:val="19"/>
                <w:szCs w:val="19"/>
              </w:rPr>
              <w:t xml:space="preserve"> </w:t>
            </w:r>
            <w:smartTag w:uri="urn:schemas-microsoft-com:office:smarttags" w:element="place">
              <w:smartTag w:uri="urn:schemas-microsoft-com:office:smarttags" w:element="PlaceType">
                <w:r>
                  <w:rPr>
                    <w:rFonts w:ascii="Georgia" w:hAnsi="Georgia" w:cs="Arial"/>
                    <w:sz w:val="19"/>
                    <w:szCs w:val="19"/>
                  </w:rPr>
                  <w:t>p</w:t>
                </w:r>
                <w:r w:rsidR="002B0BC6" w:rsidRPr="002B0BC6">
                  <w:rPr>
                    <w:rFonts w:ascii="Georgia" w:hAnsi="Georgia" w:cs="Arial"/>
                    <w:sz w:val="19"/>
                    <w:szCs w:val="19"/>
                  </w:rPr>
                  <w:t>rovince</w:t>
                </w:r>
              </w:smartTag>
              <w:r w:rsidR="002B0BC6" w:rsidRPr="002B0BC6">
                <w:rPr>
                  <w:rFonts w:ascii="Georgia" w:hAnsi="Georgia" w:cs="Arial"/>
                  <w:sz w:val="19"/>
                  <w:szCs w:val="19"/>
                </w:rPr>
                <w:t xml:space="preserve"> of </w:t>
              </w:r>
              <w:smartTag w:uri="urn:schemas-microsoft-com:office:smarttags" w:element="PlaceName">
                <w:r w:rsidR="002B0BC6" w:rsidRPr="002B0BC6">
                  <w:rPr>
                    <w:rFonts w:ascii="Georgia" w:hAnsi="Georgia" w:cs="Arial"/>
                    <w:sz w:val="19"/>
                    <w:szCs w:val="19"/>
                  </w:rPr>
                  <w:t>East Nusa Tenggara</w:t>
                </w:r>
              </w:smartTag>
            </w:smartTag>
            <w:r w:rsidR="002B0BC6" w:rsidRPr="002B0BC6">
              <w:rPr>
                <w:rFonts w:ascii="Georgia" w:hAnsi="Georgia" w:cs="Arial"/>
                <w:sz w:val="19"/>
                <w:szCs w:val="19"/>
              </w:rPr>
              <w:t xml:space="preserve">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PAF</w:t>
            </w:r>
            <w:r w:rsidR="00105C18">
              <w:rPr>
                <w:rFonts w:ascii="Georgia" w:hAnsi="Georgia" w:cs="Arial"/>
                <w:sz w:val="19"/>
                <w:szCs w:val="19"/>
              </w:rPr>
              <w:t>s</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Performance </w:t>
            </w:r>
            <w:r w:rsidR="00E4234C" w:rsidRPr="002B0BC6">
              <w:rPr>
                <w:rFonts w:ascii="Georgia" w:hAnsi="Georgia" w:cs="Arial"/>
                <w:sz w:val="19"/>
                <w:szCs w:val="19"/>
              </w:rPr>
              <w:t>Assessment</w:t>
            </w:r>
            <w:r w:rsidRPr="002B0BC6">
              <w:rPr>
                <w:rFonts w:ascii="Georgia" w:hAnsi="Georgia" w:cs="Arial"/>
                <w:sz w:val="19"/>
                <w:szCs w:val="19"/>
              </w:rPr>
              <w:t xml:space="preserve"> Framework</w:t>
            </w:r>
            <w:r w:rsidR="00105C18">
              <w:rPr>
                <w:rFonts w:ascii="Georgia" w:hAnsi="Georgia" w:cs="Arial"/>
                <w:sz w:val="19"/>
                <w:szCs w:val="19"/>
              </w:rPr>
              <w:t>s</w:t>
            </w:r>
            <w:r w:rsidRPr="002B0BC6">
              <w:rPr>
                <w:rFonts w:ascii="Georgia" w:hAnsi="Georgia" w:cs="Arial"/>
                <w:sz w:val="19"/>
                <w:szCs w:val="19"/>
              </w:rPr>
              <w:t xml:space="preserve"> </w:t>
            </w:r>
          </w:p>
        </w:tc>
      </w:tr>
      <w:tr w:rsidR="002B0BC6" w:rsidRPr="002B0BC6" w:rsidTr="008645D5">
        <w:trPr>
          <w:trHeight w:val="310"/>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PAMSIMAS</w:t>
            </w:r>
          </w:p>
        </w:tc>
        <w:tc>
          <w:tcPr>
            <w:tcW w:w="6220" w:type="dxa"/>
            <w:tcBorders>
              <w:top w:val="nil"/>
              <w:left w:val="nil"/>
              <w:bottom w:val="nil"/>
              <w:right w:val="nil"/>
            </w:tcBorders>
            <w:shd w:val="clear" w:color="auto" w:fill="auto"/>
          </w:tcPr>
          <w:p w:rsidR="002B0BC6" w:rsidRPr="002B0BC6" w:rsidRDefault="002B0BC6" w:rsidP="002B0BC6">
            <w:pPr>
              <w:pBdr>
                <w:bottom w:val="single" w:sz="6" w:space="1" w:color="auto"/>
              </w:pBdr>
              <w:rPr>
                <w:rFonts w:ascii="Georgia" w:hAnsi="Georgia" w:cs="Arial"/>
                <w:vanish/>
                <w:sz w:val="19"/>
                <w:szCs w:val="19"/>
              </w:rPr>
            </w:pPr>
          </w:p>
          <w:p w:rsidR="002C2D4D" w:rsidRPr="002B0BC6" w:rsidRDefault="00A46B9C" w:rsidP="00A46B9C">
            <w:pPr>
              <w:pBdr>
                <w:top w:val="single" w:sz="6" w:space="1" w:color="auto"/>
              </w:pBdr>
              <w:rPr>
                <w:rFonts w:ascii="Georgia" w:hAnsi="Georgia"/>
                <w:sz w:val="19"/>
                <w:szCs w:val="19"/>
              </w:rPr>
            </w:pPr>
            <w:r>
              <w:rPr>
                <w:rFonts w:ascii="Georgia" w:hAnsi="Georgia"/>
                <w:sz w:val="19"/>
                <w:szCs w:val="19"/>
              </w:rPr>
              <w:t>Water Supply and Sanitation for Low Income Communities Project</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A46B9C">
            <w:pPr>
              <w:spacing w:before="120"/>
              <w:rPr>
                <w:rFonts w:ascii="Georgia" w:hAnsi="Georgia" w:cs="Arial"/>
                <w:sz w:val="19"/>
                <w:szCs w:val="19"/>
              </w:rPr>
            </w:pPr>
            <w:r w:rsidRPr="002B0BC6">
              <w:rPr>
                <w:rFonts w:ascii="Georgia" w:hAnsi="Georgia" w:cs="Arial"/>
                <w:sz w:val="19"/>
                <w:szCs w:val="19"/>
              </w:rPr>
              <w:t>PATEN</w:t>
            </w:r>
          </w:p>
        </w:tc>
        <w:tc>
          <w:tcPr>
            <w:tcW w:w="6220" w:type="dxa"/>
            <w:tcBorders>
              <w:top w:val="nil"/>
              <w:left w:val="nil"/>
              <w:bottom w:val="nil"/>
              <w:right w:val="nil"/>
            </w:tcBorders>
            <w:shd w:val="clear" w:color="auto" w:fill="auto"/>
          </w:tcPr>
          <w:p w:rsidR="002B0BC6" w:rsidRPr="002B0BC6" w:rsidRDefault="002B0BC6" w:rsidP="00A46B9C">
            <w:pPr>
              <w:spacing w:before="120"/>
              <w:rPr>
                <w:rFonts w:ascii="Georgia" w:hAnsi="Georgia" w:cs="Arial"/>
                <w:sz w:val="19"/>
                <w:szCs w:val="19"/>
              </w:rPr>
            </w:pPr>
            <w:r w:rsidRPr="002B0BC6">
              <w:rPr>
                <w:rFonts w:ascii="Georgia" w:hAnsi="Georgia" w:cs="Arial"/>
                <w:sz w:val="19"/>
                <w:szCs w:val="19"/>
              </w:rPr>
              <w:t xml:space="preserve">One-stop services for public administration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PEACH</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Public Expenditure Analysis and Capacity </w:t>
            </w:r>
            <w:r w:rsidR="0038216A">
              <w:rPr>
                <w:rFonts w:ascii="Georgia" w:hAnsi="Georgia" w:cs="Arial"/>
                <w:sz w:val="19"/>
                <w:szCs w:val="19"/>
              </w:rPr>
              <w:t>Harmonisation</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PFM</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Public Financial Management </w:t>
            </w:r>
          </w:p>
        </w:tc>
      </w:tr>
      <w:tr w:rsidR="00301A7B" w:rsidRPr="002B0BC6" w:rsidTr="008645D5">
        <w:trPr>
          <w:trHeight w:val="402"/>
        </w:trPr>
        <w:tc>
          <w:tcPr>
            <w:tcW w:w="2172" w:type="dxa"/>
            <w:tcBorders>
              <w:top w:val="nil"/>
              <w:left w:val="nil"/>
              <w:bottom w:val="nil"/>
              <w:right w:val="nil"/>
            </w:tcBorders>
            <w:shd w:val="clear" w:color="auto" w:fill="auto"/>
          </w:tcPr>
          <w:p w:rsidR="00301A7B" w:rsidRDefault="00301A7B" w:rsidP="002B0BC6">
            <w:pPr>
              <w:rPr>
                <w:rFonts w:ascii="Georgia" w:hAnsi="Georgia" w:cs="Arial"/>
                <w:sz w:val="19"/>
                <w:szCs w:val="19"/>
              </w:rPr>
            </w:pPr>
            <w:r w:rsidRPr="00301A7B">
              <w:rPr>
                <w:rFonts w:ascii="Georgia" w:hAnsi="Georgia" w:cs="Arial"/>
                <w:sz w:val="19"/>
                <w:szCs w:val="19"/>
              </w:rPr>
              <w:t>PINTAR</w:t>
            </w:r>
          </w:p>
          <w:p w:rsidR="00301A7B" w:rsidRPr="00301A7B" w:rsidRDefault="00301A7B" w:rsidP="002B0BC6">
            <w:pPr>
              <w:rPr>
                <w:rFonts w:ascii="Georgia" w:hAnsi="Georgia" w:cs="Arial"/>
                <w:sz w:val="19"/>
                <w:szCs w:val="19"/>
              </w:rPr>
            </w:pPr>
          </w:p>
        </w:tc>
        <w:tc>
          <w:tcPr>
            <w:tcW w:w="6220" w:type="dxa"/>
            <w:tcBorders>
              <w:top w:val="nil"/>
              <w:left w:val="nil"/>
              <w:bottom w:val="nil"/>
              <w:right w:val="nil"/>
            </w:tcBorders>
            <w:shd w:val="clear" w:color="auto" w:fill="auto"/>
          </w:tcPr>
          <w:p w:rsidR="00301A7B" w:rsidRPr="00301A7B" w:rsidRDefault="00301A7B" w:rsidP="00301A7B">
            <w:pPr>
              <w:autoSpaceDE w:val="0"/>
              <w:autoSpaceDN w:val="0"/>
              <w:adjustRightInd w:val="0"/>
              <w:rPr>
                <w:rFonts w:ascii="Georgia" w:hAnsi="Georgia" w:cs="Arial"/>
                <w:bCs/>
                <w:szCs w:val="20"/>
              </w:rPr>
            </w:pPr>
            <w:r w:rsidRPr="00301A7B">
              <w:rPr>
                <w:rFonts w:ascii="Georgia" w:hAnsi="Georgia" w:cs="Arial"/>
                <w:bCs/>
                <w:szCs w:val="20"/>
              </w:rPr>
              <w:t>Project for Indonesian Tax Administration Reform</w:t>
            </w:r>
            <w:r>
              <w:rPr>
                <w:rFonts w:ascii="Georgia" w:hAnsi="Georgia" w:cs="Arial"/>
                <w:bCs/>
                <w:szCs w:val="20"/>
              </w:rPr>
              <w:t xml:space="preserve"> Project </w:t>
            </w:r>
          </w:p>
          <w:p w:rsidR="00301A7B" w:rsidRPr="00301A7B" w:rsidRDefault="00301A7B" w:rsidP="00301A7B">
            <w:pPr>
              <w:rPr>
                <w:rFonts w:ascii="Georgia" w:hAnsi="Georgia" w:cs="Arial"/>
                <w:sz w:val="19"/>
                <w:szCs w:val="19"/>
              </w:rPr>
            </w:pP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PNPM</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i/>
                <w:iCs/>
                <w:sz w:val="19"/>
                <w:szCs w:val="19"/>
              </w:rPr>
            </w:pPr>
            <w:r w:rsidRPr="002B0BC6">
              <w:rPr>
                <w:rFonts w:ascii="Georgia" w:hAnsi="Georgia" w:cs="Arial"/>
                <w:i/>
                <w:iCs/>
                <w:sz w:val="19"/>
                <w:szCs w:val="19"/>
              </w:rPr>
              <w:t xml:space="preserve">Program </w:t>
            </w:r>
            <w:proofErr w:type="spellStart"/>
            <w:r w:rsidRPr="002B0BC6">
              <w:rPr>
                <w:rFonts w:ascii="Georgia" w:hAnsi="Georgia" w:cs="Arial"/>
                <w:i/>
                <w:iCs/>
                <w:sz w:val="19"/>
                <w:szCs w:val="19"/>
              </w:rPr>
              <w:t>Nasional</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Pemberdayaan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Masyarakat</w:t>
            </w:r>
            <w:proofErr w:type="spellEnd"/>
            <w:r w:rsidRPr="002B0BC6">
              <w:rPr>
                <w:rFonts w:ascii="Georgia" w:hAnsi="Georgia" w:cs="Arial"/>
                <w:sz w:val="19"/>
                <w:szCs w:val="19"/>
              </w:rPr>
              <w:t xml:space="preserve">  </w:t>
            </w:r>
            <w:r w:rsidR="00297B6E">
              <w:rPr>
                <w:rFonts w:ascii="Georgia" w:hAnsi="Georgia" w:cs="Arial"/>
                <w:sz w:val="19"/>
                <w:szCs w:val="19"/>
              </w:rPr>
              <w:t>N</w:t>
            </w:r>
            <w:r w:rsidRPr="002B0BC6">
              <w:rPr>
                <w:rFonts w:ascii="Georgia" w:hAnsi="Georgia" w:cs="Arial"/>
                <w:sz w:val="19"/>
                <w:szCs w:val="19"/>
              </w:rPr>
              <w:t xml:space="preserve">ational </w:t>
            </w:r>
            <w:r w:rsidR="00297B6E">
              <w:rPr>
                <w:rFonts w:ascii="Georgia" w:hAnsi="Georgia" w:cs="Arial"/>
                <w:sz w:val="19"/>
                <w:szCs w:val="19"/>
              </w:rPr>
              <w:t>P</w:t>
            </w:r>
            <w:r w:rsidRPr="002B0BC6">
              <w:rPr>
                <w:rFonts w:ascii="Georgia" w:hAnsi="Georgia" w:cs="Arial"/>
                <w:sz w:val="19"/>
                <w:szCs w:val="19"/>
              </w:rPr>
              <w:t xml:space="preserve">rogramme for </w:t>
            </w:r>
            <w:r w:rsidR="00297B6E">
              <w:rPr>
                <w:rFonts w:ascii="Georgia" w:hAnsi="Georgia" w:cs="Arial"/>
                <w:sz w:val="19"/>
                <w:szCs w:val="19"/>
              </w:rPr>
              <w:t>C</w:t>
            </w:r>
            <w:r w:rsidRPr="002B0BC6">
              <w:rPr>
                <w:rFonts w:ascii="Georgia" w:hAnsi="Georgia" w:cs="Arial"/>
                <w:sz w:val="19"/>
                <w:szCs w:val="19"/>
              </w:rPr>
              <w:t xml:space="preserve">ommunity </w:t>
            </w:r>
            <w:r w:rsidR="00297B6E">
              <w:rPr>
                <w:rFonts w:ascii="Georgia" w:hAnsi="Georgia" w:cs="Arial"/>
                <w:sz w:val="19"/>
                <w:szCs w:val="19"/>
              </w:rPr>
              <w:t>E</w:t>
            </w:r>
            <w:r w:rsidRPr="002B0BC6">
              <w:rPr>
                <w:rFonts w:ascii="Georgia" w:hAnsi="Georgia" w:cs="Arial"/>
                <w:sz w:val="19"/>
                <w:szCs w:val="19"/>
              </w:rPr>
              <w:t xml:space="preserve">mpowerment </w:t>
            </w: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PPATK</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i/>
                <w:iCs/>
                <w:sz w:val="19"/>
                <w:szCs w:val="19"/>
              </w:rPr>
            </w:pPr>
            <w:proofErr w:type="spellStart"/>
            <w:r w:rsidRPr="002B0BC6">
              <w:rPr>
                <w:rFonts w:ascii="Georgia" w:hAnsi="Georgia" w:cs="Arial"/>
                <w:i/>
                <w:iCs/>
                <w:sz w:val="19"/>
                <w:szCs w:val="19"/>
              </w:rPr>
              <w:t>Pusat</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Pelaporan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dan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Analisis</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Transaksi</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Keuangan</w:t>
            </w:r>
            <w:proofErr w:type="spellEnd"/>
            <w:r w:rsidRPr="002B0BC6">
              <w:rPr>
                <w:rFonts w:ascii="Georgia" w:hAnsi="Georgia" w:cs="Arial"/>
                <w:sz w:val="19"/>
                <w:szCs w:val="19"/>
              </w:rPr>
              <w:t xml:space="preserve">, </w:t>
            </w:r>
            <w:r w:rsidR="00297B6E">
              <w:rPr>
                <w:rFonts w:ascii="Georgia" w:hAnsi="Georgia" w:cs="Arial"/>
                <w:sz w:val="19"/>
                <w:szCs w:val="19"/>
              </w:rPr>
              <w:t>F</w:t>
            </w:r>
            <w:r w:rsidRPr="002B0BC6">
              <w:rPr>
                <w:rFonts w:ascii="Georgia" w:hAnsi="Georgia" w:cs="Arial"/>
                <w:sz w:val="19"/>
                <w:szCs w:val="19"/>
              </w:rPr>
              <w:t xml:space="preserve">inancial </w:t>
            </w:r>
            <w:r w:rsidR="00297B6E">
              <w:rPr>
                <w:rFonts w:ascii="Georgia" w:hAnsi="Georgia" w:cs="Arial"/>
                <w:sz w:val="19"/>
                <w:szCs w:val="19"/>
              </w:rPr>
              <w:t>T</w:t>
            </w:r>
            <w:r w:rsidRPr="002B0BC6">
              <w:rPr>
                <w:rFonts w:ascii="Georgia" w:hAnsi="Georgia" w:cs="Arial"/>
                <w:sz w:val="19"/>
                <w:szCs w:val="19"/>
              </w:rPr>
              <w:t xml:space="preserve">ransactions </w:t>
            </w:r>
            <w:r w:rsidR="00297B6E">
              <w:rPr>
                <w:rFonts w:ascii="Georgia" w:hAnsi="Georgia" w:cs="Arial"/>
                <w:sz w:val="19"/>
                <w:szCs w:val="19"/>
              </w:rPr>
              <w:t>R</w:t>
            </w:r>
            <w:r w:rsidRPr="002B0BC6">
              <w:rPr>
                <w:rFonts w:ascii="Georgia" w:hAnsi="Georgia" w:cs="Arial"/>
                <w:sz w:val="19"/>
                <w:szCs w:val="19"/>
              </w:rPr>
              <w:t xml:space="preserve">eports and </w:t>
            </w:r>
            <w:r w:rsidR="00297B6E">
              <w:rPr>
                <w:rFonts w:ascii="Georgia" w:hAnsi="Georgia" w:cs="Arial"/>
                <w:sz w:val="19"/>
                <w:szCs w:val="19"/>
              </w:rPr>
              <w:t>A</w:t>
            </w:r>
            <w:r w:rsidRPr="002B0BC6">
              <w:rPr>
                <w:rFonts w:ascii="Georgia" w:hAnsi="Georgia" w:cs="Arial"/>
                <w:sz w:val="19"/>
                <w:szCs w:val="19"/>
              </w:rPr>
              <w:t xml:space="preserve">nalysis </w:t>
            </w:r>
            <w:r w:rsidR="00297B6E">
              <w:rPr>
                <w:rFonts w:ascii="Georgia" w:hAnsi="Georgia" w:cs="Arial"/>
                <w:sz w:val="19"/>
                <w:szCs w:val="19"/>
              </w:rPr>
              <w:t>C</w:t>
            </w:r>
            <w:r w:rsidRPr="002B0BC6">
              <w:rPr>
                <w:rFonts w:ascii="Georgia" w:hAnsi="Georgia" w:cs="Arial"/>
                <w:sz w:val="19"/>
                <w:szCs w:val="19"/>
              </w:rPr>
              <w:t>entre</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PRSF</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Poverty Reduction Support Facility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PUSKESMAS</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i/>
                <w:iCs/>
                <w:sz w:val="19"/>
                <w:szCs w:val="19"/>
              </w:rPr>
            </w:pPr>
            <w:proofErr w:type="spellStart"/>
            <w:r w:rsidRPr="002B0BC6">
              <w:rPr>
                <w:rFonts w:ascii="Georgia" w:hAnsi="Georgia" w:cs="Arial"/>
                <w:i/>
                <w:iCs/>
                <w:sz w:val="19"/>
                <w:szCs w:val="19"/>
              </w:rPr>
              <w:t>Pusat</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Kesehatan</w:t>
            </w:r>
            <w:proofErr w:type="spellEnd"/>
            <w:r w:rsidRPr="002B0BC6">
              <w:rPr>
                <w:rFonts w:ascii="Georgia" w:hAnsi="Georgia" w:cs="Arial"/>
                <w:i/>
                <w:iCs/>
                <w:sz w:val="19"/>
                <w:szCs w:val="19"/>
              </w:rPr>
              <w:t xml:space="preserve"> </w:t>
            </w:r>
            <w:proofErr w:type="spellStart"/>
            <w:r w:rsidRPr="002B0BC6">
              <w:rPr>
                <w:rFonts w:ascii="Georgia" w:hAnsi="Georgia" w:cs="Arial"/>
                <w:i/>
                <w:iCs/>
                <w:sz w:val="19"/>
                <w:szCs w:val="19"/>
              </w:rPr>
              <w:t>Masyarakat</w:t>
            </w:r>
            <w:proofErr w:type="spellEnd"/>
            <w:r w:rsidRPr="002B0BC6">
              <w:rPr>
                <w:rFonts w:ascii="Georgia" w:hAnsi="Georgia" w:cs="Arial"/>
                <w:sz w:val="19"/>
                <w:szCs w:val="19"/>
              </w:rPr>
              <w:t xml:space="preserve">, community health </w:t>
            </w:r>
            <w:r w:rsidR="00E4234C" w:rsidRPr="002B0BC6">
              <w:rPr>
                <w:rFonts w:ascii="Georgia" w:hAnsi="Georgia" w:cs="Arial"/>
                <w:sz w:val="19"/>
                <w:szCs w:val="19"/>
              </w:rPr>
              <w:t>centres</w:t>
            </w:r>
            <w:r w:rsidRPr="002B0BC6">
              <w:rPr>
                <w:rFonts w:ascii="Georgia" w:hAnsi="Georgia" w:cs="Arial"/>
                <w:sz w:val="19"/>
                <w:szCs w:val="19"/>
              </w:rPr>
              <w:t xml:space="preserve"> </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REDD</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Reducing Emissions from Deforestation and </w:t>
            </w:r>
            <w:smartTag w:uri="urn:schemas-microsoft-com:office:smarttags" w:element="place">
              <w:r w:rsidRPr="002B0BC6">
                <w:rPr>
                  <w:rFonts w:ascii="Georgia" w:hAnsi="Georgia" w:cs="Arial"/>
                  <w:sz w:val="19"/>
                  <w:szCs w:val="19"/>
                </w:rPr>
                <w:t>Forest</w:t>
              </w:r>
            </w:smartTag>
            <w:r w:rsidRPr="002B0BC6">
              <w:rPr>
                <w:rFonts w:ascii="Georgia" w:hAnsi="Georgia" w:cs="Arial"/>
                <w:sz w:val="19"/>
                <w:szCs w:val="19"/>
              </w:rPr>
              <w:t xml:space="preserve"> Degradation</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R</w:t>
            </w:r>
            <w:r w:rsidR="00B877DF">
              <w:rPr>
                <w:rFonts w:ascii="Georgia" w:hAnsi="Georgia" w:cs="Arial"/>
                <w:sz w:val="19"/>
                <w:szCs w:val="19"/>
              </w:rPr>
              <w:t>ENSTRA</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smartTag w:uri="urn:schemas-microsoft-com:office:smarttags" w:element="place">
              <w:smartTag w:uri="urn:schemas-microsoft-com:office:smarttags" w:element="country-region">
                <w:r w:rsidRPr="002B0BC6">
                  <w:rPr>
                    <w:rFonts w:ascii="Georgia" w:hAnsi="Georgia" w:cs="Arial"/>
                    <w:sz w:val="19"/>
                    <w:szCs w:val="19"/>
                  </w:rPr>
                  <w:t>Indonesia</w:t>
                </w:r>
              </w:smartTag>
            </w:smartTag>
            <w:r w:rsidRPr="002B0BC6">
              <w:rPr>
                <w:rFonts w:ascii="Georgia" w:hAnsi="Georgia" w:cs="Arial"/>
                <w:sz w:val="19"/>
                <w:szCs w:val="19"/>
              </w:rPr>
              <w:t xml:space="preserve"> Government Strategic Plan</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SEAMIE</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Support for Enhanced Analysis on </w:t>
            </w:r>
            <w:smartTag w:uri="urn:schemas-microsoft-com:office:smarttags" w:element="place">
              <w:smartTag w:uri="urn:schemas-microsoft-com:office:smarttags" w:element="country-region">
                <w:r w:rsidRPr="002B0BC6">
                  <w:rPr>
                    <w:rFonts w:ascii="Georgia" w:hAnsi="Georgia" w:cs="Arial"/>
                    <w:sz w:val="19"/>
                    <w:szCs w:val="19"/>
                  </w:rPr>
                  <w:t>Indonesia</w:t>
                </w:r>
              </w:smartTag>
            </w:smartTag>
            <w:r w:rsidRPr="002B0BC6">
              <w:rPr>
                <w:rFonts w:ascii="Georgia" w:hAnsi="Georgia" w:cs="Arial"/>
                <w:sz w:val="19"/>
                <w:szCs w:val="19"/>
              </w:rPr>
              <w:t>’s  Economy</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SEDIA</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Support for Education Sector Development in Aceh</w:t>
            </w:r>
          </w:p>
        </w:tc>
      </w:tr>
      <w:tr w:rsidR="002B0BC6" w:rsidRPr="002B0BC6" w:rsidTr="008645D5">
        <w:trPr>
          <w:trHeight w:val="402"/>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TNP2K</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The National Team for Accelerating Poverty Reduction</w:t>
            </w:r>
          </w:p>
        </w:tc>
      </w:tr>
      <w:tr w:rsidR="002B0BC6" w:rsidRPr="002B0BC6" w:rsidTr="008645D5">
        <w:trPr>
          <w:trHeight w:val="561"/>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UKP4 </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t xml:space="preserve">The Presidential Working Unit for Supervision and Control of Development </w:t>
            </w:r>
          </w:p>
        </w:tc>
      </w:tr>
      <w:tr w:rsidR="002B0BC6" w:rsidRPr="002B0BC6" w:rsidTr="008645D5">
        <w:trPr>
          <w:trHeight w:val="403"/>
        </w:trPr>
        <w:tc>
          <w:tcPr>
            <w:tcW w:w="2172"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rPr>
              <w:lastRenderedPageBreak/>
              <w:t>W</w:t>
            </w:r>
            <w:r w:rsidR="00B877DF">
              <w:rPr>
                <w:rFonts w:ascii="Georgia" w:hAnsi="Georgia" w:cs="Arial"/>
                <w:sz w:val="19"/>
                <w:szCs w:val="19"/>
              </w:rPr>
              <w:t>ASPOLA</w:t>
            </w:r>
            <w:r w:rsidRPr="002B0BC6">
              <w:rPr>
                <w:rFonts w:ascii="Georgia" w:hAnsi="Georgia" w:cs="Arial"/>
                <w:sz w:val="19"/>
                <w:szCs w:val="19"/>
              </w:rPr>
              <w:t xml:space="preserve"> </w:t>
            </w:r>
          </w:p>
        </w:tc>
        <w:tc>
          <w:tcPr>
            <w:tcW w:w="6220" w:type="dxa"/>
            <w:tcBorders>
              <w:top w:val="nil"/>
              <w:left w:val="nil"/>
              <w:bottom w:val="nil"/>
              <w:right w:val="nil"/>
            </w:tcBorders>
            <w:shd w:val="clear" w:color="auto" w:fill="auto"/>
          </w:tcPr>
          <w:p w:rsidR="002B0BC6" w:rsidRPr="002B0BC6" w:rsidRDefault="002B0BC6" w:rsidP="002B0BC6">
            <w:pPr>
              <w:rPr>
                <w:rFonts w:ascii="Georgia" w:hAnsi="Georgia" w:cs="Arial"/>
                <w:sz w:val="19"/>
                <w:szCs w:val="19"/>
              </w:rPr>
            </w:pPr>
            <w:r w:rsidRPr="002B0BC6">
              <w:rPr>
                <w:rFonts w:ascii="Georgia" w:hAnsi="Georgia" w:cs="Arial"/>
                <w:sz w:val="19"/>
                <w:szCs w:val="19"/>
                <w:lang w:val="en-GB"/>
              </w:rPr>
              <w:t xml:space="preserve">Water and Sanitation Policy and Action Planning Project </w:t>
            </w:r>
          </w:p>
        </w:tc>
      </w:tr>
    </w:tbl>
    <w:p w:rsidR="00D04DD6" w:rsidRDefault="00612B0D" w:rsidP="00254E43">
      <w:pPr>
        <w:pStyle w:val="Heading1"/>
        <w:numPr>
          <w:ilvl w:val="0"/>
          <w:numId w:val="0"/>
        </w:numPr>
        <w:spacing w:before="0"/>
      </w:pPr>
      <w:r>
        <w:br w:type="page"/>
      </w:r>
      <w:bookmarkStart w:id="3" w:name="_Toc300905098"/>
      <w:bookmarkStart w:id="4" w:name="_Toc360981818"/>
      <w:r w:rsidR="00D04DD6">
        <w:lastRenderedPageBreak/>
        <w:t>Summary</w:t>
      </w:r>
      <w:bookmarkEnd w:id="3"/>
      <w:bookmarkEnd w:id="4"/>
    </w:p>
    <w:p w:rsidR="00475C32" w:rsidRPr="002B67D3" w:rsidRDefault="00475C32" w:rsidP="00612FF9">
      <w:pPr>
        <w:pStyle w:val="H2F"/>
      </w:pPr>
      <w:bookmarkStart w:id="5" w:name="_Toc293049938"/>
      <w:bookmarkStart w:id="6" w:name="_Toc360981819"/>
      <w:r w:rsidRPr="002B67D3">
        <w:t>Overview of Indonesia context</w:t>
      </w:r>
      <w:bookmarkEnd w:id="5"/>
      <w:bookmarkEnd w:id="6"/>
    </w:p>
    <w:p w:rsidR="0035158D" w:rsidRDefault="0035158D" w:rsidP="0035158D">
      <w:pPr>
        <w:pStyle w:val="BodyText"/>
      </w:pPr>
      <w:r>
        <w:t xml:space="preserve">The incidence of poverty in Indonesia continued to decline in 2010 as the economy returned to solid growth of 5.9%.  The first year of the President </w:t>
      </w:r>
      <w:proofErr w:type="spellStart"/>
      <w:r w:rsidR="00663408">
        <w:t>Susilo</w:t>
      </w:r>
      <w:proofErr w:type="spellEnd"/>
      <w:r w:rsidR="00663408">
        <w:t xml:space="preserve"> </w:t>
      </w:r>
      <w:proofErr w:type="spellStart"/>
      <w:r w:rsidR="00663408">
        <w:t>Bambang</w:t>
      </w:r>
      <w:proofErr w:type="spellEnd"/>
      <w:r w:rsidR="00663408">
        <w:t xml:space="preserve"> </w:t>
      </w:r>
      <w:proofErr w:type="spellStart"/>
      <w:r w:rsidR="008645D5">
        <w:t>Yudhoyono’s</w:t>
      </w:r>
      <w:proofErr w:type="spellEnd"/>
      <w:r>
        <w:t xml:space="preserve"> new five-year term </w:t>
      </w:r>
      <w:r w:rsidR="00354D46">
        <w:t xml:space="preserve">saw </w:t>
      </w:r>
      <w:r>
        <w:t xml:space="preserve">a strong performance by his Administration as </w:t>
      </w:r>
      <w:smartTag w:uri="urn:schemas-microsoft-com:office:smarttags" w:element="place">
        <w:smartTag w:uri="urn:schemas-microsoft-com:office:smarttags" w:element="country-region">
          <w:r>
            <w:t>Indonesia</w:t>
          </w:r>
        </w:smartTag>
      </w:smartTag>
      <w:r>
        <w:t xml:space="preserve"> cemented its lower-middle income country status.  </w:t>
      </w:r>
      <w:smartTag w:uri="urn:schemas-microsoft-com:office:smarttags" w:element="place">
        <w:smartTag w:uri="urn:schemas-microsoft-com:office:smarttags" w:element="country-region">
          <w:r>
            <w:t>Indonesia</w:t>
          </w:r>
        </w:smartTag>
      </w:smartTag>
      <w:r>
        <w:t xml:space="preserve"> has the aspiration and potential to emerge as </w:t>
      </w:r>
      <w:r w:rsidR="00354D46">
        <w:t>a</w:t>
      </w:r>
      <w:r>
        <w:t xml:space="preserve"> new major global econom</w:t>
      </w:r>
      <w:r w:rsidR="00354D46">
        <w:t>y</w:t>
      </w:r>
      <w:r>
        <w:t xml:space="preserve"> </w:t>
      </w:r>
      <w:r w:rsidR="00354D46">
        <w:t>but is</w:t>
      </w:r>
      <w:r>
        <w:t xml:space="preserve"> constrain</w:t>
      </w:r>
      <w:r w:rsidR="00354D46">
        <w:t>ed</w:t>
      </w:r>
      <w:r>
        <w:t xml:space="preserve"> </w:t>
      </w:r>
      <w:r w:rsidR="00354D46">
        <w:t>by</w:t>
      </w:r>
      <w:r>
        <w:t xml:space="preserve"> poor infrastructure, low labour productivity and a </w:t>
      </w:r>
      <w:r w:rsidR="0099016F">
        <w:t xml:space="preserve">difficult </w:t>
      </w:r>
      <w:r>
        <w:t xml:space="preserve">business operating environment.  The Government released its new Medium Term Development Plan 2010-2014 which contained the six policies and basic strategies around a theme of Development for All and a vision of a prosperous, democratic and just </w:t>
      </w:r>
      <w:smartTag w:uri="urn:schemas-microsoft-com:office:smarttags" w:element="place">
        <w:smartTag w:uri="urn:schemas-microsoft-com:office:smarttags" w:element="country-region">
          <w:r>
            <w:t>Indonesia</w:t>
          </w:r>
        </w:smartTag>
      </w:smartTag>
      <w:r>
        <w:t xml:space="preserve">.  Targets included 7% plus growth and single digit poverty numbers by 2014.  </w:t>
      </w:r>
    </w:p>
    <w:p w:rsidR="00187748" w:rsidRDefault="0035158D" w:rsidP="0035158D">
      <w:pPr>
        <w:pStyle w:val="BodyText"/>
      </w:pPr>
      <w:r>
        <w:t xml:space="preserve">The Australia Indonesia relationship remained very strong in 2010.   There were numerous high level visits and exchanges, </w:t>
      </w:r>
      <w:r w:rsidR="00354D46">
        <w:t>including</w:t>
      </w:r>
      <w:r>
        <w:t xml:space="preserve"> the first official visit of the new Australian Prime Minister, Julia Gillard, in November 2010.  During her visit</w:t>
      </w:r>
      <w:r w:rsidR="00354D46">
        <w:t>,</w:t>
      </w:r>
      <w:r>
        <w:t xml:space="preserve"> the Prime Minister and the Indonesian President announced the new $500 million Education </w:t>
      </w:r>
      <w:r w:rsidR="0099016F">
        <w:t>Partnership</w:t>
      </w:r>
      <w:r>
        <w:t xml:space="preserve">. </w:t>
      </w:r>
      <w:r w:rsidR="004E5FA7">
        <w:t xml:space="preserve">President </w:t>
      </w:r>
      <w:proofErr w:type="spellStart"/>
      <w:r w:rsidR="004E5FA7">
        <w:t>Yudhoyono</w:t>
      </w:r>
      <w:proofErr w:type="spellEnd"/>
      <w:r w:rsidR="004E5FA7">
        <w:t xml:space="preserve"> visited </w:t>
      </w:r>
      <w:smartTag w:uri="urn:schemas-microsoft-com:office:smarttags" w:element="country-region">
        <w:r w:rsidR="004E5FA7">
          <w:t>Australia</w:t>
        </w:r>
      </w:smartTag>
      <w:r>
        <w:t xml:space="preserve"> </w:t>
      </w:r>
      <w:r w:rsidR="004E5FA7">
        <w:t xml:space="preserve">in March, during which </w:t>
      </w:r>
      <w:smartTag w:uri="urn:schemas-microsoft-com:office:smarttags" w:element="country-region">
        <w:r w:rsidR="004E5FA7">
          <w:t>Australia</w:t>
        </w:r>
      </w:smartTag>
      <w:r w:rsidR="004E5FA7">
        <w:t xml:space="preserve">’s contribution of $215 million to </w:t>
      </w:r>
      <w:smartTag w:uri="urn:schemas-microsoft-com:office:smarttags" w:element="place">
        <w:smartTag w:uri="urn:schemas-microsoft-com:office:smarttags" w:element="country-region">
          <w:r w:rsidR="004E5FA7">
            <w:t>Indonesia</w:t>
          </w:r>
        </w:smartTag>
      </w:smartTag>
      <w:r w:rsidR="004E5FA7">
        <w:t>’s Community Empowerment program (PNPM)</w:t>
      </w:r>
      <w:r w:rsidR="00354D46">
        <w:t xml:space="preserve"> was announced</w:t>
      </w:r>
      <w:r w:rsidR="004E5FA7">
        <w:t xml:space="preserve">. </w:t>
      </w:r>
      <w:r>
        <w:t xml:space="preserve"> </w:t>
      </w:r>
    </w:p>
    <w:p w:rsidR="0035158D" w:rsidRDefault="0035158D" w:rsidP="0035158D">
      <w:pPr>
        <w:pStyle w:val="BodyText"/>
      </w:pPr>
      <w:smartTag w:uri="urn:schemas-microsoft-com:office:smarttags" w:element="country-region">
        <w:r>
          <w:t>Australia</w:t>
        </w:r>
      </w:smartTag>
      <w:r>
        <w:t xml:space="preserve"> was </w:t>
      </w:r>
      <w:smartTag w:uri="urn:schemas-microsoft-com:office:smarttags" w:element="place">
        <w:smartTag w:uri="urn:schemas-microsoft-com:office:smarttags" w:element="country-region">
          <w:r>
            <w:t>Indonesia</w:t>
          </w:r>
        </w:smartTag>
      </w:smartTag>
      <w:r>
        <w:t xml:space="preserve">’s largest bilateral grant donor in 2010, </w:t>
      </w:r>
      <w:r w:rsidR="00354D46">
        <w:t xml:space="preserve">providing </w:t>
      </w:r>
      <w:r>
        <w:t xml:space="preserve">around $450 million.  Development assistance is a core plank of the Australia Indonesia bilateral relationship and </w:t>
      </w:r>
      <w:smartTag w:uri="urn:schemas-microsoft-com:office:smarttags" w:element="place">
        <w:smartTag w:uri="urn:schemas-microsoft-com:office:smarttags" w:element="country-region">
          <w:r>
            <w:t>Australia</w:t>
          </w:r>
        </w:smartTag>
      </w:smartTag>
      <w:r>
        <w:t xml:space="preserve"> is the donor of choice with key Government of Indonesia (</w:t>
      </w:r>
      <w:proofErr w:type="spellStart"/>
      <w:r>
        <w:t>G</w:t>
      </w:r>
      <w:r w:rsidR="00936D2A">
        <w:t>o</w:t>
      </w:r>
      <w:r>
        <w:t>I</w:t>
      </w:r>
      <w:proofErr w:type="spellEnd"/>
      <w:r>
        <w:t xml:space="preserve">) agencies.  Strong relationships have been built with a range of Ministers and key </w:t>
      </w:r>
      <w:proofErr w:type="spellStart"/>
      <w:r>
        <w:t>G</w:t>
      </w:r>
      <w:r w:rsidR="00936D2A">
        <w:t>o</w:t>
      </w:r>
      <w:r>
        <w:t>I</w:t>
      </w:r>
      <w:proofErr w:type="spellEnd"/>
      <w:r>
        <w:t xml:space="preserve"> agencies including the Vice President who leads the Government’s work on social protection reforms; Ministers for National Planning and Development, Education, Health, Public Works, Finance and Trade; key agencies such as the Fiscal Policy Office of the Ministry of Finance; and the Presidential Working Unit for Supervision and Control of Development (UKP4).</w:t>
      </w:r>
      <w:r w:rsidR="00354D46">
        <w:t xml:space="preserve"> </w:t>
      </w:r>
      <w:r>
        <w:t xml:space="preserve"> During 2010 the Indonesian Vice President sought Australian support for his efforts to reform the Indonesian bureaucracy.    </w:t>
      </w:r>
    </w:p>
    <w:p w:rsidR="0035158D" w:rsidRDefault="0035158D" w:rsidP="0035158D">
      <w:pPr>
        <w:pStyle w:val="BodyText"/>
      </w:pPr>
      <w:smartTag w:uri="urn:schemas-microsoft-com:office:smarttags" w:element="place">
        <w:smartTag w:uri="urn:schemas-microsoft-com:office:smarttags" w:element="country-region">
          <w:r>
            <w:t>Indonesia</w:t>
          </w:r>
        </w:smartTag>
      </w:smartTag>
      <w:r>
        <w:t xml:space="preserve">’s overall performance in achieving the Millennium Development Goals is encouraging </w:t>
      </w:r>
      <w:r w:rsidR="00354D46">
        <w:t>but</w:t>
      </w:r>
      <w:r>
        <w:t xml:space="preserve"> remains off-track for reducing maternal mortality, combating HIV</w:t>
      </w:r>
      <w:r w:rsidR="006B4689">
        <w:t>/</w:t>
      </w:r>
      <w:r>
        <w:t xml:space="preserve">AIDs, malaria and other diseases, and environmental sustainability.  </w:t>
      </w:r>
      <w:r w:rsidR="00B9026A">
        <w:t>Sectoral program</w:t>
      </w:r>
      <w:r w:rsidR="0099016F">
        <w:t>s</w:t>
      </w:r>
      <w:r w:rsidR="00B9026A">
        <w:t xml:space="preserve"> and poverty </w:t>
      </w:r>
      <w:r w:rsidR="0099016F">
        <w:t xml:space="preserve">reduction efforts </w:t>
      </w:r>
      <w:r w:rsidR="00B9026A">
        <w:t>are often hampered by poor c</w:t>
      </w:r>
      <w:r w:rsidR="0005643F">
        <w:t>oordination</w:t>
      </w:r>
      <w:r w:rsidR="00B9026A">
        <w:t xml:space="preserve"> and confusion</w:t>
      </w:r>
      <w:r w:rsidR="0005643F">
        <w:t xml:space="preserve"> across </w:t>
      </w:r>
      <w:r w:rsidR="00B9026A">
        <w:t xml:space="preserve">government agencies.  </w:t>
      </w:r>
      <w:r>
        <w:t xml:space="preserve">Regional disparities continue to be a concern, particularly in the Eastern provinces of NTT, Papua and </w:t>
      </w:r>
      <w:smartTag w:uri="urn:schemas-microsoft-com:office:smarttags" w:element="place">
        <w:r>
          <w:t>West Papua</w:t>
        </w:r>
      </w:smartTag>
      <w:r>
        <w:t xml:space="preserve"> </w:t>
      </w:r>
      <w:r w:rsidR="005C06FE">
        <w:t xml:space="preserve">where </w:t>
      </w:r>
      <w:r>
        <w:t xml:space="preserve">service delivery and rates of poverty </w:t>
      </w:r>
      <w:r w:rsidR="005C06FE">
        <w:t xml:space="preserve">are </w:t>
      </w:r>
      <w:r>
        <w:t xml:space="preserve">well behind the national </w:t>
      </w:r>
      <w:r w:rsidR="000C7EF5">
        <w:t>average</w:t>
      </w:r>
      <w:r>
        <w:t>.  Social welfare programs have not been as effective in combating poverty with many of the programs either poorly targeted and/or suffer</w:t>
      </w:r>
      <w:r w:rsidR="005C06FE">
        <w:t>ing</w:t>
      </w:r>
      <w:r>
        <w:t xml:space="preserve"> from poor management and weak capacity.  The Vice President’s Office </w:t>
      </w:r>
      <w:r w:rsidR="001F6A88">
        <w:t>is</w:t>
      </w:r>
      <w:r>
        <w:t xml:space="preserve"> reviewing </w:t>
      </w:r>
      <w:smartTag w:uri="urn:schemas-microsoft-com:office:smarttags" w:element="country-region">
        <w:r>
          <w:t>Indonesia</w:t>
        </w:r>
      </w:smartTag>
      <w:r w:rsidR="005C06FE">
        <w:t>’s</w:t>
      </w:r>
      <w:r>
        <w:t xml:space="preserve"> social protection system and </w:t>
      </w:r>
      <w:r w:rsidR="001F6A88">
        <w:t xml:space="preserve">has </w:t>
      </w:r>
      <w:r>
        <w:t xml:space="preserve">looked to </w:t>
      </w:r>
      <w:smartTag w:uri="urn:schemas-microsoft-com:office:smarttags" w:element="place">
        <w:smartTag w:uri="urn:schemas-microsoft-com:office:smarttags" w:element="country-region">
          <w:r>
            <w:t>Australia</w:t>
          </w:r>
        </w:smartTag>
      </w:smartTag>
      <w:r>
        <w:t xml:space="preserve"> for financial and technical support in establishing the National Team for Accelerating Poverty Reduction.    </w:t>
      </w:r>
    </w:p>
    <w:p w:rsidR="0035158D" w:rsidRPr="00AD591F" w:rsidRDefault="00936D2A" w:rsidP="00AD591F">
      <w:pPr>
        <w:pStyle w:val="H2A"/>
      </w:pPr>
      <w:r>
        <w:br w:type="page"/>
      </w:r>
      <w:r w:rsidR="0035158D">
        <w:lastRenderedPageBreak/>
        <w:t>Results</w:t>
      </w:r>
    </w:p>
    <w:p w:rsidR="0035158D" w:rsidRDefault="0035158D" w:rsidP="0035158D">
      <w:pPr>
        <w:pStyle w:val="BodyText"/>
      </w:pPr>
      <w:r>
        <w:t xml:space="preserve">2010 was a transition year for many of </w:t>
      </w:r>
      <w:proofErr w:type="spellStart"/>
      <w:r>
        <w:t>AusAID’s</w:t>
      </w:r>
      <w:proofErr w:type="spellEnd"/>
      <w:r>
        <w:t xml:space="preserve"> programs.  The design of the new flagship education program was completed.  Similarly designs for the new programs in decentralisation, emerging infectious diseases, elections support and justice sector were finalised.  We </w:t>
      </w:r>
      <w:r w:rsidR="001F6A88">
        <w:t xml:space="preserve">started </w:t>
      </w:r>
      <w:r>
        <w:t xml:space="preserve">new phases of our two main economic governance programs and major new investments in community empowerment and reform of </w:t>
      </w:r>
      <w:smartTag w:uri="urn:schemas-microsoft-com:office:smarttags" w:element="place">
        <w:smartTag w:uri="urn:schemas-microsoft-com:office:smarttags" w:element="country-region">
          <w:r>
            <w:t>Indonesia</w:t>
          </w:r>
        </w:smartTag>
      </w:smartTag>
      <w:r>
        <w:t xml:space="preserve">’s social protection instruments.  Design of the new and large investment in primary health was also progressed.  </w:t>
      </w:r>
    </w:p>
    <w:p w:rsidR="0035158D" w:rsidRDefault="0035158D" w:rsidP="0035158D">
      <w:pPr>
        <w:pStyle w:val="BodyText"/>
      </w:pPr>
      <w:r>
        <w:t xml:space="preserve">Our existing portfolio continued to perform well. Of the 42 </w:t>
      </w:r>
      <w:r w:rsidR="001F6A88">
        <w:t>Quality at Implementation (</w:t>
      </w:r>
      <w:r>
        <w:t>QAI</w:t>
      </w:r>
      <w:r w:rsidR="001F6A88">
        <w:t>)</w:t>
      </w:r>
      <w:r>
        <w:t xml:space="preserve"> reports prepared for our current major initiatives, the number of poor quality initiatives </w:t>
      </w:r>
      <w:r w:rsidR="008645D5">
        <w:t>decreased</w:t>
      </w:r>
      <w:r>
        <w:t xml:space="preserve"> from 27% to 24%, </w:t>
      </w:r>
      <w:r w:rsidR="00663408">
        <w:t xml:space="preserve">corresponding to </w:t>
      </w:r>
      <w:r>
        <w:t xml:space="preserve">the number of </w:t>
      </w:r>
      <w:r w:rsidR="00663408">
        <w:t>initiatives</w:t>
      </w:r>
      <w:r>
        <w:t xml:space="preserve"> with acceptable ratings or higher </w:t>
      </w:r>
      <w:r w:rsidR="008645D5">
        <w:t>increasing</w:t>
      </w:r>
      <w:r>
        <w:t xml:space="preserve"> from 73% in 2009 to 76% in 2010.  Notable results during 2010 were:</w:t>
      </w:r>
    </w:p>
    <w:p w:rsidR="0035158D" w:rsidRDefault="007557E1" w:rsidP="0035158D">
      <w:pPr>
        <w:pStyle w:val="BodyText"/>
        <w:numPr>
          <w:ilvl w:val="0"/>
          <w:numId w:val="19"/>
        </w:numPr>
      </w:pPr>
      <w:r>
        <w:t>C</w:t>
      </w:r>
      <w:r w:rsidR="0035158D">
        <w:t xml:space="preserve">onstruction of 47 new schools and 173 additional facilities at existing schools </w:t>
      </w:r>
      <w:r>
        <w:t>through our flagship Basic Education Program</w:t>
      </w:r>
      <w:r w:rsidR="0035158D">
        <w:t xml:space="preserve">.  2010 saw enrolments at </w:t>
      </w:r>
      <w:r w:rsidR="008645D5">
        <w:t>schools</w:t>
      </w:r>
      <w:r w:rsidR="00B00064">
        <w:t xml:space="preserve"> </w:t>
      </w:r>
      <w:r w:rsidR="0035158D">
        <w:t xml:space="preserve"> built in previous years expand by 44,000 students, </w:t>
      </w:r>
      <w:r w:rsidR="001F6A88">
        <w:t xml:space="preserve">increasing </w:t>
      </w:r>
      <w:r w:rsidR="0035158D">
        <w:t>new enrolments under the program to 185,492.  In 2010</w:t>
      </w:r>
      <w:r w:rsidR="006D5D56">
        <w:t>,</w:t>
      </w:r>
      <w:r w:rsidR="0035158D">
        <w:t xml:space="preserve"> 60 private madrasah were assisted to meet the quality standards for accreditation and training in school management was provided to 1 132 schools.</w:t>
      </w:r>
    </w:p>
    <w:p w:rsidR="0035158D" w:rsidRDefault="00D1774A" w:rsidP="0035158D">
      <w:pPr>
        <w:pStyle w:val="BodyText"/>
        <w:numPr>
          <w:ilvl w:val="0"/>
          <w:numId w:val="19"/>
        </w:numPr>
      </w:pPr>
      <w:r>
        <w:t>P</w:t>
      </w:r>
      <w:r w:rsidR="0035158D">
        <w:t>rovi</w:t>
      </w:r>
      <w:r w:rsidR="0081485A">
        <w:t>ding</w:t>
      </w:r>
      <w:r w:rsidR="0035158D">
        <w:t xml:space="preserve"> 27,000 new water and sanitation connections to poor households through our output-based water and sanitation </w:t>
      </w:r>
      <w:proofErr w:type="spellStart"/>
      <w:r w:rsidR="0035158D">
        <w:t>hibah</w:t>
      </w:r>
      <w:proofErr w:type="spellEnd"/>
      <w:r w:rsidR="0035158D">
        <w:t xml:space="preserve"> program.</w:t>
      </w:r>
    </w:p>
    <w:p w:rsidR="0035158D" w:rsidRDefault="000C7EF5" w:rsidP="0035158D">
      <w:pPr>
        <w:pStyle w:val="BodyText"/>
        <w:numPr>
          <w:ilvl w:val="0"/>
          <w:numId w:val="19"/>
        </w:numPr>
      </w:pPr>
      <w:r>
        <w:t>A</w:t>
      </w:r>
      <w:r w:rsidR="0035158D">
        <w:t xml:space="preserve"> successful </w:t>
      </w:r>
      <w:r>
        <w:t>B</w:t>
      </w:r>
      <w:r w:rsidR="0035158D">
        <w:t xml:space="preserve">uild </w:t>
      </w:r>
      <w:r>
        <w:t>B</w:t>
      </w:r>
      <w:r w:rsidR="0035158D">
        <w:t xml:space="preserve">ack </w:t>
      </w:r>
      <w:r>
        <w:t>B</w:t>
      </w:r>
      <w:r w:rsidR="0035158D">
        <w:t xml:space="preserve">etter campaign in </w:t>
      </w:r>
      <w:smartTag w:uri="urn:schemas-microsoft-com:office:smarttags" w:element="place">
        <w:smartTag w:uri="urn:schemas-microsoft-com:office:smarttags" w:element="City">
          <w:r w:rsidR="0035158D">
            <w:t>Padang</w:t>
          </w:r>
        </w:smartTag>
      </w:smartTag>
      <w:r w:rsidR="0035158D">
        <w:t xml:space="preserve">, to assist communities rebuild their houses in ways more likely to withstand future earthquakes.  68% of </w:t>
      </w:r>
      <w:r w:rsidR="007557E1">
        <w:t xml:space="preserve">the </w:t>
      </w:r>
      <w:r w:rsidR="0035158D">
        <w:t>population now better understand</w:t>
      </w:r>
      <w:r w:rsidR="006D5D56">
        <w:t>s</w:t>
      </w:r>
      <w:r w:rsidR="0035158D">
        <w:t xml:space="preserve"> the risks of unsafe construction methods.</w:t>
      </w:r>
    </w:p>
    <w:p w:rsidR="0035158D" w:rsidRDefault="00D1774A" w:rsidP="0035158D">
      <w:pPr>
        <w:pStyle w:val="BodyText"/>
        <w:numPr>
          <w:ilvl w:val="0"/>
          <w:numId w:val="19"/>
        </w:numPr>
      </w:pPr>
      <w:r>
        <w:t>R</w:t>
      </w:r>
      <w:r w:rsidR="0035158D">
        <w:t>econstruct</w:t>
      </w:r>
      <w:r w:rsidR="000C7EF5">
        <w:t>i</w:t>
      </w:r>
      <w:r w:rsidR="0081485A">
        <w:t>ng</w:t>
      </w:r>
      <w:r w:rsidR="000C7EF5">
        <w:t xml:space="preserve"> </w:t>
      </w:r>
      <w:r w:rsidR="0035158D">
        <w:t xml:space="preserve">45 schools damaged by the 2009 </w:t>
      </w:r>
      <w:r w:rsidR="008E4154">
        <w:t xml:space="preserve">West </w:t>
      </w:r>
      <w:r w:rsidR="0035158D">
        <w:t xml:space="preserve">Sumatra and West Java earthquakes, partly funded by USAID </w:t>
      </w:r>
      <w:r w:rsidR="008E4154">
        <w:t>(</w:t>
      </w:r>
      <w:smartTag w:uri="urn:schemas-microsoft-com:office:smarttags" w:element="place">
        <w:r w:rsidR="008E4154">
          <w:t>West Sumatra</w:t>
        </w:r>
      </w:smartTag>
      <w:r w:rsidR="008E4154">
        <w:t xml:space="preserve"> only) </w:t>
      </w:r>
      <w:r w:rsidR="0035158D">
        <w:t>through a delegated cooperation arrangement</w:t>
      </w:r>
    </w:p>
    <w:p w:rsidR="0035158D" w:rsidRDefault="00D1774A" w:rsidP="0035158D">
      <w:pPr>
        <w:pStyle w:val="BodyText"/>
        <w:numPr>
          <w:ilvl w:val="0"/>
          <w:numId w:val="19"/>
        </w:numPr>
      </w:pPr>
      <w:r>
        <w:t>P</w:t>
      </w:r>
      <w:r w:rsidR="0035158D">
        <w:t>rovi</w:t>
      </w:r>
      <w:r w:rsidR="0081485A">
        <w:t>ding</w:t>
      </w:r>
      <w:r w:rsidR="0035158D">
        <w:t xml:space="preserve"> relief to victims of the October 2010 Mt </w:t>
      </w:r>
      <w:proofErr w:type="spellStart"/>
      <w:r w:rsidR="0035158D">
        <w:t>Merapi</w:t>
      </w:r>
      <w:proofErr w:type="spellEnd"/>
      <w:r w:rsidR="0035158D">
        <w:t xml:space="preserve"> eruption and </w:t>
      </w:r>
      <w:proofErr w:type="spellStart"/>
      <w:r w:rsidR="0035158D">
        <w:t>Mentawai</w:t>
      </w:r>
      <w:proofErr w:type="spellEnd"/>
      <w:r w:rsidR="0035158D">
        <w:t xml:space="preserve"> Island tsunami.  </w:t>
      </w:r>
      <w:r w:rsidR="00E53699">
        <w:t xml:space="preserve">Australia’s initial disaster response assistance of $1m contributed to shelter and </w:t>
      </w:r>
      <w:r w:rsidR="0081485A">
        <w:t xml:space="preserve">food for </w:t>
      </w:r>
      <w:r w:rsidR="00E53699">
        <w:t xml:space="preserve">over 3000 families in the </w:t>
      </w:r>
      <w:proofErr w:type="spellStart"/>
      <w:r w:rsidR="00E53699">
        <w:t>Mentawai</w:t>
      </w:r>
      <w:proofErr w:type="spellEnd"/>
      <w:r w:rsidR="00E53699">
        <w:t xml:space="preserve"> Islands and up to 100 000 people in the Mt </w:t>
      </w:r>
      <w:proofErr w:type="spellStart"/>
      <w:r w:rsidR="00E53699">
        <w:t>Merapi</w:t>
      </w:r>
      <w:proofErr w:type="spellEnd"/>
      <w:r w:rsidR="00E53699">
        <w:t xml:space="preserve"> area. </w:t>
      </w:r>
    </w:p>
    <w:p w:rsidR="0035158D" w:rsidRDefault="00D1774A" w:rsidP="00327837">
      <w:pPr>
        <w:pStyle w:val="BodyText"/>
        <w:numPr>
          <w:ilvl w:val="0"/>
          <w:numId w:val="19"/>
        </w:numPr>
      </w:pPr>
      <w:r>
        <w:t>R</w:t>
      </w:r>
      <w:r w:rsidR="0035158D">
        <w:t>educed transmission of HIV amongst injecting drug users (net new infections estimated to be declining in this group now) and doubl</w:t>
      </w:r>
      <w:r w:rsidR="0081485A">
        <w:t>ing of</w:t>
      </w:r>
      <w:r w:rsidR="0035158D">
        <w:t xml:space="preserve"> the number of patients on anti-retroviral drug therapy since 2008.  We </w:t>
      </w:r>
      <w:r w:rsidR="0081485A">
        <w:t xml:space="preserve">also </w:t>
      </w:r>
      <w:r w:rsidR="0035158D">
        <w:t>provided 75,000 people in the Papuan provinces with HIV prevention information and materials.</w:t>
      </w:r>
    </w:p>
    <w:p w:rsidR="0035158D" w:rsidRDefault="0081485A" w:rsidP="0035158D">
      <w:pPr>
        <w:pStyle w:val="BodyText"/>
        <w:numPr>
          <w:ilvl w:val="0"/>
          <w:numId w:val="19"/>
        </w:numPr>
      </w:pPr>
      <w:r>
        <w:t>T</w:t>
      </w:r>
      <w:r w:rsidR="0035158D">
        <w:t>rain</w:t>
      </w:r>
      <w:r>
        <w:t>ing</w:t>
      </w:r>
      <w:r w:rsidR="0035158D">
        <w:t xml:space="preserve"> 5000 health workers and community health volunteers in NTT and renovat</w:t>
      </w:r>
      <w:r>
        <w:t>ing</w:t>
      </w:r>
      <w:r w:rsidR="0035158D">
        <w:t xml:space="preserve"> 24 birthing wards which</w:t>
      </w:r>
      <w:r w:rsidR="00CB5DB0">
        <w:t>, in 2010</w:t>
      </w:r>
      <w:r w:rsidR="0035158D">
        <w:t xml:space="preserve"> is estimated to have saved the lives of </w:t>
      </w:r>
      <w:r w:rsidR="008645D5">
        <w:t>370</w:t>
      </w:r>
      <w:r w:rsidR="0035158D">
        <w:t xml:space="preserve"> women and their babies in nine districts across NTT.</w:t>
      </w:r>
    </w:p>
    <w:p w:rsidR="0035158D" w:rsidRDefault="00D1774A" w:rsidP="0035158D">
      <w:pPr>
        <w:pStyle w:val="BodyText"/>
        <w:numPr>
          <w:ilvl w:val="0"/>
          <w:numId w:val="19"/>
        </w:numPr>
      </w:pPr>
      <w:r>
        <w:t>C</w:t>
      </w:r>
      <w:r w:rsidR="0035158D">
        <w:t>ommenc</w:t>
      </w:r>
      <w:r w:rsidR="0081485A">
        <w:t>ing</w:t>
      </w:r>
      <w:r w:rsidR="0035158D">
        <w:t xml:space="preserve"> construction on a further 8 national road</w:t>
      </w:r>
      <w:r w:rsidR="006B4689">
        <w:t>s</w:t>
      </w:r>
      <w:r w:rsidR="0035158D">
        <w:t xml:space="preserve"> </w:t>
      </w:r>
      <w:r w:rsidR="006B4689">
        <w:t>in</w:t>
      </w:r>
      <w:r w:rsidR="0035158D">
        <w:t xml:space="preserve"> </w:t>
      </w:r>
      <w:smartTag w:uri="urn:schemas-microsoft-com:office:smarttags" w:element="place">
        <w:r w:rsidR="0035158D">
          <w:t>Eastern Indonesia</w:t>
        </w:r>
      </w:smartTag>
      <w:r w:rsidR="0035158D">
        <w:t>.</w:t>
      </w:r>
    </w:p>
    <w:p w:rsidR="00303DF9" w:rsidRDefault="00D1774A" w:rsidP="0035158D">
      <w:pPr>
        <w:pStyle w:val="BodyText"/>
        <w:numPr>
          <w:ilvl w:val="0"/>
          <w:numId w:val="19"/>
        </w:numPr>
      </w:pPr>
      <w:r>
        <w:t>A</w:t>
      </w:r>
      <w:r w:rsidR="0035158D">
        <w:t>ward</w:t>
      </w:r>
      <w:r w:rsidR="0081485A">
        <w:t>ing</w:t>
      </w:r>
      <w:r w:rsidR="000C7EF5">
        <w:t xml:space="preserve"> </w:t>
      </w:r>
      <w:r w:rsidR="0035158D">
        <w:t xml:space="preserve">376  scholarships to Indonesians, of which </w:t>
      </w:r>
      <w:r w:rsidR="0081485A">
        <w:t>half went to</w:t>
      </w:r>
      <w:r w:rsidR="0035158D">
        <w:t xml:space="preserve"> female</w:t>
      </w:r>
      <w:r w:rsidR="0081485A">
        <w:t>s</w:t>
      </w:r>
      <w:r w:rsidR="0035158D">
        <w:t>.</w:t>
      </w:r>
      <w:r w:rsidR="008645D5">
        <w:t xml:space="preserve"> </w:t>
      </w:r>
      <w:r w:rsidR="0035158D">
        <w:t xml:space="preserve">Awards to targeted regions in </w:t>
      </w:r>
      <w:smartTag w:uri="urn:schemas-microsoft-com:office:smarttags" w:element="place">
        <w:smartTag w:uri="urn:schemas-microsoft-com:office:smarttags" w:element="country-region">
          <w:r w:rsidR="0035158D">
            <w:t>Indonesia</w:t>
          </w:r>
        </w:smartTag>
      </w:smartTag>
      <w:r w:rsidR="0035158D">
        <w:t xml:space="preserve"> increased to 23% (up from 15% in 2009), demonstrating the success of programs to address specific barriers to access in remote regions. </w:t>
      </w:r>
      <w:r w:rsidR="008E4154">
        <w:t>Indonesia continued to receive the highest number of regionally competitive Australian Leadership A</w:t>
      </w:r>
      <w:r w:rsidR="00303DF9">
        <w:t>wards of any eligible country.</w:t>
      </w:r>
    </w:p>
    <w:p w:rsidR="00303DF9" w:rsidRDefault="00303DF9" w:rsidP="00303DF9">
      <w:pPr>
        <w:pStyle w:val="Subtitle"/>
        <w:rPr>
          <w:rFonts w:ascii="Georgia" w:hAnsi="Georgia"/>
          <w:sz w:val="19"/>
          <w:szCs w:val="19"/>
        </w:rPr>
      </w:pPr>
      <w:r>
        <w:br w:type="page"/>
      </w:r>
    </w:p>
    <w:p w:rsidR="00501057" w:rsidRDefault="0035158D" w:rsidP="00AD591F">
      <w:pPr>
        <w:pStyle w:val="H2A"/>
      </w:pPr>
      <w:r>
        <w:lastRenderedPageBreak/>
        <w:t xml:space="preserve">Major </w:t>
      </w:r>
      <w:r w:rsidR="0009109C">
        <w:t xml:space="preserve">quality successes, </w:t>
      </w:r>
      <w:r>
        <w:t>issues a</w:t>
      </w:r>
      <w:r w:rsidRPr="004013C7">
        <w:t>nd challenges</w:t>
      </w:r>
    </w:p>
    <w:p w:rsidR="004E0277" w:rsidRPr="004D7D20" w:rsidRDefault="0081485A" w:rsidP="004E0277">
      <w:pPr>
        <w:pStyle w:val="BodyText"/>
        <w:rPr>
          <w:rFonts w:ascii="Calibri" w:hAnsi="Calibri"/>
        </w:rPr>
      </w:pPr>
      <w:r>
        <w:t>In 2010, a</w:t>
      </w:r>
      <w:r w:rsidR="004E0277">
        <w:t xml:space="preserve"> mid-term review look</w:t>
      </w:r>
      <w:r w:rsidR="00DD1098">
        <w:t>ed</w:t>
      </w:r>
      <w:r w:rsidR="004E0277">
        <w:t xml:space="preserve"> at the program’s progress in executing the 2008-13 Indonesia Country Strategy.</w:t>
      </w:r>
      <w:r w:rsidR="00DD1098">
        <w:t xml:space="preserve"> </w:t>
      </w:r>
      <w:r w:rsidR="004E0277">
        <w:t xml:space="preserve"> The review found that the program was </w:t>
      </w:r>
      <w:r w:rsidR="00DD1098">
        <w:t>on track</w:t>
      </w:r>
      <w:r w:rsidR="004E0277">
        <w:t xml:space="preserve"> in key areas such as infrastructure, education, social protection, scholarships, disaster management and decentralisation.  However </w:t>
      </w:r>
      <w:r w:rsidR="00DD1098">
        <w:t>it</w:t>
      </w:r>
      <w:r w:rsidR="004E0277">
        <w:t xml:space="preserve"> also identified a number of </w:t>
      </w:r>
      <w:r w:rsidR="004E0277" w:rsidRPr="007B1027">
        <w:t>constraints on staff effectiveness, morale and ability to deliver a high-quality program.  The</w:t>
      </w:r>
      <w:r w:rsidR="004E0277">
        <w:t xml:space="preserve"> review made seven major recommendations, which were all agreed by the management team and formed the basis of </w:t>
      </w:r>
      <w:r w:rsidR="00DD1098">
        <w:t>actions</w:t>
      </w:r>
      <w:r w:rsidR="004E0277">
        <w:t xml:space="preserve"> to be taken up in 2011 and beyond.</w:t>
      </w:r>
    </w:p>
    <w:p w:rsidR="00B14D34" w:rsidRDefault="00DD1098" w:rsidP="00B14D34">
      <w:pPr>
        <w:pStyle w:val="BodyText"/>
      </w:pPr>
      <w:r>
        <w:t>M</w:t>
      </w:r>
      <w:r w:rsidR="00501057">
        <w:t xml:space="preserve">onitoring and </w:t>
      </w:r>
      <w:r w:rsidR="00536141">
        <w:t>evaluation</w:t>
      </w:r>
      <w:r w:rsidR="00501057">
        <w:t xml:space="preserve"> of the </w:t>
      </w:r>
      <w:smartTag w:uri="urn:schemas-microsoft-com:office:smarttags" w:element="place">
        <w:smartTag w:uri="urn:schemas-microsoft-com:office:smarttags" w:element="country-region">
          <w:r w:rsidR="00501057">
            <w:t>Indonesia</w:t>
          </w:r>
        </w:smartTag>
      </w:smartTag>
      <w:r w:rsidR="00501057">
        <w:t xml:space="preserve"> program </w:t>
      </w:r>
      <w:r w:rsidR="00704257">
        <w:t>was identified as a key area for further improvement in the mid-term review</w:t>
      </w:r>
      <w:r w:rsidR="005B1986">
        <w:t>.</w:t>
      </w:r>
      <w:r w:rsidR="00501057">
        <w:t xml:space="preserve"> In 2010 </w:t>
      </w:r>
      <w:r w:rsidR="00204550">
        <w:t>a</w:t>
      </w:r>
      <w:r w:rsidR="00B14D34">
        <w:t>n Evaluation Capacity Building Program (ECBP)</w:t>
      </w:r>
      <w:r w:rsidR="00501057">
        <w:t xml:space="preserve"> was developed and implemented</w:t>
      </w:r>
      <w:r w:rsidR="00B14D34">
        <w:t xml:space="preserve"> for Jakarta</w:t>
      </w:r>
      <w:r w:rsidR="00536141">
        <w:t>-</w:t>
      </w:r>
      <w:r w:rsidR="00B14D34">
        <w:t xml:space="preserve">based </w:t>
      </w:r>
      <w:proofErr w:type="spellStart"/>
      <w:r w:rsidR="00B14D34">
        <w:t>AusAID</w:t>
      </w:r>
      <w:proofErr w:type="spellEnd"/>
      <w:r w:rsidR="00B14D34">
        <w:t xml:space="preserve"> staff.  A five</w:t>
      </w:r>
      <w:r w:rsidR="000C4341">
        <w:t>-</w:t>
      </w:r>
      <w:r w:rsidR="00B14D34">
        <w:t xml:space="preserve">year undertaking, the ECBP aims to equip staff with the </w:t>
      </w:r>
      <w:r w:rsidR="00204550">
        <w:t xml:space="preserve">skills </w:t>
      </w:r>
      <w:r w:rsidR="00B14D34">
        <w:t>and tools to focus on aid quality and results.</w:t>
      </w:r>
    </w:p>
    <w:p w:rsidR="006B2F3C" w:rsidRDefault="006B2F3C" w:rsidP="004E0277">
      <w:pPr>
        <w:pStyle w:val="BodyText"/>
      </w:pPr>
      <w:r>
        <w:t xml:space="preserve">Some progress was made in consolidating the program. </w:t>
      </w:r>
      <w:r w:rsidR="00536141">
        <w:t>In 2010, t</w:t>
      </w:r>
      <w:r>
        <w:t xml:space="preserve">he number of initiatives in the </w:t>
      </w:r>
      <w:proofErr w:type="spellStart"/>
      <w:r>
        <w:t>AusAID</w:t>
      </w:r>
      <w:proofErr w:type="spellEnd"/>
      <w:r>
        <w:t xml:space="preserve"> portfolio was reduced from 110 to 95, despite</w:t>
      </w:r>
      <w:r w:rsidR="00AC190A">
        <w:t xml:space="preserve"> a</w:t>
      </w:r>
      <w:r>
        <w:t xml:space="preserve"> modest </w:t>
      </w:r>
      <w:r w:rsidR="00AC190A">
        <w:t xml:space="preserve">increase in </w:t>
      </w:r>
      <w:r>
        <w:t>expenditure.</w:t>
      </w:r>
      <w:r w:rsidR="00F3081D">
        <w:t xml:space="preserve">  E</w:t>
      </w:r>
      <w:r w:rsidR="006F0920">
        <w:t xml:space="preserve">fforts </w:t>
      </w:r>
      <w:r w:rsidR="00F3081D">
        <w:t xml:space="preserve">to consolidate the program </w:t>
      </w:r>
      <w:r w:rsidR="006F0920">
        <w:t xml:space="preserve">will continue </w:t>
      </w:r>
      <w:r w:rsidR="00F3081D">
        <w:t xml:space="preserve">by focusing scale-up to two or three big sectors where </w:t>
      </w:r>
      <w:smartTag w:uri="urn:schemas-microsoft-com:office:smarttags" w:element="place">
        <w:smartTag w:uri="urn:schemas-microsoft-com:office:smarttags" w:element="country-region">
          <w:r w:rsidR="00F3081D">
            <w:t>Australia</w:t>
          </w:r>
        </w:smartTag>
      </w:smartTag>
      <w:r w:rsidR="00F3081D">
        <w:t xml:space="preserve"> can take a leadership role.  H</w:t>
      </w:r>
      <w:r w:rsidR="006F0920">
        <w:t xml:space="preserve">owever </w:t>
      </w:r>
      <w:r w:rsidR="00F3081D">
        <w:t>given the profile and importance of the Australian aid program</w:t>
      </w:r>
      <w:r w:rsidR="0099016F">
        <w:t xml:space="preserve"> to </w:t>
      </w:r>
      <w:smartTag w:uri="urn:schemas-microsoft-com:office:smarttags" w:element="country-region">
        <w:smartTag w:uri="urn:schemas-microsoft-com:office:smarttags" w:element="place">
          <w:r w:rsidR="0099016F">
            <w:t>Indonesia</w:t>
          </w:r>
        </w:smartTag>
      </w:smartTag>
      <w:r w:rsidR="00F3081D">
        <w:t>, it is unlikely that the breadth of the program will change.</w:t>
      </w:r>
    </w:p>
    <w:p w:rsidR="004E0277" w:rsidRDefault="004E0277" w:rsidP="004E0277">
      <w:pPr>
        <w:pStyle w:val="BodyText"/>
      </w:pPr>
      <w:r>
        <w:t xml:space="preserve">In 2010 the program conducted eight Independent Completion Reviews (ICRs).  In six of the reviews the findings were positive while in the </w:t>
      </w:r>
      <w:r w:rsidR="00AC190A">
        <w:t xml:space="preserve">other </w:t>
      </w:r>
      <w:r>
        <w:t xml:space="preserve">two concerns were raised about performance.  </w:t>
      </w:r>
      <w:r w:rsidR="006F0E7B">
        <w:t>Many of</w:t>
      </w:r>
      <w:r>
        <w:t xml:space="preserve"> the recommendations in the ICRs have been taken up in the successor programs now being implemented.  Other observations included a need for the program to strengthen designs and have better </w:t>
      </w:r>
      <w:r w:rsidR="00657D43">
        <w:t>monitoring and evaluation</w:t>
      </w:r>
      <w:r>
        <w:t xml:space="preserve"> systems to facilitate stronger evidence</w:t>
      </w:r>
      <w:r w:rsidR="006F0E7B">
        <w:t>-</w:t>
      </w:r>
      <w:r>
        <w:t>based assessments.  The ECB program for staff now underway</w:t>
      </w:r>
      <w:r w:rsidR="00657D43">
        <w:t xml:space="preserve"> aims to address this</w:t>
      </w:r>
      <w:r>
        <w:t xml:space="preserve"> and plans to </w:t>
      </w:r>
      <w:r w:rsidR="00AC190A">
        <w:t>introduce</w:t>
      </w:r>
      <w:r w:rsidR="006F0E7B">
        <w:t xml:space="preserve"> </w:t>
      </w:r>
      <w:r>
        <w:t>in-house design expertise.</w:t>
      </w:r>
    </w:p>
    <w:p w:rsidR="005C06FE" w:rsidRDefault="005C06FE" w:rsidP="005C06FE">
      <w:pPr>
        <w:pStyle w:val="BodyText"/>
      </w:pPr>
      <w:smartTag w:uri="urn:schemas-microsoft-com:office:smarttags" w:element="place">
        <w:smartTag w:uri="urn:schemas-microsoft-com:office:smarttags" w:element="country-region">
          <w:r>
            <w:t>Australia</w:t>
          </w:r>
        </w:smartTag>
      </w:smartTag>
      <w:r>
        <w:t>’s aid program strengthened partnership</w:t>
      </w:r>
      <w:r w:rsidR="006F0E7B">
        <w:t>s</w:t>
      </w:r>
      <w:r>
        <w:t xml:space="preserve"> with other key donors in 2010, particular</w:t>
      </w:r>
      <w:r w:rsidR="006F0E7B">
        <w:t>ly</w:t>
      </w:r>
      <w:r>
        <w:t xml:space="preserve"> the World Bank and USAID.  A ‘model of cooperation’ developed with the World Bank provides close collaborative engagement in sectors </w:t>
      </w:r>
      <w:r w:rsidR="006F0E7B">
        <w:t>of</w:t>
      </w:r>
      <w:r>
        <w:t xml:space="preserve"> mutual interest.  </w:t>
      </w:r>
      <w:r w:rsidR="00AC190A">
        <w:t>E</w:t>
      </w:r>
      <w:r>
        <w:t>nter</w:t>
      </w:r>
      <w:r w:rsidR="00AC190A">
        <w:t>ing</w:t>
      </w:r>
      <w:r>
        <w:t xml:space="preserve"> into its first delegated cooperation in </w:t>
      </w:r>
      <w:smartTag w:uri="urn:schemas-microsoft-com:office:smarttags" w:element="country-region">
        <w:r>
          <w:t>Indonesia</w:t>
        </w:r>
      </w:smartTag>
      <w:r w:rsidR="00AC190A">
        <w:t>, USAID</w:t>
      </w:r>
      <w:r>
        <w:t xml:space="preserve"> </w:t>
      </w:r>
      <w:r w:rsidR="00AC190A">
        <w:t xml:space="preserve">provided </w:t>
      </w:r>
      <w:r>
        <w:t xml:space="preserve">$5 million dollars to </w:t>
      </w:r>
      <w:proofErr w:type="spellStart"/>
      <w:r>
        <w:t>AusAID</w:t>
      </w:r>
      <w:proofErr w:type="spellEnd"/>
      <w:r>
        <w:t xml:space="preserve"> to reconstruct schools damaged during the 2009 earthquakes in West Java and </w:t>
      </w:r>
      <w:smartTag w:uri="urn:schemas-microsoft-com:office:smarttags" w:element="place">
        <w:r>
          <w:t>West Sumatra</w:t>
        </w:r>
      </w:smartTag>
      <w:r>
        <w:t xml:space="preserve">. </w:t>
      </w:r>
      <w:proofErr w:type="spellStart"/>
      <w:r>
        <w:t>AusAID</w:t>
      </w:r>
      <w:proofErr w:type="spellEnd"/>
      <w:r>
        <w:t xml:space="preserve"> took the lead in donor coordination in the Education Sector</w:t>
      </w:r>
      <w:r w:rsidR="00AC190A">
        <w:t>,</w:t>
      </w:r>
      <w:r>
        <w:t xml:space="preserve"> resurrecting the Education Sector Working Group which it co-chairs with the Vice Minister for Education.  Australia also chaired the informal donor working group on Decentralisation.</w:t>
      </w:r>
    </w:p>
    <w:p w:rsidR="007D7F78" w:rsidRPr="005B1986" w:rsidRDefault="007D7F78" w:rsidP="00B14D34">
      <w:pPr>
        <w:pStyle w:val="BodyText"/>
        <w:rPr>
          <w:highlight w:val="yellow"/>
        </w:rPr>
      </w:pPr>
      <w:r>
        <w:t>G</w:t>
      </w:r>
      <w:r w:rsidR="005B1986">
        <w:t xml:space="preserve">ender equality </w:t>
      </w:r>
      <w:r>
        <w:t xml:space="preserve">remains </w:t>
      </w:r>
      <w:r w:rsidR="005B1986">
        <w:t xml:space="preserve">a core objective </w:t>
      </w:r>
      <w:r w:rsidR="00AC190A">
        <w:t xml:space="preserve">for </w:t>
      </w:r>
      <w:r w:rsidR="005B1986">
        <w:t xml:space="preserve">the program. </w:t>
      </w:r>
      <w:r w:rsidR="00AC190A">
        <w:t>O</w:t>
      </w:r>
      <w:r w:rsidR="005B1986">
        <w:t>ver 50% of program spending is on activities that have primary or secondary objectives of improving gender equality. A</w:t>
      </w:r>
      <w:r w:rsidR="005B1986" w:rsidRPr="005B1986">
        <w:t xml:space="preserve"> gender</w:t>
      </w:r>
      <w:r w:rsidR="005B1986">
        <w:t xml:space="preserve"> unit</w:t>
      </w:r>
      <w:r w:rsidR="005B1986" w:rsidRPr="005B1986">
        <w:t xml:space="preserve"> established at Jakarta Post this year</w:t>
      </w:r>
      <w:r w:rsidR="005B1986">
        <w:t xml:space="preserve"> </w:t>
      </w:r>
      <w:r>
        <w:t>is drawing</w:t>
      </w:r>
      <w:r w:rsidR="005B1986" w:rsidRPr="005B1986">
        <w:t xml:space="preserve"> greater attention to program-wide efforts to address gender equity issues in Indonesia and build the capacity of staff to assess gender i</w:t>
      </w:r>
      <w:r w:rsidR="00CA77B2">
        <w:t>ssues at the initiative level.</w:t>
      </w:r>
    </w:p>
    <w:p w:rsidR="00B14D34" w:rsidRDefault="00B14D34" w:rsidP="00B14D34">
      <w:pPr>
        <w:pStyle w:val="BodyText"/>
      </w:pPr>
      <w:r>
        <w:t xml:space="preserve">The incidence of reported fraud in the </w:t>
      </w:r>
      <w:smartTag w:uri="urn:schemas-microsoft-com:office:smarttags" w:element="place">
        <w:smartTag w:uri="urn:schemas-microsoft-com:office:smarttags" w:element="country-region">
          <w:r>
            <w:t>Indonesia</w:t>
          </w:r>
        </w:smartTag>
      </w:smartTag>
      <w:r>
        <w:t xml:space="preserve"> </w:t>
      </w:r>
      <w:r w:rsidR="004E0277">
        <w:t xml:space="preserve">program </w:t>
      </w:r>
      <w:r>
        <w:t xml:space="preserve">remains low, </w:t>
      </w:r>
      <w:r w:rsidR="004C1446">
        <w:t xml:space="preserve">totalling </w:t>
      </w:r>
      <w:r>
        <w:t xml:space="preserve">less than one-tenth of one </w:t>
      </w:r>
      <w:proofErr w:type="spellStart"/>
      <w:r>
        <w:t>percent</w:t>
      </w:r>
      <w:proofErr w:type="spellEnd"/>
      <w:r>
        <w:t xml:space="preserve"> of expenditure between 2007 and 2010.  The program currently has 31 active cases of fraud dating back to March 2007 involving $379,847.  In nine of the cases funds were fully recovered while investigations by Indonesian authorities are continuing in </w:t>
      </w:r>
      <w:r w:rsidR="004C1446">
        <w:t>most</w:t>
      </w:r>
      <w:r>
        <w:t xml:space="preserve"> </w:t>
      </w:r>
      <w:r w:rsidR="00A12FD2">
        <w:t xml:space="preserve">of the </w:t>
      </w:r>
      <w:r w:rsidR="004E0277">
        <w:t xml:space="preserve">remaining </w:t>
      </w:r>
      <w:r>
        <w:t>cases.</w:t>
      </w:r>
    </w:p>
    <w:p w:rsidR="00B14D34" w:rsidRDefault="007B7582" w:rsidP="00B14D34">
      <w:pPr>
        <w:pStyle w:val="BodyText"/>
      </w:pPr>
      <w:r>
        <w:t>In order to s</w:t>
      </w:r>
      <w:r w:rsidR="00B14D34">
        <w:t>trengthe</w:t>
      </w:r>
      <w:r>
        <w:t>n</w:t>
      </w:r>
      <w:r w:rsidR="00B14D34">
        <w:t xml:space="preserve"> the program</w:t>
      </w:r>
      <w:r w:rsidR="004E0277">
        <w:t>’</w:t>
      </w:r>
      <w:r w:rsidR="00B14D34">
        <w:t>s capacity to assess fiduciary risk</w:t>
      </w:r>
      <w:r>
        <w:t>,</w:t>
      </w:r>
      <w:r w:rsidR="00B14D34">
        <w:t xml:space="preserve"> a dedicated Public Financial Management team</w:t>
      </w:r>
      <w:r>
        <w:t xml:space="preserve"> has been created</w:t>
      </w:r>
      <w:r w:rsidR="00B14D34">
        <w:t xml:space="preserve">.  This team will </w:t>
      </w:r>
      <w:r>
        <w:t>also</w:t>
      </w:r>
      <w:r w:rsidR="00B14D34">
        <w:t xml:space="preserve"> devise measures to build </w:t>
      </w:r>
      <w:r w:rsidR="00B14D34">
        <w:lastRenderedPageBreak/>
        <w:t xml:space="preserve">capacity in </w:t>
      </w:r>
      <w:proofErr w:type="spellStart"/>
      <w:r w:rsidR="00B14D34">
        <w:t>G</w:t>
      </w:r>
      <w:r w:rsidR="00936D2A">
        <w:t>o</w:t>
      </w:r>
      <w:r w:rsidR="00B14D34">
        <w:t>I</w:t>
      </w:r>
      <w:proofErr w:type="spellEnd"/>
      <w:r w:rsidR="00B14D34">
        <w:t xml:space="preserve"> agencies as the program increasingly uses partner government systems as a mode of delivery.  </w:t>
      </w:r>
      <w:r w:rsidR="000C7EF5">
        <w:t>A</w:t>
      </w:r>
      <w:r w:rsidR="00B14D34">
        <w:t xml:space="preserve"> fraud and risk assessment expert</w:t>
      </w:r>
      <w:r>
        <w:t>, to be</w:t>
      </w:r>
      <w:r w:rsidR="000C7EF5">
        <w:t xml:space="preserve"> engaged </w:t>
      </w:r>
      <w:r w:rsidR="00B14D34">
        <w:t>in 2011</w:t>
      </w:r>
      <w:r w:rsidR="000C7EF5">
        <w:t>,</w:t>
      </w:r>
      <w:r>
        <w:t xml:space="preserve"> </w:t>
      </w:r>
      <w:r w:rsidR="000C7EF5">
        <w:t>will prioritise the development of a new risk management strategy for the Program</w:t>
      </w:r>
      <w:r w:rsidR="00B14D34">
        <w:t>.</w:t>
      </w:r>
    </w:p>
    <w:p w:rsidR="00B14D34" w:rsidRDefault="00B14D34" w:rsidP="00B14D34">
      <w:pPr>
        <w:pStyle w:val="BodyText"/>
      </w:pPr>
      <w:r>
        <w:t xml:space="preserve">A review of all long-term adviser positions funded by the </w:t>
      </w:r>
      <w:smartTag w:uri="urn:schemas-microsoft-com:office:smarttags" w:element="place">
        <w:smartTag w:uri="urn:schemas-microsoft-com:office:smarttags" w:element="country-region">
          <w:r>
            <w:t>Indonesia</w:t>
          </w:r>
        </w:smartTag>
      </w:smartTag>
      <w:r>
        <w:t xml:space="preserve"> program was undertaken in </w:t>
      </w:r>
      <w:r w:rsidR="007B7582">
        <w:t>late</w:t>
      </w:r>
      <w:r>
        <w:t xml:space="preserve"> 2010.  </w:t>
      </w:r>
      <w:r w:rsidR="00E61E65">
        <w:t>A</w:t>
      </w:r>
      <w:r w:rsidR="00A727E9">
        <w:t xml:space="preserve">s </w:t>
      </w:r>
      <w:r>
        <w:t xml:space="preserve">at December 2010 the </w:t>
      </w:r>
      <w:smartTag w:uri="urn:schemas-microsoft-com:office:smarttags" w:element="place">
        <w:smartTag w:uri="urn:schemas-microsoft-com:office:smarttags" w:element="country-region">
          <w:r>
            <w:t>Indonesia</w:t>
          </w:r>
        </w:smartTag>
      </w:smartTag>
      <w:r>
        <w:t xml:space="preserve"> program employed 156 long-term advisers across 26 programs. </w:t>
      </w:r>
      <w:r w:rsidR="00E61E65">
        <w:t>The review found that</w:t>
      </w:r>
      <w:r>
        <w:t xml:space="preserve"> </w:t>
      </w:r>
      <w:proofErr w:type="spellStart"/>
      <w:r w:rsidR="00E61E65">
        <w:t>G</w:t>
      </w:r>
      <w:r w:rsidR="00936D2A">
        <w:t>o</w:t>
      </w:r>
      <w:r w:rsidR="00E61E65">
        <w:t>I</w:t>
      </w:r>
      <w:proofErr w:type="spellEnd"/>
      <w:r w:rsidR="00E61E65">
        <w:t xml:space="preserve"> counterparts highly value the technical assistance provided by </w:t>
      </w:r>
      <w:smartTag w:uri="urn:schemas-microsoft-com:office:smarttags" w:element="place">
        <w:smartTag w:uri="urn:schemas-microsoft-com:office:smarttags" w:element="country-region">
          <w:r w:rsidR="00E61E65">
            <w:t>Australia</w:t>
          </w:r>
        </w:smartTag>
      </w:smartTag>
      <w:r w:rsidR="00E61E65">
        <w:t xml:space="preserve"> and </w:t>
      </w:r>
      <w:r w:rsidR="007B7582">
        <w:t>want</w:t>
      </w:r>
      <w:r w:rsidR="00E61E65">
        <w:t xml:space="preserve"> it </w:t>
      </w:r>
      <w:r w:rsidR="007B7582">
        <w:t xml:space="preserve">to </w:t>
      </w:r>
      <w:r w:rsidR="00E61E65">
        <w:t>continue. 91 per cent of the existing long-term adviser positions were rated as high priority</w:t>
      </w:r>
      <w:r w:rsidR="007B7582">
        <w:t>, while t</w:t>
      </w:r>
      <w:r w:rsidR="00E61E65">
        <w:t xml:space="preserve">he remaining positions </w:t>
      </w:r>
      <w:r w:rsidR="00EE150A">
        <w:t>will be</w:t>
      </w:r>
      <w:r w:rsidR="00E61E65">
        <w:t xml:space="preserve"> phase</w:t>
      </w:r>
      <w:r w:rsidR="00EE150A">
        <w:t>d</w:t>
      </w:r>
      <w:r w:rsidR="00E61E65">
        <w:t xml:space="preserve"> out. T</w:t>
      </w:r>
      <w:r>
        <w:t xml:space="preserve">he </w:t>
      </w:r>
      <w:r w:rsidR="00EE150A">
        <w:t xml:space="preserve">review found that </w:t>
      </w:r>
      <w:r>
        <w:t xml:space="preserve">long-term adviser costs </w:t>
      </w:r>
      <w:r w:rsidR="00EE150A">
        <w:t xml:space="preserve">represented around five </w:t>
      </w:r>
      <w:proofErr w:type="spellStart"/>
      <w:r w:rsidR="00EE150A">
        <w:t>percent</w:t>
      </w:r>
      <w:proofErr w:type="spellEnd"/>
      <w:r w:rsidR="00EE150A">
        <w:t xml:space="preserve"> of </w:t>
      </w:r>
      <w:r>
        <w:t xml:space="preserve">total annual expenditure.  </w:t>
      </w:r>
      <w:r w:rsidR="00EE150A">
        <w:t>A</w:t>
      </w:r>
      <w:r>
        <w:t xml:space="preserve"> </w:t>
      </w:r>
      <w:r w:rsidR="00EE150A">
        <w:t xml:space="preserve">planned </w:t>
      </w:r>
      <w:r>
        <w:t xml:space="preserve">remuneration framework </w:t>
      </w:r>
      <w:r w:rsidR="00EE150A">
        <w:t>will</w:t>
      </w:r>
      <w:r w:rsidR="00A727E9">
        <w:t xml:space="preserve"> </w:t>
      </w:r>
      <w:r>
        <w:t>guid</w:t>
      </w:r>
      <w:r w:rsidR="00A727E9">
        <w:t>e the</w:t>
      </w:r>
      <w:r>
        <w:t xml:space="preserve"> recruitment of national (Indonesian)</w:t>
      </w:r>
      <w:r w:rsidR="00303DF9">
        <w:t xml:space="preserve"> advisers. </w:t>
      </w:r>
    </w:p>
    <w:p w:rsidR="0035158D" w:rsidRDefault="0035158D" w:rsidP="0035158D">
      <w:pPr>
        <w:pStyle w:val="BodyText"/>
      </w:pPr>
      <w:r>
        <w:t xml:space="preserve">Other key challenges during the year included: </w:t>
      </w:r>
    </w:p>
    <w:p w:rsidR="0035158D" w:rsidRDefault="0009109C" w:rsidP="0035158D">
      <w:pPr>
        <w:pStyle w:val="BodyText"/>
        <w:numPr>
          <w:ilvl w:val="0"/>
          <w:numId w:val="20"/>
        </w:numPr>
      </w:pPr>
      <w:r>
        <w:t>S</w:t>
      </w:r>
      <w:r w:rsidR="0035158D">
        <w:t>upporting the Government of Indonesia</w:t>
      </w:r>
      <w:r w:rsidR="00EE150A">
        <w:t xml:space="preserve"> to</w:t>
      </w:r>
      <w:r w:rsidR="0035158D">
        <w:t xml:space="preserve"> improve its contract supervision of national roads contracts to better manage poor performance by contractors</w:t>
      </w:r>
      <w:r>
        <w:t>.</w:t>
      </w:r>
      <w:r w:rsidR="0035158D">
        <w:t xml:space="preserve"> </w:t>
      </w:r>
    </w:p>
    <w:p w:rsidR="0035158D" w:rsidRDefault="0009109C" w:rsidP="0035158D">
      <w:pPr>
        <w:pStyle w:val="BodyText"/>
        <w:numPr>
          <w:ilvl w:val="0"/>
          <w:numId w:val="20"/>
        </w:numPr>
      </w:pPr>
      <w:r>
        <w:t>E</w:t>
      </w:r>
      <w:r w:rsidR="0035158D">
        <w:t xml:space="preserve">stablishing strong relationships with senior </w:t>
      </w:r>
      <w:r w:rsidR="00A12FD2">
        <w:t xml:space="preserve">officials </w:t>
      </w:r>
      <w:r w:rsidR="0035158D">
        <w:t>in the Ministry of Finance given substantial ch</w:t>
      </w:r>
      <w:r>
        <w:t>anges in leadership during 2010.</w:t>
      </w:r>
    </w:p>
    <w:p w:rsidR="0035158D" w:rsidRDefault="0009109C" w:rsidP="0035158D">
      <w:pPr>
        <w:pStyle w:val="BodyText"/>
        <w:numPr>
          <w:ilvl w:val="0"/>
          <w:numId w:val="20"/>
        </w:numPr>
      </w:pPr>
      <w:r>
        <w:t>E</w:t>
      </w:r>
      <w:r w:rsidR="0035158D">
        <w:t xml:space="preserve">xpanding support for HIV/AIDS </w:t>
      </w:r>
      <w:r w:rsidR="00815FFB">
        <w:t xml:space="preserve">prevention </w:t>
      </w:r>
      <w:r w:rsidR="0035158D">
        <w:t>in the Papuan provinces including assisting the Clinton Health Access Initiative establish an effective presence in the region.</w:t>
      </w:r>
    </w:p>
    <w:p w:rsidR="0035158D" w:rsidRDefault="0009109C" w:rsidP="0035158D">
      <w:pPr>
        <w:pStyle w:val="BodyText"/>
        <w:numPr>
          <w:ilvl w:val="0"/>
          <w:numId w:val="20"/>
        </w:numPr>
      </w:pPr>
      <w:r>
        <w:t>S</w:t>
      </w:r>
      <w:r w:rsidR="0035158D">
        <w:t>ituating Australian support for climate change in Indonesia in the context of a rapidly evolving domestic context including</w:t>
      </w:r>
      <w:r w:rsidR="00865C74">
        <w:t xml:space="preserve"> a</w:t>
      </w:r>
      <w:r w:rsidR="0035158D">
        <w:t xml:space="preserve"> new $1 billion program of support from Norway</w:t>
      </w:r>
      <w:r w:rsidR="00CA77B2">
        <w:t xml:space="preserve">. </w:t>
      </w:r>
    </w:p>
    <w:p w:rsidR="0035158D" w:rsidRPr="00B14D34" w:rsidRDefault="0009109C" w:rsidP="00B14D34">
      <w:pPr>
        <w:pStyle w:val="BodyText"/>
        <w:numPr>
          <w:ilvl w:val="0"/>
          <w:numId w:val="20"/>
        </w:numPr>
      </w:pPr>
      <w:r>
        <w:t>D</w:t>
      </w:r>
      <w:r w:rsidR="0035158D">
        <w:t xml:space="preserve">ealing with the complexity of decentralisation and lack of capacity of districts in delivering </w:t>
      </w:r>
      <w:r w:rsidR="000C7EF5">
        <w:t xml:space="preserve">basic </w:t>
      </w:r>
      <w:r w:rsidR="0035158D">
        <w:t xml:space="preserve">services to the poor.  Key lessons include the need to find better feedback loops between lessons learned on the ground and national policy reform and the need for stronger policy coherence between various </w:t>
      </w:r>
      <w:proofErr w:type="spellStart"/>
      <w:r w:rsidR="0035158D">
        <w:t>AusAID</w:t>
      </w:r>
      <w:proofErr w:type="spellEnd"/>
      <w:r w:rsidR="0035158D">
        <w:t xml:space="preserve"> programs operating at the district level, at least in priority provinces.</w:t>
      </w:r>
    </w:p>
    <w:p w:rsidR="004013C7" w:rsidRDefault="004013C7" w:rsidP="00AD591F">
      <w:pPr>
        <w:pStyle w:val="H3A"/>
      </w:pPr>
      <w:bookmarkStart w:id="7" w:name="_Toc360981820"/>
      <w:r w:rsidRPr="003B213F">
        <w:t>Management Consequences</w:t>
      </w:r>
      <w:bookmarkEnd w:id="7"/>
      <w:r w:rsidRPr="003B213F">
        <w:t xml:space="preserve"> </w:t>
      </w:r>
    </w:p>
    <w:p w:rsidR="006447BC" w:rsidRDefault="00A727E9" w:rsidP="0009109C">
      <w:pPr>
        <w:pStyle w:val="BodyText"/>
      </w:pPr>
      <w:bookmarkStart w:id="8" w:name="_Toc293049942"/>
      <w:r>
        <w:t>K</w:t>
      </w:r>
      <w:r w:rsidR="006447BC">
        <w:t>ey priorities for management in 2011 include</w:t>
      </w:r>
      <w:r w:rsidR="0009109C">
        <w:t>:</w:t>
      </w:r>
      <w:r w:rsidR="006447BC">
        <w:t xml:space="preserve"> </w:t>
      </w:r>
    </w:p>
    <w:p w:rsidR="006447BC" w:rsidRDefault="00846081" w:rsidP="00A727E9">
      <w:pPr>
        <w:pStyle w:val="BodyText"/>
        <w:numPr>
          <w:ilvl w:val="0"/>
          <w:numId w:val="20"/>
        </w:numPr>
      </w:pPr>
      <w:r>
        <w:t xml:space="preserve">Starting </w:t>
      </w:r>
      <w:r w:rsidR="006447BC">
        <w:t>new programs in education, elections, justice, decentralisation, and emerging</w:t>
      </w:r>
      <w:r w:rsidR="0009109C">
        <w:t xml:space="preserve"> infectious diseases.</w:t>
      </w:r>
      <w:r w:rsidR="00CA77B2">
        <w:t xml:space="preserve"> </w:t>
      </w:r>
    </w:p>
    <w:p w:rsidR="0009109C" w:rsidRDefault="0009109C" w:rsidP="0009109C">
      <w:pPr>
        <w:pStyle w:val="BodyText"/>
        <w:numPr>
          <w:ilvl w:val="0"/>
          <w:numId w:val="20"/>
        </w:numPr>
      </w:pPr>
      <w:r>
        <w:t>F</w:t>
      </w:r>
      <w:r w:rsidR="006447BC">
        <w:t>inalising designs for health system support, women’s leadership, rural livelihoods and the knowledge sector</w:t>
      </w:r>
      <w:r>
        <w:t>.</w:t>
      </w:r>
    </w:p>
    <w:p w:rsidR="006447BC" w:rsidRDefault="0009109C" w:rsidP="0009109C">
      <w:pPr>
        <w:pStyle w:val="BodyText"/>
        <w:numPr>
          <w:ilvl w:val="0"/>
          <w:numId w:val="20"/>
        </w:numPr>
      </w:pPr>
      <w:r>
        <w:t>C</w:t>
      </w:r>
      <w:r w:rsidR="006447BC">
        <w:t xml:space="preserve">ommencing analytics and designs on disaster risk mitigation, infrastructure, a second climate change </w:t>
      </w:r>
      <w:r w:rsidR="006447BC" w:rsidRPr="008B12EC">
        <w:t xml:space="preserve">REDD </w:t>
      </w:r>
      <w:r w:rsidR="00916EB7" w:rsidRPr="008B12EC">
        <w:t>+ demonstration activity</w:t>
      </w:r>
      <w:r w:rsidR="006447BC">
        <w:t>, support for the Fiscal Policy Office and scholarships.</w:t>
      </w:r>
    </w:p>
    <w:p w:rsidR="006447BC" w:rsidRDefault="00846081" w:rsidP="0009109C">
      <w:pPr>
        <w:pStyle w:val="BodyText"/>
        <w:numPr>
          <w:ilvl w:val="0"/>
          <w:numId w:val="20"/>
        </w:numPr>
      </w:pPr>
      <w:r>
        <w:t>P</w:t>
      </w:r>
      <w:r w:rsidR="006447BC">
        <w:t xml:space="preserve">lanning </w:t>
      </w:r>
      <w:r>
        <w:t xml:space="preserve">for </w:t>
      </w:r>
      <w:r w:rsidR="006447BC">
        <w:t>the potential expansion of the progr</w:t>
      </w:r>
      <w:r w:rsidR="00A727E9">
        <w:t xml:space="preserve">am including analysis of where </w:t>
      </w:r>
      <w:r w:rsidR="006447BC">
        <w:t xml:space="preserve">further </w:t>
      </w:r>
      <w:proofErr w:type="spellStart"/>
      <w:r w:rsidR="006447BC">
        <w:t>AusAID</w:t>
      </w:r>
      <w:proofErr w:type="spellEnd"/>
      <w:r w:rsidR="006447BC">
        <w:t xml:space="preserve"> investments are likely to </w:t>
      </w:r>
      <w:r>
        <w:t>best impact on</w:t>
      </w:r>
      <w:r w:rsidR="006447BC">
        <w:t xml:space="preserve"> poverty alleviation</w:t>
      </w:r>
      <w:r w:rsidR="0099016F">
        <w:t>.</w:t>
      </w:r>
    </w:p>
    <w:p w:rsidR="0009109C" w:rsidRDefault="0009109C" w:rsidP="0009109C">
      <w:pPr>
        <w:pStyle w:val="BodyText"/>
        <w:numPr>
          <w:ilvl w:val="0"/>
          <w:numId w:val="20"/>
        </w:numPr>
      </w:pPr>
      <w:r>
        <w:t>E</w:t>
      </w:r>
      <w:r w:rsidR="006447BC">
        <w:t xml:space="preserve">stablishing a Policy and Analytical Unit under the Lead Economist that will strengthen the program’s analytical and research capacity and ability to engage in high level policy dialogue </w:t>
      </w:r>
      <w:r w:rsidR="00846081">
        <w:t xml:space="preserve">on reform </w:t>
      </w:r>
      <w:r w:rsidR="006447BC">
        <w:t>with Government of Indonesia</w:t>
      </w:r>
      <w:r>
        <w:t>.</w:t>
      </w:r>
    </w:p>
    <w:p w:rsidR="006447BC" w:rsidRDefault="0009109C" w:rsidP="0009109C">
      <w:pPr>
        <w:pStyle w:val="BodyText"/>
        <w:numPr>
          <w:ilvl w:val="0"/>
          <w:numId w:val="20"/>
        </w:numPr>
      </w:pPr>
      <w:r>
        <w:t>I</w:t>
      </w:r>
      <w:r w:rsidR="006447BC">
        <w:t xml:space="preserve">mplementing Mid Term Review recommendations including:  acquiring and using knowledge to engage in policy reform, including better understanding the gender </w:t>
      </w:r>
      <w:r w:rsidR="006447BC">
        <w:lastRenderedPageBreak/>
        <w:t xml:space="preserve">impacts of our program; improving people management and leadership so </w:t>
      </w:r>
      <w:proofErr w:type="spellStart"/>
      <w:r w:rsidR="006447BC">
        <w:t>AusAID</w:t>
      </w:r>
      <w:proofErr w:type="spellEnd"/>
      <w:r w:rsidR="006447BC">
        <w:t xml:space="preserve"> can continue to attract and retain high calibre staff; and improving </w:t>
      </w:r>
      <w:proofErr w:type="spellStart"/>
      <w:r w:rsidR="006447BC">
        <w:t>AusAID</w:t>
      </w:r>
      <w:proofErr w:type="spellEnd"/>
      <w:r w:rsidR="006447BC">
        <w:t xml:space="preserve"> Jakarta’s capacity to monitor and review the quality of the portfolio.</w:t>
      </w:r>
    </w:p>
    <w:p w:rsidR="006447BC" w:rsidRDefault="0009109C" w:rsidP="0009109C">
      <w:pPr>
        <w:pStyle w:val="BodyText"/>
        <w:numPr>
          <w:ilvl w:val="0"/>
          <w:numId w:val="20"/>
        </w:numPr>
      </w:pPr>
      <w:r>
        <w:t>S</w:t>
      </w:r>
      <w:r w:rsidR="006447BC">
        <w:t>trengthening portfolio risk management and fraud mitigation approaches</w:t>
      </w:r>
      <w:r w:rsidR="00846081">
        <w:t xml:space="preserve">, such as   </w:t>
      </w:r>
      <w:r w:rsidR="006447BC">
        <w:t xml:space="preserve">establishing more robust management information tools to drive program coherence, consolidation and growth; and restructuring part of the </w:t>
      </w:r>
      <w:smartTag w:uri="urn:schemas-microsoft-com:office:smarttags" w:element="place">
        <w:smartTag w:uri="urn:schemas-microsoft-com:office:smarttags" w:element="City">
          <w:r w:rsidR="006447BC">
            <w:t>Jakarta</w:t>
          </w:r>
        </w:smartTag>
      </w:smartTag>
      <w:r w:rsidR="006447BC">
        <w:t xml:space="preserve"> operation to strengthen our quality assurance and design capacity.</w:t>
      </w:r>
    </w:p>
    <w:p w:rsidR="00E57418" w:rsidRPr="00303DF9" w:rsidRDefault="0005643F" w:rsidP="00303DF9">
      <w:pPr>
        <w:pStyle w:val="BodyText"/>
        <w:numPr>
          <w:ilvl w:val="0"/>
          <w:numId w:val="20"/>
        </w:numPr>
      </w:pPr>
      <w:r>
        <w:t xml:space="preserve">Undertake workforce planning that will look at the implications of scale-up, including whether </w:t>
      </w:r>
      <w:r w:rsidR="00846081">
        <w:t>we have</w:t>
      </w:r>
      <w:r>
        <w:t xml:space="preserve"> the right resources to implement the program</w:t>
      </w:r>
    </w:p>
    <w:p w:rsidR="009233C4" w:rsidRDefault="006B2F3C" w:rsidP="00865C74">
      <w:pPr>
        <w:pStyle w:val="Heading1"/>
        <w:ind w:left="0"/>
        <w:rPr>
          <w:rtl/>
        </w:rPr>
      </w:pPr>
      <w:r>
        <w:br w:type="page"/>
      </w:r>
      <w:bookmarkStart w:id="9" w:name="_Toc300905099"/>
      <w:bookmarkStart w:id="10" w:name="_Toc360981821"/>
      <w:r w:rsidR="009233C4" w:rsidRPr="009233C4">
        <w:lastRenderedPageBreak/>
        <w:t>MAIN REPORT</w:t>
      </w:r>
      <w:bookmarkEnd w:id="9"/>
      <w:bookmarkEnd w:id="10"/>
    </w:p>
    <w:p w:rsidR="0042107B" w:rsidRDefault="00AF0985" w:rsidP="00CD6783">
      <w:pPr>
        <w:pStyle w:val="Heading1"/>
        <w:ind w:left="0"/>
      </w:pPr>
      <w:bookmarkStart w:id="11" w:name="_Toc300905100"/>
      <w:bookmarkStart w:id="12" w:name="_Toc360981822"/>
      <w:r>
        <w:t xml:space="preserve">Indonesia </w:t>
      </w:r>
      <w:r w:rsidR="0042107B" w:rsidRPr="006D2DEC">
        <w:t>context</w:t>
      </w:r>
      <w:bookmarkEnd w:id="8"/>
      <w:bookmarkEnd w:id="11"/>
      <w:bookmarkEnd w:id="12"/>
    </w:p>
    <w:p w:rsidR="00AD4169" w:rsidRPr="00AD4169" w:rsidRDefault="00AD4169" w:rsidP="00AD4169">
      <w:pPr>
        <w:pStyle w:val="BodyText"/>
      </w:pPr>
      <w:r w:rsidRPr="00AD4169">
        <w:t xml:space="preserve">Indonesia’s economy </w:t>
      </w:r>
      <w:r w:rsidR="00903404">
        <w:t>grew</w:t>
      </w:r>
      <w:r w:rsidRPr="00AD4169">
        <w:t xml:space="preserve"> steadily in 2010, with real GDP growth of </w:t>
      </w:r>
      <w:r w:rsidR="00466E12">
        <w:t>5</w:t>
      </w:r>
      <w:r w:rsidRPr="00AD4169">
        <w:t>.</w:t>
      </w:r>
      <w:r w:rsidR="00466E12">
        <w:t>9</w:t>
      </w:r>
      <w:r w:rsidRPr="00AD4169">
        <w:t xml:space="preserve"> per cent. This represents a return to 2008 growth rates, following a slight slowing of growth to 4.5 per cent in 2009. </w:t>
      </w:r>
      <w:r w:rsidR="00903404">
        <w:t>E</w:t>
      </w:r>
      <w:r w:rsidRPr="00AD4169">
        <w:t xml:space="preserve">conomic growth was driven primarily by strong domestic consumption, which has ensured the country emerged largely unscathed from the 2008-09 global economic crisis. Exports also increased in 2010, thanks largely to healthy demand from </w:t>
      </w:r>
      <w:smartTag w:uri="urn:schemas-microsoft-com:office:smarttags" w:element="place">
        <w:smartTag w:uri="urn:schemas-microsoft-com:office:smarttags" w:element="country-region">
          <w:r w:rsidRPr="00AD4169">
            <w:t>China</w:t>
          </w:r>
        </w:smartTag>
      </w:smartTag>
      <w:r w:rsidRPr="00AD4169">
        <w:t xml:space="preserve"> for Indonesian commodities. Nominal GDP per head (based on the Indonesian Bureau of Statistics’ population estimates) exceeded US$3000 for the first time in 2010, lifting the country into the world's low-middle-income group of economies.</w:t>
      </w:r>
      <w:r w:rsidRPr="00D31CF2">
        <w:rPr>
          <w:rStyle w:val="FootnoteReference"/>
          <w:rFonts w:ascii="Georgia" w:hAnsi="Georgia"/>
          <w:position w:val="0"/>
          <w:sz w:val="19"/>
          <w:vertAlign w:val="superscript"/>
        </w:rPr>
        <w:footnoteReference w:id="2"/>
      </w:r>
    </w:p>
    <w:p w:rsidR="00AD4169" w:rsidRPr="00AD4169" w:rsidRDefault="00AD4169" w:rsidP="00AD4169">
      <w:pPr>
        <w:pStyle w:val="BodyText"/>
      </w:pPr>
      <w:r w:rsidRPr="00AD4169">
        <w:t xml:space="preserve">Economic growth contributed to continued reduction in the percentage of the population living in poverty. Poverty rates fell from 14.2 per cent in 2009 to 13.3 per cent in 2010 and, if this trend continues, the Indonesian Government target of reducing poverty to 8-10 per cent by 2014 is achievable. Despite this overall positive trend </w:t>
      </w:r>
      <w:smartTag w:uri="urn:schemas-microsoft-com:office:smarttags" w:element="place">
        <w:smartTag w:uri="urn:schemas-microsoft-com:office:smarttags" w:element="country-region">
          <w:r w:rsidRPr="00AD4169">
            <w:t>Indonesia</w:t>
          </w:r>
        </w:smartTag>
      </w:smartTag>
      <w:r w:rsidRPr="00AD4169">
        <w:t xml:space="preserve"> will continue to face serious poverty challenges for the foreseeable future due to three factors: very high levels of poverty vulnerability; </w:t>
      </w:r>
      <w:r w:rsidR="00D45D84">
        <w:t>lacklustre</w:t>
      </w:r>
      <w:r w:rsidRPr="00AD4169">
        <w:t xml:space="preserve"> performance in non-income poverty measurements; and difficulty in dealing with the entrenched poor. </w:t>
      </w:r>
    </w:p>
    <w:p w:rsidR="00AD4169" w:rsidRPr="00AD4169" w:rsidRDefault="006C20CD" w:rsidP="00AD4169">
      <w:pPr>
        <w:pStyle w:val="BodyText"/>
      </w:pPr>
      <w:r>
        <w:t xml:space="preserve">Approximately 12.5 per cent of </w:t>
      </w:r>
      <w:smartTag w:uri="urn:schemas-microsoft-com:office:smarttags" w:element="place">
        <w:smartTag w:uri="urn:schemas-microsoft-com:office:smarttags" w:element="country-region">
          <w:r w:rsidR="00AD4169" w:rsidRPr="00AD4169">
            <w:t>Indonesia</w:t>
          </w:r>
        </w:smartTag>
      </w:smartTag>
      <w:r w:rsidR="003B0573">
        <w:t>’</w:t>
      </w:r>
      <w:r>
        <w:t>s</w:t>
      </w:r>
      <w:r w:rsidR="003B0573">
        <w:t xml:space="preserve"> population</w:t>
      </w:r>
      <w:r w:rsidR="00AD4169" w:rsidRPr="00AD4169">
        <w:t xml:space="preserve"> liv</w:t>
      </w:r>
      <w:r>
        <w:t>e</w:t>
      </w:r>
      <w:r w:rsidR="003B0573">
        <w:t>s</w:t>
      </w:r>
      <w:r w:rsidR="00AD4169" w:rsidRPr="00AD4169">
        <w:t xml:space="preserve"> </w:t>
      </w:r>
      <w:r w:rsidR="004A03C6">
        <w:t xml:space="preserve">below </w:t>
      </w:r>
      <w:r w:rsidR="00AD4169" w:rsidRPr="00AD4169">
        <w:t xml:space="preserve">the </w:t>
      </w:r>
      <w:r w:rsidR="004A03C6">
        <w:t xml:space="preserve">national </w:t>
      </w:r>
      <w:r w:rsidR="00AD4169" w:rsidRPr="00AD4169">
        <w:t>poverty line</w:t>
      </w:r>
      <w:r w:rsidR="004A03C6">
        <w:t xml:space="preserve"> (approximately US$24.</w:t>
      </w:r>
      <w:r w:rsidR="003B0573">
        <w:t xml:space="preserve">80 </w:t>
      </w:r>
      <w:r w:rsidR="004A03C6">
        <w:t>per month, or US$0.8</w:t>
      </w:r>
      <w:r w:rsidR="003B0573">
        <w:t>2</w:t>
      </w:r>
      <w:r w:rsidR="004A03C6">
        <w:t xml:space="preserve"> a day, as at </w:t>
      </w:r>
      <w:r w:rsidR="003B0573">
        <w:t xml:space="preserve">July </w:t>
      </w:r>
      <w:r w:rsidR="004A03C6">
        <w:t>2011)</w:t>
      </w:r>
      <w:r w:rsidR="00AD4169" w:rsidRPr="00AD4169">
        <w:t xml:space="preserve">, </w:t>
      </w:r>
      <w:r w:rsidR="004A03C6">
        <w:t xml:space="preserve">however, there is a large </w:t>
      </w:r>
      <w:r w:rsidR="00903404">
        <w:t xml:space="preserve">number </w:t>
      </w:r>
      <w:r w:rsidR="004A03C6">
        <w:t xml:space="preserve">of people who are </w:t>
      </w:r>
      <w:r w:rsidR="006C4BF2">
        <w:t xml:space="preserve">highly vulnerable to even minor shocks living just above it.  There are </w:t>
      </w:r>
      <w:r w:rsidR="003B0573">
        <w:t xml:space="preserve">around </w:t>
      </w:r>
      <w:r w:rsidR="006C4BF2">
        <w:t>110 million people living on less than US$2 per day.</w:t>
      </w:r>
      <w:r w:rsidR="00AD4169" w:rsidRPr="00AD4169">
        <w:t xml:space="preserve">  The movement of people in and out of poverty is very volatile, requiring the government and its development partners to focus equally on the poor and the near poor.  By 2015, even if the poverty rate declines to </w:t>
      </w:r>
      <w:r w:rsidR="00AD4169">
        <w:t>eight</w:t>
      </w:r>
      <w:r w:rsidR="00AD4169" w:rsidRPr="00AD4169">
        <w:t xml:space="preserve"> per cent, many people are unlikely to have moved far from the poverty line and will remain vulnerable.</w:t>
      </w:r>
    </w:p>
    <w:p w:rsidR="00AD4169" w:rsidRPr="00AD4169" w:rsidRDefault="00AD4169" w:rsidP="00AD4169">
      <w:pPr>
        <w:pStyle w:val="BodyText"/>
      </w:pPr>
      <w:smartTag w:uri="urn:schemas-microsoft-com:office:smarttags" w:element="place">
        <w:smartTag w:uri="urn:schemas-microsoft-com:office:smarttags" w:element="country-region">
          <w:r w:rsidRPr="00AD4169">
            <w:t>Indonesia</w:t>
          </w:r>
        </w:smartTag>
      </w:smartTag>
      <w:r w:rsidRPr="00AD4169">
        <w:t xml:space="preserve">’s comparative performance on non-income indicators of poverty </w:t>
      </w:r>
      <w:r w:rsidR="005B562A">
        <w:t>is of</w:t>
      </w:r>
      <w:r w:rsidRPr="00AD4169">
        <w:t xml:space="preserve"> significant concern.  The maternal mortality rate, for example, is the fourth worst in the region at around </w:t>
      </w:r>
      <w:r w:rsidR="00612B0D">
        <w:t>228</w:t>
      </w:r>
      <w:r w:rsidR="00612B0D" w:rsidRPr="00AD4169">
        <w:t xml:space="preserve"> </w:t>
      </w:r>
      <w:r w:rsidRPr="00AD4169">
        <w:t>per 100</w:t>
      </w:r>
      <w:r>
        <w:t> </w:t>
      </w:r>
      <w:r w:rsidRPr="00AD4169">
        <w:t xml:space="preserve">000 live births.  As many as one in three children under five are stunted in their growth due to malnutrition.  </w:t>
      </w:r>
      <w:smartTag w:uri="urn:schemas-microsoft-com:office:smarttags" w:element="place">
        <w:smartTag w:uri="urn:schemas-microsoft-com:office:smarttags" w:element="country-region">
          <w:r w:rsidRPr="00AD4169">
            <w:t>Indonesia</w:t>
          </w:r>
        </w:smartTag>
      </w:smartTag>
      <w:r w:rsidRPr="00AD4169">
        <w:t xml:space="preserve"> has the 17th highest proportion of stunting in the world (and is in the top seven in terms of absolute numbers).  </w:t>
      </w:r>
      <w:r w:rsidR="005B562A">
        <w:t>W</w:t>
      </w:r>
      <w:r w:rsidRPr="00AD4169">
        <w:t xml:space="preserve">ith 41 deaths per 1000 live births, </w:t>
      </w:r>
      <w:smartTag w:uri="urn:schemas-microsoft-com:office:smarttags" w:element="country-region">
        <w:r w:rsidRPr="00AD4169">
          <w:t>Indonesia</w:t>
        </w:r>
      </w:smartTag>
      <w:r w:rsidRPr="00AD4169">
        <w:t xml:space="preserve"> is well behind other countries in the region </w:t>
      </w:r>
      <w:r w:rsidR="005B562A">
        <w:t>o</w:t>
      </w:r>
      <w:r w:rsidR="005B562A" w:rsidRPr="00AD4169">
        <w:t xml:space="preserve">n infant mortality, </w:t>
      </w:r>
      <w:r w:rsidR="005B562A">
        <w:t>including</w:t>
      </w:r>
      <w:r w:rsidRPr="00AD4169">
        <w:t xml:space="preserve"> </w:t>
      </w:r>
      <w:smartTag w:uri="urn:schemas-microsoft-com:office:smarttags" w:element="country-region">
        <w:r w:rsidRPr="00AD4169">
          <w:t>Philippines</w:t>
        </w:r>
      </w:smartTag>
      <w:r w:rsidRPr="00AD4169">
        <w:t xml:space="preserve">, </w:t>
      </w:r>
      <w:smartTag w:uri="urn:schemas-microsoft-com:office:smarttags" w:element="country-region">
        <w:r w:rsidRPr="00AD4169">
          <w:t>Thailand</w:t>
        </w:r>
      </w:smartTag>
      <w:r w:rsidRPr="00AD4169">
        <w:t xml:space="preserve"> and </w:t>
      </w:r>
      <w:smartTag w:uri="urn:schemas-microsoft-com:office:smarttags" w:element="place">
        <w:smartTag w:uri="urn:schemas-microsoft-com:office:smarttags" w:element="country-region">
          <w:r w:rsidRPr="00AD4169">
            <w:t>Vietnam</w:t>
          </w:r>
        </w:smartTag>
      </w:smartTag>
      <w:r w:rsidRPr="00AD4169">
        <w:t xml:space="preserve">. </w:t>
      </w:r>
    </w:p>
    <w:p w:rsidR="00AD4169" w:rsidRPr="00AD4169" w:rsidRDefault="00AD4169" w:rsidP="00AD4169">
      <w:pPr>
        <w:pStyle w:val="BodyText"/>
      </w:pPr>
      <w:r w:rsidRPr="00AD4169">
        <w:t xml:space="preserve">There are also pockets of deeply entrenched poverty among, for example, female-headed households and in the eastern provinces of the country.  These groups are unlikely to be lifted out of poverty by continued growth alone given that current growth in </w:t>
      </w:r>
      <w:smartTag w:uri="urn:schemas-microsoft-com:office:smarttags" w:element="place">
        <w:smartTag w:uri="urn:schemas-microsoft-com:office:smarttags" w:element="country-region">
          <w:r w:rsidRPr="00AD4169">
            <w:t>Indonesia</w:t>
          </w:r>
        </w:smartTag>
      </w:smartTag>
      <w:r w:rsidRPr="00AD4169">
        <w:t xml:space="preserve"> is less employment intensive than a decade ago. How to tackle entrenched poverty, particularly in the East, will remain a key policy priority</w:t>
      </w:r>
      <w:r w:rsidR="00CA77B2">
        <w:t xml:space="preserve"> of the Indonesian Government.</w:t>
      </w:r>
    </w:p>
    <w:p w:rsidR="00AD4169" w:rsidRPr="00AD4169" w:rsidRDefault="00AD4169" w:rsidP="00AD4169">
      <w:pPr>
        <w:pStyle w:val="BodyText"/>
      </w:pPr>
      <w:r w:rsidRPr="00AD4169">
        <w:t xml:space="preserve">The challenge </w:t>
      </w:r>
      <w:smartTag w:uri="urn:schemas-microsoft-com:office:smarttags" w:element="place">
        <w:smartTag w:uri="urn:schemas-microsoft-com:office:smarttags" w:element="country-region">
          <w:r w:rsidRPr="00AD4169">
            <w:t>Indonesia</w:t>
          </w:r>
        </w:smartTag>
      </w:smartTag>
      <w:r w:rsidRPr="00AD4169">
        <w:t xml:space="preserve"> faces in consolidating its position as a middle-income country is not </w:t>
      </w:r>
      <w:r w:rsidR="00466E12">
        <w:t xml:space="preserve">so much </w:t>
      </w:r>
      <w:r w:rsidRPr="00AD4169">
        <w:t xml:space="preserve">a lack of financial resources, but the capacity to use its resources to achieve good development outcomes.  President </w:t>
      </w:r>
      <w:proofErr w:type="spellStart"/>
      <w:r w:rsidRPr="00AD4169">
        <w:t>Yudhoyono</w:t>
      </w:r>
      <w:proofErr w:type="spellEnd"/>
      <w:r w:rsidRPr="00AD4169">
        <w:t xml:space="preserve"> acknowledged this in highlighting </w:t>
      </w:r>
      <w:r w:rsidRPr="00AD4169">
        <w:lastRenderedPageBreak/>
        <w:t xml:space="preserve">bureaucratic performance as a post-election reform priority. The release in 2010 of a bureaucratic reform strategy and legislation mandating public sector service standards are promising developments, but any such reforms face significant barriers in the political economy. Poor coordination and confusion over roles and responsibilities between levels of government, and weak capacity at the district level will also need to be addressed </w:t>
      </w:r>
      <w:r w:rsidR="004A3B9F">
        <w:t>to improve</w:t>
      </w:r>
      <w:r w:rsidR="004A3B9F" w:rsidRPr="00AD4169">
        <w:t xml:space="preserve"> </w:t>
      </w:r>
      <w:r w:rsidRPr="00AD4169">
        <w:t>service delivery.</w:t>
      </w:r>
    </w:p>
    <w:p w:rsidR="00AD4169" w:rsidRPr="00AD4169" w:rsidRDefault="00AD4169" w:rsidP="00AD4169">
      <w:pPr>
        <w:pStyle w:val="BodyText"/>
      </w:pPr>
      <w:r w:rsidRPr="00AD4169">
        <w:t xml:space="preserve">A challenge for reform in </w:t>
      </w:r>
      <w:smartTag w:uri="urn:schemas-microsoft-com:office:smarttags" w:element="country-region">
        <w:r w:rsidRPr="00AD4169">
          <w:t>Indonesia</w:t>
        </w:r>
      </w:smartTag>
      <w:r w:rsidRPr="00AD4169">
        <w:t xml:space="preserve"> in 2010, and </w:t>
      </w:r>
      <w:r w:rsidR="00283A6C">
        <w:t>for</w:t>
      </w:r>
      <w:r w:rsidR="00283A6C" w:rsidRPr="00AD4169">
        <w:t xml:space="preserve"> </w:t>
      </w:r>
      <w:r w:rsidRPr="00AD4169">
        <w:t xml:space="preserve">the country’s partnership with </w:t>
      </w:r>
      <w:smartTag w:uri="urn:schemas-microsoft-com:office:smarttags" w:element="place">
        <w:smartTag w:uri="urn:schemas-microsoft-com:office:smarttags" w:element="country-region">
          <w:r w:rsidRPr="00AD4169">
            <w:t>Australia</w:t>
          </w:r>
        </w:smartTag>
      </w:smartTag>
      <w:r w:rsidRPr="00AD4169">
        <w:t xml:space="preserve">, was the resignation in May of the then Minister of Finance, Sri </w:t>
      </w:r>
      <w:proofErr w:type="spellStart"/>
      <w:r w:rsidRPr="00AD4169">
        <w:t>Mulyani</w:t>
      </w:r>
      <w:proofErr w:type="spellEnd"/>
      <w:r w:rsidRPr="00AD4169">
        <w:t xml:space="preserve"> </w:t>
      </w:r>
      <w:proofErr w:type="spellStart"/>
      <w:r w:rsidRPr="00AD4169">
        <w:t>Indrawati</w:t>
      </w:r>
      <w:proofErr w:type="spellEnd"/>
      <w:r w:rsidRPr="00AD4169">
        <w:t xml:space="preserve">, a key reformer and counterpart for development partners. The appointment of </w:t>
      </w:r>
      <w:proofErr w:type="spellStart"/>
      <w:r w:rsidRPr="00AD4169">
        <w:t>Agus</w:t>
      </w:r>
      <w:proofErr w:type="spellEnd"/>
      <w:r w:rsidRPr="00AD4169">
        <w:t xml:space="preserve"> </w:t>
      </w:r>
      <w:proofErr w:type="spellStart"/>
      <w:r w:rsidRPr="00AD4169">
        <w:t>Martowardojo</w:t>
      </w:r>
      <w:proofErr w:type="spellEnd"/>
      <w:r w:rsidRPr="00AD4169">
        <w:t xml:space="preserve">, former </w:t>
      </w:r>
      <w:r w:rsidRPr="00AD4169">
        <w:rPr>
          <w:rStyle w:val="AbbreviationChar"/>
        </w:rPr>
        <w:t>CEO</w:t>
      </w:r>
      <w:r w:rsidRPr="00AD4169">
        <w:t xml:space="preserve"> of the largest bank in </w:t>
      </w:r>
      <w:smartTag w:uri="urn:schemas-microsoft-com:office:smarttags" w:element="country-region">
        <w:r w:rsidRPr="00AD4169">
          <w:t>Indonesia</w:t>
        </w:r>
      </w:smartTag>
      <w:r w:rsidRPr="00AD4169">
        <w:t xml:space="preserve">, Bank </w:t>
      </w:r>
      <w:proofErr w:type="spellStart"/>
      <w:r w:rsidRPr="00AD4169">
        <w:t>Mandiri</w:t>
      </w:r>
      <w:proofErr w:type="spellEnd"/>
      <w:r w:rsidRPr="00AD4169">
        <w:t xml:space="preserve">, continued the tradition in </w:t>
      </w:r>
      <w:smartTag w:uri="urn:schemas-microsoft-com:office:smarttags" w:element="place">
        <w:smartTag w:uri="urn:schemas-microsoft-com:office:smarttags" w:element="country-region">
          <w:r w:rsidRPr="00AD4169">
            <w:t>Indonesia</w:t>
          </w:r>
        </w:smartTag>
      </w:smartTag>
      <w:r w:rsidRPr="00AD4169">
        <w:t xml:space="preserve"> of non-partisan technocrat Finance Ministers and reassured markets of ongoing credible economic management. Prior to his appointment </w:t>
      </w:r>
      <w:proofErr w:type="spellStart"/>
      <w:r w:rsidRPr="00AD4169">
        <w:t>Martowardojo</w:t>
      </w:r>
      <w:proofErr w:type="spellEnd"/>
      <w:r w:rsidRPr="00AD4169">
        <w:t xml:space="preserve"> had a track record of reform in the banking sector but has been tested by the slow pace of reform in his Ministry.</w:t>
      </w:r>
    </w:p>
    <w:p w:rsidR="00AD4169" w:rsidRPr="00AD4169" w:rsidRDefault="00AD4169" w:rsidP="00AD4169">
      <w:pPr>
        <w:pStyle w:val="BodyText"/>
      </w:pPr>
      <w:r w:rsidRPr="00AD4169">
        <w:t xml:space="preserve">In particular, </w:t>
      </w:r>
      <w:smartTag w:uri="urn:schemas-microsoft-com:office:smarttags" w:element="place">
        <w:smartTag w:uri="urn:schemas-microsoft-com:office:smarttags" w:element="country-region">
          <w:r w:rsidRPr="00AD4169">
            <w:t>Indonesia</w:t>
          </w:r>
        </w:smartTag>
      </w:smartTag>
      <w:r w:rsidRPr="00AD4169">
        <w:t xml:space="preserve">’s taxation regime required the new Minister’s immediate attention, with high-profile corruption cases threatening to further undermine the credibility of the system and undo the gains made in previous years. More broadly, corruption continued to be a significant issue for </w:t>
      </w:r>
      <w:smartTag w:uri="urn:schemas-microsoft-com:office:smarttags" w:element="place">
        <w:smartTag w:uri="urn:schemas-microsoft-com:office:smarttags" w:element="country-region">
          <w:r w:rsidRPr="00AD4169">
            <w:t>Indonesia</w:t>
          </w:r>
        </w:smartTag>
      </w:smartTag>
      <w:r w:rsidRPr="00AD4169">
        <w:t xml:space="preserve"> throughout 2010, in particular through questions regarding the bailout of Bank Century during the financial crisis and in the operation of a ‘judicial mafia’. President </w:t>
      </w:r>
      <w:proofErr w:type="spellStart"/>
      <w:r w:rsidRPr="00AD4169">
        <w:t>Yudhoyono</w:t>
      </w:r>
      <w:proofErr w:type="spellEnd"/>
      <w:r w:rsidRPr="00AD4169">
        <w:t xml:space="preserve"> made reform of the legal system a cornerstone of his post-election agenda and appointed a taskforce to address the issue, but progress has been slow.</w:t>
      </w:r>
    </w:p>
    <w:p w:rsidR="00AD4169" w:rsidRPr="00AD4169" w:rsidRDefault="00AD4169" w:rsidP="00AD4169">
      <w:pPr>
        <w:pStyle w:val="BodyText"/>
      </w:pPr>
      <w:r w:rsidRPr="00AD4169">
        <w:t xml:space="preserve">Notwithstanding these challenges, the reform context in </w:t>
      </w:r>
      <w:smartTag w:uri="urn:schemas-microsoft-com:office:smarttags" w:element="place">
        <w:smartTag w:uri="urn:schemas-microsoft-com:office:smarttags" w:element="country-region">
          <w:r w:rsidRPr="00AD4169">
            <w:t>Indonesia</w:t>
          </w:r>
        </w:smartTag>
      </w:smartTag>
      <w:r w:rsidRPr="00AD4169">
        <w:t xml:space="preserve"> remains positive, with strong public support for the Corruption Eradication Commission, which remains a credible enforcement agency, and an active Judicial Mafia Taskforce.  The Presidential Working Unit for Supervision and Control of Development (</w:t>
      </w:r>
      <w:r w:rsidRPr="00AD4169">
        <w:rPr>
          <w:rStyle w:val="AbbreviationChar"/>
        </w:rPr>
        <w:t>UKP4</w:t>
      </w:r>
      <w:r w:rsidRPr="00AD4169">
        <w:t>) has been established with the mandate of driving forward the President’s reform agenda and teams have been established in the Vice President’s Office to coordinate the highest priority reforms, including combating poverty and bureaucratic reform.</w:t>
      </w:r>
    </w:p>
    <w:p w:rsidR="00AD4169" w:rsidRPr="00AD4169" w:rsidRDefault="00193FDC" w:rsidP="00AD4169">
      <w:pPr>
        <w:pStyle w:val="BodyText"/>
      </w:pPr>
      <w:r>
        <w:t xml:space="preserve">The Australia-Indonesia Country Strategy (2008-2013) remained relevant </w:t>
      </w:r>
      <w:r w:rsidR="00ED1625">
        <w:t xml:space="preserve">in 2010. Aid </w:t>
      </w:r>
      <w:r w:rsidR="003B0573">
        <w:t>represents around</w:t>
      </w:r>
      <w:r w:rsidR="00ED1625">
        <w:t xml:space="preserve"> </w:t>
      </w:r>
      <w:r w:rsidR="003B0573">
        <w:t>2.5</w:t>
      </w:r>
      <w:r w:rsidR="00ED1625">
        <w:t xml:space="preserve">% of </w:t>
      </w:r>
      <w:smartTag w:uri="urn:schemas-microsoft-com:office:smarttags" w:element="place">
        <w:smartTag w:uri="urn:schemas-microsoft-com:office:smarttags" w:element="country-region">
          <w:r w:rsidR="00ED1625">
            <w:t>Indonesia</w:t>
          </w:r>
        </w:smartTag>
      </w:smartTag>
      <w:r w:rsidR="00ED1625">
        <w:t>’</w:t>
      </w:r>
      <w:r w:rsidR="00B47767">
        <w:t>s budget</w:t>
      </w:r>
      <w:r w:rsidR="003B0573">
        <w:t xml:space="preserve"> an</w:t>
      </w:r>
      <w:r w:rsidR="00DE24D8">
        <w:t>d 0.27</w:t>
      </w:r>
      <w:r w:rsidR="003B0573">
        <w:t>% of GNI</w:t>
      </w:r>
      <w:r w:rsidR="00B47767">
        <w:t>.</w:t>
      </w:r>
      <w:r w:rsidR="00DE24D8">
        <w:rPr>
          <w:rStyle w:val="FootnoteReference"/>
        </w:rPr>
        <w:footnoteReference w:id="3"/>
      </w:r>
      <w:r w:rsidR="00ED1625">
        <w:t xml:space="preserve"> </w:t>
      </w:r>
      <w:smartTag w:uri="urn:schemas-microsoft-com:office:smarttags" w:element="country-region">
        <w:r w:rsidR="00ED1625">
          <w:t>Australia</w:t>
        </w:r>
      </w:smartTag>
      <w:r w:rsidR="00B47767">
        <w:t>’s contribution in 2010 was $</w:t>
      </w:r>
      <w:r w:rsidR="00221C93">
        <w:t>450m</w:t>
      </w:r>
      <w:r w:rsidR="00B47767">
        <w:t>, ma</w:t>
      </w:r>
      <w:r w:rsidR="003B0573">
        <w:t>king</w:t>
      </w:r>
      <w:r w:rsidR="00B47767">
        <w:t xml:space="preserve"> </w:t>
      </w:r>
      <w:smartTag w:uri="urn:schemas-microsoft-com:office:smarttags" w:element="country-region">
        <w:r w:rsidR="00ED1625">
          <w:t>Australia</w:t>
        </w:r>
      </w:smartTag>
      <w:r w:rsidR="00ED1625">
        <w:t xml:space="preserve"> the largest bilateral grant donor to </w:t>
      </w:r>
      <w:smartTag w:uri="urn:schemas-microsoft-com:office:smarttags" w:element="place">
        <w:smartTag w:uri="urn:schemas-microsoft-com:office:smarttags" w:element="country-region">
          <w:r w:rsidR="00ED1625">
            <w:t>Indonesia</w:t>
          </w:r>
        </w:smartTag>
      </w:smartTag>
      <w:r w:rsidR="00ED1625">
        <w:t xml:space="preserve">. Other major donors included the World Bank, ADB, </w:t>
      </w:r>
      <w:smartTag w:uri="urn:schemas-microsoft-com:office:smarttags" w:element="country-region">
        <w:r w:rsidR="00ED1625">
          <w:t>Japan</w:t>
        </w:r>
      </w:smartTag>
      <w:r w:rsidR="00ED1625">
        <w:t xml:space="preserve">, </w:t>
      </w:r>
      <w:smartTag w:uri="urn:schemas-microsoft-com:office:smarttags" w:element="country-region">
        <w:r w:rsidR="00DE24D8">
          <w:t>Germany</w:t>
        </w:r>
      </w:smartTag>
      <w:r w:rsidR="00DE24D8">
        <w:t xml:space="preserve">, </w:t>
      </w:r>
      <w:smartTag w:uri="urn:schemas-microsoft-com:office:smarttags" w:element="country-region">
        <w:r w:rsidR="00DE24D8">
          <w:t>United States</w:t>
        </w:r>
      </w:smartTag>
      <w:r w:rsidR="001012B2">
        <w:t xml:space="preserve"> and </w:t>
      </w:r>
      <w:smartTag w:uri="urn:schemas-microsoft-com:office:smarttags" w:element="place">
        <w:r w:rsidR="001012B2">
          <w:t>Europe</w:t>
        </w:r>
      </w:smartTag>
      <w:r w:rsidR="00DE24D8">
        <w:t>.</w:t>
      </w:r>
      <w:r w:rsidR="00ED1625">
        <w:t xml:space="preserve"> </w:t>
      </w:r>
      <w:r>
        <w:t xml:space="preserve"> </w:t>
      </w:r>
      <w:r w:rsidR="00466E12" w:rsidRPr="009C1832">
        <w:t xml:space="preserve">The </w:t>
      </w:r>
      <w:proofErr w:type="spellStart"/>
      <w:r w:rsidR="00466E12" w:rsidRPr="009C1832">
        <w:t>AusAID</w:t>
      </w:r>
      <w:proofErr w:type="spellEnd"/>
      <w:r w:rsidR="00466E12" w:rsidRPr="009C1832">
        <w:t xml:space="preserve"> Director General, Peter Baxter, visited in </w:t>
      </w:r>
      <w:r w:rsidR="009C1832" w:rsidRPr="009C1832">
        <w:t>August a</w:t>
      </w:r>
      <w:r w:rsidR="00466E12" w:rsidRPr="009C1832">
        <w:t xml:space="preserve">nd held discussions with a </w:t>
      </w:r>
      <w:r w:rsidR="009C1832" w:rsidRPr="009C1832">
        <w:t xml:space="preserve">number of portfolio </w:t>
      </w:r>
      <w:r w:rsidR="00466E12" w:rsidRPr="009C1832">
        <w:t>Ministers, including the Vice President</w:t>
      </w:r>
      <w:r w:rsidR="009C1832" w:rsidRPr="009C1832">
        <w:t>,</w:t>
      </w:r>
      <w:r w:rsidR="00466E12" w:rsidRPr="009C1832">
        <w:t xml:space="preserve"> as well as a range of senior Government officials.  </w:t>
      </w:r>
      <w:proofErr w:type="spellStart"/>
      <w:r w:rsidR="00466E12" w:rsidRPr="009C1832">
        <w:t>AusAID</w:t>
      </w:r>
      <w:proofErr w:type="spellEnd"/>
      <w:r w:rsidR="00466E12" w:rsidRPr="009C1832">
        <w:t xml:space="preserve"> continue</w:t>
      </w:r>
      <w:r w:rsidR="004A3B9F">
        <w:t>d</w:t>
      </w:r>
      <w:r w:rsidR="00466E12" w:rsidRPr="009C1832">
        <w:t xml:space="preserve"> to gain good access to Cabinet level Ministers and to very senior Government officials.   The Australian aid program is viewed very positively </w:t>
      </w:r>
      <w:r w:rsidR="001F4BC2" w:rsidRPr="009C1832">
        <w:t xml:space="preserve">by the Government of Indonesia as well as donors active in </w:t>
      </w:r>
      <w:smartTag w:uri="urn:schemas-microsoft-com:office:smarttags" w:element="place">
        <w:smartTag w:uri="urn:schemas-microsoft-com:office:smarttags" w:element="country-region">
          <w:r w:rsidR="001F4BC2" w:rsidRPr="009C1832">
            <w:t>Indonesia</w:t>
          </w:r>
        </w:smartTag>
      </w:smartTag>
      <w:r w:rsidR="001F4BC2" w:rsidRPr="009C1832">
        <w:t>.</w:t>
      </w:r>
      <w:r w:rsidR="00466E12">
        <w:rPr>
          <w:highlight w:val="yellow"/>
        </w:rPr>
        <w:t xml:space="preserve"> </w:t>
      </w:r>
    </w:p>
    <w:p w:rsidR="00D56435" w:rsidRPr="00D56435" w:rsidRDefault="00AD4169" w:rsidP="00CD6783">
      <w:pPr>
        <w:pStyle w:val="Heading1"/>
        <w:ind w:left="0"/>
      </w:pPr>
      <w:r>
        <w:br w:type="page"/>
      </w:r>
      <w:bookmarkStart w:id="13" w:name="_Toc300905101"/>
      <w:bookmarkStart w:id="14" w:name="_Toc360981823"/>
      <w:r w:rsidR="00CD6783">
        <w:lastRenderedPageBreak/>
        <w:t>Summary of results in 2010</w:t>
      </w:r>
      <w:bookmarkEnd w:id="13"/>
      <w:bookmarkEnd w:id="14"/>
    </w:p>
    <w:p w:rsidR="00E57418" w:rsidRDefault="00CD6783" w:rsidP="00E57418">
      <w:pPr>
        <w:pStyle w:val="BodyText"/>
      </w:pPr>
      <w:bookmarkStart w:id="15" w:name="_Toc293049943"/>
      <w:r>
        <w:t xml:space="preserve">The </w:t>
      </w:r>
      <w:r w:rsidR="00E57418">
        <w:t xml:space="preserve">flagship </w:t>
      </w:r>
      <w:r>
        <w:t xml:space="preserve">of the </w:t>
      </w:r>
      <w:smartTag w:uri="urn:schemas-microsoft-com:office:smarttags" w:element="place">
        <w:smartTag w:uri="urn:schemas-microsoft-com:office:smarttags" w:element="country-region">
          <w:r>
            <w:t>Indonesia</w:t>
          </w:r>
        </w:smartTag>
      </w:smartTag>
      <w:r>
        <w:t xml:space="preserve"> </w:t>
      </w:r>
      <w:r w:rsidR="00E57418">
        <w:t>program, the Basic Education Program (BEP)</w:t>
      </w:r>
      <w:r>
        <w:t>,</w:t>
      </w:r>
      <w:r w:rsidR="00E57418">
        <w:t xml:space="preserve"> was concluded and a set of transition activities were </w:t>
      </w:r>
      <w:r w:rsidR="004A3B9F">
        <w:t xml:space="preserve">undertaken </w:t>
      </w:r>
      <w:r w:rsidR="00E57418">
        <w:t>awaiting the approval of the new $500m Education Partnership</w:t>
      </w:r>
      <w:r>
        <w:t xml:space="preserve">.  The new flagship program </w:t>
      </w:r>
      <w:r w:rsidR="00E57418">
        <w:t xml:space="preserve">was announced during Prime Minister Gillard’s visit to </w:t>
      </w:r>
      <w:smartTag w:uri="urn:schemas-microsoft-com:office:smarttags" w:element="place">
        <w:smartTag w:uri="urn:schemas-microsoft-com:office:smarttags" w:element="country-region">
          <w:r w:rsidR="00E57418">
            <w:t>Indonesia</w:t>
          </w:r>
        </w:smartTag>
      </w:smartTag>
      <w:r w:rsidR="00E57418">
        <w:t xml:space="preserve"> in November 2010.  Under the BEP transition activities the last batch of junior schools </w:t>
      </w:r>
      <w:r w:rsidR="004A3B9F">
        <w:t xml:space="preserve">were </w:t>
      </w:r>
      <w:r w:rsidR="00E57418">
        <w:t>completed bringing the total number of schools constructed to 2074</w:t>
      </w:r>
      <w:r w:rsidR="004A3B9F">
        <w:t>, offering</w:t>
      </w:r>
      <w:r w:rsidR="00E57418">
        <w:t xml:space="preserve"> 330 000 new places.   The new Education Partnership will fund the construction</w:t>
      </w:r>
      <w:r w:rsidR="00C05968">
        <w:t xml:space="preserve"> or expansion</w:t>
      </w:r>
      <w:r w:rsidR="00E57418">
        <w:t xml:space="preserve"> of up to 2000 </w:t>
      </w:r>
      <w:r w:rsidR="000E5494">
        <w:t xml:space="preserve">more </w:t>
      </w:r>
      <w:r w:rsidR="00E57418">
        <w:t xml:space="preserve">junior secondary schools but will also </w:t>
      </w:r>
      <w:r w:rsidR="000E5494">
        <w:t>focus on</w:t>
      </w:r>
      <w:r w:rsidR="00E57418">
        <w:t xml:space="preserve"> improving learning outcomes and education quality by strengthening school management.  It will also </w:t>
      </w:r>
      <w:r w:rsidR="000E5494">
        <w:t>assist</w:t>
      </w:r>
      <w:r w:rsidR="00E57418">
        <w:t xml:space="preserve"> the Ministry of Religious Affairs to accredit Islamic secondary schools </w:t>
      </w:r>
      <w:r w:rsidR="008E4154">
        <w:t xml:space="preserve">(madrasah) </w:t>
      </w:r>
      <w:r w:rsidR="00E57418">
        <w:t>and generat</w:t>
      </w:r>
      <w:r w:rsidR="00231F80">
        <w:t>e</w:t>
      </w:r>
      <w:r w:rsidR="00E57418">
        <w:t xml:space="preserve"> analytical products that address education quality issues.  The partnership support</w:t>
      </w:r>
      <w:r w:rsidR="00231F80">
        <w:t>s</w:t>
      </w:r>
      <w:r w:rsidR="00E57418">
        <w:t xml:space="preserve"> the goals in the Indonesia</w:t>
      </w:r>
      <w:r w:rsidR="00C05968">
        <w:t>n</w:t>
      </w:r>
      <w:r w:rsidR="00E57418">
        <w:t xml:space="preserve"> </w:t>
      </w:r>
      <w:r w:rsidR="00C05968">
        <w:t xml:space="preserve">Education Sector </w:t>
      </w:r>
      <w:r w:rsidR="008E4154">
        <w:t xml:space="preserve">Strategic </w:t>
      </w:r>
      <w:r w:rsidR="00C05968">
        <w:t>Plan</w:t>
      </w:r>
      <w:r w:rsidR="00E57418">
        <w:t xml:space="preserve">, and is </w:t>
      </w:r>
      <w:r w:rsidR="00231F80">
        <w:t xml:space="preserve">assisted </w:t>
      </w:r>
      <w:r w:rsidR="00E57418">
        <w:t>by a US$500m budget support loan from the European Union.</w:t>
      </w:r>
    </w:p>
    <w:p w:rsidR="00E57418" w:rsidRDefault="00231F80" w:rsidP="00E57418">
      <w:pPr>
        <w:pStyle w:val="BodyText"/>
      </w:pPr>
      <w:r>
        <w:t>I</w:t>
      </w:r>
      <w:r w:rsidR="00E57418">
        <w:t>n 2010</w:t>
      </w:r>
      <w:r>
        <w:t>,</w:t>
      </w:r>
      <w:r w:rsidR="00E57418">
        <w:t xml:space="preserve"> </w:t>
      </w:r>
      <w:proofErr w:type="spellStart"/>
      <w:r w:rsidR="00E57418">
        <w:t>AusAID</w:t>
      </w:r>
      <w:proofErr w:type="spellEnd"/>
      <w:r w:rsidR="00E57418">
        <w:t xml:space="preserve"> help</w:t>
      </w:r>
      <w:r w:rsidR="00A751D0">
        <w:t>ed</w:t>
      </w:r>
      <w:r w:rsidR="00E57418">
        <w:t xml:space="preserve"> strengthen </w:t>
      </w:r>
      <w:proofErr w:type="spellStart"/>
      <w:r w:rsidR="00E57418">
        <w:t>G</w:t>
      </w:r>
      <w:r w:rsidR="00936D2A">
        <w:t>o</w:t>
      </w:r>
      <w:r w:rsidR="00E57418">
        <w:t>I’s</w:t>
      </w:r>
      <w:proofErr w:type="spellEnd"/>
      <w:r w:rsidR="00E57418">
        <w:t xml:space="preserve"> social protection programs.  </w:t>
      </w:r>
      <w:proofErr w:type="spellStart"/>
      <w:r w:rsidR="00A751D0">
        <w:t>AusAID</w:t>
      </w:r>
      <w:proofErr w:type="spellEnd"/>
      <w:r w:rsidR="00E57418">
        <w:t xml:space="preserve"> ma</w:t>
      </w:r>
      <w:r w:rsidR="00A751D0">
        <w:t>de</w:t>
      </w:r>
      <w:r w:rsidR="00E57418">
        <w:t xml:space="preserve"> a significant contribution to </w:t>
      </w:r>
      <w:proofErr w:type="spellStart"/>
      <w:r w:rsidR="00E57418">
        <w:t>G</w:t>
      </w:r>
      <w:r w:rsidR="00936D2A">
        <w:t>o</w:t>
      </w:r>
      <w:r w:rsidR="00E57418">
        <w:t>I’s</w:t>
      </w:r>
      <w:proofErr w:type="spellEnd"/>
      <w:r w:rsidR="00E57418">
        <w:t xml:space="preserve"> flagship Community Empowerment Program (PNPM) which reaches </w:t>
      </w:r>
      <w:r w:rsidR="006C20CD">
        <w:t>8</w:t>
      </w:r>
      <w:r w:rsidR="00E57418">
        <w:t>0</w:t>
      </w:r>
      <w:r>
        <w:t>,</w:t>
      </w:r>
      <w:r w:rsidR="00E57418">
        <w:t xml:space="preserve"> 000 villages in </w:t>
      </w:r>
      <w:smartTag w:uri="urn:schemas-microsoft-com:office:smarttags" w:element="place">
        <w:smartTag w:uri="urn:schemas-microsoft-com:office:smarttags" w:element="country-region">
          <w:r w:rsidR="00E57418">
            <w:t>Indonesia</w:t>
          </w:r>
        </w:smartTag>
      </w:smartTag>
      <w:r w:rsidR="00E57418">
        <w:t xml:space="preserve">.  </w:t>
      </w:r>
      <w:smartTag w:uri="urn:schemas-microsoft-com:office:smarttags" w:element="place">
        <w:smartTag w:uri="urn:schemas-microsoft-com:office:smarttags" w:element="country-region">
          <w:r w:rsidR="00E57418">
            <w:t>Australia</w:t>
          </w:r>
        </w:smartTag>
      </w:smartTag>
      <w:r w:rsidR="00E57418">
        <w:t xml:space="preserve"> will be providing $215 million to PNPM over five years.  </w:t>
      </w:r>
      <w:proofErr w:type="spellStart"/>
      <w:r w:rsidR="00E57418">
        <w:t>AusAID</w:t>
      </w:r>
      <w:proofErr w:type="spellEnd"/>
      <w:r w:rsidR="00E57418">
        <w:t xml:space="preserve"> also initiated direct support to the Vice President’s National Office for Accelerating Poverty Reduction </w:t>
      </w:r>
      <w:r w:rsidR="005737F6">
        <w:t xml:space="preserve">(TNP2K) </w:t>
      </w:r>
      <w:r w:rsidR="00E57418">
        <w:t xml:space="preserve">which will review </w:t>
      </w:r>
      <w:smartTag w:uri="urn:schemas-microsoft-com:office:smarttags" w:element="place">
        <w:smartTag w:uri="urn:schemas-microsoft-com:office:smarttags" w:element="country-region">
          <w:r w:rsidR="00E57418">
            <w:t>Indonesia</w:t>
          </w:r>
        </w:smartTag>
      </w:smartTag>
      <w:r w:rsidR="00E57418">
        <w:t xml:space="preserve">’s poverty reduction instruments or safety net programs.  There is considerable scope to scale up Australia’s assistance to direct poverty </w:t>
      </w:r>
      <w:r w:rsidR="00C05968">
        <w:t xml:space="preserve">reduction </w:t>
      </w:r>
      <w:r w:rsidR="00CA77B2">
        <w:t>programs.</w:t>
      </w:r>
    </w:p>
    <w:p w:rsidR="00E57418" w:rsidRDefault="00E57418" w:rsidP="00E57418">
      <w:pPr>
        <w:pStyle w:val="BodyText"/>
      </w:pPr>
      <w:r>
        <w:t xml:space="preserve">A major success story in 2010 has been our support in </w:t>
      </w:r>
      <w:r w:rsidR="00C05968">
        <w:t xml:space="preserve">connecting households to water and sanitation systems through an incentives-based scheme. </w:t>
      </w:r>
      <w:r>
        <w:t xml:space="preserve">Local water companies </w:t>
      </w:r>
      <w:r w:rsidR="00C05968">
        <w:t xml:space="preserve">that </w:t>
      </w:r>
      <w:r>
        <w:t>demonstrate</w:t>
      </w:r>
      <w:r w:rsidR="00C05968">
        <w:t>d</w:t>
      </w:r>
      <w:r>
        <w:t xml:space="preserve"> sound business practices </w:t>
      </w:r>
      <w:r w:rsidR="00C05968">
        <w:t xml:space="preserve">were </w:t>
      </w:r>
      <w:r>
        <w:t>reimbursed for part of the cost of new connections resulting in thirty eight water utilities signing up for the program.  These companies connected 27 000 new household</w:t>
      </w:r>
      <w:r w:rsidR="00A751D0">
        <w:t>s,</w:t>
      </w:r>
      <w:r>
        <w:t xml:space="preserve"> </w:t>
      </w:r>
      <w:r w:rsidR="00A751D0">
        <w:t>giving</w:t>
      </w:r>
      <w:r>
        <w:t xml:space="preserve"> more than a 135 000 people access to water or sanitation services.  This program will expand in 2011.</w:t>
      </w:r>
      <w:r w:rsidR="00CA77B2">
        <w:t xml:space="preserve"> </w:t>
      </w:r>
    </w:p>
    <w:p w:rsidR="00E57418" w:rsidRDefault="00E57418" w:rsidP="00E57418">
      <w:pPr>
        <w:pStyle w:val="BodyText"/>
      </w:pPr>
      <w:proofErr w:type="spellStart"/>
      <w:r>
        <w:t>AusAID’s</w:t>
      </w:r>
      <w:proofErr w:type="spellEnd"/>
      <w:r>
        <w:t xml:space="preserve"> efforts in </w:t>
      </w:r>
      <w:r w:rsidR="0013580C">
        <w:t xml:space="preserve">2010 to </w:t>
      </w:r>
      <w:r>
        <w:t xml:space="preserve">prevent of HIV/AIDS transmission </w:t>
      </w:r>
      <w:r w:rsidR="0013580C">
        <w:t>included a</w:t>
      </w:r>
      <w:r>
        <w:t xml:space="preserve"> focus on injecting drug users and promoting HIV prevention information </w:t>
      </w:r>
      <w:r w:rsidR="00815FFB">
        <w:t>and materials</w:t>
      </w:r>
      <w:r>
        <w:t xml:space="preserve"> in Papua and </w:t>
      </w:r>
      <w:smartTag w:uri="urn:schemas-microsoft-com:office:smarttags" w:element="place">
        <w:r>
          <w:t>West Papua</w:t>
        </w:r>
      </w:smartTag>
      <w:r>
        <w:t xml:space="preserve">.  Similarly the support for maternal and neo-natal health in Nusa Tenggara </w:t>
      </w:r>
      <w:proofErr w:type="spellStart"/>
      <w:r>
        <w:t>Timur</w:t>
      </w:r>
      <w:proofErr w:type="spellEnd"/>
      <w:r>
        <w:t xml:space="preserve"> continued with an emphasis on promoting increased facility-based deliveries (particularly health centres) to reduce maternal and child mortality.</w:t>
      </w:r>
    </w:p>
    <w:p w:rsidR="00E57418" w:rsidRDefault="00E57418" w:rsidP="00E57418">
      <w:pPr>
        <w:pStyle w:val="BodyText"/>
      </w:pPr>
      <w:r>
        <w:t xml:space="preserve">In </w:t>
      </w:r>
      <w:r w:rsidR="0013580C">
        <w:t>infrastructure,</w:t>
      </w:r>
      <w:r>
        <w:t xml:space="preserve"> our national roads program ma</w:t>
      </w:r>
      <w:r w:rsidR="0013580C">
        <w:t>d</w:t>
      </w:r>
      <w:r>
        <w:t xml:space="preserve">e </w:t>
      </w:r>
      <w:r w:rsidR="0013580C">
        <w:t xml:space="preserve">significant </w:t>
      </w:r>
      <w:r>
        <w:t xml:space="preserve">progress with 17 packages </w:t>
      </w:r>
      <w:r w:rsidR="0013580C">
        <w:t xml:space="preserve">underway </w:t>
      </w:r>
      <w:r>
        <w:t xml:space="preserve">and </w:t>
      </w:r>
      <w:r w:rsidR="0013580C">
        <w:t xml:space="preserve">work on </w:t>
      </w:r>
      <w:r>
        <w:t xml:space="preserve">the remaining 5 packages expected to </w:t>
      </w:r>
      <w:r w:rsidR="0013580C">
        <w:t>begin</w:t>
      </w:r>
      <w:r>
        <w:t xml:space="preserve"> in 2011.  Quality of construction and contract supervision are emerging issues and exposing institutional weaknesses in Department of General Highways (DGH).   The Indonesia Infrastructure Facility (</w:t>
      </w:r>
      <w:proofErr w:type="spellStart"/>
      <w:r>
        <w:t>IndII</w:t>
      </w:r>
      <w:proofErr w:type="spellEnd"/>
      <w:r>
        <w:t xml:space="preserve">) continued to provide high calibre </w:t>
      </w:r>
      <w:r w:rsidR="001F5D63">
        <w:t>technical assistance</w:t>
      </w:r>
      <w:r>
        <w:t>, work</w:t>
      </w:r>
      <w:r w:rsidR="0013580C">
        <w:t>ing</w:t>
      </w:r>
      <w:r>
        <w:t xml:space="preserve"> closely with a range of </w:t>
      </w:r>
      <w:proofErr w:type="spellStart"/>
      <w:r>
        <w:t>G</w:t>
      </w:r>
      <w:r w:rsidR="00936D2A">
        <w:t>o</w:t>
      </w:r>
      <w:r>
        <w:t>I</w:t>
      </w:r>
      <w:proofErr w:type="spellEnd"/>
      <w:r>
        <w:t xml:space="preserve"> institutions on transport and connectivity issues.  Institutional weaknesses such as those emerging in DGH are also being addressed </w:t>
      </w:r>
      <w:r w:rsidR="0013580C">
        <w:t>by</w:t>
      </w:r>
      <w:r>
        <w:t xml:space="preserve"> </w:t>
      </w:r>
      <w:proofErr w:type="spellStart"/>
      <w:r>
        <w:t>IndII</w:t>
      </w:r>
      <w:proofErr w:type="spellEnd"/>
      <w:r>
        <w:t>.</w:t>
      </w:r>
      <w:r w:rsidR="00CA77B2">
        <w:t xml:space="preserve"> </w:t>
      </w:r>
    </w:p>
    <w:p w:rsidR="00E57418" w:rsidRDefault="00E57418" w:rsidP="00E57418">
      <w:pPr>
        <w:pStyle w:val="BodyText"/>
      </w:pPr>
      <w:r>
        <w:t>The Decentralisation program’s main activity</w:t>
      </w:r>
      <w:r w:rsidR="00E31659">
        <w:t>,</w:t>
      </w:r>
      <w:r>
        <w:t xml:space="preserve"> ANTARA</w:t>
      </w:r>
      <w:r w:rsidR="00E31659">
        <w:t>,</w:t>
      </w:r>
      <w:r>
        <w:t xml:space="preserve"> was replace</w:t>
      </w:r>
      <w:r w:rsidR="00E31659">
        <w:t>d</w:t>
      </w:r>
      <w:r>
        <w:t xml:space="preserve"> </w:t>
      </w:r>
      <w:r w:rsidR="00E31659">
        <w:t>by</w:t>
      </w:r>
      <w:r>
        <w:t xml:space="preserve"> the Australia Indonesia Partnership for Decentralisation (AIPD)</w:t>
      </w:r>
      <w:r w:rsidR="00E31659">
        <w:t>, which kicked off</w:t>
      </w:r>
      <w:r>
        <w:t xml:space="preserve"> in early 2011. Related programs such as ACCESS, PEACH</w:t>
      </w:r>
      <w:r w:rsidR="001F5D63">
        <w:t xml:space="preserve"> and</w:t>
      </w:r>
      <w:r>
        <w:t xml:space="preserve"> LOGICA focused their efforts on provincial and local government planning and budgeting.  Public expenditure analysis tools </w:t>
      </w:r>
      <w:r w:rsidR="006D1F09">
        <w:t xml:space="preserve">developed </w:t>
      </w:r>
      <w:r w:rsidR="0099016F">
        <w:t xml:space="preserve">and </w:t>
      </w:r>
      <w:r w:rsidR="006D1F09">
        <w:t xml:space="preserve">disseminated by these programs helped local governments improve the quality and timeliness of their budgets. Support to </w:t>
      </w:r>
      <w:r>
        <w:t xml:space="preserve">civil society organisations </w:t>
      </w:r>
      <w:r w:rsidR="00060490">
        <w:t xml:space="preserve">enabled them </w:t>
      </w:r>
      <w:r>
        <w:t xml:space="preserve">to advocate for improved </w:t>
      </w:r>
      <w:r>
        <w:lastRenderedPageBreak/>
        <w:t>budgets and plans providing the impetus for increased public spending on education, health and infrastructure.</w:t>
      </w:r>
    </w:p>
    <w:p w:rsidR="00E57418" w:rsidRDefault="00E57418" w:rsidP="00E57418">
      <w:pPr>
        <w:pStyle w:val="BodyText"/>
      </w:pPr>
      <w:smartTag w:uri="urn:schemas-microsoft-com:office:smarttags" w:element="place">
        <w:smartTag w:uri="urn:schemas-microsoft-com:office:smarttags" w:element="country-region">
          <w:r>
            <w:t>Australia</w:t>
          </w:r>
        </w:smartTag>
      </w:smartTag>
      <w:r>
        <w:t>’s lead role in disaster emergency response and disaster risk reduction continued in 2010.  The Australia</w:t>
      </w:r>
      <w:r w:rsidR="001F5D63">
        <w:t>-</w:t>
      </w:r>
      <w:r>
        <w:t xml:space="preserve">Indonesia Facility for Disaster Reduction (AIFDR) Build Back Better campaign following the 2009 earthquake in </w:t>
      </w:r>
      <w:smartTag w:uri="urn:schemas-microsoft-com:office:smarttags" w:element="place">
        <w:r>
          <w:t>West Sumatra</w:t>
        </w:r>
      </w:smartTag>
      <w:r>
        <w:t xml:space="preserve"> is influencing building practices and community awareness.  </w:t>
      </w:r>
      <w:proofErr w:type="spellStart"/>
      <w:r w:rsidR="00E31659">
        <w:t>AusAID</w:t>
      </w:r>
      <w:proofErr w:type="spellEnd"/>
      <w:r>
        <w:t xml:space="preserve"> </w:t>
      </w:r>
      <w:r w:rsidR="00C13643">
        <w:t>supported</w:t>
      </w:r>
      <w:r>
        <w:t xml:space="preserve"> </w:t>
      </w:r>
      <w:smartTag w:uri="urn:schemas-microsoft-com:office:smarttags" w:element="country-region">
        <w:r>
          <w:t>Indonesia</w:t>
        </w:r>
      </w:smartTag>
      <w:r>
        <w:t xml:space="preserve">’s National Disaster Management Agency (BNBP) </w:t>
      </w:r>
      <w:r w:rsidR="00C13643">
        <w:t xml:space="preserve">by </w:t>
      </w:r>
      <w:r>
        <w:t xml:space="preserve">contributing $7.6 million to relief efforts following the Mt </w:t>
      </w:r>
      <w:proofErr w:type="spellStart"/>
      <w:r>
        <w:t>Merapi</w:t>
      </w:r>
      <w:proofErr w:type="spellEnd"/>
      <w:r>
        <w:t xml:space="preserve"> eruption and </w:t>
      </w:r>
      <w:proofErr w:type="spellStart"/>
      <w:smartTag w:uri="urn:schemas-microsoft-com:office:smarttags" w:element="place">
        <w:smartTag w:uri="urn:schemas-microsoft-com:office:smarttags" w:element="PlaceName">
          <w:r>
            <w:t>Mentawai</w:t>
          </w:r>
        </w:smartTag>
        <w:proofErr w:type="spellEnd"/>
        <w:r>
          <w:t xml:space="preserve"> </w:t>
        </w:r>
        <w:smartTag w:uri="urn:schemas-microsoft-com:office:smarttags" w:element="PlaceType">
          <w:r>
            <w:t>Islands</w:t>
          </w:r>
        </w:smartTag>
      </w:smartTag>
      <w:r>
        <w:t xml:space="preserve"> tsunami in October 2010.  In </w:t>
      </w:r>
      <w:smartTag w:uri="urn:schemas-microsoft-com:office:smarttags" w:element="place">
        <w:r>
          <w:t>West Java</w:t>
        </w:r>
      </w:smartTag>
      <w:r>
        <w:t xml:space="preserve"> and West Sumatra </w:t>
      </w:r>
      <w:proofErr w:type="spellStart"/>
      <w:r w:rsidR="00C13643">
        <w:t>AusAID</w:t>
      </w:r>
      <w:proofErr w:type="spellEnd"/>
      <w:r w:rsidR="00C13643">
        <w:t xml:space="preserve"> </w:t>
      </w:r>
      <w:r w:rsidR="001F5D63">
        <w:t>reconstructed</w:t>
      </w:r>
      <w:r>
        <w:t xml:space="preserve"> 45 schools damaged by earthquakes in 2009.  The school reconstruction funding included US$</w:t>
      </w:r>
      <w:r w:rsidR="008E4154">
        <w:t xml:space="preserve"> </w:t>
      </w:r>
      <w:r>
        <w:t>10 million provided</w:t>
      </w:r>
      <w:r w:rsidR="001F5D63">
        <w:t xml:space="preserve"> by</w:t>
      </w:r>
      <w:r>
        <w:t xml:space="preserve"> USAID to </w:t>
      </w:r>
      <w:proofErr w:type="spellStart"/>
      <w:r>
        <w:t>AusAID</w:t>
      </w:r>
      <w:proofErr w:type="spellEnd"/>
      <w:r>
        <w:t xml:space="preserve"> to add to the number of schools reconstructed in </w:t>
      </w:r>
      <w:smartTag w:uri="urn:schemas-microsoft-com:office:smarttags" w:element="place">
        <w:r>
          <w:t>West Sumatra</w:t>
        </w:r>
      </w:smartTag>
      <w:r w:rsidR="001F5D63">
        <w:t>. This was</w:t>
      </w:r>
      <w:r>
        <w:t xml:space="preserve"> USAID’s first ever delegated cooperation arrangement in </w:t>
      </w:r>
      <w:smartTag w:uri="urn:schemas-microsoft-com:office:smarttags" w:element="place">
        <w:smartTag w:uri="urn:schemas-microsoft-com:office:smarttags" w:element="country-region">
          <w:r>
            <w:t>Indonesia</w:t>
          </w:r>
        </w:smartTag>
      </w:smartTag>
      <w:r>
        <w:t>.</w:t>
      </w:r>
    </w:p>
    <w:p w:rsidR="00E57418" w:rsidRDefault="00E57418" w:rsidP="00E57418">
      <w:pPr>
        <w:pStyle w:val="BodyText"/>
      </w:pPr>
      <w:r>
        <w:t>Economic policy coordination attracted the largest share of Australian assistance in the Economic Governance Sector.  Foremost has been the support by the Australian Treasury to the Fiscal Policy Office within the Ministry of Finance</w:t>
      </w:r>
      <w:r w:rsidR="004927CB">
        <w:t xml:space="preserve"> (</w:t>
      </w:r>
      <w:proofErr w:type="spellStart"/>
      <w:r w:rsidR="004927CB">
        <w:t>MoF</w:t>
      </w:r>
      <w:proofErr w:type="spellEnd"/>
      <w:r w:rsidR="004927CB">
        <w:t>)</w:t>
      </w:r>
      <w:r>
        <w:t>.  Macroeconomic analysis and growth forecasting has improved and the initial work on Tax Policy is also being taken up by a reform</w:t>
      </w:r>
      <w:r w:rsidR="004927CB">
        <w:t>-</w:t>
      </w:r>
      <w:r>
        <w:t>minded leadership in</w:t>
      </w:r>
      <w:r w:rsidR="004927CB">
        <w:t xml:space="preserve"> the </w:t>
      </w:r>
      <w:proofErr w:type="spellStart"/>
      <w:r w:rsidR="004927CB">
        <w:t>MoF</w:t>
      </w:r>
      <w:proofErr w:type="spellEnd"/>
      <w:r>
        <w:t xml:space="preserve">. </w:t>
      </w:r>
    </w:p>
    <w:p w:rsidR="00C05968" w:rsidRDefault="00E57418" w:rsidP="00E57418">
      <w:pPr>
        <w:pStyle w:val="BodyText"/>
      </w:pPr>
      <w:smartTag w:uri="urn:schemas-microsoft-com:office:smarttags" w:element="country-region">
        <w:r>
          <w:t>Australia</w:t>
        </w:r>
      </w:smartTag>
      <w:r>
        <w:t>’s support for Climate Change continue</w:t>
      </w:r>
      <w:r w:rsidR="001F5D63">
        <w:t>d</w:t>
      </w:r>
      <w:r>
        <w:t xml:space="preserve"> to evolve as </w:t>
      </w:r>
      <w:smartTag w:uri="urn:schemas-microsoft-com:office:smarttags" w:element="place">
        <w:smartTag w:uri="urn:schemas-microsoft-com:office:smarttags" w:element="country-region">
          <w:r>
            <w:t>Indonesia</w:t>
          </w:r>
        </w:smartTag>
      </w:smartTag>
      <w:r>
        <w:t xml:space="preserve"> continue</w:t>
      </w:r>
      <w:r w:rsidR="001F5D63">
        <w:t>d</w:t>
      </w:r>
      <w:r>
        <w:t xml:space="preserve"> to pick up pace in its response to the game</w:t>
      </w:r>
      <w:r w:rsidR="00901673">
        <w:t>-</w:t>
      </w:r>
      <w:r>
        <w:t xml:space="preserve">changing Indonesia Norway Letter of Intent for a US$1billion REDD Partnership.  </w:t>
      </w:r>
      <w:smartTag w:uri="urn:schemas-microsoft-com:office:smarttags" w:element="place">
        <w:smartTag w:uri="urn:schemas-microsoft-com:office:smarttags" w:element="country-region">
          <w:r>
            <w:t>Indonesia</w:t>
          </w:r>
        </w:smartTag>
      </w:smartTag>
      <w:r>
        <w:t xml:space="preserve"> has committed to establish new national architecture for REDD+.   The Australia</w:t>
      </w:r>
      <w:r w:rsidR="00901673">
        <w:t>-</w:t>
      </w:r>
      <w:r w:rsidR="002455FA">
        <w:t xml:space="preserve">supported Indonesia </w:t>
      </w:r>
      <w:r>
        <w:t xml:space="preserve">National Carbon Accounting </w:t>
      </w:r>
      <w:r w:rsidR="008645D5" w:rsidRPr="00B00064">
        <w:t>System</w:t>
      </w:r>
      <w:r>
        <w:t xml:space="preserve"> is expected to form </w:t>
      </w:r>
      <w:r w:rsidRPr="00B00064">
        <w:t xml:space="preserve">the </w:t>
      </w:r>
      <w:r w:rsidR="008645D5" w:rsidRPr="00B00064">
        <w:t>foundation</w:t>
      </w:r>
      <w:r w:rsidRPr="00B00064">
        <w:t xml:space="preserve"> of </w:t>
      </w:r>
      <w:proofErr w:type="spellStart"/>
      <w:r w:rsidRPr="00B00064">
        <w:t>G</w:t>
      </w:r>
      <w:r w:rsidR="00936D2A">
        <w:t>o</w:t>
      </w:r>
      <w:r w:rsidRPr="00B00064">
        <w:t>I’s</w:t>
      </w:r>
      <w:proofErr w:type="spellEnd"/>
      <w:r w:rsidRPr="00B00064">
        <w:t xml:space="preserve"> new </w:t>
      </w:r>
      <w:r w:rsidR="002455FA" w:rsidRPr="00B00064">
        <w:t>Measurement,</w:t>
      </w:r>
      <w:r w:rsidRPr="00B00064">
        <w:t xml:space="preserve"> Review and Verification (MRV) </w:t>
      </w:r>
      <w:r w:rsidR="002455FA" w:rsidRPr="00B00064">
        <w:t>Institution</w:t>
      </w:r>
      <w:r w:rsidRPr="00B00064">
        <w:t>.</w:t>
      </w:r>
      <w:r>
        <w:t xml:space="preserve">  A second pilot demonstration </w:t>
      </w:r>
      <w:r w:rsidR="002455FA">
        <w:t xml:space="preserve">activity </w:t>
      </w:r>
      <w:r>
        <w:t xml:space="preserve">under the Indonesia Australia Forest </w:t>
      </w:r>
      <w:r w:rsidR="002455FA">
        <w:t xml:space="preserve">Carbon </w:t>
      </w:r>
      <w:r>
        <w:t>Partnership was also selected and design of the program will get underway in 2011.</w:t>
      </w:r>
    </w:p>
    <w:p w:rsidR="00A42A3E" w:rsidRDefault="00A42A3E" w:rsidP="0071790F">
      <w:pPr>
        <w:pStyle w:val="Heading1"/>
        <w:ind w:left="0"/>
      </w:pPr>
      <w:bookmarkStart w:id="16" w:name="_Toc300905102"/>
      <w:bookmarkStart w:id="17" w:name="_Toc360981824"/>
      <w:r>
        <w:t>Sector Performance ratings</w:t>
      </w:r>
      <w:bookmarkEnd w:id="16"/>
      <w:bookmarkEnd w:id="17"/>
      <w:r>
        <w:t xml:space="preserve"> </w:t>
      </w:r>
    </w:p>
    <w:p w:rsidR="00A42A3E" w:rsidRPr="00CA77B2" w:rsidRDefault="00A42A3E" w:rsidP="00A42A3E">
      <w:pPr>
        <w:pStyle w:val="BodyText"/>
        <w:rPr>
          <w:lang w:val="en-US"/>
        </w:rPr>
      </w:pPr>
      <w:r>
        <w:t xml:space="preserve">In this </w:t>
      </w:r>
      <w:r w:rsidRPr="00FB59DD">
        <w:rPr>
          <w:rStyle w:val="AbbreviationChar"/>
        </w:rPr>
        <w:t>APPR</w:t>
      </w:r>
      <w:r>
        <w:t>, performance is assessed against sub-sector development outcomes and form</w:t>
      </w:r>
      <w:r w:rsidR="00320E26">
        <w:t>s</w:t>
      </w:r>
      <w:r>
        <w:t xml:space="preserve"> part of sector performance frameworks which have </w:t>
      </w:r>
      <w:r w:rsidR="00320E26">
        <w:t xml:space="preserve">been </w:t>
      </w:r>
      <w:r>
        <w:t>developed</w:t>
      </w:r>
      <w:r w:rsidR="00D90F24">
        <w:t xml:space="preserve"> and</w:t>
      </w:r>
      <w:r>
        <w:t xml:space="preserve"> refined over the course of 2010.   Teams collected data against performance indicators for each sub-sector outcome and assessed progress on these indicators using traffic light ratings. Ratings for sub-sector outcomes were based on an aggregate impression of progress </w:t>
      </w:r>
      <w:r w:rsidR="0099016F">
        <w:t xml:space="preserve">drawing </w:t>
      </w:r>
      <w:r>
        <w:t xml:space="preserve">on ratings for each indicator and teams’ own contextual knowledge.  </w:t>
      </w:r>
      <w:r w:rsidRPr="005E31D8">
        <w:t>An explanation of the basis for ratings is at Annex 2.</w:t>
      </w:r>
    </w:p>
    <w:p w:rsidR="00E57418" w:rsidRPr="004D62DB" w:rsidRDefault="00E57418" w:rsidP="00E57418">
      <w:pPr>
        <w:pStyle w:val="Caption"/>
        <w:rPr>
          <w:sz w:val="18"/>
          <w:szCs w:val="18"/>
        </w:rPr>
      </w:pPr>
      <w:r w:rsidRPr="004D62DB">
        <w:rPr>
          <w:sz w:val="18"/>
          <w:szCs w:val="18"/>
        </w:rPr>
        <w:t xml:space="preserve">Table </w:t>
      </w:r>
      <w:r w:rsidRPr="004D62DB">
        <w:rPr>
          <w:sz w:val="18"/>
          <w:szCs w:val="18"/>
        </w:rPr>
        <w:fldChar w:fldCharType="begin"/>
      </w:r>
      <w:r w:rsidRPr="004D62DB">
        <w:rPr>
          <w:sz w:val="18"/>
          <w:szCs w:val="18"/>
        </w:rPr>
        <w:instrText xml:space="preserve"> SEQ Table \* MERGEFORMAT </w:instrText>
      </w:r>
      <w:r w:rsidRPr="004D62DB">
        <w:rPr>
          <w:sz w:val="18"/>
          <w:szCs w:val="18"/>
        </w:rPr>
        <w:fldChar w:fldCharType="separate"/>
      </w:r>
      <w:r w:rsidR="00BE1539">
        <w:rPr>
          <w:noProof/>
          <w:sz w:val="18"/>
          <w:szCs w:val="18"/>
        </w:rPr>
        <w:t>1</w:t>
      </w:r>
      <w:r w:rsidRPr="004D62DB">
        <w:rPr>
          <w:sz w:val="18"/>
          <w:szCs w:val="18"/>
        </w:rPr>
        <w:fldChar w:fldCharType="end"/>
      </w:r>
      <w:r w:rsidRPr="004D62DB">
        <w:rPr>
          <w:sz w:val="18"/>
          <w:szCs w:val="18"/>
        </w:rPr>
        <w:t>: Ratings of the program’s progress in 2010 towards the objectives of the Indonesia program</w:t>
      </w:r>
    </w:p>
    <w:tbl>
      <w:tblPr>
        <w:tblW w:w="9377" w:type="dxa"/>
        <w:tblInd w:w="57" w:type="dxa"/>
        <w:tblLook w:val="01E0" w:firstRow="1" w:lastRow="1" w:firstColumn="1" w:lastColumn="1" w:noHBand="0" w:noVBand="0"/>
      </w:tblPr>
      <w:tblGrid>
        <w:gridCol w:w="6763"/>
        <w:gridCol w:w="1059"/>
        <w:gridCol w:w="1555"/>
      </w:tblGrid>
      <w:tr w:rsidR="00E57418" w:rsidRPr="00D81B5B" w:rsidTr="00AD591F">
        <w:trPr>
          <w:cantSplit/>
          <w:trHeight w:val="161"/>
          <w:tblHeader/>
        </w:trPr>
        <w:tc>
          <w:tcPr>
            <w:tcW w:w="6763" w:type="dxa"/>
            <w:tcBorders>
              <w:top w:val="single" w:sz="12" w:space="0" w:color="auto"/>
              <w:bottom w:val="single" w:sz="2" w:space="0" w:color="auto"/>
            </w:tcBorders>
            <w:shd w:val="clear" w:color="auto" w:fill="auto"/>
            <w:tcMar>
              <w:left w:w="57" w:type="dxa"/>
              <w:right w:w="57" w:type="dxa"/>
            </w:tcMar>
          </w:tcPr>
          <w:p w:rsidR="00E57418" w:rsidRPr="00D81B5B" w:rsidRDefault="00E57418" w:rsidP="00E00DFF">
            <w:pPr>
              <w:pStyle w:val="TableTextColumnHeading"/>
            </w:pPr>
            <w:r w:rsidRPr="00D81B5B">
              <w:t>Objective</w:t>
            </w:r>
          </w:p>
        </w:tc>
        <w:tc>
          <w:tcPr>
            <w:tcW w:w="1059" w:type="dxa"/>
            <w:tcBorders>
              <w:top w:val="single" w:sz="12" w:space="0" w:color="auto"/>
              <w:bottom w:val="single" w:sz="2" w:space="0" w:color="auto"/>
            </w:tcBorders>
            <w:shd w:val="clear" w:color="auto" w:fill="auto"/>
            <w:tcMar>
              <w:left w:w="57" w:type="dxa"/>
              <w:right w:w="57" w:type="dxa"/>
            </w:tcMar>
          </w:tcPr>
          <w:p w:rsidR="00E57418" w:rsidRDefault="00E57418" w:rsidP="00E00DFF">
            <w:pPr>
              <w:pStyle w:val="TableTextColumnHeading"/>
              <w:jc w:val="center"/>
            </w:pPr>
            <w:r w:rsidRPr="00D81B5B">
              <w:t>Rating</w:t>
            </w:r>
            <w:r>
              <w:t xml:space="preserve"> in 2010</w:t>
            </w:r>
          </w:p>
        </w:tc>
        <w:tc>
          <w:tcPr>
            <w:tcW w:w="1555" w:type="dxa"/>
            <w:tcBorders>
              <w:top w:val="single" w:sz="12" w:space="0" w:color="auto"/>
              <w:bottom w:val="single" w:sz="2" w:space="0" w:color="auto"/>
            </w:tcBorders>
            <w:shd w:val="clear" w:color="auto" w:fill="auto"/>
            <w:tcMar>
              <w:left w:w="57" w:type="dxa"/>
              <w:right w:w="57" w:type="dxa"/>
            </w:tcMar>
          </w:tcPr>
          <w:p w:rsidR="00E57418" w:rsidRDefault="00E57418" w:rsidP="00E00DFF">
            <w:pPr>
              <w:pStyle w:val="TableTextColumnHeading"/>
              <w:jc w:val="center"/>
            </w:pPr>
            <w:r>
              <w:t>Relative to</w:t>
            </w:r>
            <w:r w:rsidRPr="00D81B5B">
              <w:t xml:space="preserve"> </w:t>
            </w:r>
            <w:r>
              <w:br/>
            </w:r>
            <w:r w:rsidRPr="00D81B5B">
              <w:t>previous rating</w:t>
            </w:r>
          </w:p>
        </w:tc>
      </w:tr>
      <w:tr w:rsidR="00E57418" w:rsidRPr="00D81B5B" w:rsidTr="008645D5">
        <w:trPr>
          <w:cantSplit/>
          <w:trHeight w:val="161"/>
        </w:trPr>
        <w:tc>
          <w:tcPr>
            <w:tcW w:w="6763" w:type="dxa"/>
            <w:tcBorders>
              <w:top w:val="single" w:sz="2" w:space="0" w:color="auto"/>
            </w:tcBorders>
            <w:shd w:val="clear" w:color="auto" w:fill="F5F1CC"/>
            <w:tcMar>
              <w:left w:w="57" w:type="dxa"/>
              <w:right w:w="57" w:type="dxa"/>
            </w:tcMar>
            <w:vAlign w:val="center"/>
          </w:tcPr>
          <w:p w:rsidR="00E57418" w:rsidRPr="0058729F" w:rsidRDefault="00E57418" w:rsidP="00E00DFF">
            <w:pPr>
              <w:pStyle w:val="TableTextEntries"/>
            </w:pPr>
            <w:r>
              <w:t>Education and scholarship</w:t>
            </w:r>
            <w:r w:rsidR="00D90F24">
              <w:t>s</w:t>
            </w:r>
          </w:p>
        </w:tc>
        <w:tc>
          <w:tcPr>
            <w:tcW w:w="1059" w:type="dxa"/>
            <w:tcBorders>
              <w:top w:val="single" w:sz="2" w:space="0" w:color="auto"/>
            </w:tcBorders>
            <w:shd w:val="clear" w:color="auto" w:fill="F5F1CC"/>
            <w:tcMar>
              <w:left w:w="57" w:type="dxa"/>
              <w:right w:w="57" w:type="dxa"/>
            </w:tcMar>
            <w:vAlign w:val="center"/>
          </w:tcPr>
          <w:p w:rsidR="00E57418" w:rsidRPr="0058729F" w:rsidRDefault="00E57418" w:rsidP="00E00DFF">
            <w:pPr>
              <w:pStyle w:val="Ratingbullet"/>
            </w:pPr>
          </w:p>
        </w:tc>
        <w:tc>
          <w:tcPr>
            <w:tcW w:w="1555" w:type="dxa"/>
            <w:tcBorders>
              <w:top w:val="single" w:sz="2" w:space="0" w:color="auto"/>
            </w:tcBorders>
            <w:shd w:val="clear" w:color="auto" w:fill="F5F1CC"/>
            <w:tcMar>
              <w:left w:w="57" w:type="dxa"/>
              <w:right w:w="57" w:type="dxa"/>
            </w:tcMar>
            <w:vAlign w:val="center"/>
          </w:tcPr>
          <w:p w:rsidR="00E57418" w:rsidRPr="0058729F" w:rsidRDefault="00E57418" w:rsidP="00E00DFF">
            <w:pPr>
              <w:pStyle w:val="TableTextEntries"/>
              <w:jc w:val="center"/>
            </w:pPr>
          </w:p>
        </w:tc>
      </w:tr>
      <w:tr w:rsidR="00E57418" w:rsidRPr="00D81B5B" w:rsidTr="008645D5">
        <w:trPr>
          <w:cantSplit/>
          <w:trHeight w:val="161"/>
        </w:trPr>
        <w:tc>
          <w:tcPr>
            <w:tcW w:w="6763" w:type="dxa"/>
            <w:tcMar>
              <w:left w:w="57" w:type="dxa"/>
              <w:right w:w="57" w:type="dxa"/>
            </w:tcMar>
            <w:vAlign w:val="center"/>
          </w:tcPr>
          <w:p w:rsidR="00E57418" w:rsidRPr="0058729F" w:rsidRDefault="00E57418" w:rsidP="00E00DFF">
            <w:pPr>
              <w:pStyle w:val="TableTextEntries"/>
            </w:pPr>
            <w:r w:rsidRPr="00532793">
              <w:t>Access to quality research and analysis informing policy decisions and policy implementation</w:t>
            </w:r>
          </w:p>
        </w:tc>
        <w:tc>
          <w:tcPr>
            <w:tcW w:w="1059" w:type="dxa"/>
            <w:shd w:val="clear" w:color="auto" w:fill="auto"/>
            <w:tcMar>
              <w:left w:w="57" w:type="dxa"/>
              <w:right w:w="57" w:type="dxa"/>
            </w:tcMar>
            <w:vAlign w:val="center"/>
          </w:tcPr>
          <w:p w:rsidR="00E57418" w:rsidRPr="00203B55" w:rsidRDefault="00203B55" w:rsidP="00E00DFF">
            <w:pPr>
              <w:pStyle w:val="Ratingbullet"/>
              <w:rPr>
                <w:lang w:val="en-US"/>
              </w:rPr>
            </w:pPr>
            <w:r>
              <w:rPr>
                <w:noProof/>
                <w:lang w:val="en-US"/>
              </w:rPr>
              <w:drawing>
                <wp:inline distT="0" distB="0" distL="0" distR="0" wp14:anchorId="113B9BAE" wp14:editId="36D014F0">
                  <wp:extent cx="131339" cy="131339"/>
                  <wp:effectExtent l="0" t="0" r="2540" b="2540"/>
                  <wp:docPr id="9" name="Picture 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33815" cy="133815"/>
                          </a:xfrm>
                          <a:prstGeom prst="rect">
                            <a:avLst/>
                          </a:prstGeom>
                        </pic:spPr>
                      </pic:pic>
                    </a:graphicData>
                  </a:graphic>
                </wp:inline>
              </w:drawing>
            </w:r>
          </w:p>
        </w:tc>
        <w:tc>
          <w:tcPr>
            <w:tcW w:w="1555" w:type="dxa"/>
            <w:tcMar>
              <w:left w:w="57" w:type="dxa"/>
              <w:right w:w="57" w:type="dxa"/>
            </w:tcMar>
            <w:vAlign w:val="center"/>
          </w:tcPr>
          <w:p w:rsidR="00E57418" w:rsidRPr="0058729F" w:rsidRDefault="00E57418" w:rsidP="00E00DF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E57418" w:rsidRPr="00D81B5B" w:rsidTr="008645D5">
        <w:trPr>
          <w:cantSplit/>
          <w:trHeight w:val="161"/>
        </w:trPr>
        <w:tc>
          <w:tcPr>
            <w:tcW w:w="6763" w:type="dxa"/>
            <w:tcMar>
              <w:left w:w="57" w:type="dxa"/>
              <w:right w:w="57" w:type="dxa"/>
            </w:tcMar>
            <w:vAlign w:val="center"/>
          </w:tcPr>
          <w:p w:rsidR="00E57418" w:rsidRDefault="00E57418" w:rsidP="00E00DFF">
            <w:pPr>
              <w:pStyle w:val="TableTextEntries"/>
            </w:pPr>
            <w:proofErr w:type="spellStart"/>
            <w:r w:rsidRPr="00532793">
              <w:t>GoI</w:t>
            </w:r>
            <w:proofErr w:type="spellEnd"/>
            <w:r w:rsidRPr="00532793">
              <w:t xml:space="preserve"> projected infrastructure requirements met for Junior Secondary Schools for districts with low </w:t>
            </w:r>
            <w:r>
              <w:t xml:space="preserve">gross enrolment rate </w:t>
            </w:r>
            <w:r w:rsidRPr="00532793">
              <w:t>nationwide</w:t>
            </w:r>
          </w:p>
        </w:tc>
        <w:tc>
          <w:tcPr>
            <w:tcW w:w="1059" w:type="dxa"/>
            <w:shd w:val="clear" w:color="auto" w:fill="auto"/>
            <w:tcMar>
              <w:left w:w="57" w:type="dxa"/>
              <w:right w:w="57" w:type="dxa"/>
            </w:tcMar>
            <w:vAlign w:val="center"/>
          </w:tcPr>
          <w:p w:rsidR="00E57418" w:rsidRPr="00203B55" w:rsidRDefault="00203B55" w:rsidP="00E00DFF">
            <w:pPr>
              <w:pStyle w:val="Ratingbullet"/>
              <w:rPr>
                <w:rtl/>
                <w:lang w:val="en-US" w:bidi="ar-SY"/>
              </w:rPr>
            </w:pPr>
            <w:r>
              <w:rPr>
                <w:rFonts w:hint="cs"/>
                <w:noProof/>
                <w:rtl/>
                <w:lang w:val="en-US"/>
              </w:rPr>
              <w:drawing>
                <wp:inline distT="0" distB="0" distL="0" distR="0" wp14:anchorId="67C013E7" wp14:editId="4EC86127">
                  <wp:extent cx="130810" cy="130810"/>
                  <wp:effectExtent l="0" t="0" r="2540" b="2540"/>
                  <wp:docPr id="10" name="Picture 1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33645" cy="133645"/>
                          </a:xfrm>
                          <a:prstGeom prst="rect">
                            <a:avLst/>
                          </a:prstGeom>
                        </pic:spPr>
                      </pic:pic>
                    </a:graphicData>
                  </a:graphic>
                </wp:inline>
              </w:drawing>
            </w:r>
          </w:p>
        </w:tc>
        <w:tc>
          <w:tcPr>
            <w:tcW w:w="1555" w:type="dxa"/>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E57418" w:rsidRPr="00D81B5B" w:rsidTr="008645D5">
        <w:trPr>
          <w:cantSplit/>
          <w:trHeight w:val="161"/>
        </w:trPr>
        <w:tc>
          <w:tcPr>
            <w:tcW w:w="6763" w:type="dxa"/>
            <w:tcMar>
              <w:left w:w="57" w:type="dxa"/>
              <w:right w:w="57" w:type="dxa"/>
            </w:tcMar>
            <w:vAlign w:val="center"/>
          </w:tcPr>
          <w:p w:rsidR="00E57418" w:rsidRPr="0058729F" w:rsidRDefault="00E57418" w:rsidP="00E00DFF">
            <w:pPr>
              <w:pStyle w:val="TableTextEntries"/>
            </w:pPr>
            <w:r w:rsidRPr="009914C1">
              <w:t>A national system delivering strengthened sub-national capacity for education system management</w:t>
            </w:r>
          </w:p>
        </w:tc>
        <w:tc>
          <w:tcPr>
            <w:tcW w:w="1059" w:type="dxa"/>
            <w:shd w:val="clear" w:color="auto" w:fill="auto"/>
            <w:tcMar>
              <w:left w:w="57" w:type="dxa"/>
              <w:right w:w="57" w:type="dxa"/>
            </w:tcMar>
            <w:vAlign w:val="center"/>
          </w:tcPr>
          <w:p w:rsidR="00E57418" w:rsidRPr="0058729F" w:rsidRDefault="00203B55" w:rsidP="00E00DFF">
            <w:pPr>
              <w:pStyle w:val="Ratingbullet"/>
            </w:pPr>
            <w:r>
              <w:rPr>
                <w:rFonts w:hint="cs"/>
                <w:noProof/>
                <w:rtl/>
                <w:lang w:val="en-US"/>
              </w:rPr>
              <w:drawing>
                <wp:inline distT="0" distB="0" distL="0" distR="0" wp14:anchorId="78440602" wp14:editId="64A769B2">
                  <wp:extent cx="130810" cy="130810"/>
                  <wp:effectExtent l="0" t="0" r="2540" b="2540"/>
                  <wp:docPr id="11" name="Picture 1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33645" cy="133645"/>
                          </a:xfrm>
                          <a:prstGeom prst="rect">
                            <a:avLst/>
                          </a:prstGeom>
                        </pic:spPr>
                      </pic:pic>
                    </a:graphicData>
                  </a:graphic>
                </wp:inline>
              </w:drawing>
            </w:r>
          </w:p>
        </w:tc>
        <w:tc>
          <w:tcPr>
            <w:tcW w:w="1555" w:type="dxa"/>
            <w:tcMar>
              <w:left w:w="57" w:type="dxa"/>
              <w:right w:w="57" w:type="dxa"/>
            </w:tcMar>
            <w:vAlign w:val="center"/>
          </w:tcPr>
          <w:p w:rsidR="00E57418" w:rsidRPr="0058729F" w:rsidRDefault="00E57418" w:rsidP="00E00DF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Improved</w:t>
            </w:r>
            <w:r>
              <w:rPr>
                <w:bCs/>
              </w:rPr>
              <w:fldChar w:fldCharType="end"/>
            </w:r>
          </w:p>
        </w:tc>
      </w:tr>
      <w:tr w:rsidR="00E57418" w:rsidRPr="00D81B5B" w:rsidTr="008645D5">
        <w:trPr>
          <w:cantSplit/>
          <w:trHeight w:val="161"/>
        </w:trPr>
        <w:tc>
          <w:tcPr>
            <w:tcW w:w="6763" w:type="dxa"/>
            <w:shd w:val="clear" w:color="auto" w:fill="auto"/>
            <w:tcMar>
              <w:left w:w="57" w:type="dxa"/>
              <w:right w:w="57" w:type="dxa"/>
            </w:tcMar>
            <w:vAlign w:val="center"/>
          </w:tcPr>
          <w:p w:rsidR="00E57418" w:rsidRPr="00D81B5B" w:rsidRDefault="00E57418" w:rsidP="00E00DFF">
            <w:pPr>
              <w:pStyle w:val="TableTextEntries"/>
            </w:pPr>
            <w:r w:rsidRPr="00532793">
              <w:t>Accelerated accreditation of</w:t>
            </w:r>
            <w:r w:rsidRPr="005E31D8">
              <w:t xml:space="preserve"> Madrasah by the </w:t>
            </w:r>
            <w:r>
              <w:t xml:space="preserve">Body for </w:t>
            </w:r>
            <w:r w:rsidRPr="005E31D8">
              <w:rPr>
                <w:rFonts w:cs="Arial"/>
              </w:rPr>
              <w:t xml:space="preserve">National </w:t>
            </w:r>
            <w:r>
              <w:rPr>
                <w:rFonts w:cs="Arial"/>
              </w:rPr>
              <w:t xml:space="preserve">Education Standards </w:t>
            </w:r>
            <w:r w:rsidRPr="005E31D8">
              <w:t>(BSNP) in reference to eight National Education Standards (new)</w:t>
            </w:r>
          </w:p>
        </w:tc>
        <w:tc>
          <w:tcPr>
            <w:tcW w:w="1059" w:type="dxa"/>
            <w:shd w:val="clear" w:color="auto" w:fill="auto"/>
            <w:tcMar>
              <w:left w:w="57" w:type="dxa"/>
              <w:right w:w="57" w:type="dxa"/>
            </w:tcMar>
            <w:vAlign w:val="center"/>
          </w:tcPr>
          <w:p w:rsidR="00E57418" w:rsidRPr="0058729F" w:rsidRDefault="00203B55" w:rsidP="00E00DFF">
            <w:pPr>
              <w:pStyle w:val="Ratingbullet"/>
            </w:pPr>
            <w:r>
              <w:rPr>
                <w:noProof/>
                <w:lang w:val="en-US"/>
              </w:rPr>
              <w:drawing>
                <wp:inline distT="0" distB="0" distL="0" distR="0" wp14:anchorId="058EABF5" wp14:editId="4D6784C2">
                  <wp:extent cx="126046" cy="126046"/>
                  <wp:effectExtent l="0" t="0" r="7620" b="7620"/>
                  <wp:docPr id="12" name="Picture 12"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29370" cy="129370"/>
                          </a:xfrm>
                          <a:prstGeom prst="rect">
                            <a:avLst/>
                          </a:prstGeom>
                        </pic:spPr>
                      </pic:pic>
                    </a:graphicData>
                  </a:graphic>
                </wp:inline>
              </w:drawing>
            </w:r>
          </w:p>
        </w:tc>
        <w:tc>
          <w:tcPr>
            <w:tcW w:w="1555" w:type="dxa"/>
            <w:shd w:val="clear" w:color="auto" w:fill="auto"/>
            <w:tcMar>
              <w:left w:w="57" w:type="dxa"/>
              <w:right w:w="57" w:type="dxa"/>
            </w:tcMar>
            <w:vAlign w:val="center"/>
          </w:tcPr>
          <w:p w:rsidR="00E57418" w:rsidRPr="0058729F" w:rsidRDefault="00E57418" w:rsidP="00E00DF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Not applicable</w:t>
            </w:r>
            <w:r>
              <w:rPr>
                <w:bCs/>
              </w:rPr>
              <w:fldChar w:fldCharType="end"/>
            </w:r>
          </w:p>
        </w:tc>
      </w:tr>
      <w:tr w:rsidR="00E57418" w:rsidRPr="00D81B5B" w:rsidTr="008645D5">
        <w:trPr>
          <w:cantSplit/>
          <w:trHeight w:val="161"/>
        </w:trPr>
        <w:tc>
          <w:tcPr>
            <w:tcW w:w="6763" w:type="dxa"/>
            <w:shd w:val="clear" w:color="auto" w:fill="F5F1CC"/>
            <w:tcMar>
              <w:left w:w="57" w:type="dxa"/>
              <w:right w:w="57" w:type="dxa"/>
            </w:tcMar>
            <w:vAlign w:val="center"/>
          </w:tcPr>
          <w:p w:rsidR="00E57418" w:rsidRPr="000332AD" w:rsidRDefault="00E57418" w:rsidP="00E00DFF">
            <w:pPr>
              <w:pStyle w:val="BodyText"/>
              <w:spacing w:before="40" w:after="40" w:line="200" w:lineRule="atLeast"/>
              <w:rPr>
                <w:rFonts w:ascii="Franklin Gothic Book" w:hAnsi="Franklin Gothic Book"/>
                <w:sz w:val="17"/>
                <w:szCs w:val="17"/>
              </w:rPr>
            </w:pPr>
            <w:r w:rsidRPr="000332AD">
              <w:rPr>
                <w:rFonts w:ascii="Franklin Gothic Book" w:hAnsi="Franklin Gothic Book"/>
                <w:sz w:val="17"/>
                <w:szCs w:val="17"/>
              </w:rPr>
              <w:lastRenderedPageBreak/>
              <w:t xml:space="preserve">Health: </w:t>
            </w:r>
            <w:r w:rsidRPr="000332AD">
              <w:rPr>
                <w:rFonts w:ascii="Franklin Gothic Book" w:hAnsi="Franklin Gothic Book"/>
                <w:i/>
                <w:sz w:val="17"/>
                <w:szCs w:val="17"/>
              </w:rPr>
              <w:t>Health related MDGs achieved through a strengthened health system and a more effective and sustained response to HIV.</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161"/>
        </w:trPr>
        <w:tc>
          <w:tcPr>
            <w:tcW w:w="6763" w:type="dxa"/>
            <w:shd w:val="clear" w:color="auto" w:fill="auto"/>
            <w:tcMar>
              <w:left w:w="57" w:type="dxa"/>
              <w:right w:w="57" w:type="dxa"/>
            </w:tcMar>
            <w:vAlign w:val="center"/>
          </w:tcPr>
          <w:p w:rsidR="00E57418" w:rsidRPr="000332AD" w:rsidRDefault="00E57418" w:rsidP="00E00DFF">
            <w:pPr>
              <w:pStyle w:val="BodyText"/>
              <w:spacing w:before="40" w:after="40" w:line="200" w:lineRule="atLeast"/>
              <w:rPr>
                <w:rFonts w:ascii="Franklin Gothic Book" w:hAnsi="Franklin Gothic Book"/>
                <w:sz w:val="17"/>
                <w:szCs w:val="17"/>
              </w:rPr>
            </w:pPr>
            <w:r w:rsidRPr="000332AD">
              <w:rPr>
                <w:rFonts w:ascii="Franklin Gothic Book" w:hAnsi="Franklin Gothic Book"/>
                <w:sz w:val="17"/>
                <w:szCs w:val="17"/>
              </w:rPr>
              <w:t>Nurses and midwives delivery quality primary health care</w:t>
            </w:r>
            <w:r w:rsidRPr="000332AD">
              <w:rPr>
                <w:rFonts w:ascii="Franklin Gothic Book" w:hAnsi="Franklin Gothic Book" w:cs="Tahoma"/>
                <w:sz w:val="17"/>
                <w:szCs w:val="17"/>
              </w:rPr>
              <w:t xml:space="preserve"> </w:t>
            </w:r>
            <w:r w:rsidRPr="00AE1BBD">
              <w:rPr>
                <w:rFonts w:ascii="Franklin Gothic Book" w:hAnsi="Franklin Gothic Book" w:cs="Tahoma"/>
                <w:sz w:val="17"/>
                <w:szCs w:val="17"/>
              </w:rPr>
              <w:t>(new)</w:t>
            </w:r>
          </w:p>
        </w:tc>
        <w:tc>
          <w:tcPr>
            <w:tcW w:w="1059" w:type="dxa"/>
            <w:shd w:val="clear" w:color="auto" w:fill="auto"/>
            <w:tcMar>
              <w:left w:w="57" w:type="dxa"/>
              <w:right w:w="57" w:type="dxa"/>
            </w:tcMar>
            <w:vAlign w:val="center"/>
          </w:tcPr>
          <w:p w:rsidR="00E57418" w:rsidRPr="00612B0D" w:rsidRDefault="00E57418" w:rsidP="00E00DFF">
            <w:pPr>
              <w:pStyle w:val="Ratingbullet"/>
              <w:rPr>
                <w:sz w:val="17"/>
                <w:szCs w:val="17"/>
              </w:rPr>
            </w:pPr>
            <w:r w:rsidRPr="00612B0D">
              <w:rPr>
                <w:sz w:val="17"/>
                <w:szCs w:val="17"/>
              </w:rPr>
              <w:t>UTJ</w:t>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E57418" w:rsidRPr="00D81B5B" w:rsidTr="008645D5">
        <w:trPr>
          <w:cantSplit/>
          <w:trHeight w:val="161"/>
        </w:trPr>
        <w:tc>
          <w:tcPr>
            <w:tcW w:w="6763" w:type="dxa"/>
            <w:shd w:val="clear" w:color="auto" w:fill="auto"/>
            <w:tcMar>
              <w:left w:w="57" w:type="dxa"/>
              <w:right w:w="57" w:type="dxa"/>
            </w:tcMar>
            <w:vAlign w:val="center"/>
          </w:tcPr>
          <w:p w:rsidR="00E57418" w:rsidRPr="000332AD" w:rsidRDefault="00E57418" w:rsidP="00E00DFF">
            <w:pPr>
              <w:pStyle w:val="BodyText"/>
              <w:spacing w:before="40" w:after="40" w:line="200" w:lineRule="atLeast"/>
              <w:rPr>
                <w:rFonts w:ascii="Franklin Gothic Book" w:hAnsi="Franklin Gothic Book"/>
                <w:sz w:val="17"/>
                <w:szCs w:val="17"/>
              </w:rPr>
            </w:pPr>
            <w:r w:rsidRPr="000332AD">
              <w:rPr>
                <w:rFonts w:ascii="Franklin Gothic Book" w:hAnsi="Franklin Gothic Book"/>
                <w:sz w:val="17"/>
                <w:szCs w:val="17"/>
              </w:rPr>
              <w:t>Primary health care financing supports greater accessibility for the poor</w:t>
            </w:r>
            <w:r w:rsidRPr="000332AD">
              <w:rPr>
                <w:rFonts w:ascii="Franklin Gothic Book" w:hAnsi="Franklin Gothic Book" w:cs="Tahoma"/>
                <w:sz w:val="17"/>
                <w:szCs w:val="17"/>
              </w:rPr>
              <w:t xml:space="preserve"> </w:t>
            </w:r>
            <w:r w:rsidRPr="00AE1BBD">
              <w:rPr>
                <w:rFonts w:ascii="Franklin Gothic Book" w:hAnsi="Franklin Gothic Book" w:cs="Tahoma"/>
                <w:sz w:val="17"/>
                <w:szCs w:val="17"/>
              </w:rPr>
              <w:t>(new)</w:t>
            </w:r>
          </w:p>
        </w:tc>
        <w:tc>
          <w:tcPr>
            <w:tcW w:w="1059" w:type="dxa"/>
            <w:shd w:val="clear" w:color="auto" w:fill="auto"/>
            <w:tcMar>
              <w:left w:w="57" w:type="dxa"/>
              <w:right w:w="57" w:type="dxa"/>
            </w:tcMar>
            <w:vAlign w:val="center"/>
          </w:tcPr>
          <w:p w:rsidR="00E57418" w:rsidRPr="00612B0D" w:rsidRDefault="00E57418" w:rsidP="00E00DFF">
            <w:pPr>
              <w:pStyle w:val="Ratingbullet"/>
              <w:rPr>
                <w:sz w:val="17"/>
                <w:szCs w:val="17"/>
              </w:rPr>
            </w:pPr>
            <w:r w:rsidRPr="00612B0D">
              <w:rPr>
                <w:sz w:val="17"/>
                <w:szCs w:val="17"/>
              </w:rPr>
              <w:t>UTJ</w:t>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E57418" w:rsidRPr="00D81B5B" w:rsidTr="008645D5">
        <w:trPr>
          <w:cantSplit/>
          <w:trHeight w:val="161"/>
        </w:trPr>
        <w:tc>
          <w:tcPr>
            <w:tcW w:w="6763" w:type="dxa"/>
            <w:shd w:val="clear" w:color="auto" w:fill="auto"/>
            <w:tcMar>
              <w:left w:w="57" w:type="dxa"/>
              <w:right w:w="57" w:type="dxa"/>
            </w:tcMar>
            <w:vAlign w:val="center"/>
          </w:tcPr>
          <w:p w:rsidR="00E57418" w:rsidRPr="000332AD" w:rsidRDefault="00E57418" w:rsidP="00E00DFF">
            <w:pPr>
              <w:pStyle w:val="BodyText"/>
              <w:spacing w:before="40" w:after="40" w:line="200" w:lineRule="atLeast"/>
              <w:rPr>
                <w:rFonts w:ascii="Franklin Gothic Book" w:hAnsi="Franklin Gothic Book"/>
                <w:sz w:val="17"/>
                <w:szCs w:val="17"/>
              </w:rPr>
            </w:pPr>
            <w:r w:rsidRPr="000332AD">
              <w:rPr>
                <w:rFonts w:ascii="Franklin Gothic Book" w:hAnsi="Franklin Gothic Book"/>
                <w:sz w:val="17"/>
                <w:szCs w:val="17"/>
              </w:rPr>
              <w:t>Confident use of health facilities and services for delivery of babies, ante-natal and post-natal care in NTT</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175CED81" wp14:editId="63103E56">
                  <wp:extent cx="149530" cy="149530"/>
                  <wp:effectExtent l="0" t="0" r="3175" b="3175"/>
                  <wp:docPr id="23" name="Picture 2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E57418" w:rsidRPr="00D81B5B" w:rsidTr="008645D5">
        <w:trPr>
          <w:cantSplit/>
          <w:trHeight w:val="161"/>
        </w:trPr>
        <w:tc>
          <w:tcPr>
            <w:tcW w:w="6763" w:type="dxa"/>
            <w:shd w:val="clear" w:color="auto" w:fill="auto"/>
            <w:tcMar>
              <w:left w:w="57" w:type="dxa"/>
              <w:right w:w="57" w:type="dxa"/>
            </w:tcMar>
            <w:vAlign w:val="center"/>
          </w:tcPr>
          <w:p w:rsidR="00E57418" w:rsidRPr="000332AD" w:rsidRDefault="00E57418" w:rsidP="00E00DFF">
            <w:pPr>
              <w:pStyle w:val="BodyText"/>
              <w:spacing w:before="40" w:after="40" w:line="200" w:lineRule="atLeast"/>
              <w:rPr>
                <w:rFonts w:ascii="Franklin Gothic Book" w:hAnsi="Franklin Gothic Book"/>
                <w:sz w:val="17"/>
                <w:szCs w:val="17"/>
              </w:rPr>
            </w:pPr>
            <w:r w:rsidRPr="000332AD">
              <w:rPr>
                <w:rFonts w:ascii="Franklin Gothic Book" w:hAnsi="Franklin Gothic Book"/>
                <w:sz w:val="17"/>
                <w:szCs w:val="17"/>
              </w:rPr>
              <w:t>Increased HIV/AIDS prevention, treatment and care/support in selected regions</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0134463B" wp14:editId="4D7708DE">
                  <wp:extent cx="149530" cy="149530"/>
                  <wp:effectExtent l="0" t="0" r="3175" b="3175"/>
                  <wp:docPr id="75" name="Picture 7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3396" cy="153396"/>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E57418" w:rsidRPr="00D81B5B" w:rsidTr="008645D5">
        <w:trPr>
          <w:cantSplit/>
          <w:trHeight w:val="161"/>
        </w:trPr>
        <w:tc>
          <w:tcPr>
            <w:tcW w:w="6763" w:type="dxa"/>
            <w:shd w:val="clear" w:color="auto" w:fill="auto"/>
            <w:tcMar>
              <w:left w:w="57" w:type="dxa"/>
              <w:right w:w="57" w:type="dxa"/>
            </w:tcMar>
            <w:vAlign w:val="center"/>
          </w:tcPr>
          <w:p w:rsidR="00E57418" w:rsidRPr="000332AD" w:rsidRDefault="00E57418" w:rsidP="00E00DFF">
            <w:pPr>
              <w:pStyle w:val="BodyText"/>
              <w:spacing w:before="40" w:after="40" w:line="200" w:lineRule="atLeast"/>
              <w:rPr>
                <w:rFonts w:ascii="Franklin Gothic Book" w:hAnsi="Franklin Gothic Book"/>
                <w:sz w:val="17"/>
                <w:szCs w:val="17"/>
              </w:rPr>
            </w:pPr>
            <w:r w:rsidRPr="000332AD">
              <w:rPr>
                <w:rFonts w:ascii="Franklin Gothic Book" w:hAnsi="Franklin Gothic Book"/>
                <w:sz w:val="17"/>
                <w:szCs w:val="17"/>
              </w:rPr>
              <w:t>Strengthened leadership of the national and sub-national response to HIV/AIDS</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6A9C18C5" wp14:editId="016F26FF">
                  <wp:extent cx="141910" cy="141910"/>
                  <wp:effectExtent l="0" t="0" r="0" b="0"/>
                  <wp:docPr id="76" name="Picture 7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45298" cy="145298"/>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Improved</w:t>
            </w:r>
            <w:r>
              <w:rPr>
                <w:bCs/>
              </w:rPr>
              <w:fldChar w:fldCharType="end"/>
            </w:r>
          </w:p>
        </w:tc>
      </w:tr>
      <w:tr w:rsidR="00E57418" w:rsidRPr="00D81B5B" w:rsidTr="008645D5">
        <w:trPr>
          <w:cantSplit/>
          <w:trHeight w:val="161"/>
        </w:trPr>
        <w:tc>
          <w:tcPr>
            <w:tcW w:w="6763" w:type="dxa"/>
            <w:shd w:val="clear" w:color="auto" w:fill="auto"/>
            <w:tcMar>
              <w:left w:w="57" w:type="dxa"/>
              <w:right w:w="57" w:type="dxa"/>
            </w:tcMar>
            <w:vAlign w:val="center"/>
          </w:tcPr>
          <w:p w:rsidR="00E57418" w:rsidRPr="000332AD" w:rsidRDefault="00E57418" w:rsidP="00E00DFF">
            <w:pPr>
              <w:pStyle w:val="BodyText"/>
              <w:spacing w:before="40" w:after="40" w:line="200" w:lineRule="atLeast"/>
              <w:rPr>
                <w:rFonts w:ascii="Franklin Gothic Book" w:hAnsi="Franklin Gothic Book"/>
                <w:sz w:val="17"/>
                <w:szCs w:val="17"/>
              </w:rPr>
            </w:pPr>
            <w:r w:rsidRPr="000332AD">
              <w:rPr>
                <w:rFonts w:ascii="Franklin Gothic Book" w:hAnsi="Franklin Gothic Book"/>
                <w:sz w:val="17"/>
                <w:szCs w:val="17"/>
              </w:rPr>
              <w:t>Strengthened emerging infectious diseases prevention, detection and control mechanisms in the Ministries of Health and Agriculture</w:t>
            </w:r>
            <w:r w:rsidRPr="000332AD">
              <w:rPr>
                <w:rFonts w:ascii="Franklin Gothic Book" w:hAnsi="Franklin Gothic Book" w:cs="Arial"/>
                <w:sz w:val="17"/>
                <w:szCs w:val="17"/>
              </w:rPr>
              <w:t xml:space="preserve"> </w:t>
            </w:r>
            <w:r w:rsidRPr="00AE1BBD">
              <w:rPr>
                <w:rFonts w:ascii="Franklin Gothic Book" w:hAnsi="Franklin Gothic Book" w:cs="Arial"/>
                <w:sz w:val="17"/>
                <w:szCs w:val="17"/>
              </w:rPr>
              <w:t>(new)</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2037A78E" wp14:editId="1223BECB">
                  <wp:extent cx="149530" cy="149530"/>
                  <wp:effectExtent l="0" t="0" r="3175" b="3175"/>
                  <wp:docPr id="24" name="Picture 2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E57418" w:rsidRPr="00D81B5B" w:rsidTr="008645D5">
        <w:trPr>
          <w:cantSplit/>
          <w:trHeight w:val="161"/>
        </w:trPr>
        <w:tc>
          <w:tcPr>
            <w:tcW w:w="6763" w:type="dxa"/>
            <w:shd w:val="clear" w:color="auto" w:fill="F5F1CC"/>
            <w:tcMar>
              <w:left w:w="57" w:type="dxa"/>
              <w:right w:w="57" w:type="dxa"/>
            </w:tcMar>
            <w:vAlign w:val="center"/>
          </w:tcPr>
          <w:p w:rsidR="00E57418" w:rsidRDefault="00E57418" w:rsidP="00E00DFF">
            <w:pPr>
              <w:pStyle w:val="TableTextEntries"/>
            </w:pPr>
            <w:r w:rsidRPr="00532793">
              <w:t>Water and Sanitation</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161"/>
        </w:trPr>
        <w:tc>
          <w:tcPr>
            <w:tcW w:w="6763" w:type="dxa"/>
            <w:shd w:val="clear" w:color="auto" w:fill="auto"/>
            <w:tcMar>
              <w:left w:w="57" w:type="dxa"/>
              <w:right w:w="57" w:type="dxa"/>
            </w:tcMar>
          </w:tcPr>
          <w:p w:rsidR="00E57418" w:rsidRPr="00291D66" w:rsidRDefault="00E57418" w:rsidP="00E00DFF">
            <w:pPr>
              <w:pStyle w:val="TableTextEntries"/>
            </w:pPr>
            <w:r w:rsidRPr="00291D66">
              <w:rPr>
                <w:rStyle w:val="CharChar4"/>
                <w:rFonts w:ascii="Franklin Gothic Book" w:hAnsi="Franklin Gothic Book"/>
                <w:sz w:val="17"/>
                <w:szCs w:val="17"/>
              </w:rPr>
              <w:t>Improved management performance of urban water service delivery agencies</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005B2650" wp14:editId="43D97B81">
                  <wp:extent cx="149530" cy="149530"/>
                  <wp:effectExtent l="0" t="0" r="3175" b="3175"/>
                  <wp:docPr id="25" name="Picture 2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5720A7">
              <w:rPr>
                <w:bCs/>
              </w:rPr>
              <w:t>Declined</w:t>
            </w:r>
            <w:r>
              <w:rPr>
                <w:bCs/>
              </w:rPr>
              <w:fldChar w:fldCharType="end"/>
            </w:r>
          </w:p>
        </w:tc>
      </w:tr>
      <w:tr w:rsidR="00E57418" w:rsidRPr="00D81B5B" w:rsidTr="008645D5">
        <w:trPr>
          <w:cantSplit/>
          <w:trHeight w:val="161"/>
        </w:trPr>
        <w:tc>
          <w:tcPr>
            <w:tcW w:w="6763" w:type="dxa"/>
            <w:shd w:val="clear" w:color="auto" w:fill="auto"/>
            <w:tcMar>
              <w:left w:w="57" w:type="dxa"/>
              <w:right w:w="57" w:type="dxa"/>
            </w:tcMar>
          </w:tcPr>
          <w:p w:rsidR="00E57418" w:rsidRPr="00291D66" w:rsidRDefault="00E57418" w:rsidP="00E00DFF">
            <w:pPr>
              <w:pStyle w:val="TableTextEntries"/>
            </w:pPr>
            <w:r w:rsidRPr="00291D66">
              <w:t>Improved management performance of urban sanitation service delivery agencies</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0963DB0C" wp14:editId="56D71700">
                  <wp:extent cx="149530" cy="149530"/>
                  <wp:effectExtent l="0" t="0" r="3175" b="3175"/>
                  <wp:docPr id="26" name="Picture 2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E57418" w:rsidRPr="00D81B5B" w:rsidTr="008645D5">
        <w:trPr>
          <w:cantSplit/>
          <w:trHeight w:val="161"/>
        </w:trPr>
        <w:tc>
          <w:tcPr>
            <w:tcW w:w="6763" w:type="dxa"/>
            <w:shd w:val="clear" w:color="auto" w:fill="auto"/>
            <w:tcMar>
              <w:left w:w="57" w:type="dxa"/>
              <w:right w:w="57" w:type="dxa"/>
            </w:tcMar>
          </w:tcPr>
          <w:p w:rsidR="00E57418" w:rsidRPr="00291D66" w:rsidRDefault="00E57418" w:rsidP="00E00DFF">
            <w:pPr>
              <w:pStyle w:val="TableTextEntries"/>
            </w:pPr>
            <w:r w:rsidRPr="00291D66">
              <w:rPr>
                <w:rStyle w:val="CharChar4"/>
                <w:rFonts w:ascii="Franklin Gothic Book" w:hAnsi="Franklin Gothic Book"/>
                <w:sz w:val="17"/>
                <w:szCs w:val="17"/>
              </w:rPr>
              <w:t>Improved operational systems and procedures for city and district governments to deliver rural water services</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149A4B52" wp14:editId="7E4846FA">
                  <wp:extent cx="151821" cy="151821"/>
                  <wp:effectExtent l="0" t="0" r="635" b="635"/>
                  <wp:docPr id="77" name="Picture 7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5720A7">
              <w:rPr>
                <w:bCs/>
              </w:rPr>
              <w:t>Improved</w:t>
            </w:r>
            <w:r>
              <w:rPr>
                <w:bCs/>
              </w:rPr>
              <w:fldChar w:fldCharType="end"/>
            </w:r>
          </w:p>
        </w:tc>
      </w:tr>
      <w:tr w:rsidR="00E57418" w:rsidRPr="0058729F" w:rsidTr="008645D5">
        <w:trPr>
          <w:cantSplit/>
          <w:trHeight w:val="161"/>
        </w:trPr>
        <w:tc>
          <w:tcPr>
            <w:tcW w:w="6763" w:type="dxa"/>
            <w:tcMar>
              <w:left w:w="57" w:type="dxa"/>
              <w:right w:w="57" w:type="dxa"/>
            </w:tcMar>
          </w:tcPr>
          <w:p w:rsidR="00E57418" w:rsidRPr="00291D66" w:rsidRDefault="00E57418" w:rsidP="00E00DFF">
            <w:pPr>
              <w:pStyle w:val="TableTextEntries"/>
            </w:pPr>
            <w:r w:rsidRPr="00291D66">
              <w:rPr>
                <w:rStyle w:val="CharChar4"/>
                <w:rFonts w:ascii="Franklin Gothic Book" w:hAnsi="Franklin Gothic Book"/>
                <w:sz w:val="17"/>
                <w:szCs w:val="17"/>
              </w:rPr>
              <w:t>Improved operational systems and procedures for city and district governments to deliver rural sanitation services</w:t>
            </w:r>
          </w:p>
        </w:tc>
        <w:tc>
          <w:tcPr>
            <w:tcW w:w="1059" w:type="dxa"/>
            <w:shd w:val="clear" w:color="auto" w:fill="auto"/>
            <w:tcMar>
              <w:left w:w="57" w:type="dxa"/>
              <w:right w:w="57" w:type="dxa"/>
            </w:tcMar>
            <w:vAlign w:val="center"/>
          </w:tcPr>
          <w:p w:rsidR="00E57418" w:rsidRPr="0058729F" w:rsidRDefault="00907A26" w:rsidP="00E00DFF">
            <w:pPr>
              <w:pStyle w:val="Ratingbullet"/>
            </w:pPr>
            <w:r>
              <w:rPr>
                <w:noProof/>
                <w:lang w:val="en-US"/>
              </w:rPr>
              <w:drawing>
                <wp:inline distT="0" distB="0" distL="0" distR="0" wp14:anchorId="35D7DBE2" wp14:editId="351B38B5">
                  <wp:extent cx="149530" cy="149530"/>
                  <wp:effectExtent l="0" t="0" r="3175" b="3175"/>
                  <wp:docPr id="27" name="Picture 2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tcMar>
              <w:left w:w="57" w:type="dxa"/>
              <w:right w:w="57" w:type="dxa"/>
            </w:tcMar>
            <w:vAlign w:val="center"/>
          </w:tcPr>
          <w:p w:rsidR="00E57418" w:rsidRPr="0058729F" w:rsidRDefault="00E57418" w:rsidP="00E00DF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E57418" w:rsidRPr="0058729F" w:rsidTr="008645D5">
        <w:trPr>
          <w:cantSplit/>
          <w:trHeight w:val="161"/>
        </w:trPr>
        <w:tc>
          <w:tcPr>
            <w:tcW w:w="6763" w:type="dxa"/>
            <w:tcMar>
              <w:left w:w="57" w:type="dxa"/>
              <w:right w:w="57" w:type="dxa"/>
            </w:tcMar>
          </w:tcPr>
          <w:p w:rsidR="00E57418" w:rsidRPr="00291D66" w:rsidRDefault="00E57418" w:rsidP="00E00DFF">
            <w:pPr>
              <w:pStyle w:val="TableTextEntries"/>
            </w:pPr>
            <w:r w:rsidRPr="00291D66">
              <w:t xml:space="preserve">Improved delivery of urban water </w:t>
            </w:r>
            <w:r w:rsidRPr="00AE1BBD">
              <w:t>(new)</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705B35CB" wp14:editId="762B95DE">
                  <wp:extent cx="151821" cy="151821"/>
                  <wp:effectExtent l="0" t="0" r="635" b="635"/>
                  <wp:docPr id="78" name="Picture 7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7D3340">
              <w:rPr>
                <w:bCs/>
              </w:rPr>
              <w:t>Not applicable</w:t>
            </w:r>
            <w:r>
              <w:rPr>
                <w:bCs/>
              </w:rPr>
              <w:fldChar w:fldCharType="end"/>
            </w:r>
          </w:p>
        </w:tc>
      </w:tr>
      <w:tr w:rsidR="00E57418" w:rsidRPr="0058729F" w:rsidTr="008645D5">
        <w:trPr>
          <w:cantSplit/>
          <w:trHeight w:val="161"/>
        </w:trPr>
        <w:tc>
          <w:tcPr>
            <w:tcW w:w="6763" w:type="dxa"/>
            <w:tcMar>
              <w:left w:w="57" w:type="dxa"/>
              <w:right w:w="57" w:type="dxa"/>
            </w:tcMar>
          </w:tcPr>
          <w:p w:rsidR="00E57418" w:rsidRPr="00291D66" w:rsidRDefault="00E57418" w:rsidP="00E00DFF">
            <w:pPr>
              <w:pStyle w:val="TableTextEntries"/>
            </w:pPr>
            <w:r w:rsidRPr="00291D66">
              <w:t xml:space="preserve">Improved delivery of urban sanitation </w:t>
            </w:r>
            <w:r w:rsidRPr="00AE1BBD">
              <w:t>(new)</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01215FDC" wp14:editId="78673849">
                  <wp:extent cx="149530" cy="149530"/>
                  <wp:effectExtent l="0" t="0" r="3175" b="3175"/>
                  <wp:docPr id="28" name="Picture 2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7D3340">
              <w:rPr>
                <w:bCs/>
              </w:rPr>
              <w:t>Not applicable</w:t>
            </w:r>
            <w:r>
              <w:rPr>
                <w:bCs/>
              </w:rPr>
              <w:fldChar w:fldCharType="end"/>
            </w:r>
          </w:p>
        </w:tc>
      </w:tr>
      <w:tr w:rsidR="00E57418" w:rsidRPr="0058729F" w:rsidTr="008645D5">
        <w:trPr>
          <w:cantSplit/>
          <w:trHeight w:val="161"/>
        </w:trPr>
        <w:tc>
          <w:tcPr>
            <w:tcW w:w="6763" w:type="dxa"/>
            <w:shd w:val="clear" w:color="auto" w:fill="auto"/>
            <w:tcMar>
              <w:left w:w="57" w:type="dxa"/>
              <w:right w:w="57" w:type="dxa"/>
            </w:tcMar>
          </w:tcPr>
          <w:p w:rsidR="00E57418" w:rsidRPr="00291D66" w:rsidRDefault="00E57418" w:rsidP="00E00DFF">
            <w:pPr>
              <w:pStyle w:val="TableTextEntries"/>
            </w:pPr>
            <w:proofErr w:type="spellStart"/>
            <w:r w:rsidRPr="00291D66">
              <w:rPr>
                <w:rStyle w:val="CharChar4"/>
                <w:rFonts w:ascii="Franklin Gothic Book" w:hAnsi="Franklin Gothic Book"/>
                <w:sz w:val="17"/>
                <w:szCs w:val="17"/>
              </w:rPr>
              <w:t>GoI</w:t>
            </w:r>
            <w:proofErr w:type="spellEnd"/>
            <w:r w:rsidRPr="00291D66">
              <w:rPr>
                <w:rStyle w:val="CharChar4"/>
                <w:rFonts w:ascii="Franklin Gothic Book" w:hAnsi="Franklin Gothic Book"/>
                <w:sz w:val="17"/>
                <w:szCs w:val="17"/>
              </w:rPr>
              <w:t xml:space="preserve"> policies adopted and applied by local government and community </w:t>
            </w:r>
            <w:proofErr w:type="spellStart"/>
            <w:r w:rsidRPr="00291D66">
              <w:rPr>
                <w:rStyle w:val="CharChar4"/>
                <w:rFonts w:ascii="Franklin Gothic Book" w:hAnsi="Franklin Gothic Book"/>
                <w:sz w:val="17"/>
                <w:szCs w:val="17"/>
              </w:rPr>
              <w:t>watsan</w:t>
            </w:r>
            <w:proofErr w:type="spellEnd"/>
            <w:r w:rsidRPr="00291D66">
              <w:rPr>
                <w:rStyle w:val="CharChar4"/>
                <w:rFonts w:ascii="Franklin Gothic Book" w:hAnsi="Franklin Gothic Book"/>
                <w:sz w:val="17"/>
                <w:szCs w:val="17"/>
              </w:rPr>
              <w:t xml:space="preserve"> providers</w:t>
            </w:r>
          </w:p>
        </w:tc>
        <w:tc>
          <w:tcPr>
            <w:tcW w:w="1059" w:type="dxa"/>
            <w:shd w:val="clear" w:color="auto" w:fill="auto"/>
            <w:tcMar>
              <w:left w:w="57" w:type="dxa"/>
              <w:right w:w="57" w:type="dxa"/>
            </w:tcMar>
            <w:vAlign w:val="center"/>
          </w:tcPr>
          <w:p w:rsidR="00E57418" w:rsidRPr="0058729F" w:rsidRDefault="00181000" w:rsidP="00E00DFF">
            <w:pPr>
              <w:pStyle w:val="Ratingbullet"/>
            </w:pPr>
            <w:r>
              <w:rPr>
                <w:rFonts w:hint="cs"/>
                <w:noProof/>
                <w:rtl/>
                <w:lang w:val="en-US"/>
              </w:rPr>
              <w:drawing>
                <wp:inline distT="0" distB="0" distL="0" distR="0" wp14:anchorId="2AE73FA9" wp14:editId="0481EE12">
                  <wp:extent cx="151821" cy="151821"/>
                  <wp:effectExtent l="0" t="0" r="635" b="635"/>
                  <wp:docPr id="79" name="Picture 7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Pr="0058729F" w:rsidRDefault="00E57418" w:rsidP="00E00DF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E57418" w:rsidTr="008645D5">
        <w:trPr>
          <w:cantSplit/>
          <w:trHeight w:val="161"/>
        </w:trPr>
        <w:tc>
          <w:tcPr>
            <w:tcW w:w="6763" w:type="dxa"/>
            <w:shd w:val="clear" w:color="auto" w:fill="F5F1CC"/>
            <w:tcMar>
              <w:left w:w="57" w:type="dxa"/>
              <w:right w:w="57" w:type="dxa"/>
            </w:tcMar>
            <w:vAlign w:val="center"/>
          </w:tcPr>
          <w:p w:rsidR="00E57418" w:rsidRDefault="00E57418" w:rsidP="00E00DFF">
            <w:pPr>
              <w:pStyle w:val="TableTextEntries"/>
            </w:pPr>
            <w:r w:rsidRPr="00532793">
              <w:t>Transport and Connectivity</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Tr="008645D5">
        <w:trPr>
          <w:cantSplit/>
          <w:trHeight w:val="161"/>
        </w:trPr>
        <w:tc>
          <w:tcPr>
            <w:tcW w:w="6763" w:type="dxa"/>
            <w:shd w:val="clear" w:color="auto" w:fill="auto"/>
            <w:tcMar>
              <w:left w:w="57" w:type="dxa"/>
              <w:right w:w="57" w:type="dxa"/>
            </w:tcMar>
          </w:tcPr>
          <w:p w:rsidR="00E57418" w:rsidRPr="00B355BA" w:rsidRDefault="00E57418" w:rsidP="00E00DFF">
            <w:pPr>
              <w:pStyle w:val="TableTextEntries"/>
            </w:pPr>
            <w:r w:rsidRPr="00B355BA">
              <w:t>Strategic regional sections of the national road network built or upgraded to a national standard</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0796DA72" wp14:editId="4146F9D7">
                  <wp:extent cx="149530" cy="149530"/>
                  <wp:effectExtent l="0" t="0" r="3175" b="3175"/>
                  <wp:docPr id="29" name="Picture 2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B1489">
              <w:rPr>
                <w:bCs/>
              </w:rPr>
              <w:t>Unchanged</w:t>
            </w:r>
            <w:r>
              <w:rPr>
                <w:bCs/>
              </w:rPr>
              <w:fldChar w:fldCharType="end"/>
            </w:r>
          </w:p>
        </w:tc>
      </w:tr>
      <w:tr w:rsidR="00E57418" w:rsidTr="008645D5">
        <w:trPr>
          <w:cantSplit/>
          <w:trHeight w:val="161"/>
        </w:trPr>
        <w:tc>
          <w:tcPr>
            <w:tcW w:w="6763" w:type="dxa"/>
            <w:shd w:val="clear" w:color="auto" w:fill="auto"/>
            <w:tcMar>
              <w:left w:w="57" w:type="dxa"/>
              <w:right w:w="57" w:type="dxa"/>
            </w:tcMar>
          </w:tcPr>
          <w:p w:rsidR="00E57418" w:rsidRPr="00B355BA" w:rsidRDefault="00E57418" w:rsidP="00E00DFF">
            <w:pPr>
              <w:pStyle w:val="TableTextEntries"/>
            </w:pPr>
            <w:r w:rsidRPr="00B355BA">
              <w:t>Improved DGH business processes (design, procurement, supervision) for works on National Roads</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5AEB904F" wp14:editId="1A0C136C">
                  <wp:extent cx="149530" cy="149530"/>
                  <wp:effectExtent l="0" t="0" r="3175" b="3175"/>
                  <wp:docPr id="30" name="Picture 3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B1489">
              <w:rPr>
                <w:bCs/>
              </w:rPr>
              <w:t>Unchanged</w:t>
            </w:r>
            <w:r>
              <w:rPr>
                <w:bCs/>
              </w:rPr>
              <w:fldChar w:fldCharType="end"/>
            </w:r>
          </w:p>
        </w:tc>
      </w:tr>
      <w:tr w:rsidR="00E57418" w:rsidTr="008645D5">
        <w:trPr>
          <w:cantSplit/>
          <w:trHeight w:val="161"/>
        </w:trPr>
        <w:tc>
          <w:tcPr>
            <w:tcW w:w="6763" w:type="dxa"/>
            <w:shd w:val="clear" w:color="auto" w:fill="auto"/>
            <w:tcMar>
              <w:left w:w="57" w:type="dxa"/>
              <w:right w:w="57" w:type="dxa"/>
            </w:tcMar>
          </w:tcPr>
          <w:p w:rsidR="00E57418" w:rsidRPr="00B355BA" w:rsidRDefault="00E57418" w:rsidP="00E00DFF">
            <w:pPr>
              <w:pStyle w:val="TableTextEntries"/>
            </w:pPr>
            <w:r w:rsidRPr="00B355BA">
              <w:t>Better informed budgeting (social and economic benefits) of transport investments</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5C51DF37" wp14:editId="4BED17AC">
                  <wp:extent cx="151821" cy="151821"/>
                  <wp:effectExtent l="0" t="0" r="635" b="635"/>
                  <wp:docPr id="80" name="Picture 8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45BA2">
              <w:rPr>
                <w:bCs/>
              </w:rPr>
              <w:t>Unchanged</w:t>
            </w:r>
            <w:r>
              <w:rPr>
                <w:bCs/>
              </w:rPr>
              <w:fldChar w:fldCharType="end"/>
            </w:r>
          </w:p>
        </w:tc>
      </w:tr>
      <w:tr w:rsidR="00E57418" w:rsidTr="008645D5">
        <w:trPr>
          <w:cantSplit/>
          <w:trHeight w:val="161"/>
        </w:trPr>
        <w:tc>
          <w:tcPr>
            <w:tcW w:w="6763" w:type="dxa"/>
            <w:shd w:val="clear" w:color="auto" w:fill="auto"/>
            <w:tcMar>
              <w:left w:w="57" w:type="dxa"/>
              <w:right w:w="57" w:type="dxa"/>
            </w:tcMar>
          </w:tcPr>
          <w:p w:rsidR="00E57418" w:rsidRPr="00B355BA" w:rsidRDefault="00E57418" w:rsidP="00E00DFF">
            <w:pPr>
              <w:pStyle w:val="TableTextEntries"/>
            </w:pPr>
            <w:r w:rsidRPr="00B355BA">
              <w:t xml:space="preserve">Greater coherence and integration of </w:t>
            </w:r>
            <w:proofErr w:type="spellStart"/>
            <w:r w:rsidRPr="00B355BA">
              <w:t>GoI</w:t>
            </w:r>
            <w:proofErr w:type="spellEnd"/>
            <w:r w:rsidRPr="00B355BA">
              <w:t xml:space="preserve"> policies across transport and communication infrastructure</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61B20164" wp14:editId="04EC465A">
                  <wp:extent cx="149530" cy="149530"/>
                  <wp:effectExtent l="0" t="0" r="3175" b="3175"/>
                  <wp:docPr id="31" name="Picture 3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Declined</w:t>
            </w:r>
            <w:r>
              <w:rPr>
                <w:bCs/>
              </w:rPr>
              <w:fldChar w:fldCharType="end"/>
            </w:r>
          </w:p>
        </w:tc>
      </w:tr>
      <w:tr w:rsidR="00E57418" w:rsidTr="008645D5">
        <w:trPr>
          <w:cantSplit/>
          <w:trHeight w:val="161"/>
        </w:trPr>
        <w:tc>
          <w:tcPr>
            <w:tcW w:w="6763" w:type="dxa"/>
            <w:shd w:val="clear" w:color="auto" w:fill="F5F1CC"/>
            <w:tcMar>
              <w:left w:w="57" w:type="dxa"/>
              <w:right w:w="57" w:type="dxa"/>
            </w:tcMar>
            <w:vAlign w:val="center"/>
          </w:tcPr>
          <w:p w:rsidR="00E57418" w:rsidRDefault="00E57418" w:rsidP="00E00DFF">
            <w:pPr>
              <w:pStyle w:val="TableTextEntries"/>
            </w:pPr>
            <w:r w:rsidRPr="00532793">
              <w:t xml:space="preserve">Decentralisation </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Tr="008645D5">
        <w:trPr>
          <w:cantSplit/>
          <w:trHeight w:val="161"/>
        </w:trPr>
        <w:tc>
          <w:tcPr>
            <w:tcW w:w="6763" w:type="dxa"/>
            <w:shd w:val="clear" w:color="auto" w:fill="auto"/>
            <w:tcMar>
              <w:left w:w="57" w:type="dxa"/>
              <w:right w:w="57" w:type="dxa"/>
            </w:tcMar>
            <w:vAlign w:val="center"/>
          </w:tcPr>
          <w:p w:rsidR="00E57418" w:rsidRDefault="00E57418" w:rsidP="00E00DFF">
            <w:pPr>
              <w:pStyle w:val="TableTextEntries"/>
            </w:pPr>
            <w:r w:rsidRPr="00532793">
              <w:t>Improved linkage between planning and budgeting</w:t>
            </w:r>
            <w:r>
              <w:t xml:space="preserve"> resulting in efficient resource allocation in education, health, and infrastructure</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7753A92F" wp14:editId="5F8E5CA5">
                  <wp:extent cx="149530" cy="149530"/>
                  <wp:effectExtent l="0" t="0" r="3175" b="3175"/>
                  <wp:docPr id="32" name="Picture 3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E57418" w:rsidTr="008645D5">
        <w:trPr>
          <w:cantSplit/>
          <w:trHeight w:val="161"/>
        </w:trPr>
        <w:tc>
          <w:tcPr>
            <w:tcW w:w="6763" w:type="dxa"/>
            <w:shd w:val="clear" w:color="auto" w:fill="auto"/>
            <w:tcMar>
              <w:left w:w="57" w:type="dxa"/>
              <w:right w:w="57" w:type="dxa"/>
            </w:tcMar>
            <w:vAlign w:val="center"/>
          </w:tcPr>
          <w:p w:rsidR="00E57418" w:rsidRDefault="00E57418" w:rsidP="00E00DFF">
            <w:pPr>
              <w:pStyle w:val="TableTextEntries"/>
            </w:pPr>
            <w:r w:rsidRPr="00532793">
              <w:t>More efficient and timely disbursement and execution of budget</w:t>
            </w:r>
            <w:r>
              <w:t xml:space="preserve"> – in education, health and infrastructure </w:t>
            </w:r>
            <w:r w:rsidRPr="00532793">
              <w:t xml:space="preserve"> </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7385076C" wp14:editId="517AA023">
                  <wp:extent cx="151821" cy="151821"/>
                  <wp:effectExtent l="0" t="0" r="635" b="635"/>
                  <wp:docPr id="81" name="Picture 8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Improved</w:t>
            </w:r>
            <w:r>
              <w:rPr>
                <w:bCs/>
              </w:rPr>
              <w:fldChar w:fldCharType="end"/>
            </w:r>
          </w:p>
        </w:tc>
      </w:tr>
      <w:tr w:rsidR="00E57418" w:rsidTr="008645D5">
        <w:trPr>
          <w:cantSplit/>
          <w:trHeight w:val="782"/>
        </w:trPr>
        <w:tc>
          <w:tcPr>
            <w:tcW w:w="6763" w:type="dxa"/>
            <w:shd w:val="clear" w:color="auto" w:fill="auto"/>
            <w:tcMar>
              <w:left w:w="57" w:type="dxa"/>
              <w:right w:w="57" w:type="dxa"/>
            </w:tcMar>
            <w:vAlign w:val="center"/>
          </w:tcPr>
          <w:p w:rsidR="00E57418" w:rsidRDefault="00E57418" w:rsidP="007449AF">
            <w:pPr>
              <w:pStyle w:val="TableTextEntries"/>
              <w:spacing w:before="0" w:after="0"/>
            </w:pPr>
            <w:r w:rsidRPr="002218B4">
              <w:t xml:space="preserve">Province / Local Government in NTT, NTB, Aceh, Papua &amp; West Papua more systematically finding and using evidence from the field to inform policy setting / policy actions </w:t>
            </w:r>
            <w:r>
              <w:t>as an enabling factor for better public expenditure management and service delivery.</w:t>
            </w:r>
          </w:p>
        </w:tc>
        <w:tc>
          <w:tcPr>
            <w:tcW w:w="1059" w:type="dxa"/>
            <w:shd w:val="clear" w:color="auto" w:fill="auto"/>
            <w:tcMar>
              <w:left w:w="57" w:type="dxa"/>
              <w:right w:w="57" w:type="dxa"/>
            </w:tcMar>
            <w:vAlign w:val="center"/>
          </w:tcPr>
          <w:p w:rsidR="00E57418" w:rsidRPr="00203B55" w:rsidRDefault="00203B55" w:rsidP="007449AF">
            <w:pPr>
              <w:pStyle w:val="Ratingbullet"/>
              <w:spacing w:before="0" w:after="0"/>
              <w:rPr>
                <w:lang w:val="en-US"/>
              </w:rPr>
            </w:pPr>
            <w:r>
              <w:rPr>
                <w:noProof/>
                <w:lang w:val="en-US"/>
              </w:rPr>
              <w:drawing>
                <wp:inline distT="0" distB="0" distL="0" distR="0" wp14:anchorId="685E39C0" wp14:editId="01DA6F31">
                  <wp:extent cx="157075" cy="157075"/>
                  <wp:effectExtent l="0" t="0" r="0" b="0"/>
                  <wp:docPr id="13" name="Picture 13"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7449AF">
            <w:pPr>
              <w:pStyle w:val="TableTextEntries"/>
              <w:spacing w:before="0" w:after="0"/>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E57418" w:rsidTr="008645D5">
        <w:trPr>
          <w:cantSplit/>
          <w:trHeight w:val="899"/>
        </w:trPr>
        <w:tc>
          <w:tcPr>
            <w:tcW w:w="6763" w:type="dxa"/>
            <w:shd w:val="clear" w:color="auto" w:fill="auto"/>
            <w:tcMar>
              <w:left w:w="57" w:type="dxa"/>
              <w:right w:w="57" w:type="dxa"/>
            </w:tcMar>
            <w:vAlign w:val="center"/>
          </w:tcPr>
          <w:p w:rsidR="00E57418" w:rsidRDefault="00E57418" w:rsidP="00E00DFF">
            <w:pPr>
              <w:pStyle w:val="TableTextEntries"/>
            </w:pPr>
            <w:r w:rsidRPr="00532793">
              <w:t>Stronger reflection by legislative institutions (local parliament) of community aspirations in planning and budgeting</w:t>
            </w:r>
            <w:r>
              <w:t xml:space="preserve"> leading to government responsiveness for better service delivery.</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33E8689E" wp14:editId="7602499E">
                  <wp:extent cx="149530" cy="149530"/>
                  <wp:effectExtent l="0" t="0" r="3175" b="3175"/>
                  <wp:docPr id="33" name="Picture 3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Improved</w:t>
            </w:r>
            <w:r>
              <w:rPr>
                <w:bCs/>
              </w:rPr>
              <w:fldChar w:fldCharType="end"/>
            </w:r>
          </w:p>
        </w:tc>
      </w:tr>
      <w:tr w:rsidR="00E57418" w:rsidRPr="00D81B5B" w:rsidTr="008645D5">
        <w:trPr>
          <w:cantSplit/>
          <w:trHeight w:val="374"/>
        </w:trPr>
        <w:tc>
          <w:tcPr>
            <w:tcW w:w="6763" w:type="dxa"/>
            <w:shd w:val="clear" w:color="auto" w:fill="F5F1CC"/>
            <w:tcMar>
              <w:left w:w="57" w:type="dxa"/>
              <w:right w:w="57" w:type="dxa"/>
            </w:tcMar>
            <w:vAlign w:val="center"/>
          </w:tcPr>
          <w:p w:rsidR="00E57418" w:rsidRDefault="00663408" w:rsidP="00E00DFF">
            <w:pPr>
              <w:pStyle w:val="TableTextEntries"/>
            </w:pPr>
            <w:r>
              <w:t>Social Protection and Community Driven Development (PNPM)</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336"/>
        </w:trPr>
        <w:tc>
          <w:tcPr>
            <w:tcW w:w="6763" w:type="dxa"/>
            <w:shd w:val="clear" w:color="auto" w:fill="auto"/>
            <w:tcMar>
              <w:left w:w="57" w:type="dxa"/>
              <w:right w:w="57" w:type="dxa"/>
            </w:tcMar>
            <w:vAlign w:val="center"/>
          </w:tcPr>
          <w:p w:rsidR="00E57418" w:rsidRPr="00BE3EEB" w:rsidRDefault="00E57418" w:rsidP="00E00DFF">
            <w:pPr>
              <w:pStyle w:val="TableTextEntries"/>
            </w:pPr>
            <w:r w:rsidRPr="00BE3EEB">
              <w:t xml:space="preserve">Strengthened the </w:t>
            </w:r>
            <w:proofErr w:type="spellStart"/>
            <w:r w:rsidRPr="00BE3EEB">
              <w:t>GoI</w:t>
            </w:r>
            <w:proofErr w:type="spellEnd"/>
            <w:r w:rsidRPr="00BE3EEB">
              <w:t xml:space="preserve"> poverty reduction instruments</w:t>
            </w:r>
            <w:r>
              <w:t xml:space="preserve"> </w:t>
            </w:r>
            <w:r w:rsidRPr="00AE1BBD">
              <w:t>(new)</w:t>
            </w:r>
            <w:r w:rsidRPr="00BE3EEB">
              <w:t xml:space="preserve"> </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50CF2989" wp14:editId="36793F44">
                  <wp:extent cx="151821" cy="151821"/>
                  <wp:effectExtent l="0" t="0" r="635" b="635"/>
                  <wp:docPr id="82" name="Picture 8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E57418" w:rsidRPr="00D81B5B" w:rsidTr="008645D5">
        <w:trPr>
          <w:cantSplit/>
          <w:trHeight w:val="336"/>
        </w:trPr>
        <w:tc>
          <w:tcPr>
            <w:tcW w:w="6763" w:type="dxa"/>
            <w:shd w:val="clear" w:color="auto" w:fill="auto"/>
            <w:tcMar>
              <w:left w:w="57" w:type="dxa"/>
              <w:right w:w="57" w:type="dxa"/>
            </w:tcMar>
            <w:vAlign w:val="center"/>
          </w:tcPr>
          <w:p w:rsidR="00E57418" w:rsidRPr="00BE3EEB" w:rsidRDefault="00E57418" w:rsidP="00E00DFF">
            <w:pPr>
              <w:pStyle w:val="TableTextEntries"/>
            </w:pPr>
            <w:r w:rsidRPr="00BE3EEB">
              <w:t>Strengthened ability to reach for the poor</w:t>
            </w:r>
            <w:r>
              <w:t xml:space="preserve"> </w:t>
            </w:r>
            <w:r w:rsidRPr="00AE1BBD">
              <w:t>(new)</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647CED04" wp14:editId="279DA013">
                  <wp:extent cx="151821" cy="151821"/>
                  <wp:effectExtent l="0" t="0" r="635" b="635"/>
                  <wp:docPr id="83" name="Picture 8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E57418" w:rsidRPr="00D81B5B" w:rsidTr="008645D5">
        <w:trPr>
          <w:cantSplit/>
          <w:trHeight w:val="362"/>
        </w:trPr>
        <w:tc>
          <w:tcPr>
            <w:tcW w:w="6763" w:type="dxa"/>
            <w:shd w:val="clear" w:color="auto" w:fill="F5F1CC"/>
            <w:tcMar>
              <w:left w:w="57" w:type="dxa"/>
              <w:right w:w="57" w:type="dxa"/>
            </w:tcMar>
            <w:vAlign w:val="center"/>
          </w:tcPr>
          <w:p w:rsidR="00E57418" w:rsidRDefault="00E57418" w:rsidP="00E00DFF">
            <w:pPr>
              <w:pStyle w:val="TableTextEntries"/>
            </w:pPr>
            <w:r w:rsidRPr="00532793">
              <w:t>Economic Governance</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542"/>
        </w:trPr>
        <w:tc>
          <w:tcPr>
            <w:tcW w:w="6763" w:type="dxa"/>
            <w:shd w:val="clear" w:color="auto" w:fill="auto"/>
            <w:tcMar>
              <w:left w:w="57" w:type="dxa"/>
              <w:right w:w="57" w:type="dxa"/>
            </w:tcMar>
            <w:vAlign w:val="center"/>
          </w:tcPr>
          <w:p w:rsidR="00E57418" w:rsidRDefault="00E57418" w:rsidP="00E00DFF">
            <w:pPr>
              <w:pStyle w:val="TableTextEntries"/>
            </w:pPr>
            <w:r w:rsidRPr="00532793">
              <w:t>Improved capacity of core economic institutions for policy development, coordination and implementation</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6512C8C6" wp14:editId="1CAD45E6">
                  <wp:extent cx="149530" cy="149530"/>
                  <wp:effectExtent l="0" t="0" r="3175" b="3175"/>
                  <wp:docPr id="34" name="Picture 3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Declined</w:t>
            </w:r>
            <w:r>
              <w:rPr>
                <w:bCs/>
              </w:rPr>
              <w:fldChar w:fldCharType="end"/>
            </w:r>
          </w:p>
        </w:tc>
      </w:tr>
      <w:tr w:rsidR="00E57418" w:rsidRPr="00D81B5B" w:rsidTr="008645D5">
        <w:trPr>
          <w:cantSplit/>
          <w:trHeight w:val="542"/>
        </w:trPr>
        <w:tc>
          <w:tcPr>
            <w:tcW w:w="6763" w:type="dxa"/>
            <w:shd w:val="clear" w:color="auto" w:fill="auto"/>
            <w:tcMar>
              <w:left w:w="57" w:type="dxa"/>
              <w:right w:w="57" w:type="dxa"/>
            </w:tcMar>
            <w:vAlign w:val="center"/>
          </w:tcPr>
          <w:p w:rsidR="00E57418" w:rsidRDefault="00E57418" w:rsidP="00E00DFF">
            <w:pPr>
              <w:pStyle w:val="TableTextEntries"/>
            </w:pPr>
            <w:r w:rsidRPr="00532793">
              <w:lastRenderedPageBreak/>
              <w:t>Improved capacity for development and supervision of financial institutions and capital markets</w:t>
            </w:r>
          </w:p>
        </w:tc>
        <w:tc>
          <w:tcPr>
            <w:tcW w:w="1059" w:type="dxa"/>
            <w:shd w:val="clear" w:color="auto" w:fill="auto"/>
            <w:tcMar>
              <w:left w:w="57" w:type="dxa"/>
              <w:right w:w="57" w:type="dxa"/>
            </w:tcMar>
            <w:vAlign w:val="center"/>
          </w:tcPr>
          <w:p w:rsidR="00E57418" w:rsidRDefault="00203B55" w:rsidP="00E00DFF">
            <w:pPr>
              <w:pStyle w:val="Ratingbullet"/>
            </w:pPr>
            <w:r>
              <w:rPr>
                <w:noProof/>
                <w:lang w:val="en-US"/>
              </w:rPr>
              <w:drawing>
                <wp:inline distT="0" distB="0" distL="0" distR="0" wp14:anchorId="3E5F4699" wp14:editId="68241E57">
                  <wp:extent cx="157075" cy="157075"/>
                  <wp:effectExtent l="0" t="0" r="0" b="0"/>
                  <wp:docPr id="14" name="Picture 14"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Declined</w:t>
            </w:r>
            <w:r>
              <w:rPr>
                <w:bCs/>
              </w:rPr>
              <w:fldChar w:fldCharType="end"/>
            </w:r>
          </w:p>
        </w:tc>
      </w:tr>
      <w:tr w:rsidR="00E57418" w:rsidRPr="00D81B5B" w:rsidTr="008645D5">
        <w:trPr>
          <w:cantSplit/>
          <w:trHeight w:val="336"/>
        </w:trPr>
        <w:tc>
          <w:tcPr>
            <w:tcW w:w="6763" w:type="dxa"/>
            <w:shd w:val="clear" w:color="auto" w:fill="auto"/>
            <w:tcMar>
              <w:left w:w="57" w:type="dxa"/>
              <w:right w:w="57" w:type="dxa"/>
            </w:tcMar>
            <w:vAlign w:val="center"/>
          </w:tcPr>
          <w:p w:rsidR="00E57418" w:rsidRDefault="00E57418" w:rsidP="00E00DFF">
            <w:pPr>
              <w:pStyle w:val="TableTextEntries"/>
            </w:pPr>
            <w:r w:rsidRPr="00532793">
              <w:t xml:space="preserve">Improved capacity to develop and implement trade </w:t>
            </w:r>
            <w:r>
              <w:t xml:space="preserve">and investment </w:t>
            </w:r>
            <w:r w:rsidRPr="00532793">
              <w:t>policy</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4CACE9BD" wp14:editId="208FD459">
                  <wp:extent cx="151821" cy="151821"/>
                  <wp:effectExtent l="0" t="0" r="635" b="635"/>
                  <wp:docPr id="84" name="Picture 8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E57418" w:rsidRPr="00D81B5B" w:rsidTr="008645D5">
        <w:trPr>
          <w:cantSplit/>
          <w:trHeight w:val="528"/>
        </w:trPr>
        <w:tc>
          <w:tcPr>
            <w:tcW w:w="6763" w:type="dxa"/>
            <w:shd w:val="clear" w:color="auto" w:fill="auto"/>
            <w:tcMar>
              <w:left w:w="57" w:type="dxa"/>
              <w:right w:w="57" w:type="dxa"/>
            </w:tcMar>
            <w:vAlign w:val="center"/>
          </w:tcPr>
          <w:p w:rsidR="00E57418" w:rsidRDefault="00E57418" w:rsidP="00E00DFF">
            <w:pPr>
              <w:pStyle w:val="TableTextEntries"/>
            </w:pPr>
            <w:r w:rsidRPr="00532793">
              <w:t>More efficient management of public finances (needs to be read in conjunction with decentralisation)</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48D22842" wp14:editId="415F4238">
                  <wp:extent cx="149530" cy="149530"/>
                  <wp:effectExtent l="0" t="0" r="3175" b="3175"/>
                  <wp:docPr id="35" name="Picture 3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Declined</w:t>
            </w:r>
            <w:r>
              <w:rPr>
                <w:bCs/>
              </w:rPr>
              <w:fldChar w:fldCharType="end"/>
            </w:r>
          </w:p>
        </w:tc>
      </w:tr>
      <w:tr w:rsidR="00E57418" w:rsidRPr="00D81B5B" w:rsidTr="008645D5">
        <w:trPr>
          <w:cantSplit/>
          <w:trHeight w:val="336"/>
        </w:trPr>
        <w:tc>
          <w:tcPr>
            <w:tcW w:w="6763" w:type="dxa"/>
            <w:shd w:val="clear" w:color="auto" w:fill="auto"/>
            <w:tcMar>
              <w:left w:w="57" w:type="dxa"/>
              <w:right w:w="57" w:type="dxa"/>
            </w:tcMar>
            <w:vAlign w:val="center"/>
          </w:tcPr>
          <w:p w:rsidR="00E57418" w:rsidRDefault="00E57418" w:rsidP="00E00DFF">
            <w:pPr>
              <w:pStyle w:val="TableTextEntries"/>
            </w:pPr>
            <w:r w:rsidRPr="00532793">
              <w:t>Improved tax administration</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7E7C3ACD" wp14:editId="7EE8D037">
                  <wp:extent cx="151821" cy="151821"/>
                  <wp:effectExtent l="0" t="0" r="635" b="635"/>
                  <wp:docPr id="85" name="Picture 8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E57418" w:rsidRPr="00D81B5B" w:rsidTr="008645D5">
        <w:trPr>
          <w:cantSplit/>
          <w:trHeight w:val="374"/>
        </w:trPr>
        <w:tc>
          <w:tcPr>
            <w:tcW w:w="6763" w:type="dxa"/>
            <w:shd w:val="clear" w:color="auto" w:fill="F5F1CC"/>
            <w:tcMar>
              <w:left w:w="57" w:type="dxa"/>
              <w:right w:w="57" w:type="dxa"/>
            </w:tcMar>
            <w:vAlign w:val="center"/>
          </w:tcPr>
          <w:p w:rsidR="00E57418" w:rsidRDefault="00E57418" w:rsidP="00E00DFF">
            <w:pPr>
              <w:pStyle w:val="TableTextEntries"/>
            </w:pPr>
            <w:r w:rsidRPr="00532793">
              <w:t>Disaster Risk Management</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701"/>
        </w:trPr>
        <w:tc>
          <w:tcPr>
            <w:tcW w:w="6763" w:type="dxa"/>
            <w:shd w:val="clear" w:color="auto" w:fill="auto"/>
            <w:tcMar>
              <w:left w:w="57" w:type="dxa"/>
              <w:right w:w="57" w:type="dxa"/>
            </w:tcMar>
            <w:vAlign w:val="center"/>
          </w:tcPr>
          <w:p w:rsidR="00E57418" w:rsidRDefault="00E57418" w:rsidP="00E00DFF">
            <w:pPr>
              <w:pStyle w:val="TableTextEntries"/>
            </w:pPr>
            <w:r w:rsidRPr="00532793">
              <w:t>The National Coordinating Agency for Disaster Management (BNPB) is a mature organisation fulfilling its responsibilities as guardian of the Disaster Management Law</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4488D706" wp14:editId="50ADE38F">
                  <wp:extent cx="149530" cy="149530"/>
                  <wp:effectExtent l="0" t="0" r="3175" b="3175"/>
                  <wp:docPr id="36" name="Picture 3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E57418" w:rsidRPr="00D81B5B" w:rsidTr="008645D5">
        <w:trPr>
          <w:cantSplit/>
          <w:trHeight w:val="542"/>
        </w:trPr>
        <w:tc>
          <w:tcPr>
            <w:tcW w:w="6763" w:type="dxa"/>
            <w:shd w:val="clear" w:color="auto" w:fill="auto"/>
            <w:tcMar>
              <w:left w:w="57" w:type="dxa"/>
              <w:right w:w="57" w:type="dxa"/>
            </w:tcMar>
            <w:vAlign w:val="center"/>
          </w:tcPr>
          <w:p w:rsidR="00E57418" w:rsidRDefault="00E57418" w:rsidP="00E00DFF">
            <w:pPr>
              <w:pStyle w:val="TableTextEntries"/>
            </w:pPr>
            <w:r>
              <w:t xml:space="preserve">Sub national disaster management structure are established and fully operational to perform their mandated roles </w:t>
            </w:r>
            <w:r w:rsidRPr="00AE1BBD">
              <w:t>(new)</w:t>
            </w:r>
          </w:p>
        </w:tc>
        <w:tc>
          <w:tcPr>
            <w:tcW w:w="1059" w:type="dxa"/>
            <w:shd w:val="clear" w:color="auto" w:fill="auto"/>
            <w:tcMar>
              <w:left w:w="57" w:type="dxa"/>
              <w:right w:w="57" w:type="dxa"/>
            </w:tcMar>
            <w:vAlign w:val="center"/>
          </w:tcPr>
          <w:p w:rsidR="00E57418" w:rsidRDefault="00203B55" w:rsidP="00E00DFF">
            <w:pPr>
              <w:pStyle w:val="Ratingbullet"/>
            </w:pPr>
            <w:r>
              <w:rPr>
                <w:noProof/>
                <w:lang w:val="en-US"/>
              </w:rPr>
              <w:drawing>
                <wp:inline distT="0" distB="0" distL="0" distR="0" wp14:anchorId="39FFD1BF" wp14:editId="261E5C56">
                  <wp:extent cx="157075" cy="157075"/>
                  <wp:effectExtent l="0" t="0" r="0" b="0"/>
                  <wp:docPr id="15" name="Picture 15"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Not applicable</w:t>
            </w:r>
            <w:r>
              <w:rPr>
                <w:bCs/>
              </w:rPr>
              <w:fldChar w:fldCharType="end"/>
            </w:r>
          </w:p>
        </w:tc>
      </w:tr>
      <w:tr w:rsidR="00E57418" w:rsidRPr="00D81B5B" w:rsidTr="008645D5">
        <w:trPr>
          <w:cantSplit/>
          <w:trHeight w:val="528"/>
        </w:trPr>
        <w:tc>
          <w:tcPr>
            <w:tcW w:w="6763" w:type="dxa"/>
            <w:shd w:val="clear" w:color="auto" w:fill="auto"/>
            <w:tcMar>
              <w:left w:w="57" w:type="dxa"/>
              <w:right w:w="57" w:type="dxa"/>
            </w:tcMar>
            <w:vAlign w:val="center"/>
          </w:tcPr>
          <w:p w:rsidR="00E57418" w:rsidRDefault="00CA77B2" w:rsidP="00E00DFF">
            <w:pPr>
              <w:pStyle w:val="TableTextEntries"/>
            </w:pPr>
            <w:r>
              <w:t>Non-governmental</w:t>
            </w:r>
            <w:r w:rsidR="00E57418">
              <w:t xml:space="preserve"> institutions as partners of the </w:t>
            </w:r>
            <w:proofErr w:type="spellStart"/>
            <w:r w:rsidR="00E57418">
              <w:t>GoI</w:t>
            </w:r>
            <w:proofErr w:type="spellEnd"/>
            <w:r w:rsidR="00E57418">
              <w:t xml:space="preserve"> in Community Based Disaster Management (CBDRM) have strengthened community reliance </w:t>
            </w:r>
            <w:r w:rsidR="00E57418" w:rsidRPr="00AE1BBD">
              <w:t>(new)</w:t>
            </w:r>
          </w:p>
        </w:tc>
        <w:tc>
          <w:tcPr>
            <w:tcW w:w="1059" w:type="dxa"/>
            <w:shd w:val="clear" w:color="auto" w:fill="auto"/>
            <w:tcMar>
              <w:left w:w="57" w:type="dxa"/>
              <w:right w:w="57" w:type="dxa"/>
            </w:tcMar>
            <w:vAlign w:val="center"/>
          </w:tcPr>
          <w:p w:rsidR="00E57418" w:rsidRDefault="00203B55" w:rsidP="00E00DFF">
            <w:pPr>
              <w:pStyle w:val="Ratingbullet"/>
            </w:pPr>
            <w:r>
              <w:rPr>
                <w:noProof/>
                <w:lang w:val="en-US"/>
              </w:rPr>
              <w:drawing>
                <wp:inline distT="0" distB="0" distL="0" distR="0" wp14:anchorId="75C921CF" wp14:editId="402308D8">
                  <wp:extent cx="157075" cy="157075"/>
                  <wp:effectExtent l="0" t="0" r="0" b="0"/>
                  <wp:docPr id="16" name="Picture 16"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Not applicable</w:t>
            </w:r>
            <w:r>
              <w:rPr>
                <w:bCs/>
              </w:rPr>
              <w:fldChar w:fldCharType="end"/>
            </w:r>
          </w:p>
        </w:tc>
      </w:tr>
      <w:tr w:rsidR="00E57418" w:rsidRPr="00D81B5B" w:rsidTr="008645D5">
        <w:trPr>
          <w:cantSplit/>
          <w:trHeight w:val="374"/>
        </w:trPr>
        <w:tc>
          <w:tcPr>
            <w:tcW w:w="6763" w:type="dxa"/>
            <w:shd w:val="clear" w:color="auto" w:fill="F5F1CC"/>
            <w:tcMar>
              <w:left w:w="57" w:type="dxa"/>
              <w:right w:w="57" w:type="dxa"/>
            </w:tcMar>
            <w:vAlign w:val="center"/>
          </w:tcPr>
          <w:p w:rsidR="00E57418" w:rsidRDefault="00E57418" w:rsidP="00E00DFF">
            <w:pPr>
              <w:pStyle w:val="TableTextEntries"/>
            </w:pPr>
            <w:r w:rsidRPr="00532793">
              <w:t>Climate Change</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336"/>
        </w:trPr>
        <w:tc>
          <w:tcPr>
            <w:tcW w:w="6763" w:type="dxa"/>
            <w:shd w:val="clear" w:color="auto" w:fill="auto"/>
            <w:tcMar>
              <w:left w:w="57" w:type="dxa"/>
              <w:right w:w="57" w:type="dxa"/>
            </w:tcMar>
            <w:vAlign w:val="center"/>
          </w:tcPr>
          <w:p w:rsidR="00E57418" w:rsidRDefault="00E57418" w:rsidP="00E00DFF">
            <w:pPr>
              <w:pStyle w:val="TableTextEntries"/>
            </w:pPr>
            <w:r w:rsidRPr="00532793">
              <w:t>REDD demonstrated to be practical, effective and equitable</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1B17300C" wp14:editId="639AED36">
                  <wp:extent cx="149530" cy="149530"/>
                  <wp:effectExtent l="0" t="0" r="3175" b="3175"/>
                  <wp:docPr id="37" name="Picture 3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E57418" w:rsidRPr="00D81B5B" w:rsidTr="008645D5">
        <w:trPr>
          <w:cantSplit/>
          <w:trHeight w:val="327"/>
        </w:trPr>
        <w:tc>
          <w:tcPr>
            <w:tcW w:w="6763" w:type="dxa"/>
            <w:shd w:val="clear" w:color="auto" w:fill="auto"/>
            <w:tcMar>
              <w:left w:w="57" w:type="dxa"/>
              <w:right w:w="57" w:type="dxa"/>
            </w:tcMar>
            <w:vAlign w:val="center"/>
          </w:tcPr>
          <w:p w:rsidR="00E57418" w:rsidRDefault="00E57418" w:rsidP="00E00DFF">
            <w:pPr>
              <w:pStyle w:val="TableTextEntries"/>
            </w:pPr>
            <w:r w:rsidRPr="00532793">
              <w:t>Future global outcome on climate change influenced by Indonesian experience with REDD</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498B1AF1" wp14:editId="78955FB9">
                  <wp:extent cx="151821" cy="151821"/>
                  <wp:effectExtent l="0" t="0" r="635" b="635"/>
                  <wp:docPr id="86" name="Picture 8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E57418" w:rsidRPr="00D81B5B" w:rsidTr="008645D5">
        <w:trPr>
          <w:cantSplit/>
          <w:trHeight w:val="528"/>
        </w:trPr>
        <w:tc>
          <w:tcPr>
            <w:tcW w:w="6763" w:type="dxa"/>
            <w:shd w:val="clear" w:color="auto" w:fill="auto"/>
            <w:tcMar>
              <w:left w:w="57" w:type="dxa"/>
              <w:right w:w="57" w:type="dxa"/>
            </w:tcMar>
            <w:vAlign w:val="center"/>
          </w:tcPr>
          <w:p w:rsidR="00E57418" w:rsidRDefault="00E57418" w:rsidP="00E00DFF">
            <w:pPr>
              <w:pStyle w:val="TableTextEntries"/>
            </w:pPr>
            <w:r w:rsidRPr="00532793">
              <w:t>Locally generated new knowledge of climate change adaptation being used in strategy development at all levels of government</w:t>
            </w:r>
          </w:p>
        </w:tc>
        <w:tc>
          <w:tcPr>
            <w:tcW w:w="1059" w:type="dxa"/>
            <w:shd w:val="clear" w:color="auto" w:fill="auto"/>
            <w:tcMar>
              <w:left w:w="57" w:type="dxa"/>
              <w:right w:w="57" w:type="dxa"/>
            </w:tcMar>
            <w:vAlign w:val="center"/>
          </w:tcPr>
          <w:p w:rsidR="00E57418" w:rsidRDefault="00181000" w:rsidP="00E00DFF">
            <w:pPr>
              <w:pStyle w:val="Ratingbullet"/>
            </w:pPr>
            <w:r>
              <w:rPr>
                <w:rFonts w:hint="cs"/>
                <w:noProof/>
                <w:rtl/>
                <w:lang w:val="en-US"/>
              </w:rPr>
              <w:drawing>
                <wp:inline distT="0" distB="0" distL="0" distR="0" wp14:anchorId="158623B0" wp14:editId="5613C491">
                  <wp:extent cx="151821" cy="151821"/>
                  <wp:effectExtent l="0" t="0" r="635" b="635"/>
                  <wp:docPr id="89" name="Picture 8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Improved</w:t>
            </w:r>
            <w:r>
              <w:rPr>
                <w:bCs/>
              </w:rPr>
              <w:fldChar w:fldCharType="end"/>
            </w:r>
          </w:p>
        </w:tc>
      </w:tr>
      <w:tr w:rsidR="00E57418" w:rsidRPr="00D81B5B" w:rsidTr="008645D5">
        <w:trPr>
          <w:cantSplit/>
          <w:trHeight w:val="336"/>
        </w:trPr>
        <w:tc>
          <w:tcPr>
            <w:tcW w:w="6763" w:type="dxa"/>
            <w:shd w:val="clear" w:color="auto" w:fill="auto"/>
            <w:tcMar>
              <w:left w:w="57" w:type="dxa"/>
              <w:right w:w="57" w:type="dxa"/>
            </w:tcMar>
            <w:vAlign w:val="center"/>
          </w:tcPr>
          <w:p w:rsidR="00E57418" w:rsidRDefault="00E57418" w:rsidP="00E00DFF">
            <w:pPr>
              <w:pStyle w:val="TableTextEntries"/>
            </w:pPr>
            <w:r w:rsidRPr="00532793">
              <w:t>Low carbon growth strategies developed and implemented</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4F68E044" wp14:editId="057078A2">
                  <wp:extent cx="149530" cy="149530"/>
                  <wp:effectExtent l="0" t="0" r="3175" b="3175"/>
                  <wp:docPr id="38" name="Picture 3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8F083A">
              <w:rPr>
                <w:bCs/>
              </w:rPr>
              <w:t>Unchanged</w:t>
            </w:r>
            <w:r>
              <w:rPr>
                <w:bCs/>
              </w:rPr>
              <w:fldChar w:fldCharType="end"/>
            </w:r>
          </w:p>
        </w:tc>
      </w:tr>
      <w:tr w:rsidR="00E57418" w:rsidRPr="00D81B5B" w:rsidTr="008645D5">
        <w:trPr>
          <w:cantSplit/>
          <w:trHeight w:val="542"/>
        </w:trPr>
        <w:tc>
          <w:tcPr>
            <w:tcW w:w="6763" w:type="dxa"/>
            <w:shd w:val="clear" w:color="auto" w:fill="auto"/>
            <w:tcMar>
              <w:left w:w="57" w:type="dxa"/>
              <w:right w:w="57" w:type="dxa"/>
            </w:tcMar>
            <w:vAlign w:val="center"/>
          </w:tcPr>
          <w:p w:rsidR="00E57418" w:rsidRDefault="00E57418" w:rsidP="00E00DFF">
            <w:pPr>
              <w:pStyle w:val="TableTextEntries"/>
            </w:pPr>
            <w:r w:rsidRPr="00532793">
              <w:t>Additional domestic finance (government and private sector) and international sources of finance mobilised and accessed, for response to climate change</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46D08FDB" wp14:editId="4A2B9674">
                  <wp:extent cx="149530" cy="149530"/>
                  <wp:effectExtent l="0" t="0" r="3175" b="3175"/>
                  <wp:docPr id="39" name="Picture 3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Declined</w:t>
            </w:r>
            <w:r>
              <w:rPr>
                <w:bCs/>
              </w:rPr>
              <w:fldChar w:fldCharType="end"/>
            </w:r>
          </w:p>
        </w:tc>
      </w:tr>
      <w:tr w:rsidR="00E57418" w:rsidRPr="00D81B5B" w:rsidTr="008645D5">
        <w:trPr>
          <w:cantSplit/>
          <w:trHeight w:val="374"/>
        </w:trPr>
        <w:tc>
          <w:tcPr>
            <w:tcW w:w="6763" w:type="dxa"/>
            <w:shd w:val="clear" w:color="auto" w:fill="F5F1CC"/>
            <w:tcMar>
              <w:left w:w="57" w:type="dxa"/>
              <w:right w:w="57" w:type="dxa"/>
            </w:tcMar>
            <w:vAlign w:val="center"/>
          </w:tcPr>
          <w:p w:rsidR="00E57418" w:rsidRDefault="00E57418" w:rsidP="00E00DFF">
            <w:pPr>
              <w:pStyle w:val="TableTextEntries"/>
            </w:pPr>
            <w:r w:rsidRPr="00532793">
              <w:t xml:space="preserve">Rural livelihoods and agribusiness </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336"/>
        </w:trPr>
        <w:tc>
          <w:tcPr>
            <w:tcW w:w="6763" w:type="dxa"/>
            <w:shd w:val="clear" w:color="auto" w:fill="auto"/>
            <w:tcMar>
              <w:left w:w="57" w:type="dxa"/>
              <w:right w:w="57" w:type="dxa"/>
            </w:tcMar>
            <w:vAlign w:val="center"/>
          </w:tcPr>
          <w:p w:rsidR="00E57418" w:rsidRPr="004C4884" w:rsidRDefault="00E57418" w:rsidP="00E00DFF">
            <w:pPr>
              <w:pStyle w:val="TableTextEntries"/>
            </w:pPr>
            <w:r w:rsidRPr="004C4884">
              <w:t xml:space="preserve">Improved smallholder agri-business practices </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0537CE70" wp14:editId="48F7608D">
                  <wp:extent cx="149530" cy="149530"/>
                  <wp:effectExtent l="0" t="0" r="3175" b="3175"/>
                  <wp:docPr id="40" name="Picture 4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Improved</w:t>
            </w:r>
            <w:r>
              <w:rPr>
                <w:bCs/>
              </w:rPr>
              <w:fldChar w:fldCharType="end"/>
            </w:r>
          </w:p>
        </w:tc>
      </w:tr>
      <w:tr w:rsidR="00E57418" w:rsidRPr="00D81B5B" w:rsidTr="008645D5">
        <w:trPr>
          <w:cantSplit/>
          <w:trHeight w:val="528"/>
        </w:trPr>
        <w:tc>
          <w:tcPr>
            <w:tcW w:w="6763" w:type="dxa"/>
            <w:shd w:val="clear" w:color="auto" w:fill="auto"/>
            <w:tcMar>
              <w:left w:w="57" w:type="dxa"/>
              <w:right w:w="57" w:type="dxa"/>
            </w:tcMar>
            <w:vAlign w:val="center"/>
          </w:tcPr>
          <w:p w:rsidR="00E57418" w:rsidRPr="004C4884" w:rsidRDefault="00E57418" w:rsidP="00E00DFF">
            <w:pPr>
              <w:pStyle w:val="TableTextEntries"/>
            </w:pPr>
            <w:r w:rsidRPr="004C4884">
              <w:t>Improved enabling environment for agri-business that benefits smallholders, at the provincial and national level</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553FCE19" wp14:editId="0BD27CDC">
                  <wp:extent cx="149530" cy="149530"/>
                  <wp:effectExtent l="0" t="0" r="3175" b="3175"/>
                  <wp:docPr id="41" name="Picture 4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Unchanged</w:t>
            </w:r>
            <w:r>
              <w:rPr>
                <w:bCs/>
              </w:rPr>
              <w:fldChar w:fldCharType="end"/>
            </w:r>
          </w:p>
        </w:tc>
      </w:tr>
      <w:tr w:rsidR="00E57418" w:rsidRPr="00D81B5B" w:rsidTr="008645D5">
        <w:trPr>
          <w:cantSplit/>
          <w:trHeight w:val="542"/>
        </w:trPr>
        <w:tc>
          <w:tcPr>
            <w:tcW w:w="6763" w:type="dxa"/>
            <w:shd w:val="clear" w:color="auto" w:fill="auto"/>
            <w:tcMar>
              <w:left w:w="57" w:type="dxa"/>
              <w:right w:w="57" w:type="dxa"/>
            </w:tcMar>
            <w:vAlign w:val="center"/>
          </w:tcPr>
          <w:p w:rsidR="00E57418" w:rsidRPr="004C4884" w:rsidRDefault="00E57418" w:rsidP="00E00DFF">
            <w:pPr>
              <w:pStyle w:val="TableTextEntries"/>
            </w:pPr>
            <w:r w:rsidRPr="004C4884">
              <w:rPr>
                <w:rStyle w:val="CharChar4"/>
                <w:rFonts w:ascii="Franklin Gothic Book" w:hAnsi="Franklin Gothic Book"/>
                <w:sz w:val="17"/>
                <w:szCs w:val="17"/>
              </w:rPr>
              <w:t>Improved capacity of agricultural agencies to conduct agricultural research and transfer the results for the benefit of small holders</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250CCD5B" wp14:editId="772ECFD5">
                  <wp:extent cx="149530" cy="149530"/>
                  <wp:effectExtent l="0" t="0" r="3175" b="3175"/>
                  <wp:docPr id="42" name="Picture 4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4C4884">
              <w:rPr>
                <w:bCs/>
              </w:rPr>
              <w:t>Unchanged</w:t>
            </w:r>
            <w:r>
              <w:rPr>
                <w:bCs/>
              </w:rPr>
              <w:fldChar w:fldCharType="end"/>
            </w:r>
          </w:p>
        </w:tc>
      </w:tr>
      <w:tr w:rsidR="00E57418" w:rsidRPr="00D81B5B" w:rsidTr="008645D5">
        <w:trPr>
          <w:cantSplit/>
          <w:trHeight w:val="336"/>
        </w:trPr>
        <w:tc>
          <w:tcPr>
            <w:tcW w:w="6763" w:type="dxa"/>
            <w:shd w:val="clear" w:color="auto" w:fill="auto"/>
            <w:tcMar>
              <w:left w:w="57" w:type="dxa"/>
              <w:right w:w="57" w:type="dxa"/>
            </w:tcMar>
            <w:vAlign w:val="center"/>
          </w:tcPr>
          <w:p w:rsidR="00E57418" w:rsidRPr="004C4884" w:rsidRDefault="00E57418" w:rsidP="00E00DFF">
            <w:pPr>
              <w:pStyle w:val="BodyText"/>
              <w:spacing w:before="40" w:after="40" w:line="240" w:lineRule="auto"/>
              <w:rPr>
                <w:sz w:val="17"/>
                <w:szCs w:val="17"/>
              </w:rPr>
            </w:pPr>
            <w:r w:rsidRPr="004C4884">
              <w:rPr>
                <w:rStyle w:val="CharChar4"/>
                <w:rFonts w:ascii="Franklin Gothic Book" w:hAnsi="Franklin Gothic Book"/>
                <w:sz w:val="17"/>
                <w:szCs w:val="17"/>
              </w:rPr>
              <w:t>Better functioning agricultural markets as part of value chains</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59E80BEC" wp14:editId="361E4C01">
                  <wp:extent cx="149530" cy="149530"/>
                  <wp:effectExtent l="0" t="0" r="3175" b="3175"/>
                  <wp:docPr id="43" name="Picture 4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Declined</w:t>
            </w:r>
            <w:r>
              <w:rPr>
                <w:bCs/>
              </w:rPr>
              <w:fldChar w:fldCharType="end"/>
            </w:r>
          </w:p>
        </w:tc>
      </w:tr>
      <w:tr w:rsidR="00E57418" w:rsidRPr="00D81B5B" w:rsidTr="008645D5">
        <w:trPr>
          <w:cantSplit/>
          <w:trHeight w:val="374"/>
        </w:trPr>
        <w:tc>
          <w:tcPr>
            <w:tcW w:w="6763" w:type="dxa"/>
            <w:shd w:val="clear" w:color="auto" w:fill="F5F1CC"/>
            <w:tcMar>
              <w:left w:w="57" w:type="dxa"/>
              <w:right w:w="57" w:type="dxa"/>
            </w:tcMar>
            <w:vAlign w:val="center"/>
          </w:tcPr>
          <w:p w:rsidR="00E57418" w:rsidRDefault="00E57418" w:rsidP="00E00DFF">
            <w:pPr>
              <w:pStyle w:val="TableTextEntries"/>
            </w:pPr>
            <w:r w:rsidRPr="00532793">
              <w:t>Law and Justice</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336"/>
        </w:trPr>
        <w:tc>
          <w:tcPr>
            <w:tcW w:w="6763" w:type="dxa"/>
            <w:shd w:val="clear" w:color="auto" w:fill="auto"/>
            <w:tcMar>
              <w:left w:w="57" w:type="dxa"/>
              <w:right w:w="57" w:type="dxa"/>
            </w:tcMar>
          </w:tcPr>
          <w:p w:rsidR="00E57418" w:rsidRDefault="00E57418" w:rsidP="00E00DFF">
            <w:pPr>
              <w:pStyle w:val="TableTextEntries"/>
            </w:pPr>
            <w:r>
              <w:t xml:space="preserve">Judicial Reform </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43569216" wp14:editId="6B2F3A05">
                  <wp:extent cx="149530" cy="149530"/>
                  <wp:effectExtent l="0" t="0" r="3175" b="3175"/>
                  <wp:docPr id="44" name="Picture 4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AE3D89">
              <w:rPr>
                <w:bCs/>
              </w:rPr>
              <w:t>Unchanged</w:t>
            </w:r>
            <w:r>
              <w:rPr>
                <w:bCs/>
              </w:rPr>
              <w:fldChar w:fldCharType="end"/>
            </w:r>
          </w:p>
        </w:tc>
      </w:tr>
      <w:tr w:rsidR="00E57418" w:rsidRPr="00D81B5B" w:rsidTr="008645D5">
        <w:trPr>
          <w:cantSplit/>
          <w:trHeight w:val="336"/>
        </w:trPr>
        <w:tc>
          <w:tcPr>
            <w:tcW w:w="6763" w:type="dxa"/>
            <w:shd w:val="clear" w:color="auto" w:fill="auto"/>
            <w:tcMar>
              <w:left w:w="57" w:type="dxa"/>
              <w:right w:w="57" w:type="dxa"/>
            </w:tcMar>
          </w:tcPr>
          <w:p w:rsidR="00E57418" w:rsidRDefault="00E57418" w:rsidP="00E00DFF">
            <w:pPr>
              <w:pStyle w:val="TableTextEntries"/>
            </w:pPr>
            <w:r>
              <w:t xml:space="preserve">Anti-corruption  </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0DD1BE77" wp14:editId="42849D3E">
                  <wp:extent cx="149530" cy="149530"/>
                  <wp:effectExtent l="0" t="0" r="3175" b="3175"/>
                  <wp:docPr id="45" name="Picture 4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AE3D89">
              <w:rPr>
                <w:bCs/>
              </w:rPr>
              <w:t>Unchanged</w:t>
            </w:r>
            <w:r>
              <w:rPr>
                <w:bCs/>
              </w:rPr>
              <w:fldChar w:fldCharType="end"/>
            </w:r>
          </w:p>
        </w:tc>
      </w:tr>
      <w:tr w:rsidR="00E57418" w:rsidRPr="00D81B5B" w:rsidTr="008645D5">
        <w:trPr>
          <w:cantSplit/>
          <w:trHeight w:val="362"/>
        </w:trPr>
        <w:tc>
          <w:tcPr>
            <w:tcW w:w="6763" w:type="dxa"/>
            <w:shd w:val="clear" w:color="auto" w:fill="F5F1CC"/>
            <w:tcMar>
              <w:left w:w="57" w:type="dxa"/>
              <w:right w:w="57" w:type="dxa"/>
            </w:tcMar>
          </w:tcPr>
          <w:p w:rsidR="00E57418" w:rsidRDefault="00E57418" w:rsidP="00E00DFF">
            <w:pPr>
              <w:pStyle w:val="TableTextEntries"/>
            </w:pPr>
            <w:r w:rsidRPr="00532793">
              <w:t>Elections</w:t>
            </w:r>
          </w:p>
        </w:tc>
        <w:tc>
          <w:tcPr>
            <w:tcW w:w="1059" w:type="dxa"/>
            <w:shd w:val="clear" w:color="auto" w:fill="F5F1CC"/>
            <w:tcMar>
              <w:left w:w="57" w:type="dxa"/>
              <w:right w:w="57" w:type="dxa"/>
            </w:tcMar>
            <w:vAlign w:val="center"/>
          </w:tcPr>
          <w:p w:rsidR="00E57418" w:rsidRDefault="00E57418" w:rsidP="00E00DFF">
            <w:pPr>
              <w:pStyle w:val="Ratingbullet"/>
            </w:pPr>
          </w:p>
        </w:tc>
        <w:tc>
          <w:tcPr>
            <w:tcW w:w="1555" w:type="dxa"/>
            <w:shd w:val="clear" w:color="auto" w:fill="F5F1CC"/>
            <w:tcMar>
              <w:left w:w="57" w:type="dxa"/>
              <w:right w:w="57" w:type="dxa"/>
            </w:tcMar>
            <w:vAlign w:val="center"/>
          </w:tcPr>
          <w:p w:rsidR="00E57418" w:rsidRDefault="00E57418" w:rsidP="00E00DFF">
            <w:pPr>
              <w:pStyle w:val="TableTextEntries"/>
              <w:jc w:val="center"/>
              <w:rPr>
                <w:bCs/>
              </w:rPr>
            </w:pPr>
          </w:p>
        </w:tc>
      </w:tr>
      <w:tr w:rsidR="00E57418" w:rsidRPr="00D81B5B" w:rsidTr="008645D5">
        <w:trPr>
          <w:cantSplit/>
          <w:trHeight w:val="542"/>
        </w:trPr>
        <w:tc>
          <w:tcPr>
            <w:tcW w:w="6763" w:type="dxa"/>
            <w:shd w:val="clear" w:color="auto" w:fill="auto"/>
            <w:tcMar>
              <w:left w:w="57" w:type="dxa"/>
              <w:right w:w="57" w:type="dxa"/>
            </w:tcMar>
            <w:vAlign w:val="center"/>
          </w:tcPr>
          <w:p w:rsidR="00E57418" w:rsidRDefault="00E57418" w:rsidP="00E00DFF">
            <w:pPr>
              <w:pStyle w:val="TableTextEntries"/>
            </w:pPr>
            <w:r w:rsidRPr="00532793">
              <w:t>Improved performance of electoral management bodies in managing and delivering quality elections (local and national)</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74912E55" wp14:editId="00AB78C8">
                  <wp:extent cx="149530" cy="149530"/>
                  <wp:effectExtent l="0" t="0" r="3175" b="3175"/>
                  <wp:docPr id="46" name="Picture 4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033DBC">
              <w:rPr>
                <w:bCs/>
              </w:rPr>
              <w:t>Unchanged</w:t>
            </w:r>
            <w:r>
              <w:rPr>
                <w:bCs/>
              </w:rPr>
              <w:fldChar w:fldCharType="end"/>
            </w:r>
          </w:p>
        </w:tc>
      </w:tr>
      <w:tr w:rsidR="00E57418" w:rsidRPr="00D81B5B" w:rsidTr="008645D5">
        <w:trPr>
          <w:cantSplit/>
          <w:trHeight w:val="336"/>
        </w:trPr>
        <w:tc>
          <w:tcPr>
            <w:tcW w:w="6763" w:type="dxa"/>
            <w:shd w:val="clear" w:color="auto" w:fill="auto"/>
            <w:tcMar>
              <w:left w:w="57" w:type="dxa"/>
              <w:right w:w="57" w:type="dxa"/>
            </w:tcMar>
            <w:vAlign w:val="center"/>
          </w:tcPr>
          <w:p w:rsidR="00E57418" w:rsidRDefault="00E57418" w:rsidP="00E00DFF">
            <w:pPr>
              <w:pStyle w:val="TableTextEntries"/>
            </w:pPr>
            <w:r>
              <w:t xml:space="preserve">Increased public engagement in </w:t>
            </w:r>
            <w:smartTag w:uri="urn:schemas-microsoft-com:office:smarttags" w:element="place">
              <w:smartTag w:uri="urn:schemas-microsoft-com:office:smarttags" w:element="country-region">
                <w:r>
                  <w:t>Indonesia</w:t>
                </w:r>
              </w:smartTag>
            </w:smartTag>
            <w:r>
              <w:t xml:space="preserve">’s elections and systems </w:t>
            </w:r>
          </w:p>
        </w:tc>
        <w:tc>
          <w:tcPr>
            <w:tcW w:w="1059" w:type="dxa"/>
            <w:shd w:val="clear" w:color="auto" w:fill="auto"/>
            <w:tcMar>
              <w:left w:w="57" w:type="dxa"/>
              <w:right w:w="57" w:type="dxa"/>
            </w:tcMar>
            <w:vAlign w:val="center"/>
          </w:tcPr>
          <w:p w:rsidR="00E57418" w:rsidRDefault="00907A26" w:rsidP="00E00DFF">
            <w:pPr>
              <w:pStyle w:val="Ratingbullet"/>
            </w:pPr>
            <w:r>
              <w:rPr>
                <w:noProof/>
                <w:lang w:val="en-US"/>
              </w:rPr>
              <w:drawing>
                <wp:inline distT="0" distB="0" distL="0" distR="0" wp14:anchorId="4D45348C" wp14:editId="72FDB8EC">
                  <wp:extent cx="149530" cy="149530"/>
                  <wp:effectExtent l="0" t="0" r="3175" b="3175"/>
                  <wp:docPr id="47" name="Picture 4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555" w:type="dxa"/>
            <w:shd w:val="clear" w:color="auto" w:fill="auto"/>
            <w:tcMar>
              <w:left w:w="57" w:type="dxa"/>
              <w:right w:w="57" w:type="dxa"/>
            </w:tcMar>
            <w:vAlign w:val="center"/>
          </w:tcPr>
          <w:p w:rsidR="00E57418" w:rsidRDefault="00E57418" w:rsidP="00E00DFF">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033DBC">
              <w:rPr>
                <w:bCs/>
              </w:rPr>
              <w:t>Unchanged</w:t>
            </w:r>
            <w:r>
              <w:rPr>
                <w:bCs/>
              </w:rPr>
              <w:fldChar w:fldCharType="end"/>
            </w:r>
          </w:p>
        </w:tc>
      </w:tr>
    </w:tbl>
    <w:p w:rsidR="004D62DB" w:rsidRDefault="004D62DB" w:rsidP="004D62DB">
      <w:pPr>
        <w:pStyle w:val="Note"/>
        <w:keepNext/>
        <w:spacing w:before="0"/>
      </w:pPr>
      <w:r w:rsidRPr="00D33DDE">
        <w:t xml:space="preserve">Note: </w:t>
      </w:r>
    </w:p>
    <w:p w:rsidR="004D62DB" w:rsidRPr="006D2818" w:rsidRDefault="00181000" w:rsidP="004D62DB">
      <w:pPr>
        <w:pStyle w:val="Note"/>
        <w:keepNext/>
        <w:spacing w:before="0"/>
      </w:pPr>
      <w:r>
        <w:rPr>
          <w:rFonts w:hint="cs"/>
          <w:noProof/>
          <w:rtl/>
          <w:lang w:val="en-US"/>
        </w:rPr>
        <w:drawing>
          <wp:inline distT="0" distB="0" distL="0" distR="0" wp14:anchorId="0AAC27C7" wp14:editId="097EC24E">
            <wp:extent cx="112816" cy="112816"/>
            <wp:effectExtent l="0" t="0" r="1905" b="1905"/>
            <wp:docPr id="90" name="Picture 9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16285" cy="116285"/>
                    </a:xfrm>
                    <a:prstGeom prst="rect">
                      <a:avLst/>
                    </a:prstGeom>
                  </pic:spPr>
                </pic:pic>
              </a:graphicData>
            </a:graphic>
          </wp:inline>
        </w:drawing>
      </w:r>
      <w:r w:rsidR="004D62DB">
        <w:rPr>
          <w:rFonts w:ascii="Arial Unicode MS" w:eastAsia="Arial Unicode MS" w:hAnsi="Arial Unicode MS" w:cs="Arial Unicode MS"/>
        </w:rPr>
        <w:t> </w:t>
      </w:r>
      <w:r w:rsidR="004D62DB" w:rsidRPr="006D2818">
        <w:t>The objective will be fully achieved within the timeframe of the strategy.</w:t>
      </w:r>
    </w:p>
    <w:p w:rsidR="004D62DB" w:rsidRPr="006D2818" w:rsidRDefault="00907A26" w:rsidP="004D62DB">
      <w:pPr>
        <w:pStyle w:val="Note"/>
        <w:keepNext/>
        <w:spacing w:before="0"/>
      </w:pPr>
      <w:r>
        <w:rPr>
          <w:noProof/>
          <w:lang w:val="en-US"/>
        </w:rPr>
        <w:drawing>
          <wp:inline distT="0" distB="0" distL="0" distR="0" wp14:anchorId="5EF0E8F9" wp14:editId="5B2692F7">
            <wp:extent cx="111760" cy="111760"/>
            <wp:effectExtent l="0" t="0" r="2540" b="2540"/>
            <wp:docPr id="48" name="Picture 4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15030" cy="115030"/>
                    </a:xfrm>
                    <a:prstGeom prst="rect">
                      <a:avLst/>
                    </a:prstGeom>
                  </pic:spPr>
                </pic:pic>
              </a:graphicData>
            </a:graphic>
          </wp:inline>
        </w:drawing>
      </w:r>
      <w:r w:rsidR="004D62DB">
        <w:rPr>
          <w:rFonts w:ascii="Arial Unicode MS" w:eastAsia="Arial Unicode MS" w:hAnsi="Arial Unicode MS" w:cs="Arial Unicode MS"/>
        </w:rPr>
        <w:t> </w:t>
      </w:r>
      <w:r w:rsidR="004D62DB" w:rsidRPr="006D2818">
        <w:t>The objective will be partly achieved within the timeframe of the strategy.</w:t>
      </w:r>
    </w:p>
    <w:p w:rsidR="004D62DB" w:rsidRDefault="00203B55" w:rsidP="004D62DB">
      <w:pPr>
        <w:pStyle w:val="Note"/>
        <w:spacing w:before="0"/>
      </w:pPr>
      <w:r>
        <w:rPr>
          <w:noProof/>
          <w:lang w:val="en-US"/>
        </w:rPr>
        <w:drawing>
          <wp:inline distT="0" distB="0" distL="0" distR="0" wp14:anchorId="71E0E6E4" wp14:editId="5C06BEE0">
            <wp:extent cx="112196" cy="112196"/>
            <wp:effectExtent l="0" t="0" r="2540" b="2540"/>
            <wp:docPr id="18" name="Picture 18"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24041" cy="124041"/>
                    </a:xfrm>
                    <a:prstGeom prst="rect">
                      <a:avLst/>
                    </a:prstGeom>
                  </pic:spPr>
                </pic:pic>
              </a:graphicData>
            </a:graphic>
          </wp:inline>
        </w:drawing>
      </w:r>
      <w:r w:rsidR="004D62DB">
        <w:rPr>
          <w:rFonts w:ascii="Arial Unicode MS" w:eastAsia="Arial Unicode MS" w:hAnsi="Arial Unicode MS" w:cs="Arial Unicode MS"/>
        </w:rPr>
        <w:t> </w:t>
      </w:r>
      <w:r w:rsidR="004D62DB" w:rsidRPr="006D2818">
        <w:t>The objective is unlikely to be achieved within the timeframe of the strategy.</w:t>
      </w:r>
    </w:p>
    <w:p w:rsidR="00A42A3E" w:rsidRDefault="004D62DB" w:rsidP="00CA77B2">
      <w:pPr>
        <w:pStyle w:val="Source"/>
        <w:spacing w:before="0"/>
      </w:pPr>
      <w:r w:rsidRPr="00860DBC">
        <w:rPr>
          <w:b/>
        </w:rPr>
        <w:t>UTJ</w:t>
      </w:r>
      <w:r>
        <w:t xml:space="preserve"> Unable to judge</w:t>
      </w:r>
    </w:p>
    <w:p w:rsidR="00027A09" w:rsidRDefault="00027A09">
      <w:pPr>
        <w:rPr>
          <w:rFonts w:ascii="Franklin Gothic Demi" w:hAnsi="Franklin Gothic Demi"/>
          <w:color w:val="AD495D"/>
          <w:kern w:val="28"/>
          <w:sz w:val="28"/>
          <w:szCs w:val="28"/>
        </w:rPr>
      </w:pPr>
      <w:bookmarkStart w:id="18" w:name="_Toc300905103"/>
      <w:r>
        <w:br w:type="page"/>
      </w:r>
    </w:p>
    <w:p w:rsidR="00A42A3E" w:rsidRPr="00A42A3E" w:rsidRDefault="00A42A3E" w:rsidP="00C33813">
      <w:pPr>
        <w:pStyle w:val="Heading1"/>
        <w:spacing w:before="0" w:after="0" w:line="240" w:lineRule="auto"/>
        <w:ind w:left="0"/>
        <w:rPr>
          <w:lang w:eastAsia="en-US"/>
        </w:rPr>
      </w:pPr>
      <w:bookmarkStart w:id="19" w:name="_Toc360981825"/>
      <w:r>
        <w:lastRenderedPageBreak/>
        <w:t>Sector</w:t>
      </w:r>
      <w:r>
        <w:rPr>
          <w:lang w:eastAsia="en-US"/>
        </w:rPr>
        <w:t xml:space="preserve"> Reports</w:t>
      </w:r>
      <w:bookmarkEnd w:id="18"/>
      <w:bookmarkEnd w:id="19"/>
    </w:p>
    <w:p w:rsidR="00E57418" w:rsidRDefault="00E57418" w:rsidP="00C33813">
      <w:pPr>
        <w:pStyle w:val="Heading1"/>
        <w:spacing w:before="0" w:after="0" w:line="240" w:lineRule="auto"/>
      </w:pPr>
    </w:p>
    <w:p w:rsidR="001C6E03" w:rsidRDefault="001B503E" w:rsidP="00C33813">
      <w:pPr>
        <w:pStyle w:val="Heading1"/>
        <w:spacing w:before="0" w:after="0" w:line="240" w:lineRule="auto"/>
      </w:pPr>
      <w:bookmarkStart w:id="20" w:name="_Toc300905104"/>
      <w:bookmarkStart w:id="21" w:name="_Toc360981826"/>
      <w:r>
        <w:t xml:space="preserve">Sector </w:t>
      </w:r>
      <w:r w:rsidR="004559D3">
        <w:t xml:space="preserve">Results of the </w:t>
      </w:r>
      <w:smartTag w:uri="urn:schemas-microsoft-com:office:smarttags" w:element="place">
        <w:smartTag w:uri="urn:schemas-microsoft-com:office:smarttags" w:element="country-region">
          <w:r w:rsidR="00114D04">
            <w:t>Indonesia</w:t>
          </w:r>
        </w:smartTag>
      </w:smartTag>
      <w:r w:rsidR="00114D04">
        <w:t xml:space="preserve"> </w:t>
      </w:r>
      <w:r w:rsidR="004559D3">
        <w:t>program</w:t>
      </w:r>
      <w:bookmarkEnd w:id="15"/>
      <w:bookmarkEnd w:id="20"/>
      <w:bookmarkEnd w:id="21"/>
    </w:p>
    <w:p w:rsidR="004559D3" w:rsidRDefault="005854AE" w:rsidP="00C33813">
      <w:pPr>
        <w:pStyle w:val="Heading2"/>
        <w:spacing w:before="0" w:line="240" w:lineRule="auto"/>
      </w:pPr>
      <w:bookmarkStart w:id="22" w:name="_Toc293049944"/>
      <w:bookmarkStart w:id="23" w:name="_Toc300905105"/>
      <w:bookmarkStart w:id="24" w:name="_Toc360981827"/>
      <w:r>
        <w:t xml:space="preserve">Education </w:t>
      </w:r>
      <w:bookmarkEnd w:id="22"/>
      <w:r w:rsidR="00BB099A">
        <w:t xml:space="preserve">and </w:t>
      </w:r>
      <w:proofErr w:type="spellStart"/>
      <w:r w:rsidR="00BB099A">
        <w:t>scholarshi</w:t>
      </w:r>
      <w:bookmarkEnd w:id="23"/>
      <w:bookmarkEnd w:id="24"/>
      <w:proofErr w:type="spellEnd"/>
    </w:p>
    <w:p w:rsidR="005C4B7E" w:rsidRPr="005E4E7C" w:rsidRDefault="005C4B7E" w:rsidP="005E4E7C">
      <w:pPr>
        <w:pStyle w:val="Caption"/>
        <w:rPr>
          <w:sz w:val="22"/>
          <w:szCs w:val="22"/>
        </w:rPr>
      </w:pPr>
      <w:r w:rsidRPr="005E4E7C">
        <w:rPr>
          <w:sz w:val="22"/>
          <w:szCs w:val="22"/>
        </w:rPr>
        <w:t>Education, scholarships and knowledge sector</w:t>
      </w:r>
    </w:p>
    <w:tbl>
      <w:tblPr>
        <w:tblW w:w="0" w:type="auto"/>
        <w:tblInd w:w="57" w:type="dxa"/>
        <w:tblLook w:val="01E0" w:firstRow="1" w:lastRow="1" w:firstColumn="1" w:lastColumn="1" w:noHBand="0" w:noVBand="0"/>
      </w:tblPr>
      <w:tblGrid>
        <w:gridCol w:w="5709"/>
        <w:gridCol w:w="895"/>
        <w:gridCol w:w="1315"/>
      </w:tblGrid>
      <w:tr w:rsidR="004247B0" w:rsidRPr="0058729F" w:rsidTr="00027A09">
        <w:trPr>
          <w:cantSplit/>
          <w:tblHeader/>
        </w:trPr>
        <w:tc>
          <w:tcPr>
            <w:tcW w:w="5725" w:type="dxa"/>
            <w:shd w:val="clear" w:color="auto" w:fill="F5F1CC"/>
            <w:tcMar>
              <w:left w:w="57" w:type="dxa"/>
              <w:right w:w="57" w:type="dxa"/>
            </w:tcMar>
            <w:vAlign w:val="center"/>
          </w:tcPr>
          <w:p w:rsidR="004247B0" w:rsidRPr="0058729F" w:rsidRDefault="005079E1" w:rsidP="004247B0">
            <w:pPr>
              <w:pStyle w:val="TableTextEntries"/>
            </w:pPr>
            <w:r>
              <w:t>Objectives</w:t>
            </w:r>
          </w:p>
        </w:tc>
        <w:tc>
          <w:tcPr>
            <w:tcW w:w="896" w:type="dxa"/>
            <w:shd w:val="clear" w:color="auto" w:fill="F5F1CC"/>
            <w:tcMar>
              <w:left w:w="57" w:type="dxa"/>
              <w:right w:w="57" w:type="dxa"/>
            </w:tcMar>
            <w:vAlign w:val="center"/>
          </w:tcPr>
          <w:p w:rsidR="004247B0" w:rsidRPr="0058729F" w:rsidRDefault="004247B0" w:rsidP="004247B0">
            <w:pPr>
              <w:pStyle w:val="TableTextEntries"/>
            </w:pPr>
            <w:r>
              <w:t>Ra</w:t>
            </w:r>
            <w:r w:rsidR="00612B0D">
              <w:t>t</w:t>
            </w:r>
            <w:r>
              <w:t>ing in 2010</w:t>
            </w:r>
          </w:p>
        </w:tc>
        <w:tc>
          <w:tcPr>
            <w:tcW w:w="1316" w:type="dxa"/>
            <w:shd w:val="clear" w:color="auto" w:fill="F5F1CC"/>
            <w:tcMar>
              <w:left w:w="57" w:type="dxa"/>
              <w:right w:w="57" w:type="dxa"/>
            </w:tcMar>
            <w:vAlign w:val="center"/>
          </w:tcPr>
          <w:p w:rsidR="004247B0" w:rsidRPr="0058729F" w:rsidRDefault="004247B0" w:rsidP="004247B0">
            <w:pPr>
              <w:pStyle w:val="TableTextEntries"/>
              <w:jc w:val="center"/>
            </w:pPr>
            <w:r>
              <w:t>Relative to previous rating</w:t>
            </w:r>
          </w:p>
        </w:tc>
      </w:tr>
      <w:tr w:rsidR="004247B0" w:rsidRPr="0058729F" w:rsidTr="008645D5">
        <w:trPr>
          <w:cantSplit/>
        </w:trPr>
        <w:tc>
          <w:tcPr>
            <w:tcW w:w="5725" w:type="dxa"/>
            <w:tcMar>
              <w:left w:w="57" w:type="dxa"/>
              <w:right w:w="57" w:type="dxa"/>
            </w:tcMar>
            <w:vAlign w:val="center"/>
          </w:tcPr>
          <w:p w:rsidR="004247B0" w:rsidRPr="0058729F" w:rsidRDefault="004247B0" w:rsidP="004247B0">
            <w:pPr>
              <w:pStyle w:val="TableTextEntries"/>
            </w:pPr>
            <w:r w:rsidRPr="00532793">
              <w:t>Access to quality research and analysis informing policy decisions and policy implementation</w:t>
            </w:r>
          </w:p>
        </w:tc>
        <w:tc>
          <w:tcPr>
            <w:tcW w:w="896" w:type="dxa"/>
            <w:shd w:val="clear" w:color="auto" w:fill="auto"/>
            <w:tcMar>
              <w:left w:w="57" w:type="dxa"/>
              <w:right w:w="57" w:type="dxa"/>
            </w:tcMar>
            <w:vAlign w:val="center"/>
          </w:tcPr>
          <w:p w:rsidR="004247B0" w:rsidRPr="0058729F" w:rsidRDefault="00907A26" w:rsidP="00A54966">
            <w:pPr>
              <w:pStyle w:val="Ratingbullet"/>
            </w:pPr>
            <w:r>
              <w:rPr>
                <w:noProof/>
                <w:lang w:val="en-US"/>
              </w:rPr>
              <w:drawing>
                <wp:inline distT="0" distB="0" distL="0" distR="0" wp14:anchorId="09D56F92" wp14:editId="5C25DF7F">
                  <wp:extent cx="149530" cy="149530"/>
                  <wp:effectExtent l="0" t="0" r="3175" b="3175"/>
                  <wp:docPr id="49" name="Picture 4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tcMar>
              <w:left w:w="57" w:type="dxa"/>
              <w:right w:w="57" w:type="dxa"/>
            </w:tcMar>
            <w:vAlign w:val="center"/>
          </w:tcPr>
          <w:p w:rsidR="004247B0" w:rsidRPr="0058729F" w:rsidRDefault="004247B0" w:rsidP="004247B0">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4247B0" w:rsidTr="008645D5">
        <w:trPr>
          <w:cantSplit/>
        </w:trPr>
        <w:tc>
          <w:tcPr>
            <w:tcW w:w="5725" w:type="dxa"/>
            <w:tcMar>
              <w:left w:w="57" w:type="dxa"/>
              <w:right w:w="57" w:type="dxa"/>
            </w:tcMar>
            <w:vAlign w:val="center"/>
          </w:tcPr>
          <w:p w:rsidR="004247B0" w:rsidRDefault="004247B0" w:rsidP="004247B0">
            <w:pPr>
              <w:pStyle w:val="TableTextEntries"/>
            </w:pPr>
            <w:proofErr w:type="spellStart"/>
            <w:r w:rsidRPr="00532793">
              <w:t>GoI</w:t>
            </w:r>
            <w:proofErr w:type="spellEnd"/>
            <w:r w:rsidRPr="00532793">
              <w:t xml:space="preserve"> projected infrastructure requirements met for Junior Secondary Schools for districts with low </w:t>
            </w:r>
            <w:r w:rsidR="00AE14B9">
              <w:t xml:space="preserve">gross enrolment rate </w:t>
            </w:r>
            <w:r w:rsidRPr="00532793">
              <w:t>nationwide</w:t>
            </w:r>
          </w:p>
        </w:tc>
        <w:tc>
          <w:tcPr>
            <w:tcW w:w="896" w:type="dxa"/>
            <w:shd w:val="clear" w:color="auto" w:fill="auto"/>
            <w:tcMar>
              <w:left w:w="57" w:type="dxa"/>
              <w:right w:w="57" w:type="dxa"/>
            </w:tcMar>
            <w:vAlign w:val="center"/>
          </w:tcPr>
          <w:p w:rsidR="004247B0" w:rsidRDefault="00181000" w:rsidP="00A54966">
            <w:pPr>
              <w:pStyle w:val="Ratingbullet"/>
            </w:pPr>
            <w:r>
              <w:rPr>
                <w:rFonts w:hint="cs"/>
                <w:noProof/>
                <w:rtl/>
                <w:lang w:val="en-US"/>
              </w:rPr>
              <w:drawing>
                <wp:inline distT="0" distB="0" distL="0" distR="0" wp14:anchorId="33FBF277" wp14:editId="63918536">
                  <wp:extent cx="151821" cy="151821"/>
                  <wp:effectExtent l="0" t="0" r="635" b="635"/>
                  <wp:docPr id="92" name="Picture 9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tcMar>
              <w:left w:w="57" w:type="dxa"/>
              <w:right w:w="57" w:type="dxa"/>
            </w:tcMar>
            <w:vAlign w:val="center"/>
          </w:tcPr>
          <w:p w:rsidR="004247B0" w:rsidRDefault="004247B0" w:rsidP="004247B0">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4247B0" w:rsidRPr="0058729F" w:rsidTr="008645D5">
        <w:trPr>
          <w:cantSplit/>
        </w:trPr>
        <w:tc>
          <w:tcPr>
            <w:tcW w:w="5725" w:type="dxa"/>
            <w:tcMar>
              <w:left w:w="57" w:type="dxa"/>
              <w:right w:w="57" w:type="dxa"/>
            </w:tcMar>
            <w:vAlign w:val="center"/>
          </w:tcPr>
          <w:p w:rsidR="004247B0" w:rsidRPr="0058729F" w:rsidRDefault="004247B0" w:rsidP="004247B0">
            <w:pPr>
              <w:pStyle w:val="TableTextEntries"/>
            </w:pPr>
            <w:r w:rsidRPr="009914C1">
              <w:t>A national system delivering strengthened sub-national capacity for education system management</w:t>
            </w:r>
          </w:p>
        </w:tc>
        <w:tc>
          <w:tcPr>
            <w:tcW w:w="896" w:type="dxa"/>
            <w:shd w:val="clear" w:color="auto" w:fill="auto"/>
            <w:tcMar>
              <w:left w:w="57" w:type="dxa"/>
              <w:right w:w="57" w:type="dxa"/>
            </w:tcMar>
            <w:vAlign w:val="center"/>
          </w:tcPr>
          <w:p w:rsidR="004247B0" w:rsidRPr="0058729F" w:rsidRDefault="00181000" w:rsidP="00A54966">
            <w:pPr>
              <w:pStyle w:val="Ratingbullet"/>
            </w:pPr>
            <w:r>
              <w:rPr>
                <w:rFonts w:hint="cs"/>
                <w:noProof/>
                <w:rtl/>
                <w:lang w:val="en-US"/>
              </w:rPr>
              <w:drawing>
                <wp:inline distT="0" distB="0" distL="0" distR="0" wp14:anchorId="60B05B7B" wp14:editId="68B268FB">
                  <wp:extent cx="151821" cy="151821"/>
                  <wp:effectExtent l="0" t="0" r="635" b="635"/>
                  <wp:docPr id="93" name="Picture 9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tcMar>
              <w:left w:w="57" w:type="dxa"/>
              <w:right w:w="57" w:type="dxa"/>
            </w:tcMar>
            <w:vAlign w:val="center"/>
          </w:tcPr>
          <w:p w:rsidR="004247B0" w:rsidRPr="0058729F" w:rsidRDefault="004247B0" w:rsidP="004247B0">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Improved</w:t>
            </w:r>
            <w:r>
              <w:rPr>
                <w:bCs/>
              </w:rPr>
              <w:fldChar w:fldCharType="end"/>
            </w:r>
          </w:p>
        </w:tc>
      </w:tr>
      <w:tr w:rsidR="004247B0" w:rsidRPr="0058729F" w:rsidTr="008645D5">
        <w:trPr>
          <w:cantSplit/>
        </w:trPr>
        <w:tc>
          <w:tcPr>
            <w:tcW w:w="5725" w:type="dxa"/>
            <w:shd w:val="clear" w:color="auto" w:fill="auto"/>
            <w:tcMar>
              <w:left w:w="57" w:type="dxa"/>
              <w:right w:w="57" w:type="dxa"/>
            </w:tcMar>
            <w:vAlign w:val="center"/>
          </w:tcPr>
          <w:p w:rsidR="004247B0" w:rsidRPr="00D81B5B" w:rsidRDefault="00561F63" w:rsidP="004247B0">
            <w:pPr>
              <w:pStyle w:val="TableTextEntries"/>
            </w:pPr>
            <w:r w:rsidRPr="005E31D8">
              <w:t xml:space="preserve">Accelerated accreditation of Madrasah by the </w:t>
            </w:r>
            <w:r w:rsidR="005E31D8" w:rsidRPr="005E31D8">
              <w:rPr>
                <w:rFonts w:cs="Arial"/>
              </w:rPr>
              <w:t>National Coordinating Agency for Disaster</w:t>
            </w:r>
            <w:r w:rsidRPr="005E31D8">
              <w:t xml:space="preserve"> (BSNP) in reference to eight National Education Standards (new outcom</w:t>
            </w:r>
            <w:r>
              <w:t>e)</w:t>
            </w:r>
          </w:p>
        </w:tc>
        <w:tc>
          <w:tcPr>
            <w:tcW w:w="896" w:type="dxa"/>
            <w:shd w:val="clear" w:color="auto" w:fill="auto"/>
            <w:tcMar>
              <w:left w:w="57" w:type="dxa"/>
              <w:right w:w="57" w:type="dxa"/>
            </w:tcMar>
            <w:vAlign w:val="center"/>
          </w:tcPr>
          <w:p w:rsidR="004247B0" w:rsidRPr="0058729F" w:rsidRDefault="00203B55" w:rsidP="00A54966">
            <w:pPr>
              <w:pStyle w:val="Ratingbullet"/>
            </w:pPr>
            <w:r>
              <w:rPr>
                <w:noProof/>
                <w:lang w:val="en-US"/>
              </w:rPr>
              <w:drawing>
                <wp:inline distT="0" distB="0" distL="0" distR="0" wp14:anchorId="1F724339" wp14:editId="7D89939B">
                  <wp:extent cx="157075" cy="157075"/>
                  <wp:effectExtent l="0" t="0" r="0" b="0"/>
                  <wp:docPr id="17" name="Picture 17"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316" w:type="dxa"/>
            <w:shd w:val="clear" w:color="auto" w:fill="auto"/>
            <w:tcMar>
              <w:left w:w="57" w:type="dxa"/>
              <w:right w:w="57" w:type="dxa"/>
            </w:tcMar>
            <w:vAlign w:val="center"/>
          </w:tcPr>
          <w:p w:rsidR="004247B0" w:rsidRPr="0058729F" w:rsidRDefault="004247B0" w:rsidP="004247B0">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Not applicable</w:t>
            </w:r>
            <w:r>
              <w:rPr>
                <w:bCs/>
              </w:rPr>
              <w:fldChar w:fldCharType="end"/>
            </w:r>
          </w:p>
        </w:tc>
      </w:tr>
    </w:tbl>
    <w:p w:rsidR="005854AE" w:rsidRDefault="005854AE" w:rsidP="00612FF9">
      <w:pPr>
        <w:pStyle w:val="H2F"/>
        <w:rPr>
          <w:rtl/>
        </w:rPr>
      </w:pPr>
      <w:bookmarkStart w:id="25" w:name="_Toc293049946"/>
      <w:bookmarkStart w:id="26" w:name="_Toc360981828"/>
      <w:r>
        <w:t>Assessment of results and performance</w:t>
      </w:r>
      <w:bookmarkEnd w:id="25"/>
      <w:bookmarkEnd w:id="26"/>
    </w:p>
    <w:p w:rsidR="00A45FB5" w:rsidRPr="00027A09" w:rsidRDefault="00396B6A" w:rsidP="00027A09">
      <w:pPr>
        <w:pStyle w:val="H3A"/>
        <w:rPr>
          <w:sz w:val="19"/>
          <w:szCs w:val="19"/>
        </w:rPr>
      </w:pPr>
      <w:bookmarkStart w:id="27" w:name="_Toc360981829"/>
      <w:r w:rsidRPr="00027A09">
        <w:rPr>
          <w:sz w:val="19"/>
          <w:szCs w:val="19"/>
        </w:rPr>
        <w:t>Education</w:t>
      </w:r>
      <w:bookmarkEnd w:id="27"/>
      <w:r w:rsidRPr="00027A09">
        <w:rPr>
          <w:sz w:val="19"/>
          <w:szCs w:val="19"/>
        </w:rPr>
        <w:t xml:space="preserve"> </w:t>
      </w:r>
    </w:p>
    <w:p w:rsidR="00BA5159" w:rsidRPr="00473013" w:rsidRDefault="00320E26" w:rsidP="00473013">
      <w:pPr>
        <w:pStyle w:val="BodyText"/>
      </w:pPr>
      <w:r>
        <w:t>In 2010, t</w:t>
      </w:r>
      <w:r w:rsidR="005E31D8">
        <w:t>he Government of Indonesia (</w:t>
      </w:r>
      <w:proofErr w:type="spellStart"/>
      <w:r w:rsidR="00BA5159" w:rsidRPr="00FB59DD">
        <w:rPr>
          <w:rStyle w:val="AbbreviationChar"/>
        </w:rPr>
        <w:t>GoI</w:t>
      </w:r>
      <w:proofErr w:type="spellEnd"/>
      <w:r w:rsidR="005E31D8">
        <w:rPr>
          <w:rStyle w:val="AbbreviationChar"/>
        </w:rPr>
        <w:t>)</w:t>
      </w:r>
      <w:r w:rsidR="00BA5159" w:rsidRPr="00473013">
        <w:t xml:space="preserve"> commenced implementation of the new Education Strategic Plan (2010-2014) and </w:t>
      </w:r>
      <w:smartTag w:uri="urn:schemas-microsoft-com:office:smarttags" w:element="place">
        <w:smartTag w:uri="urn:schemas-microsoft-com:office:smarttags" w:element="country-region">
          <w:r w:rsidR="00BA5159" w:rsidRPr="00473013">
            <w:t>Australia</w:t>
          </w:r>
        </w:smartTag>
      </w:smartTag>
      <w:r w:rsidR="00BA5159" w:rsidRPr="00473013">
        <w:t xml:space="preserve">’s support was aligned to key targets within this plan.  </w:t>
      </w:r>
      <w:proofErr w:type="spellStart"/>
      <w:r w:rsidR="00BA5159" w:rsidRPr="00473013">
        <w:t>GoI</w:t>
      </w:r>
      <w:proofErr w:type="spellEnd"/>
      <w:r w:rsidR="00BA5159" w:rsidRPr="00473013">
        <w:t xml:space="preserve"> committed 20% of its budget to the education sector (around $26 billion in 2010)</w:t>
      </w:r>
      <w:r>
        <w:t>, with</w:t>
      </w:r>
      <w:r w:rsidR="00BA5159" w:rsidRPr="00473013">
        <w:t xml:space="preserve"> </w:t>
      </w:r>
      <w:r>
        <w:t>d</w:t>
      </w:r>
      <w:r w:rsidR="00BA5159" w:rsidRPr="00473013">
        <w:t xml:space="preserve">onor contributions to the sector </w:t>
      </w:r>
      <w:r>
        <w:t>representing</w:t>
      </w:r>
      <w:r w:rsidRPr="00473013">
        <w:t xml:space="preserve"> </w:t>
      </w:r>
      <w:r w:rsidR="00BA5159" w:rsidRPr="00473013">
        <w:t>less than 2% of</w:t>
      </w:r>
      <w:r>
        <w:t xml:space="preserve"> the</w:t>
      </w:r>
      <w:r w:rsidR="00BA5159" w:rsidRPr="00473013">
        <w:t xml:space="preserve"> total.  The Ministry of National Education (</w:t>
      </w:r>
      <w:proofErr w:type="spellStart"/>
      <w:r w:rsidR="00BA5159" w:rsidRPr="00FB59DD">
        <w:rPr>
          <w:rStyle w:val="AbbreviationChar"/>
        </w:rPr>
        <w:t>MoNE</w:t>
      </w:r>
      <w:proofErr w:type="spellEnd"/>
      <w:r w:rsidR="00BA5159" w:rsidRPr="00473013">
        <w:t xml:space="preserve">) completed a major restructure at the end of 2010 which united responsibility for quality assurance under a single Board.  Although the implications of this change are yet to be fully realised, it is indicative of the national government’s </w:t>
      </w:r>
      <w:r>
        <w:t>focus</w:t>
      </w:r>
      <w:r w:rsidRPr="00473013">
        <w:t xml:space="preserve"> </w:t>
      </w:r>
      <w:r>
        <w:t>o</w:t>
      </w:r>
      <w:r w:rsidR="00BA5159" w:rsidRPr="00473013">
        <w:t>n improv</w:t>
      </w:r>
      <w:r>
        <w:t>ing</w:t>
      </w:r>
      <w:r w:rsidR="00BA5159" w:rsidRPr="00473013">
        <w:t xml:space="preserve"> the system.</w:t>
      </w:r>
    </w:p>
    <w:p w:rsidR="00BA5159" w:rsidRPr="00473013" w:rsidRDefault="00BA5159" w:rsidP="00473013">
      <w:pPr>
        <w:pStyle w:val="BodyText"/>
      </w:pPr>
      <w:r w:rsidRPr="00473013">
        <w:t xml:space="preserve">In 2010, </w:t>
      </w:r>
      <w:r w:rsidR="00876804">
        <w:t>the Australian and Indonesian Governments</w:t>
      </w:r>
      <w:r w:rsidRPr="00473013">
        <w:t xml:space="preserve"> agreed on the future program of support to basic education in </w:t>
      </w:r>
      <w:smartTag w:uri="urn:schemas-microsoft-com:office:smarttags" w:element="place">
        <w:smartTag w:uri="urn:schemas-microsoft-com:office:smarttags" w:element="country-region">
          <w:r w:rsidRPr="00473013">
            <w:t>Indonesia</w:t>
          </w:r>
        </w:smartTag>
      </w:smartTag>
      <w:r w:rsidRPr="00473013">
        <w:t>, the Education Partnership 2011-2016.  This Partnership will build on the achievements and lessons of the Basic Education Program (</w:t>
      </w:r>
      <w:r w:rsidRPr="00FB59DD">
        <w:rPr>
          <w:rStyle w:val="AbbreviationChar"/>
        </w:rPr>
        <w:t>BEP</w:t>
      </w:r>
      <w:r w:rsidRPr="00473013">
        <w:t>) and the Learning Assistance Program in Islamic Schools (</w:t>
      </w:r>
      <w:r w:rsidRPr="00FB59DD">
        <w:t>LAPIS</w:t>
      </w:r>
      <w:r w:rsidRPr="00473013">
        <w:t>), both of which will conclude in 2011</w:t>
      </w:r>
      <w:r w:rsidR="00190E29">
        <w:t>.</w:t>
      </w:r>
      <w:r w:rsidR="00876804">
        <w:t xml:space="preserve"> </w:t>
      </w:r>
      <w:r w:rsidRPr="00473013">
        <w:t xml:space="preserve"> </w:t>
      </w:r>
      <w:r w:rsidR="00B775CB">
        <w:t xml:space="preserve">  </w:t>
      </w:r>
      <w:r w:rsidRPr="00473013">
        <w:t xml:space="preserve">In 2010 </w:t>
      </w:r>
      <w:proofErr w:type="spellStart"/>
      <w:r w:rsidRPr="00473013">
        <w:t>AusAID</w:t>
      </w:r>
      <w:proofErr w:type="spellEnd"/>
      <w:r w:rsidRPr="00473013">
        <w:t xml:space="preserve"> also commenced a new partnership with </w:t>
      </w:r>
      <w:r w:rsidRPr="00FB59DD">
        <w:rPr>
          <w:rStyle w:val="AbbreviationChar"/>
        </w:rPr>
        <w:t>UNICEF</w:t>
      </w:r>
      <w:r w:rsidRPr="00473013">
        <w:t xml:space="preserve"> to support primary education in Papua and </w:t>
      </w:r>
      <w:smartTag w:uri="urn:schemas-microsoft-com:office:smarttags" w:element="place">
        <w:r w:rsidRPr="00473013">
          <w:t>West Papua</w:t>
        </w:r>
      </w:smartTag>
      <w:r w:rsidRPr="00473013">
        <w:t xml:space="preserve"> through improved planning, teaching practices, and school-based management.</w:t>
      </w:r>
    </w:p>
    <w:p w:rsidR="00BA5159" w:rsidRPr="00473013" w:rsidRDefault="00BA5159" w:rsidP="00473013">
      <w:pPr>
        <w:pStyle w:val="BodyText"/>
      </w:pPr>
      <w:r w:rsidRPr="00473013">
        <w:t>Enrolments for the 2010-11 school year in schools constructed under BEP reached 185</w:t>
      </w:r>
      <w:r w:rsidR="00DF4CEF">
        <w:t> </w:t>
      </w:r>
      <w:r w:rsidRPr="00473013">
        <w:t xml:space="preserve">492 (grades 7-9), of which 49.8% were girls.  This is an increase of </w:t>
      </w:r>
      <w:r w:rsidR="00283A6C">
        <w:t>more than</w:t>
      </w:r>
      <w:r w:rsidR="00283A6C" w:rsidRPr="00473013">
        <w:t xml:space="preserve"> </w:t>
      </w:r>
      <w:r w:rsidRPr="00473013">
        <w:t>44</w:t>
      </w:r>
      <w:r w:rsidR="00DF4CEF">
        <w:t> </w:t>
      </w:r>
      <w:r w:rsidRPr="00473013">
        <w:t xml:space="preserve">000 students </w:t>
      </w:r>
      <w:r w:rsidR="00190E29">
        <w:t>from</w:t>
      </w:r>
      <w:r w:rsidRPr="00473013">
        <w:t xml:space="preserve"> 2009-10</w:t>
      </w:r>
      <w:r w:rsidR="00190E29">
        <w:t>,</w:t>
      </w:r>
      <w:r w:rsidRPr="00473013">
        <w:t xml:space="preserve"> </w:t>
      </w:r>
      <w:r w:rsidR="00190E29">
        <w:t xml:space="preserve">which </w:t>
      </w:r>
      <w:r w:rsidRPr="00473013">
        <w:t>support</w:t>
      </w:r>
      <w:r w:rsidR="00190E29">
        <w:t>s</w:t>
      </w:r>
      <w:r w:rsidRPr="00473013">
        <w:t xml:space="preserve"> </w:t>
      </w:r>
      <w:proofErr w:type="spellStart"/>
      <w:r w:rsidRPr="00473013">
        <w:t>GoI’s</w:t>
      </w:r>
      <w:proofErr w:type="spellEnd"/>
      <w:r w:rsidRPr="00473013">
        <w:t xml:space="preserve"> target of increasing Junior Secondary School enrolments in districts with </w:t>
      </w:r>
      <w:r w:rsidR="00916551">
        <w:t>Gross Enrolment Rate (</w:t>
      </w:r>
      <w:r w:rsidRPr="00FB59DD">
        <w:rPr>
          <w:rStyle w:val="AbbreviationChar"/>
        </w:rPr>
        <w:t>GER</w:t>
      </w:r>
      <w:r w:rsidR="00916551">
        <w:rPr>
          <w:rStyle w:val="AbbreviationChar"/>
        </w:rPr>
        <w:t>)</w:t>
      </w:r>
      <w:r w:rsidRPr="00473013">
        <w:t xml:space="preserve"> of less than 90%.  In 2010, </w:t>
      </w:r>
      <w:proofErr w:type="spellStart"/>
      <w:r w:rsidRPr="00473013">
        <w:t>AusAID</w:t>
      </w:r>
      <w:proofErr w:type="spellEnd"/>
      <w:r w:rsidRPr="00473013">
        <w:t xml:space="preserve"> supported school construction </w:t>
      </w:r>
      <w:r w:rsidR="00916551">
        <w:t>with</w:t>
      </w:r>
      <w:r w:rsidR="00916551" w:rsidRPr="00473013">
        <w:t xml:space="preserve"> </w:t>
      </w:r>
      <w:r w:rsidRPr="00473013">
        <w:t>loan funds</w:t>
      </w:r>
      <w:r w:rsidR="00916551">
        <w:t xml:space="preserve"> </w:t>
      </w:r>
      <w:r w:rsidR="005D67FA">
        <w:t xml:space="preserve">that were managed directly by </w:t>
      </w:r>
      <w:proofErr w:type="spellStart"/>
      <w:r w:rsidR="005D67FA">
        <w:t>MoNE</w:t>
      </w:r>
      <w:proofErr w:type="spellEnd"/>
      <w:r w:rsidR="005D67FA">
        <w:t xml:space="preserve"> (including financial management, procurement, and oversight of construction</w:t>
      </w:r>
      <w:r w:rsidR="00190E29">
        <w:t>)</w:t>
      </w:r>
      <w:r w:rsidRPr="00473013">
        <w:t xml:space="preserve">.  Construction </w:t>
      </w:r>
      <w:r w:rsidR="00876804">
        <w:t xml:space="preserve">was </w:t>
      </w:r>
      <w:r w:rsidRPr="00473013">
        <w:t xml:space="preserve">completed on 47 new schools and 173 additional facilities (classrooms, libraries, and laboratories) at existing school sites, with a further 13 schools and 530 facilities planned for completion in 2011.  In West Java and </w:t>
      </w:r>
      <w:smartTag w:uri="urn:schemas-microsoft-com:office:smarttags" w:element="place">
        <w:r w:rsidRPr="00473013">
          <w:t>West Sumatra</w:t>
        </w:r>
      </w:smartTag>
      <w:r w:rsidRPr="00473013">
        <w:t xml:space="preserve">, reconstruction of 45 primary schools was completed, enabling around 7200 school students to resume normal classes following the 2009 earthquakes.  The remaining 12 schools are on track for completion early </w:t>
      </w:r>
      <w:r w:rsidR="00876804">
        <w:t xml:space="preserve">in </w:t>
      </w:r>
      <w:r w:rsidRPr="00473013">
        <w:t>2011.</w:t>
      </w:r>
    </w:p>
    <w:p w:rsidR="00BA5159" w:rsidRPr="00CA77B2" w:rsidRDefault="004F03E9" w:rsidP="00473013">
      <w:pPr>
        <w:pStyle w:val="BodyText"/>
        <w:rPr>
          <w:lang w:val="en-US" w:bidi="ar-SY"/>
        </w:rPr>
      </w:pPr>
      <w:r>
        <w:lastRenderedPageBreak/>
        <w:t>The</w:t>
      </w:r>
      <w:r w:rsidR="00BA5159" w:rsidRPr="00473013">
        <w:t xml:space="preserve"> program intensified its focus on improving the quality of education in </w:t>
      </w:r>
      <w:smartTag w:uri="urn:schemas-microsoft-com:office:smarttags" w:element="place">
        <w:smartTag w:uri="urn:schemas-microsoft-com:office:smarttags" w:element="country-region">
          <w:r w:rsidR="00BA5159" w:rsidRPr="00473013">
            <w:t>Indonesia</w:t>
          </w:r>
        </w:smartTag>
      </w:smartTag>
      <w:r w:rsidR="00BA5159" w:rsidRPr="00473013">
        <w:t xml:space="preserve"> in 2010. The </w:t>
      </w:r>
      <w:r w:rsidR="00876804">
        <w:t xml:space="preserve">2009 </w:t>
      </w:r>
      <w:r w:rsidR="00BA5159" w:rsidRPr="00473013">
        <w:t>approval of the Ministerial Regulation establishing an Education Quality Assurance System</w:t>
      </w:r>
      <w:r w:rsidR="00876804">
        <w:t>,</w:t>
      </w:r>
      <w:r w:rsidR="00BA5159" w:rsidRPr="00473013">
        <w:t xml:space="preserve"> which sets out performance standards and systems for all education sector staff (including teachers), was the basis for </w:t>
      </w:r>
      <w:proofErr w:type="spellStart"/>
      <w:r w:rsidR="00BA5159" w:rsidRPr="00473013">
        <w:t>AusAID</w:t>
      </w:r>
      <w:proofErr w:type="spellEnd"/>
      <w:r w:rsidR="00BA5159" w:rsidRPr="00473013">
        <w:t xml:space="preserve"> to work with </w:t>
      </w:r>
      <w:proofErr w:type="spellStart"/>
      <w:r w:rsidR="00BA5159" w:rsidRPr="00473013">
        <w:t>MoNE</w:t>
      </w:r>
      <w:proofErr w:type="spellEnd"/>
      <w:r w:rsidR="00BA5159" w:rsidRPr="00473013">
        <w:t xml:space="preserve"> on developing a </w:t>
      </w:r>
      <w:r w:rsidR="005D67FA">
        <w:t>training program</w:t>
      </w:r>
      <w:r w:rsidR="005D67FA" w:rsidRPr="00473013">
        <w:t xml:space="preserve"> </w:t>
      </w:r>
      <w:r w:rsidR="00BA5159" w:rsidRPr="00473013">
        <w:t xml:space="preserve">for school principals and school supervisors.  These programs will be finalised, accredited, and rolled out to all school principals nationwide, under the new Education Partnership.  </w:t>
      </w:r>
      <w:proofErr w:type="spellStart"/>
      <w:r w:rsidR="00BA5159" w:rsidRPr="00473013">
        <w:t>MoNE</w:t>
      </w:r>
      <w:proofErr w:type="spellEnd"/>
      <w:r w:rsidR="00BA5159" w:rsidRPr="00473013">
        <w:t xml:space="preserve"> also adopted a tool developed with BEP support for schools to assess themselves against national standards; prioritise and plan for improvements; and be responsive to student needs, including in relation to gender or disability. </w:t>
      </w:r>
      <w:r w:rsidR="00EB0238">
        <w:t xml:space="preserve"> This will be </w:t>
      </w:r>
      <w:r w:rsidR="00EB0238" w:rsidRPr="00473013">
        <w:t>inclu</w:t>
      </w:r>
      <w:r w:rsidR="00EB0238">
        <w:t>ded</w:t>
      </w:r>
      <w:r w:rsidR="00EB0238" w:rsidRPr="00473013">
        <w:t xml:space="preserve"> in all </w:t>
      </w:r>
      <w:proofErr w:type="spellStart"/>
      <w:r w:rsidR="00916551">
        <w:t>MoNE</w:t>
      </w:r>
      <w:proofErr w:type="spellEnd"/>
      <w:r w:rsidR="00916551">
        <w:t xml:space="preserve"> </w:t>
      </w:r>
      <w:r w:rsidR="00EB0238" w:rsidRPr="00473013">
        <w:t>education personnel training programs</w:t>
      </w:r>
      <w:r w:rsidR="00EB0238">
        <w:t>.</w:t>
      </w:r>
      <w:r w:rsidR="00EB0238" w:rsidRPr="00473013">
        <w:t xml:space="preserve"> </w:t>
      </w:r>
      <w:r w:rsidR="00BA5159" w:rsidRPr="00473013">
        <w:t xml:space="preserve"> Training modules in school management, including resource management and maintenance, w</w:t>
      </w:r>
      <w:r w:rsidR="00451A18">
        <w:t>ere</w:t>
      </w:r>
      <w:r w:rsidR="00BA5159" w:rsidRPr="00473013">
        <w:t xml:space="preserve"> deliv</w:t>
      </w:r>
      <w:r w:rsidR="00CA77B2">
        <w:t>ered in 1132 schools in 2010.</w:t>
      </w:r>
    </w:p>
    <w:p w:rsidR="00BA5159" w:rsidRPr="00473013" w:rsidRDefault="00BA5159" w:rsidP="008645D5">
      <w:pPr>
        <w:pStyle w:val="BodyText"/>
      </w:pPr>
      <w:r w:rsidRPr="00473013">
        <w:t xml:space="preserve">In 2010, 60 private madrasah were assisted to meet the quality standards required for accreditation.  Drawing on the experience of these 60 schools and building on our reputation as a trusted partner in the Islamic school sub-sector, </w:t>
      </w:r>
      <w:proofErr w:type="spellStart"/>
      <w:r w:rsidRPr="00473013">
        <w:t>AusAID</w:t>
      </w:r>
      <w:proofErr w:type="spellEnd"/>
      <w:r w:rsidRPr="00473013">
        <w:t xml:space="preserve"> assisted the Ministry of Religious Affairs to develop strategies for accelerating accreditation nationally (to meet their target of 30</w:t>
      </w:r>
      <w:r w:rsidR="00DF4CEF">
        <w:t> </w:t>
      </w:r>
      <w:r w:rsidRPr="00473013">
        <w:t>000 madrasah newly accredited by 2014)</w:t>
      </w:r>
      <w:r w:rsidR="00451A18">
        <w:t>.</w:t>
      </w:r>
      <w:r w:rsidRPr="00473013">
        <w:t xml:space="preserve">. </w:t>
      </w:r>
      <w:r w:rsidR="00840092">
        <w:t xml:space="preserve">These strategies included working with non-government stakeholders, such as foundations, universities, and community organisations, as potential partners to </w:t>
      </w:r>
      <w:r w:rsidR="00451A18">
        <w:t xml:space="preserve">help </w:t>
      </w:r>
      <w:r w:rsidR="00840092">
        <w:t>schools plan and implement the changes needed for accreditation.</w:t>
      </w:r>
      <w:r w:rsidR="008E4154">
        <w:t xml:space="preserve"> Further work is required by </w:t>
      </w:r>
      <w:proofErr w:type="spellStart"/>
      <w:r w:rsidR="008E4154">
        <w:t>MoRA</w:t>
      </w:r>
      <w:proofErr w:type="spellEnd"/>
      <w:r w:rsidR="008E4154">
        <w:t xml:space="preserve"> to finalise and build consensus on a consolidated strategy for achieving accelerated accreditation and, at the time of writing, no further support was requested from </w:t>
      </w:r>
      <w:proofErr w:type="spellStart"/>
      <w:r w:rsidR="008E4154">
        <w:t>AusAID</w:t>
      </w:r>
      <w:proofErr w:type="spellEnd"/>
      <w:r w:rsidR="008E4154">
        <w:t xml:space="preserve"> for this process.  This, combined with the scale of the accreditation task, are the factors leading to a red rating for this objective.</w:t>
      </w:r>
    </w:p>
    <w:p w:rsidR="00D27C4B" w:rsidRDefault="00BA5159" w:rsidP="00473013">
      <w:pPr>
        <w:pStyle w:val="BodyText"/>
      </w:pPr>
      <w:proofErr w:type="spellStart"/>
      <w:r w:rsidRPr="00473013">
        <w:t>AusAID</w:t>
      </w:r>
      <w:proofErr w:type="spellEnd"/>
      <w:r w:rsidRPr="00473013">
        <w:t xml:space="preserve"> contributed to policy development in 2010 </w:t>
      </w:r>
      <w:r w:rsidR="00451A18">
        <w:t>by</w:t>
      </w:r>
      <w:r w:rsidRPr="00473013">
        <w:t xml:space="preserve"> produc</w:t>
      </w:r>
      <w:r w:rsidR="00451A18">
        <w:t>ing</w:t>
      </w:r>
      <w:r w:rsidRPr="00473013">
        <w:t xml:space="preserve"> </w:t>
      </w:r>
      <w:r w:rsidR="00451A18">
        <w:t>several</w:t>
      </w:r>
      <w:r w:rsidRPr="00473013">
        <w:t xml:space="preserve"> analytical reports </w:t>
      </w:r>
      <w:r w:rsidR="00EB0238">
        <w:t>(</w:t>
      </w:r>
      <w:r w:rsidRPr="00473013">
        <w:t>chiefly an annual sector financial assessment and annual sector monitoring report</w:t>
      </w:r>
      <w:r w:rsidR="00EB0238">
        <w:t>)</w:t>
      </w:r>
      <w:r w:rsidRPr="00473013">
        <w:t xml:space="preserve"> and engaging donor partners and </w:t>
      </w:r>
      <w:proofErr w:type="spellStart"/>
      <w:r w:rsidRPr="00473013">
        <w:t>GoI</w:t>
      </w:r>
      <w:proofErr w:type="spellEnd"/>
      <w:r w:rsidRPr="00473013">
        <w:t xml:space="preserve"> on key education sector challenges and policy opportunities.  The Education Sector Working Group, the forum for this dialogue, was revitalised in 2010 with the involvement of </w:t>
      </w:r>
      <w:smartTag w:uri="urn:schemas-microsoft-com:office:smarttags" w:element="place">
        <w:smartTag w:uri="urn:schemas-microsoft-com:office:smarttags" w:element="country-region">
          <w:r w:rsidRPr="00473013">
            <w:t>Indonesia</w:t>
          </w:r>
        </w:smartTag>
      </w:smartTag>
      <w:r w:rsidRPr="00473013">
        <w:t xml:space="preserve">’s Vice-Minister for Education as co-chair.  In Aceh, </w:t>
      </w:r>
      <w:proofErr w:type="spellStart"/>
      <w:r w:rsidRPr="00473013">
        <w:t>AusAID</w:t>
      </w:r>
      <w:proofErr w:type="spellEnd"/>
      <w:r w:rsidRPr="00473013">
        <w:t xml:space="preserve"> work</w:t>
      </w:r>
      <w:r w:rsidR="00754A53">
        <w:t>ed</w:t>
      </w:r>
      <w:r w:rsidRPr="00473013">
        <w:t xml:space="preserve"> with the provincial government to improve provincial and district education planning and management</w:t>
      </w:r>
      <w:r w:rsidR="00754A53">
        <w:t>.</w:t>
      </w:r>
      <w:r w:rsidRPr="00473013">
        <w:t xml:space="preserve"> </w:t>
      </w:r>
      <w:r w:rsidR="00754A53">
        <w:t>W</w:t>
      </w:r>
      <w:r w:rsidRPr="00473013">
        <w:t xml:space="preserve">e supported the province to produce the first public, comprehensive report on the state of education, with statistics for all state and private schools, teachers and students in the province.  This report changed the long-held perception of government, schools and communities that Aceh had an undersupply of teachers (in fact, the reverse is true) and triggered the development of new policies </w:t>
      </w:r>
      <w:r w:rsidR="00754A53">
        <w:t>to</w:t>
      </w:r>
      <w:r w:rsidR="00754A53" w:rsidRPr="00473013">
        <w:t xml:space="preserve"> </w:t>
      </w:r>
      <w:r w:rsidRPr="00473013">
        <w:t>improve teacher management.</w:t>
      </w:r>
    </w:p>
    <w:p w:rsidR="00CA77B2" w:rsidRDefault="004F3FAC" w:rsidP="00473013">
      <w:pPr>
        <w:pStyle w:val="BodyText"/>
        <w:rPr>
          <w:rFonts w:ascii="Arial" w:hAnsi="Arial" w:cs="Arial"/>
          <w:sz w:val="20"/>
          <w:szCs w:val="20"/>
        </w:rPr>
      </w:pPr>
      <w:proofErr w:type="spellStart"/>
      <w:r w:rsidRPr="004F3FAC">
        <w:t>AusAID</w:t>
      </w:r>
      <w:proofErr w:type="spellEnd"/>
      <w:r w:rsidRPr="004F3FAC">
        <w:t xml:space="preserve"> commissioned Independent Completion Reports </w:t>
      </w:r>
      <w:r w:rsidR="00754A53">
        <w:t xml:space="preserve">(ICR) </w:t>
      </w:r>
      <w:r w:rsidRPr="004F3FAC">
        <w:t xml:space="preserve">for BEP and LAPIS in 2010.  The BEP ICR validated several of the choices made in the design of the Education Partnership, such as the increased use of </w:t>
      </w:r>
      <w:proofErr w:type="spellStart"/>
      <w:r w:rsidR="00936D2A">
        <w:t>GoI</w:t>
      </w:r>
      <w:proofErr w:type="spellEnd"/>
      <w:r w:rsidRPr="004F3FAC">
        <w:t xml:space="preserve"> systems for program delivery; continued support for systematic capacity development at the school and district level; and the use of the community-based construction model for school construction.  The ICR also highlighted where further analysis was needed to support more informed and better targeted programming, such as district-level demand for education services and infrastructure needs (to inform site selection) as well as financing frameworks (for sustainability).  The first of these studies is planned for 2011-12.  The LAPIS ICR highlighted some of the challenges of operating in a diverse and complex sub-sector and supported the move towards a direct partnership with the Ministry of Religious Affairs, which will be the basis for the Education Partnership’s future investments in madrasah accreditation.  The ICR also recommended a </w:t>
      </w:r>
      <w:r w:rsidRPr="004F3FAC">
        <w:lastRenderedPageBreak/>
        <w:t>study of the socio-economic impact of accreditation on poorer households, including the impact of accreditation on affordability of education.  This study is planned for 2011 as part of the preparations for implementation of the Education Partnership</w:t>
      </w:r>
      <w:r w:rsidRPr="004F3FAC">
        <w:rPr>
          <w:rFonts w:ascii="Arial" w:hAnsi="Arial" w:cs="Arial"/>
          <w:sz w:val="20"/>
          <w:szCs w:val="20"/>
        </w:rPr>
        <w:t>.</w:t>
      </w:r>
    </w:p>
    <w:p w:rsidR="004F3FAC" w:rsidRPr="00CA77B2" w:rsidRDefault="00CA77B2" w:rsidP="00CA77B2">
      <w:pPr>
        <w:pStyle w:val="Subtitle"/>
      </w:pPr>
      <w:r>
        <w:br w:type="page"/>
      </w:r>
    </w:p>
    <w:p w:rsidR="00396B6A" w:rsidRPr="00027A09" w:rsidRDefault="00396B6A" w:rsidP="00027A09">
      <w:pPr>
        <w:pStyle w:val="H3A"/>
        <w:rPr>
          <w:sz w:val="19"/>
          <w:szCs w:val="19"/>
        </w:rPr>
      </w:pPr>
      <w:bookmarkStart w:id="28" w:name="_Toc360981830"/>
      <w:r w:rsidRPr="00027A09">
        <w:rPr>
          <w:sz w:val="19"/>
          <w:szCs w:val="19"/>
        </w:rPr>
        <w:lastRenderedPageBreak/>
        <w:t>Scholarship</w:t>
      </w:r>
      <w:r w:rsidR="00B170D3" w:rsidRPr="00027A09">
        <w:rPr>
          <w:sz w:val="19"/>
          <w:szCs w:val="19"/>
        </w:rPr>
        <w:t>s</w:t>
      </w:r>
      <w:bookmarkEnd w:id="28"/>
      <w:r w:rsidRPr="00027A09">
        <w:rPr>
          <w:sz w:val="19"/>
          <w:szCs w:val="19"/>
        </w:rPr>
        <w:t xml:space="preserve"> </w:t>
      </w:r>
    </w:p>
    <w:p w:rsidR="00396B6A" w:rsidRPr="00396B6A" w:rsidRDefault="00863B0E" w:rsidP="00396B6A">
      <w:pPr>
        <w:pStyle w:val="BodyText"/>
      </w:pPr>
      <w:r>
        <w:rPr>
          <w:noProof/>
          <w:lang w:val="en-US" w:eastAsia="en-US"/>
        </w:rPr>
        <w:drawing>
          <wp:anchor distT="0" distB="0" distL="114300" distR="114300" simplePos="0" relativeHeight="251657728" behindDoc="0" locked="0" layoutInCell="1" allowOverlap="1" wp14:anchorId="21F0A077" wp14:editId="2748B226">
            <wp:simplePos x="0" y="0"/>
            <wp:positionH relativeFrom="column">
              <wp:posOffset>0</wp:posOffset>
            </wp:positionH>
            <wp:positionV relativeFrom="paragraph">
              <wp:posOffset>122555</wp:posOffset>
            </wp:positionV>
            <wp:extent cx="2823845" cy="1982470"/>
            <wp:effectExtent l="0" t="0" r="0" b="0"/>
            <wp:wrapSquare wrapText="bothSides"/>
            <wp:docPr id="7" name="Picture 4" descr="indonesia 2010 long team scholarships by field of study :&#10;37 % Governance&#10;17%  Health&#10;11% Education&#10;11% other&#10;9% Society and culture&#10;5%  Natural and Physical Sciences&#10;5% Rural Development $ food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3845"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B6A" w:rsidRPr="00396B6A">
        <w:t>In 2010, the number of scholarships awarded increased to 376 (350 Australian Development Scholarships-</w:t>
      </w:r>
      <w:r w:rsidR="00396B6A" w:rsidRPr="00396B6A">
        <w:rPr>
          <w:rStyle w:val="AbbreviationChar"/>
        </w:rPr>
        <w:t>ADS</w:t>
      </w:r>
      <w:r w:rsidR="00396B6A" w:rsidRPr="00396B6A">
        <w:t xml:space="preserve">, 26 Australian Leadership Awards), in line with the commitment to expand the program.  Of these, 50 </w:t>
      </w:r>
      <w:proofErr w:type="spellStart"/>
      <w:r w:rsidR="00396B6A" w:rsidRPr="00396B6A">
        <w:t>percent</w:t>
      </w:r>
      <w:proofErr w:type="spellEnd"/>
      <w:r w:rsidR="00396B6A" w:rsidRPr="00396B6A">
        <w:t xml:space="preserve"> were awarded to females.  </w:t>
      </w:r>
      <w:smartTag w:uri="urn:schemas-microsoft-com:office:smarttags" w:element="place">
        <w:smartTag w:uri="urn:schemas-microsoft-com:office:smarttags" w:element="country-region">
          <w:r w:rsidR="00396B6A" w:rsidRPr="00396B6A">
            <w:t>Indonesia</w:t>
          </w:r>
        </w:smartTag>
      </w:smartTag>
      <w:r w:rsidR="00396B6A" w:rsidRPr="00396B6A">
        <w:t xml:space="preserve"> continued to attract the highest number of Australian Leadership Awards of any eligible country despite the expansion of these awards to new regions. The 10 </w:t>
      </w:r>
      <w:proofErr w:type="spellStart"/>
      <w:r w:rsidR="00396B6A" w:rsidRPr="00396B6A">
        <w:t>percent</w:t>
      </w:r>
      <w:proofErr w:type="spellEnd"/>
      <w:r w:rsidR="00396B6A" w:rsidRPr="00396B6A">
        <w:t xml:space="preserve"> target for doctoral degrees was achieved. Targeted </w:t>
      </w:r>
      <w:proofErr w:type="spellStart"/>
      <w:r w:rsidR="00396B6A" w:rsidRPr="00396B6A">
        <w:t>GoI</w:t>
      </w:r>
      <w:proofErr w:type="spellEnd"/>
      <w:r w:rsidR="00396B6A" w:rsidRPr="00396B6A">
        <w:t xml:space="preserve"> agencies and other organisations in priority sectors for the aid program in </w:t>
      </w:r>
      <w:smartTag w:uri="urn:schemas-microsoft-com:office:smarttags" w:element="place">
        <w:smartTag w:uri="urn:schemas-microsoft-com:office:smarttags" w:element="country-region">
          <w:r w:rsidR="00396B6A" w:rsidRPr="00396B6A">
            <w:t>Indonesia</w:t>
          </w:r>
        </w:smartTag>
      </w:smartTag>
      <w:r w:rsidR="00396B6A" w:rsidRPr="00396B6A">
        <w:t xml:space="preserve"> accounted for 49 </w:t>
      </w:r>
      <w:proofErr w:type="spellStart"/>
      <w:r w:rsidR="00396B6A" w:rsidRPr="00396B6A">
        <w:t>percent</w:t>
      </w:r>
      <w:proofErr w:type="spellEnd"/>
      <w:r w:rsidR="00396B6A" w:rsidRPr="00396B6A">
        <w:t xml:space="preserve"> of ADS awards.   The number of successful applicants from targeted regions increased to 23% of the total (up from 15% in 2009).  This significant change was brought about by increased targeting of the ADS program and provincial pilots in Papua and Nusa Tenggara </w:t>
      </w:r>
      <w:proofErr w:type="spellStart"/>
      <w:r w:rsidR="00396B6A" w:rsidRPr="00396B6A">
        <w:t>Timur</w:t>
      </w:r>
      <w:proofErr w:type="spellEnd"/>
      <w:r w:rsidR="00396B6A" w:rsidRPr="00396B6A">
        <w:t xml:space="preserve"> to address specific barriers to access.</w:t>
      </w:r>
    </w:p>
    <w:p w:rsidR="00396B6A" w:rsidRPr="00396B6A" w:rsidRDefault="00396B6A" w:rsidP="00396B6A">
      <w:pPr>
        <w:pStyle w:val="BodyText"/>
      </w:pPr>
      <w:r w:rsidRPr="00396B6A">
        <w:t>The Indonesia Program</w:t>
      </w:r>
      <w:r w:rsidR="00E03843">
        <w:t xml:space="preserve"> continues to </w:t>
      </w:r>
      <w:r w:rsidRPr="00396B6A">
        <w:t>develop</w:t>
      </w:r>
      <w:r w:rsidR="00E03843">
        <w:t xml:space="preserve"> </w:t>
      </w:r>
      <w:r w:rsidRPr="00396B6A">
        <w:t xml:space="preserve">its alumni program.  An alumni reference group was established, identifying a group of around 200 alumni from most Indonesian provinces and representing major fields of study, with potential to contribute their knowledge, skills and advice to </w:t>
      </w:r>
      <w:smartTag w:uri="urn:schemas-microsoft-com:office:smarttags" w:element="country-region">
        <w:r w:rsidRPr="00396B6A">
          <w:t>Australia</w:t>
        </w:r>
      </w:smartTag>
      <w:r w:rsidRPr="00396B6A">
        <w:t xml:space="preserve">’s aid programs in </w:t>
      </w:r>
      <w:smartTag w:uri="urn:schemas-microsoft-com:office:smarttags" w:element="place">
        <w:smartTag w:uri="urn:schemas-microsoft-com:office:smarttags" w:element="country-region">
          <w:r w:rsidRPr="00396B6A">
            <w:t>Indonesia</w:t>
          </w:r>
        </w:smartTag>
      </w:smartTag>
      <w:r w:rsidRPr="00396B6A">
        <w:t>.  Four alumni professional development activities were held, attracting around 200 participants.</w:t>
      </w:r>
    </w:p>
    <w:p w:rsidR="00396B6A" w:rsidRPr="00396B6A" w:rsidRDefault="00396B6A" w:rsidP="00396B6A">
      <w:pPr>
        <w:pStyle w:val="BodyText"/>
      </w:pPr>
      <w:proofErr w:type="spellStart"/>
      <w:r w:rsidRPr="00396B6A">
        <w:t>AusAID</w:t>
      </w:r>
      <w:proofErr w:type="spellEnd"/>
      <w:r w:rsidRPr="00396B6A">
        <w:t xml:space="preserve"> continued to provide the secretariat for the Overseas Scholarships Roundtable (</w:t>
      </w:r>
      <w:r w:rsidRPr="00396B6A">
        <w:rPr>
          <w:rStyle w:val="AbbreviationChar"/>
        </w:rPr>
        <w:t>OSR</w:t>
      </w:r>
      <w:r w:rsidRPr="00396B6A">
        <w:t xml:space="preserve">), which is the </w:t>
      </w:r>
      <w:proofErr w:type="spellStart"/>
      <w:r w:rsidRPr="00396B6A">
        <w:t>GoI</w:t>
      </w:r>
      <w:proofErr w:type="spellEnd"/>
      <w:r w:rsidRPr="00396B6A">
        <w:t xml:space="preserve">-led coordinating body for all domestic and international scholarship providers in </w:t>
      </w:r>
      <w:smartTag w:uri="urn:schemas-microsoft-com:office:smarttags" w:element="place">
        <w:smartTag w:uri="urn:schemas-microsoft-com:office:smarttags" w:element="country-region">
          <w:r w:rsidRPr="00396B6A">
            <w:t>Indonesia</w:t>
          </w:r>
        </w:smartTag>
      </w:smartTag>
      <w:r w:rsidRPr="00396B6A">
        <w:t>.  In 2010, OSR</w:t>
      </w:r>
      <w:r w:rsidR="00F01E84">
        <w:t>-</w:t>
      </w:r>
      <w:r w:rsidRPr="00396B6A">
        <w:t xml:space="preserve">commissioned research identified that the main obstacles </w:t>
      </w:r>
      <w:r w:rsidR="00F01E84">
        <w:t xml:space="preserve">to overseas scholarships </w:t>
      </w:r>
      <w:r w:rsidRPr="00396B6A">
        <w:t>for applicants from regional areas were English language ability and access to information.  Based on the research, the ADS program has piloted supplementary English training in NTT</w:t>
      </w:r>
      <w:r w:rsidR="00EB1EB7">
        <w:t xml:space="preserve">. In addition, </w:t>
      </w:r>
      <w:r w:rsidRPr="00396B6A">
        <w:rPr>
          <w:rStyle w:val="AbbreviationChar"/>
        </w:rPr>
        <w:t>BAPPENAS</w:t>
      </w:r>
      <w:r w:rsidRPr="00396B6A">
        <w:t xml:space="preserve">, with </w:t>
      </w:r>
      <w:proofErr w:type="spellStart"/>
      <w:r w:rsidRPr="00396B6A">
        <w:t>AusAID</w:t>
      </w:r>
      <w:proofErr w:type="spellEnd"/>
      <w:r w:rsidRPr="00396B6A">
        <w:t xml:space="preserve"> support, has commissioned a new ‘one-stop scholarships shop’ webpage, where applicants can access information on overseas scholarships provided by all donor agencies, </w:t>
      </w:r>
      <w:proofErr w:type="spellStart"/>
      <w:r w:rsidR="00EB1EB7">
        <w:t>GoI</w:t>
      </w:r>
      <w:proofErr w:type="spellEnd"/>
      <w:r w:rsidRPr="00396B6A">
        <w:t xml:space="preserve"> and </w:t>
      </w:r>
      <w:r w:rsidR="00EB1EB7">
        <w:t xml:space="preserve">the </w:t>
      </w:r>
      <w:r w:rsidRPr="00396B6A">
        <w:t>private sector.</w:t>
      </w:r>
    </w:p>
    <w:p w:rsidR="00396B6A" w:rsidRPr="00A14E35" w:rsidRDefault="00396B6A" w:rsidP="00027A09">
      <w:pPr>
        <w:pStyle w:val="H3A"/>
      </w:pPr>
      <w:bookmarkStart w:id="29" w:name="_Toc360981831"/>
      <w:bookmarkStart w:id="30" w:name="_Toc293050023"/>
      <w:r w:rsidRPr="00027A09">
        <w:rPr>
          <w:sz w:val="19"/>
          <w:szCs w:val="19"/>
        </w:rPr>
        <w:t>Knowledge</w:t>
      </w:r>
      <w:bookmarkEnd w:id="29"/>
      <w:r w:rsidRPr="00A14E35">
        <w:t xml:space="preserve"> </w:t>
      </w:r>
      <w:bookmarkEnd w:id="30"/>
    </w:p>
    <w:p w:rsidR="00396B6A" w:rsidRPr="00396B6A" w:rsidRDefault="00802112" w:rsidP="00396B6A">
      <w:pPr>
        <w:pStyle w:val="BodyText"/>
      </w:pPr>
      <w:r>
        <w:t>C</w:t>
      </w:r>
      <w:r w:rsidR="00396B6A" w:rsidRPr="00396B6A">
        <w:t xml:space="preserve">onstraints </w:t>
      </w:r>
      <w:r w:rsidRPr="00396B6A">
        <w:t xml:space="preserve">in the regulatory environment </w:t>
      </w:r>
      <w:r w:rsidR="000C320F">
        <w:t>are</w:t>
      </w:r>
      <w:r>
        <w:t xml:space="preserve"> preventing</w:t>
      </w:r>
      <w:r w:rsidR="00396B6A" w:rsidRPr="00396B6A">
        <w:t xml:space="preserve"> </w:t>
      </w:r>
      <w:r w:rsidR="000C320F">
        <w:t xml:space="preserve">research and analysis done in </w:t>
      </w:r>
      <w:smartTag w:uri="urn:schemas-microsoft-com:office:smarttags" w:element="place">
        <w:smartTag w:uri="urn:schemas-microsoft-com:office:smarttags" w:element="country-region">
          <w:r w:rsidR="000C320F">
            <w:t>Indonesia</w:t>
          </w:r>
        </w:smartTag>
      </w:smartTag>
      <w:r w:rsidR="00396B6A" w:rsidRPr="00396B6A">
        <w:t xml:space="preserve"> </w:t>
      </w:r>
      <w:r>
        <w:t>from</w:t>
      </w:r>
      <w:r w:rsidRPr="00396B6A">
        <w:t xml:space="preserve"> </w:t>
      </w:r>
      <w:r w:rsidR="00396B6A" w:rsidRPr="00396B6A">
        <w:t>inform</w:t>
      </w:r>
      <w:r>
        <w:t>ing</w:t>
      </w:r>
      <w:r w:rsidR="00396B6A" w:rsidRPr="00396B6A">
        <w:t xml:space="preserve"> polic</w:t>
      </w:r>
      <w:r>
        <w:t>y</w:t>
      </w:r>
      <w:r w:rsidR="00396B6A" w:rsidRPr="00396B6A">
        <w:t>. These include barriers for non-commercial institutions to compete for contracts to provide intellectual services to government</w:t>
      </w:r>
      <w:r w:rsidR="00396B6A" w:rsidRPr="00A52279">
        <w:rPr>
          <w:rStyle w:val="FootnoteReference"/>
          <w:rFonts w:ascii="Georgia" w:hAnsi="Georgia"/>
          <w:position w:val="0"/>
          <w:sz w:val="19"/>
          <w:vertAlign w:val="superscript"/>
        </w:rPr>
        <w:footnoteReference w:id="4"/>
      </w:r>
      <w:r w:rsidR="00396B6A" w:rsidRPr="00396B6A">
        <w:t>, the lack of autonomous structures and skill mixes within government organisations to obtain reliable internal policy advice</w:t>
      </w:r>
      <w:r w:rsidR="00396B6A" w:rsidRPr="00BD0740">
        <w:rPr>
          <w:rStyle w:val="FootnoteReference"/>
          <w:rFonts w:ascii="Georgia" w:hAnsi="Georgia"/>
          <w:position w:val="0"/>
          <w:sz w:val="19"/>
          <w:vertAlign w:val="superscript"/>
        </w:rPr>
        <w:footnoteReference w:id="5"/>
      </w:r>
      <w:r w:rsidR="00396B6A" w:rsidRPr="00396B6A">
        <w:t>, lack of incentive systems to produce policy-relevant research</w:t>
      </w:r>
      <w:r w:rsidR="00396B6A" w:rsidRPr="00BD0740">
        <w:rPr>
          <w:rStyle w:val="FootnoteReference"/>
          <w:rFonts w:ascii="Georgia" w:hAnsi="Georgia"/>
          <w:position w:val="0"/>
          <w:sz w:val="19"/>
          <w:vertAlign w:val="superscript"/>
        </w:rPr>
        <w:footnoteReference w:id="6"/>
      </w:r>
      <w:r w:rsidR="00BD0740" w:rsidRPr="00BD0740">
        <w:rPr>
          <w:vertAlign w:val="superscript"/>
        </w:rPr>
        <w:t>,</w:t>
      </w:r>
      <w:r w:rsidR="00396B6A" w:rsidRPr="00BD0740">
        <w:rPr>
          <w:rStyle w:val="FootnoteReference"/>
          <w:rFonts w:ascii="Georgia" w:hAnsi="Georgia"/>
          <w:position w:val="0"/>
          <w:sz w:val="19"/>
          <w:vertAlign w:val="superscript"/>
        </w:rPr>
        <w:footnoteReference w:id="7"/>
      </w:r>
      <w:r w:rsidR="00396B6A" w:rsidRPr="00396B6A">
        <w:t xml:space="preserve">, and a national </w:t>
      </w:r>
      <w:r w:rsidR="00396B6A" w:rsidRPr="00396B6A">
        <w:lastRenderedPageBreak/>
        <w:t>research agenda that is largely silent on social research needed to inform development policies</w:t>
      </w:r>
      <w:r w:rsidR="00396B6A" w:rsidRPr="00BD0740">
        <w:rPr>
          <w:rStyle w:val="FootnoteReference"/>
          <w:rFonts w:ascii="Georgia" w:hAnsi="Georgia"/>
          <w:position w:val="0"/>
          <w:sz w:val="19"/>
          <w:vertAlign w:val="superscript"/>
        </w:rPr>
        <w:footnoteReference w:id="8"/>
      </w:r>
      <w:r w:rsidR="00396B6A" w:rsidRPr="00396B6A">
        <w:t>.</w:t>
      </w:r>
    </w:p>
    <w:p w:rsidR="00396B6A" w:rsidRPr="00396B6A" w:rsidRDefault="00396B6A" w:rsidP="00396B6A">
      <w:pPr>
        <w:pStyle w:val="BodyText"/>
      </w:pPr>
      <w:r w:rsidRPr="00396B6A">
        <w:t>At the institutional level, there are issues of capacity in existing Indonesian research institutions and the lack of sustainability of independent research organisations</w:t>
      </w:r>
      <w:r w:rsidRPr="00BD0740">
        <w:rPr>
          <w:rStyle w:val="FootnoteReference"/>
          <w:rFonts w:ascii="Georgia" w:hAnsi="Georgia"/>
          <w:position w:val="0"/>
          <w:sz w:val="19"/>
          <w:vertAlign w:val="superscript"/>
        </w:rPr>
        <w:footnoteReference w:id="9"/>
      </w:r>
      <w:r w:rsidRPr="00396B6A">
        <w:t>.</w:t>
      </w:r>
      <w:r w:rsidR="00A52279">
        <w:t xml:space="preserve"> </w:t>
      </w:r>
      <w:r w:rsidRPr="00396B6A">
        <w:t xml:space="preserve"> Aside from </w:t>
      </w:r>
      <w:r w:rsidR="00E825E3">
        <w:t>little</w:t>
      </w:r>
      <w:r w:rsidRPr="00396B6A">
        <w:t xml:space="preserve"> long-term core funding, the common internal constraints for research organisations in producing policy-relevant knowledge include</w:t>
      </w:r>
      <w:r w:rsidR="00E825E3">
        <w:t xml:space="preserve"> a</w:t>
      </w:r>
      <w:r w:rsidRPr="00396B6A">
        <w:t xml:space="preserve"> lack of a consistent long-term research agenda, weak organisation structures for policy research, and </w:t>
      </w:r>
      <w:r w:rsidR="00E825E3">
        <w:t xml:space="preserve">a </w:t>
      </w:r>
      <w:r w:rsidRPr="00396B6A">
        <w:t>lack of internal quality assurance systems</w:t>
      </w:r>
      <w:r w:rsidRPr="00BD0740">
        <w:rPr>
          <w:rStyle w:val="FootnoteReference"/>
          <w:rFonts w:ascii="Georgia" w:hAnsi="Georgia"/>
          <w:position w:val="0"/>
          <w:sz w:val="19"/>
          <w:vertAlign w:val="superscript"/>
        </w:rPr>
        <w:footnoteReference w:id="10"/>
      </w:r>
      <w:r w:rsidRPr="00396B6A">
        <w:t xml:space="preserve">. However, these organisations </w:t>
      </w:r>
      <w:r w:rsidR="004D3376">
        <w:t xml:space="preserve">have </w:t>
      </w:r>
      <w:r w:rsidRPr="00396B6A">
        <w:t>either already demonstrated or recognised the value of building effective alliances with other research and advocacy organisations to influence policy decisions</w:t>
      </w:r>
      <w:r w:rsidR="00BD0740">
        <w:t>.</w:t>
      </w:r>
      <w:r w:rsidRPr="00BD0740">
        <w:rPr>
          <w:rStyle w:val="FootnoteReference"/>
          <w:rFonts w:ascii="Georgia" w:hAnsi="Georgia"/>
          <w:position w:val="0"/>
          <w:sz w:val="19"/>
          <w:vertAlign w:val="superscript"/>
        </w:rPr>
        <w:footnoteReference w:id="11"/>
      </w:r>
      <w:r w:rsidR="00BD0740" w:rsidRPr="00BD0740">
        <w:rPr>
          <w:vertAlign w:val="superscript"/>
        </w:rPr>
        <w:t>,</w:t>
      </w:r>
      <w:r w:rsidRPr="00BD0740">
        <w:rPr>
          <w:vertAlign w:val="superscript"/>
        </w:rPr>
        <w:t xml:space="preserve"> </w:t>
      </w:r>
      <w:r w:rsidRPr="00BD0740">
        <w:rPr>
          <w:rStyle w:val="FootnoteReference"/>
          <w:rFonts w:ascii="Georgia" w:hAnsi="Georgia"/>
          <w:position w:val="0"/>
          <w:sz w:val="19"/>
          <w:vertAlign w:val="superscript"/>
        </w:rPr>
        <w:footnoteReference w:id="12"/>
      </w:r>
      <w:r w:rsidR="00BD0740" w:rsidRPr="00BD0740">
        <w:rPr>
          <w:vertAlign w:val="superscript"/>
        </w:rPr>
        <w:t>,</w:t>
      </w:r>
      <w:r w:rsidRPr="00BD0740">
        <w:rPr>
          <w:vertAlign w:val="superscript"/>
        </w:rPr>
        <w:t xml:space="preserve"> </w:t>
      </w:r>
      <w:r w:rsidRPr="00BD0740">
        <w:rPr>
          <w:rStyle w:val="FootnoteReference"/>
          <w:rFonts w:ascii="Georgia" w:hAnsi="Georgia"/>
          <w:position w:val="0"/>
          <w:sz w:val="19"/>
          <w:vertAlign w:val="superscript"/>
        </w:rPr>
        <w:footnoteReference w:id="13"/>
      </w:r>
    </w:p>
    <w:p w:rsidR="00396B6A" w:rsidRPr="00396B6A" w:rsidRDefault="004D3376" w:rsidP="00396B6A">
      <w:pPr>
        <w:pStyle w:val="BodyText"/>
      </w:pPr>
      <w:r>
        <w:t xml:space="preserve">In 2010, work began </w:t>
      </w:r>
      <w:r w:rsidR="00E825E3">
        <w:t>on</w:t>
      </w:r>
      <w:r>
        <w:t xml:space="preserve"> design</w:t>
      </w:r>
      <w:r w:rsidR="00E825E3">
        <w:t>ing</w:t>
      </w:r>
      <w:r>
        <w:t xml:space="preserve"> a program of support for</w:t>
      </w:r>
      <w:r w:rsidR="00396B6A" w:rsidRPr="00396B6A">
        <w:t xml:space="preserve"> the knowledge sector that focuses on four main program streams: policy assistance to improve the enabling environment; improv</w:t>
      </w:r>
      <w:r>
        <w:t>ing</w:t>
      </w:r>
      <w:r w:rsidR="00396B6A" w:rsidRPr="00396B6A">
        <w:t xml:space="preserve"> the demand for analysis to inform policy; improv</w:t>
      </w:r>
      <w:r>
        <w:t>ing</w:t>
      </w:r>
      <w:r w:rsidR="00396B6A" w:rsidRPr="00396B6A">
        <w:t xml:space="preserve"> the quality and quantity of the domestic supply of policy-relevant research; and bridging the link between the production of research and its use in informing policies. The immediate priorities to forward this agenda are: a) obtaining consensus on which policy reform agendas should be addressed and supported through the program; b) finalising the design for </w:t>
      </w:r>
      <w:smartTag w:uri="urn:schemas-microsoft-com:office:smarttags" w:element="place">
        <w:smartTag w:uri="urn:schemas-microsoft-com:office:smarttags" w:element="country-region">
          <w:r w:rsidR="00396B6A" w:rsidRPr="00396B6A">
            <w:t>Australia</w:t>
          </w:r>
        </w:smartTag>
      </w:smartTag>
      <w:r w:rsidR="00396B6A" w:rsidRPr="00396B6A">
        <w:t>’s support for the knowledge sector; and c) ensuring a smooth transition from design to implementation.</w:t>
      </w:r>
    </w:p>
    <w:p w:rsidR="00AC07A4" w:rsidRDefault="00BA5159" w:rsidP="00612FF9">
      <w:pPr>
        <w:pStyle w:val="H2F"/>
      </w:pPr>
      <w:bookmarkStart w:id="31" w:name="_Toc293049947"/>
      <w:bookmarkStart w:id="32" w:name="_Toc360981832"/>
      <w:r>
        <w:t>Factors contributing to or hampering success</w:t>
      </w:r>
      <w:bookmarkEnd w:id="31"/>
      <w:bookmarkEnd w:id="32"/>
    </w:p>
    <w:p w:rsidR="00BA5159" w:rsidRPr="00473013" w:rsidRDefault="00BA5159" w:rsidP="00473013">
      <w:pPr>
        <w:pStyle w:val="BodyText"/>
      </w:pPr>
      <w:r w:rsidRPr="00473013">
        <w:t xml:space="preserve">Although </w:t>
      </w:r>
      <w:proofErr w:type="spellStart"/>
      <w:r w:rsidRPr="00473013">
        <w:t>GoI</w:t>
      </w:r>
      <w:proofErr w:type="spellEnd"/>
      <w:r w:rsidRPr="00473013">
        <w:t xml:space="preserve"> has committed considerable resources to education delivery, significant improvements in efficiency and effectiveness are needed to absorb growth in demand and achieve improvements in quality.  In particular, the management and monitoring of teacher placement and performance must improve, both to free up resources to direct towards quality improvements and to have an impact on learning outcomes.  The role of district governments in strategic planning, management of resources, and supporting school-level improvement is critical but capacity varies significantly between districts to fulfil these roles.  The Education Partnership will work directly with district governments to increase the planning and managemen</w:t>
      </w:r>
      <w:r w:rsidR="00CA77B2">
        <w:t>t skills of relevant officials.</w:t>
      </w:r>
    </w:p>
    <w:p w:rsidR="00D27C4B" w:rsidRPr="00473013" w:rsidRDefault="00BA5159" w:rsidP="00473013">
      <w:pPr>
        <w:pStyle w:val="BodyText"/>
      </w:pPr>
      <w:r w:rsidRPr="00473013">
        <w:t xml:space="preserve">Delays in finalising the Education Partnership meant that some elements of </w:t>
      </w:r>
      <w:proofErr w:type="spellStart"/>
      <w:r w:rsidRPr="00473013">
        <w:t>AusAID’s</w:t>
      </w:r>
      <w:proofErr w:type="spellEnd"/>
      <w:r w:rsidRPr="00473013">
        <w:t xml:space="preserve"> assistance, such as school construction, were scaled back in 2010 while the new arrangements for implementation were negotiated.  However, this revised timeline provide</w:t>
      </w:r>
      <w:r w:rsidR="009C00AC">
        <w:t>d</w:t>
      </w:r>
      <w:r w:rsidRPr="00473013">
        <w:t xml:space="preserve"> the opportunity to progress many of the strategic policy or regulatory frameworks required for implementing key components of the Partnership relating to quality assurance and madrasah accreditation.  It also </w:t>
      </w:r>
      <w:r w:rsidR="009C00AC">
        <w:t>allowed</w:t>
      </w:r>
      <w:r w:rsidRPr="00473013">
        <w:t xml:space="preserve"> us to identify additional resources required for effective delivery of key elements of the Partnership</w:t>
      </w:r>
      <w:r w:rsidR="00CA77B2">
        <w:t xml:space="preserve">, both within </w:t>
      </w:r>
      <w:proofErr w:type="spellStart"/>
      <w:r w:rsidR="00CA77B2">
        <w:t>AusAID</w:t>
      </w:r>
      <w:proofErr w:type="spellEnd"/>
      <w:r w:rsidR="00CA77B2">
        <w:t xml:space="preserve"> and </w:t>
      </w:r>
      <w:proofErr w:type="spellStart"/>
      <w:r w:rsidR="00CA77B2">
        <w:t>MoNE</w:t>
      </w:r>
      <w:proofErr w:type="spellEnd"/>
      <w:r w:rsidR="00CA77B2">
        <w:t>.</w:t>
      </w:r>
    </w:p>
    <w:p w:rsidR="006E53D1" w:rsidRDefault="00BA5159" w:rsidP="00612FF9">
      <w:pPr>
        <w:pStyle w:val="H2F"/>
      </w:pPr>
      <w:bookmarkStart w:id="33" w:name="_Toc293049948"/>
      <w:bookmarkStart w:id="34" w:name="_Toc360981833"/>
      <w:r>
        <w:lastRenderedPageBreak/>
        <w:t xml:space="preserve">Management </w:t>
      </w:r>
      <w:r w:rsidR="00C411B2">
        <w:t>c</w:t>
      </w:r>
      <w:r>
        <w:t>onsequences</w:t>
      </w:r>
      <w:bookmarkEnd w:id="33"/>
      <w:bookmarkEnd w:id="34"/>
    </w:p>
    <w:p w:rsidR="00BA5159" w:rsidRPr="00473013" w:rsidRDefault="00BA5159" w:rsidP="00473013">
      <w:pPr>
        <w:pStyle w:val="BodyText"/>
      </w:pPr>
      <w:r>
        <w:t xml:space="preserve">Good progress was made in addressing the management consequences identified in the 2009 APPR and the establishment of the new Education Partnership with </w:t>
      </w:r>
      <w:smartTag w:uri="urn:schemas-microsoft-com:office:smarttags" w:element="place">
        <w:smartTag w:uri="urn:schemas-microsoft-com:office:smarttags" w:element="country-region">
          <w:r>
            <w:t>Indonesia</w:t>
          </w:r>
        </w:smartTag>
      </w:smartTag>
      <w:r>
        <w:t xml:space="preserve"> has positioned us w</w:t>
      </w:r>
      <w:r w:rsidRPr="00473013">
        <w:t xml:space="preserve">ell to intensify our evidence-based policy engagement with Government.  </w:t>
      </w:r>
      <w:proofErr w:type="spellStart"/>
      <w:r w:rsidRPr="00473013">
        <w:t>AusAID</w:t>
      </w:r>
      <w:proofErr w:type="spellEnd"/>
      <w:r w:rsidRPr="00473013">
        <w:t xml:space="preserve"> needs to secure ongoing high-level technical expertise in order to enhance the quality of that policy dialogue.  Our investments in research and analysis </w:t>
      </w:r>
      <w:r w:rsidR="0099016F">
        <w:t>must</w:t>
      </w:r>
      <w:r w:rsidRPr="00473013">
        <w:t xml:space="preserve"> meet the needs of policy-makers to ensure research findings have an impact.</w:t>
      </w:r>
    </w:p>
    <w:p w:rsidR="006E53D1" w:rsidRDefault="00BA5159" w:rsidP="00473013">
      <w:pPr>
        <w:pStyle w:val="BodyText"/>
      </w:pPr>
      <w:r w:rsidRPr="00473013">
        <w:t xml:space="preserve">Lessons from BEP show that addressing complaints or problems with school construction as they arise is critical to successful completion.  This requires capacity to monitor, report and follow-up on issues, on the part of </w:t>
      </w:r>
      <w:proofErr w:type="spellStart"/>
      <w:r w:rsidRPr="00473013">
        <w:t>MoNE</w:t>
      </w:r>
      <w:proofErr w:type="spellEnd"/>
      <w:r w:rsidRPr="00473013">
        <w:t xml:space="preserve"> but also district governments.  Additional support to </w:t>
      </w:r>
      <w:proofErr w:type="spellStart"/>
      <w:r w:rsidRPr="00473013">
        <w:t>MoNE</w:t>
      </w:r>
      <w:proofErr w:type="spellEnd"/>
      <w:r w:rsidRPr="00473013">
        <w:t xml:space="preserve"> in these areas will be necessary to manage the transition from </w:t>
      </w:r>
      <w:r w:rsidR="00731A0C">
        <w:t>a</w:t>
      </w:r>
      <w:r w:rsidRPr="00473013">
        <w:t xml:space="preserve"> contractor-supported model to </w:t>
      </w:r>
      <w:r w:rsidR="00731A0C">
        <w:t>a</w:t>
      </w:r>
      <w:r w:rsidRPr="00473013">
        <w:t xml:space="preserve"> great</w:t>
      </w:r>
      <w:r>
        <w:t>er reliance on partner government systems</w:t>
      </w:r>
      <w:r w:rsidRPr="00473013">
        <w:t xml:space="preserve">.  Since our capacity to work directly with multiple district governments on school construction is limited, we will focus our efforts on improving </w:t>
      </w:r>
      <w:proofErr w:type="spellStart"/>
      <w:r w:rsidRPr="00473013">
        <w:t>MoNE’s</w:t>
      </w:r>
      <w:proofErr w:type="spellEnd"/>
      <w:r w:rsidRPr="00473013">
        <w:t xml:space="preserve"> capacity to support district government</w:t>
      </w:r>
      <w:r w:rsidR="004F03E9">
        <w:t xml:space="preserve"> </w:t>
      </w:r>
      <w:r w:rsidR="00A31AA3">
        <w:t>work on</w:t>
      </w:r>
      <w:r w:rsidRPr="00473013">
        <w:t xml:space="preserve"> the construction program.   </w:t>
      </w:r>
    </w:p>
    <w:p w:rsidR="00B94091" w:rsidRPr="00473013" w:rsidRDefault="005C4B7E" w:rsidP="00473013">
      <w:pPr>
        <w:pStyle w:val="BodyText"/>
      </w:pPr>
      <w:r>
        <w:t>Priorities</w:t>
      </w:r>
      <w:r w:rsidR="00B94091">
        <w:t xml:space="preserve"> for 2011 will be to advance the </w:t>
      </w:r>
      <w:r w:rsidR="009C760E">
        <w:t xml:space="preserve">implementation of </w:t>
      </w:r>
      <w:r w:rsidR="00B94091">
        <w:t xml:space="preserve">elements of the new </w:t>
      </w:r>
      <w:r w:rsidR="008645D5">
        <w:t xml:space="preserve">Education </w:t>
      </w:r>
      <w:r w:rsidR="009C760E">
        <w:t>Partnership</w:t>
      </w:r>
      <w:r w:rsidR="00A31AA3">
        <w:t>,</w:t>
      </w:r>
      <w:r w:rsidR="00B94091">
        <w:t xml:space="preserve"> complete detailed designs for an expansion of the scholarships program </w:t>
      </w:r>
      <w:r w:rsidR="009C760E">
        <w:t xml:space="preserve">and </w:t>
      </w:r>
      <w:r w:rsidR="00B94091">
        <w:t xml:space="preserve">a new knowledge sector program and develop a concept paper on future investment options in the education sector. </w:t>
      </w:r>
    </w:p>
    <w:p w:rsidR="003E4C57" w:rsidRPr="003E4C57" w:rsidRDefault="00E271CD" w:rsidP="00683977">
      <w:pPr>
        <w:pStyle w:val="Heading3"/>
        <w:rPr>
          <w:highlight w:val="magenta"/>
        </w:rPr>
      </w:pPr>
      <w:bookmarkStart w:id="35" w:name="_Toc293049949"/>
      <w:bookmarkStart w:id="36" w:name="_Toc360981834"/>
      <w:r>
        <w:t>Estimated e</w:t>
      </w:r>
      <w:r w:rsidRPr="00E271CD">
        <w:t>xpenditure</w:t>
      </w:r>
      <w:r>
        <w:t xml:space="preserve"> in 20</w:t>
      </w:r>
      <w:r w:rsidR="005854AE">
        <w:t>10</w:t>
      </w:r>
      <w:bookmarkEnd w:id="35"/>
      <w:bookmarkEnd w:id="36"/>
    </w:p>
    <w:tbl>
      <w:tblPr>
        <w:tblW w:w="0" w:type="auto"/>
        <w:tblInd w:w="57" w:type="dxa"/>
        <w:tblLayout w:type="fixed"/>
        <w:tblLook w:val="0000" w:firstRow="0" w:lastRow="0" w:firstColumn="0" w:lastColumn="0" w:noHBand="0" w:noVBand="0"/>
      </w:tblPr>
      <w:tblGrid>
        <w:gridCol w:w="5683"/>
        <w:gridCol w:w="1127"/>
        <w:gridCol w:w="1128"/>
      </w:tblGrid>
      <w:tr w:rsidR="00E271CD"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E271CD" w:rsidRDefault="00E271CD" w:rsidP="000D47A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E271CD" w:rsidRDefault="00E271CD" w:rsidP="000D47A5">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E271CD" w:rsidRDefault="00E271CD" w:rsidP="000D47A5">
            <w:pPr>
              <w:pStyle w:val="TableDataColumnHeading"/>
            </w:pPr>
            <w:r>
              <w:t>% of bilateral program</w:t>
            </w:r>
          </w:p>
        </w:tc>
      </w:tr>
      <w:tr w:rsidR="00E271CD" w:rsidRPr="002452D0" w:rsidTr="00027A09">
        <w:trPr>
          <w:cantSplit/>
        </w:trPr>
        <w:tc>
          <w:tcPr>
            <w:tcW w:w="5683" w:type="dxa"/>
            <w:tcBorders>
              <w:bottom w:val="single" w:sz="12" w:space="0" w:color="auto"/>
            </w:tcBorders>
            <w:shd w:val="clear" w:color="auto" w:fill="auto"/>
            <w:tcMar>
              <w:left w:w="57" w:type="dxa"/>
              <w:right w:w="57" w:type="dxa"/>
            </w:tcMar>
          </w:tcPr>
          <w:p w:rsidR="00E271CD" w:rsidRDefault="00BA5159" w:rsidP="003E4C57">
            <w:pPr>
              <w:pStyle w:val="TableDataEntries"/>
              <w:jc w:val="left"/>
            </w:pPr>
            <w:r>
              <w:t>Education</w:t>
            </w:r>
          </w:p>
          <w:p w:rsidR="00BA5159" w:rsidRDefault="00BA5159" w:rsidP="003E4C57">
            <w:pPr>
              <w:pStyle w:val="TableDataEntries"/>
              <w:jc w:val="left"/>
            </w:pPr>
            <w:r>
              <w:t>Scholarship</w:t>
            </w:r>
          </w:p>
          <w:p w:rsidR="00C268D9" w:rsidRPr="002452D0" w:rsidRDefault="00C268D9" w:rsidP="003E4C57">
            <w:pPr>
              <w:pStyle w:val="TableDataEntries"/>
              <w:jc w:val="left"/>
            </w:pPr>
            <w:r>
              <w:t xml:space="preserve">Knowledge </w:t>
            </w:r>
          </w:p>
        </w:tc>
        <w:tc>
          <w:tcPr>
            <w:tcW w:w="1127" w:type="dxa"/>
            <w:tcBorders>
              <w:bottom w:val="single" w:sz="12" w:space="0" w:color="auto"/>
            </w:tcBorders>
            <w:shd w:val="clear" w:color="auto" w:fill="auto"/>
            <w:tcMar>
              <w:left w:w="57" w:type="dxa"/>
              <w:right w:w="57" w:type="dxa"/>
            </w:tcMar>
          </w:tcPr>
          <w:p w:rsidR="00E271CD" w:rsidRDefault="00BA5159" w:rsidP="003E4C57">
            <w:pPr>
              <w:pStyle w:val="TableDataEntries"/>
            </w:pPr>
            <w:r>
              <w:t>88.6</w:t>
            </w:r>
          </w:p>
          <w:p w:rsidR="00BA5159" w:rsidRDefault="00BA5159" w:rsidP="003E4C57">
            <w:pPr>
              <w:pStyle w:val="TableDataEntries"/>
            </w:pPr>
            <w:r>
              <w:t>35.3</w:t>
            </w:r>
          </w:p>
          <w:p w:rsidR="00AD4169" w:rsidRPr="002452D0" w:rsidRDefault="00AD4169" w:rsidP="003E4C57">
            <w:pPr>
              <w:pStyle w:val="TableDataEntries"/>
            </w:pPr>
            <w:r>
              <w:t>1.1</w:t>
            </w:r>
          </w:p>
        </w:tc>
        <w:tc>
          <w:tcPr>
            <w:tcW w:w="1128" w:type="dxa"/>
            <w:tcBorders>
              <w:bottom w:val="single" w:sz="12" w:space="0" w:color="auto"/>
            </w:tcBorders>
            <w:shd w:val="clear" w:color="auto" w:fill="auto"/>
            <w:tcMar>
              <w:left w:w="57" w:type="dxa"/>
              <w:right w:w="57" w:type="dxa"/>
            </w:tcMar>
          </w:tcPr>
          <w:p w:rsidR="00E271CD" w:rsidRDefault="00C101A2" w:rsidP="003E4C57">
            <w:pPr>
              <w:pStyle w:val="TableDataEntries"/>
            </w:pPr>
            <w:r>
              <w:t>2</w:t>
            </w:r>
            <w:r w:rsidR="008A546A">
              <w:t>2</w:t>
            </w:r>
            <w:r>
              <w:t>.</w:t>
            </w:r>
            <w:r w:rsidR="008A546A">
              <w:t>6</w:t>
            </w:r>
            <w:r>
              <w:t>%</w:t>
            </w:r>
          </w:p>
          <w:p w:rsidR="00C101A2" w:rsidRDefault="00C101A2" w:rsidP="003E4C57">
            <w:pPr>
              <w:pStyle w:val="TableDataEntries"/>
            </w:pPr>
            <w:r>
              <w:t>9.</w:t>
            </w:r>
            <w:r w:rsidR="008A546A">
              <w:t>0</w:t>
            </w:r>
            <w:r>
              <w:t>%</w:t>
            </w:r>
          </w:p>
          <w:p w:rsidR="00C101A2" w:rsidRPr="002452D0" w:rsidRDefault="00C101A2" w:rsidP="003E4C57">
            <w:pPr>
              <w:pStyle w:val="TableDataEntries"/>
            </w:pPr>
            <w:r>
              <w:t>0.3%</w:t>
            </w:r>
          </w:p>
        </w:tc>
      </w:tr>
    </w:tbl>
    <w:p w:rsidR="00EE7AC8" w:rsidRDefault="00EE7AC8" w:rsidP="00EE7AC8">
      <w:pPr>
        <w:pStyle w:val="Source"/>
      </w:pPr>
      <w:r w:rsidRPr="00C05EB3">
        <w:t xml:space="preserve">Source: </w:t>
      </w:r>
      <w:r w:rsidR="00912D59">
        <w:t xml:space="preserve">2009-2010 fiscal year’s expenditures in </w:t>
      </w:r>
      <w:proofErr w:type="spellStart"/>
      <w:r w:rsidR="00912D59">
        <w:t>A</w:t>
      </w:r>
      <w:r w:rsidR="0044505C">
        <w:t>i</w:t>
      </w:r>
      <w:r w:rsidR="00912D59">
        <w:t>dWorks</w:t>
      </w:r>
      <w:proofErr w:type="spellEnd"/>
      <w:r w:rsidR="00912D59">
        <w:t xml:space="preserve"> </w:t>
      </w:r>
    </w:p>
    <w:p w:rsidR="00BA5159" w:rsidRDefault="00BA5159" w:rsidP="00683977">
      <w:pPr>
        <w:pStyle w:val="Heading2"/>
      </w:pPr>
      <w:bookmarkStart w:id="37" w:name="_Toc293049950"/>
      <w:bookmarkStart w:id="38" w:name="_Toc300905106"/>
      <w:bookmarkStart w:id="39" w:name="_Toc360981835"/>
      <w:proofErr w:type="spellStart"/>
      <w:r>
        <w:t>Health</w:t>
      </w:r>
      <w:bookmarkEnd w:id="37"/>
      <w:r w:rsidR="00DA38DC">
        <w:t>Health</w:t>
      </w:r>
      <w:bookmarkEnd w:id="38"/>
      <w:bookmarkEnd w:id="39"/>
      <w:proofErr w:type="spellEnd"/>
      <w:r w:rsidR="00DA38DC">
        <w:t xml:space="preserve"> </w:t>
      </w:r>
    </w:p>
    <w:p w:rsidR="00DA38DC" w:rsidRDefault="00DA38DC" w:rsidP="00612FF9">
      <w:pPr>
        <w:pStyle w:val="H2F"/>
      </w:pPr>
      <w:bookmarkStart w:id="40" w:name="_Toc360981836"/>
      <w:bookmarkStart w:id="41" w:name="_Toc293049951"/>
      <w:r>
        <w:t>Health</w:t>
      </w:r>
      <w:bookmarkEnd w:id="40"/>
      <w:r>
        <w:t xml:space="preserve"> </w:t>
      </w:r>
    </w:p>
    <w:p w:rsidR="00BA5159" w:rsidRDefault="00BA5159" w:rsidP="00612FF9">
      <w:pPr>
        <w:pStyle w:val="Heading3"/>
      </w:pPr>
      <w:bookmarkStart w:id="42" w:name="_Toc360981837"/>
      <w:r>
        <w:t>Rating</w:t>
      </w:r>
      <w:bookmarkEnd w:id="41"/>
      <w:bookmarkEnd w:id="42"/>
    </w:p>
    <w:tbl>
      <w:tblPr>
        <w:tblW w:w="0" w:type="auto"/>
        <w:tblInd w:w="57" w:type="dxa"/>
        <w:tblLook w:val="01E0" w:firstRow="1" w:lastRow="1" w:firstColumn="1" w:lastColumn="1" w:noHBand="0" w:noVBand="0"/>
      </w:tblPr>
      <w:tblGrid>
        <w:gridCol w:w="5709"/>
        <w:gridCol w:w="895"/>
        <w:gridCol w:w="1315"/>
      </w:tblGrid>
      <w:tr w:rsidR="00B355BA" w:rsidTr="00027A09">
        <w:trPr>
          <w:cantSplit/>
          <w:tblHeader/>
        </w:trPr>
        <w:tc>
          <w:tcPr>
            <w:tcW w:w="5725" w:type="dxa"/>
            <w:shd w:val="clear" w:color="auto" w:fill="F5F1CC"/>
            <w:tcMar>
              <w:left w:w="57" w:type="dxa"/>
              <w:right w:w="57" w:type="dxa"/>
            </w:tcMar>
            <w:vAlign w:val="center"/>
          </w:tcPr>
          <w:p w:rsidR="00B355BA" w:rsidRPr="00B41114" w:rsidRDefault="00B355BA" w:rsidP="003E2D47">
            <w:pPr>
              <w:pStyle w:val="TableTextEntries"/>
            </w:pPr>
            <w:r w:rsidRPr="000332AD">
              <w:t xml:space="preserve">Health: </w:t>
            </w:r>
            <w:r w:rsidR="00DE4F0A" w:rsidRPr="000332AD">
              <w:rPr>
                <w:i/>
              </w:rPr>
              <w:t xml:space="preserve">Health related MDGs </w:t>
            </w:r>
            <w:r w:rsidR="005C4B7E">
              <w:rPr>
                <w:i/>
              </w:rPr>
              <w:t>are</w:t>
            </w:r>
            <w:r w:rsidR="00DE4F0A" w:rsidRPr="000332AD">
              <w:rPr>
                <w:i/>
              </w:rPr>
              <w:t xml:space="preserve"> achieved through a strengthened health system and a more effective and sustained response to HIV.</w:t>
            </w:r>
          </w:p>
        </w:tc>
        <w:tc>
          <w:tcPr>
            <w:tcW w:w="896" w:type="dxa"/>
            <w:shd w:val="clear" w:color="auto" w:fill="F5F1CC"/>
            <w:tcMar>
              <w:left w:w="57" w:type="dxa"/>
              <w:right w:w="57" w:type="dxa"/>
            </w:tcMar>
            <w:vAlign w:val="center"/>
          </w:tcPr>
          <w:p w:rsidR="00B355BA" w:rsidRDefault="00B355BA" w:rsidP="003E2D47">
            <w:pPr>
              <w:pStyle w:val="TableTextEntries"/>
              <w:jc w:val="center"/>
            </w:pPr>
            <w:r>
              <w:t>Rating in 2010</w:t>
            </w:r>
          </w:p>
        </w:tc>
        <w:tc>
          <w:tcPr>
            <w:tcW w:w="1316" w:type="dxa"/>
            <w:shd w:val="clear" w:color="auto" w:fill="F5F1CC"/>
            <w:tcMar>
              <w:left w:w="57" w:type="dxa"/>
              <w:right w:w="57" w:type="dxa"/>
            </w:tcMar>
            <w:vAlign w:val="center"/>
          </w:tcPr>
          <w:p w:rsidR="00B355BA" w:rsidRDefault="00B355BA" w:rsidP="003E2D47">
            <w:pPr>
              <w:pStyle w:val="TableTextEntries"/>
              <w:jc w:val="center"/>
              <w:rPr>
                <w:bCs/>
              </w:rPr>
            </w:pPr>
            <w:r>
              <w:t>Relative to previous rating</w:t>
            </w:r>
          </w:p>
        </w:tc>
      </w:tr>
      <w:tr w:rsidR="00B41114" w:rsidTr="008645D5">
        <w:trPr>
          <w:cantSplit/>
        </w:trPr>
        <w:tc>
          <w:tcPr>
            <w:tcW w:w="5725" w:type="dxa"/>
            <w:shd w:val="clear" w:color="auto" w:fill="auto"/>
            <w:tcMar>
              <w:left w:w="57" w:type="dxa"/>
              <w:right w:w="57" w:type="dxa"/>
            </w:tcMar>
            <w:vAlign w:val="center"/>
          </w:tcPr>
          <w:p w:rsidR="00B41114" w:rsidRDefault="00B41114" w:rsidP="003E2D47">
            <w:pPr>
              <w:pStyle w:val="TableTextEntries"/>
            </w:pPr>
            <w:r w:rsidRPr="000332AD">
              <w:t>Nurses and midwives deliver quality primary health care</w:t>
            </w:r>
            <w:r w:rsidRPr="000332AD">
              <w:rPr>
                <w:rFonts w:cs="Tahoma"/>
              </w:rPr>
              <w:t xml:space="preserve"> </w:t>
            </w:r>
            <w:r w:rsidRPr="00AE1BBD">
              <w:rPr>
                <w:rFonts w:cs="Tahoma"/>
              </w:rPr>
              <w:t>(new outcome)</w:t>
            </w:r>
          </w:p>
        </w:tc>
        <w:tc>
          <w:tcPr>
            <w:tcW w:w="896" w:type="dxa"/>
            <w:shd w:val="clear" w:color="auto" w:fill="auto"/>
            <w:tcMar>
              <w:left w:w="57" w:type="dxa"/>
              <w:right w:w="57" w:type="dxa"/>
            </w:tcMar>
            <w:vAlign w:val="center"/>
          </w:tcPr>
          <w:p w:rsidR="00B41114" w:rsidRPr="00825F2E" w:rsidRDefault="00612B0D" w:rsidP="00A54966">
            <w:pPr>
              <w:pStyle w:val="Ratingbullet"/>
              <w:rPr>
                <w:sz w:val="17"/>
                <w:szCs w:val="17"/>
              </w:rPr>
            </w:pPr>
            <w:r>
              <w:rPr>
                <w:sz w:val="17"/>
                <w:szCs w:val="17"/>
              </w:rPr>
              <w:t>UTJ</w:t>
            </w:r>
          </w:p>
        </w:tc>
        <w:tc>
          <w:tcPr>
            <w:tcW w:w="1316" w:type="dxa"/>
            <w:shd w:val="clear" w:color="auto" w:fill="auto"/>
            <w:tcMar>
              <w:left w:w="57" w:type="dxa"/>
              <w:right w:w="57" w:type="dxa"/>
            </w:tcMar>
            <w:vAlign w:val="center"/>
          </w:tcPr>
          <w:p w:rsidR="00B41114" w:rsidRDefault="00B41114" w:rsidP="00C445C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B41114" w:rsidTr="008645D5">
        <w:trPr>
          <w:cantSplit/>
        </w:trPr>
        <w:tc>
          <w:tcPr>
            <w:tcW w:w="5725" w:type="dxa"/>
            <w:shd w:val="clear" w:color="auto" w:fill="auto"/>
            <w:tcMar>
              <w:left w:w="57" w:type="dxa"/>
              <w:right w:w="57" w:type="dxa"/>
            </w:tcMar>
            <w:vAlign w:val="center"/>
          </w:tcPr>
          <w:p w:rsidR="00B41114" w:rsidRDefault="00B41114" w:rsidP="003E2D47">
            <w:pPr>
              <w:pStyle w:val="TableTextEntries"/>
            </w:pPr>
            <w:r w:rsidRPr="000332AD">
              <w:t>Primary health care financing supports greater accessibility for the poor</w:t>
            </w:r>
            <w:r w:rsidRPr="000332AD">
              <w:rPr>
                <w:rFonts w:cs="Tahoma"/>
              </w:rPr>
              <w:t xml:space="preserve"> </w:t>
            </w:r>
            <w:r w:rsidRPr="00AE1BBD">
              <w:rPr>
                <w:rFonts w:cs="Tahoma"/>
              </w:rPr>
              <w:t>(new outcome)</w:t>
            </w:r>
          </w:p>
        </w:tc>
        <w:tc>
          <w:tcPr>
            <w:tcW w:w="896" w:type="dxa"/>
            <w:shd w:val="clear" w:color="auto" w:fill="auto"/>
            <w:tcMar>
              <w:left w:w="57" w:type="dxa"/>
              <w:right w:w="57" w:type="dxa"/>
            </w:tcMar>
            <w:vAlign w:val="center"/>
          </w:tcPr>
          <w:p w:rsidR="00B41114" w:rsidRPr="00825F2E" w:rsidRDefault="00612B0D" w:rsidP="00A54966">
            <w:pPr>
              <w:pStyle w:val="Ratingbullet"/>
              <w:rPr>
                <w:sz w:val="17"/>
                <w:szCs w:val="17"/>
              </w:rPr>
            </w:pPr>
            <w:r>
              <w:rPr>
                <w:sz w:val="17"/>
                <w:szCs w:val="17"/>
              </w:rPr>
              <w:t>UTJ</w:t>
            </w:r>
          </w:p>
        </w:tc>
        <w:tc>
          <w:tcPr>
            <w:tcW w:w="1316" w:type="dxa"/>
            <w:shd w:val="clear" w:color="auto" w:fill="auto"/>
            <w:tcMar>
              <w:left w:w="57" w:type="dxa"/>
              <w:right w:w="57" w:type="dxa"/>
            </w:tcMar>
            <w:vAlign w:val="center"/>
          </w:tcPr>
          <w:p w:rsidR="00B41114" w:rsidRDefault="00B41114" w:rsidP="00C445C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B41114" w:rsidTr="008645D5">
        <w:trPr>
          <w:cantSplit/>
        </w:trPr>
        <w:tc>
          <w:tcPr>
            <w:tcW w:w="5725" w:type="dxa"/>
            <w:shd w:val="clear" w:color="auto" w:fill="auto"/>
            <w:tcMar>
              <w:left w:w="57" w:type="dxa"/>
              <w:right w:w="57" w:type="dxa"/>
            </w:tcMar>
            <w:vAlign w:val="center"/>
          </w:tcPr>
          <w:p w:rsidR="00B41114" w:rsidRDefault="00B41114" w:rsidP="003E2D47">
            <w:pPr>
              <w:pStyle w:val="TableTextEntries"/>
            </w:pPr>
            <w:r w:rsidRPr="000332AD">
              <w:t>Confident use of health facilities and services for delivery of babies, ante-natal and post-natal care in NTT</w:t>
            </w:r>
          </w:p>
        </w:tc>
        <w:tc>
          <w:tcPr>
            <w:tcW w:w="896" w:type="dxa"/>
            <w:shd w:val="clear" w:color="auto" w:fill="auto"/>
            <w:tcMar>
              <w:left w:w="57" w:type="dxa"/>
              <w:right w:w="57" w:type="dxa"/>
            </w:tcMar>
            <w:vAlign w:val="center"/>
          </w:tcPr>
          <w:p w:rsidR="00B41114" w:rsidRDefault="00907A26" w:rsidP="00A54966">
            <w:pPr>
              <w:pStyle w:val="Ratingbullet"/>
            </w:pPr>
            <w:r>
              <w:rPr>
                <w:noProof/>
                <w:lang w:val="en-US"/>
              </w:rPr>
              <w:drawing>
                <wp:inline distT="0" distB="0" distL="0" distR="0" wp14:anchorId="2AE72922" wp14:editId="0121C237">
                  <wp:extent cx="149530" cy="149530"/>
                  <wp:effectExtent l="0" t="0" r="3175" b="3175"/>
                  <wp:docPr id="50" name="Picture 5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B41114" w:rsidRDefault="00B41114" w:rsidP="00C445C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B41114" w:rsidTr="008645D5">
        <w:trPr>
          <w:cantSplit/>
        </w:trPr>
        <w:tc>
          <w:tcPr>
            <w:tcW w:w="5725" w:type="dxa"/>
            <w:shd w:val="clear" w:color="auto" w:fill="auto"/>
            <w:tcMar>
              <w:left w:w="57" w:type="dxa"/>
              <w:right w:w="57" w:type="dxa"/>
            </w:tcMar>
            <w:vAlign w:val="center"/>
          </w:tcPr>
          <w:p w:rsidR="00B41114" w:rsidRDefault="00B41114" w:rsidP="003E2D47">
            <w:pPr>
              <w:pStyle w:val="TableTextEntries"/>
            </w:pPr>
            <w:r w:rsidRPr="000332AD">
              <w:t>Increased HIV/AIDS prevention, treatment and care/support in selected regions</w:t>
            </w:r>
          </w:p>
        </w:tc>
        <w:tc>
          <w:tcPr>
            <w:tcW w:w="896" w:type="dxa"/>
            <w:shd w:val="clear" w:color="auto" w:fill="auto"/>
            <w:tcMar>
              <w:left w:w="57" w:type="dxa"/>
              <w:right w:w="57" w:type="dxa"/>
            </w:tcMar>
            <w:vAlign w:val="center"/>
          </w:tcPr>
          <w:p w:rsidR="00B41114" w:rsidRDefault="00181000" w:rsidP="00A54966">
            <w:pPr>
              <w:pStyle w:val="Ratingbullet"/>
            </w:pPr>
            <w:r>
              <w:rPr>
                <w:rFonts w:hint="cs"/>
                <w:noProof/>
                <w:rtl/>
                <w:lang w:val="en-US"/>
              </w:rPr>
              <w:drawing>
                <wp:inline distT="0" distB="0" distL="0" distR="0" wp14:anchorId="072468B0" wp14:editId="1AD0DDF7">
                  <wp:extent cx="151821" cy="151821"/>
                  <wp:effectExtent l="0" t="0" r="635" b="635"/>
                  <wp:docPr id="94" name="Picture 9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B41114" w:rsidRDefault="00B41114" w:rsidP="00C445C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B41114" w:rsidTr="008645D5">
        <w:trPr>
          <w:cantSplit/>
        </w:trPr>
        <w:tc>
          <w:tcPr>
            <w:tcW w:w="5725" w:type="dxa"/>
            <w:shd w:val="clear" w:color="auto" w:fill="auto"/>
            <w:tcMar>
              <w:left w:w="57" w:type="dxa"/>
              <w:right w:w="57" w:type="dxa"/>
            </w:tcMar>
            <w:vAlign w:val="center"/>
          </w:tcPr>
          <w:p w:rsidR="00B41114" w:rsidRDefault="00B41114" w:rsidP="003E2D47">
            <w:pPr>
              <w:pStyle w:val="TableTextEntries"/>
            </w:pPr>
            <w:r w:rsidRPr="000332AD">
              <w:t>Strengthened leadership of the national and sub-national response to HIV/AIDS</w:t>
            </w:r>
          </w:p>
        </w:tc>
        <w:tc>
          <w:tcPr>
            <w:tcW w:w="896" w:type="dxa"/>
            <w:shd w:val="clear" w:color="auto" w:fill="auto"/>
            <w:tcMar>
              <w:left w:w="57" w:type="dxa"/>
              <w:right w:w="57" w:type="dxa"/>
            </w:tcMar>
            <w:vAlign w:val="center"/>
          </w:tcPr>
          <w:p w:rsidR="00B41114" w:rsidRDefault="00181000" w:rsidP="00A54966">
            <w:pPr>
              <w:pStyle w:val="Ratingbullet"/>
            </w:pPr>
            <w:r>
              <w:rPr>
                <w:rFonts w:hint="cs"/>
                <w:noProof/>
                <w:rtl/>
                <w:lang w:val="en-US"/>
              </w:rPr>
              <w:drawing>
                <wp:inline distT="0" distB="0" distL="0" distR="0" wp14:anchorId="59E00A48" wp14:editId="02F76189">
                  <wp:extent cx="151821" cy="151821"/>
                  <wp:effectExtent l="0" t="0" r="635" b="635"/>
                  <wp:docPr id="95" name="Picture 9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B41114" w:rsidRDefault="00B41114" w:rsidP="00C445C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Improved</w:t>
            </w:r>
            <w:r>
              <w:rPr>
                <w:bCs/>
              </w:rPr>
              <w:fldChar w:fldCharType="end"/>
            </w:r>
          </w:p>
        </w:tc>
      </w:tr>
      <w:tr w:rsidR="00B41114" w:rsidTr="008645D5">
        <w:trPr>
          <w:cantSplit/>
        </w:trPr>
        <w:tc>
          <w:tcPr>
            <w:tcW w:w="5725" w:type="dxa"/>
            <w:shd w:val="clear" w:color="auto" w:fill="auto"/>
            <w:tcMar>
              <w:left w:w="57" w:type="dxa"/>
              <w:right w:w="57" w:type="dxa"/>
            </w:tcMar>
            <w:vAlign w:val="center"/>
          </w:tcPr>
          <w:p w:rsidR="00B41114" w:rsidRDefault="00B41114" w:rsidP="003E2D47">
            <w:pPr>
              <w:pStyle w:val="TableTextEntries"/>
            </w:pPr>
            <w:r w:rsidRPr="000332AD">
              <w:t>Strengthened emerging infectious diseases prevention, detection and control mechanisms in the Ministries of Health and Agriculture</w:t>
            </w:r>
            <w:r w:rsidRPr="000332AD">
              <w:rPr>
                <w:rFonts w:cs="Arial"/>
              </w:rPr>
              <w:t xml:space="preserve"> </w:t>
            </w:r>
            <w:r w:rsidRPr="00AE1BBD">
              <w:rPr>
                <w:rFonts w:cs="Arial"/>
              </w:rPr>
              <w:t>(new outcome)</w:t>
            </w:r>
          </w:p>
        </w:tc>
        <w:tc>
          <w:tcPr>
            <w:tcW w:w="896" w:type="dxa"/>
            <w:shd w:val="clear" w:color="auto" w:fill="auto"/>
            <w:tcMar>
              <w:left w:w="57" w:type="dxa"/>
              <w:right w:w="57" w:type="dxa"/>
            </w:tcMar>
            <w:vAlign w:val="center"/>
          </w:tcPr>
          <w:p w:rsidR="00B41114" w:rsidRDefault="00907A26" w:rsidP="00A54966">
            <w:pPr>
              <w:pStyle w:val="Ratingbullet"/>
            </w:pPr>
            <w:r>
              <w:rPr>
                <w:noProof/>
                <w:lang w:val="en-US"/>
              </w:rPr>
              <w:drawing>
                <wp:inline distT="0" distB="0" distL="0" distR="0" wp14:anchorId="676579D1" wp14:editId="3AFF37D8">
                  <wp:extent cx="149530" cy="149530"/>
                  <wp:effectExtent l="0" t="0" r="3175" b="3175"/>
                  <wp:docPr id="51" name="Picture 5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B41114" w:rsidRDefault="00B41114" w:rsidP="00C445CF">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074225" w:rsidTr="008645D5">
        <w:trPr>
          <w:cantSplit/>
        </w:trPr>
        <w:tc>
          <w:tcPr>
            <w:tcW w:w="5725" w:type="dxa"/>
            <w:shd w:val="clear" w:color="auto" w:fill="auto"/>
            <w:tcMar>
              <w:left w:w="57" w:type="dxa"/>
              <w:right w:w="57" w:type="dxa"/>
            </w:tcMar>
            <w:vAlign w:val="center"/>
          </w:tcPr>
          <w:p w:rsidR="00074225" w:rsidRPr="00612B0D" w:rsidRDefault="00486DC0" w:rsidP="003E2D47">
            <w:pPr>
              <w:pStyle w:val="TableTextEntries"/>
            </w:pPr>
            <w:r w:rsidRPr="003F0518">
              <w:rPr>
                <w:b/>
              </w:rPr>
              <w:t>Note:</w:t>
            </w:r>
            <w:r>
              <w:t xml:space="preserve"> UTJ unable to judge </w:t>
            </w:r>
          </w:p>
        </w:tc>
        <w:tc>
          <w:tcPr>
            <w:tcW w:w="896" w:type="dxa"/>
            <w:shd w:val="clear" w:color="auto" w:fill="auto"/>
            <w:tcMar>
              <w:left w:w="57" w:type="dxa"/>
              <w:right w:w="57" w:type="dxa"/>
            </w:tcMar>
            <w:vAlign w:val="center"/>
          </w:tcPr>
          <w:p w:rsidR="00074225" w:rsidRDefault="00074225" w:rsidP="00A54966">
            <w:pPr>
              <w:pStyle w:val="Ratingbullet"/>
            </w:pPr>
          </w:p>
        </w:tc>
        <w:tc>
          <w:tcPr>
            <w:tcW w:w="1316" w:type="dxa"/>
            <w:shd w:val="clear" w:color="auto" w:fill="auto"/>
            <w:tcMar>
              <w:left w:w="57" w:type="dxa"/>
              <w:right w:w="57" w:type="dxa"/>
            </w:tcMar>
            <w:vAlign w:val="center"/>
          </w:tcPr>
          <w:p w:rsidR="00074225" w:rsidRDefault="00074225" w:rsidP="00C445CF">
            <w:pPr>
              <w:pStyle w:val="TableTextEntries"/>
              <w:jc w:val="center"/>
              <w:rPr>
                <w:bCs/>
              </w:rPr>
            </w:pPr>
          </w:p>
        </w:tc>
      </w:tr>
    </w:tbl>
    <w:p w:rsidR="00BA5159" w:rsidRPr="00EF3996" w:rsidRDefault="00044215" w:rsidP="00612FF9">
      <w:pPr>
        <w:pStyle w:val="H2F"/>
      </w:pPr>
      <w:bookmarkStart w:id="43" w:name="_Toc293049952"/>
      <w:bookmarkStart w:id="44" w:name="_Toc360981838"/>
      <w:r>
        <w:t>Assessment of results and performance</w:t>
      </w:r>
      <w:bookmarkEnd w:id="43"/>
      <w:bookmarkEnd w:id="44"/>
    </w:p>
    <w:p w:rsidR="00E63D5E" w:rsidRDefault="00E63D5E" w:rsidP="00E63D5E">
      <w:pPr>
        <w:pStyle w:val="BodyText"/>
      </w:pPr>
      <w:r>
        <w:lastRenderedPageBreak/>
        <w:t>The Government of Indonesia (</w:t>
      </w:r>
      <w:proofErr w:type="spellStart"/>
      <w:r>
        <w:t>GoI</w:t>
      </w:r>
      <w:proofErr w:type="spellEnd"/>
      <w:r>
        <w:t xml:space="preserve">) provided overdue political and administrative attention to the health sector in 2010. This has included significant increases in funding </w:t>
      </w:r>
      <w:r w:rsidR="00C425A5">
        <w:t xml:space="preserve">with a 21 % ($450 million) increase in the national health budget for 2010.  This included a new budget measure for health centre operational costs of $87 million.  </w:t>
      </w:r>
      <w:smartTag w:uri="urn:schemas-microsoft-com:office:smarttags" w:element="country-region">
        <w:r w:rsidR="00C425A5">
          <w:t>Indonesia</w:t>
        </w:r>
      </w:smartTag>
      <w:r w:rsidR="00C425A5">
        <w:t xml:space="preserve">’s </w:t>
      </w:r>
      <w:r>
        <w:t xml:space="preserve">per capita expenditure and key health indicators have trailed behind that of other countries with comparable incomes in Southeast and </w:t>
      </w:r>
      <w:smartTag w:uri="urn:schemas-microsoft-com:office:smarttags" w:element="place">
        <w:r>
          <w:t>East Asia</w:t>
        </w:r>
      </w:smartTag>
      <w:r>
        <w:t xml:space="preserve">. For example, </w:t>
      </w:r>
      <w:smartTag w:uri="urn:schemas-microsoft-com:office:smarttags" w:element="place">
        <w:smartTag w:uri="urn:schemas-microsoft-com:office:smarttags" w:element="country-region">
          <w:r>
            <w:t>Indonesia</w:t>
          </w:r>
        </w:smartTag>
      </w:smartTag>
      <w:r>
        <w:t>’s maternal mortality rate (</w:t>
      </w:r>
      <w:r w:rsidRPr="00B64467">
        <w:rPr>
          <w:rStyle w:val="AbbreviationChar"/>
        </w:rPr>
        <w:t>MDG 5</w:t>
      </w:r>
      <w:r>
        <w:t xml:space="preserve">) is </w:t>
      </w:r>
      <w:r w:rsidR="00E21A30">
        <w:t xml:space="preserve">lagging </w:t>
      </w:r>
      <w:r>
        <w:t>bad</w:t>
      </w:r>
      <w:r w:rsidR="00E21A30">
        <w:t>ly</w:t>
      </w:r>
      <w:r>
        <w:t xml:space="preserve"> for a middle income country. Official figures estimate a rate of 228 maternal deaths per 100</w:t>
      </w:r>
      <w:r w:rsidR="00B64467">
        <w:t> </w:t>
      </w:r>
      <w:r>
        <w:t xml:space="preserve">000 live births, similar to </w:t>
      </w:r>
      <w:smartTag w:uri="urn:schemas-microsoft-com:office:smarttags" w:element="country-region">
        <w:r>
          <w:t>Burma</w:t>
        </w:r>
      </w:smartTag>
      <w:r>
        <w:t xml:space="preserve"> (219) and much worse than </w:t>
      </w:r>
      <w:smartTag w:uri="urn:schemas-microsoft-com:office:smarttags" w:element="country-region">
        <w:r>
          <w:t>Vietnam</w:t>
        </w:r>
      </w:smartTag>
      <w:r>
        <w:t xml:space="preserve"> (64) and the </w:t>
      </w:r>
      <w:smartTag w:uri="urn:schemas-microsoft-com:office:smarttags" w:element="place">
        <w:smartTag w:uri="urn:schemas-microsoft-com:office:smarttags" w:element="country-region">
          <w:r>
            <w:t>Philippines</w:t>
          </w:r>
        </w:smartTag>
      </w:smartTag>
      <w:r>
        <w:t xml:space="preserve"> (84).</w:t>
      </w:r>
      <w:r w:rsidRPr="009C5B56">
        <w:t xml:space="preserve"> </w:t>
      </w:r>
      <w:r>
        <w:t>The hea</w:t>
      </w:r>
      <w:r w:rsidR="00E21A30">
        <w:t>l</w:t>
      </w:r>
      <w:r>
        <w:t xml:space="preserve">th reform agenda has been driven by attention to advancing </w:t>
      </w:r>
      <w:r w:rsidR="00E65A35">
        <w:t>Millennium Development Goals (</w:t>
      </w:r>
      <w:r w:rsidRPr="00B64467">
        <w:rPr>
          <w:rStyle w:val="AbbreviationChar"/>
        </w:rPr>
        <w:t>MDGs</w:t>
      </w:r>
      <w:r w:rsidR="00E65A35">
        <w:rPr>
          <w:rStyle w:val="AbbreviationChar"/>
        </w:rPr>
        <w:t>)</w:t>
      </w:r>
      <w:r w:rsidRPr="008150B8">
        <w:t xml:space="preserve"> in both the lead up to the </w:t>
      </w:r>
      <w:r w:rsidRPr="00B64467">
        <w:rPr>
          <w:rStyle w:val="AbbreviationChar"/>
        </w:rPr>
        <w:t>MDG</w:t>
      </w:r>
      <w:r w:rsidRPr="008150B8">
        <w:t xml:space="preserve"> Summit in September 2010</w:t>
      </w:r>
      <w:r>
        <w:t xml:space="preserve"> and beyond.</w:t>
      </w:r>
    </w:p>
    <w:p w:rsidR="00E63D5E" w:rsidRPr="008150B8" w:rsidRDefault="00E63D5E" w:rsidP="00E63D5E">
      <w:pPr>
        <w:pStyle w:val="BodyText"/>
        <w:rPr>
          <w:szCs w:val="22"/>
        </w:rPr>
      </w:pPr>
      <w:r>
        <w:t xml:space="preserve">Our overall shared goal or central theme for </w:t>
      </w:r>
      <w:smartTag w:uri="urn:schemas-microsoft-com:office:smarttags" w:element="place">
        <w:smartTag w:uri="urn:schemas-microsoft-com:office:smarttags" w:element="country-region">
          <w:r>
            <w:t>Australia</w:t>
          </w:r>
        </w:smartTag>
      </w:smartTag>
      <w:r>
        <w:t xml:space="preserve">’s investment in the sector is:  </w:t>
      </w:r>
      <w:r w:rsidRPr="00454460">
        <w:rPr>
          <w:i/>
        </w:rPr>
        <w:t xml:space="preserve">To achieve health related MDGs through a strengthened health system and a more effective and sustained response to </w:t>
      </w:r>
      <w:r w:rsidRPr="00B64467">
        <w:rPr>
          <w:rStyle w:val="AbbreviationChar"/>
        </w:rPr>
        <w:t>HIV.</w:t>
      </w:r>
      <w:r>
        <w:rPr>
          <w:rStyle w:val="FootnoteReference"/>
        </w:rPr>
        <w:footnoteReference w:id="14"/>
      </w:r>
      <w:r>
        <w:t xml:space="preserve"> </w:t>
      </w:r>
      <w:r w:rsidRPr="008150B8">
        <w:rPr>
          <w:szCs w:val="22"/>
        </w:rPr>
        <w:t xml:space="preserve"> Total donor financing represents about 1.8 </w:t>
      </w:r>
      <w:proofErr w:type="spellStart"/>
      <w:r w:rsidRPr="008150B8">
        <w:rPr>
          <w:szCs w:val="22"/>
        </w:rPr>
        <w:t>percent</w:t>
      </w:r>
      <w:proofErr w:type="spellEnd"/>
      <w:r w:rsidRPr="008150B8">
        <w:rPr>
          <w:szCs w:val="22"/>
        </w:rPr>
        <w:t xml:space="preserve"> of total health expenditure</w:t>
      </w:r>
      <w:r w:rsidRPr="008150B8">
        <w:rPr>
          <w:rStyle w:val="FootnoteReference"/>
          <w:szCs w:val="22"/>
        </w:rPr>
        <w:footnoteReference w:id="15"/>
      </w:r>
      <w:r w:rsidR="00844A94">
        <w:rPr>
          <w:szCs w:val="22"/>
        </w:rPr>
        <w:t>, which</w:t>
      </w:r>
      <w:r w:rsidRPr="008150B8">
        <w:rPr>
          <w:szCs w:val="22"/>
        </w:rPr>
        <w:t xml:space="preserve"> is skewed by heavy (up to 40% of total funding) donor investment in the HIV sector.  </w:t>
      </w:r>
      <w:smartTag w:uri="urn:schemas-microsoft-com:office:smarttags" w:element="place">
        <w:smartTag w:uri="urn:schemas-microsoft-com:office:smarttags" w:element="country-region">
          <w:r w:rsidRPr="008150B8">
            <w:rPr>
              <w:szCs w:val="22"/>
            </w:rPr>
            <w:t>Australia</w:t>
          </w:r>
        </w:smartTag>
      </w:smartTag>
      <w:r w:rsidRPr="008150B8">
        <w:rPr>
          <w:szCs w:val="22"/>
        </w:rPr>
        <w:t>’s relatively small scale contribution strives to influence and lever</w:t>
      </w:r>
      <w:r w:rsidR="005C4B7E">
        <w:rPr>
          <w:szCs w:val="22"/>
        </w:rPr>
        <w:t>age</w:t>
      </w:r>
      <w:r w:rsidRPr="008150B8">
        <w:rPr>
          <w:szCs w:val="22"/>
        </w:rPr>
        <w:t xml:space="preserve"> </w:t>
      </w:r>
      <w:proofErr w:type="spellStart"/>
      <w:r w:rsidRPr="008150B8">
        <w:rPr>
          <w:szCs w:val="22"/>
        </w:rPr>
        <w:t>GoI</w:t>
      </w:r>
      <w:proofErr w:type="spellEnd"/>
      <w:r w:rsidRPr="008150B8">
        <w:rPr>
          <w:szCs w:val="22"/>
        </w:rPr>
        <w:t xml:space="preserve"> policy, planning and resource allocation.   For example, in 2006, </w:t>
      </w:r>
      <w:smartTag w:uri="urn:schemas-microsoft-com:office:smarttags" w:element="country-region">
        <w:r w:rsidRPr="008150B8">
          <w:rPr>
            <w:szCs w:val="22"/>
          </w:rPr>
          <w:t>Australia</w:t>
        </w:r>
      </w:smartTag>
      <w:r w:rsidRPr="008150B8">
        <w:rPr>
          <w:szCs w:val="22"/>
        </w:rPr>
        <w:t xml:space="preserve"> started funding harm reduction services to reduce HIV transmission among injecting drug users in four health centres </w:t>
      </w:r>
      <w:smartTag w:uri="urn:schemas-microsoft-com:office:smarttags" w:element="place">
        <w:smartTag w:uri="urn:schemas-microsoft-com:office:smarttags" w:element="City">
          <w:r w:rsidRPr="008150B8">
            <w:rPr>
              <w:szCs w:val="22"/>
            </w:rPr>
            <w:t>Jakarta</w:t>
          </w:r>
        </w:smartTag>
      </w:smartTag>
      <w:r w:rsidRPr="008150B8">
        <w:rPr>
          <w:szCs w:val="22"/>
        </w:rPr>
        <w:t>.  There are now 30 health centres providing such services in Jakarta, ful</w:t>
      </w:r>
      <w:r w:rsidR="00CA77B2">
        <w:rPr>
          <w:szCs w:val="22"/>
        </w:rPr>
        <w:t>ly funded by local government.</w:t>
      </w:r>
    </w:p>
    <w:p w:rsidR="00E63D5E" w:rsidRPr="007E3B5F" w:rsidRDefault="00E63D5E" w:rsidP="00E63D5E">
      <w:pPr>
        <w:pStyle w:val="BodyText"/>
        <w:rPr>
          <w:szCs w:val="22"/>
        </w:rPr>
      </w:pPr>
      <w:r w:rsidRPr="008150B8">
        <w:rPr>
          <w:szCs w:val="22"/>
        </w:rPr>
        <w:t xml:space="preserve">In the absence of a </w:t>
      </w:r>
      <w:proofErr w:type="spellStart"/>
      <w:r w:rsidRPr="008150B8">
        <w:rPr>
          <w:szCs w:val="22"/>
        </w:rPr>
        <w:t>GoI</w:t>
      </w:r>
      <w:proofErr w:type="spellEnd"/>
      <w:r w:rsidRPr="008150B8">
        <w:rPr>
          <w:szCs w:val="22"/>
        </w:rPr>
        <w:t xml:space="preserve"> led forum for donors in this sector, our efforts to develop a partnership with </w:t>
      </w:r>
      <w:r w:rsidRPr="00B64467">
        <w:rPr>
          <w:rStyle w:val="AbbreviationChar"/>
        </w:rPr>
        <w:t>USAID</w:t>
      </w:r>
      <w:r w:rsidRPr="008150B8">
        <w:rPr>
          <w:szCs w:val="22"/>
        </w:rPr>
        <w:t xml:space="preserve"> </w:t>
      </w:r>
      <w:r w:rsidR="00844A94">
        <w:rPr>
          <w:szCs w:val="22"/>
        </w:rPr>
        <w:t>allows</w:t>
      </w:r>
      <w:r w:rsidRPr="008150B8">
        <w:rPr>
          <w:szCs w:val="22"/>
        </w:rPr>
        <w:t xml:space="preserve"> for greater cohesion and consistency in donor interactions with </w:t>
      </w:r>
      <w:proofErr w:type="spellStart"/>
      <w:r w:rsidRPr="008150B8">
        <w:rPr>
          <w:szCs w:val="22"/>
        </w:rPr>
        <w:t>GoI</w:t>
      </w:r>
      <w:proofErr w:type="spellEnd"/>
      <w:r w:rsidRPr="008150B8">
        <w:rPr>
          <w:szCs w:val="22"/>
        </w:rPr>
        <w:t xml:space="preserve">.  </w:t>
      </w:r>
      <w:r>
        <w:rPr>
          <w:szCs w:val="22"/>
        </w:rPr>
        <w:t>As</w:t>
      </w:r>
      <w:r w:rsidRPr="008150B8">
        <w:rPr>
          <w:szCs w:val="22"/>
        </w:rPr>
        <w:t xml:space="preserve"> we are the two largest bilateral donors to health, we </w:t>
      </w:r>
      <w:r>
        <w:rPr>
          <w:szCs w:val="22"/>
        </w:rPr>
        <w:t>expect</w:t>
      </w:r>
      <w:r w:rsidRPr="008150B8">
        <w:rPr>
          <w:szCs w:val="22"/>
        </w:rPr>
        <w:t xml:space="preserve"> this partnership will strengthen policy dialogue with </w:t>
      </w:r>
      <w:proofErr w:type="spellStart"/>
      <w:r w:rsidRPr="008150B8">
        <w:rPr>
          <w:szCs w:val="22"/>
        </w:rPr>
        <w:t>G</w:t>
      </w:r>
      <w:r>
        <w:rPr>
          <w:szCs w:val="22"/>
        </w:rPr>
        <w:t>oI</w:t>
      </w:r>
      <w:proofErr w:type="spellEnd"/>
      <w:r>
        <w:rPr>
          <w:szCs w:val="22"/>
        </w:rPr>
        <w:t xml:space="preserve">, facilitate </w:t>
      </w:r>
      <w:r w:rsidRPr="008150B8">
        <w:rPr>
          <w:szCs w:val="22"/>
        </w:rPr>
        <w:t>sharing of lessons learnt</w:t>
      </w:r>
      <w:r>
        <w:rPr>
          <w:szCs w:val="22"/>
        </w:rPr>
        <w:t xml:space="preserve"> and </w:t>
      </w:r>
      <w:r w:rsidRPr="008150B8">
        <w:rPr>
          <w:szCs w:val="22"/>
        </w:rPr>
        <w:t>enhance complemen</w:t>
      </w:r>
      <w:r w:rsidR="00CA77B2">
        <w:rPr>
          <w:szCs w:val="22"/>
        </w:rPr>
        <w:t>tary and/or joint programming.</w:t>
      </w:r>
    </w:p>
    <w:p w:rsidR="00E63D5E" w:rsidRPr="00027A09" w:rsidRDefault="00E63D5E" w:rsidP="00027A09">
      <w:pPr>
        <w:pStyle w:val="H3A"/>
        <w:rPr>
          <w:sz w:val="19"/>
          <w:szCs w:val="19"/>
        </w:rPr>
      </w:pPr>
      <w:bookmarkStart w:id="45" w:name="_Toc293049953"/>
      <w:bookmarkStart w:id="46" w:name="_Toc360981839"/>
      <w:r w:rsidRPr="00027A09">
        <w:rPr>
          <w:sz w:val="19"/>
          <w:szCs w:val="19"/>
        </w:rPr>
        <w:t>HIV/AIDs</w:t>
      </w:r>
      <w:bookmarkEnd w:id="45"/>
      <w:bookmarkEnd w:id="46"/>
    </w:p>
    <w:p w:rsidR="00E63D5E" w:rsidRPr="008150B8" w:rsidRDefault="00E63D5E" w:rsidP="00E63D5E">
      <w:pPr>
        <w:pStyle w:val="BodyText"/>
      </w:pPr>
      <w:r w:rsidRPr="00B64467">
        <w:rPr>
          <w:rStyle w:val="AbbreviationChar"/>
        </w:rPr>
        <w:t>HIV</w:t>
      </w:r>
      <w:r w:rsidRPr="004D2AF6">
        <w:t>/</w:t>
      </w:r>
      <w:r w:rsidRPr="00B64467">
        <w:rPr>
          <w:rStyle w:val="AbbreviationChar"/>
        </w:rPr>
        <w:t>AIDS</w:t>
      </w:r>
      <w:r w:rsidRPr="004D2AF6">
        <w:t xml:space="preserve"> programming remains on track to meet </w:t>
      </w:r>
      <w:smartTag w:uri="urn:schemas-microsoft-com:office:smarttags" w:element="place">
        <w:smartTag w:uri="urn:schemas-microsoft-com:office:smarttags" w:element="country-region">
          <w:r w:rsidRPr="004D2AF6">
            <w:t>Indonesia</w:t>
          </w:r>
        </w:smartTag>
      </w:smartTag>
      <w:r w:rsidRPr="004D2AF6">
        <w:t>’s targets in prevention, treatment and care, with a</w:t>
      </w:r>
      <w:r w:rsidR="008A1DEE">
        <w:t xml:space="preserve"> notable</w:t>
      </w:r>
      <w:r w:rsidRPr="004D2AF6">
        <w:t xml:space="preserve"> improvement in leadership largely due to increased focus on MDGs.  Since 2008 Australia has contributed to needle exchange, methadone and safe sex programs that </w:t>
      </w:r>
      <w:r w:rsidR="00CB5DB0">
        <w:t xml:space="preserve">the National AIDs Commission has stated </w:t>
      </w:r>
      <w:r w:rsidRPr="004D2AF6">
        <w:t xml:space="preserve">have significantly reduced the transmission of HIV </w:t>
      </w:r>
      <w:r w:rsidR="00CB5DB0">
        <w:t xml:space="preserve">amongst injecting drug users </w:t>
      </w:r>
      <w:r w:rsidRPr="004D2AF6">
        <w:t>by providing information, counselling and referrals to almost 35</w:t>
      </w:r>
      <w:r w:rsidR="00E65A35">
        <w:t> </w:t>
      </w:r>
      <w:r w:rsidRPr="004D2AF6">
        <w:t>000 (around one third of</w:t>
      </w:r>
      <w:r w:rsidR="008A1DEE">
        <w:t>)</w:t>
      </w:r>
      <w:r w:rsidRPr="004D2AF6">
        <w:t xml:space="preserve">  injecting drug users and more than 80</w:t>
      </w:r>
      <w:r w:rsidR="00B64467">
        <w:t> </w:t>
      </w:r>
      <w:r w:rsidRPr="004D2AF6">
        <w:t xml:space="preserve">000 prisoners. Australian assistance has more than doubled the number of patients on </w:t>
      </w:r>
      <w:proofErr w:type="spellStart"/>
      <w:r w:rsidRPr="004D2AF6">
        <w:t>anti retroviral</w:t>
      </w:r>
      <w:proofErr w:type="spellEnd"/>
      <w:r w:rsidRPr="004D2AF6">
        <w:t xml:space="preserve"> therapy from 6068 in 2008 to 19</w:t>
      </w:r>
      <w:r w:rsidR="00E65A35">
        <w:t> </w:t>
      </w:r>
      <w:r w:rsidRPr="004D2AF6">
        <w:t xml:space="preserve">500 at the end of 2010; enhancing quality of life and reducing the risk of HIV-related mortality among those treated.  </w:t>
      </w:r>
      <w:smartTag w:uri="urn:schemas-microsoft-com:office:smarttags" w:element="country-region">
        <w:r w:rsidRPr="004D2AF6">
          <w:t>Australia</w:t>
        </w:r>
      </w:smartTag>
      <w:r w:rsidRPr="004D2AF6">
        <w:t xml:space="preserve"> also helped to provide 75</w:t>
      </w:r>
      <w:r w:rsidR="00B64467">
        <w:t> </w:t>
      </w:r>
      <w:r w:rsidRPr="004D2AF6">
        <w:t xml:space="preserve">000 people in Papua and </w:t>
      </w:r>
      <w:smartTag w:uri="urn:schemas-microsoft-com:office:smarttags" w:element="place">
        <w:r w:rsidRPr="004D2AF6">
          <w:t>West Papua</w:t>
        </w:r>
      </w:smartTag>
      <w:r w:rsidRPr="004D2AF6">
        <w:t xml:space="preserve"> provinces (where there is a generalised epidemic) with HIV prevention information and materials.  This has required a high degree of</w:t>
      </w:r>
      <w:r w:rsidRPr="008150B8">
        <w:t xml:space="preserve"> coordination and commitment </w:t>
      </w:r>
      <w:r w:rsidR="00844A94">
        <w:t>from</w:t>
      </w:r>
      <w:r w:rsidRPr="008150B8">
        <w:t xml:space="preserve"> a wide range of players – made possible by Australia’s established presence since 2003 in HIV pr</w:t>
      </w:r>
      <w:r w:rsidR="00CA77B2">
        <w:t>ograms in these two provinces.</w:t>
      </w:r>
    </w:p>
    <w:p w:rsidR="00E63D5E" w:rsidRDefault="00E63D5E" w:rsidP="00E63D5E">
      <w:pPr>
        <w:pStyle w:val="BodyText"/>
      </w:pPr>
      <w:r w:rsidRPr="008150B8">
        <w:lastRenderedPageBreak/>
        <w:t xml:space="preserve">A key deliverable for 2010-11, a new phase of support for HIV treatment and care in Papua </w:t>
      </w:r>
      <w:r>
        <w:t>province</w:t>
      </w:r>
      <w:r w:rsidRPr="008150B8">
        <w:t xml:space="preserve"> has been mobilised through the Clinton Foundation. Furthermore, with Australian support the National Aids Commission has set up a working group to develop a coordinated plan for scale up.  We are working with this process to increase the reach and depth of our HIV activities especially in the highland areas</w:t>
      </w:r>
      <w:r>
        <w:t xml:space="preserve"> of Papua province</w:t>
      </w:r>
      <w:r w:rsidRPr="008150B8">
        <w:t>.  The relationships and trust we have built up in the two provinces</w:t>
      </w:r>
      <w:r>
        <w:t xml:space="preserve"> since 2003 </w:t>
      </w:r>
      <w:r w:rsidRPr="008150B8">
        <w:t>will help us to scale up more effectively.</w:t>
      </w:r>
    </w:p>
    <w:p w:rsidR="00E63D5E" w:rsidRPr="00027A09" w:rsidRDefault="00E63D5E" w:rsidP="00027A09">
      <w:pPr>
        <w:pStyle w:val="H3A"/>
        <w:rPr>
          <w:sz w:val="19"/>
          <w:szCs w:val="19"/>
        </w:rPr>
      </w:pPr>
      <w:bookmarkStart w:id="47" w:name="_Toc293049954"/>
      <w:bookmarkStart w:id="48" w:name="_Toc360981840"/>
      <w:r w:rsidRPr="00027A09">
        <w:rPr>
          <w:sz w:val="19"/>
          <w:szCs w:val="19"/>
        </w:rPr>
        <w:t xml:space="preserve">Maternal and </w:t>
      </w:r>
      <w:r w:rsidR="008A1DEE" w:rsidRPr="00027A09">
        <w:rPr>
          <w:sz w:val="19"/>
          <w:szCs w:val="19"/>
        </w:rPr>
        <w:t xml:space="preserve">Neonatal </w:t>
      </w:r>
      <w:r w:rsidRPr="00027A09">
        <w:rPr>
          <w:sz w:val="19"/>
          <w:szCs w:val="19"/>
        </w:rPr>
        <w:t>Health</w:t>
      </w:r>
      <w:bookmarkEnd w:id="47"/>
      <w:bookmarkEnd w:id="48"/>
      <w:r w:rsidRPr="00027A09">
        <w:rPr>
          <w:sz w:val="19"/>
          <w:szCs w:val="19"/>
        </w:rPr>
        <w:t xml:space="preserve"> </w:t>
      </w:r>
    </w:p>
    <w:p w:rsidR="00BB1850" w:rsidRDefault="00E63D5E" w:rsidP="00E63D5E">
      <w:pPr>
        <w:pStyle w:val="BodyText"/>
      </w:pPr>
      <w:r w:rsidRPr="008150B8">
        <w:t xml:space="preserve">An </w:t>
      </w:r>
      <w:r w:rsidR="00E65A35">
        <w:t>i</w:t>
      </w:r>
      <w:r w:rsidRPr="008150B8">
        <w:t xml:space="preserve">ndependent </w:t>
      </w:r>
      <w:r w:rsidR="00E65A35">
        <w:t>p</w:t>
      </w:r>
      <w:r w:rsidRPr="008150B8">
        <w:t xml:space="preserve">rogress </w:t>
      </w:r>
      <w:r w:rsidR="00E65A35">
        <w:t>r</w:t>
      </w:r>
      <w:r w:rsidRPr="008150B8">
        <w:t xml:space="preserve">eview of </w:t>
      </w:r>
      <w:smartTag w:uri="urn:schemas-microsoft-com:office:smarttags" w:element="place">
        <w:smartTag w:uri="urn:schemas-microsoft-com:office:smarttags" w:element="country-region">
          <w:r w:rsidRPr="008150B8">
            <w:t>Australia</w:t>
          </w:r>
        </w:smartTag>
      </w:smartTag>
      <w:r w:rsidRPr="008150B8">
        <w:t xml:space="preserve">’s investment in Maternal and Neonatal </w:t>
      </w:r>
      <w:r w:rsidR="008A1DEE">
        <w:t>H</w:t>
      </w:r>
      <w:r w:rsidR="008A1DEE" w:rsidRPr="008150B8">
        <w:t xml:space="preserve">ealth </w:t>
      </w:r>
      <w:r w:rsidRPr="008150B8">
        <w:t>in N</w:t>
      </w:r>
      <w:r>
        <w:t xml:space="preserve">usa Tenggara </w:t>
      </w:r>
      <w:proofErr w:type="spellStart"/>
      <w:r>
        <w:t>Timur</w:t>
      </w:r>
      <w:proofErr w:type="spellEnd"/>
      <w:r>
        <w:t xml:space="preserve"> (</w:t>
      </w:r>
      <w:r w:rsidRPr="00DC5F1D">
        <w:rPr>
          <w:rStyle w:val="AbbreviationChar"/>
        </w:rPr>
        <w:t>AIPMNH</w:t>
      </w:r>
      <w:r w:rsidRPr="008150B8">
        <w:t>) was conducted in 2010</w:t>
      </w:r>
      <w:r w:rsidR="00C425A5">
        <w:t>.  The review found the program to be strong and closely aligned to the policies and priorities of both the Indonesia</w:t>
      </w:r>
      <w:r w:rsidR="007F4185">
        <w:t>n</w:t>
      </w:r>
      <w:r w:rsidR="00C425A5">
        <w:t xml:space="preserve"> and Australia</w:t>
      </w:r>
      <w:r w:rsidR="007F4185">
        <w:t>n governments</w:t>
      </w:r>
      <w:r w:rsidR="00C425A5">
        <w:t xml:space="preserve">.  The review </w:t>
      </w:r>
      <w:r w:rsidR="00BB1850">
        <w:t xml:space="preserve">also </w:t>
      </w:r>
      <w:r w:rsidR="00C425A5">
        <w:t xml:space="preserve">found changes in skills, knowledge and practices of health staff in areas such as managing birth complications, processes for referral of patients, implementation of clinical standards and in ensuring maternal and neonatal activities </w:t>
      </w:r>
      <w:r w:rsidR="00CA77B2">
        <w:t>better align with local needs.</w:t>
      </w:r>
    </w:p>
    <w:p w:rsidR="00E63D5E" w:rsidRPr="00EE0301" w:rsidRDefault="00C425A5" w:rsidP="00E63D5E">
      <w:pPr>
        <w:pStyle w:val="BodyText"/>
      </w:pPr>
      <w:r>
        <w:t xml:space="preserve">The program </w:t>
      </w:r>
      <w:r w:rsidR="00E63D5E">
        <w:t>support</w:t>
      </w:r>
      <w:r w:rsidR="00BB1850">
        <w:t>s</w:t>
      </w:r>
      <w:r w:rsidR="00E63D5E">
        <w:t xml:space="preserve"> the </w:t>
      </w:r>
      <w:r w:rsidR="00E65A35">
        <w:t>p</w:t>
      </w:r>
      <w:r w:rsidR="00E63D5E">
        <w:t xml:space="preserve">rovincial </w:t>
      </w:r>
      <w:r w:rsidR="00E65A35">
        <w:t>g</w:t>
      </w:r>
      <w:r w:rsidR="00E63D5E">
        <w:t>overnment’s plan to increase facility-based deliveries (particularly in health centres) to reduce maternal and child mortality rates. N</w:t>
      </w:r>
      <w:r w:rsidR="00E63D5E" w:rsidRPr="008150B8">
        <w:t>ational survey data show</w:t>
      </w:r>
      <w:r w:rsidR="00BB1850">
        <w:t>s</w:t>
      </w:r>
      <w:r w:rsidR="00E63D5E" w:rsidRPr="008150B8">
        <w:t xml:space="preserve"> a</w:t>
      </w:r>
      <w:r w:rsidR="00BB1850">
        <w:t>n</w:t>
      </w:r>
      <w:r w:rsidR="00E63D5E" w:rsidRPr="008150B8">
        <w:t xml:space="preserve"> increase in assisted deliveries in </w:t>
      </w:r>
      <w:r w:rsidR="00E63D5E">
        <w:t xml:space="preserve">Nusa Tenggara </w:t>
      </w:r>
      <w:proofErr w:type="spellStart"/>
      <w:r w:rsidR="00E63D5E">
        <w:t>Timur</w:t>
      </w:r>
      <w:proofErr w:type="spellEnd"/>
      <w:r w:rsidR="00E63D5E">
        <w:t xml:space="preserve"> (</w:t>
      </w:r>
      <w:r w:rsidR="00E63D5E" w:rsidRPr="00B64467">
        <w:rPr>
          <w:rStyle w:val="AbbreviationChar"/>
        </w:rPr>
        <w:t>NTT</w:t>
      </w:r>
      <w:r w:rsidR="00E63D5E">
        <w:t>),</w:t>
      </w:r>
      <w:r w:rsidR="00E63D5E" w:rsidRPr="008150B8">
        <w:t xml:space="preserve"> however this is not yet supported by provincial administrative data. Therefore this sub-outcome has remained at amber rating with the expectation that</w:t>
      </w:r>
      <w:r w:rsidR="00BB1850">
        <w:t xml:space="preserve"> it</w:t>
      </w:r>
      <w:r w:rsidR="00BB1850" w:rsidRPr="00BB1850">
        <w:t xml:space="preserve"> </w:t>
      </w:r>
      <w:r w:rsidR="00BB1850">
        <w:t xml:space="preserve">will transition to green </w:t>
      </w:r>
      <w:r w:rsidR="00E63D5E" w:rsidRPr="008150B8">
        <w:t xml:space="preserve">over the next year  As of 2010 the program had trained more than 5000 health workers and community health volunteers (approximately half of all health workers and health volunteers in </w:t>
      </w:r>
      <w:r w:rsidR="00E63D5E" w:rsidRPr="00B64467">
        <w:rPr>
          <w:rStyle w:val="AbbreviationChar"/>
        </w:rPr>
        <w:t>NTT</w:t>
      </w:r>
      <w:r w:rsidR="00E63D5E" w:rsidRPr="008150B8">
        <w:t xml:space="preserve">), and renovated 24 birthing wards in public health clinics to provide basic emergency obstetric care.  </w:t>
      </w:r>
      <w:r w:rsidR="00CB5DB0">
        <w:t xml:space="preserve">Data from  </w:t>
      </w:r>
      <w:r w:rsidR="00E63D5E" w:rsidRPr="008150B8">
        <w:t xml:space="preserve">the </w:t>
      </w:r>
      <w:r w:rsidR="00A51930">
        <w:t xml:space="preserve">8 </w:t>
      </w:r>
      <w:r w:rsidR="00E63D5E" w:rsidRPr="008150B8">
        <w:t xml:space="preserve">clinics </w:t>
      </w:r>
      <w:r w:rsidR="00A51930">
        <w:t xml:space="preserve">renovated in 2009 </w:t>
      </w:r>
      <w:r w:rsidR="00CB5DB0">
        <w:t xml:space="preserve">indicate that the number of facility births </w:t>
      </w:r>
      <w:r w:rsidR="00E63D5E" w:rsidRPr="008150B8">
        <w:t xml:space="preserve">has doubled </w:t>
      </w:r>
      <w:r w:rsidR="00A51930">
        <w:t>from an average of 3 per month to 7 per month</w:t>
      </w:r>
      <w:r w:rsidR="00E63D5E">
        <w:t>.</w:t>
      </w:r>
      <w:r w:rsidR="00CB5DB0">
        <w:t xml:space="preserve"> </w:t>
      </w:r>
      <w:r w:rsidR="00CB5DB0">
        <w:rPr>
          <w:rFonts w:cs="Arial"/>
          <w:szCs w:val="20"/>
        </w:rPr>
        <w:t>The training and facility upgrades are increasing demand for services</w:t>
      </w:r>
      <w:r w:rsidR="00CB5DB0" w:rsidRPr="00F75F8B">
        <w:rPr>
          <w:rFonts w:cs="Arial"/>
          <w:szCs w:val="20"/>
        </w:rPr>
        <w:t xml:space="preserve">, </w:t>
      </w:r>
      <w:r w:rsidR="00BB1850">
        <w:rPr>
          <w:rFonts w:cs="Arial"/>
          <w:szCs w:val="20"/>
        </w:rPr>
        <w:t xml:space="preserve">which is </w:t>
      </w:r>
      <w:r w:rsidR="00CB5DB0" w:rsidRPr="00F75F8B">
        <w:rPr>
          <w:rFonts w:cs="Arial"/>
          <w:szCs w:val="20"/>
        </w:rPr>
        <w:t>important as b</w:t>
      </w:r>
      <w:r w:rsidR="00CB5DB0">
        <w:rPr>
          <w:rFonts w:cs="Arial"/>
          <w:szCs w:val="20"/>
        </w:rPr>
        <w:t xml:space="preserve">irths in facilities rather than at home </w:t>
      </w:r>
      <w:r w:rsidR="00BB1850">
        <w:rPr>
          <w:rFonts w:cs="Arial"/>
          <w:szCs w:val="20"/>
        </w:rPr>
        <w:t>gives</w:t>
      </w:r>
      <w:r w:rsidR="00CB5DB0">
        <w:rPr>
          <w:rFonts w:cs="Arial"/>
          <w:szCs w:val="20"/>
        </w:rPr>
        <w:t xml:space="preserve"> mothers greater access to emergency care and skilled teams. </w:t>
      </w:r>
      <w:r w:rsidR="00CB5DB0" w:rsidRPr="00F75F8B">
        <w:rPr>
          <w:rFonts w:cs="Arial"/>
          <w:szCs w:val="20"/>
        </w:rPr>
        <w:t xml:space="preserve">In 2010 health centres in </w:t>
      </w:r>
      <w:r w:rsidR="00CB5DB0">
        <w:rPr>
          <w:rFonts w:cs="Arial"/>
          <w:szCs w:val="20"/>
        </w:rPr>
        <w:t xml:space="preserve">nine </w:t>
      </w:r>
      <w:r w:rsidR="00CB5DB0" w:rsidRPr="00F75F8B">
        <w:rPr>
          <w:rFonts w:cs="Arial"/>
          <w:szCs w:val="20"/>
        </w:rPr>
        <w:t>districts supported through the program managed</w:t>
      </w:r>
      <w:r w:rsidR="00E63D5E">
        <w:t xml:space="preserve"> </w:t>
      </w:r>
      <w:r w:rsidR="00A51930">
        <w:t xml:space="preserve"> </w:t>
      </w:r>
      <w:r w:rsidR="0075324F">
        <w:t xml:space="preserve">around </w:t>
      </w:r>
      <w:r w:rsidR="008645D5">
        <w:t>370</w:t>
      </w:r>
      <w:r w:rsidR="00B00064">
        <w:t xml:space="preserve"> </w:t>
      </w:r>
      <w:r w:rsidR="00A51930">
        <w:t xml:space="preserve"> </w:t>
      </w:r>
      <w:r w:rsidR="0075324F">
        <w:t xml:space="preserve">additional </w:t>
      </w:r>
      <w:r w:rsidR="00CB5DB0">
        <w:t>obstetric complications compared to 2009, every one of which potentially saves a life.</w:t>
      </w:r>
    </w:p>
    <w:p w:rsidR="00E63D5E" w:rsidRPr="00027A09" w:rsidRDefault="00E63D5E" w:rsidP="00027A09">
      <w:pPr>
        <w:pStyle w:val="H3A"/>
        <w:rPr>
          <w:sz w:val="19"/>
          <w:szCs w:val="19"/>
        </w:rPr>
      </w:pPr>
      <w:bookmarkStart w:id="49" w:name="_Toc293049955"/>
      <w:bookmarkStart w:id="50" w:name="_Toc360981841"/>
      <w:r w:rsidRPr="00027A09">
        <w:rPr>
          <w:sz w:val="19"/>
          <w:szCs w:val="19"/>
        </w:rPr>
        <w:t>Health systems strengthening</w:t>
      </w:r>
      <w:bookmarkEnd w:id="49"/>
      <w:bookmarkEnd w:id="50"/>
    </w:p>
    <w:p w:rsidR="00135070" w:rsidRPr="00CA77B2" w:rsidRDefault="00E63D5E" w:rsidP="00E63D5E">
      <w:pPr>
        <w:pStyle w:val="BodyText"/>
        <w:rPr>
          <w:bCs/>
          <w:lang w:val="en-US" w:bidi="ar-SY"/>
        </w:rPr>
      </w:pPr>
      <w:r>
        <w:rPr>
          <w:bCs/>
        </w:rPr>
        <w:t>The design for a new Health System Strengthening (</w:t>
      </w:r>
      <w:r w:rsidRPr="00B64467">
        <w:rPr>
          <w:rStyle w:val="AbbreviationChar"/>
        </w:rPr>
        <w:t>HSS</w:t>
      </w:r>
      <w:r>
        <w:rPr>
          <w:bCs/>
        </w:rPr>
        <w:t xml:space="preserve">) program was undertaken during 2010 to </w:t>
      </w:r>
      <w:r w:rsidRPr="008150B8">
        <w:t>contribute to pro-poor health financing</w:t>
      </w:r>
      <w:r>
        <w:t>, h</w:t>
      </w:r>
      <w:r w:rsidRPr="008150B8">
        <w:t>ealth wor</w:t>
      </w:r>
      <w:r>
        <w:t xml:space="preserve">kforce skills and the availability of </w:t>
      </w:r>
      <w:r w:rsidRPr="008150B8">
        <w:t xml:space="preserve">primary health care in </w:t>
      </w:r>
      <w:smartTag w:uri="urn:schemas-microsoft-com:office:smarttags" w:element="place">
        <w:smartTag w:uri="urn:schemas-microsoft-com:office:smarttags" w:element="country-region">
          <w:r w:rsidRPr="008150B8">
            <w:t>Indonesia</w:t>
          </w:r>
        </w:smartTag>
      </w:smartTag>
      <w:r>
        <w:rPr>
          <w:bCs/>
        </w:rPr>
        <w:t>. This has proven challenging and will require further efforts in 2011 to achieve high level ownership with the Ministry of Health</w:t>
      </w:r>
      <w:r w:rsidR="008340DA">
        <w:rPr>
          <w:bCs/>
        </w:rPr>
        <w:t xml:space="preserve"> (</w:t>
      </w:r>
      <w:proofErr w:type="spellStart"/>
      <w:r w:rsidR="008340DA" w:rsidRPr="00DC5F1D">
        <w:rPr>
          <w:rStyle w:val="AbbreviationChar"/>
        </w:rPr>
        <w:t>MoH</w:t>
      </w:r>
      <w:proofErr w:type="spellEnd"/>
      <w:r w:rsidR="008340DA">
        <w:rPr>
          <w:bCs/>
        </w:rPr>
        <w:t>)</w:t>
      </w:r>
      <w:r>
        <w:rPr>
          <w:bCs/>
        </w:rPr>
        <w:t>; gauge the Ministry’s capacity for reform in the design’s focus areas; establish a clear and measureable development impact and a sharpening of the poverty focus of the design. Nevertheless w</w:t>
      </w:r>
      <w:r w:rsidRPr="008150B8">
        <w:rPr>
          <w:bCs/>
        </w:rPr>
        <w:t xml:space="preserve">e have </w:t>
      </w:r>
      <w:r>
        <w:rPr>
          <w:bCs/>
        </w:rPr>
        <w:t>capitalised on</w:t>
      </w:r>
      <w:r w:rsidRPr="008150B8">
        <w:rPr>
          <w:bCs/>
        </w:rPr>
        <w:t xml:space="preserve"> renewed energy </w:t>
      </w:r>
      <w:r>
        <w:rPr>
          <w:bCs/>
        </w:rPr>
        <w:t>toward</w:t>
      </w:r>
      <w:r w:rsidRPr="008150B8">
        <w:rPr>
          <w:bCs/>
        </w:rPr>
        <w:t xml:space="preserve"> </w:t>
      </w:r>
      <w:r w:rsidRPr="00B64467">
        <w:rPr>
          <w:rStyle w:val="AbbreviationChar"/>
        </w:rPr>
        <w:t>MDG</w:t>
      </w:r>
      <w:r w:rsidRPr="008150B8">
        <w:rPr>
          <w:bCs/>
        </w:rPr>
        <w:t xml:space="preserve"> targets within </w:t>
      </w:r>
      <w:proofErr w:type="spellStart"/>
      <w:r w:rsidRPr="008150B8">
        <w:rPr>
          <w:bCs/>
        </w:rPr>
        <w:t>GoI</w:t>
      </w:r>
      <w:proofErr w:type="spellEnd"/>
      <w:r w:rsidRPr="008150B8">
        <w:rPr>
          <w:bCs/>
        </w:rPr>
        <w:t xml:space="preserve"> and the </w:t>
      </w:r>
      <w:r w:rsidR="00B64467">
        <w:rPr>
          <w:bCs/>
        </w:rPr>
        <w:t>m</w:t>
      </w:r>
      <w:r w:rsidRPr="008150B8">
        <w:rPr>
          <w:bCs/>
        </w:rPr>
        <w:t>inistry</w:t>
      </w:r>
      <w:r>
        <w:rPr>
          <w:bCs/>
        </w:rPr>
        <w:t xml:space="preserve">, providing </w:t>
      </w:r>
      <w:r w:rsidRPr="008150B8">
        <w:rPr>
          <w:bCs/>
        </w:rPr>
        <w:t xml:space="preserve">significant investment in preliminary </w:t>
      </w:r>
      <w:r w:rsidRPr="00B64467">
        <w:rPr>
          <w:rStyle w:val="AbbreviationChar"/>
        </w:rPr>
        <w:t>HSS</w:t>
      </w:r>
      <w:r>
        <w:rPr>
          <w:bCs/>
        </w:rPr>
        <w:t xml:space="preserve"> </w:t>
      </w:r>
      <w:r w:rsidRPr="008150B8">
        <w:rPr>
          <w:bCs/>
        </w:rPr>
        <w:t>activities,</w:t>
      </w:r>
      <w:r>
        <w:rPr>
          <w:bCs/>
        </w:rPr>
        <w:t xml:space="preserve"> and undertaking extensive</w:t>
      </w:r>
      <w:r w:rsidRPr="008150B8">
        <w:rPr>
          <w:bCs/>
        </w:rPr>
        <w:t xml:space="preserve"> consultation </w:t>
      </w:r>
      <w:r>
        <w:rPr>
          <w:bCs/>
        </w:rPr>
        <w:t xml:space="preserve">with </w:t>
      </w:r>
      <w:proofErr w:type="spellStart"/>
      <w:r w:rsidRPr="00B64467">
        <w:rPr>
          <w:rStyle w:val="AbbreviationChar"/>
        </w:rPr>
        <w:t>MoH</w:t>
      </w:r>
      <w:proofErr w:type="spellEnd"/>
      <w:r w:rsidR="00CA77B2">
        <w:rPr>
          <w:bCs/>
        </w:rPr>
        <w:t xml:space="preserve"> to advance the design process.</w:t>
      </w:r>
    </w:p>
    <w:p w:rsidR="00E63D5E" w:rsidRDefault="00E63D5E" w:rsidP="00E63D5E">
      <w:pPr>
        <w:pStyle w:val="BodyText"/>
      </w:pPr>
      <w:r>
        <w:t>The s</w:t>
      </w:r>
      <w:r w:rsidRPr="008150B8">
        <w:t>hort term projects</w:t>
      </w:r>
      <w:r>
        <w:t xml:space="preserve"> (preliminary activities)</w:t>
      </w:r>
      <w:r w:rsidRPr="008150B8">
        <w:t xml:space="preserve"> lead into the longer term program </w:t>
      </w:r>
      <w:r>
        <w:t xml:space="preserve">under design </w:t>
      </w:r>
      <w:r w:rsidRPr="008150B8">
        <w:t xml:space="preserve">that is characterised by shared </w:t>
      </w:r>
      <w:r>
        <w:t xml:space="preserve">five </w:t>
      </w:r>
      <w:r w:rsidRPr="008150B8">
        <w:t>year obj</w:t>
      </w:r>
      <w:r>
        <w:t>ectives for institutional strengthening so that the government’s growing investments in health achieve the outcomes sought</w:t>
      </w:r>
      <w:r w:rsidRPr="008150B8">
        <w:t>. For example, with Australian support the National Health Account</w:t>
      </w:r>
      <w:r>
        <w:t xml:space="preserve"> (</w:t>
      </w:r>
      <w:r w:rsidRPr="00DC5F1D">
        <w:rPr>
          <w:rStyle w:val="AbbreviationChar"/>
        </w:rPr>
        <w:t>NHA</w:t>
      </w:r>
      <w:r>
        <w:t>)</w:t>
      </w:r>
      <w:r w:rsidRPr="008150B8">
        <w:t xml:space="preserve"> for 2005-2009 has been completed and published. </w:t>
      </w:r>
      <w:r w:rsidR="0042323B">
        <w:t>T</w:t>
      </w:r>
      <w:r w:rsidRPr="008150B8">
        <w:t xml:space="preserve">he annual production of a NHA </w:t>
      </w:r>
      <w:r w:rsidR="0042323B">
        <w:t xml:space="preserve">is now </w:t>
      </w:r>
      <w:r w:rsidRPr="008150B8">
        <w:t xml:space="preserve">a key performance indicator in </w:t>
      </w:r>
      <w:r w:rsidR="0042323B">
        <w:t>t</w:t>
      </w:r>
      <w:r w:rsidR="0042323B" w:rsidRPr="008150B8">
        <w:t xml:space="preserve">he </w:t>
      </w:r>
      <w:proofErr w:type="spellStart"/>
      <w:r w:rsidR="00C67C1D">
        <w:t>MoH</w:t>
      </w:r>
      <w:r w:rsidR="0042323B">
        <w:t>’s</w:t>
      </w:r>
      <w:proofErr w:type="spellEnd"/>
      <w:r w:rsidRPr="008150B8">
        <w:t xml:space="preserve"> </w:t>
      </w:r>
      <w:r w:rsidR="008340DA">
        <w:t>s</w:t>
      </w:r>
      <w:r w:rsidRPr="008150B8">
        <w:t xml:space="preserve">trategic </w:t>
      </w:r>
      <w:r w:rsidR="008340DA">
        <w:t>p</w:t>
      </w:r>
      <w:r w:rsidRPr="008150B8">
        <w:t>lan</w:t>
      </w:r>
      <w:r w:rsidR="0042323B">
        <w:t xml:space="preserve"> and</w:t>
      </w:r>
      <w:r>
        <w:t xml:space="preserve"> will become fully funded by </w:t>
      </w:r>
      <w:smartTag w:uri="urn:schemas-microsoft-com:office:smarttags" w:element="place">
        <w:smartTag w:uri="urn:schemas-microsoft-com:office:smarttags" w:element="country-region">
          <w:r>
            <w:t>Indonesia</w:t>
          </w:r>
        </w:smartTag>
      </w:smartTag>
      <w:r>
        <w:t xml:space="preserve"> in 2014</w:t>
      </w:r>
      <w:r w:rsidRPr="008150B8">
        <w:t xml:space="preserve">.  A </w:t>
      </w:r>
      <w:r w:rsidRPr="008150B8">
        <w:lastRenderedPageBreak/>
        <w:t>health workforce map</w:t>
      </w:r>
      <w:r w:rsidR="0042323B">
        <w:t xml:space="preserve"> </w:t>
      </w:r>
      <w:r w:rsidRPr="008150B8">
        <w:t>showing the distribution and type of health workers is also being developed</w:t>
      </w:r>
      <w:r w:rsidR="0042323B">
        <w:t>. It will provide</w:t>
      </w:r>
      <w:r w:rsidRPr="008150B8">
        <w:t xml:space="preserve"> an important baseline for policy, plans and budgets to reach an equitable distribution of health w</w:t>
      </w:r>
      <w:r>
        <w:t xml:space="preserve">orkers. The program also supported the MDG </w:t>
      </w:r>
      <w:r w:rsidR="008340DA">
        <w:t>r</w:t>
      </w:r>
      <w:r>
        <w:t>oadmap endorsed by the President to guide Health and other ministries to achieve MDGs by 2015.</w:t>
      </w:r>
    </w:p>
    <w:p w:rsidR="00E63D5E" w:rsidRDefault="00E63D5E" w:rsidP="00027A09">
      <w:pPr>
        <w:pStyle w:val="H3B"/>
        <w:rPr>
          <w:rtl/>
        </w:rPr>
      </w:pPr>
      <w:bookmarkStart w:id="51" w:name="_Toc293049956"/>
      <w:r w:rsidRPr="00746F2B">
        <w:t>Emerging infectious diseases (</w:t>
      </w:r>
      <w:r w:rsidRPr="00027A09">
        <w:t>EID</w:t>
      </w:r>
      <w:r w:rsidRPr="00746F2B">
        <w:t>)</w:t>
      </w:r>
      <w:bookmarkEnd w:id="51"/>
    </w:p>
    <w:p w:rsidR="00E63D5E" w:rsidRPr="008150B8" w:rsidRDefault="00E63D5E" w:rsidP="00E63D5E">
      <w:pPr>
        <w:pStyle w:val="BodyText"/>
      </w:pPr>
      <w:r w:rsidRPr="008150B8">
        <w:t xml:space="preserve">A new government to government partnership in </w:t>
      </w:r>
      <w:r w:rsidR="0042323B">
        <w:t>the</w:t>
      </w:r>
      <w:r w:rsidRPr="008150B8">
        <w:t xml:space="preserve"> prevention, detection and control of </w:t>
      </w:r>
      <w:r w:rsidRPr="00DC5F1D">
        <w:rPr>
          <w:rStyle w:val="AbbreviationChar"/>
        </w:rPr>
        <w:t>EID</w:t>
      </w:r>
      <w:r>
        <w:t>s</w:t>
      </w:r>
      <w:r w:rsidRPr="008150B8">
        <w:t xml:space="preserve"> </w:t>
      </w:r>
      <w:r w:rsidR="00D34B08">
        <w:t xml:space="preserve">was </w:t>
      </w:r>
      <w:r w:rsidRPr="008150B8">
        <w:t>launch</w:t>
      </w:r>
      <w:r w:rsidR="00D34B08">
        <w:t>ed</w:t>
      </w:r>
      <w:r w:rsidRPr="008150B8">
        <w:t xml:space="preserve"> in March 2011.  In preparation for the program, the </w:t>
      </w:r>
      <w:r>
        <w:t>Indonesian</w:t>
      </w:r>
      <w:r w:rsidRPr="008150B8">
        <w:t xml:space="preserve"> Ministry of Agriculture has developed, with Australian assistance, a plan to </w:t>
      </w:r>
      <w:r w:rsidR="0042323B">
        <w:t>move</w:t>
      </w:r>
      <w:r w:rsidRPr="008150B8">
        <w:t xml:space="preserve"> from expensive, donor driven disease surveillance towards a sustainable community driven network.</w:t>
      </w:r>
    </w:p>
    <w:p w:rsidR="00E63D5E" w:rsidRPr="00746F2B" w:rsidRDefault="00E63D5E" w:rsidP="00027A09">
      <w:pPr>
        <w:pStyle w:val="H3B"/>
        <w:rPr>
          <w:highlight w:val="yellow"/>
        </w:rPr>
      </w:pPr>
      <w:bookmarkStart w:id="52" w:name="_Toc293049957"/>
      <w:r w:rsidRPr="00746F2B">
        <w:t>Other health initiatives</w:t>
      </w:r>
      <w:bookmarkEnd w:id="52"/>
    </w:p>
    <w:p w:rsidR="00E63D5E" w:rsidRDefault="00C67C1D" w:rsidP="00E63D5E">
      <w:pPr>
        <w:pStyle w:val="BodyText"/>
      </w:pPr>
      <w:r>
        <w:t xml:space="preserve">After two years of negotiation, </w:t>
      </w:r>
      <w:smartTag w:uri="urn:schemas-microsoft-com:office:smarttags" w:element="country-region">
        <w:r w:rsidRPr="004D2AF6">
          <w:t>Australia</w:t>
        </w:r>
      </w:smartTag>
      <w:r w:rsidRPr="004D2AF6">
        <w:t xml:space="preserve">, </w:t>
      </w:r>
      <w:smartTag w:uri="urn:schemas-microsoft-com:office:smarttags" w:element="place">
        <w:smartTag w:uri="urn:schemas-microsoft-com:office:smarttags" w:element="country-region">
          <w:r w:rsidRPr="004D2AF6">
            <w:t>Indonesia</w:t>
          </w:r>
        </w:smartTag>
      </w:smartTag>
      <w:r w:rsidRPr="004D2AF6">
        <w:t xml:space="preserve"> and the Global Fund </w:t>
      </w:r>
      <w:r>
        <w:t>(GF)</w:t>
      </w:r>
      <w:r w:rsidR="00E63D5E" w:rsidRPr="004D2AF6">
        <w:t xml:space="preserve"> sign</w:t>
      </w:r>
      <w:r>
        <w:t>ed</w:t>
      </w:r>
      <w:r w:rsidR="00E63D5E" w:rsidRPr="004D2AF6">
        <w:t xml:space="preserve"> the $75m </w:t>
      </w:r>
      <w:r w:rsidR="00E65A35">
        <w:t>d</w:t>
      </w:r>
      <w:r w:rsidR="00E63D5E" w:rsidRPr="004D2AF6">
        <w:t>ebt-to-</w:t>
      </w:r>
      <w:r w:rsidR="008340DA">
        <w:t>h</w:t>
      </w:r>
      <w:r w:rsidR="00E63D5E" w:rsidRPr="004D2AF6">
        <w:t xml:space="preserve">ealth </w:t>
      </w:r>
      <w:r w:rsidR="008340DA">
        <w:t>s</w:t>
      </w:r>
      <w:r w:rsidR="00E63D5E" w:rsidRPr="004D2AF6">
        <w:t xml:space="preserve">wap agreement in </w:t>
      </w:r>
      <w:proofErr w:type="spellStart"/>
      <w:r w:rsidR="00E63D5E" w:rsidRPr="004D2AF6">
        <w:t>mid 2010</w:t>
      </w:r>
      <w:proofErr w:type="spellEnd"/>
      <w:r w:rsidR="00E63D5E" w:rsidRPr="004D2AF6">
        <w:t xml:space="preserve">.  </w:t>
      </w:r>
      <w:smartTag w:uri="urn:schemas-microsoft-com:office:smarttags" w:element="place">
        <w:smartTag w:uri="urn:schemas-microsoft-com:office:smarttags" w:element="country-region">
          <w:r w:rsidR="00E63D5E" w:rsidRPr="004D2AF6">
            <w:t>Indonesia</w:t>
          </w:r>
        </w:smartTag>
      </w:smartTag>
      <w:r w:rsidR="00E63D5E" w:rsidRPr="004D2AF6">
        <w:t xml:space="preserve"> has been granted Global Fund Round 10 funding of US$157. 5m for TB and health system strengthening (attached to TB proposal) programs.  </w:t>
      </w:r>
      <w:proofErr w:type="spellStart"/>
      <w:r w:rsidR="00E63D5E" w:rsidRPr="004D2AF6">
        <w:t>AusAID’s</w:t>
      </w:r>
      <w:proofErr w:type="spellEnd"/>
      <w:r w:rsidR="00E63D5E" w:rsidRPr="004D2AF6">
        <w:t xml:space="preserve"> intensive advocacy to the GF and Indonesian government contributed to this result. </w:t>
      </w:r>
      <w:r>
        <w:t xml:space="preserve"> </w:t>
      </w:r>
      <w:r w:rsidR="00E63D5E" w:rsidRPr="004D2AF6">
        <w:t>By the end of</w:t>
      </w:r>
      <w:r w:rsidR="00E63D5E" w:rsidRPr="008150B8">
        <w:t xml:space="preserve"> 2010 construction of eight primary health care facilities in Padang-</w:t>
      </w:r>
      <w:proofErr w:type="spellStart"/>
      <w:r w:rsidR="00E63D5E" w:rsidRPr="008150B8">
        <w:t>Pariaman</w:t>
      </w:r>
      <w:proofErr w:type="spellEnd"/>
      <w:r w:rsidR="00E63D5E" w:rsidRPr="008150B8">
        <w:t xml:space="preserve"> in response to the 2009 </w:t>
      </w:r>
      <w:smartTag w:uri="urn:schemas-microsoft-com:office:smarttags" w:element="place">
        <w:r w:rsidR="00E63D5E" w:rsidRPr="008150B8">
          <w:t>West Sumatra</w:t>
        </w:r>
      </w:smartTag>
      <w:r w:rsidR="00E63D5E" w:rsidRPr="008150B8">
        <w:t xml:space="preserve"> earthquake was well underway</w:t>
      </w:r>
      <w:r w:rsidR="00E63D5E">
        <w:t xml:space="preserve">. </w:t>
      </w:r>
      <w:r>
        <w:t xml:space="preserve"> </w:t>
      </w:r>
      <w:r w:rsidR="00E63D5E" w:rsidRPr="008150B8">
        <w:t xml:space="preserve">The second phase of support for the Australia Bali Memorial Eye Centre has been confirmed and a </w:t>
      </w:r>
      <w:r w:rsidR="008340DA">
        <w:t>s</w:t>
      </w:r>
      <w:r w:rsidR="00E63D5E" w:rsidRPr="008150B8">
        <w:t xml:space="preserve">ubsidiary </w:t>
      </w:r>
      <w:r w:rsidR="008340DA">
        <w:t>a</w:t>
      </w:r>
      <w:r w:rsidR="00E63D5E">
        <w:t>rrangement</w:t>
      </w:r>
      <w:r w:rsidR="00E63D5E" w:rsidRPr="008150B8">
        <w:t xml:space="preserve"> has been signed after significant delays in obtaining agreement with </w:t>
      </w:r>
      <w:proofErr w:type="spellStart"/>
      <w:r w:rsidR="00E65A35">
        <w:t>MoH</w:t>
      </w:r>
      <w:proofErr w:type="spellEnd"/>
      <w:r w:rsidR="00E63D5E" w:rsidRPr="008150B8">
        <w:t>.</w:t>
      </w:r>
    </w:p>
    <w:p w:rsidR="00BA5159" w:rsidRDefault="00044215" w:rsidP="00612FF9">
      <w:pPr>
        <w:pStyle w:val="H2F"/>
      </w:pPr>
      <w:bookmarkStart w:id="53" w:name="_Toc293049958"/>
      <w:bookmarkStart w:id="54" w:name="_Toc360981842"/>
      <w:r>
        <w:t xml:space="preserve">Factors contributing </w:t>
      </w:r>
      <w:r w:rsidR="00C411B2">
        <w:t xml:space="preserve">to </w:t>
      </w:r>
      <w:r>
        <w:t>or hampering success</w:t>
      </w:r>
      <w:bookmarkEnd w:id="53"/>
      <w:bookmarkEnd w:id="54"/>
    </w:p>
    <w:p w:rsidR="00746F2B" w:rsidRPr="008150B8" w:rsidRDefault="00746F2B" w:rsidP="00746F2B">
      <w:pPr>
        <w:pStyle w:val="BodyText"/>
      </w:pPr>
      <w:proofErr w:type="spellStart"/>
      <w:r w:rsidRPr="008150B8">
        <w:t>GoI</w:t>
      </w:r>
      <w:proofErr w:type="spellEnd"/>
      <w:r w:rsidRPr="008150B8">
        <w:t xml:space="preserve"> has an ambitious program of reform in the health sector and there is a clear political momentum for </w:t>
      </w:r>
      <w:smartTag w:uri="urn:schemas-microsoft-com:office:smarttags" w:element="place">
        <w:smartTag w:uri="urn:schemas-microsoft-com:office:smarttags" w:element="country-region">
          <w:r w:rsidRPr="008150B8">
            <w:t>Indonesia</w:t>
          </w:r>
        </w:smartTag>
      </w:smartTag>
      <w:r w:rsidRPr="008150B8">
        <w:t xml:space="preserve"> to meet its ta</w:t>
      </w:r>
      <w:r>
        <w:t xml:space="preserve">rgets on health MDGs. </w:t>
      </w:r>
      <w:r w:rsidRPr="008150B8">
        <w:t xml:space="preserve">The development of two new funding streams from the </w:t>
      </w:r>
      <w:proofErr w:type="spellStart"/>
      <w:r w:rsidR="00C67C1D">
        <w:t>MoH</w:t>
      </w:r>
      <w:proofErr w:type="spellEnd"/>
      <w:r w:rsidRPr="008150B8">
        <w:t xml:space="preserve"> targeting maternal mortality </w:t>
      </w:r>
      <w:r>
        <w:t>signal</w:t>
      </w:r>
      <w:r w:rsidR="00C67C1D">
        <w:t>s</w:t>
      </w:r>
      <w:r>
        <w:t xml:space="preserve"> a</w:t>
      </w:r>
      <w:r w:rsidRPr="008150B8">
        <w:t xml:space="preserve"> willingness to act decisively to ensure targets are met. On the downside, these new funding streams further fragment an already complex and administratively burdensome health financing system.  Health insurance remains highly political and no clear consensus has emerged within Government around contractual arrangements, insurance providers and lead agency.  </w:t>
      </w:r>
      <w:proofErr w:type="spellStart"/>
      <w:r w:rsidRPr="008150B8">
        <w:t>AusAID’s</w:t>
      </w:r>
      <w:proofErr w:type="spellEnd"/>
      <w:r w:rsidRPr="008150B8">
        <w:t xml:space="preserve"> support </w:t>
      </w:r>
      <w:r>
        <w:t xml:space="preserve">is therefore </w:t>
      </w:r>
      <w:r w:rsidRPr="008150B8">
        <w:t>likely to remain as targeted policy research</w:t>
      </w:r>
      <w:r>
        <w:t xml:space="preserve"> rather than a joint shared outcome of the new HSS program</w:t>
      </w:r>
      <w:r w:rsidR="00CA77B2">
        <w:t>.</w:t>
      </w:r>
    </w:p>
    <w:p w:rsidR="00746F2B" w:rsidRDefault="00746F2B" w:rsidP="00746F2B">
      <w:pPr>
        <w:pStyle w:val="BodyText"/>
        <w:rPr>
          <w:bCs/>
          <w:szCs w:val="18"/>
        </w:rPr>
      </w:pPr>
      <w:r>
        <w:rPr>
          <w:bCs/>
        </w:rPr>
        <w:t>S</w:t>
      </w:r>
      <w:r w:rsidRPr="008150B8">
        <w:rPr>
          <w:bCs/>
        </w:rPr>
        <w:t>ince Minister</w:t>
      </w:r>
      <w:r>
        <w:rPr>
          <w:bCs/>
        </w:rPr>
        <w:t xml:space="preserve"> </w:t>
      </w:r>
      <w:proofErr w:type="spellStart"/>
      <w:r>
        <w:rPr>
          <w:bCs/>
        </w:rPr>
        <w:t>Endang</w:t>
      </w:r>
      <w:proofErr w:type="spellEnd"/>
      <w:r>
        <w:rPr>
          <w:bCs/>
        </w:rPr>
        <w:t xml:space="preserve"> </w:t>
      </w:r>
      <w:proofErr w:type="spellStart"/>
      <w:r>
        <w:rPr>
          <w:bCs/>
        </w:rPr>
        <w:t>Sedyaningsih’s</w:t>
      </w:r>
      <w:proofErr w:type="spellEnd"/>
      <w:r>
        <w:rPr>
          <w:bCs/>
        </w:rPr>
        <w:t xml:space="preserve"> </w:t>
      </w:r>
      <w:r w:rsidRPr="008150B8">
        <w:rPr>
          <w:bCs/>
        </w:rPr>
        <w:t xml:space="preserve">appointment </w:t>
      </w:r>
      <w:r>
        <w:rPr>
          <w:bCs/>
        </w:rPr>
        <w:t xml:space="preserve">in October 2009 </w:t>
      </w:r>
      <w:r w:rsidRPr="008150B8">
        <w:rPr>
          <w:bCs/>
        </w:rPr>
        <w:t xml:space="preserve">improvements in the </w:t>
      </w:r>
      <w:proofErr w:type="spellStart"/>
      <w:r w:rsidR="00C67C1D">
        <w:rPr>
          <w:bCs/>
        </w:rPr>
        <w:t>MoH</w:t>
      </w:r>
      <w:proofErr w:type="spellEnd"/>
      <w:r w:rsidRPr="008150B8">
        <w:rPr>
          <w:bCs/>
        </w:rPr>
        <w:t xml:space="preserve"> have been slower than </w:t>
      </w:r>
      <w:r>
        <w:rPr>
          <w:bCs/>
        </w:rPr>
        <w:t xml:space="preserve">expected. </w:t>
      </w:r>
      <w:r w:rsidR="00C67C1D">
        <w:rPr>
          <w:bCs/>
        </w:rPr>
        <w:t xml:space="preserve"> </w:t>
      </w:r>
      <w:r>
        <w:rPr>
          <w:bCs/>
        </w:rPr>
        <w:t>However</w:t>
      </w:r>
      <w:r w:rsidRPr="008150B8">
        <w:rPr>
          <w:bCs/>
        </w:rPr>
        <w:t xml:space="preserve"> </w:t>
      </w:r>
      <w:r>
        <w:rPr>
          <w:bCs/>
        </w:rPr>
        <w:t>the Minister</w:t>
      </w:r>
      <w:r w:rsidRPr="008150B8">
        <w:rPr>
          <w:bCs/>
        </w:rPr>
        <w:t xml:space="preserve"> has secured additional funding for primary health care services, is introducing a culture of evidence</w:t>
      </w:r>
      <w:r w:rsidR="00C67C1D">
        <w:rPr>
          <w:bCs/>
        </w:rPr>
        <w:t>-</w:t>
      </w:r>
      <w:r w:rsidRPr="008150B8">
        <w:rPr>
          <w:bCs/>
        </w:rPr>
        <w:t xml:space="preserve">based policy and has been receptive to international support.  </w:t>
      </w:r>
      <w:r w:rsidRPr="008150B8">
        <w:rPr>
          <w:bCs/>
          <w:szCs w:val="18"/>
        </w:rPr>
        <w:t>Access to the Minister and key Ministry of Health officials, particularly during the development of new</w:t>
      </w:r>
      <w:r>
        <w:rPr>
          <w:bCs/>
          <w:szCs w:val="18"/>
        </w:rPr>
        <w:t xml:space="preserve"> health system strengthening program</w:t>
      </w:r>
      <w:r w:rsidRPr="008150B8">
        <w:rPr>
          <w:bCs/>
          <w:szCs w:val="18"/>
        </w:rPr>
        <w:t xml:space="preserve"> continues to improve.  A key measure of how far our relationship has progressed will be the extent to which the Ministry accepts joint ownership and accountability for </w:t>
      </w:r>
      <w:r>
        <w:rPr>
          <w:bCs/>
          <w:szCs w:val="18"/>
        </w:rPr>
        <w:t>th</w:t>
      </w:r>
      <w:r w:rsidR="00D34B08">
        <w:rPr>
          <w:bCs/>
          <w:szCs w:val="18"/>
        </w:rPr>
        <w:t xml:space="preserve">e new Health System Strengthening </w:t>
      </w:r>
      <w:r>
        <w:rPr>
          <w:bCs/>
          <w:szCs w:val="18"/>
        </w:rPr>
        <w:t>program</w:t>
      </w:r>
      <w:r w:rsidR="00CA77B2">
        <w:rPr>
          <w:bCs/>
          <w:szCs w:val="18"/>
        </w:rPr>
        <w:t>.</w:t>
      </w:r>
    </w:p>
    <w:p w:rsidR="00BA5159" w:rsidRDefault="00044215" w:rsidP="00612FF9">
      <w:pPr>
        <w:pStyle w:val="H2F"/>
      </w:pPr>
      <w:bookmarkStart w:id="55" w:name="_Toc293049959"/>
      <w:bookmarkStart w:id="56" w:name="_Toc360981843"/>
      <w:r>
        <w:t>Management consequences</w:t>
      </w:r>
      <w:bookmarkEnd w:id="55"/>
      <w:bookmarkEnd w:id="56"/>
    </w:p>
    <w:p w:rsidR="0075324F" w:rsidRDefault="0075324F" w:rsidP="006A3E57">
      <w:pPr>
        <w:pStyle w:val="BodyText"/>
      </w:pPr>
      <w:r w:rsidRPr="008150B8">
        <w:t xml:space="preserve">The development of a health sector delivery strategy that provides </w:t>
      </w:r>
      <w:r>
        <w:t>clarity on our strategic agenda</w:t>
      </w:r>
      <w:r w:rsidR="00C67C1D">
        <w:t xml:space="preserve"> and</w:t>
      </w:r>
      <w:r w:rsidRPr="008150B8">
        <w:t xml:space="preserve"> future scaling up has been delayed due</w:t>
      </w:r>
      <w:r>
        <w:t xml:space="preserve"> to</w:t>
      </w:r>
      <w:r w:rsidRPr="008150B8">
        <w:t xml:space="preserve"> </w:t>
      </w:r>
      <w:r>
        <w:t xml:space="preserve">a significant focus on the new health system strengthening program and building </w:t>
      </w:r>
      <w:r w:rsidR="002C0B3E">
        <w:t xml:space="preserve">new </w:t>
      </w:r>
      <w:r>
        <w:t xml:space="preserve">relationships in the </w:t>
      </w:r>
      <w:proofErr w:type="spellStart"/>
      <w:r w:rsidR="002C0B3E">
        <w:t>MoH</w:t>
      </w:r>
      <w:proofErr w:type="spellEnd"/>
      <w:r>
        <w:t xml:space="preserve">.  </w:t>
      </w:r>
      <w:r w:rsidRPr="008150B8">
        <w:t xml:space="preserve"> </w:t>
      </w:r>
      <w:r>
        <w:t>I</w:t>
      </w:r>
      <w:r w:rsidRPr="008150B8">
        <w:t xml:space="preserve">nputs were provided to the health forward projections for 2015 scale up and </w:t>
      </w:r>
      <w:r>
        <w:t xml:space="preserve">it is anticipated that </w:t>
      </w:r>
      <w:r w:rsidRPr="008150B8">
        <w:t xml:space="preserve">the </w:t>
      </w:r>
      <w:r w:rsidRPr="008150B8">
        <w:lastRenderedPageBreak/>
        <w:t xml:space="preserve">delivery strategy will be completed in </w:t>
      </w:r>
      <w:r>
        <w:t xml:space="preserve">the latter half of </w:t>
      </w:r>
      <w:r w:rsidRPr="008150B8">
        <w:t xml:space="preserve">2011. </w:t>
      </w:r>
      <w:r>
        <w:t xml:space="preserve">  An assessment of the staff and capacity </w:t>
      </w:r>
      <w:r w:rsidR="002C0B3E">
        <w:t xml:space="preserve">needed </w:t>
      </w:r>
      <w:r>
        <w:t xml:space="preserve">to deliver on the strategic agenda will be subsequently undertaken.   </w:t>
      </w:r>
    </w:p>
    <w:p w:rsidR="006A3E57" w:rsidRPr="00CA77B2" w:rsidRDefault="006A3E57" w:rsidP="006A3E57">
      <w:pPr>
        <w:pStyle w:val="BodyText"/>
        <w:rPr>
          <w:b/>
          <w:lang w:val="en-US" w:bidi="ar-SY"/>
        </w:rPr>
      </w:pPr>
      <w:r w:rsidRPr="008150B8">
        <w:t xml:space="preserve">The health sector is one of the most complex development sectors, and our work in 2010 on three new designs and an </w:t>
      </w:r>
      <w:r w:rsidR="00A81687">
        <w:t>i</w:t>
      </w:r>
      <w:r w:rsidRPr="008150B8">
        <w:t xml:space="preserve">ndependent </w:t>
      </w:r>
      <w:r w:rsidR="00A81687">
        <w:t>p</w:t>
      </w:r>
      <w:r w:rsidRPr="008150B8">
        <w:t xml:space="preserve">rogress </w:t>
      </w:r>
      <w:r w:rsidR="00A81687">
        <w:t>r</w:t>
      </w:r>
      <w:r>
        <w:t xml:space="preserve">eview </w:t>
      </w:r>
      <w:r w:rsidR="00A81687">
        <w:t>r</w:t>
      </w:r>
      <w:r w:rsidRPr="008150B8">
        <w:t xml:space="preserve">eport has highlighted some shortcomings in our ability to quantify and communicate results. While we have a focus on using </w:t>
      </w:r>
      <w:proofErr w:type="spellStart"/>
      <w:r w:rsidRPr="008150B8">
        <w:t>GoI</w:t>
      </w:r>
      <w:proofErr w:type="spellEnd"/>
      <w:r w:rsidRPr="008150B8">
        <w:t xml:space="preserve"> systems and monitoring frameworks they are not always sufficient to meet our program reporting requirements.  The addition of staff with specific skills in interpretation and analysis of data in 2011 will assist the program staff in this regard, but we need better access to tools and design expertise to assist us in ensuring our programs can demonstrate clear and q</w:t>
      </w:r>
      <w:r w:rsidR="00CA77B2">
        <w:t>uantifiable development impact.</w:t>
      </w:r>
    </w:p>
    <w:p w:rsidR="006A3E57" w:rsidRPr="008150B8" w:rsidRDefault="006A3E57" w:rsidP="006A3E57">
      <w:pPr>
        <w:pStyle w:val="BodyText"/>
      </w:pPr>
      <w:r w:rsidRPr="008150B8">
        <w:t xml:space="preserve">The requirement for </w:t>
      </w:r>
      <w:r w:rsidR="00A81687">
        <w:t>s</w:t>
      </w:r>
      <w:r w:rsidRPr="008150B8">
        <w:t xml:space="preserve">ubsidiary </w:t>
      </w:r>
      <w:r w:rsidR="00A81687">
        <w:t>a</w:t>
      </w:r>
      <w:r w:rsidRPr="008150B8">
        <w:t xml:space="preserve">rrangements between </w:t>
      </w:r>
      <w:smartTag w:uri="urn:schemas-microsoft-com:office:smarttags" w:element="place">
        <w:smartTag w:uri="urn:schemas-microsoft-com:office:smarttags" w:element="country-region">
          <w:r w:rsidRPr="008150B8">
            <w:t>Australia</w:t>
          </w:r>
        </w:smartTag>
      </w:smartTag>
      <w:r w:rsidRPr="008150B8">
        <w:t xml:space="preserve"> and </w:t>
      </w:r>
      <w:proofErr w:type="spellStart"/>
      <w:r>
        <w:t>GoI</w:t>
      </w:r>
      <w:proofErr w:type="spellEnd"/>
      <w:r w:rsidRPr="008150B8">
        <w:t xml:space="preserve"> has resulted in a significant investment of staff time during 2010.  Investment in a core set of skilled staff with experience in handling these negotiations across the agency could deliver efficiencies and limit the risk of erosion in standards.</w:t>
      </w:r>
    </w:p>
    <w:p w:rsidR="006A3E57" w:rsidRPr="008150B8" w:rsidRDefault="006A3E57" w:rsidP="006A3E57">
      <w:pPr>
        <w:pStyle w:val="BodyText"/>
      </w:pPr>
      <w:r w:rsidRPr="008150B8">
        <w:t xml:space="preserve">The continuing proliferation of global architecture, with </w:t>
      </w:r>
      <w:smartTag w:uri="urn:schemas-microsoft-com:office:smarttags" w:element="place">
        <w:smartTag w:uri="urn:schemas-microsoft-com:office:smarttags" w:element="country-region">
          <w:r w:rsidRPr="008150B8">
            <w:t>Australia</w:t>
          </w:r>
        </w:smartTag>
      </w:smartTag>
      <w:r w:rsidRPr="008150B8">
        <w:t>’s commitment to the Global Alliance for Reproductive Health added in 2010, adds further demands to already stretched human resources.</w:t>
      </w:r>
    </w:p>
    <w:p w:rsidR="00BA5159" w:rsidRPr="003E4C57" w:rsidRDefault="00BA5159" w:rsidP="00683977">
      <w:pPr>
        <w:pStyle w:val="Heading3"/>
        <w:rPr>
          <w:highlight w:val="magenta"/>
        </w:rPr>
      </w:pPr>
      <w:bookmarkStart w:id="57" w:name="_Toc293049961"/>
      <w:bookmarkStart w:id="58" w:name="_Toc360981844"/>
      <w:r>
        <w:t>Estimated e</w:t>
      </w:r>
      <w:r w:rsidRPr="00E271CD">
        <w:t>xpenditure</w:t>
      </w:r>
      <w:r>
        <w:t xml:space="preserve"> in 20</w:t>
      </w:r>
      <w:r w:rsidR="00044215">
        <w:t>1</w:t>
      </w:r>
      <w:r>
        <w:t>0</w:t>
      </w:r>
      <w:bookmarkEnd w:id="57"/>
      <w:bookmarkEnd w:id="58"/>
    </w:p>
    <w:tbl>
      <w:tblPr>
        <w:tblW w:w="0" w:type="auto"/>
        <w:tblInd w:w="57" w:type="dxa"/>
        <w:tblLayout w:type="fixed"/>
        <w:tblLook w:val="0000" w:firstRow="0" w:lastRow="0" w:firstColumn="0" w:lastColumn="0" w:noHBand="0" w:noVBand="0"/>
      </w:tblPr>
      <w:tblGrid>
        <w:gridCol w:w="5683"/>
        <w:gridCol w:w="1127"/>
        <w:gridCol w:w="1128"/>
      </w:tblGrid>
      <w:tr w:rsidR="00BA5159" w:rsidRPr="003E4C57" w:rsidTr="00027A09">
        <w:trPr>
          <w:cantSplit/>
          <w:trHeight w:val="392"/>
          <w:tblHeader/>
        </w:trPr>
        <w:tc>
          <w:tcPr>
            <w:tcW w:w="5683" w:type="dxa"/>
            <w:tcBorders>
              <w:top w:val="single" w:sz="12" w:space="0" w:color="auto"/>
              <w:bottom w:val="single" w:sz="2" w:space="0" w:color="auto"/>
            </w:tcBorders>
            <w:shd w:val="clear" w:color="auto" w:fill="auto"/>
            <w:tcMar>
              <w:left w:w="57" w:type="dxa"/>
              <w:right w:w="57" w:type="dxa"/>
            </w:tcMar>
          </w:tcPr>
          <w:p w:rsidR="00BA5159" w:rsidRDefault="00BA5159">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BA5159" w:rsidRDefault="00BA5159">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BA5159" w:rsidRDefault="00BA5159">
            <w:pPr>
              <w:pStyle w:val="TableDataColumnHeading"/>
            </w:pPr>
            <w:r>
              <w:t>% of bilateral program</w:t>
            </w:r>
          </w:p>
        </w:tc>
      </w:tr>
      <w:tr w:rsidR="00BA5159" w:rsidRPr="002452D0" w:rsidTr="00027A09">
        <w:trPr>
          <w:cantSplit/>
        </w:trPr>
        <w:tc>
          <w:tcPr>
            <w:tcW w:w="5683" w:type="dxa"/>
            <w:tcBorders>
              <w:bottom w:val="single" w:sz="12" w:space="0" w:color="auto"/>
            </w:tcBorders>
            <w:shd w:val="clear" w:color="auto" w:fill="auto"/>
            <w:tcMar>
              <w:left w:w="57" w:type="dxa"/>
              <w:right w:w="57" w:type="dxa"/>
            </w:tcMar>
          </w:tcPr>
          <w:p w:rsidR="00BA5159" w:rsidRPr="002452D0" w:rsidRDefault="00BA5159">
            <w:pPr>
              <w:pStyle w:val="TableDataEntries"/>
              <w:jc w:val="left"/>
            </w:pPr>
            <w:r>
              <w:t>Health</w:t>
            </w:r>
          </w:p>
        </w:tc>
        <w:tc>
          <w:tcPr>
            <w:tcW w:w="1127" w:type="dxa"/>
            <w:tcBorders>
              <w:bottom w:val="single" w:sz="12" w:space="0" w:color="auto"/>
            </w:tcBorders>
            <w:shd w:val="clear" w:color="auto" w:fill="auto"/>
            <w:tcMar>
              <w:left w:w="57" w:type="dxa"/>
              <w:right w:w="57" w:type="dxa"/>
            </w:tcMar>
          </w:tcPr>
          <w:p w:rsidR="00BA5159" w:rsidRPr="002452D0" w:rsidRDefault="00BA5159">
            <w:pPr>
              <w:pStyle w:val="TableDataEntries"/>
            </w:pPr>
            <w:r>
              <w:t>25.6</w:t>
            </w:r>
          </w:p>
        </w:tc>
        <w:tc>
          <w:tcPr>
            <w:tcW w:w="1128" w:type="dxa"/>
            <w:tcBorders>
              <w:bottom w:val="single" w:sz="12" w:space="0" w:color="auto"/>
            </w:tcBorders>
            <w:shd w:val="clear" w:color="auto" w:fill="auto"/>
            <w:tcMar>
              <w:left w:w="57" w:type="dxa"/>
              <w:right w:w="57" w:type="dxa"/>
            </w:tcMar>
          </w:tcPr>
          <w:p w:rsidR="00BA5159" w:rsidRPr="002452D0" w:rsidRDefault="00C101A2">
            <w:pPr>
              <w:pStyle w:val="TableDataEntries"/>
            </w:pPr>
            <w:r>
              <w:t>6.</w:t>
            </w:r>
            <w:r w:rsidR="008A546A">
              <w:t>5</w:t>
            </w:r>
            <w:r>
              <w:t>%</w:t>
            </w:r>
          </w:p>
        </w:tc>
      </w:tr>
    </w:tbl>
    <w:p w:rsidR="00044215" w:rsidRDefault="00044215" w:rsidP="00683977">
      <w:pPr>
        <w:pStyle w:val="Heading2"/>
      </w:pPr>
      <w:bookmarkStart w:id="59" w:name="_Toc293049962"/>
      <w:bookmarkStart w:id="60" w:name="_Toc300905107"/>
      <w:bookmarkStart w:id="61" w:name="_Toc360981845"/>
      <w:r>
        <w:t>Water and sanitation</w:t>
      </w:r>
      <w:bookmarkEnd w:id="59"/>
      <w:bookmarkEnd w:id="60"/>
      <w:bookmarkEnd w:id="61"/>
    </w:p>
    <w:p w:rsidR="00683977" w:rsidRDefault="00683977" w:rsidP="00612FF9">
      <w:pPr>
        <w:pStyle w:val="H2F"/>
      </w:pPr>
      <w:bookmarkStart w:id="62" w:name="_Toc360981846"/>
      <w:bookmarkStart w:id="63" w:name="_Toc293049963"/>
      <w:r>
        <w:t>Water and sanitation</w:t>
      </w:r>
      <w:bookmarkEnd w:id="62"/>
      <w:r>
        <w:t xml:space="preserve"> </w:t>
      </w:r>
    </w:p>
    <w:p w:rsidR="00044215" w:rsidRDefault="00044215" w:rsidP="00612FF9">
      <w:pPr>
        <w:pStyle w:val="Heading3"/>
      </w:pPr>
      <w:bookmarkStart w:id="64" w:name="_Toc360981847"/>
      <w:r>
        <w:t>Rating</w:t>
      </w:r>
      <w:bookmarkEnd w:id="63"/>
      <w:bookmarkEnd w:id="64"/>
    </w:p>
    <w:tbl>
      <w:tblPr>
        <w:tblW w:w="0" w:type="auto"/>
        <w:tblInd w:w="57" w:type="dxa"/>
        <w:tblLook w:val="01E0" w:firstRow="1" w:lastRow="1" w:firstColumn="1" w:lastColumn="1" w:noHBand="0" w:noVBand="0"/>
      </w:tblPr>
      <w:tblGrid>
        <w:gridCol w:w="5709"/>
        <w:gridCol w:w="895"/>
        <w:gridCol w:w="1315"/>
      </w:tblGrid>
      <w:tr w:rsidR="00291D66" w:rsidTr="00027A09">
        <w:trPr>
          <w:cantSplit/>
          <w:tblHeader/>
        </w:trPr>
        <w:tc>
          <w:tcPr>
            <w:tcW w:w="5725" w:type="dxa"/>
            <w:shd w:val="clear" w:color="auto" w:fill="F5F1CC"/>
            <w:tcMar>
              <w:left w:w="57" w:type="dxa"/>
              <w:right w:w="57" w:type="dxa"/>
            </w:tcMar>
            <w:vAlign w:val="center"/>
          </w:tcPr>
          <w:p w:rsidR="00291D66" w:rsidRDefault="005079E1" w:rsidP="00644CFA">
            <w:pPr>
              <w:pStyle w:val="TableTextEntries"/>
            </w:pPr>
            <w:r>
              <w:t>Objectives</w:t>
            </w:r>
          </w:p>
        </w:tc>
        <w:tc>
          <w:tcPr>
            <w:tcW w:w="896" w:type="dxa"/>
            <w:shd w:val="clear" w:color="auto" w:fill="F5F1CC"/>
            <w:tcMar>
              <w:left w:w="57" w:type="dxa"/>
              <w:right w:w="57" w:type="dxa"/>
            </w:tcMar>
            <w:vAlign w:val="center"/>
          </w:tcPr>
          <w:p w:rsidR="00291D66" w:rsidRDefault="00291D66" w:rsidP="00644CFA">
            <w:pPr>
              <w:pStyle w:val="TableTextEntries"/>
              <w:jc w:val="center"/>
            </w:pPr>
            <w:r>
              <w:t>Rating in 2010</w:t>
            </w:r>
          </w:p>
        </w:tc>
        <w:tc>
          <w:tcPr>
            <w:tcW w:w="1316" w:type="dxa"/>
            <w:shd w:val="clear" w:color="auto" w:fill="F5F1CC"/>
            <w:tcMar>
              <w:left w:w="57" w:type="dxa"/>
              <w:right w:w="57" w:type="dxa"/>
            </w:tcMar>
            <w:vAlign w:val="center"/>
          </w:tcPr>
          <w:p w:rsidR="00291D66" w:rsidRDefault="00291D66" w:rsidP="00644CFA">
            <w:pPr>
              <w:pStyle w:val="TableTextEntries"/>
              <w:jc w:val="center"/>
            </w:pPr>
            <w:r>
              <w:t>Relative to previous rating</w:t>
            </w:r>
          </w:p>
        </w:tc>
      </w:tr>
      <w:tr w:rsidR="00291D66" w:rsidTr="008645D5">
        <w:trPr>
          <w:cantSplit/>
        </w:trPr>
        <w:tc>
          <w:tcPr>
            <w:tcW w:w="5725" w:type="dxa"/>
            <w:shd w:val="clear" w:color="auto" w:fill="auto"/>
            <w:tcMar>
              <w:left w:w="57" w:type="dxa"/>
              <w:right w:w="57" w:type="dxa"/>
            </w:tcMar>
          </w:tcPr>
          <w:p w:rsidR="00291D66" w:rsidRPr="009914C1" w:rsidRDefault="00291D66" w:rsidP="00644CFA">
            <w:pPr>
              <w:pStyle w:val="TableTextEntries"/>
            </w:pPr>
            <w:r w:rsidRPr="00291D66">
              <w:rPr>
                <w:rStyle w:val="CharChar4"/>
                <w:rFonts w:ascii="Franklin Gothic Book" w:hAnsi="Franklin Gothic Book"/>
                <w:sz w:val="17"/>
                <w:szCs w:val="17"/>
              </w:rPr>
              <w:t>Improved management performance of urban water service delivery agencies</w:t>
            </w:r>
          </w:p>
        </w:tc>
        <w:tc>
          <w:tcPr>
            <w:tcW w:w="896" w:type="dxa"/>
            <w:shd w:val="clear" w:color="auto" w:fill="auto"/>
            <w:tcMar>
              <w:left w:w="57" w:type="dxa"/>
              <w:right w:w="57" w:type="dxa"/>
            </w:tcMar>
            <w:vAlign w:val="center"/>
          </w:tcPr>
          <w:p w:rsidR="00291D66" w:rsidRDefault="00907A26" w:rsidP="00644CFA">
            <w:pPr>
              <w:pStyle w:val="Ratingbullet"/>
            </w:pPr>
            <w:r>
              <w:rPr>
                <w:noProof/>
                <w:lang w:val="en-US"/>
              </w:rPr>
              <w:drawing>
                <wp:inline distT="0" distB="0" distL="0" distR="0" wp14:anchorId="6C0E400B" wp14:editId="79BBD962">
                  <wp:extent cx="149530" cy="149530"/>
                  <wp:effectExtent l="0" t="0" r="3175" b="3175"/>
                  <wp:docPr id="52" name="Picture 5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291D66" w:rsidRDefault="00291D66" w:rsidP="00644CFA">
            <w:pPr>
              <w:pStyle w:val="TableTextEntries"/>
              <w:jc w:val="center"/>
            </w:pPr>
            <w:r>
              <w:fldChar w:fldCharType="begin"/>
            </w:r>
            <w:r>
              <w:instrText xml:space="preserve"> AUTOTEXTLIST  \s "Table Text Entries"\t "Right click to choose a response" \* MERGEFORMAT </w:instrText>
            </w:r>
            <w:r>
              <w:fldChar w:fldCharType="separate"/>
            </w:r>
            <w:r w:rsidR="005720A7">
              <w:t>Declined</w:t>
            </w:r>
            <w:r>
              <w:fldChar w:fldCharType="end"/>
            </w:r>
          </w:p>
        </w:tc>
      </w:tr>
      <w:tr w:rsidR="00291D66" w:rsidTr="008645D5">
        <w:trPr>
          <w:cantSplit/>
        </w:trPr>
        <w:tc>
          <w:tcPr>
            <w:tcW w:w="5725" w:type="dxa"/>
            <w:shd w:val="clear" w:color="auto" w:fill="auto"/>
            <w:tcMar>
              <w:left w:w="57" w:type="dxa"/>
              <w:right w:w="57" w:type="dxa"/>
            </w:tcMar>
          </w:tcPr>
          <w:p w:rsidR="00291D66" w:rsidRDefault="00291D66" w:rsidP="00644CFA">
            <w:pPr>
              <w:pStyle w:val="TableTextEntries"/>
            </w:pPr>
            <w:r w:rsidRPr="00291D66">
              <w:t>Improved management performance of urban sanitation service delivery agencies</w:t>
            </w:r>
          </w:p>
        </w:tc>
        <w:tc>
          <w:tcPr>
            <w:tcW w:w="896" w:type="dxa"/>
            <w:shd w:val="clear" w:color="auto" w:fill="auto"/>
            <w:tcMar>
              <w:left w:w="57" w:type="dxa"/>
              <w:right w:w="57" w:type="dxa"/>
            </w:tcMar>
            <w:vAlign w:val="center"/>
          </w:tcPr>
          <w:p w:rsidR="00291D66" w:rsidRDefault="00907A26" w:rsidP="00644CFA">
            <w:pPr>
              <w:pStyle w:val="Ratingbullet"/>
            </w:pPr>
            <w:r>
              <w:rPr>
                <w:noProof/>
                <w:lang w:val="en-US"/>
              </w:rPr>
              <w:drawing>
                <wp:inline distT="0" distB="0" distL="0" distR="0" wp14:anchorId="368F7A51" wp14:editId="395436B0">
                  <wp:extent cx="149530" cy="149530"/>
                  <wp:effectExtent l="0" t="0" r="3175" b="3175"/>
                  <wp:docPr id="53" name="Picture 5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291D66" w:rsidRDefault="00291D66" w:rsidP="00644CFA">
            <w:pPr>
              <w:pStyle w:val="TableTextEntries"/>
              <w:jc w:val="center"/>
            </w:pPr>
            <w:r>
              <w:fldChar w:fldCharType="begin"/>
            </w:r>
            <w:r>
              <w:instrText xml:space="preserve"> AUTOTEXTLIST  \s "Table Text Entries"\t "Right click to choose a response" \* MERGEFORMAT </w:instrText>
            </w:r>
            <w:r>
              <w:fldChar w:fldCharType="separate"/>
            </w:r>
            <w:r w:rsidRPr="00DC463E">
              <w:t>Unchanged</w:t>
            </w:r>
            <w:r>
              <w:fldChar w:fldCharType="end"/>
            </w:r>
          </w:p>
        </w:tc>
      </w:tr>
      <w:tr w:rsidR="00291D66" w:rsidTr="008645D5">
        <w:trPr>
          <w:cantSplit/>
        </w:trPr>
        <w:tc>
          <w:tcPr>
            <w:tcW w:w="5725" w:type="dxa"/>
            <w:shd w:val="clear" w:color="auto" w:fill="auto"/>
            <w:tcMar>
              <w:left w:w="57" w:type="dxa"/>
              <w:right w:w="57" w:type="dxa"/>
            </w:tcMar>
          </w:tcPr>
          <w:p w:rsidR="00291D66" w:rsidRDefault="00291D66" w:rsidP="00644CFA">
            <w:pPr>
              <w:pStyle w:val="TableTextEntries"/>
            </w:pPr>
            <w:r w:rsidRPr="00291D66">
              <w:rPr>
                <w:rStyle w:val="CharChar4"/>
                <w:rFonts w:ascii="Franklin Gothic Book" w:hAnsi="Franklin Gothic Book"/>
                <w:sz w:val="17"/>
                <w:szCs w:val="17"/>
              </w:rPr>
              <w:t>Improved operational systems and procedures for city and district governments to deliver rural water services</w:t>
            </w:r>
          </w:p>
        </w:tc>
        <w:tc>
          <w:tcPr>
            <w:tcW w:w="896" w:type="dxa"/>
            <w:shd w:val="clear" w:color="auto" w:fill="auto"/>
            <w:tcMar>
              <w:left w:w="57" w:type="dxa"/>
              <w:right w:w="57" w:type="dxa"/>
            </w:tcMar>
            <w:vAlign w:val="center"/>
          </w:tcPr>
          <w:p w:rsidR="00291D66" w:rsidRDefault="00181000" w:rsidP="00644CFA">
            <w:pPr>
              <w:pStyle w:val="Ratingbullet"/>
            </w:pPr>
            <w:r>
              <w:rPr>
                <w:rFonts w:hint="cs"/>
                <w:noProof/>
                <w:rtl/>
                <w:lang w:val="en-US"/>
              </w:rPr>
              <w:drawing>
                <wp:inline distT="0" distB="0" distL="0" distR="0" wp14:anchorId="6EC2DFCB" wp14:editId="45105121">
                  <wp:extent cx="151821" cy="151821"/>
                  <wp:effectExtent l="0" t="0" r="635" b="635"/>
                  <wp:docPr id="96" name="Picture 9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291D66" w:rsidRDefault="00291D66" w:rsidP="00644CFA">
            <w:pPr>
              <w:pStyle w:val="TableTextEntries"/>
              <w:jc w:val="center"/>
            </w:pPr>
            <w:r>
              <w:fldChar w:fldCharType="begin"/>
            </w:r>
            <w:r>
              <w:instrText xml:space="preserve"> AUTOTEXTLIST  \s "Table Text Entries"\t "Right click to choose a response" \* MERGEFORMAT </w:instrText>
            </w:r>
            <w:r>
              <w:fldChar w:fldCharType="separate"/>
            </w:r>
            <w:r w:rsidR="005720A7">
              <w:t>Improved</w:t>
            </w:r>
            <w:r>
              <w:fldChar w:fldCharType="end"/>
            </w:r>
          </w:p>
        </w:tc>
      </w:tr>
      <w:tr w:rsidR="00291D66" w:rsidRPr="0058729F" w:rsidTr="008645D5">
        <w:trPr>
          <w:cantSplit/>
        </w:trPr>
        <w:tc>
          <w:tcPr>
            <w:tcW w:w="5725" w:type="dxa"/>
            <w:tcMar>
              <w:left w:w="57" w:type="dxa"/>
              <w:right w:w="57" w:type="dxa"/>
            </w:tcMar>
          </w:tcPr>
          <w:p w:rsidR="00291D66" w:rsidRPr="0058729F" w:rsidRDefault="00291D66" w:rsidP="00644CFA">
            <w:pPr>
              <w:pStyle w:val="TableTextEntries"/>
            </w:pPr>
            <w:r w:rsidRPr="00291D66">
              <w:rPr>
                <w:rStyle w:val="CharChar4"/>
                <w:rFonts w:ascii="Franklin Gothic Book" w:hAnsi="Franklin Gothic Book"/>
                <w:sz w:val="17"/>
                <w:szCs w:val="17"/>
              </w:rPr>
              <w:t>Improved operational systems and procedures for city and district governments to deliver rural sanitation services</w:t>
            </w:r>
          </w:p>
        </w:tc>
        <w:tc>
          <w:tcPr>
            <w:tcW w:w="896" w:type="dxa"/>
            <w:shd w:val="clear" w:color="auto" w:fill="auto"/>
            <w:tcMar>
              <w:left w:w="57" w:type="dxa"/>
              <w:right w:w="57" w:type="dxa"/>
            </w:tcMar>
            <w:vAlign w:val="center"/>
          </w:tcPr>
          <w:p w:rsidR="00291D66" w:rsidRPr="0058729F" w:rsidRDefault="00907A26" w:rsidP="00644CFA">
            <w:pPr>
              <w:pStyle w:val="Ratingbullet"/>
            </w:pPr>
            <w:r>
              <w:rPr>
                <w:noProof/>
                <w:lang w:val="en-US"/>
              </w:rPr>
              <w:drawing>
                <wp:inline distT="0" distB="0" distL="0" distR="0" wp14:anchorId="1E052580" wp14:editId="467C500E">
                  <wp:extent cx="149530" cy="149530"/>
                  <wp:effectExtent l="0" t="0" r="3175" b="3175"/>
                  <wp:docPr id="54" name="Picture 5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tcMar>
              <w:left w:w="57" w:type="dxa"/>
              <w:right w:w="57" w:type="dxa"/>
            </w:tcMar>
            <w:vAlign w:val="center"/>
          </w:tcPr>
          <w:p w:rsidR="00291D66" w:rsidRPr="0058729F" w:rsidRDefault="00291D66" w:rsidP="00644CFA">
            <w:pPr>
              <w:pStyle w:val="TableTextEntries"/>
              <w:jc w:val="center"/>
            </w:pPr>
            <w:r>
              <w:fldChar w:fldCharType="begin"/>
            </w:r>
            <w:r>
              <w:instrText xml:space="preserve"> AUTOTEXTLIST  \s "Table Text Entries"\t "Right click to choose a response" \* MERGEFORMAT </w:instrText>
            </w:r>
            <w:r>
              <w:fldChar w:fldCharType="separate"/>
            </w:r>
            <w:r w:rsidRPr="00DC463E">
              <w:t>Unchanged</w:t>
            </w:r>
            <w:r>
              <w:fldChar w:fldCharType="end"/>
            </w:r>
          </w:p>
        </w:tc>
      </w:tr>
      <w:tr w:rsidR="00291D66" w:rsidRPr="0058729F" w:rsidTr="008645D5">
        <w:trPr>
          <w:cantSplit/>
        </w:trPr>
        <w:tc>
          <w:tcPr>
            <w:tcW w:w="5725" w:type="dxa"/>
            <w:shd w:val="clear" w:color="auto" w:fill="auto"/>
            <w:tcMar>
              <w:left w:w="57" w:type="dxa"/>
              <w:right w:w="57" w:type="dxa"/>
            </w:tcMar>
          </w:tcPr>
          <w:p w:rsidR="00291D66" w:rsidRPr="00D81B5B" w:rsidRDefault="00291D66" w:rsidP="00644CFA">
            <w:pPr>
              <w:pStyle w:val="TableTextEntries"/>
            </w:pPr>
            <w:r w:rsidRPr="00291D66">
              <w:t xml:space="preserve">Improved delivery of urban water </w:t>
            </w:r>
            <w:r w:rsidRPr="00912D59">
              <w:t>(new outcome)</w:t>
            </w:r>
          </w:p>
        </w:tc>
        <w:tc>
          <w:tcPr>
            <w:tcW w:w="896" w:type="dxa"/>
            <w:shd w:val="clear" w:color="auto" w:fill="auto"/>
            <w:tcMar>
              <w:left w:w="57" w:type="dxa"/>
              <w:right w:w="57" w:type="dxa"/>
            </w:tcMar>
            <w:vAlign w:val="center"/>
          </w:tcPr>
          <w:p w:rsidR="00291D66" w:rsidRPr="0058729F" w:rsidRDefault="00181000" w:rsidP="00644CFA">
            <w:pPr>
              <w:pStyle w:val="Ratingbullet"/>
            </w:pPr>
            <w:r>
              <w:rPr>
                <w:rFonts w:hint="cs"/>
                <w:noProof/>
                <w:rtl/>
                <w:lang w:val="en-US"/>
              </w:rPr>
              <w:drawing>
                <wp:inline distT="0" distB="0" distL="0" distR="0" wp14:anchorId="2A17F78A" wp14:editId="7480236D">
                  <wp:extent cx="151821" cy="151821"/>
                  <wp:effectExtent l="0" t="0" r="635" b="635"/>
                  <wp:docPr id="97" name="Picture 9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291D66" w:rsidRPr="0058729F" w:rsidRDefault="00291D66" w:rsidP="00644CFA">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7D3340">
              <w:rPr>
                <w:bCs/>
              </w:rPr>
              <w:t>Not applicable</w:t>
            </w:r>
            <w:r>
              <w:rPr>
                <w:bCs/>
              </w:rPr>
              <w:fldChar w:fldCharType="end"/>
            </w:r>
          </w:p>
        </w:tc>
      </w:tr>
      <w:tr w:rsidR="00291D66" w:rsidRPr="0058729F" w:rsidTr="008645D5">
        <w:trPr>
          <w:cantSplit/>
        </w:trPr>
        <w:tc>
          <w:tcPr>
            <w:tcW w:w="5725" w:type="dxa"/>
            <w:shd w:val="clear" w:color="auto" w:fill="auto"/>
            <w:tcMar>
              <w:left w:w="57" w:type="dxa"/>
              <w:right w:w="57" w:type="dxa"/>
            </w:tcMar>
          </w:tcPr>
          <w:p w:rsidR="00291D66" w:rsidRPr="002218B4" w:rsidRDefault="00291D66" w:rsidP="00644CFA">
            <w:pPr>
              <w:pStyle w:val="TableTextEntries"/>
            </w:pPr>
            <w:r w:rsidRPr="00291D66">
              <w:t xml:space="preserve">Improved delivery of urban sanitation </w:t>
            </w:r>
            <w:r w:rsidRPr="00912D59">
              <w:t>(new outcome)</w:t>
            </w:r>
          </w:p>
        </w:tc>
        <w:tc>
          <w:tcPr>
            <w:tcW w:w="896" w:type="dxa"/>
            <w:shd w:val="clear" w:color="auto" w:fill="auto"/>
            <w:tcMar>
              <w:left w:w="57" w:type="dxa"/>
              <w:right w:w="57" w:type="dxa"/>
            </w:tcMar>
            <w:vAlign w:val="center"/>
          </w:tcPr>
          <w:p w:rsidR="00291D66" w:rsidRDefault="00907A26" w:rsidP="00644CFA">
            <w:pPr>
              <w:pStyle w:val="Ratingbullet"/>
            </w:pPr>
            <w:r>
              <w:rPr>
                <w:noProof/>
                <w:lang w:val="en-US"/>
              </w:rPr>
              <w:drawing>
                <wp:inline distT="0" distB="0" distL="0" distR="0" wp14:anchorId="72DBF293" wp14:editId="7AF5D37B">
                  <wp:extent cx="149530" cy="149530"/>
                  <wp:effectExtent l="0" t="0" r="3175" b="3175"/>
                  <wp:docPr id="55" name="Picture 5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291D66" w:rsidRDefault="00291D66" w:rsidP="00644CFA">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7D3340">
              <w:rPr>
                <w:bCs/>
              </w:rPr>
              <w:t>Not applicable</w:t>
            </w:r>
            <w:r>
              <w:rPr>
                <w:bCs/>
              </w:rPr>
              <w:fldChar w:fldCharType="end"/>
            </w:r>
          </w:p>
        </w:tc>
      </w:tr>
      <w:tr w:rsidR="00291D66" w:rsidRPr="0058729F" w:rsidTr="008645D5">
        <w:trPr>
          <w:cantSplit/>
        </w:trPr>
        <w:tc>
          <w:tcPr>
            <w:tcW w:w="5725" w:type="dxa"/>
            <w:shd w:val="clear" w:color="auto" w:fill="auto"/>
            <w:tcMar>
              <w:left w:w="57" w:type="dxa"/>
              <w:right w:w="57" w:type="dxa"/>
            </w:tcMar>
          </w:tcPr>
          <w:p w:rsidR="00291D66" w:rsidRPr="002218B4" w:rsidRDefault="00291D66" w:rsidP="00644CFA">
            <w:pPr>
              <w:pStyle w:val="TableTextEntries"/>
            </w:pPr>
            <w:proofErr w:type="spellStart"/>
            <w:r w:rsidRPr="00291D66">
              <w:rPr>
                <w:rStyle w:val="CharChar4"/>
                <w:rFonts w:ascii="Franklin Gothic Book" w:hAnsi="Franklin Gothic Book"/>
                <w:sz w:val="17"/>
                <w:szCs w:val="17"/>
              </w:rPr>
              <w:t>GoI</w:t>
            </w:r>
            <w:proofErr w:type="spellEnd"/>
            <w:r w:rsidRPr="00291D66">
              <w:rPr>
                <w:rStyle w:val="CharChar4"/>
                <w:rFonts w:ascii="Franklin Gothic Book" w:hAnsi="Franklin Gothic Book"/>
                <w:sz w:val="17"/>
                <w:szCs w:val="17"/>
              </w:rPr>
              <w:t xml:space="preserve"> policies adopted and applied by local government and community </w:t>
            </w:r>
            <w:proofErr w:type="spellStart"/>
            <w:r w:rsidRPr="00291D66">
              <w:rPr>
                <w:rStyle w:val="CharChar4"/>
                <w:rFonts w:ascii="Franklin Gothic Book" w:hAnsi="Franklin Gothic Book"/>
                <w:sz w:val="17"/>
                <w:szCs w:val="17"/>
              </w:rPr>
              <w:t>watsan</w:t>
            </w:r>
            <w:proofErr w:type="spellEnd"/>
            <w:r w:rsidRPr="00291D66">
              <w:rPr>
                <w:rStyle w:val="CharChar4"/>
                <w:rFonts w:ascii="Franklin Gothic Book" w:hAnsi="Franklin Gothic Book"/>
                <w:sz w:val="17"/>
                <w:szCs w:val="17"/>
              </w:rPr>
              <w:t xml:space="preserve"> providers</w:t>
            </w:r>
          </w:p>
        </w:tc>
        <w:tc>
          <w:tcPr>
            <w:tcW w:w="896" w:type="dxa"/>
            <w:shd w:val="clear" w:color="auto" w:fill="auto"/>
            <w:tcMar>
              <w:left w:w="57" w:type="dxa"/>
              <w:right w:w="57" w:type="dxa"/>
            </w:tcMar>
            <w:vAlign w:val="center"/>
          </w:tcPr>
          <w:p w:rsidR="00291D66" w:rsidRDefault="00181000" w:rsidP="00644CFA">
            <w:pPr>
              <w:pStyle w:val="Ratingbullet"/>
            </w:pPr>
            <w:r>
              <w:rPr>
                <w:rFonts w:hint="cs"/>
                <w:noProof/>
                <w:rtl/>
                <w:lang w:val="en-US"/>
              </w:rPr>
              <w:drawing>
                <wp:inline distT="0" distB="0" distL="0" distR="0" wp14:anchorId="43BF0D0B" wp14:editId="1364467A">
                  <wp:extent cx="151821" cy="151821"/>
                  <wp:effectExtent l="0" t="0" r="635" b="635"/>
                  <wp:docPr id="98" name="Picture 9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291D66" w:rsidRDefault="00291D66" w:rsidP="00644CFA">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005720A7" w:rsidRPr="005720A7">
              <w:rPr>
                <w:bCs/>
              </w:rPr>
              <w:t>Unchanged</w:t>
            </w:r>
            <w:r>
              <w:rPr>
                <w:bCs/>
              </w:rPr>
              <w:fldChar w:fldCharType="end"/>
            </w:r>
          </w:p>
        </w:tc>
      </w:tr>
    </w:tbl>
    <w:p w:rsidR="00044215" w:rsidRPr="00EF3996" w:rsidRDefault="00044215" w:rsidP="00612FF9">
      <w:pPr>
        <w:pStyle w:val="H2F"/>
      </w:pPr>
      <w:bookmarkStart w:id="65" w:name="_Toc293049964"/>
      <w:bookmarkStart w:id="66" w:name="_Toc360981848"/>
      <w:r>
        <w:t>Assessment of results and performance</w:t>
      </w:r>
      <w:bookmarkEnd w:id="65"/>
      <w:bookmarkEnd w:id="66"/>
    </w:p>
    <w:p w:rsidR="004C02D7" w:rsidRDefault="004C02D7" w:rsidP="004C02D7">
      <w:pPr>
        <w:pStyle w:val="BodyText"/>
      </w:pPr>
      <w:r>
        <w:t xml:space="preserve">While there is now consensus that rapid progress on water and sanitation is needed to support Indonesia’s urbanisation, there is some way to go for that to be reflected in well planned and regulated, high quality investment at the scale needed.  After years of falling short of targeted growth in household and community connections, </w:t>
      </w:r>
      <w:smartTag w:uri="urn:schemas-microsoft-com:office:smarttags" w:element="place">
        <w:smartTag w:uri="urn:schemas-microsoft-com:office:smarttags" w:element="country-region">
          <w:r>
            <w:t>Indonesia</w:t>
          </w:r>
        </w:smartTag>
      </w:smartTag>
      <w:r>
        <w:t xml:space="preserve"> will not meet the MDGs in water or sanitation.</w:t>
      </w:r>
    </w:p>
    <w:p w:rsidR="004C02D7" w:rsidRDefault="00B00064" w:rsidP="004C02D7">
      <w:pPr>
        <w:pStyle w:val="BodyText"/>
      </w:pPr>
      <w:r>
        <w:lastRenderedPageBreak/>
        <w:t>Water and sanitation</w:t>
      </w:r>
      <w:r w:rsidR="004C02D7">
        <w:t xml:space="preserve"> is struggling to maintain its share of national infrastructure funding, especially against competing claims from transport.  Local governments in particular need to lift their physical investment but also do more on public education to maximise community health benefits.  The potential for Public Private Partnerships </w:t>
      </w:r>
      <w:r w:rsidR="005079E1">
        <w:t xml:space="preserve">to </w:t>
      </w:r>
      <w:r w:rsidR="004C02D7">
        <w:t xml:space="preserve">meet a large proportion of </w:t>
      </w:r>
      <w:smartTag w:uri="urn:schemas-microsoft-com:office:smarttags" w:element="place">
        <w:smartTag w:uri="urn:schemas-microsoft-com:office:smarttags" w:element="country-region">
          <w:r w:rsidR="004C02D7">
            <w:t>Indonesia</w:t>
          </w:r>
        </w:smartTag>
      </w:smartTag>
      <w:r w:rsidR="004C02D7">
        <w:t>’s investment needs is a distant prospect in most infrastructure sectors, but probably more so in water and sanitation where multiple jurisdictions tend to be involved.  Decentralised management of much water and sanitation infrastructure also poses technical and management challenge</w:t>
      </w:r>
      <w:r w:rsidR="002050D2">
        <w:t>s</w:t>
      </w:r>
      <w:r w:rsidR="004C02D7">
        <w:t xml:space="preserve"> which </w:t>
      </w:r>
      <w:proofErr w:type="spellStart"/>
      <w:r w:rsidR="004C02D7">
        <w:t>GoI</w:t>
      </w:r>
      <w:proofErr w:type="spellEnd"/>
      <w:r w:rsidR="004C02D7">
        <w:t xml:space="preserve"> is now focusing on.</w:t>
      </w:r>
    </w:p>
    <w:p w:rsidR="004C02D7" w:rsidRDefault="004C02D7" w:rsidP="004C02D7">
      <w:pPr>
        <w:pStyle w:val="BodyText"/>
      </w:pPr>
      <w:proofErr w:type="spellStart"/>
      <w:r>
        <w:t>AusAID</w:t>
      </w:r>
      <w:proofErr w:type="spellEnd"/>
      <w:r>
        <w:t xml:space="preserve"> has now scaled up its </w:t>
      </w:r>
      <w:r>
        <w:rPr>
          <w:b/>
        </w:rPr>
        <w:t>Water and Sanitation</w:t>
      </w:r>
      <w:r w:rsidRPr="004F7457">
        <w:rPr>
          <w:b/>
        </w:rPr>
        <w:t xml:space="preserve"> </w:t>
      </w:r>
      <w:proofErr w:type="spellStart"/>
      <w:r w:rsidRPr="004F7457">
        <w:rPr>
          <w:b/>
        </w:rPr>
        <w:t>hibah</w:t>
      </w:r>
      <w:proofErr w:type="spellEnd"/>
      <w:r w:rsidR="00486DC0">
        <w:rPr>
          <w:rStyle w:val="FootnoteReference"/>
          <w:b/>
        </w:rPr>
        <w:footnoteReference w:id="16"/>
      </w:r>
      <w:r>
        <w:t xml:space="preserve"> programs and associated financial and planning work with city water and sanitation authorities.  Both are operated by or with assistance from the Indonesia Infrastructure Initiative (</w:t>
      </w:r>
      <w:proofErr w:type="spellStart"/>
      <w:r w:rsidRPr="00DC5F1D">
        <w:rPr>
          <w:rStyle w:val="AbbreviationChar"/>
        </w:rPr>
        <w:t>IndII</w:t>
      </w:r>
      <w:proofErr w:type="spellEnd"/>
      <w:r>
        <w:t>) in partnership with the Ministries of Finance and Works.  They are among the more promising developments taking place in the sector.  Their early success shows there is scope for further up-scaling of investment in household and community connections to introduce more efficient incentives and risk allocation among governments, instrumentalities and consumers.  Thirty eight local governments have signed up for the program and by December 2010 more than 27</w:t>
      </w:r>
      <w:r w:rsidR="00DC5F1D">
        <w:t> </w:t>
      </w:r>
      <w:r>
        <w:t xml:space="preserve">000 new household </w:t>
      </w:r>
      <w:r w:rsidR="00486DC0">
        <w:t xml:space="preserve">water </w:t>
      </w:r>
      <w:r>
        <w:t>connections had been installed that benefit more than 135</w:t>
      </w:r>
      <w:r w:rsidR="00DC5F1D">
        <w:t> </w:t>
      </w:r>
      <w:r>
        <w:t>000 people.  Interest in the project is growing from local governments and other donors.</w:t>
      </w:r>
    </w:p>
    <w:p w:rsidR="004C02D7" w:rsidRDefault="004C02D7" w:rsidP="004C02D7">
      <w:pPr>
        <w:pStyle w:val="BodyText"/>
      </w:pPr>
      <w:smartTag w:uri="urn:schemas-microsoft-com:office:smarttags" w:element="place">
        <w:smartTag w:uri="urn:schemas-microsoft-com:office:smarttags" w:element="country-region">
          <w:r>
            <w:t>Australia</w:t>
          </w:r>
        </w:smartTag>
      </w:smartTag>
      <w:r>
        <w:t xml:space="preserve">’s </w:t>
      </w:r>
      <w:r w:rsidR="00B00064">
        <w:t>water and sanitation</w:t>
      </w:r>
      <w:r>
        <w:t xml:space="preserve"> investment in rural and peri-urban areas is made through the World Bank managed </w:t>
      </w:r>
      <w:r w:rsidRPr="00DC5F1D">
        <w:rPr>
          <w:rStyle w:val="AbbreviationChar"/>
        </w:rPr>
        <w:t>PAMSIMAS</w:t>
      </w:r>
      <w:r>
        <w:t xml:space="preserve"> program.  After a slow start in 2010, </w:t>
      </w:r>
      <w:r w:rsidRPr="002D51D6">
        <w:rPr>
          <w:rStyle w:val="AbbreviationChar"/>
        </w:rPr>
        <w:t>PAMSIMAS</w:t>
      </w:r>
      <w:r>
        <w:t xml:space="preserve"> has now overcome technical and political impediments and is improving </w:t>
      </w:r>
      <w:r w:rsidR="00B00064">
        <w:t>water and sanitation</w:t>
      </w:r>
      <w:r>
        <w:t xml:space="preserve"> services for two million Indonesians in rural and peri-urban areas.  More than 3804 villages now have access to safe water supply and the 30 best performing villages have expanded their services using the Australian grant.  The World Bank managed </w:t>
      </w:r>
      <w:proofErr w:type="spellStart"/>
      <w:r w:rsidRPr="002D51D6">
        <w:rPr>
          <w:rStyle w:val="AbbreviationChar"/>
          <w:b/>
        </w:rPr>
        <w:t>Waspola</w:t>
      </w:r>
      <w:proofErr w:type="spellEnd"/>
      <w:r w:rsidRPr="002D51D6">
        <w:rPr>
          <w:rStyle w:val="AbbreviationChar"/>
        </w:rPr>
        <w:t xml:space="preserve"> </w:t>
      </w:r>
      <w:r>
        <w:t xml:space="preserve">Facility, supporting </w:t>
      </w:r>
      <w:r w:rsidR="00B00064">
        <w:t>water and sanitation</w:t>
      </w:r>
      <w:r>
        <w:t xml:space="preserve"> policy formulation and implementation, has struggled to become fully operational due to an overambitious set of objectives.</w:t>
      </w:r>
    </w:p>
    <w:p w:rsidR="00044215" w:rsidRDefault="00044215" w:rsidP="00612FF9">
      <w:pPr>
        <w:pStyle w:val="H2F"/>
      </w:pPr>
      <w:bookmarkStart w:id="67" w:name="_Toc293049965"/>
      <w:bookmarkStart w:id="68" w:name="_Toc360981849"/>
      <w:r>
        <w:t xml:space="preserve">Factors contributing </w:t>
      </w:r>
      <w:r w:rsidR="00C411B2">
        <w:t xml:space="preserve">to </w:t>
      </w:r>
      <w:r>
        <w:t>or hampering success</w:t>
      </w:r>
      <w:bookmarkEnd w:id="67"/>
      <w:bookmarkEnd w:id="68"/>
    </w:p>
    <w:p w:rsidR="004C02D7" w:rsidRDefault="004C02D7" w:rsidP="004C02D7">
      <w:pPr>
        <w:pStyle w:val="BodyText"/>
      </w:pPr>
      <w:r>
        <w:t xml:space="preserve">A critical element of success in </w:t>
      </w:r>
      <w:r w:rsidR="00B00064">
        <w:t>water and sanitation</w:t>
      </w:r>
      <w:r>
        <w:t xml:space="preserve"> is community demand for better public provision and local government buy</w:t>
      </w:r>
      <w:r>
        <w:noBreakHyphen/>
        <w:t xml:space="preserve">in.  Particularly advantageous is preparedness to make pricing and financing decisions to support sustained uptake in </w:t>
      </w:r>
      <w:r w:rsidR="00B00064">
        <w:t>water and sanitation</w:t>
      </w:r>
      <w:r>
        <w:t xml:space="preserve"> coverage and free up the time of key officials to take work forward.  Local government interest can change quickly</w:t>
      </w:r>
      <w:r w:rsidR="00B13DD8">
        <w:t>, so</w:t>
      </w:r>
      <w:r>
        <w:t xml:space="preserve"> donors need to be in a position to respond</w:t>
      </w:r>
      <w:r w:rsidR="00B13DD8">
        <w:t xml:space="preserve"> fast</w:t>
      </w:r>
      <w:r>
        <w:t>.  This is an argument against working through the multilaterals in some instances.</w:t>
      </w:r>
    </w:p>
    <w:p w:rsidR="00044215" w:rsidRPr="00612FF9" w:rsidRDefault="00044215" w:rsidP="00612FF9">
      <w:pPr>
        <w:pStyle w:val="H2F"/>
      </w:pPr>
      <w:bookmarkStart w:id="69" w:name="_Toc293049966"/>
      <w:bookmarkStart w:id="70" w:name="_Toc360981850"/>
      <w:r w:rsidRPr="00612FF9">
        <w:t>Management consequences</w:t>
      </w:r>
      <w:bookmarkEnd w:id="69"/>
      <w:bookmarkEnd w:id="70"/>
    </w:p>
    <w:p w:rsidR="004A33BB" w:rsidRDefault="004A33BB" w:rsidP="004A33BB">
      <w:pPr>
        <w:pStyle w:val="BodyText"/>
      </w:pPr>
      <w:r>
        <w:t xml:space="preserve">Sustainability of the </w:t>
      </w:r>
      <w:proofErr w:type="spellStart"/>
      <w:r w:rsidRPr="002D51D6">
        <w:rPr>
          <w:rStyle w:val="AbbreviationChar"/>
        </w:rPr>
        <w:t>hibah</w:t>
      </w:r>
      <w:proofErr w:type="spellEnd"/>
      <w:r>
        <w:t xml:space="preserve"> model is a priority and to this end we are sharing our experience in realising it and the lessons to take forward.  One of these is that there is merit in rolling out full cost recovery pricing more broadly in achieving financial sustainability in the water sector.  Another lesson is that for sanitation connections, the </w:t>
      </w:r>
      <w:proofErr w:type="spellStart"/>
      <w:r>
        <w:t>hibah</w:t>
      </w:r>
      <w:proofErr w:type="spellEnd"/>
      <w:r>
        <w:t xml:space="preserve"> approach needs to be revisited; the private benefit is lower as a proportion of total cost, especially where there is incomplete coverage.</w:t>
      </w:r>
    </w:p>
    <w:p w:rsidR="004A33BB" w:rsidRDefault="004A33BB" w:rsidP="004A33BB">
      <w:pPr>
        <w:pStyle w:val="BodyText"/>
      </w:pPr>
      <w:r>
        <w:lastRenderedPageBreak/>
        <w:t xml:space="preserve">The Ministries of Home Affairs and Finance will be approached to assist with engaging heads of districts, remove borrowing impediments, and advance our work on financial management capacity building with urban water authorities.  Our engagement on PAMSIMAS will be elevated to ensure it makes up lost time in the completion of activities in 400 villages.  Lastly, consideration will be given to taking </w:t>
      </w:r>
      <w:proofErr w:type="spellStart"/>
      <w:r>
        <w:t>IndII’s</w:t>
      </w:r>
      <w:proofErr w:type="spellEnd"/>
      <w:r>
        <w:t xml:space="preserve"> work on urban wastewater investment plans to the next level via detailed design work.</w:t>
      </w:r>
    </w:p>
    <w:p w:rsidR="00044215" w:rsidRPr="003E4C57" w:rsidRDefault="00044215" w:rsidP="00612FF9">
      <w:pPr>
        <w:pStyle w:val="H2F"/>
        <w:rPr>
          <w:highlight w:val="magenta"/>
        </w:rPr>
      </w:pPr>
      <w:bookmarkStart w:id="71" w:name="_Toc293049967"/>
      <w:bookmarkStart w:id="72" w:name="_Toc360981851"/>
      <w:r>
        <w:t>Estimated e</w:t>
      </w:r>
      <w:r w:rsidRPr="00E271CD">
        <w:t>xpenditure</w:t>
      </w:r>
      <w:r>
        <w:t xml:space="preserve"> in 2010</w:t>
      </w:r>
      <w:bookmarkEnd w:id="71"/>
      <w:bookmarkEnd w:id="72"/>
    </w:p>
    <w:tbl>
      <w:tblPr>
        <w:tblW w:w="0" w:type="auto"/>
        <w:tblInd w:w="57" w:type="dxa"/>
        <w:tblLayout w:type="fixed"/>
        <w:tblLook w:val="0000" w:firstRow="0" w:lastRow="0" w:firstColumn="0" w:lastColumn="0" w:noHBand="0" w:noVBand="0"/>
      </w:tblPr>
      <w:tblGrid>
        <w:gridCol w:w="5683"/>
        <w:gridCol w:w="1127"/>
        <w:gridCol w:w="1128"/>
      </w:tblGrid>
      <w:tr w:rsidR="00044215"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pPr>
            <w:r>
              <w:t>% of bilateral program</w:t>
            </w:r>
          </w:p>
        </w:tc>
      </w:tr>
      <w:tr w:rsidR="00044215" w:rsidRPr="002452D0" w:rsidTr="00027A09">
        <w:trPr>
          <w:cantSplit/>
        </w:trPr>
        <w:tc>
          <w:tcPr>
            <w:tcW w:w="5683" w:type="dxa"/>
            <w:tcBorders>
              <w:bottom w:val="single" w:sz="12" w:space="0" w:color="auto"/>
            </w:tcBorders>
            <w:shd w:val="clear" w:color="auto" w:fill="auto"/>
            <w:tcMar>
              <w:left w:w="57" w:type="dxa"/>
              <w:right w:w="57" w:type="dxa"/>
            </w:tcMar>
          </w:tcPr>
          <w:p w:rsidR="00044215" w:rsidRPr="002452D0" w:rsidRDefault="00044215">
            <w:pPr>
              <w:pStyle w:val="TableDataEntries"/>
              <w:jc w:val="left"/>
            </w:pPr>
            <w:r>
              <w:t>Water and sanitation</w:t>
            </w:r>
          </w:p>
        </w:tc>
        <w:tc>
          <w:tcPr>
            <w:tcW w:w="1127" w:type="dxa"/>
            <w:tcBorders>
              <w:bottom w:val="single" w:sz="12" w:space="0" w:color="auto"/>
            </w:tcBorders>
            <w:shd w:val="clear" w:color="auto" w:fill="auto"/>
            <w:tcMar>
              <w:left w:w="57" w:type="dxa"/>
              <w:right w:w="57" w:type="dxa"/>
            </w:tcMar>
          </w:tcPr>
          <w:p w:rsidR="00044215" w:rsidRPr="002452D0" w:rsidRDefault="00044215">
            <w:pPr>
              <w:pStyle w:val="TableDataEntries"/>
            </w:pPr>
            <w:r>
              <w:t>34.2</w:t>
            </w:r>
          </w:p>
        </w:tc>
        <w:tc>
          <w:tcPr>
            <w:tcW w:w="1128" w:type="dxa"/>
            <w:tcBorders>
              <w:bottom w:val="single" w:sz="12" w:space="0" w:color="auto"/>
            </w:tcBorders>
            <w:shd w:val="clear" w:color="auto" w:fill="auto"/>
            <w:tcMar>
              <w:left w:w="57" w:type="dxa"/>
              <w:right w:w="57" w:type="dxa"/>
            </w:tcMar>
          </w:tcPr>
          <w:p w:rsidR="00044215" w:rsidRPr="002452D0" w:rsidRDefault="00C101A2">
            <w:pPr>
              <w:pStyle w:val="TableDataEntries"/>
            </w:pPr>
            <w:r>
              <w:t>8.</w:t>
            </w:r>
            <w:r w:rsidR="008A546A">
              <w:t>7</w:t>
            </w:r>
            <w:r>
              <w:t>%</w:t>
            </w:r>
          </w:p>
        </w:tc>
      </w:tr>
    </w:tbl>
    <w:p w:rsidR="00044215" w:rsidRDefault="00044215" w:rsidP="00912D59">
      <w:pPr>
        <w:pStyle w:val="Note"/>
      </w:pPr>
      <w:r w:rsidRPr="00C05EB3">
        <w:t xml:space="preserve">Source: </w:t>
      </w:r>
      <w:r w:rsidR="00912D59">
        <w:t xml:space="preserve">2009-2010 fiscal year’s expenditures in </w:t>
      </w:r>
      <w:proofErr w:type="spellStart"/>
      <w:r w:rsidR="00912D59">
        <w:t>AidWorks</w:t>
      </w:r>
      <w:proofErr w:type="spellEnd"/>
    </w:p>
    <w:p w:rsidR="00044215" w:rsidRDefault="00044215" w:rsidP="00683977">
      <w:pPr>
        <w:pStyle w:val="Heading2"/>
      </w:pPr>
      <w:bookmarkStart w:id="73" w:name="_Toc293049968"/>
      <w:bookmarkStart w:id="74" w:name="_Toc300905108"/>
      <w:bookmarkStart w:id="75" w:name="_Toc360981852"/>
      <w:r>
        <w:t>Transport and connectivity</w:t>
      </w:r>
      <w:bookmarkEnd w:id="73"/>
      <w:bookmarkEnd w:id="74"/>
      <w:bookmarkEnd w:id="75"/>
    </w:p>
    <w:p w:rsidR="00683977" w:rsidRDefault="00135070" w:rsidP="00612FF9">
      <w:pPr>
        <w:pStyle w:val="H2F"/>
      </w:pPr>
      <w:bookmarkStart w:id="76" w:name="_Toc293049969"/>
      <w:r>
        <w:br w:type="page"/>
      </w:r>
      <w:bookmarkStart w:id="77" w:name="_Toc360981853"/>
      <w:r w:rsidR="00683977">
        <w:lastRenderedPageBreak/>
        <w:t>Transport and connectivity</w:t>
      </w:r>
      <w:bookmarkEnd w:id="77"/>
      <w:r w:rsidR="00683977">
        <w:t xml:space="preserve"> </w:t>
      </w:r>
    </w:p>
    <w:p w:rsidR="00044215" w:rsidRDefault="00044215" w:rsidP="00612FF9">
      <w:pPr>
        <w:pStyle w:val="Heading3"/>
      </w:pPr>
      <w:bookmarkStart w:id="78" w:name="_Toc360981854"/>
      <w:r>
        <w:t>Rating</w:t>
      </w:r>
      <w:bookmarkEnd w:id="76"/>
      <w:bookmarkEnd w:id="78"/>
    </w:p>
    <w:tbl>
      <w:tblPr>
        <w:tblW w:w="0" w:type="auto"/>
        <w:tblInd w:w="57" w:type="dxa"/>
        <w:tblLook w:val="01E0" w:firstRow="1" w:lastRow="1" w:firstColumn="1" w:lastColumn="1" w:noHBand="0" w:noVBand="0"/>
      </w:tblPr>
      <w:tblGrid>
        <w:gridCol w:w="5709"/>
        <w:gridCol w:w="895"/>
        <w:gridCol w:w="1315"/>
      </w:tblGrid>
      <w:tr w:rsidR="00C445CF" w:rsidTr="00027A09">
        <w:trPr>
          <w:cantSplit/>
          <w:tblHeader/>
        </w:trPr>
        <w:tc>
          <w:tcPr>
            <w:tcW w:w="5725" w:type="dxa"/>
            <w:shd w:val="clear" w:color="auto" w:fill="F5F1CC"/>
            <w:tcMar>
              <w:left w:w="57" w:type="dxa"/>
              <w:right w:w="57" w:type="dxa"/>
            </w:tcMar>
            <w:vAlign w:val="center"/>
          </w:tcPr>
          <w:p w:rsidR="00C445CF" w:rsidRDefault="005079E1" w:rsidP="00A54966">
            <w:pPr>
              <w:pStyle w:val="TableTextEntries"/>
            </w:pPr>
            <w:r>
              <w:t>Objectives</w:t>
            </w:r>
          </w:p>
        </w:tc>
        <w:tc>
          <w:tcPr>
            <w:tcW w:w="896" w:type="dxa"/>
            <w:shd w:val="clear" w:color="auto" w:fill="F5F1CC"/>
            <w:tcMar>
              <w:left w:w="57" w:type="dxa"/>
              <w:right w:w="57" w:type="dxa"/>
            </w:tcMar>
            <w:vAlign w:val="center"/>
          </w:tcPr>
          <w:p w:rsidR="00C445CF" w:rsidRDefault="00C445CF" w:rsidP="00C445CF">
            <w:pPr>
              <w:pStyle w:val="TableTextEntries"/>
              <w:jc w:val="center"/>
            </w:pPr>
            <w:r>
              <w:t>Rating in 2010</w:t>
            </w:r>
          </w:p>
        </w:tc>
        <w:tc>
          <w:tcPr>
            <w:tcW w:w="1316" w:type="dxa"/>
            <w:shd w:val="clear" w:color="auto" w:fill="F5F1CC"/>
            <w:tcMar>
              <w:left w:w="57" w:type="dxa"/>
              <w:right w:w="57" w:type="dxa"/>
            </w:tcMar>
            <w:vAlign w:val="center"/>
          </w:tcPr>
          <w:p w:rsidR="00C445CF" w:rsidRDefault="00C445CF" w:rsidP="00C445CF">
            <w:pPr>
              <w:pStyle w:val="TableTextEntries"/>
              <w:jc w:val="center"/>
              <w:rPr>
                <w:bCs/>
              </w:rPr>
            </w:pPr>
            <w:r>
              <w:rPr>
                <w:bCs/>
              </w:rPr>
              <w:t>Relative to previous rating</w:t>
            </w:r>
          </w:p>
        </w:tc>
      </w:tr>
      <w:tr w:rsidR="00B355BA" w:rsidTr="008645D5">
        <w:trPr>
          <w:cantSplit/>
        </w:trPr>
        <w:tc>
          <w:tcPr>
            <w:tcW w:w="5725" w:type="dxa"/>
            <w:shd w:val="clear" w:color="auto" w:fill="auto"/>
            <w:tcMar>
              <w:left w:w="57" w:type="dxa"/>
              <w:right w:w="57" w:type="dxa"/>
            </w:tcMar>
          </w:tcPr>
          <w:p w:rsidR="00B355BA" w:rsidRPr="00F65017" w:rsidRDefault="00B355BA" w:rsidP="00B355BA">
            <w:pPr>
              <w:pStyle w:val="TableTextEntries"/>
            </w:pPr>
            <w:r w:rsidRPr="00F65017">
              <w:t>Strategic regional sections of the national road network built or upgraded to a national standard</w:t>
            </w:r>
          </w:p>
        </w:tc>
        <w:tc>
          <w:tcPr>
            <w:tcW w:w="896" w:type="dxa"/>
            <w:shd w:val="clear" w:color="auto" w:fill="auto"/>
            <w:tcMar>
              <w:left w:w="57" w:type="dxa"/>
              <w:right w:w="57" w:type="dxa"/>
            </w:tcMar>
            <w:vAlign w:val="center"/>
          </w:tcPr>
          <w:p w:rsidR="00B355BA" w:rsidRDefault="00907A26" w:rsidP="00A54966">
            <w:pPr>
              <w:pStyle w:val="Ratingbullet"/>
            </w:pPr>
            <w:r>
              <w:rPr>
                <w:noProof/>
                <w:lang w:val="en-US"/>
              </w:rPr>
              <w:drawing>
                <wp:inline distT="0" distB="0" distL="0" distR="0" wp14:anchorId="190AE091" wp14:editId="5155E707">
                  <wp:extent cx="149530" cy="149530"/>
                  <wp:effectExtent l="0" t="0" r="3175" b="3175"/>
                  <wp:docPr id="56" name="Picture 5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B355BA" w:rsidRDefault="00B355BA"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B1489">
              <w:rPr>
                <w:bCs/>
              </w:rPr>
              <w:t>Unchanged</w:t>
            </w:r>
            <w:r>
              <w:rPr>
                <w:bCs/>
              </w:rPr>
              <w:fldChar w:fldCharType="end"/>
            </w:r>
          </w:p>
        </w:tc>
      </w:tr>
      <w:tr w:rsidR="00B355BA" w:rsidTr="008645D5">
        <w:trPr>
          <w:cantSplit/>
        </w:trPr>
        <w:tc>
          <w:tcPr>
            <w:tcW w:w="5725" w:type="dxa"/>
            <w:shd w:val="clear" w:color="auto" w:fill="auto"/>
            <w:tcMar>
              <w:left w:w="57" w:type="dxa"/>
              <w:right w:w="57" w:type="dxa"/>
            </w:tcMar>
          </w:tcPr>
          <w:p w:rsidR="00B355BA" w:rsidRPr="00F65017" w:rsidRDefault="00B355BA" w:rsidP="00B355BA">
            <w:pPr>
              <w:pStyle w:val="TableTextEntries"/>
            </w:pPr>
            <w:r w:rsidRPr="00F65017">
              <w:t xml:space="preserve">Improved </w:t>
            </w:r>
            <w:r w:rsidR="008E7EF4">
              <w:t>Directorate General of Highways</w:t>
            </w:r>
            <w:r w:rsidR="008E7EF4" w:rsidRPr="00F65017">
              <w:t xml:space="preserve"> </w:t>
            </w:r>
            <w:r w:rsidRPr="00F65017">
              <w:t>business processes (design, procurement, supervision) for works on National Roads</w:t>
            </w:r>
          </w:p>
        </w:tc>
        <w:tc>
          <w:tcPr>
            <w:tcW w:w="896" w:type="dxa"/>
            <w:shd w:val="clear" w:color="auto" w:fill="auto"/>
            <w:tcMar>
              <w:left w:w="57" w:type="dxa"/>
              <w:right w:w="57" w:type="dxa"/>
            </w:tcMar>
            <w:vAlign w:val="center"/>
          </w:tcPr>
          <w:p w:rsidR="00B355BA" w:rsidRDefault="00907A26" w:rsidP="00A54966">
            <w:pPr>
              <w:pStyle w:val="Ratingbullet"/>
            </w:pPr>
            <w:r>
              <w:rPr>
                <w:noProof/>
                <w:lang w:val="en-US"/>
              </w:rPr>
              <w:drawing>
                <wp:inline distT="0" distB="0" distL="0" distR="0" wp14:anchorId="678CD4E7" wp14:editId="20D08833">
                  <wp:extent cx="149530" cy="149530"/>
                  <wp:effectExtent l="0" t="0" r="3175" b="3175"/>
                  <wp:docPr id="57" name="Picture 5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B355BA" w:rsidRDefault="00B355BA"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B1489">
              <w:rPr>
                <w:bCs/>
              </w:rPr>
              <w:t>Unchanged</w:t>
            </w:r>
            <w:r>
              <w:rPr>
                <w:bCs/>
              </w:rPr>
              <w:fldChar w:fldCharType="end"/>
            </w:r>
          </w:p>
        </w:tc>
      </w:tr>
      <w:tr w:rsidR="00B355BA" w:rsidTr="008645D5">
        <w:trPr>
          <w:cantSplit/>
        </w:trPr>
        <w:tc>
          <w:tcPr>
            <w:tcW w:w="5725" w:type="dxa"/>
            <w:shd w:val="clear" w:color="auto" w:fill="auto"/>
            <w:tcMar>
              <w:left w:w="57" w:type="dxa"/>
              <w:right w:w="57" w:type="dxa"/>
            </w:tcMar>
          </w:tcPr>
          <w:p w:rsidR="00B355BA" w:rsidRPr="00F65017" w:rsidRDefault="00B355BA" w:rsidP="00B355BA">
            <w:pPr>
              <w:pStyle w:val="TableTextEntries"/>
            </w:pPr>
            <w:r w:rsidRPr="00F65017">
              <w:t>Better informed budgeting (social and economic benefits) of transport investments</w:t>
            </w:r>
          </w:p>
        </w:tc>
        <w:tc>
          <w:tcPr>
            <w:tcW w:w="896" w:type="dxa"/>
            <w:shd w:val="clear" w:color="auto" w:fill="auto"/>
            <w:tcMar>
              <w:left w:w="57" w:type="dxa"/>
              <w:right w:w="57" w:type="dxa"/>
            </w:tcMar>
            <w:vAlign w:val="center"/>
          </w:tcPr>
          <w:p w:rsidR="00B355BA" w:rsidRDefault="00181000" w:rsidP="00A54966">
            <w:pPr>
              <w:pStyle w:val="Ratingbullet"/>
            </w:pPr>
            <w:r>
              <w:rPr>
                <w:rFonts w:hint="cs"/>
                <w:noProof/>
                <w:rtl/>
                <w:lang w:val="en-US"/>
              </w:rPr>
              <w:drawing>
                <wp:inline distT="0" distB="0" distL="0" distR="0" wp14:anchorId="7B05BDAD" wp14:editId="264A9C0C">
                  <wp:extent cx="151821" cy="151821"/>
                  <wp:effectExtent l="0" t="0" r="635" b="635"/>
                  <wp:docPr id="99" name="Picture 9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B355BA" w:rsidRDefault="00B355BA"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00D45BA2" w:rsidRPr="00D45BA2">
              <w:rPr>
                <w:bCs/>
              </w:rPr>
              <w:t>Unchanged</w:t>
            </w:r>
            <w:r>
              <w:rPr>
                <w:bCs/>
              </w:rPr>
              <w:fldChar w:fldCharType="end"/>
            </w:r>
          </w:p>
        </w:tc>
      </w:tr>
      <w:tr w:rsidR="00B355BA" w:rsidTr="008645D5">
        <w:trPr>
          <w:cantSplit/>
        </w:trPr>
        <w:tc>
          <w:tcPr>
            <w:tcW w:w="5725" w:type="dxa"/>
            <w:shd w:val="clear" w:color="auto" w:fill="auto"/>
            <w:tcMar>
              <w:left w:w="57" w:type="dxa"/>
              <w:right w:w="57" w:type="dxa"/>
            </w:tcMar>
          </w:tcPr>
          <w:p w:rsidR="00B355BA" w:rsidRPr="00F65017" w:rsidRDefault="00B355BA" w:rsidP="00B355BA">
            <w:pPr>
              <w:pStyle w:val="TableTextEntries"/>
            </w:pPr>
            <w:r w:rsidRPr="00F65017">
              <w:t xml:space="preserve">Greater coherence and integration of </w:t>
            </w:r>
            <w:proofErr w:type="spellStart"/>
            <w:r w:rsidRPr="00F65017">
              <w:t>GoI</w:t>
            </w:r>
            <w:proofErr w:type="spellEnd"/>
            <w:r w:rsidRPr="00F65017">
              <w:t xml:space="preserve"> policies across transport and communication infrastructure</w:t>
            </w:r>
          </w:p>
        </w:tc>
        <w:tc>
          <w:tcPr>
            <w:tcW w:w="896" w:type="dxa"/>
            <w:shd w:val="clear" w:color="auto" w:fill="auto"/>
            <w:tcMar>
              <w:left w:w="57" w:type="dxa"/>
              <w:right w:w="57" w:type="dxa"/>
            </w:tcMar>
            <w:vAlign w:val="center"/>
          </w:tcPr>
          <w:p w:rsidR="00B355BA" w:rsidRDefault="00907A26" w:rsidP="00A54966">
            <w:pPr>
              <w:pStyle w:val="Ratingbullet"/>
            </w:pPr>
            <w:r>
              <w:rPr>
                <w:noProof/>
                <w:lang w:val="en-US"/>
              </w:rPr>
              <w:drawing>
                <wp:inline distT="0" distB="0" distL="0" distR="0" wp14:anchorId="17513820" wp14:editId="21E2ED35">
                  <wp:extent cx="149530" cy="149530"/>
                  <wp:effectExtent l="0" t="0" r="3175" b="3175"/>
                  <wp:docPr id="58" name="Picture 5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B355BA" w:rsidRDefault="00B355BA"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Declined</w:t>
            </w:r>
            <w:r>
              <w:rPr>
                <w:bCs/>
              </w:rPr>
              <w:fldChar w:fldCharType="end"/>
            </w:r>
          </w:p>
        </w:tc>
      </w:tr>
    </w:tbl>
    <w:p w:rsidR="00044215" w:rsidRPr="00044215" w:rsidRDefault="00044215" w:rsidP="00612FF9">
      <w:pPr>
        <w:pStyle w:val="H2F"/>
      </w:pPr>
      <w:bookmarkStart w:id="79" w:name="_Toc293049970"/>
      <w:bookmarkStart w:id="80" w:name="_Toc360981855"/>
      <w:r w:rsidRPr="00044215">
        <w:t>Assessment of results and performance</w:t>
      </w:r>
      <w:bookmarkEnd w:id="79"/>
      <w:bookmarkEnd w:id="80"/>
    </w:p>
    <w:p w:rsidR="00DF7BDA" w:rsidRDefault="00D45BA2" w:rsidP="00DF7BDA">
      <w:pPr>
        <w:pStyle w:val="BodyText"/>
      </w:pPr>
      <w:r>
        <w:t xml:space="preserve">Awareness continues to build about the extent </w:t>
      </w:r>
      <w:r w:rsidR="00DF7BDA">
        <w:t xml:space="preserve">that the poor condition, inadequate capacity and coverage of </w:t>
      </w:r>
      <w:r>
        <w:t xml:space="preserve">transport infrastructure </w:t>
      </w:r>
      <w:r w:rsidR="00DF7BDA">
        <w:t xml:space="preserve">and services </w:t>
      </w:r>
      <w:r>
        <w:t xml:space="preserve">is the ‘binding constraint’ to </w:t>
      </w:r>
      <w:smartTag w:uri="urn:schemas-microsoft-com:office:smarttags" w:element="place">
        <w:smartTag w:uri="urn:schemas-microsoft-com:office:smarttags" w:element="country-region">
          <w:r>
            <w:t>Indonesia</w:t>
          </w:r>
        </w:smartTag>
      </w:smartTag>
      <w:r>
        <w:t xml:space="preserve">’s </w:t>
      </w:r>
      <w:r w:rsidR="00DF7BDA">
        <w:t xml:space="preserve">sustainable and regionally balanced economic and social </w:t>
      </w:r>
      <w:r>
        <w:t>development</w:t>
      </w:r>
      <w:r w:rsidR="00DF7BDA">
        <w:t xml:space="preserve">. Despite recent increases, public investment has not kept pace with demand and efforts to mobilise private investment in tollways, railways and ports have </w:t>
      </w:r>
      <w:r w:rsidR="005D795D">
        <w:t>had</w:t>
      </w:r>
      <w:r w:rsidR="00DF7BDA">
        <w:t xml:space="preserve"> limited success.  Congestion is worsening in major cities, on the arterial links that connect them, thereby contributing to high inter-island cargo costs and impeding the operations of major seaports, notably </w:t>
      </w:r>
      <w:proofErr w:type="spellStart"/>
      <w:r w:rsidR="00DF7BDA">
        <w:t>Tanjung</w:t>
      </w:r>
      <w:proofErr w:type="spellEnd"/>
      <w:r w:rsidR="00DF7BDA">
        <w:t xml:space="preserve"> </w:t>
      </w:r>
      <w:proofErr w:type="spellStart"/>
      <w:r w:rsidR="00DF7BDA">
        <w:t>Priok</w:t>
      </w:r>
      <w:proofErr w:type="spellEnd"/>
      <w:r w:rsidR="00DF7BDA">
        <w:t>.  At the same time, underfunding and sub-optimal implementation of sub-national road maintenance has caused access to deteriorate for many rural and remote communities.</w:t>
      </w:r>
    </w:p>
    <w:p w:rsidR="00D45BA2" w:rsidRDefault="00DF7BDA" w:rsidP="00D45BA2">
      <w:pPr>
        <w:pStyle w:val="BodyText"/>
      </w:pPr>
      <w:r>
        <w:t>Intent to address these problems is</w:t>
      </w:r>
      <w:r w:rsidR="00D45BA2">
        <w:t xml:space="preserve"> evident in the current interest surrounding the National Economic Master Plan.  However, it remains to be seen who in government is going to carry forward this agenda, and more importantly how, given the number of </w:t>
      </w:r>
      <w:r w:rsidR="0099016F">
        <w:t>actors</w:t>
      </w:r>
      <w:r w:rsidR="00D45BA2">
        <w:t xml:space="preserve"> and interests that must be b</w:t>
      </w:r>
      <w:r w:rsidR="00D34B08">
        <w:t>r</w:t>
      </w:r>
      <w:r w:rsidR="00D45BA2">
        <w:t xml:space="preserve">ought together and the changes and resources required.  </w:t>
      </w:r>
      <w:r w:rsidR="00E80623">
        <w:t>P</w:t>
      </w:r>
      <w:r w:rsidR="00D45BA2">
        <w:t>olicy fragmentation could be greater than a year ago as it is less certain that the Vice President will be leading the National Connectivity Agenda as directly as before.</w:t>
      </w:r>
    </w:p>
    <w:p w:rsidR="00D45BA2" w:rsidRDefault="00D45BA2" w:rsidP="00D45BA2">
      <w:pPr>
        <w:pStyle w:val="BodyText"/>
      </w:pPr>
      <w:r>
        <w:t xml:space="preserve">Further, there is a risk of announcements of long term vision detracting from attention to more mundane but much needed improvements to the way transport infrastructure is planned, budgeted, designed, contracted, maintained, priced and policed.  Without these, much of the announced scale up in </w:t>
      </w:r>
      <w:proofErr w:type="spellStart"/>
      <w:r>
        <w:t>GoI</w:t>
      </w:r>
      <w:proofErr w:type="spellEnd"/>
      <w:r>
        <w:t xml:space="preserve"> road financing and other investments risks being wasted.</w:t>
      </w:r>
    </w:p>
    <w:p w:rsidR="00D45BA2" w:rsidRPr="000F2A8E" w:rsidRDefault="00D45BA2" w:rsidP="00D45BA2">
      <w:pPr>
        <w:pStyle w:val="BodyText"/>
      </w:pPr>
      <w:r>
        <w:t xml:space="preserve">While there are good reasons to be concerned about policy coherence in connectivity, </w:t>
      </w:r>
      <w:proofErr w:type="spellStart"/>
      <w:r>
        <w:t>AusAID</w:t>
      </w:r>
      <w:proofErr w:type="spellEnd"/>
      <w:r>
        <w:t xml:space="preserve"> through </w:t>
      </w:r>
      <w:proofErr w:type="spellStart"/>
      <w:r>
        <w:t>IndII</w:t>
      </w:r>
      <w:proofErr w:type="spellEnd"/>
      <w:r>
        <w:t xml:space="preserve"> is meaningfully </w:t>
      </w:r>
      <w:r w:rsidRPr="000F2A8E">
        <w:t xml:space="preserve">involved in strategic planning in </w:t>
      </w:r>
      <w:r>
        <w:t xml:space="preserve">aviation, rail and (to a lesser extent) maritime transport.  These offer the prospect of growing into an integrated engagement across all </w:t>
      </w:r>
      <w:r w:rsidRPr="000F2A8E">
        <w:t xml:space="preserve">key partner agencies. The </w:t>
      </w:r>
      <w:proofErr w:type="spellStart"/>
      <w:r w:rsidRPr="000F2A8E">
        <w:t>IndII</w:t>
      </w:r>
      <w:proofErr w:type="spellEnd"/>
      <w:r w:rsidRPr="000F2A8E">
        <w:t xml:space="preserve"> initiative on road safety also has the potential to demonstrate to </w:t>
      </w:r>
      <w:proofErr w:type="spellStart"/>
      <w:r w:rsidRPr="000F2A8E">
        <w:t>GoI</w:t>
      </w:r>
      <w:proofErr w:type="spellEnd"/>
      <w:r w:rsidRPr="000F2A8E">
        <w:t xml:space="preserve"> the great benefit of cross agency policy and planning.</w:t>
      </w:r>
    </w:p>
    <w:p w:rsidR="00D45BA2" w:rsidRDefault="00D45BA2" w:rsidP="00D45BA2">
      <w:pPr>
        <w:pStyle w:val="BodyText"/>
      </w:pPr>
      <w:proofErr w:type="spellStart"/>
      <w:r>
        <w:t>AusAID’s</w:t>
      </w:r>
      <w:proofErr w:type="spellEnd"/>
      <w:r>
        <w:t xml:space="preserve"> </w:t>
      </w:r>
      <w:r w:rsidRPr="000F0AEB">
        <w:rPr>
          <w:b/>
        </w:rPr>
        <w:t>Eastern Indonesia National Road Improvement Program (EINRIP)</w:t>
      </w:r>
      <w:r w:rsidRPr="00337647">
        <w:rPr>
          <w:b/>
        </w:rPr>
        <w:t xml:space="preserve"> </w:t>
      </w:r>
      <w:r>
        <w:t>has largely emerged from the land acquisition and procurement phases that caused so many delays early on in the program’s life.  However, some quality and scheduling risks are emerging during construction, and at the time of writing we are exploring with the Directorate General of Highways (</w:t>
      </w:r>
      <w:r w:rsidRPr="002C134A">
        <w:rPr>
          <w:rStyle w:val="AbbreviationChar"/>
        </w:rPr>
        <w:t>DGH</w:t>
      </w:r>
      <w:r>
        <w:t>) strengthened contract supervision and management arrangements to expedite progress.</w:t>
      </w:r>
      <w:r w:rsidR="008920F5">
        <w:t xml:space="preserve">  In 2010 a further </w:t>
      </w:r>
      <w:r w:rsidR="00FF126B">
        <w:t xml:space="preserve">eight </w:t>
      </w:r>
      <w:r w:rsidR="008920F5">
        <w:t>(8)</w:t>
      </w:r>
      <w:r w:rsidR="008920F5" w:rsidRPr="006A3B5D">
        <w:t xml:space="preserve"> </w:t>
      </w:r>
      <w:r w:rsidR="008920F5" w:rsidRPr="008920F5">
        <w:t xml:space="preserve">projects were contracted and started implementation with total </w:t>
      </w:r>
      <w:r w:rsidR="008920F5">
        <w:t xml:space="preserve">road </w:t>
      </w:r>
      <w:r w:rsidR="00CA77B2">
        <w:t>length of 142.7 km.</w:t>
      </w:r>
    </w:p>
    <w:p w:rsidR="00D45BA2" w:rsidRPr="00297B6E" w:rsidRDefault="00D45BA2" w:rsidP="00297B6E">
      <w:pPr>
        <w:pStyle w:val="BodyText"/>
      </w:pPr>
      <w:r w:rsidRPr="00297B6E">
        <w:lastRenderedPageBreak/>
        <w:t>Recent discussions with DGH have succeeded in prompting senior DGH management to reflect on how the national road network is managed and maintained, and how they may drive systemic change to deliver more durable and cost-effective roads.  DGH ha</w:t>
      </w:r>
      <w:r w:rsidR="00E80623">
        <w:t>s</w:t>
      </w:r>
      <w:r w:rsidRPr="00297B6E">
        <w:t xml:space="preserve"> since requested assistance from </w:t>
      </w:r>
      <w:proofErr w:type="spellStart"/>
      <w:r w:rsidRPr="00297B6E">
        <w:t>IndII</w:t>
      </w:r>
      <w:proofErr w:type="spellEnd"/>
      <w:r w:rsidRPr="00297B6E">
        <w:t xml:space="preserve"> to address fundamental weaknesses identified in business processes and human resource management.  This presents a</w:t>
      </w:r>
      <w:r w:rsidR="00E80623">
        <w:t>n</w:t>
      </w:r>
      <w:r w:rsidRPr="00297B6E">
        <w:t xml:space="preserve"> opportunity for us to work with them directly and with significant and lasting effect.</w:t>
      </w:r>
    </w:p>
    <w:p w:rsidR="00D45BA2" w:rsidRPr="00297B6E" w:rsidRDefault="00D45BA2" w:rsidP="00297B6E">
      <w:pPr>
        <w:pStyle w:val="BodyText"/>
      </w:pPr>
      <w:r w:rsidRPr="00297B6E">
        <w:t xml:space="preserve">The </w:t>
      </w:r>
      <w:proofErr w:type="spellStart"/>
      <w:r w:rsidRPr="00297B6E">
        <w:t>IndII</w:t>
      </w:r>
      <w:proofErr w:type="spellEnd"/>
      <w:r w:rsidRPr="00297B6E">
        <w:t xml:space="preserve"> facility continues to build engagement with partners in DGH and the Ministry of Transport (</w:t>
      </w:r>
      <w:proofErr w:type="spellStart"/>
      <w:r w:rsidRPr="00297B6E">
        <w:rPr>
          <w:rStyle w:val="AbbreviationChar"/>
        </w:rPr>
        <w:t>MoT</w:t>
      </w:r>
      <w:proofErr w:type="spellEnd"/>
      <w:r w:rsidRPr="00297B6E">
        <w:t xml:space="preserve">) on transport safety, transport sub-sector planning and medium term budgeting.  </w:t>
      </w:r>
      <w:r w:rsidR="00E80623">
        <w:t>P</w:t>
      </w:r>
      <w:r w:rsidRPr="00297B6E">
        <w:t xml:space="preserve">rogress was made in 2010 with DGH, </w:t>
      </w:r>
      <w:proofErr w:type="spellStart"/>
      <w:r w:rsidRPr="00297B6E">
        <w:rPr>
          <w:rStyle w:val="AbbreviationChar"/>
        </w:rPr>
        <w:t>MoF</w:t>
      </w:r>
      <w:proofErr w:type="spellEnd"/>
      <w:r w:rsidRPr="00297B6E">
        <w:t xml:space="preserve"> &amp; </w:t>
      </w:r>
      <w:r w:rsidR="00297B6E" w:rsidRPr="00297B6E">
        <w:t>National Development Planning Agency (</w:t>
      </w:r>
      <w:r w:rsidRPr="00297B6E">
        <w:t>B</w:t>
      </w:r>
      <w:r w:rsidR="00550C8A">
        <w:t>APPENAS</w:t>
      </w:r>
      <w:r w:rsidR="00297B6E" w:rsidRPr="00297B6E">
        <w:t>)</w:t>
      </w:r>
      <w:r w:rsidRPr="00297B6E">
        <w:t xml:space="preserve"> continuing preparations for the adoption of Performance Based Budgeting and the 3</w:t>
      </w:r>
      <w:r w:rsidR="00E80623">
        <w:t>-</w:t>
      </w:r>
      <w:r w:rsidRPr="00297B6E">
        <w:t>year Medium-term Expenditure Framework from 2011, which will introduce major improvements to the effectiveness of overall planning and funding of the national road network, and more direct linkages of budgets to R</w:t>
      </w:r>
      <w:r w:rsidR="00E136B4">
        <w:t>ENSTRA</w:t>
      </w:r>
      <w:r w:rsidRPr="00297B6E">
        <w:t xml:space="preserve"> targets.</w:t>
      </w:r>
    </w:p>
    <w:p w:rsidR="00044215" w:rsidRDefault="00044215" w:rsidP="00612FF9">
      <w:pPr>
        <w:pStyle w:val="H2F"/>
      </w:pPr>
      <w:bookmarkStart w:id="81" w:name="_Toc293049971"/>
      <w:bookmarkStart w:id="82" w:name="_Toc360981856"/>
      <w:r>
        <w:t xml:space="preserve">Factors contributing </w:t>
      </w:r>
      <w:r w:rsidR="00C411B2">
        <w:t xml:space="preserve">to </w:t>
      </w:r>
      <w:r>
        <w:t>or hampering success</w:t>
      </w:r>
      <w:bookmarkEnd w:id="81"/>
      <w:bookmarkEnd w:id="82"/>
    </w:p>
    <w:p w:rsidR="00D45BA2" w:rsidRDefault="00D45BA2" w:rsidP="00D45BA2">
      <w:pPr>
        <w:pStyle w:val="BodyText"/>
      </w:pPr>
      <w:r>
        <w:t xml:space="preserve">EINRIP positions </w:t>
      </w:r>
      <w:smartTag w:uri="urn:schemas-microsoft-com:office:smarttags" w:element="place">
        <w:smartTag w:uri="urn:schemas-microsoft-com:office:smarttags" w:element="country-region">
          <w:r>
            <w:t>Australia</w:t>
          </w:r>
        </w:smartTag>
      </w:smartTag>
      <w:r>
        <w:t xml:space="preserve"> uniquely among donors.  By working through government systems, the program emphasises institutional change more than the road projects of other donors.  That said, the resistance we are encountering should not be disregarded and success is by no means assured.  Greater support from the banks in dialogue with DGH on construction quality issues would assist in further raising and spreading awareness of these within </w:t>
      </w:r>
      <w:proofErr w:type="spellStart"/>
      <w:r>
        <w:t>G</w:t>
      </w:r>
      <w:r w:rsidR="00936D2A">
        <w:t>o</w:t>
      </w:r>
      <w:r>
        <w:t>I</w:t>
      </w:r>
      <w:proofErr w:type="spellEnd"/>
      <w:r>
        <w:t>.</w:t>
      </w:r>
    </w:p>
    <w:p w:rsidR="00D45BA2" w:rsidRPr="00B07B81" w:rsidRDefault="00D45BA2" w:rsidP="00D45BA2">
      <w:pPr>
        <w:pStyle w:val="BodyText"/>
        <w:rPr>
          <w:color w:val="339966"/>
          <w:sz w:val="22"/>
          <w:szCs w:val="22"/>
        </w:rPr>
      </w:pPr>
      <w:r>
        <w:t xml:space="preserve">As is the case elsewhere in </w:t>
      </w:r>
      <w:smartTag w:uri="urn:schemas-microsoft-com:office:smarttags" w:element="place">
        <w:smartTag w:uri="urn:schemas-microsoft-com:office:smarttags" w:element="country-region">
          <w:r>
            <w:t>Indonesia</w:t>
          </w:r>
        </w:smartTag>
      </w:smartTag>
      <w:r>
        <w:t>, counterpart engagement is critical</w:t>
      </w:r>
      <w:r w:rsidR="00E80623">
        <w:t>.</w:t>
      </w:r>
      <w:r>
        <w:t xml:space="preserve"> </w:t>
      </w:r>
      <w:r w:rsidR="00E80623">
        <w:t>T</w:t>
      </w:r>
      <w:r>
        <w:t xml:space="preserve">he key to the high success rate of </w:t>
      </w:r>
      <w:proofErr w:type="spellStart"/>
      <w:r>
        <w:t>IndII</w:t>
      </w:r>
      <w:proofErr w:type="spellEnd"/>
      <w:r>
        <w:t xml:space="preserve"> transport activities is its ability </w:t>
      </w:r>
      <w:r w:rsidRPr="00C63261">
        <w:t xml:space="preserve">to engage </w:t>
      </w:r>
      <w:r>
        <w:t xml:space="preserve">progressively, starting small and building in response to </w:t>
      </w:r>
      <w:r w:rsidRPr="00C63261">
        <w:t xml:space="preserve">demonstrated success and </w:t>
      </w:r>
      <w:r>
        <w:t xml:space="preserve">counterpart </w:t>
      </w:r>
      <w:r w:rsidRPr="00C63261">
        <w:t xml:space="preserve">commitment.  </w:t>
      </w:r>
      <w:r>
        <w:t>For some activities</w:t>
      </w:r>
      <w:r w:rsidR="00E80623">
        <w:t>,</w:t>
      </w:r>
      <w:r>
        <w:t xml:space="preserve"> access to globally recognised expertise has resulted in very high quality policy advisory work and demonstratively improved transport sector planning. </w:t>
      </w:r>
    </w:p>
    <w:p w:rsidR="00044215" w:rsidRDefault="00044215" w:rsidP="00612FF9">
      <w:pPr>
        <w:pStyle w:val="H2F"/>
      </w:pPr>
      <w:bookmarkStart w:id="83" w:name="_Toc293049972"/>
      <w:bookmarkStart w:id="84" w:name="_Toc360981857"/>
      <w:r>
        <w:t>Management consequences</w:t>
      </w:r>
      <w:bookmarkEnd w:id="83"/>
      <w:bookmarkEnd w:id="84"/>
    </w:p>
    <w:p w:rsidR="00D45BA2" w:rsidRDefault="00D45BA2" w:rsidP="00D45BA2">
      <w:pPr>
        <w:pStyle w:val="BodyText"/>
      </w:pPr>
      <w:r>
        <w:t xml:space="preserve">Throughout 2010 we have secured greater flexibility to deal with DGH around key EINRIP parameters including the rate of loan disbursement and scope and timing of the project.  While this has complicated the task of programming </w:t>
      </w:r>
      <w:proofErr w:type="spellStart"/>
      <w:r>
        <w:t>AusAID’s</w:t>
      </w:r>
      <w:proofErr w:type="spellEnd"/>
      <w:r>
        <w:t xml:space="preserve"> other activities in </w:t>
      </w:r>
      <w:smartTag w:uri="urn:schemas-microsoft-com:office:smarttags" w:element="place">
        <w:smartTag w:uri="urn:schemas-microsoft-com:office:smarttags" w:element="country-region">
          <w:r>
            <w:t>Indonesia</w:t>
          </w:r>
        </w:smartTag>
      </w:smartTag>
      <w:r>
        <w:t>, it is important that this be preserved.  The escalation in the seniority of Australian Government representation in discussions about EINRIP has been useful to reinforce our key messages, preserve credibility and distinguish the program from other donor</w:t>
      </w:r>
      <w:r w:rsidR="00E80623">
        <w:t>-</w:t>
      </w:r>
      <w:r>
        <w:t>funded road projects</w:t>
      </w:r>
      <w:r w:rsidR="00E80623">
        <w:t>.  W</w:t>
      </w:r>
      <w:r>
        <w:t>e will maintain this escalation throughout 2011.</w:t>
      </w:r>
    </w:p>
    <w:p w:rsidR="00D45BA2" w:rsidRDefault="009B5A8D" w:rsidP="00D45BA2">
      <w:pPr>
        <w:pStyle w:val="BodyText"/>
      </w:pPr>
      <w:r>
        <w:t>In 2011</w:t>
      </w:r>
      <w:r w:rsidR="00D45BA2">
        <w:t xml:space="preserve"> we will need to clarify with </w:t>
      </w:r>
      <w:proofErr w:type="spellStart"/>
      <w:r w:rsidR="00D45BA2">
        <w:t>GoI</w:t>
      </w:r>
      <w:proofErr w:type="spellEnd"/>
      <w:r w:rsidR="00D45BA2">
        <w:t xml:space="preserve"> and the World Bank what is planned for the announced (but as yet unfunded) Road Preservation Fund and what might be possible, including utilising it for more efficient funding of local government roads.</w:t>
      </w:r>
    </w:p>
    <w:p w:rsidR="00D45BA2" w:rsidRDefault="00D45BA2" w:rsidP="00D45BA2">
      <w:pPr>
        <w:pStyle w:val="BodyText"/>
      </w:pPr>
      <w:proofErr w:type="spellStart"/>
      <w:r>
        <w:t>AusAID’s</w:t>
      </w:r>
      <w:proofErr w:type="spellEnd"/>
      <w:r>
        <w:t xml:space="preserve"> new adviser remuneration framework will have implications for part of the delivery of our assistance on budget reform within DGH as well as some of </w:t>
      </w:r>
      <w:proofErr w:type="spellStart"/>
      <w:r>
        <w:t>IndII’s</w:t>
      </w:r>
      <w:proofErr w:type="spellEnd"/>
      <w:r>
        <w:t xml:space="preserve"> other policy and institutional activities within </w:t>
      </w:r>
      <w:proofErr w:type="spellStart"/>
      <w:r>
        <w:t>MoT</w:t>
      </w:r>
      <w:proofErr w:type="spellEnd"/>
      <w:r>
        <w:t>.  While we are confident of maintaining most of these activities while meeting expectations around quality, we are giving early thought to our options where we cannot do without the best advisers and can no longer afford them.</w:t>
      </w:r>
    </w:p>
    <w:p w:rsidR="00044215" w:rsidRPr="003E4C57" w:rsidRDefault="00044215" w:rsidP="00683977">
      <w:pPr>
        <w:pStyle w:val="Heading3"/>
        <w:rPr>
          <w:highlight w:val="magenta"/>
        </w:rPr>
      </w:pPr>
      <w:bookmarkStart w:id="85" w:name="_Toc293049973"/>
      <w:bookmarkStart w:id="86" w:name="_Toc360981858"/>
      <w:r>
        <w:lastRenderedPageBreak/>
        <w:t>Estimated e</w:t>
      </w:r>
      <w:r w:rsidRPr="00E271CD">
        <w:t>xpenditure</w:t>
      </w:r>
      <w:r>
        <w:t xml:space="preserve"> in 2010</w:t>
      </w:r>
      <w:bookmarkEnd w:id="85"/>
      <w:bookmarkEnd w:id="86"/>
    </w:p>
    <w:tbl>
      <w:tblPr>
        <w:tblW w:w="0" w:type="auto"/>
        <w:tblInd w:w="57" w:type="dxa"/>
        <w:tblLayout w:type="fixed"/>
        <w:tblLook w:val="0000" w:firstRow="0" w:lastRow="0" w:firstColumn="0" w:lastColumn="0" w:noHBand="0" w:noVBand="0"/>
      </w:tblPr>
      <w:tblGrid>
        <w:gridCol w:w="5683"/>
        <w:gridCol w:w="1127"/>
        <w:gridCol w:w="1128"/>
      </w:tblGrid>
      <w:tr w:rsidR="00044215"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pPr>
            <w:r>
              <w:t>% of bilateral program</w:t>
            </w:r>
          </w:p>
        </w:tc>
      </w:tr>
      <w:tr w:rsidR="00044215" w:rsidRPr="002452D0" w:rsidTr="00027A09">
        <w:trPr>
          <w:cantSplit/>
        </w:trPr>
        <w:tc>
          <w:tcPr>
            <w:tcW w:w="5683" w:type="dxa"/>
            <w:tcBorders>
              <w:bottom w:val="single" w:sz="12" w:space="0" w:color="auto"/>
            </w:tcBorders>
            <w:shd w:val="clear" w:color="auto" w:fill="auto"/>
            <w:tcMar>
              <w:left w:w="57" w:type="dxa"/>
              <w:right w:w="57" w:type="dxa"/>
            </w:tcMar>
          </w:tcPr>
          <w:p w:rsidR="00044215" w:rsidRDefault="000D7ABF">
            <w:pPr>
              <w:pStyle w:val="TableDataEntries"/>
              <w:jc w:val="left"/>
            </w:pPr>
            <w:r>
              <w:t>Transport and connectivity</w:t>
            </w:r>
          </w:p>
          <w:p w:rsidR="000D7ABF" w:rsidRPr="002452D0" w:rsidRDefault="000D7ABF">
            <w:pPr>
              <w:pStyle w:val="TableDataEntries"/>
              <w:jc w:val="left"/>
            </w:pPr>
            <w:r>
              <w:t>Other infrastructure</w:t>
            </w:r>
          </w:p>
        </w:tc>
        <w:tc>
          <w:tcPr>
            <w:tcW w:w="1127" w:type="dxa"/>
            <w:tcBorders>
              <w:bottom w:val="single" w:sz="12" w:space="0" w:color="auto"/>
            </w:tcBorders>
            <w:shd w:val="clear" w:color="auto" w:fill="auto"/>
            <w:tcMar>
              <w:left w:w="57" w:type="dxa"/>
              <w:right w:w="57" w:type="dxa"/>
            </w:tcMar>
          </w:tcPr>
          <w:p w:rsidR="00044215" w:rsidRDefault="000D7ABF">
            <w:pPr>
              <w:pStyle w:val="TableDataEntries"/>
            </w:pPr>
            <w:r>
              <w:t>71</w:t>
            </w:r>
            <w:r w:rsidR="00044215">
              <w:t>.</w:t>
            </w:r>
            <w:r>
              <w:t>5</w:t>
            </w:r>
          </w:p>
          <w:p w:rsidR="000D7ABF" w:rsidRPr="002452D0" w:rsidRDefault="000D7ABF">
            <w:pPr>
              <w:pStyle w:val="TableDataEntries"/>
            </w:pPr>
            <w:r>
              <w:t>2.7</w:t>
            </w:r>
          </w:p>
        </w:tc>
        <w:tc>
          <w:tcPr>
            <w:tcW w:w="1128" w:type="dxa"/>
            <w:tcBorders>
              <w:bottom w:val="single" w:sz="12" w:space="0" w:color="auto"/>
            </w:tcBorders>
            <w:shd w:val="clear" w:color="auto" w:fill="auto"/>
            <w:tcMar>
              <w:left w:w="57" w:type="dxa"/>
              <w:right w:w="57" w:type="dxa"/>
            </w:tcMar>
          </w:tcPr>
          <w:p w:rsidR="00044215" w:rsidRDefault="00C101A2">
            <w:pPr>
              <w:pStyle w:val="TableDataEntries"/>
            </w:pPr>
            <w:r>
              <w:t>18.</w:t>
            </w:r>
            <w:r w:rsidR="008A546A">
              <w:t>2</w:t>
            </w:r>
            <w:r>
              <w:t>%</w:t>
            </w:r>
          </w:p>
          <w:p w:rsidR="00C101A2" w:rsidRPr="002452D0" w:rsidRDefault="00C101A2">
            <w:pPr>
              <w:pStyle w:val="TableDataEntries"/>
            </w:pPr>
            <w:r>
              <w:t>0.7%</w:t>
            </w:r>
          </w:p>
        </w:tc>
      </w:tr>
    </w:tbl>
    <w:p w:rsidR="00044215" w:rsidRDefault="00044215" w:rsidP="006729CE">
      <w:pPr>
        <w:pStyle w:val="Heading2"/>
        <w:numPr>
          <w:ilvl w:val="0"/>
          <w:numId w:val="0"/>
        </w:numPr>
        <w:ind w:left="-32767"/>
      </w:pPr>
      <w:bookmarkStart w:id="87" w:name="_Toc293049974"/>
      <w:bookmarkStart w:id="88" w:name="_Toc300905109"/>
      <w:bookmarkStart w:id="89" w:name="_Toc360981859"/>
      <w:r>
        <w:t>Decentralisation</w:t>
      </w:r>
      <w:bookmarkEnd w:id="87"/>
      <w:bookmarkEnd w:id="88"/>
      <w:bookmarkEnd w:id="89"/>
    </w:p>
    <w:p w:rsidR="00683977" w:rsidRDefault="00683977" w:rsidP="00027A09">
      <w:pPr>
        <w:pStyle w:val="H2B"/>
      </w:pPr>
      <w:bookmarkStart w:id="90" w:name="_Toc360981860"/>
      <w:bookmarkStart w:id="91" w:name="_Toc293049975"/>
      <w:r>
        <w:t>Decentralisation</w:t>
      </w:r>
      <w:bookmarkEnd w:id="90"/>
      <w:r>
        <w:t xml:space="preserve"> </w:t>
      </w:r>
    </w:p>
    <w:p w:rsidR="00044215" w:rsidRDefault="00044215" w:rsidP="00612FF9">
      <w:pPr>
        <w:pStyle w:val="Heading3"/>
      </w:pPr>
      <w:bookmarkStart w:id="92" w:name="_Toc360981861"/>
      <w:r>
        <w:t>Rating</w:t>
      </w:r>
      <w:bookmarkEnd w:id="91"/>
      <w:bookmarkEnd w:id="92"/>
    </w:p>
    <w:tbl>
      <w:tblPr>
        <w:tblW w:w="0" w:type="auto"/>
        <w:tblInd w:w="57" w:type="dxa"/>
        <w:tblLook w:val="01E0" w:firstRow="1" w:lastRow="1" w:firstColumn="1" w:lastColumn="1" w:noHBand="0" w:noVBand="0"/>
      </w:tblPr>
      <w:tblGrid>
        <w:gridCol w:w="5709"/>
        <w:gridCol w:w="895"/>
        <w:gridCol w:w="1315"/>
      </w:tblGrid>
      <w:tr w:rsidR="00C445CF" w:rsidTr="00027A09">
        <w:trPr>
          <w:cantSplit/>
          <w:tblHeader/>
        </w:trPr>
        <w:tc>
          <w:tcPr>
            <w:tcW w:w="5725" w:type="dxa"/>
            <w:shd w:val="clear" w:color="auto" w:fill="F5F1CC"/>
            <w:tcMar>
              <w:left w:w="57" w:type="dxa"/>
              <w:right w:w="57" w:type="dxa"/>
            </w:tcMar>
            <w:vAlign w:val="center"/>
          </w:tcPr>
          <w:p w:rsidR="00C445CF" w:rsidRDefault="00F8414C" w:rsidP="00A54966">
            <w:pPr>
              <w:pStyle w:val="TableTextEntries"/>
            </w:pPr>
            <w:r>
              <w:t>Objectives</w:t>
            </w:r>
            <w:r w:rsidRPr="00532793">
              <w:t xml:space="preserve"> </w:t>
            </w:r>
          </w:p>
        </w:tc>
        <w:tc>
          <w:tcPr>
            <w:tcW w:w="896" w:type="dxa"/>
            <w:shd w:val="clear" w:color="auto" w:fill="F5F1CC"/>
            <w:tcMar>
              <w:left w:w="57" w:type="dxa"/>
              <w:right w:w="57" w:type="dxa"/>
            </w:tcMar>
            <w:vAlign w:val="center"/>
          </w:tcPr>
          <w:p w:rsidR="00C445CF" w:rsidRDefault="00C445CF" w:rsidP="00C445CF">
            <w:pPr>
              <w:pStyle w:val="TableTextEntries"/>
              <w:jc w:val="center"/>
            </w:pPr>
            <w:r>
              <w:t>Rating in 2010</w:t>
            </w:r>
          </w:p>
        </w:tc>
        <w:tc>
          <w:tcPr>
            <w:tcW w:w="1316" w:type="dxa"/>
            <w:shd w:val="clear" w:color="auto" w:fill="F5F1CC"/>
            <w:tcMar>
              <w:left w:w="57" w:type="dxa"/>
              <w:right w:w="57" w:type="dxa"/>
            </w:tcMar>
            <w:vAlign w:val="center"/>
          </w:tcPr>
          <w:p w:rsidR="00C445CF" w:rsidRDefault="00C445CF" w:rsidP="00C445CF">
            <w:pPr>
              <w:pStyle w:val="TableTextEntries"/>
              <w:jc w:val="center"/>
              <w:rPr>
                <w:bCs/>
              </w:rPr>
            </w:pPr>
            <w:r>
              <w:rPr>
                <w:bCs/>
              </w:rPr>
              <w:t>Relative to previous rating</w:t>
            </w:r>
          </w:p>
        </w:tc>
      </w:tr>
      <w:tr w:rsidR="00C445CF" w:rsidTr="008645D5">
        <w:trPr>
          <w:cantSplit/>
        </w:trPr>
        <w:tc>
          <w:tcPr>
            <w:tcW w:w="5725" w:type="dxa"/>
            <w:shd w:val="clear" w:color="auto" w:fill="auto"/>
            <w:tcMar>
              <w:left w:w="57" w:type="dxa"/>
              <w:right w:w="57" w:type="dxa"/>
            </w:tcMar>
            <w:vAlign w:val="center"/>
          </w:tcPr>
          <w:p w:rsidR="00C445CF" w:rsidRDefault="008206D4" w:rsidP="00A54966">
            <w:pPr>
              <w:pStyle w:val="TableTextEntries"/>
            </w:pPr>
            <w:r w:rsidRPr="00532793">
              <w:t>Improved linkage between planning and budgeting</w:t>
            </w:r>
            <w:r>
              <w:t xml:space="preserve"> resulting in efficient resource allocation in education, health, and infrastructure</w:t>
            </w:r>
          </w:p>
        </w:tc>
        <w:tc>
          <w:tcPr>
            <w:tcW w:w="896" w:type="dxa"/>
            <w:shd w:val="clear" w:color="auto" w:fill="auto"/>
            <w:tcMar>
              <w:left w:w="57" w:type="dxa"/>
              <w:right w:w="57" w:type="dxa"/>
            </w:tcMar>
            <w:vAlign w:val="center"/>
          </w:tcPr>
          <w:p w:rsidR="00C445CF" w:rsidRDefault="00907A26" w:rsidP="00A54966">
            <w:pPr>
              <w:pStyle w:val="Ratingbullet"/>
            </w:pPr>
            <w:r>
              <w:rPr>
                <w:noProof/>
                <w:lang w:val="en-US"/>
              </w:rPr>
              <w:drawing>
                <wp:inline distT="0" distB="0" distL="0" distR="0" wp14:anchorId="19B2CBF8" wp14:editId="7B47A808">
                  <wp:extent cx="149530" cy="149530"/>
                  <wp:effectExtent l="0" t="0" r="3175" b="3175"/>
                  <wp:docPr id="59" name="Picture 5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C445CF" w:rsidRDefault="00C445C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C445CF" w:rsidTr="008645D5">
        <w:trPr>
          <w:cantSplit/>
        </w:trPr>
        <w:tc>
          <w:tcPr>
            <w:tcW w:w="5725" w:type="dxa"/>
            <w:shd w:val="clear" w:color="auto" w:fill="auto"/>
            <w:tcMar>
              <w:left w:w="57" w:type="dxa"/>
              <w:right w:w="57" w:type="dxa"/>
            </w:tcMar>
            <w:vAlign w:val="center"/>
          </w:tcPr>
          <w:p w:rsidR="00C445CF" w:rsidRDefault="00C445CF" w:rsidP="00A54966">
            <w:pPr>
              <w:pStyle w:val="TableTextEntries"/>
            </w:pPr>
            <w:r w:rsidRPr="00532793">
              <w:t>More efficient and timely disbursement and execution of budget</w:t>
            </w:r>
            <w:r>
              <w:t xml:space="preserve"> – in education, health and infrastructure </w:t>
            </w:r>
            <w:r w:rsidRPr="00532793">
              <w:t xml:space="preserve"> </w:t>
            </w:r>
          </w:p>
        </w:tc>
        <w:tc>
          <w:tcPr>
            <w:tcW w:w="896" w:type="dxa"/>
            <w:shd w:val="clear" w:color="auto" w:fill="auto"/>
            <w:tcMar>
              <w:left w:w="57" w:type="dxa"/>
              <w:right w:w="57" w:type="dxa"/>
            </w:tcMar>
            <w:vAlign w:val="center"/>
          </w:tcPr>
          <w:p w:rsidR="00C445CF" w:rsidRDefault="00181000" w:rsidP="00A54966">
            <w:pPr>
              <w:pStyle w:val="Ratingbullet"/>
            </w:pPr>
            <w:r>
              <w:rPr>
                <w:rFonts w:hint="cs"/>
                <w:noProof/>
                <w:rtl/>
                <w:lang w:val="en-US"/>
              </w:rPr>
              <w:drawing>
                <wp:inline distT="0" distB="0" distL="0" distR="0" wp14:anchorId="07062AEE" wp14:editId="12A98EDB">
                  <wp:extent cx="151821" cy="151821"/>
                  <wp:effectExtent l="0" t="0" r="635" b="635"/>
                  <wp:docPr id="100" name="Picture 10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C445CF" w:rsidRDefault="00C445C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Improved</w:t>
            </w:r>
            <w:r>
              <w:rPr>
                <w:bCs/>
              </w:rPr>
              <w:fldChar w:fldCharType="end"/>
            </w:r>
          </w:p>
        </w:tc>
      </w:tr>
      <w:tr w:rsidR="00C445CF" w:rsidTr="008645D5">
        <w:trPr>
          <w:cantSplit/>
        </w:trPr>
        <w:tc>
          <w:tcPr>
            <w:tcW w:w="5725" w:type="dxa"/>
            <w:shd w:val="clear" w:color="auto" w:fill="auto"/>
            <w:tcMar>
              <w:left w:w="57" w:type="dxa"/>
              <w:right w:w="57" w:type="dxa"/>
            </w:tcMar>
            <w:vAlign w:val="center"/>
          </w:tcPr>
          <w:p w:rsidR="00C445CF" w:rsidRDefault="008206D4" w:rsidP="00A54966">
            <w:pPr>
              <w:pStyle w:val="TableTextEntries"/>
            </w:pPr>
            <w:r w:rsidRPr="002218B4">
              <w:t xml:space="preserve">Province / Local Government in NTT, NTB, Aceh, Papua &amp; West Papua more systematically finding and using evidence from the field to inform policy setting / policy actions </w:t>
            </w:r>
            <w:r>
              <w:t>as an enabling factor for better public expenditure management and service delivery.</w:t>
            </w:r>
          </w:p>
        </w:tc>
        <w:tc>
          <w:tcPr>
            <w:tcW w:w="896" w:type="dxa"/>
            <w:shd w:val="clear" w:color="auto" w:fill="auto"/>
            <w:tcMar>
              <w:left w:w="57" w:type="dxa"/>
              <w:right w:w="57" w:type="dxa"/>
            </w:tcMar>
            <w:vAlign w:val="center"/>
          </w:tcPr>
          <w:p w:rsidR="00C445CF" w:rsidRDefault="00203B55" w:rsidP="00A54966">
            <w:pPr>
              <w:pStyle w:val="Ratingbullet"/>
            </w:pPr>
            <w:r>
              <w:rPr>
                <w:noProof/>
                <w:lang w:val="en-US"/>
              </w:rPr>
              <w:drawing>
                <wp:inline distT="0" distB="0" distL="0" distR="0" wp14:anchorId="0DDA2959" wp14:editId="0571013E">
                  <wp:extent cx="157075" cy="157075"/>
                  <wp:effectExtent l="0" t="0" r="0" b="0"/>
                  <wp:docPr id="19" name="Picture 19"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316" w:type="dxa"/>
            <w:shd w:val="clear" w:color="auto" w:fill="auto"/>
            <w:tcMar>
              <w:left w:w="57" w:type="dxa"/>
              <w:right w:w="57" w:type="dxa"/>
            </w:tcMar>
            <w:vAlign w:val="center"/>
          </w:tcPr>
          <w:p w:rsidR="00C445CF" w:rsidRDefault="00C445C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C445CF" w:rsidTr="008645D5">
        <w:trPr>
          <w:cantSplit/>
        </w:trPr>
        <w:tc>
          <w:tcPr>
            <w:tcW w:w="5725" w:type="dxa"/>
            <w:shd w:val="clear" w:color="auto" w:fill="auto"/>
            <w:tcMar>
              <w:left w:w="57" w:type="dxa"/>
              <w:right w:w="57" w:type="dxa"/>
            </w:tcMar>
            <w:vAlign w:val="center"/>
          </w:tcPr>
          <w:p w:rsidR="00C445CF" w:rsidRDefault="008206D4" w:rsidP="00A54966">
            <w:pPr>
              <w:pStyle w:val="TableTextEntries"/>
            </w:pPr>
            <w:r w:rsidRPr="00532793">
              <w:t>Stronger reflection by legislative institutions (local parliament) of community aspirations in planning and budgeting</w:t>
            </w:r>
            <w:r>
              <w:t xml:space="preserve"> leading to government responsiveness for better service delivery.</w:t>
            </w:r>
          </w:p>
        </w:tc>
        <w:tc>
          <w:tcPr>
            <w:tcW w:w="896" w:type="dxa"/>
            <w:shd w:val="clear" w:color="auto" w:fill="auto"/>
            <w:tcMar>
              <w:left w:w="57" w:type="dxa"/>
              <w:right w:w="57" w:type="dxa"/>
            </w:tcMar>
            <w:vAlign w:val="center"/>
          </w:tcPr>
          <w:p w:rsidR="00C445CF" w:rsidRDefault="00907A26" w:rsidP="00A54966">
            <w:pPr>
              <w:pStyle w:val="Ratingbullet"/>
            </w:pPr>
            <w:r>
              <w:rPr>
                <w:noProof/>
                <w:lang w:val="en-US"/>
              </w:rPr>
              <w:drawing>
                <wp:inline distT="0" distB="0" distL="0" distR="0" wp14:anchorId="5B496D0E" wp14:editId="2AE9A182">
                  <wp:extent cx="149530" cy="149530"/>
                  <wp:effectExtent l="0" t="0" r="3175" b="3175"/>
                  <wp:docPr id="60" name="Picture 6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C445CF" w:rsidRDefault="00C445C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Improved</w:t>
            </w:r>
            <w:r>
              <w:rPr>
                <w:bCs/>
              </w:rPr>
              <w:fldChar w:fldCharType="end"/>
            </w:r>
          </w:p>
        </w:tc>
      </w:tr>
    </w:tbl>
    <w:p w:rsidR="00044215" w:rsidRPr="00EF3996" w:rsidRDefault="00044215" w:rsidP="00612FF9">
      <w:pPr>
        <w:pStyle w:val="H2F"/>
      </w:pPr>
      <w:bookmarkStart w:id="93" w:name="_Toc293049976"/>
      <w:bookmarkStart w:id="94" w:name="_Toc360981862"/>
      <w:r w:rsidRPr="00044215">
        <w:t>Assessment of results and performance</w:t>
      </w:r>
      <w:bookmarkEnd w:id="93"/>
      <w:bookmarkEnd w:id="94"/>
    </w:p>
    <w:p w:rsidR="00377391" w:rsidRDefault="00377391" w:rsidP="00377391">
      <w:pPr>
        <w:pStyle w:val="BodyText"/>
      </w:pPr>
      <w:r>
        <w:t xml:space="preserve">Provision of technical support and capacity building in public expenditure analysis for local governments and universities in </w:t>
      </w:r>
      <w:proofErr w:type="spellStart"/>
      <w:r>
        <w:t>Gorontalo</w:t>
      </w:r>
      <w:proofErr w:type="spellEnd"/>
      <w:r>
        <w:t xml:space="preserve">, </w:t>
      </w:r>
      <w:r w:rsidRPr="00FD6D35">
        <w:rPr>
          <w:rStyle w:val="AbbreviationChar"/>
        </w:rPr>
        <w:t>NTB</w:t>
      </w:r>
      <w:r>
        <w:t xml:space="preserve"> and </w:t>
      </w:r>
      <w:smartTag w:uri="urn:schemas-microsoft-com:office:smarttags" w:element="place">
        <w:smartTag w:uri="urn:schemas-microsoft-com:office:smarttags" w:element="PlaceName">
          <w:r>
            <w:t>NTT</w:t>
          </w:r>
        </w:smartTag>
        <w:r>
          <w:t xml:space="preserve"> </w:t>
        </w:r>
        <w:smartTag w:uri="urn:schemas-microsoft-com:office:smarttags" w:element="PlaceType">
          <w:r>
            <w:t>Provinces</w:t>
          </w:r>
        </w:smartTag>
      </w:smartTag>
      <w:r>
        <w:t xml:space="preserve"> </w:t>
      </w:r>
      <w:r w:rsidR="00960647">
        <w:t xml:space="preserve">has </w:t>
      </w:r>
      <w:r>
        <w:t>resulted in the changing of mindsets and practice</w:t>
      </w:r>
      <w:r w:rsidR="00B20F20">
        <w:t>s</w:t>
      </w:r>
      <w:r>
        <w:t xml:space="preserve"> in provincial planning and budgeting. Methodologies introduced by </w:t>
      </w:r>
      <w:r w:rsidR="0079192D" w:rsidRPr="002B0BC6">
        <w:rPr>
          <w:rFonts w:cs="Arial"/>
        </w:rPr>
        <w:t>Australia Nusa Tenggara Assistance for</w:t>
      </w:r>
      <w:r w:rsidR="0079192D">
        <w:rPr>
          <w:rFonts w:cs="Arial"/>
        </w:rPr>
        <w:t xml:space="preserve"> </w:t>
      </w:r>
      <w:r w:rsidR="0079192D" w:rsidRPr="002B0BC6">
        <w:rPr>
          <w:rFonts w:cs="Arial"/>
        </w:rPr>
        <w:t>Regional Autonomy Program</w:t>
      </w:r>
      <w:r w:rsidR="0079192D" w:rsidRPr="00FD6D35">
        <w:rPr>
          <w:rStyle w:val="AbbreviationChar"/>
        </w:rPr>
        <w:t xml:space="preserve"> </w:t>
      </w:r>
      <w:r w:rsidR="0079192D">
        <w:rPr>
          <w:rStyle w:val="AbbreviationChar"/>
        </w:rPr>
        <w:t>(</w:t>
      </w:r>
      <w:r w:rsidRPr="00FD6D35">
        <w:rPr>
          <w:rStyle w:val="AbbreviationChar"/>
        </w:rPr>
        <w:t>ANTARA</w:t>
      </w:r>
      <w:r w:rsidR="0079192D">
        <w:rPr>
          <w:rStyle w:val="AbbreviationChar"/>
        </w:rPr>
        <w:t>)</w:t>
      </w:r>
      <w:r>
        <w:t>,</w:t>
      </w:r>
      <w:r w:rsidR="0079192D">
        <w:t xml:space="preserve"> </w:t>
      </w:r>
      <w:r>
        <w:t xml:space="preserve"> </w:t>
      </w:r>
      <w:r w:rsidR="0079192D">
        <w:rPr>
          <w:rFonts w:cs="Arial"/>
        </w:rPr>
        <w:t>Australia Indonesia Partnership for Decentralisation</w:t>
      </w:r>
      <w:r w:rsidR="0079192D" w:rsidRPr="00FD6D35">
        <w:rPr>
          <w:rStyle w:val="AbbreviationChar"/>
        </w:rPr>
        <w:t xml:space="preserve"> </w:t>
      </w:r>
      <w:r w:rsidR="0079192D">
        <w:rPr>
          <w:rStyle w:val="AbbreviationChar"/>
        </w:rPr>
        <w:t>(</w:t>
      </w:r>
      <w:r w:rsidRPr="00FD6D35">
        <w:rPr>
          <w:rStyle w:val="AbbreviationChar"/>
        </w:rPr>
        <w:t>AIPD</w:t>
      </w:r>
      <w:r w:rsidR="0079192D">
        <w:rPr>
          <w:rStyle w:val="AbbreviationChar"/>
        </w:rPr>
        <w:t>)</w:t>
      </w:r>
      <w:r>
        <w:t xml:space="preserve"> and </w:t>
      </w:r>
      <w:r w:rsidR="0079192D" w:rsidRPr="002B0BC6">
        <w:rPr>
          <w:rFonts w:cs="Arial"/>
        </w:rPr>
        <w:t xml:space="preserve">Public Expenditure Analysis and Capacity </w:t>
      </w:r>
      <w:r w:rsidR="0079192D">
        <w:rPr>
          <w:rFonts w:cs="Arial"/>
        </w:rPr>
        <w:t>Harmonisation</w:t>
      </w:r>
      <w:r w:rsidR="0079192D" w:rsidRPr="00FD6D35">
        <w:rPr>
          <w:rStyle w:val="AbbreviationChar"/>
        </w:rPr>
        <w:t xml:space="preserve"> </w:t>
      </w:r>
      <w:r w:rsidR="0079192D">
        <w:rPr>
          <w:rStyle w:val="AbbreviationChar"/>
        </w:rPr>
        <w:t>(</w:t>
      </w:r>
      <w:r w:rsidRPr="00FD6D35">
        <w:rPr>
          <w:rStyle w:val="AbbreviationChar"/>
        </w:rPr>
        <w:t>PEACH</w:t>
      </w:r>
      <w:r w:rsidR="0079192D">
        <w:rPr>
          <w:rStyle w:val="AbbreviationChar"/>
        </w:rPr>
        <w:t>)</w:t>
      </w:r>
      <w:r>
        <w:t xml:space="preserve">, such as </w:t>
      </w:r>
      <w:r w:rsidRPr="00FD6D35">
        <w:rPr>
          <w:rStyle w:val="AbbreviationChar"/>
        </w:rPr>
        <w:t>MKPP</w:t>
      </w:r>
      <w:r w:rsidR="0079192D">
        <w:rPr>
          <w:rStyle w:val="AbbreviationChar"/>
        </w:rPr>
        <w:t>+</w:t>
      </w:r>
      <w:r w:rsidRPr="0079192D">
        <w:rPr>
          <w:rStyle w:val="AbbreviationChar"/>
          <w:vertAlign w:val="superscript"/>
        </w:rPr>
        <w:footnoteReference w:id="17"/>
      </w:r>
      <w:r w:rsidRPr="0079192D">
        <w:rPr>
          <w:vertAlign w:val="superscript"/>
        </w:rPr>
        <w:t xml:space="preserve"> </w:t>
      </w:r>
      <w:r>
        <w:t>and public expenditure analysis tools to produce better provincial plans and budgets are now being used, particularly in the three priority sectors: education, health and infrastructure. Early results indicate more timely budget formulation and approval of NTT and NTB Provincial Budgets in 2008 and 2009, compared to delays in finali</w:t>
      </w:r>
      <w:r w:rsidR="00B20F20">
        <w:t>s</w:t>
      </w:r>
      <w:r>
        <w:t xml:space="preserve">ing the 2007 budget. Budget deficits in Aceh, NTT and </w:t>
      </w:r>
      <w:smartTag w:uri="urn:schemas-microsoft-com:office:smarttags" w:element="place">
        <w:smartTag w:uri="urn:schemas-microsoft-com:office:smarttags" w:element="PlaceName">
          <w:r>
            <w:t>NTB</w:t>
          </w:r>
        </w:smartTag>
        <w:r>
          <w:t xml:space="preserve"> </w:t>
        </w:r>
        <w:smartTag w:uri="urn:schemas-microsoft-com:office:smarttags" w:element="PlaceType">
          <w:r>
            <w:t>Province</w:t>
          </w:r>
        </w:smartTag>
      </w:smartTag>
      <w:r>
        <w:t xml:space="preserve"> have also been reduced and now comply with national regulations</w:t>
      </w:r>
      <w:r>
        <w:rPr>
          <w:rStyle w:val="FootnoteReference"/>
        </w:rPr>
        <w:footnoteReference w:id="18"/>
      </w:r>
      <w:r>
        <w:t xml:space="preserve">. </w:t>
      </w:r>
    </w:p>
    <w:p w:rsidR="00AA2B2D" w:rsidRDefault="0013055B" w:rsidP="00377391">
      <w:pPr>
        <w:pStyle w:val="BodyText"/>
      </w:pPr>
      <w:r>
        <w:t xml:space="preserve">An Independent Completion Report of </w:t>
      </w:r>
      <w:r w:rsidR="00AA2B2D">
        <w:t>ANTARA</w:t>
      </w:r>
      <w:r>
        <w:t xml:space="preserve"> was completed in 2010 and among the key findings were: </w:t>
      </w:r>
      <w:proofErr w:type="spellStart"/>
      <w:r>
        <w:t>i</w:t>
      </w:r>
      <w:proofErr w:type="spellEnd"/>
      <w:r>
        <w:t xml:space="preserve">) end of program outcomes were not realistically set; ii) it is important to recognise that changing service delivery is complex; iii) guiding complex institutional reforms will need solid change management strategies; and, iv) it will need implementation cases to link planning, budgeting and service delivery.  A range of lessons arising from the review were taken up in the final design and implementation of the new Australia Indonesia Partnership </w:t>
      </w:r>
      <w:r>
        <w:lastRenderedPageBreak/>
        <w:t xml:space="preserve">for Decentralisation Program (AIPD).  These included: ensuring realistic end-of-program outcomes are set; use a transition plan to refocus activities and establish relationships; demonstrate links between planning/budgeting and service delivery and where relevant coordinate with other </w:t>
      </w:r>
      <w:r w:rsidR="00E32D22">
        <w:t>decentralisation</w:t>
      </w:r>
      <w:r>
        <w:t xml:space="preserve"> programs such as ACCESS</w:t>
      </w:r>
      <w:r w:rsidR="00111084">
        <w:t xml:space="preserve"> and sectoral program such as AIPMNH and the Education Partnership; and, develop a clear exit strategy.</w:t>
      </w:r>
    </w:p>
    <w:p w:rsidR="00377391" w:rsidRDefault="00377391" w:rsidP="00377391">
      <w:pPr>
        <w:pStyle w:val="BodyText"/>
      </w:pPr>
      <w:r>
        <w:t xml:space="preserve">Our support has also increased links between state sectors to non-state sectors, for instance local research centres and universities in public expenditure management and development planning. The provincial governments are more open to ask for technical assistance from local universities to inform </w:t>
      </w:r>
      <w:r w:rsidR="00CA77B2">
        <w:t>policy reviews and formulation.</w:t>
      </w:r>
    </w:p>
    <w:p w:rsidR="00377391" w:rsidRPr="00CA77B2" w:rsidRDefault="00377391" w:rsidP="00377391">
      <w:pPr>
        <w:pStyle w:val="BodyText"/>
        <w:rPr>
          <w:lang w:val="en-US" w:bidi="ar-SY"/>
        </w:rPr>
      </w:pPr>
      <w:r>
        <w:t>In Aceh, for example, a forum of local researchers with the Aceh provincial government now work to enhance the capacity of local research organisations in producing good analysis and policy advocacy to inform development planning. Research analyses have been produced and presented to the Aceh provincial government for public dialogue. In post-conflict contexts like Aceh, the willingness of the Aceh government to engage in public advocacy and dialogue is a very positive change. Similar changes are also reflected in Aceh’s development planning. Here the government has changed the way it handl</w:t>
      </w:r>
      <w:r w:rsidR="00077B8E">
        <w:t>es</w:t>
      </w:r>
      <w:r>
        <w:t xml:space="preserve"> post-conflict issues from direct and individually-targeted assistance, to a longer-term perspective by mainstreaming conflict-sensitiv</w:t>
      </w:r>
      <w:r w:rsidR="005C17FF">
        <w:t>ity</w:t>
      </w:r>
      <w:r>
        <w:t xml:space="preserve"> and peace-building into regular development planning and utilising evidence through a locally</w:t>
      </w:r>
      <w:r w:rsidR="00077B8E">
        <w:t>-</w:t>
      </w:r>
      <w:r>
        <w:t>dev</w:t>
      </w:r>
      <w:r w:rsidR="00CA77B2">
        <w:t>eloped Decision Support System.</w:t>
      </w:r>
    </w:p>
    <w:p w:rsidR="00377391" w:rsidRDefault="00377391" w:rsidP="00377391">
      <w:pPr>
        <w:pStyle w:val="BodyText"/>
      </w:pPr>
      <w:r>
        <w:t>Through our support to increase the engagement of civil society organisations with district level parliamentarians and executives on key development issues (public participation in decision making; increasing economic opportunities for communities particularly the poor, women, and marginalised groups; and natural resource management) results across 16 districts in NTT, NTB, S</w:t>
      </w:r>
      <w:r w:rsidR="0079192D">
        <w:t xml:space="preserve">outheast </w:t>
      </w:r>
      <w:r>
        <w:t>Sulawesi and South Sulawesi can be seen.</w:t>
      </w:r>
      <w:r w:rsidRPr="007D1CEC">
        <w:t xml:space="preserve"> </w:t>
      </w:r>
      <w:r w:rsidR="00111084">
        <w:t xml:space="preserve"> Some examples include: 3% reduction in the level of poverty in Central Lombok between 2007 and 2008 after the district government worked closely with ACCESS partners; 176 local government regulations on natural resource management, planning and budgeting, public services and local economy successfully negotiated by ACCESS partners in six </w:t>
      </w:r>
      <w:proofErr w:type="spellStart"/>
      <w:r w:rsidR="00111084">
        <w:t>kabupatens</w:t>
      </w:r>
      <w:proofErr w:type="spellEnd"/>
      <w:r w:rsidR="00111084">
        <w:t xml:space="preserve"> in </w:t>
      </w:r>
      <w:smartTag w:uri="urn:schemas-microsoft-com:office:smarttags" w:element="place">
        <w:r w:rsidR="00111084">
          <w:t>South Sulawesi</w:t>
        </w:r>
      </w:smartTag>
      <w:r w:rsidR="00111084">
        <w:t xml:space="preserve">, NTT and NTB.  In other districts in </w:t>
      </w:r>
      <w:smartTag w:uri="urn:schemas-microsoft-com:office:smarttags" w:element="place">
        <w:r w:rsidR="00111084">
          <w:t>South Sulawesi</w:t>
        </w:r>
      </w:smartTag>
      <w:r w:rsidR="00111084">
        <w:t xml:space="preserve"> and NTT at least 54 village and district regulations are </w:t>
      </w:r>
      <w:r w:rsidR="00077B8E">
        <w:t>set</w:t>
      </w:r>
      <w:r w:rsidR="00111084">
        <w:t xml:space="preserve"> to improve participation and gender inclusion, participatory planning and budgeting, primary health care, women and child protection and other areas of service delivery.  </w:t>
      </w:r>
      <w:r>
        <w:t>The involvement of local parliamentarians and executives in planning and budgeting processes at the village and sub-district levels has ensured that district work plans and budgets reflect community needs, leading to efficient and effective resource allocations and service delivery.</w:t>
      </w:r>
    </w:p>
    <w:p w:rsidR="00377391" w:rsidRDefault="00377391" w:rsidP="00377391">
      <w:pPr>
        <w:pStyle w:val="BodyText"/>
      </w:pPr>
      <w:r>
        <w:t xml:space="preserve"> Th</w:t>
      </w:r>
      <w:r w:rsidR="00111084">
        <w:t>ese examples reflect</w:t>
      </w:r>
      <w:r>
        <w:t xml:space="preserve"> how increasing trust between government and local </w:t>
      </w:r>
      <w:r w:rsidR="005B4235">
        <w:t>civil society organisations (</w:t>
      </w:r>
      <w:r>
        <w:t>CSOs</w:t>
      </w:r>
      <w:r w:rsidR="005B4235">
        <w:t>)</w:t>
      </w:r>
      <w:r>
        <w:t xml:space="preserve"> has </w:t>
      </w:r>
      <w:r w:rsidR="00077B8E">
        <w:t>helped</w:t>
      </w:r>
      <w:r>
        <w:t xml:space="preserve"> CSOs advocate more effectively, and to be meaningfully involved in district level policy reviews and formulation. Increasing demand is also evident in local governments to use evidence-based analysis to inform development planning in NTT, NTB, Aceh, South Sulawesi and </w:t>
      </w:r>
      <w:smartTag w:uri="urn:schemas-microsoft-com:office:smarttags" w:element="place">
        <w:r>
          <w:t>South-</w:t>
        </w:r>
        <w:r w:rsidR="005B4235">
          <w:t xml:space="preserve">East </w:t>
        </w:r>
        <w:r>
          <w:t>Sulawesi</w:t>
        </w:r>
      </w:smartTag>
      <w:r>
        <w:t>. More work is required in Papua and West Papua provinces to build government relationships with local research</w:t>
      </w:r>
      <w:r w:rsidR="00CA77B2">
        <w:t xml:space="preserve"> institutions and universities.</w:t>
      </w:r>
    </w:p>
    <w:p w:rsidR="00377391" w:rsidRPr="00CA77B2" w:rsidRDefault="00377391" w:rsidP="00377391">
      <w:pPr>
        <w:pStyle w:val="BodyText"/>
        <w:rPr>
          <w:lang w:val="en-US" w:bidi="ar-SY"/>
        </w:rPr>
      </w:pPr>
      <w:r>
        <w:t>The improved interaction between civil society and government links also to a gradual improvement in the delivery of public services. Australian</w:t>
      </w:r>
      <w:r w:rsidR="00077B8E">
        <w:t>-</w:t>
      </w:r>
      <w:r>
        <w:t xml:space="preserve">assisted innovations for better public services have been nationally recognised by the </w:t>
      </w:r>
      <w:proofErr w:type="spellStart"/>
      <w:r>
        <w:t>GoI</w:t>
      </w:r>
      <w:proofErr w:type="spellEnd"/>
      <w:r>
        <w:t xml:space="preserve">. </w:t>
      </w:r>
      <w:r w:rsidRPr="0095701D">
        <w:rPr>
          <w:rStyle w:val="AbbreviationChar"/>
        </w:rPr>
        <w:t>PATEN</w:t>
      </w:r>
      <w:r>
        <w:t xml:space="preserve"> (one-stop service for public administration) in Aceh has been officially adopted through the Minister of Home Affairs Regulation (</w:t>
      </w:r>
      <w:proofErr w:type="spellStart"/>
      <w:r>
        <w:t>Permendagri</w:t>
      </w:r>
      <w:proofErr w:type="spellEnd"/>
      <w:r>
        <w:t xml:space="preserve"> 4/2010) and is mandated to be replicated across provinces </w:t>
      </w:r>
      <w:r>
        <w:lastRenderedPageBreak/>
        <w:t xml:space="preserve">in </w:t>
      </w:r>
      <w:smartTag w:uri="urn:schemas-microsoft-com:office:smarttags" w:element="place">
        <w:smartTag w:uri="urn:schemas-microsoft-com:office:smarttags" w:element="country-region">
          <w:r>
            <w:t>Indonesia</w:t>
          </w:r>
        </w:smartTag>
      </w:smartTag>
      <w:r>
        <w:t xml:space="preserve">. The comprehensive village planning reform (One Village One Plan) through village </w:t>
      </w:r>
      <w:proofErr w:type="spellStart"/>
      <w:r>
        <w:t>mid term</w:t>
      </w:r>
      <w:proofErr w:type="spellEnd"/>
      <w:r>
        <w:t xml:space="preserve"> development plans (</w:t>
      </w:r>
      <w:proofErr w:type="spellStart"/>
      <w:r w:rsidRPr="0095701D">
        <w:rPr>
          <w:rStyle w:val="AbbreviationChar"/>
        </w:rPr>
        <w:t>RPJMDes</w:t>
      </w:r>
      <w:proofErr w:type="spellEnd"/>
      <w:r>
        <w:t xml:space="preserve">) has also been adopted by </w:t>
      </w:r>
      <w:proofErr w:type="spellStart"/>
      <w:r w:rsidR="00077B8E">
        <w:t>GoI</w:t>
      </w:r>
      <w:proofErr w:type="spellEnd"/>
      <w:r>
        <w:t xml:space="preserve"> as a key tool for village development across Indonesia</w:t>
      </w:r>
      <w:r w:rsidR="00CA77B2">
        <w:t>.</w:t>
      </w:r>
    </w:p>
    <w:p w:rsidR="00044215" w:rsidRDefault="00044215" w:rsidP="00612FF9">
      <w:pPr>
        <w:pStyle w:val="H2F"/>
      </w:pPr>
      <w:bookmarkStart w:id="95" w:name="_Toc293049977"/>
      <w:bookmarkStart w:id="96" w:name="_Toc360981863"/>
      <w:r>
        <w:t xml:space="preserve">Factors contributing </w:t>
      </w:r>
      <w:r w:rsidR="00C411B2">
        <w:t xml:space="preserve">to </w:t>
      </w:r>
      <w:r>
        <w:t>or hampering success</w:t>
      </w:r>
      <w:bookmarkEnd w:id="95"/>
      <w:bookmarkEnd w:id="96"/>
    </w:p>
    <w:p w:rsidR="00377391" w:rsidRDefault="00377391" w:rsidP="00377391">
      <w:pPr>
        <w:pStyle w:val="BodyText"/>
        <w:rPr>
          <w:szCs w:val="22"/>
        </w:rPr>
      </w:pPr>
      <w:r w:rsidRPr="007D5EED">
        <w:t xml:space="preserve">Enhancement of </w:t>
      </w:r>
      <w:proofErr w:type="spellStart"/>
      <w:r w:rsidRPr="007D5EED">
        <w:t>AusAID’s</w:t>
      </w:r>
      <w:proofErr w:type="spellEnd"/>
      <w:r w:rsidRPr="007D5EED">
        <w:t xml:space="preserve"> subnational contributions will be sought through application of the common results framework which is now linking to </w:t>
      </w:r>
      <w:proofErr w:type="spellStart"/>
      <w:r w:rsidRPr="007D5EED">
        <w:t>AusAID’s</w:t>
      </w:r>
      <w:proofErr w:type="spellEnd"/>
      <w:r w:rsidRPr="007D5EED">
        <w:t xml:space="preserve"> national programs in Health and Education.  Importantly, this will ensure cross-resourcing and referencing of </w:t>
      </w:r>
      <w:proofErr w:type="spellStart"/>
      <w:r w:rsidRPr="007D5EED">
        <w:t>AusAID’s</w:t>
      </w:r>
      <w:proofErr w:type="spellEnd"/>
      <w:r w:rsidRPr="007D5EED">
        <w:t xml:space="preserve"> decentralised projects and provide input to other country programs.</w:t>
      </w:r>
      <w:r>
        <w:t xml:space="preserve"> The establishment of two Regional Coordinator positions for Nusa Tenggara and Papua regions have started to improve </w:t>
      </w:r>
      <w:r w:rsidR="00B1121C">
        <w:t>inter-</w:t>
      </w:r>
      <w:r>
        <w:t>sector</w:t>
      </w:r>
      <w:r w:rsidR="00B1121C">
        <w:t>al</w:t>
      </w:r>
      <w:r>
        <w:t xml:space="preserve"> coordination of </w:t>
      </w:r>
      <w:proofErr w:type="spellStart"/>
      <w:r w:rsidR="00CA77B2">
        <w:t>AusAID’s</w:t>
      </w:r>
      <w:proofErr w:type="spellEnd"/>
      <w:r w:rsidR="00CA77B2">
        <w:t xml:space="preserve"> work in these regions.</w:t>
      </w:r>
    </w:p>
    <w:p w:rsidR="00377391" w:rsidRDefault="00377391" w:rsidP="00377391">
      <w:pPr>
        <w:pStyle w:val="BodyText"/>
        <w:rPr>
          <w:szCs w:val="22"/>
        </w:rPr>
      </w:pPr>
      <w:r>
        <w:rPr>
          <w:szCs w:val="22"/>
        </w:rPr>
        <w:t xml:space="preserve">The National Development Planning </w:t>
      </w:r>
      <w:r w:rsidR="0079192D">
        <w:rPr>
          <w:szCs w:val="22"/>
        </w:rPr>
        <w:t xml:space="preserve">Agency </w:t>
      </w:r>
      <w:r w:rsidRPr="007D5EED">
        <w:rPr>
          <w:szCs w:val="22"/>
        </w:rPr>
        <w:t xml:space="preserve">provided strong endorsement to the Eastern Indonesia Heads of </w:t>
      </w:r>
      <w:r w:rsidRPr="0095701D">
        <w:rPr>
          <w:rStyle w:val="AbbreviationChar"/>
        </w:rPr>
        <w:t>BAPPEDA</w:t>
      </w:r>
      <w:r w:rsidRPr="007D5EED">
        <w:rPr>
          <w:szCs w:val="22"/>
        </w:rPr>
        <w:t xml:space="preserve"> Forum and the Eastern Indonesia Forum as a whole </w:t>
      </w:r>
      <w:r>
        <w:rPr>
          <w:szCs w:val="22"/>
        </w:rPr>
        <w:t>(</w:t>
      </w:r>
      <w:r w:rsidRPr="007D5EED">
        <w:rPr>
          <w:szCs w:val="22"/>
        </w:rPr>
        <w:t xml:space="preserve">facilitated by </w:t>
      </w:r>
      <w:r w:rsidRPr="00FD4333">
        <w:rPr>
          <w:rStyle w:val="AbbreviationChar"/>
        </w:rPr>
        <w:t>B</w:t>
      </w:r>
      <w:r w:rsidR="0095701D">
        <w:rPr>
          <w:rStyle w:val="AbbreviationChar"/>
        </w:rPr>
        <w:t>A</w:t>
      </w:r>
      <w:r w:rsidRPr="00FD4333">
        <w:rPr>
          <w:rStyle w:val="AbbreviationChar"/>
        </w:rPr>
        <w:t>KTI</w:t>
      </w:r>
      <w:r>
        <w:rPr>
          <w:rStyle w:val="AbbreviationChar"/>
        </w:rPr>
        <w:t>)</w:t>
      </w:r>
      <w:r w:rsidRPr="007D5EED">
        <w:rPr>
          <w:szCs w:val="22"/>
        </w:rPr>
        <w:t xml:space="preserve">. </w:t>
      </w:r>
      <w:r w:rsidR="00486DC0">
        <w:rPr>
          <w:szCs w:val="22"/>
        </w:rPr>
        <w:t xml:space="preserve">The Minister, </w:t>
      </w:r>
      <w:proofErr w:type="spellStart"/>
      <w:r w:rsidR="00486DC0">
        <w:rPr>
          <w:lang w:val="en-US"/>
        </w:rPr>
        <w:t>Armida</w:t>
      </w:r>
      <w:proofErr w:type="spellEnd"/>
      <w:r w:rsidR="00486DC0">
        <w:rPr>
          <w:lang w:val="en-US"/>
        </w:rPr>
        <w:t xml:space="preserve"> S. </w:t>
      </w:r>
      <w:proofErr w:type="spellStart"/>
      <w:r w:rsidR="00486DC0">
        <w:rPr>
          <w:lang w:val="en-US"/>
        </w:rPr>
        <w:t>Alisjahbana</w:t>
      </w:r>
      <w:proofErr w:type="spellEnd"/>
      <w:r w:rsidRPr="007D5EED">
        <w:rPr>
          <w:szCs w:val="22"/>
        </w:rPr>
        <w:t xml:space="preserve"> stated that this provides a clear example of how to involve CSO</w:t>
      </w:r>
      <w:r>
        <w:rPr>
          <w:szCs w:val="22"/>
        </w:rPr>
        <w:t>s</w:t>
      </w:r>
      <w:r w:rsidRPr="007D5EED">
        <w:rPr>
          <w:szCs w:val="22"/>
        </w:rPr>
        <w:t xml:space="preserve"> in </w:t>
      </w:r>
      <w:r>
        <w:rPr>
          <w:szCs w:val="22"/>
        </w:rPr>
        <w:t xml:space="preserve">development </w:t>
      </w:r>
      <w:r w:rsidRPr="007D5EED">
        <w:rPr>
          <w:szCs w:val="22"/>
        </w:rPr>
        <w:t>planning processes. This should be seen as an opportunity to further strengthen the forum through a series of strategic activities, including piloting of women’s leadership, development of research framework</w:t>
      </w:r>
      <w:r>
        <w:rPr>
          <w:szCs w:val="22"/>
        </w:rPr>
        <w:t>s</w:t>
      </w:r>
      <w:r w:rsidRPr="007D5EED">
        <w:rPr>
          <w:szCs w:val="22"/>
        </w:rPr>
        <w:t xml:space="preserve"> on poverty in the region, and identification of smart practices for sharing not only nationally but also as part of </w:t>
      </w:r>
      <w:smartTag w:uri="urn:schemas-microsoft-com:office:smarttags" w:element="place">
        <w:smartTag w:uri="urn:schemas-microsoft-com:office:smarttags" w:element="country-region">
          <w:r w:rsidRPr="007D5EED">
            <w:rPr>
              <w:szCs w:val="22"/>
            </w:rPr>
            <w:t>Indonesia</w:t>
          </w:r>
        </w:smartTag>
      </w:smartTag>
      <w:r w:rsidRPr="007D5EED">
        <w:rPr>
          <w:szCs w:val="22"/>
        </w:rPr>
        <w:t>’s contribution to the G20 south-south exchange.</w:t>
      </w:r>
    </w:p>
    <w:p w:rsidR="00377391" w:rsidRDefault="00377391" w:rsidP="000E3F26">
      <w:pPr>
        <w:pStyle w:val="Abbreviation"/>
      </w:pPr>
      <w:r>
        <w:t xml:space="preserve">Our achievements with civil society strengthening and their effective contribution in development planning and process through </w:t>
      </w:r>
      <w:r w:rsidR="0079192D" w:rsidRPr="002B0BC6">
        <w:rPr>
          <w:rFonts w:cs="Arial"/>
        </w:rPr>
        <w:t>Australia Community Development and Civil Society Strengthening Scheme</w:t>
      </w:r>
      <w:r w:rsidR="0079192D" w:rsidRPr="0079192D">
        <w:rPr>
          <w:rStyle w:val="AbbreviationChar"/>
        </w:rPr>
        <w:t xml:space="preserve"> </w:t>
      </w:r>
      <w:r w:rsidR="0079192D">
        <w:rPr>
          <w:rStyle w:val="AbbreviationChar"/>
        </w:rPr>
        <w:t>(</w:t>
      </w:r>
      <w:r w:rsidRPr="0079192D">
        <w:rPr>
          <w:rStyle w:val="AbbreviationChar"/>
        </w:rPr>
        <w:t>ACCESS</w:t>
      </w:r>
      <w:r w:rsidR="0079192D">
        <w:rPr>
          <w:rStyle w:val="AbbreviationChar"/>
        </w:rPr>
        <w:t>)</w:t>
      </w:r>
      <w:r w:rsidRPr="0079192D">
        <w:t xml:space="preserve"> and </w:t>
      </w:r>
      <w:r w:rsidR="0079192D" w:rsidRPr="002B0BC6">
        <w:rPr>
          <w:rFonts w:cs="Arial"/>
        </w:rPr>
        <w:t>Local Governance and Infrastructure for Communities in Aceh Program</w:t>
      </w:r>
      <w:r w:rsidR="0079192D" w:rsidRPr="0079192D">
        <w:t xml:space="preserve"> </w:t>
      </w:r>
      <w:r w:rsidR="0079192D">
        <w:t>(</w:t>
      </w:r>
      <w:r w:rsidRPr="0079192D">
        <w:t>LOGICA</w:t>
      </w:r>
      <w:r w:rsidR="0079192D">
        <w:t>)</w:t>
      </w:r>
      <w:r w:rsidRPr="0079192D">
        <w:t>,</w:t>
      </w:r>
      <w:r>
        <w:t xml:space="preserve"> link well with the demand side strategy for AIPD to ensure the right balance in our approach </w:t>
      </w:r>
      <w:r w:rsidR="0099016F">
        <w:t>to</w:t>
      </w:r>
      <w:r>
        <w:t xml:space="preserve"> assisting the </w:t>
      </w:r>
      <w:proofErr w:type="spellStart"/>
      <w:r>
        <w:t>GoI</w:t>
      </w:r>
      <w:proofErr w:type="spellEnd"/>
      <w:r>
        <w:t xml:space="preserve"> and sub national governments to reform their public finance systems.</w:t>
      </w:r>
    </w:p>
    <w:p w:rsidR="00377391" w:rsidRDefault="00377391" w:rsidP="00377391">
      <w:pPr>
        <w:pStyle w:val="BodyText"/>
        <w:rPr>
          <w:szCs w:val="22"/>
        </w:rPr>
      </w:pPr>
      <w:r>
        <w:rPr>
          <w:szCs w:val="22"/>
        </w:rPr>
        <w:t xml:space="preserve">The role and capacity of the legislatures in Aceh and </w:t>
      </w:r>
      <w:smartTag w:uri="urn:schemas-microsoft-com:office:smarttags" w:element="place">
        <w:r>
          <w:rPr>
            <w:szCs w:val="22"/>
          </w:rPr>
          <w:t>Eastern Indonesia</w:t>
        </w:r>
      </w:smartTag>
      <w:r>
        <w:rPr>
          <w:szCs w:val="22"/>
        </w:rPr>
        <w:t xml:space="preserve"> is still problematic and at times inhibit progressive development agendas. Concerted efforts are needed to include these stakeholders in a ran</w:t>
      </w:r>
      <w:r w:rsidR="00CA77B2">
        <w:rPr>
          <w:szCs w:val="22"/>
        </w:rPr>
        <w:t>ge of supported reform agendas.</w:t>
      </w:r>
    </w:p>
    <w:p w:rsidR="00044215" w:rsidRDefault="00044215" w:rsidP="00612FF9">
      <w:pPr>
        <w:pStyle w:val="H2F"/>
      </w:pPr>
      <w:bookmarkStart w:id="97" w:name="_Toc293049978"/>
      <w:bookmarkStart w:id="98" w:name="_Toc360981864"/>
      <w:r>
        <w:t>Management consequences</w:t>
      </w:r>
      <w:bookmarkEnd w:id="97"/>
      <w:bookmarkEnd w:id="98"/>
    </w:p>
    <w:p w:rsidR="00393600" w:rsidRDefault="00393600" w:rsidP="00393600">
      <w:pPr>
        <w:pStyle w:val="BodyText"/>
      </w:pPr>
      <w:r>
        <w:t xml:space="preserve">We </w:t>
      </w:r>
      <w:r w:rsidR="00270083">
        <w:t xml:space="preserve">need </w:t>
      </w:r>
      <w:r>
        <w:t>a robust c</w:t>
      </w:r>
      <w:r w:rsidRPr="00663392">
        <w:t xml:space="preserve">ommunications </w:t>
      </w:r>
      <w:r>
        <w:t>strategy and p</w:t>
      </w:r>
      <w:r w:rsidRPr="00663392">
        <w:t xml:space="preserve">lan to ensure </w:t>
      </w:r>
      <w:r>
        <w:t xml:space="preserve">all stakeholders, both at national and sub-national level, are meaningfully involved in various stages and elements of our programs. </w:t>
      </w:r>
      <w:r w:rsidR="00270083">
        <w:t xml:space="preserve"> Effective instruments and approaches are shared amongst decentralisation programs for broader application where relevant. A</w:t>
      </w:r>
      <w:r>
        <w:t xml:space="preserve"> strong national level engagement strategy </w:t>
      </w:r>
      <w:r w:rsidR="0069660A">
        <w:t xml:space="preserve">needs to be </w:t>
      </w:r>
      <w:r w:rsidR="00270083">
        <w:t xml:space="preserve">developed </w:t>
      </w:r>
      <w:r>
        <w:t xml:space="preserve">focussing on selected strategic priorities of the three key ministries managing Indonesia’s decentralisation, </w:t>
      </w:r>
      <w:r w:rsidR="00270083">
        <w:t xml:space="preserve">i.e. </w:t>
      </w:r>
      <w:r>
        <w:t xml:space="preserve">Ministry of Home Affairs (MOHA), BAPPENAS and Ministry of Finance (MOF) in the areas of: political and administrative decentralisation (revision of Law no 32/2004 and formulation of RUU </w:t>
      </w:r>
      <w:proofErr w:type="spellStart"/>
      <w:r>
        <w:t>Desa</w:t>
      </w:r>
      <w:proofErr w:type="spellEnd"/>
      <w:r>
        <w:t xml:space="preserve">), fiscal decentralisation and public finance management, and public service reforms. It is important that we also bring best practices from sub-national level into policy discussions within these reform agendas.  </w:t>
      </w:r>
    </w:p>
    <w:p w:rsidR="00044215" w:rsidRPr="00A31267" w:rsidRDefault="00044215" w:rsidP="00A31267">
      <w:pPr>
        <w:pStyle w:val="Caption"/>
        <w:rPr>
          <w:sz w:val="22"/>
          <w:szCs w:val="22"/>
          <w:highlight w:val="magenta"/>
        </w:rPr>
      </w:pPr>
      <w:bookmarkStart w:id="99" w:name="_Toc293049979"/>
      <w:r w:rsidRPr="00A31267">
        <w:rPr>
          <w:sz w:val="22"/>
          <w:szCs w:val="22"/>
        </w:rPr>
        <w:t>Estimated expenditure in 2010</w:t>
      </w:r>
      <w:bookmarkEnd w:id="99"/>
    </w:p>
    <w:tbl>
      <w:tblPr>
        <w:tblW w:w="0" w:type="auto"/>
        <w:tblInd w:w="57" w:type="dxa"/>
        <w:tblLayout w:type="fixed"/>
        <w:tblLook w:val="0000" w:firstRow="0" w:lastRow="0" w:firstColumn="0" w:lastColumn="0" w:noHBand="0" w:noVBand="0"/>
      </w:tblPr>
      <w:tblGrid>
        <w:gridCol w:w="5683"/>
        <w:gridCol w:w="1127"/>
        <w:gridCol w:w="1128"/>
      </w:tblGrid>
      <w:tr w:rsidR="00044215"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044215" w:rsidRDefault="00044215">
            <w:pPr>
              <w:pStyle w:val="TableDataColumnHeading"/>
            </w:pPr>
            <w:r>
              <w:t>% of bilateral program</w:t>
            </w:r>
          </w:p>
        </w:tc>
      </w:tr>
      <w:tr w:rsidR="00044215" w:rsidRPr="002452D0" w:rsidTr="00027A09">
        <w:trPr>
          <w:cantSplit/>
        </w:trPr>
        <w:tc>
          <w:tcPr>
            <w:tcW w:w="5683" w:type="dxa"/>
            <w:tcBorders>
              <w:bottom w:val="single" w:sz="12" w:space="0" w:color="auto"/>
            </w:tcBorders>
            <w:shd w:val="clear" w:color="auto" w:fill="auto"/>
            <w:tcMar>
              <w:left w:w="57" w:type="dxa"/>
              <w:right w:w="57" w:type="dxa"/>
            </w:tcMar>
          </w:tcPr>
          <w:p w:rsidR="00044215" w:rsidRPr="002452D0" w:rsidRDefault="00E77521">
            <w:pPr>
              <w:pStyle w:val="TableDataEntries"/>
              <w:jc w:val="left"/>
            </w:pPr>
            <w:r>
              <w:t>Decentralisation</w:t>
            </w:r>
          </w:p>
        </w:tc>
        <w:tc>
          <w:tcPr>
            <w:tcW w:w="1127" w:type="dxa"/>
            <w:tcBorders>
              <w:bottom w:val="single" w:sz="12" w:space="0" w:color="auto"/>
            </w:tcBorders>
            <w:shd w:val="clear" w:color="auto" w:fill="auto"/>
            <w:tcMar>
              <w:left w:w="57" w:type="dxa"/>
              <w:right w:w="57" w:type="dxa"/>
            </w:tcMar>
          </w:tcPr>
          <w:p w:rsidR="00044215" w:rsidRPr="002452D0" w:rsidRDefault="000D7ABF">
            <w:pPr>
              <w:pStyle w:val="TableDataEntries"/>
            </w:pPr>
            <w:r>
              <w:t>20.4</w:t>
            </w:r>
          </w:p>
        </w:tc>
        <w:tc>
          <w:tcPr>
            <w:tcW w:w="1128" w:type="dxa"/>
            <w:tcBorders>
              <w:bottom w:val="single" w:sz="12" w:space="0" w:color="auto"/>
            </w:tcBorders>
            <w:shd w:val="clear" w:color="auto" w:fill="auto"/>
            <w:tcMar>
              <w:left w:w="57" w:type="dxa"/>
              <w:right w:w="57" w:type="dxa"/>
            </w:tcMar>
          </w:tcPr>
          <w:p w:rsidR="00044215" w:rsidRPr="002452D0" w:rsidRDefault="00C101A2">
            <w:pPr>
              <w:pStyle w:val="TableDataEntries"/>
            </w:pPr>
            <w:r>
              <w:t>5.</w:t>
            </w:r>
            <w:r w:rsidR="008A546A">
              <w:t>2</w:t>
            </w:r>
            <w:r>
              <w:t>%</w:t>
            </w:r>
          </w:p>
        </w:tc>
      </w:tr>
    </w:tbl>
    <w:p w:rsidR="00044215" w:rsidRDefault="00044215">
      <w:pPr>
        <w:pStyle w:val="Source"/>
      </w:pPr>
      <w:r w:rsidRPr="00C05EB3">
        <w:t xml:space="preserve">Source: </w:t>
      </w:r>
      <w:r w:rsidR="00912D59">
        <w:t xml:space="preserve">2009-2010 fiscal year’s expenditures in </w:t>
      </w:r>
      <w:proofErr w:type="spellStart"/>
      <w:r w:rsidR="00912D59">
        <w:t>AidWorks</w:t>
      </w:r>
      <w:proofErr w:type="spellEnd"/>
    </w:p>
    <w:p w:rsidR="00C411B2" w:rsidRDefault="00C411B2" w:rsidP="00683977">
      <w:pPr>
        <w:pStyle w:val="Heading2"/>
      </w:pPr>
      <w:bookmarkStart w:id="100" w:name="_Toc293049980"/>
      <w:bookmarkStart w:id="101" w:name="_Toc300905110"/>
      <w:bookmarkStart w:id="102" w:name="_Toc360981865"/>
      <w:r>
        <w:lastRenderedPageBreak/>
        <w:t xml:space="preserve">Poverty </w:t>
      </w:r>
      <w:proofErr w:type="spellStart"/>
      <w:r>
        <w:t>reducti</w:t>
      </w:r>
      <w:bookmarkEnd w:id="100"/>
      <w:bookmarkEnd w:id="101"/>
      <w:bookmarkEnd w:id="102"/>
      <w:proofErr w:type="spellEnd"/>
    </w:p>
    <w:p w:rsidR="00683977" w:rsidRPr="00BC34CE" w:rsidRDefault="00BC34CE" w:rsidP="00612FF9">
      <w:pPr>
        <w:pStyle w:val="H2F"/>
      </w:pPr>
      <w:bookmarkStart w:id="103" w:name="_Toc360981866"/>
      <w:bookmarkStart w:id="104" w:name="_Toc293049981"/>
      <w:r w:rsidRPr="00BC34CE">
        <w:t>Social Protection and Community Driven Development (PNPM)</w:t>
      </w:r>
      <w:bookmarkEnd w:id="103"/>
      <w:r w:rsidR="00683977" w:rsidRPr="00BC34CE">
        <w:t xml:space="preserve"> </w:t>
      </w:r>
    </w:p>
    <w:p w:rsidR="00C411B2" w:rsidRDefault="00C411B2" w:rsidP="00612FF9">
      <w:pPr>
        <w:pStyle w:val="Heading3"/>
      </w:pPr>
      <w:bookmarkStart w:id="105" w:name="_Toc360981867"/>
      <w:r>
        <w:t>Rating</w:t>
      </w:r>
      <w:bookmarkEnd w:id="104"/>
      <w:bookmarkEnd w:id="105"/>
    </w:p>
    <w:tbl>
      <w:tblPr>
        <w:tblW w:w="0" w:type="auto"/>
        <w:tblInd w:w="57" w:type="dxa"/>
        <w:tblLook w:val="01E0" w:firstRow="1" w:lastRow="1" w:firstColumn="1" w:lastColumn="1" w:noHBand="0" w:noVBand="0"/>
      </w:tblPr>
      <w:tblGrid>
        <w:gridCol w:w="5710"/>
        <w:gridCol w:w="895"/>
        <w:gridCol w:w="1314"/>
      </w:tblGrid>
      <w:tr w:rsidR="0009654F" w:rsidTr="00027A09">
        <w:trPr>
          <w:cantSplit/>
          <w:tblHeader/>
        </w:trPr>
        <w:tc>
          <w:tcPr>
            <w:tcW w:w="5725" w:type="dxa"/>
            <w:shd w:val="clear" w:color="auto" w:fill="F5F1CC"/>
            <w:tcMar>
              <w:left w:w="57" w:type="dxa"/>
              <w:right w:w="57" w:type="dxa"/>
            </w:tcMar>
            <w:vAlign w:val="center"/>
          </w:tcPr>
          <w:p w:rsidR="0009654F" w:rsidRDefault="00B1121C" w:rsidP="00A54966">
            <w:pPr>
              <w:pStyle w:val="TableTextEntries"/>
            </w:pPr>
            <w:r>
              <w:t>Objectives</w:t>
            </w:r>
          </w:p>
        </w:tc>
        <w:tc>
          <w:tcPr>
            <w:tcW w:w="896" w:type="dxa"/>
            <w:shd w:val="clear" w:color="auto" w:fill="F5F1CC"/>
            <w:tcMar>
              <w:left w:w="57" w:type="dxa"/>
              <w:right w:w="57" w:type="dxa"/>
            </w:tcMar>
            <w:vAlign w:val="center"/>
          </w:tcPr>
          <w:p w:rsidR="0009654F" w:rsidRDefault="0009654F" w:rsidP="0009654F">
            <w:pPr>
              <w:pStyle w:val="TableTextEntries"/>
              <w:jc w:val="center"/>
            </w:pPr>
            <w:r>
              <w:t>Rating in 2010</w:t>
            </w:r>
          </w:p>
        </w:tc>
        <w:tc>
          <w:tcPr>
            <w:tcW w:w="1316" w:type="dxa"/>
            <w:shd w:val="clear" w:color="auto" w:fill="F5F1CC"/>
            <w:tcMar>
              <w:left w:w="57" w:type="dxa"/>
              <w:right w:w="57" w:type="dxa"/>
            </w:tcMar>
            <w:vAlign w:val="center"/>
          </w:tcPr>
          <w:p w:rsidR="0009654F" w:rsidRDefault="0009654F" w:rsidP="0009654F">
            <w:pPr>
              <w:pStyle w:val="TableTextEntries"/>
              <w:jc w:val="center"/>
              <w:rPr>
                <w:bCs/>
              </w:rPr>
            </w:pPr>
            <w:r>
              <w:rPr>
                <w:bCs/>
              </w:rPr>
              <w:t>Relative to previous rating</w:t>
            </w:r>
          </w:p>
        </w:tc>
      </w:tr>
      <w:tr w:rsidR="0009654F" w:rsidTr="008645D5">
        <w:trPr>
          <w:cantSplit/>
        </w:trPr>
        <w:tc>
          <w:tcPr>
            <w:tcW w:w="5725" w:type="dxa"/>
            <w:shd w:val="clear" w:color="auto" w:fill="auto"/>
            <w:tcMar>
              <w:left w:w="57" w:type="dxa"/>
              <w:right w:w="57" w:type="dxa"/>
            </w:tcMar>
            <w:vAlign w:val="center"/>
          </w:tcPr>
          <w:p w:rsidR="0009654F" w:rsidRPr="00BE3EEB" w:rsidRDefault="0009654F" w:rsidP="00A54966">
            <w:pPr>
              <w:pStyle w:val="TableTextEntries"/>
            </w:pPr>
            <w:r w:rsidRPr="00BE3EEB">
              <w:t xml:space="preserve">Strengthened </w:t>
            </w:r>
            <w:proofErr w:type="spellStart"/>
            <w:r w:rsidRPr="00BE3EEB">
              <w:t>GoI</w:t>
            </w:r>
            <w:proofErr w:type="spellEnd"/>
            <w:r w:rsidRPr="00BE3EEB">
              <w:t xml:space="preserve"> poverty reduction instruments</w:t>
            </w:r>
            <w:r>
              <w:t xml:space="preserve"> </w:t>
            </w:r>
            <w:r w:rsidRPr="00912D59">
              <w:t>(new outcome)</w:t>
            </w:r>
            <w:r w:rsidRPr="00BE3EEB">
              <w:t xml:space="preserve"> </w:t>
            </w:r>
          </w:p>
        </w:tc>
        <w:tc>
          <w:tcPr>
            <w:tcW w:w="896" w:type="dxa"/>
            <w:shd w:val="clear" w:color="auto" w:fill="auto"/>
            <w:tcMar>
              <w:left w:w="57" w:type="dxa"/>
              <w:right w:w="57" w:type="dxa"/>
            </w:tcMar>
            <w:vAlign w:val="center"/>
          </w:tcPr>
          <w:p w:rsidR="0009654F" w:rsidRDefault="00181000" w:rsidP="00A54966">
            <w:pPr>
              <w:pStyle w:val="Ratingbullet"/>
            </w:pPr>
            <w:r>
              <w:rPr>
                <w:rFonts w:hint="cs"/>
                <w:noProof/>
                <w:rtl/>
                <w:lang w:val="en-US"/>
              </w:rPr>
              <w:drawing>
                <wp:inline distT="0" distB="0" distL="0" distR="0" wp14:anchorId="5FE5AF86" wp14:editId="098B8378">
                  <wp:extent cx="151821" cy="151821"/>
                  <wp:effectExtent l="0" t="0" r="635" b="635"/>
                  <wp:docPr id="101" name="Picture 10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09654F" w:rsidRDefault="0009654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r w:rsidR="0009654F" w:rsidTr="008645D5">
        <w:trPr>
          <w:cantSplit/>
        </w:trPr>
        <w:tc>
          <w:tcPr>
            <w:tcW w:w="5725" w:type="dxa"/>
            <w:shd w:val="clear" w:color="auto" w:fill="auto"/>
            <w:tcMar>
              <w:left w:w="57" w:type="dxa"/>
              <w:right w:w="57" w:type="dxa"/>
            </w:tcMar>
            <w:vAlign w:val="center"/>
          </w:tcPr>
          <w:p w:rsidR="0009654F" w:rsidRPr="00BE3EEB" w:rsidRDefault="0009654F" w:rsidP="00A54966">
            <w:pPr>
              <w:pStyle w:val="TableTextEntries"/>
            </w:pPr>
            <w:r w:rsidRPr="00BE3EEB">
              <w:t>Strengthened ability to reach for the poor</w:t>
            </w:r>
            <w:r>
              <w:t xml:space="preserve"> </w:t>
            </w:r>
            <w:r w:rsidRPr="00912D59">
              <w:t>(new outcome)</w:t>
            </w:r>
          </w:p>
        </w:tc>
        <w:tc>
          <w:tcPr>
            <w:tcW w:w="896" w:type="dxa"/>
            <w:shd w:val="clear" w:color="auto" w:fill="auto"/>
            <w:tcMar>
              <w:left w:w="57" w:type="dxa"/>
              <w:right w:w="57" w:type="dxa"/>
            </w:tcMar>
            <w:vAlign w:val="center"/>
          </w:tcPr>
          <w:p w:rsidR="0009654F" w:rsidRDefault="00181000" w:rsidP="00A54966">
            <w:pPr>
              <w:pStyle w:val="Ratingbullet"/>
            </w:pPr>
            <w:r>
              <w:rPr>
                <w:rFonts w:hint="cs"/>
                <w:noProof/>
                <w:rtl/>
                <w:lang w:val="en-US"/>
              </w:rPr>
              <w:drawing>
                <wp:inline distT="0" distB="0" distL="0" distR="0" wp14:anchorId="483F59A0" wp14:editId="415E3075">
                  <wp:extent cx="151821" cy="151821"/>
                  <wp:effectExtent l="0" t="0" r="635" b="635"/>
                  <wp:docPr id="102" name="Picture 10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09654F" w:rsidRDefault="0009654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BE3EEB">
              <w:rPr>
                <w:bCs/>
              </w:rPr>
              <w:t>Not applicable</w:t>
            </w:r>
            <w:r>
              <w:rPr>
                <w:bCs/>
              </w:rPr>
              <w:fldChar w:fldCharType="end"/>
            </w:r>
          </w:p>
        </w:tc>
      </w:tr>
    </w:tbl>
    <w:p w:rsidR="00C411B2" w:rsidRPr="00EF3996" w:rsidRDefault="00C411B2" w:rsidP="00612FF9">
      <w:pPr>
        <w:pStyle w:val="H2F"/>
      </w:pPr>
      <w:bookmarkStart w:id="106" w:name="_Toc293049982"/>
      <w:bookmarkStart w:id="107" w:name="_Toc360981868"/>
      <w:r w:rsidRPr="00044215">
        <w:t>Assessment of results and performance</w:t>
      </w:r>
      <w:bookmarkEnd w:id="106"/>
      <w:bookmarkEnd w:id="107"/>
    </w:p>
    <w:p w:rsidR="008206D4" w:rsidRDefault="008206D4" w:rsidP="008206D4">
      <w:pPr>
        <w:pStyle w:val="BodyText"/>
      </w:pPr>
      <w:r>
        <w:t xml:space="preserve">Traction in </w:t>
      </w:r>
      <w:proofErr w:type="spellStart"/>
      <w:r>
        <w:t>GoI</w:t>
      </w:r>
      <w:proofErr w:type="spellEnd"/>
      <w:r>
        <w:t xml:space="preserve"> for strengthened poverty reduction instruments and ability to reach the poor remains strong. However the lack of clarity on roles of the National Development Planning </w:t>
      </w:r>
      <w:r w:rsidR="0038216A">
        <w:t xml:space="preserve">Agency </w:t>
      </w:r>
      <w:r>
        <w:t>(BAPPENAS), the Coordinating Ministry for Social Welfare (</w:t>
      </w:r>
      <w:r w:rsidRPr="0095701D">
        <w:rPr>
          <w:rStyle w:val="AbbreviationChar"/>
        </w:rPr>
        <w:t>MENKOKESRA</w:t>
      </w:r>
      <w:r>
        <w:t xml:space="preserve">), and the </w:t>
      </w:r>
      <w:r w:rsidR="00551D52">
        <w:t>National</w:t>
      </w:r>
      <w:r>
        <w:t xml:space="preserve"> Team for Accelerating Poverty Reduction (</w:t>
      </w:r>
      <w:r w:rsidRPr="0095701D">
        <w:rPr>
          <w:rStyle w:val="AbbreviationChar"/>
        </w:rPr>
        <w:t>TNP2K</w:t>
      </w:r>
      <w:r>
        <w:t xml:space="preserve">) continues to be a risk that could undermine the effectiveness of </w:t>
      </w:r>
      <w:proofErr w:type="spellStart"/>
      <w:r>
        <w:t>AusAID’s</w:t>
      </w:r>
      <w:proofErr w:type="spellEnd"/>
      <w:r>
        <w:t xml:space="preserve"> investments in the sector. Aside from the ongoing lack of collaboration between ministries and government agencies, progress has also been slow in the National Community Empowerment Program (PNPM) </w:t>
      </w:r>
      <w:r w:rsidR="00551D52">
        <w:t>s</w:t>
      </w:r>
      <w:r>
        <w:t xml:space="preserve">upport </w:t>
      </w:r>
      <w:r w:rsidR="00551D52">
        <w:t>f</w:t>
      </w:r>
      <w:r>
        <w:t xml:space="preserve">acility (managed by the World Bank). This has delayed the development of long term strategies for specific activities we support within PNPM, including </w:t>
      </w:r>
      <w:r w:rsidRPr="0095701D">
        <w:rPr>
          <w:rStyle w:val="AbbreviationChar"/>
        </w:rPr>
        <w:t>GENERASI</w:t>
      </w:r>
      <w:r>
        <w:t xml:space="preserve"> which provides support to communities in improving health and education indicators, scaling up of our microfinance pilot, and general p</w:t>
      </w:r>
      <w:r w:rsidR="00CA77B2">
        <w:t>rogress of approved activities.</w:t>
      </w:r>
    </w:p>
    <w:p w:rsidR="008206D4" w:rsidRDefault="008206D4" w:rsidP="008206D4">
      <w:pPr>
        <w:pStyle w:val="BodyText"/>
      </w:pPr>
      <w:r>
        <w:t xml:space="preserve">Despite these constraints, both subsectors to which </w:t>
      </w:r>
      <w:proofErr w:type="spellStart"/>
      <w:r>
        <w:t>AusAID</w:t>
      </w:r>
      <w:proofErr w:type="spellEnd"/>
      <w:r>
        <w:t xml:space="preserve"> is contributing (PNPM and Social Protection) are progressing, and </w:t>
      </w:r>
      <w:proofErr w:type="spellStart"/>
      <w:r>
        <w:t>AusAID’s</w:t>
      </w:r>
      <w:proofErr w:type="spellEnd"/>
      <w:r>
        <w:t xml:space="preserve"> influence within this niche is continuing to grow.  The Poverty Reduction Support Facility (</w:t>
      </w:r>
      <w:r w:rsidRPr="0095701D">
        <w:rPr>
          <w:rStyle w:val="AbbreviationChar"/>
        </w:rPr>
        <w:t>PRSF</w:t>
      </w:r>
      <w:r>
        <w:t>) interim arrangements have been effective and appropriate staff are being sourced. This will support a smooth transition to operations using a manag</w:t>
      </w:r>
      <w:r w:rsidR="0069660A">
        <w:t>ing</w:t>
      </w:r>
      <w:r>
        <w:t xml:space="preserve"> contractor currently being selected for the full PRSF which will start in July 2011. While challenges remain in establishing the PRSF, </w:t>
      </w:r>
      <w:proofErr w:type="spellStart"/>
      <w:r>
        <w:t>AusAID’s</w:t>
      </w:r>
      <w:proofErr w:type="spellEnd"/>
      <w:r>
        <w:t xml:space="preserve"> focus is now shifting from the mobilisation phase to outputs of the policy formulation working groups in TNP2K. These groups will drive the policy and strategy for </w:t>
      </w:r>
      <w:proofErr w:type="spellStart"/>
      <w:r>
        <w:t>GoI’s</w:t>
      </w:r>
      <w:proofErr w:type="spellEnd"/>
      <w:r>
        <w:t xml:space="preserve"> poverty programs.</w:t>
      </w:r>
    </w:p>
    <w:p w:rsidR="008206D4" w:rsidRDefault="008206D4" w:rsidP="00612FF9">
      <w:pPr>
        <w:pStyle w:val="H2F"/>
      </w:pPr>
      <w:bookmarkStart w:id="108" w:name="_Toc293049983"/>
      <w:bookmarkStart w:id="109" w:name="_Toc360981869"/>
      <w:r>
        <w:t>Factors contributing to or hampering success</w:t>
      </w:r>
      <w:bookmarkEnd w:id="108"/>
      <w:bookmarkEnd w:id="109"/>
    </w:p>
    <w:p w:rsidR="008206D4" w:rsidRDefault="008206D4" w:rsidP="008206D4">
      <w:pPr>
        <w:pStyle w:val="BodyText"/>
      </w:pPr>
      <w:r w:rsidRPr="00084096">
        <w:t>The national road map ac</w:t>
      </w:r>
      <w:r>
        <w:t>ross parts of PNPM is still being progressed by MENKOKESRA. Extension of the consultation process means that this will be completed in the second half of</w:t>
      </w:r>
      <w:r w:rsidRPr="00084096">
        <w:t xml:space="preserve"> 2011.  </w:t>
      </w:r>
      <w:r>
        <w:t xml:space="preserve">Development of the </w:t>
      </w:r>
      <w:r w:rsidRPr="00084096">
        <w:t xml:space="preserve">long term strategy for </w:t>
      </w:r>
      <w:r>
        <w:t xml:space="preserve">GENERASI is commencing with shifting of management responsibilities and oversight within </w:t>
      </w:r>
      <w:proofErr w:type="spellStart"/>
      <w:r>
        <w:t>MoHA</w:t>
      </w:r>
      <w:proofErr w:type="spellEnd"/>
      <w:r>
        <w:t>. Once this is completed, in-depth discussions can commence with the directorate designated with the res</w:t>
      </w:r>
      <w:r w:rsidR="00CA77B2">
        <w:t>ponsibility to handle GENERASI.</w:t>
      </w:r>
    </w:p>
    <w:p w:rsidR="008206D4" w:rsidRDefault="008206D4" w:rsidP="0038216A">
      <w:pPr>
        <w:pStyle w:val="BodyText"/>
      </w:pPr>
      <w:r w:rsidRPr="00362054">
        <w:t>The unit should respond to the delays and lack of human resources in P</w:t>
      </w:r>
      <w:r w:rsidR="0038216A">
        <w:t>R</w:t>
      </w:r>
      <w:r w:rsidRPr="00362054">
        <w:t xml:space="preserve">SF required to ensure effective oversight of grants and pilots for PNPM. In full collaboration with the World Bank and </w:t>
      </w:r>
      <w:proofErr w:type="spellStart"/>
      <w:r w:rsidRPr="00362054">
        <w:t>GoI</w:t>
      </w:r>
      <w:proofErr w:type="spellEnd"/>
      <w:r w:rsidRPr="00362054">
        <w:t xml:space="preserve"> counterparts, </w:t>
      </w:r>
      <w:proofErr w:type="spellStart"/>
      <w:r w:rsidRPr="00362054">
        <w:t>AusAID</w:t>
      </w:r>
      <w:proofErr w:type="spellEnd"/>
      <w:r w:rsidRPr="00362054">
        <w:t xml:space="preserve"> could supplement the current team to safeguard investments in the program. Linking efforts between PNPM and TNP2K, through activities such as strategy workshops should </w:t>
      </w:r>
      <w:r w:rsidR="008C2371">
        <w:t>assist</w:t>
      </w:r>
      <w:r w:rsidR="008C2371" w:rsidRPr="00362054">
        <w:t xml:space="preserve"> </w:t>
      </w:r>
      <w:r w:rsidRPr="00362054">
        <w:t xml:space="preserve">in increasing cohesion between the various </w:t>
      </w:r>
      <w:proofErr w:type="spellStart"/>
      <w:r w:rsidRPr="00362054">
        <w:t>GoI</w:t>
      </w:r>
      <w:proofErr w:type="spellEnd"/>
      <w:r w:rsidRPr="00362054">
        <w:t xml:space="preserve"> institutions.</w:t>
      </w:r>
    </w:p>
    <w:p w:rsidR="008206D4" w:rsidRPr="0038216A" w:rsidRDefault="008206D4" w:rsidP="0038216A">
      <w:pPr>
        <w:pStyle w:val="BodyText"/>
      </w:pPr>
      <w:r w:rsidRPr="0038216A">
        <w:t xml:space="preserve">The objectives of the PRSF interim arrangements are to lay foundations for the full PRSF and get people and systems in place to establish the TNP2K </w:t>
      </w:r>
      <w:r w:rsidR="0038216A">
        <w:t>s</w:t>
      </w:r>
      <w:r w:rsidRPr="0038216A">
        <w:t xml:space="preserve">ecretariat.  </w:t>
      </w:r>
      <w:proofErr w:type="spellStart"/>
      <w:r w:rsidRPr="0038216A">
        <w:t>G</w:t>
      </w:r>
      <w:r w:rsidR="00936D2A">
        <w:t>o</w:t>
      </w:r>
      <w:r w:rsidRPr="0038216A">
        <w:t>I</w:t>
      </w:r>
      <w:proofErr w:type="spellEnd"/>
      <w:r w:rsidRPr="0038216A">
        <w:t xml:space="preserve"> appreciates our responsiveness and thus is relatively responsive</w:t>
      </w:r>
      <w:r w:rsidR="008C2371">
        <w:t xml:space="preserve"> to</w:t>
      </w:r>
      <w:r w:rsidRPr="0038216A">
        <w:t xml:space="preserve"> and supportive </w:t>
      </w:r>
      <w:r w:rsidR="008C2371">
        <w:t>of</w:t>
      </w:r>
      <w:r w:rsidR="008C2371" w:rsidRPr="0038216A">
        <w:t xml:space="preserve"> </w:t>
      </w:r>
      <w:r w:rsidRPr="0038216A">
        <w:t xml:space="preserve">our requests.   While no </w:t>
      </w:r>
      <w:r w:rsidRPr="0038216A">
        <w:lastRenderedPageBreak/>
        <w:t xml:space="preserve">substantial discussion regarding PRSF multi-donor trust fund establishment has taken place so far, </w:t>
      </w:r>
      <w:proofErr w:type="spellStart"/>
      <w:r w:rsidRPr="0038216A">
        <w:t>G</w:t>
      </w:r>
      <w:r w:rsidR="00936D2A">
        <w:t>o</w:t>
      </w:r>
      <w:r w:rsidRPr="0038216A">
        <w:t>I</w:t>
      </w:r>
      <w:proofErr w:type="spellEnd"/>
      <w:r w:rsidRPr="0038216A">
        <w:t xml:space="preserve"> has started directing donors interested to contribute </w:t>
      </w:r>
      <w:r w:rsidR="008C2371">
        <w:t xml:space="preserve">to the </w:t>
      </w:r>
      <w:r w:rsidRPr="0038216A">
        <w:t xml:space="preserve">TNP2K </w:t>
      </w:r>
      <w:r w:rsidR="00551D52">
        <w:t>s</w:t>
      </w:r>
      <w:r w:rsidRPr="0038216A">
        <w:t xml:space="preserve">ecretariat, such as USAID and </w:t>
      </w:r>
      <w:r w:rsidR="0038216A" w:rsidRPr="0038216A">
        <w:rPr>
          <w:i/>
          <w:szCs w:val="20"/>
        </w:rPr>
        <w:t xml:space="preserve">Deutsche </w:t>
      </w:r>
      <w:proofErr w:type="spellStart"/>
      <w:r w:rsidR="0038216A" w:rsidRPr="0038216A">
        <w:rPr>
          <w:i/>
          <w:szCs w:val="20"/>
        </w:rPr>
        <w:t>Gesellschaft</w:t>
      </w:r>
      <w:proofErr w:type="spellEnd"/>
      <w:r w:rsidR="0038216A" w:rsidRPr="0038216A">
        <w:rPr>
          <w:i/>
          <w:szCs w:val="20"/>
        </w:rPr>
        <w:t xml:space="preserve"> </w:t>
      </w:r>
      <w:proofErr w:type="spellStart"/>
      <w:r w:rsidR="0038216A" w:rsidRPr="0038216A">
        <w:rPr>
          <w:i/>
          <w:szCs w:val="20"/>
        </w:rPr>
        <w:t>für</w:t>
      </w:r>
      <w:proofErr w:type="spellEnd"/>
      <w:r w:rsidR="0038216A" w:rsidRPr="0038216A">
        <w:rPr>
          <w:i/>
          <w:szCs w:val="20"/>
        </w:rPr>
        <w:t xml:space="preserve"> Internationale </w:t>
      </w:r>
      <w:proofErr w:type="spellStart"/>
      <w:r w:rsidR="0038216A" w:rsidRPr="0038216A">
        <w:rPr>
          <w:i/>
          <w:szCs w:val="20"/>
        </w:rPr>
        <w:t>Zusammenarbeit</w:t>
      </w:r>
      <w:proofErr w:type="spellEnd"/>
      <w:r w:rsidR="0038216A" w:rsidRPr="0038216A">
        <w:t xml:space="preserve"> </w:t>
      </w:r>
      <w:r w:rsidR="0038216A">
        <w:t>(</w:t>
      </w:r>
      <w:r w:rsidRPr="0038216A">
        <w:t>GIZ</w:t>
      </w:r>
      <w:r w:rsidR="0038216A">
        <w:t xml:space="preserve">), </w:t>
      </w:r>
      <w:smartTag w:uri="urn:schemas-microsoft-com:office:smarttags" w:element="place">
        <w:smartTag w:uri="urn:schemas-microsoft-com:office:smarttags" w:element="country-region">
          <w:r w:rsidR="0038216A">
            <w:t>Germany</w:t>
          </w:r>
        </w:smartTag>
      </w:smartTag>
      <w:r w:rsidR="0038216A">
        <w:t>’s International Cooperation Agency</w:t>
      </w:r>
      <w:r w:rsidRPr="0038216A">
        <w:t xml:space="preserve">, to coordinate their support with us. </w:t>
      </w:r>
    </w:p>
    <w:p w:rsidR="008206D4" w:rsidRPr="008F7FC7" w:rsidRDefault="008206D4" w:rsidP="0038216A">
      <w:pPr>
        <w:pStyle w:val="BodyText"/>
        <w:rPr>
          <w:rFonts w:eastAsia="MS Mincho"/>
        </w:rPr>
      </w:pPr>
      <w:r w:rsidRPr="00081DB5">
        <w:rPr>
          <w:rFonts w:eastAsia="MS Mincho"/>
        </w:rPr>
        <w:t xml:space="preserve">The World Bank, which receives our funding to strengthen </w:t>
      </w:r>
      <w:proofErr w:type="spellStart"/>
      <w:r w:rsidRPr="00081DB5">
        <w:rPr>
          <w:rFonts w:eastAsia="MS Mincho"/>
        </w:rPr>
        <w:t>G</w:t>
      </w:r>
      <w:r w:rsidR="00936D2A">
        <w:rPr>
          <w:rFonts w:eastAsia="MS Mincho"/>
        </w:rPr>
        <w:t>o</w:t>
      </w:r>
      <w:r w:rsidRPr="00081DB5">
        <w:rPr>
          <w:rFonts w:eastAsia="MS Mincho"/>
        </w:rPr>
        <w:t>I</w:t>
      </w:r>
      <w:proofErr w:type="spellEnd"/>
      <w:r w:rsidRPr="00081DB5">
        <w:rPr>
          <w:rFonts w:eastAsia="MS Mincho"/>
        </w:rPr>
        <w:t xml:space="preserve"> poverty reduction knowledge, has been very cooperative in supporting the TNP2K </w:t>
      </w:r>
      <w:r w:rsidR="0038216A">
        <w:rPr>
          <w:rFonts w:eastAsia="MS Mincho"/>
        </w:rPr>
        <w:t>s</w:t>
      </w:r>
      <w:r w:rsidRPr="00081DB5">
        <w:rPr>
          <w:rFonts w:eastAsia="MS Mincho"/>
        </w:rPr>
        <w:t xml:space="preserve">ecretariat achieving its goals.  The Bank has been </w:t>
      </w:r>
      <w:r w:rsidRPr="008F7FC7">
        <w:rPr>
          <w:rFonts w:eastAsia="MS Mincho"/>
        </w:rPr>
        <w:t xml:space="preserve">supportive in establishing the Targeting as well as the Monitoring &amp; Evaluation </w:t>
      </w:r>
      <w:r w:rsidR="00551D52">
        <w:rPr>
          <w:rFonts w:eastAsia="MS Mincho"/>
        </w:rPr>
        <w:t>w</w:t>
      </w:r>
      <w:r w:rsidRPr="008F7FC7">
        <w:rPr>
          <w:rFonts w:eastAsia="MS Mincho"/>
        </w:rPr>
        <w:t xml:space="preserve">orking </w:t>
      </w:r>
      <w:r w:rsidR="00551D52">
        <w:rPr>
          <w:rFonts w:eastAsia="MS Mincho"/>
        </w:rPr>
        <w:t>g</w:t>
      </w:r>
      <w:r w:rsidRPr="008F7FC7">
        <w:rPr>
          <w:rFonts w:eastAsia="MS Mincho"/>
        </w:rPr>
        <w:t xml:space="preserve">roups under the TNP2K </w:t>
      </w:r>
      <w:r w:rsidR="0038216A">
        <w:rPr>
          <w:rFonts w:eastAsia="MS Mincho"/>
        </w:rPr>
        <w:t>s</w:t>
      </w:r>
      <w:r w:rsidRPr="008F7FC7">
        <w:rPr>
          <w:rFonts w:eastAsia="MS Mincho"/>
        </w:rPr>
        <w:t>ecretariat.  The Bank also provides intensive support to the Targeting Working Group to creat</w:t>
      </w:r>
      <w:r w:rsidR="00CA77B2">
        <w:rPr>
          <w:rFonts w:eastAsia="MS Mincho"/>
        </w:rPr>
        <w:t>e a national targeting system.</w:t>
      </w:r>
    </w:p>
    <w:p w:rsidR="008206D4" w:rsidRPr="008F7FC7" w:rsidRDefault="008206D4" w:rsidP="0038216A">
      <w:pPr>
        <w:pStyle w:val="BodyText"/>
      </w:pPr>
      <w:r w:rsidRPr="008F7FC7">
        <w:t xml:space="preserve">With the shifting of our focus from the mobilisation phase to outputs of the policy formulation working groups in TNP2K </w:t>
      </w:r>
      <w:r w:rsidR="00551D52">
        <w:t>s</w:t>
      </w:r>
      <w:r w:rsidRPr="008F7FC7">
        <w:t>ecretariat, there is urgency to finalise recruitment of the working group coordinators and analysts.   There have been challenges in securing appropriate expertise for the working gro</w:t>
      </w:r>
      <w:r w:rsidR="00CA77B2">
        <w:t>ups such as poverty targeting.</w:t>
      </w:r>
    </w:p>
    <w:p w:rsidR="00C411B2" w:rsidRDefault="00C411B2" w:rsidP="00612FF9">
      <w:pPr>
        <w:pStyle w:val="H2F"/>
      </w:pPr>
      <w:bookmarkStart w:id="110" w:name="_Toc293049984"/>
      <w:bookmarkStart w:id="111" w:name="_Toc360981870"/>
      <w:r>
        <w:t>Management consequences</w:t>
      </w:r>
      <w:bookmarkEnd w:id="110"/>
      <w:bookmarkEnd w:id="111"/>
    </w:p>
    <w:p w:rsidR="008C2371" w:rsidRDefault="00393600" w:rsidP="00270083">
      <w:pPr>
        <w:pStyle w:val="BodyText"/>
      </w:pPr>
      <w:r>
        <w:t>Overall, w</w:t>
      </w:r>
      <w:r w:rsidR="003F0518">
        <w:t>e need to e</w:t>
      </w:r>
      <w:r w:rsidR="003845D0">
        <w:t xml:space="preserve">nsure </w:t>
      </w:r>
      <w:r w:rsidR="003F0518">
        <w:t xml:space="preserve">that </w:t>
      </w:r>
      <w:r w:rsidR="00836001">
        <w:t xml:space="preserve">our </w:t>
      </w:r>
      <w:r w:rsidR="003845D0">
        <w:t>communication</w:t>
      </w:r>
      <w:r w:rsidR="00836001">
        <w:t>s</w:t>
      </w:r>
      <w:r w:rsidR="003845D0">
        <w:t xml:space="preserve"> with key ministries and international development counterparts </w:t>
      </w:r>
      <w:r w:rsidR="00836001">
        <w:t xml:space="preserve">lead </w:t>
      </w:r>
      <w:r w:rsidR="003845D0">
        <w:t>increase</w:t>
      </w:r>
      <w:r w:rsidR="00836001">
        <w:t>d</w:t>
      </w:r>
      <w:r w:rsidR="003845D0">
        <w:t xml:space="preserve"> level</w:t>
      </w:r>
      <w:r w:rsidR="008C2371">
        <w:t>s</w:t>
      </w:r>
      <w:r w:rsidR="003845D0">
        <w:t xml:space="preserve"> of collaboration between </w:t>
      </w:r>
      <w:r w:rsidR="00836001">
        <w:t>these institutions</w:t>
      </w:r>
      <w:r w:rsidR="003F0518">
        <w:t xml:space="preserve">. </w:t>
      </w:r>
      <w:r w:rsidR="008C2371">
        <w:t>Other priorities are:</w:t>
      </w:r>
    </w:p>
    <w:p w:rsidR="008C2371" w:rsidRDefault="00F55FD4" w:rsidP="008C2371">
      <w:pPr>
        <w:pStyle w:val="BodyText"/>
        <w:numPr>
          <w:ilvl w:val="0"/>
          <w:numId w:val="21"/>
        </w:numPr>
      </w:pPr>
      <w:r>
        <w:t>P</w:t>
      </w:r>
      <w:r w:rsidRPr="0088034A">
        <w:t>articipat</w:t>
      </w:r>
      <w:r w:rsidR="008C2371">
        <w:t>ion</w:t>
      </w:r>
      <w:r w:rsidRPr="0088034A">
        <w:t xml:space="preserve"> in policy dialogue and key activities such as improving targeting mechanisms</w:t>
      </w:r>
      <w:r>
        <w:t xml:space="preserve">. </w:t>
      </w:r>
    </w:p>
    <w:p w:rsidR="008C2371" w:rsidRDefault="00393600" w:rsidP="008C2371">
      <w:pPr>
        <w:pStyle w:val="BodyText"/>
        <w:numPr>
          <w:ilvl w:val="0"/>
          <w:numId w:val="21"/>
        </w:numPr>
      </w:pPr>
      <w:r>
        <w:t>At the program level, m</w:t>
      </w:r>
      <w:r w:rsidR="00836001">
        <w:t>onitor and approve p</w:t>
      </w:r>
      <w:r w:rsidR="008206D4" w:rsidRPr="0088034A">
        <w:t xml:space="preserve">rogressive scale up of </w:t>
      </w:r>
      <w:r w:rsidR="00836001">
        <w:t>large pilots in PNPM</w:t>
      </w:r>
      <w:r w:rsidR="00F55FD4">
        <w:t xml:space="preserve">. </w:t>
      </w:r>
    </w:p>
    <w:p w:rsidR="008C2371" w:rsidRDefault="008206D4" w:rsidP="008C2371">
      <w:pPr>
        <w:pStyle w:val="BodyText"/>
        <w:numPr>
          <w:ilvl w:val="0"/>
          <w:numId w:val="21"/>
        </w:numPr>
      </w:pPr>
      <w:r w:rsidRPr="0088034A">
        <w:t xml:space="preserve">Establish the management structure and governance of </w:t>
      </w:r>
      <w:r w:rsidRPr="0088034A">
        <w:rPr>
          <w:rStyle w:val="AbbreviationChar"/>
        </w:rPr>
        <w:t>PRSF</w:t>
      </w:r>
      <w:r w:rsidRPr="0088034A">
        <w:t xml:space="preserve"> with </w:t>
      </w:r>
      <w:proofErr w:type="spellStart"/>
      <w:r w:rsidRPr="0088034A">
        <w:t>AusAID</w:t>
      </w:r>
      <w:proofErr w:type="spellEnd"/>
      <w:r w:rsidRPr="0088034A">
        <w:t xml:space="preserve"> as a constituent</w:t>
      </w:r>
      <w:r w:rsidR="00836001">
        <w:t xml:space="preserve">, and assess and make recommendations of the management, operational and </w:t>
      </w:r>
      <w:r w:rsidR="008C2371">
        <w:t xml:space="preserve">organisational </w:t>
      </w:r>
      <w:r w:rsidR="00836001">
        <w:t>systems and structures of TNP2K, focusing on the PRSF supported positions and processes</w:t>
      </w:r>
      <w:r w:rsidR="00F55FD4">
        <w:t xml:space="preserve">. </w:t>
      </w:r>
    </w:p>
    <w:p w:rsidR="00270083" w:rsidRDefault="008C2371" w:rsidP="008C2371">
      <w:pPr>
        <w:pStyle w:val="BodyText"/>
        <w:numPr>
          <w:ilvl w:val="0"/>
          <w:numId w:val="21"/>
        </w:numPr>
      </w:pPr>
      <w:r>
        <w:t>E</w:t>
      </w:r>
      <w:r w:rsidR="00270083">
        <w:t>xpand network</w:t>
      </w:r>
      <w:r>
        <w:t>s</w:t>
      </w:r>
      <w:r w:rsidR="00270083">
        <w:t xml:space="preserve"> to source suitable candidates for key working group positions.</w:t>
      </w:r>
    </w:p>
    <w:p w:rsidR="008206D4" w:rsidRDefault="008206D4" w:rsidP="00270083">
      <w:pPr>
        <w:pStyle w:val="BodyText"/>
      </w:pPr>
    </w:p>
    <w:p w:rsidR="00C411B2" w:rsidRPr="00A31267" w:rsidRDefault="00C411B2">
      <w:pPr>
        <w:pStyle w:val="Caption"/>
        <w:rPr>
          <w:sz w:val="22"/>
          <w:szCs w:val="22"/>
          <w:highlight w:val="magenta"/>
        </w:rPr>
      </w:pPr>
      <w:r w:rsidRPr="00A31267">
        <w:rPr>
          <w:sz w:val="22"/>
          <w:szCs w:val="22"/>
        </w:rPr>
        <w:t>Estimated expenditure in 2010</w:t>
      </w:r>
    </w:p>
    <w:tbl>
      <w:tblPr>
        <w:tblW w:w="0" w:type="auto"/>
        <w:tblInd w:w="57" w:type="dxa"/>
        <w:tblLayout w:type="fixed"/>
        <w:tblLook w:val="0000" w:firstRow="0" w:lastRow="0" w:firstColumn="0" w:lastColumn="0" w:noHBand="0" w:noVBand="0"/>
      </w:tblPr>
      <w:tblGrid>
        <w:gridCol w:w="5683"/>
        <w:gridCol w:w="1127"/>
        <w:gridCol w:w="1128"/>
      </w:tblGrid>
      <w:tr w:rsidR="00C411B2"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pPr>
            <w:r>
              <w:t>% of bilateral program</w:t>
            </w:r>
          </w:p>
        </w:tc>
      </w:tr>
      <w:tr w:rsidR="00C411B2" w:rsidRPr="002452D0" w:rsidTr="00027A09">
        <w:trPr>
          <w:cantSplit/>
        </w:trPr>
        <w:tc>
          <w:tcPr>
            <w:tcW w:w="5683" w:type="dxa"/>
            <w:tcBorders>
              <w:bottom w:val="single" w:sz="12" w:space="0" w:color="auto"/>
            </w:tcBorders>
            <w:shd w:val="clear" w:color="auto" w:fill="auto"/>
            <w:tcMar>
              <w:left w:w="57" w:type="dxa"/>
              <w:right w:w="57" w:type="dxa"/>
            </w:tcMar>
          </w:tcPr>
          <w:p w:rsidR="00C411B2" w:rsidRPr="002452D0" w:rsidRDefault="00C411B2">
            <w:pPr>
              <w:pStyle w:val="TableDataEntries"/>
              <w:jc w:val="left"/>
            </w:pPr>
            <w:r>
              <w:t>Poverty reduction</w:t>
            </w:r>
          </w:p>
        </w:tc>
        <w:tc>
          <w:tcPr>
            <w:tcW w:w="1127" w:type="dxa"/>
            <w:tcBorders>
              <w:bottom w:val="single" w:sz="12" w:space="0" w:color="auto"/>
            </w:tcBorders>
            <w:shd w:val="clear" w:color="auto" w:fill="auto"/>
            <w:tcMar>
              <w:left w:w="57" w:type="dxa"/>
              <w:right w:w="57" w:type="dxa"/>
            </w:tcMar>
          </w:tcPr>
          <w:p w:rsidR="00C411B2" w:rsidRPr="002452D0" w:rsidRDefault="000D7ABF">
            <w:pPr>
              <w:pStyle w:val="TableDataEntries"/>
            </w:pPr>
            <w:r>
              <w:t>23.2</w:t>
            </w:r>
          </w:p>
        </w:tc>
        <w:tc>
          <w:tcPr>
            <w:tcW w:w="1128" w:type="dxa"/>
            <w:tcBorders>
              <w:bottom w:val="single" w:sz="12" w:space="0" w:color="auto"/>
            </w:tcBorders>
            <w:shd w:val="clear" w:color="auto" w:fill="auto"/>
            <w:tcMar>
              <w:left w:w="57" w:type="dxa"/>
              <w:right w:w="57" w:type="dxa"/>
            </w:tcMar>
          </w:tcPr>
          <w:p w:rsidR="00C411B2" w:rsidRPr="002452D0" w:rsidRDefault="008A546A">
            <w:pPr>
              <w:pStyle w:val="TableDataEntries"/>
            </w:pPr>
            <w:r>
              <w:t>5</w:t>
            </w:r>
            <w:r w:rsidR="00C101A2">
              <w:t>.</w:t>
            </w:r>
            <w:r>
              <w:t>9</w:t>
            </w:r>
            <w:r w:rsidR="00C101A2">
              <w:t>%</w:t>
            </w:r>
          </w:p>
        </w:tc>
      </w:tr>
    </w:tbl>
    <w:p w:rsidR="00C411B2" w:rsidRDefault="00C411B2">
      <w:pPr>
        <w:pStyle w:val="Source"/>
      </w:pPr>
      <w:r w:rsidRPr="00C05EB3">
        <w:t xml:space="preserve">Source: </w:t>
      </w:r>
      <w:r w:rsidR="00912D59">
        <w:t xml:space="preserve">2009-2010 fiscal year’s expenditures in </w:t>
      </w:r>
      <w:proofErr w:type="spellStart"/>
      <w:r w:rsidR="00912D59">
        <w:t>AidWorks</w:t>
      </w:r>
      <w:proofErr w:type="spellEnd"/>
    </w:p>
    <w:p w:rsidR="00C411B2" w:rsidRDefault="00C411B2" w:rsidP="00683977">
      <w:pPr>
        <w:pStyle w:val="Heading2"/>
      </w:pPr>
      <w:bookmarkStart w:id="112" w:name="_Toc293049985"/>
      <w:bookmarkStart w:id="113" w:name="_Toc300905111"/>
      <w:bookmarkStart w:id="114" w:name="_Toc360981871"/>
      <w:r>
        <w:t>Economic governance</w:t>
      </w:r>
      <w:bookmarkEnd w:id="112"/>
      <w:bookmarkEnd w:id="113"/>
      <w:bookmarkEnd w:id="114"/>
    </w:p>
    <w:p w:rsidR="00683977" w:rsidRDefault="00683977" w:rsidP="00612FF9">
      <w:pPr>
        <w:pStyle w:val="H2F"/>
      </w:pPr>
      <w:bookmarkStart w:id="115" w:name="_Toc360981872"/>
      <w:bookmarkStart w:id="116" w:name="_Toc293049986"/>
      <w:r>
        <w:t>Economic governance</w:t>
      </w:r>
      <w:bookmarkEnd w:id="115"/>
      <w:r>
        <w:t xml:space="preserve"> </w:t>
      </w:r>
    </w:p>
    <w:p w:rsidR="00C411B2" w:rsidRDefault="00C411B2" w:rsidP="00612FF9">
      <w:pPr>
        <w:pStyle w:val="Heading3"/>
      </w:pPr>
      <w:bookmarkStart w:id="117" w:name="_Toc360981873"/>
      <w:r>
        <w:t>Rating</w:t>
      </w:r>
      <w:bookmarkEnd w:id="116"/>
      <w:bookmarkEnd w:id="117"/>
    </w:p>
    <w:tbl>
      <w:tblPr>
        <w:tblW w:w="0" w:type="auto"/>
        <w:tblInd w:w="57" w:type="dxa"/>
        <w:tblLook w:val="01E0" w:firstRow="1" w:lastRow="1" w:firstColumn="1" w:lastColumn="1" w:noHBand="0" w:noVBand="0"/>
      </w:tblPr>
      <w:tblGrid>
        <w:gridCol w:w="5709"/>
        <w:gridCol w:w="895"/>
        <w:gridCol w:w="1315"/>
      </w:tblGrid>
      <w:tr w:rsidR="0009654F" w:rsidTr="00027A09">
        <w:trPr>
          <w:cantSplit/>
          <w:tblHeader/>
        </w:trPr>
        <w:tc>
          <w:tcPr>
            <w:tcW w:w="5725" w:type="dxa"/>
            <w:shd w:val="clear" w:color="auto" w:fill="F5F1CC"/>
            <w:tcMar>
              <w:left w:w="57" w:type="dxa"/>
              <w:right w:w="57" w:type="dxa"/>
            </w:tcMar>
            <w:vAlign w:val="center"/>
          </w:tcPr>
          <w:p w:rsidR="0009654F" w:rsidRDefault="00182FAF" w:rsidP="00A54966">
            <w:pPr>
              <w:pStyle w:val="TableTextEntries"/>
            </w:pPr>
            <w:r>
              <w:t>Objectives</w:t>
            </w:r>
          </w:p>
        </w:tc>
        <w:tc>
          <w:tcPr>
            <w:tcW w:w="896" w:type="dxa"/>
            <w:shd w:val="clear" w:color="auto" w:fill="F5F1CC"/>
            <w:tcMar>
              <w:left w:w="57" w:type="dxa"/>
              <w:right w:w="57" w:type="dxa"/>
            </w:tcMar>
            <w:vAlign w:val="center"/>
          </w:tcPr>
          <w:p w:rsidR="0009654F" w:rsidRDefault="0009654F" w:rsidP="0009654F">
            <w:pPr>
              <w:pStyle w:val="TableTextEntries"/>
              <w:jc w:val="center"/>
            </w:pPr>
            <w:r>
              <w:t>Rating in 2010</w:t>
            </w:r>
          </w:p>
        </w:tc>
        <w:tc>
          <w:tcPr>
            <w:tcW w:w="1316" w:type="dxa"/>
            <w:shd w:val="clear" w:color="auto" w:fill="F5F1CC"/>
            <w:tcMar>
              <w:left w:w="57" w:type="dxa"/>
              <w:right w:w="57" w:type="dxa"/>
            </w:tcMar>
            <w:vAlign w:val="center"/>
          </w:tcPr>
          <w:p w:rsidR="0009654F" w:rsidRDefault="0009654F" w:rsidP="0009654F">
            <w:pPr>
              <w:pStyle w:val="TableTextEntries"/>
              <w:jc w:val="center"/>
              <w:rPr>
                <w:bCs/>
              </w:rPr>
            </w:pPr>
            <w:r>
              <w:rPr>
                <w:bCs/>
              </w:rPr>
              <w:t>Relative to previous rating</w:t>
            </w:r>
          </w:p>
        </w:tc>
      </w:tr>
      <w:tr w:rsidR="0009654F" w:rsidTr="008645D5">
        <w:trPr>
          <w:cantSplit/>
        </w:trPr>
        <w:tc>
          <w:tcPr>
            <w:tcW w:w="5725" w:type="dxa"/>
            <w:shd w:val="clear" w:color="auto" w:fill="auto"/>
            <w:tcMar>
              <w:left w:w="57" w:type="dxa"/>
              <w:right w:w="57" w:type="dxa"/>
            </w:tcMar>
            <w:vAlign w:val="center"/>
          </w:tcPr>
          <w:p w:rsidR="0009654F" w:rsidRDefault="0009654F" w:rsidP="00A54966">
            <w:pPr>
              <w:pStyle w:val="TableTextEntries"/>
            </w:pPr>
            <w:r w:rsidRPr="00532793">
              <w:t>Improved capacity of core economic institutions for policy development, coordination and implementation</w:t>
            </w:r>
          </w:p>
        </w:tc>
        <w:tc>
          <w:tcPr>
            <w:tcW w:w="896" w:type="dxa"/>
            <w:shd w:val="clear" w:color="auto" w:fill="auto"/>
            <w:tcMar>
              <w:left w:w="57" w:type="dxa"/>
              <w:right w:w="57" w:type="dxa"/>
            </w:tcMar>
            <w:vAlign w:val="center"/>
          </w:tcPr>
          <w:p w:rsidR="0009654F" w:rsidRDefault="00907A26" w:rsidP="00A54966">
            <w:pPr>
              <w:pStyle w:val="Ratingbullet"/>
            </w:pPr>
            <w:r>
              <w:rPr>
                <w:noProof/>
                <w:lang w:val="en-US"/>
              </w:rPr>
              <w:drawing>
                <wp:inline distT="0" distB="0" distL="0" distR="0" wp14:anchorId="5575D078" wp14:editId="23CB6EE0">
                  <wp:extent cx="149530" cy="149530"/>
                  <wp:effectExtent l="0" t="0" r="3175" b="3175"/>
                  <wp:docPr id="61" name="Picture 6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09654F" w:rsidRDefault="0009654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Declined</w:t>
            </w:r>
            <w:r>
              <w:rPr>
                <w:bCs/>
              </w:rPr>
              <w:fldChar w:fldCharType="end"/>
            </w:r>
          </w:p>
        </w:tc>
      </w:tr>
      <w:tr w:rsidR="0009654F" w:rsidTr="008645D5">
        <w:trPr>
          <w:cantSplit/>
        </w:trPr>
        <w:tc>
          <w:tcPr>
            <w:tcW w:w="5725" w:type="dxa"/>
            <w:shd w:val="clear" w:color="auto" w:fill="auto"/>
            <w:tcMar>
              <w:left w:w="57" w:type="dxa"/>
              <w:right w:w="57" w:type="dxa"/>
            </w:tcMar>
            <w:vAlign w:val="center"/>
          </w:tcPr>
          <w:p w:rsidR="0009654F" w:rsidRDefault="0009654F" w:rsidP="00A54966">
            <w:pPr>
              <w:pStyle w:val="TableTextEntries"/>
            </w:pPr>
            <w:r w:rsidRPr="00532793">
              <w:t>Improved capacity for development and supervision of financial institutions and capital markets</w:t>
            </w:r>
          </w:p>
        </w:tc>
        <w:tc>
          <w:tcPr>
            <w:tcW w:w="896" w:type="dxa"/>
            <w:shd w:val="clear" w:color="auto" w:fill="auto"/>
            <w:tcMar>
              <w:left w:w="57" w:type="dxa"/>
              <w:right w:w="57" w:type="dxa"/>
            </w:tcMar>
            <w:vAlign w:val="center"/>
          </w:tcPr>
          <w:p w:rsidR="0009654F" w:rsidRDefault="00203B55" w:rsidP="00A54966">
            <w:pPr>
              <w:pStyle w:val="Ratingbullet"/>
            </w:pPr>
            <w:r>
              <w:rPr>
                <w:noProof/>
                <w:lang w:val="en-US"/>
              </w:rPr>
              <w:drawing>
                <wp:inline distT="0" distB="0" distL="0" distR="0" wp14:anchorId="4E6954B3" wp14:editId="39E34240">
                  <wp:extent cx="157075" cy="157075"/>
                  <wp:effectExtent l="0" t="0" r="0" b="0"/>
                  <wp:docPr id="20" name="Picture 20"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316" w:type="dxa"/>
            <w:shd w:val="clear" w:color="auto" w:fill="auto"/>
            <w:tcMar>
              <w:left w:w="57" w:type="dxa"/>
              <w:right w:w="57" w:type="dxa"/>
            </w:tcMar>
            <w:vAlign w:val="center"/>
          </w:tcPr>
          <w:p w:rsidR="0009654F" w:rsidRDefault="0009654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Declined</w:t>
            </w:r>
            <w:r>
              <w:rPr>
                <w:bCs/>
              </w:rPr>
              <w:fldChar w:fldCharType="end"/>
            </w:r>
          </w:p>
        </w:tc>
      </w:tr>
      <w:tr w:rsidR="0009654F" w:rsidTr="008645D5">
        <w:trPr>
          <w:cantSplit/>
        </w:trPr>
        <w:tc>
          <w:tcPr>
            <w:tcW w:w="5725" w:type="dxa"/>
            <w:shd w:val="clear" w:color="auto" w:fill="auto"/>
            <w:tcMar>
              <w:left w:w="57" w:type="dxa"/>
              <w:right w:w="57" w:type="dxa"/>
            </w:tcMar>
            <w:vAlign w:val="center"/>
          </w:tcPr>
          <w:p w:rsidR="0009654F" w:rsidRDefault="0009654F" w:rsidP="00A54966">
            <w:pPr>
              <w:pStyle w:val="TableTextEntries"/>
            </w:pPr>
            <w:r w:rsidRPr="00532793">
              <w:lastRenderedPageBreak/>
              <w:t xml:space="preserve">Improved capacity to develop and implement trade </w:t>
            </w:r>
            <w:r>
              <w:t xml:space="preserve">and investment </w:t>
            </w:r>
            <w:r w:rsidRPr="00532793">
              <w:t>policy</w:t>
            </w:r>
          </w:p>
        </w:tc>
        <w:tc>
          <w:tcPr>
            <w:tcW w:w="896" w:type="dxa"/>
            <w:shd w:val="clear" w:color="auto" w:fill="auto"/>
            <w:tcMar>
              <w:left w:w="57" w:type="dxa"/>
              <w:right w:w="57" w:type="dxa"/>
            </w:tcMar>
            <w:vAlign w:val="center"/>
          </w:tcPr>
          <w:p w:rsidR="0009654F" w:rsidRDefault="00181000" w:rsidP="00A54966">
            <w:pPr>
              <w:pStyle w:val="Ratingbullet"/>
            </w:pPr>
            <w:r>
              <w:rPr>
                <w:rFonts w:hint="cs"/>
                <w:noProof/>
                <w:rtl/>
                <w:lang w:val="en-US"/>
              </w:rPr>
              <w:drawing>
                <wp:inline distT="0" distB="0" distL="0" distR="0" wp14:anchorId="5E716851" wp14:editId="3FBBC7D0">
                  <wp:extent cx="151821" cy="151821"/>
                  <wp:effectExtent l="0" t="0" r="635" b="635"/>
                  <wp:docPr id="103" name="Picture 10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09654F" w:rsidRDefault="0009654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09654F" w:rsidTr="008645D5">
        <w:trPr>
          <w:cantSplit/>
        </w:trPr>
        <w:tc>
          <w:tcPr>
            <w:tcW w:w="5725" w:type="dxa"/>
            <w:shd w:val="clear" w:color="auto" w:fill="auto"/>
            <w:tcMar>
              <w:left w:w="57" w:type="dxa"/>
              <w:right w:w="57" w:type="dxa"/>
            </w:tcMar>
            <w:vAlign w:val="center"/>
          </w:tcPr>
          <w:p w:rsidR="0009654F" w:rsidRDefault="0009654F" w:rsidP="00A54966">
            <w:pPr>
              <w:pStyle w:val="TableTextEntries"/>
            </w:pPr>
            <w:r w:rsidRPr="00532793">
              <w:t>More efficient management of public finances (needs to be read in conjunction with decentralisation)</w:t>
            </w:r>
          </w:p>
        </w:tc>
        <w:tc>
          <w:tcPr>
            <w:tcW w:w="896" w:type="dxa"/>
            <w:shd w:val="clear" w:color="auto" w:fill="auto"/>
            <w:tcMar>
              <w:left w:w="57" w:type="dxa"/>
              <w:right w:w="57" w:type="dxa"/>
            </w:tcMar>
            <w:vAlign w:val="center"/>
          </w:tcPr>
          <w:p w:rsidR="0009654F" w:rsidRDefault="00907A26" w:rsidP="00A54966">
            <w:pPr>
              <w:pStyle w:val="Ratingbullet"/>
            </w:pPr>
            <w:r>
              <w:rPr>
                <w:noProof/>
                <w:lang w:val="en-US"/>
              </w:rPr>
              <w:drawing>
                <wp:inline distT="0" distB="0" distL="0" distR="0" wp14:anchorId="21ED4EFB" wp14:editId="27FBB38C">
                  <wp:extent cx="149530" cy="149530"/>
                  <wp:effectExtent l="0" t="0" r="3175" b="3175"/>
                  <wp:docPr id="62" name="Picture 6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09654F" w:rsidRDefault="0009654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Declined</w:t>
            </w:r>
            <w:r>
              <w:rPr>
                <w:bCs/>
              </w:rPr>
              <w:fldChar w:fldCharType="end"/>
            </w:r>
          </w:p>
        </w:tc>
      </w:tr>
      <w:tr w:rsidR="0009654F" w:rsidTr="008645D5">
        <w:trPr>
          <w:cantSplit/>
        </w:trPr>
        <w:tc>
          <w:tcPr>
            <w:tcW w:w="5725" w:type="dxa"/>
            <w:shd w:val="clear" w:color="auto" w:fill="auto"/>
            <w:tcMar>
              <w:left w:w="57" w:type="dxa"/>
              <w:right w:w="57" w:type="dxa"/>
            </w:tcMar>
            <w:vAlign w:val="center"/>
          </w:tcPr>
          <w:p w:rsidR="0009654F" w:rsidRDefault="0009654F" w:rsidP="00A54966">
            <w:pPr>
              <w:pStyle w:val="TableTextEntries"/>
            </w:pPr>
            <w:r w:rsidRPr="00532793">
              <w:t>Improved tax administration</w:t>
            </w:r>
          </w:p>
        </w:tc>
        <w:tc>
          <w:tcPr>
            <w:tcW w:w="896" w:type="dxa"/>
            <w:shd w:val="clear" w:color="auto" w:fill="auto"/>
            <w:tcMar>
              <w:left w:w="57" w:type="dxa"/>
              <w:right w:w="57" w:type="dxa"/>
            </w:tcMar>
            <w:vAlign w:val="center"/>
          </w:tcPr>
          <w:p w:rsidR="0009654F" w:rsidRDefault="00181000" w:rsidP="00A54966">
            <w:pPr>
              <w:pStyle w:val="Ratingbullet"/>
            </w:pPr>
            <w:r>
              <w:rPr>
                <w:rFonts w:hint="cs"/>
                <w:noProof/>
                <w:rtl/>
                <w:lang w:val="en-US"/>
              </w:rPr>
              <w:drawing>
                <wp:inline distT="0" distB="0" distL="0" distR="0" wp14:anchorId="7E23DCD2" wp14:editId="40DB51C2">
                  <wp:extent cx="151821" cy="151821"/>
                  <wp:effectExtent l="0" t="0" r="635" b="635"/>
                  <wp:docPr id="104" name="Picture 10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09654F" w:rsidRDefault="0009654F"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bl>
    <w:p w:rsidR="00C411B2" w:rsidRPr="00EF3996" w:rsidRDefault="00C411B2" w:rsidP="00612FF9">
      <w:pPr>
        <w:pStyle w:val="H2F"/>
      </w:pPr>
      <w:bookmarkStart w:id="118" w:name="_Toc293049987"/>
      <w:bookmarkStart w:id="119" w:name="_Toc360981874"/>
      <w:r w:rsidRPr="00044215">
        <w:t>Assessment of results and performance</w:t>
      </w:r>
      <w:bookmarkEnd w:id="118"/>
      <w:bookmarkEnd w:id="119"/>
    </w:p>
    <w:p w:rsidR="004C02D7" w:rsidRDefault="004C02D7" w:rsidP="004C02D7">
      <w:pPr>
        <w:pStyle w:val="BodyText"/>
      </w:pPr>
      <w:r>
        <w:t xml:space="preserve">While some elements of economic governance in </w:t>
      </w:r>
      <w:smartTag w:uri="urn:schemas-microsoft-com:office:smarttags" w:element="place">
        <w:smartTag w:uri="urn:schemas-microsoft-com:office:smarttags" w:element="country-region">
          <w:r>
            <w:t>Indonesia</w:t>
          </w:r>
        </w:smartTag>
      </w:smartTag>
      <w:r>
        <w:t xml:space="preserve"> such as monetary policy are well handled, greater uncertainty surrounds other areas and this is where Australian assistance is most focussed.  In particular, economic policy coordination is now more complicated.  There is an immense and growing workload associated with </w:t>
      </w:r>
      <w:smartTag w:uri="urn:schemas-microsoft-com:office:smarttags" w:element="place">
        <w:smartTag w:uri="urn:schemas-microsoft-com:office:smarttags" w:element="country-region">
          <w:r>
            <w:t>Indonesia</w:t>
          </w:r>
        </w:smartTag>
      </w:smartTag>
      <w:r>
        <w:t xml:space="preserve">’s chairing and hosting of regional economic </w:t>
      </w:r>
      <w:proofErr w:type="spellStart"/>
      <w:r>
        <w:t>fora</w:t>
      </w:r>
      <w:proofErr w:type="spellEnd"/>
      <w:r>
        <w:t xml:space="preserve">.  </w:t>
      </w:r>
      <w:r w:rsidR="0052754F">
        <w:t>T</w:t>
      </w:r>
      <w:r>
        <w:t xml:space="preserve">here are doubts about the government’s resolve to implement announced reforms to energy subsidies, and there is potential for further cases of major tax fraud to emerge.  </w:t>
      </w:r>
      <w:r w:rsidR="0052754F">
        <w:t>T</w:t>
      </w:r>
      <w:r>
        <w:t xml:space="preserve">hese pose the most imminent risks to better management of the government’s fiscal resources.  The major long term risk is </w:t>
      </w:r>
      <w:r w:rsidR="007A7CCF">
        <w:t xml:space="preserve">lack of </w:t>
      </w:r>
      <w:r>
        <w:t>progress with the national bureaucratic reform agenda – the current regime constrains what can be achieved on economic policy coordination and implementation.  Conversely, growing public scrutiny regarding the efficiency and fairness with which the government raises revenue and allocates its spending present</w:t>
      </w:r>
      <w:r w:rsidR="008A5815">
        <w:t>s</w:t>
      </w:r>
      <w:r>
        <w:t xml:space="preserve"> </w:t>
      </w:r>
      <w:r w:rsidR="008A5815">
        <w:t xml:space="preserve">long term </w:t>
      </w:r>
      <w:r>
        <w:t>opportunities.</w:t>
      </w:r>
    </w:p>
    <w:p w:rsidR="004C02D7" w:rsidRDefault="004C02D7" w:rsidP="004C02D7">
      <w:pPr>
        <w:pStyle w:val="BodyText"/>
      </w:pPr>
      <w:r w:rsidRPr="00487068">
        <w:rPr>
          <w:b/>
        </w:rPr>
        <w:t>Economic policy coordination</w:t>
      </w:r>
      <w:r>
        <w:t xml:space="preserve"> attracts the largest share of Australian assistance in the sector with </w:t>
      </w:r>
      <w:r w:rsidR="00551D52">
        <w:t>Government Partnership Fund (</w:t>
      </w:r>
      <w:r w:rsidRPr="00551D52">
        <w:rPr>
          <w:rStyle w:val="AbbreviationChar"/>
        </w:rPr>
        <w:t>GPF</w:t>
      </w:r>
      <w:r w:rsidR="00551D52">
        <w:rPr>
          <w:rStyle w:val="AbbreviationChar"/>
        </w:rPr>
        <w:t>)</w:t>
      </w:r>
      <w:r w:rsidRPr="00551D52">
        <w:rPr>
          <w:rStyle w:val="AbbreviationChar"/>
        </w:rPr>
        <w:t>,</w:t>
      </w:r>
      <w:r w:rsidRPr="00551D52">
        <w:t xml:space="preserve"> </w:t>
      </w:r>
      <w:r w:rsidR="00551D52" w:rsidRPr="002B0BC6">
        <w:rPr>
          <w:rFonts w:cs="Arial"/>
        </w:rPr>
        <w:t>Australia Indonesia Partnership for Economic Governance Facility</w:t>
      </w:r>
      <w:r w:rsidR="00551D52" w:rsidRPr="00551D52">
        <w:rPr>
          <w:rStyle w:val="AbbreviationChar"/>
        </w:rPr>
        <w:t xml:space="preserve"> </w:t>
      </w:r>
      <w:r w:rsidR="00551D52">
        <w:rPr>
          <w:rStyle w:val="AbbreviationChar"/>
        </w:rPr>
        <w:t>(</w:t>
      </w:r>
      <w:r w:rsidRPr="00551D52">
        <w:rPr>
          <w:rStyle w:val="AbbreviationChar"/>
        </w:rPr>
        <w:t>AIPEG</w:t>
      </w:r>
      <w:r w:rsidR="00551D52">
        <w:rPr>
          <w:rStyle w:val="AbbreviationChar"/>
        </w:rPr>
        <w:t>)</w:t>
      </w:r>
      <w:r w:rsidRPr="00551D52">
        <w:t xml:space="preserve"> and </w:t>
      </w:r>
      <w:r w:rsidR="00551D52" w:rsidRPr="002B0BC6">
        <w:rPr>
          <w:rFonts w:cs="Arial"/>
        </w:rPr>
        <w:t xml:space="preserve">Support for Enhanced Analysis on </w:t>
      </w:r>
      <w:smartTag w:uri="urn:schemas-microsoft-com:office:smarttags" w:element="place">
        <w:smartTag w:uri="urn:schemas-microsoft-com:office:smarttags" w:element="country-region">
          <w:r w:rsidR="00551D52" w:rsidRPr="002B0BC6">
            <w:rPr>
              <w:rFonts w:cs="Arial"/>
            </w:rPr>
            <w:t>Indonesia</w:t>
          </w:r>
        </w:smartTag>
      </w:smartTag>
      <w:r w:rsidR="00551D52" w:rsidRPr="002B0BC6">
        <w:rPr>
          <w:rFonts w:cs="Arial"/>
        </w:rPr>
        <w:t>’s Economy</w:t>
      </w:r>
      <w:r w:rsidR="00551D52">
        <w:rPr>
          <w:rStyle w:val="AbbreviationChar"/>
        </w:rPr>
        <w:t xml:space="preserve"> (</w:t>
      </w:r>
      <w:r w:rsidRPr="00551D52">
        <w:rPr>
          <w:rStyle w:val="AbbreviationChar"/>
        </w:rPr>
        <w:t>SEAMIE</w:t>
      </w:r>
      <w:r w:rsidR="00551D52">
        <w:rPr>
          <w:rStyle w:val="AbbreviationChar"/>
        </w:rPr>
        <w:t>)</w:t>
      </w:r>
      <w:r>
        <w:t xml:space="preserve"> devoting significant resources.  At the </w:t>
      </w:r>
      <w:r w:rsidR="00FE1004">
        <w:t xml:space="preserve">centre </w:t>
      </w:r>
      <w:r>
        <w:t>of this is Treasury involvement with the Fiscal Policy Office (</w:t>
      </w:r>
      <w:r w:rsidRPr="00055EBA">
        <w:rPr>
          <w:rStyle w:val="AbbreviationChar"/>
        </w:rPr>
        <w:t>FPO</w:t>
      </w:r>
      <w:r>
        <w:t xml:space="preserve">) under </w:t>
      </w:r>
      <w:r w:rsidRPr="00E03E5F">
        <w:rPr>
          <w:rStyle w:val="AbbreviationChar"/>
        </w:rPr>
        <w:t>GPF</w:t>
      </w:r>
      <w:r>
        <w:t xml:space="preserve">.  SEAMIE and Treasury GPF have already had an impact at FPO via improved macroeconomic analysis and forecasting and growth into policy analysis continues.  AIPEG has also been assisting the Coordinating Ministry of Economic Affairs to coordinate Indonesian commitments made under the ASEAN Economic Blueprint while chairing ASEAN in 2011. </w:t>
      </w:r>
    </w:p>
    <w:p w:rsidR="004C02D7" w:rsidRDefault="004C02D7" w:rsidP="004C02D7">
      <w:pPr>
        <w:pStyle w:val="BodyText"/>
      </w:pPr>
      <w:r>
        <w:t xml:space="preserve">Strengthened </w:t>
      </w:r>
      <w:r w:rsidRPr="00487068">
        <w:rPr>
          <w:b/>
        </w:rPr>
        <w:t>public financial management</w:t>
      </w:r>
      <w:r>
        <w:t xml:space="preserve"> (</w:t>
      </w:r>
      <w:r w:rsidRPr="00E03E5F">
        <w:rPr>
          <w:rStyle w:val="AbbreviationChar"/>
        </w:rPr>
        <w:t>PFM</w:t>
      </w:r>
      <w:r>
        <w:t>) is also being pursued through a number of channels.  ISP3’s work on procurement reform has resulted in improved public sector standards being issued</w:t>
      </w:r>
      <w:r w:rsidR="0069660A">
        <w:t>.</w:t>
      </w:r>
      <w:r w:rsidR="008A5815">
        <w:t xml:space="preserve"> </w:t>
      </w:r>
      <w:r w:rsidR="0069660A">
        <w:t>T</w:t>
      </w:r>
      <w:r>
        <w:t xml:space="preserve">he key challenge ahead </w:t>
      </w:r>
      <w:r w:rsidR="0069660A">
        <w:t xml:space="preserve">will be </w:t>
      </w:r>
      <w:r>
        <w:t xml:space="preserve">the level of awareness and compliance by spending agencies.  AIPEG is being tasked to commence scale up support of activities led by GPF </w:t>
      </w:r>
      <w:proofErr w:type="spellStart"/>
      <w:r>
        <w:t>deployees</w:t>
      </w:r>
      <w:proofErr w:type="spellEnd"/>
      <w:r>
        <w:t xml:space="preserve"> from the Australian Department of Finance </w:t>
      </w:r>
      <w:r w:rsidR="008A5815">
        <w:t xml:space="preserve">who </w:t>
      </w:r>
      <w:r>
        <w:t xml:space="preserve">have already </w:t>
      </w:r>
      <w:r w:rsidR="008A5815">
        <w:t>helped</w:t>
      </w:r>
      <w:r>
        <w:t xml:space="preserve"> </w:t>
      </w:r>
      <w:r w:rsidR="008A5815">
        <w:t xml:space="preserve">with the </w:t>
      </w:r>
      <w:r>
        <w:t>implement</w:t>
      </w:r>
      <w:r w:rsidR="008A5815">
        <w:t>ation</w:t>
      </w:r>
      <w:r>
        <w:t xml:space="preserve"> a Medium Term Expenditure Framework and the imminent roll out of performance based budgeting.  AIPEG will help </w:t>
      </w:r>
      <w:r w:rsidR="008A5815">
        <w:t xml:space="preserve">push </w:t>
      </w:r>
      <w:r>
        <w:t>these reforms out to line ministries.</w:t>
      </w:r>
    </w:p>
    <w:p w:rsidR="004C02D7" w:rsidRPr="003C2F68" w:rsidRDefault="004C02D7" w:rsidP="004C02D7">
      <w:pPr>
        <w:pStyle w:val="BodyText"/>
      </w:pPr>
      <w:r w:rsidRPr="00C27481">
        <w:t xml:space="preserve">AIPEG engagement </w:t>
      </w:r>
      <w:r>
        <w:t xml:space="preserve">on </w:t>
      </w:r>
      <w:r w:rsidRPr="003C2F68">
        <w:rPr>
          <w:b/>
        </w:rPr>
        <w:t>trade</w:t>
      </w:r>
      <w:r w:rsidRPr="00C27481">
        <w:t xml:space="preserve"> policy is </w:t>
      </w:r>
      <w:r>
        <w:t>escalating</w:t>
      </w:r>
      <w:r w:rsidRPr="00C27481">
        <w:t xml:space="preserve">. </w:t>
      </w:r>
      <w:r>
        <w:t>T</w:t>
      </w:r>
      <w:r w:rsidRPr="00C27481">
        <w:t>his year</w:t>
      </w:r>
      <w:r>
        <w:t>,</w:t>
      </w:r>
      <w:r w:rsidRPr="00C27481">
        <w:t xml:space="preserve"> in the lead up to </w:t>
      </w:r>
      <w:smartTag w:uri="urn:schemas-microsoft-com:office:smarttags" w:element="country-region">
        <w:smartTag w:uri="urn:schemas-microsoft-com:office:smarttags" w:element="place">
          <w:r w:rsidRPr="00C27481">
            <w:t>Indonesia</w:t>
          </w:r>
        </w:smartTag>
      </w:smartTag>
      <w:r w:rsidRPr="00C27481">
        <w:t xml:space="preserve">’s hosting of ASEAN, </w:t>
      </w:r>
      <w:r>
        <w:t xml:space="preserve">the focus </w:t>
      </w:r>
      <w:r w:rsidRPr="00C27481">
        <w:t xml:space="preserve">is on building </w:t>
      </w:r>
      <w:r>
        <w:t xml:space="preserve">the capacity of </w:t>
      </w:r>
      <w:r w:rsidR="0069660A">
        <w:t xml:space="preserve">the </w:t>
      </w:r>
      <w:r w:rsidRPr="00C27481">
        <w:t xml:space="preserve">Ministry </w:t>
      </w:r>
      <w:r w:rsidR="0069660A">
        <w:t xml:space="preserve">of Trade </w:t>
      </w:r>
      <w:r>
        <w:t xml:space="preserve">to advise and negotiate </w:t>
      </w:r>
      <w:r w:rsidRPr="00C27481">
        <w:t xml:space="preserve">on </w:t>
      </w:r>
      <w:r>
        <w:t xml:space="preserve">trade in </w:t>
      </w:r>
      <w:r w:rsidRPr="00C27481">
        <w:t xml:space="preserve">services.  Conversely, AIPEG’s work on </w:t>
      </w:r>
      <w:r w:rsidRPr="003C2F68">
        <w:rPr>
          <w:b/>
        </w:rPr>
        <w:t>debt management</w:t>
      </w:r>
      <w:r>
        <w:t xml:space="preserve"> and </w:t>
      </w:r>
      <w:r w:rsidRPr="003C2F68">
        <w:rPr>
          <w:b/>
        </w:rPr>
        <w:t>financial regulation</w:t>
      </w:r>
      <w:r w:rsidRPr="00C27481">
        <w:t xml:space="preserve"> have reached a natural review point, with phase down or complete withdrawal a</w:t>
      </w:r>
      <w:r w:rsidRPr="007B68C0">
        <w:t xml:space="preserve"> possibility in each.</w:t>
      </w:r>
    </w:p>
    <w:p w:rsidR="004C02D7" w:rsidRDefault="004C02D7" w:rsidP="004C02D7">
      <w:pPr>
        <w:pStyle w:val="BodyText"/>
      </w:pPr>
      <w:r>
        <w:t xml:space="preserve">AIPEG’s work </w:t>
      </w:r>
      <w:r w:rsidRPr="00682D10">
        <w:t>in</w:t>
      </w:r>
      <w:r w:rsidRPr="007B68C0">
        <w:t xml:space="preserve"> </w:t>
      </w:r>
      <w:r w:rsidRPr="003C2F68">
        <w:rPr>
          <w:b/>
        </w:rPr>
        <w:t>Tax</w:t>
      </w:r>
      <w:r>
        <w:t xml:space="preserve">, where we now have the coincidence of reform minded leadership with the appointment of a new Director General and considerable demand for assistance, offer potential for very meaningful scale up. Additional support has been approved to assist in internal investigations, </w:t>
      </w:r>
      <w:r w:rsidR="00CA77B2">
        <w:t>audit and tax base broadening.</w:t>
      </w:r>
    </w:p>
    <w:p w:rsidR="00C411B2" w:rsidRPr="004C02D7" w:rsidRDefault="00C411B2" w:rsidP="00612FF9">
      <w:pPr>
        <w:pStyle w:val="H2F"/>
      </w:pPr>
      <w:bookmarkStart w:id="120" w:name="_Toc293049988"/>
      <w:bookmarkStart w:id="121" w:name="_Toc360981875"/>
      <w:r w:rsidRPr="004C02D7">
        <w:lastRenderedPageBreak/>
        <w:t>Factors contributing to or hampering success</w:t>
      </w:r>
      <w:bookmarkEnd w:id="120"/>
      <w:bookmarkEnd w:id="121"/>
    </w:p>
    <w:p w:rsidR="004C02D7" w:rsidRDefault="004C02D7" w:rsidP="004C02D7">
      <w:pPr>
        <w:pStyle w:val="BodyText"/>
      </w:pPr>
      <w:r>
        <w:t>The key elements in achieving successful outcomes are enduring and trust</w:t>
      </w:r>
      <w:r w:rsidR="0026507A">
        <w:t>ing</w:t>
      </w:r>
      <w:r>
        <w:t xml:space="preserve"> relationships with Indonesian counterparts, and the willingness of senior </w:t>
      </w:r>
      <w:proofErr w:type="spellStart"/>
      <w:r>
        <w:t>GoI</w:t>
      </w:r>
      <w:proofErr w:type="spellEnd"/>
      <w:r>
        <w:t xml:space="preserve"> officials to actively promote reform. In DG Tax there is a risk of </w:t>
      </w:r>
      <w:r w:rsidR="00FE1004">
        <w:t xml:space="preserve">poor management of any new </w:t>
      </w:r>
      <w:r>
        <w:t xml:space="preserve">high profile fraud cases, thereby further eroding taxpayer confidence and potentially generating a taxpayer revolt. On the positive side, the new DG is widely respected among his peers and donors in </w:t>
      </w:r>
      <w:smartTag w:uri="urn:schemas-microsoft-com:office:smarttags" w:element="place">
        <w:smartTag w:uri="urn:schemas-microsoft-com:office:smarttags" w:element="country-region">
          <w:r>
            <w:t>Indonesia</w:t>
          </w:r>
        </w:smartTag>
      </w:smartTag>
      <w:r>
        <w:t>.</w:t>
      </w:r>
    </w:p>
    <w:p w:rsidR="00C411B2" w:rsidRDefault="00C411B2" w:rsidP="00612FF9">
      <w:pPr>
        <w:pStyle w:val="H2F"/>
      </w:pPr>
      <w:bookmarkStart w:id="122" w:name="_Toc293049989"/>
      <w:bookmarkStart w:id="123" w:name="_Toc360981876"/>
      <w:r>
        <w:t>Management consequences</w:t>
      </w:r>
      <w:bookmarkEnd w:id="122"/>
      <w:bookmarkEnd w:id="123"/>
    </w:p>
    <w:p w:rsidR="004C02D7" w:rsidRDefault="004C02D7" w:rsidP="004C02D7">
      <w:pPr>
        <w:pStyle w:val="BodyText"/>
      </w:pPr>
      <w:r>
        <w:t xml:space="preserve">It is in </w:t>
      </w:r>
      <w:smartTag w:uri="urn:schemas-microsoft-com:office:smarttags" w:element="place">
        <w:smartTag w:uri="urn:schemas-microsoft-com:office:smarttags" w:element="country-region">
          <w:r>
            <w:t>Australia</w:t>
          </w:r>
        </w:smartTag>
      </w:smartTag>
      <w:r>
        <w:t xml:space="preserve">’s interests to preserve maximum flexibility to scale up or down as we know more about levels of need and interest among partner agencies.  However, these decisions are best made inclusively and transparently.  In 2009, the selection of GPF activities was driven by </w:t>
      </w:r>
      <w:r w:rsidR="00486DC0">
        <w:t xml:space="preserve">the </w:t>
      </w:r>
      <w:proofErr w:type="spellStart"/>
      <w:r w:rsidR="00936D2A">
        <w:t>GoI</w:t>
      </w:r>
      <w:proofErr w:type="spellEnd"/>
      <w:r>
        <w:t xml:space="preserve"> for the first time.  This will continue as we seek to refocus GPF, AIPEG and any future procurement programming on areas of emerging genuine need, impact, traction and poverty/development significance.</w:t>
      </w:r>
    </w:p>
    <w:p w:rsidR="004C02D7" w:rsidRDefault="004C02D7" w:rsidP="004C02D7">
      <w:pPr>
        <w:pStyle w:val="BodyText"/>
      </w:pPr>
      <w:r>
        <w:t>SEAMIE will end in 2011, and we will explore with FPO, Treasury and the World Bank how to reshape, resource and support it, including through other Australian programming, to become the preeminent source of economic advice and analysis for the Indonesian Government.</w:t>
      </w:r>
    </w:p>
    <w:p w:rsidR="004C02D7" w:rsidRDefault="004C02D7" w:rsidP="004C02D7">
      <w:pPr>
        <w:pStyle w:val="BodyText"/>
      </w:pPr>
      <w:r>
        <w:t>On tax, we will coordinate with other donors more effectively to better align our work with the needs of the new Director General and work with the agency to manage risks around communication of the agency’s ongoing anti-fraud program.</w:t>
      </w:r>
    </w:p>
    <w:p w:rsidR="00C411B2" w:rsidRPr="00A31267" w:rsidRDefault="00C411B2" w:rsidP="00A31267">
      <w:pPr>
        <w:pStyle w:val="Caption"/>
        <w:rPr>
          <w:sz w:val="22"/>
          <w:szCs w:val="22"/>
          <w:highlight w:val="magenta"/>
        </w:rPr>
      </w:pPr>
      <w:bookmarkStart w:id="124" w:name="_Toc293049990"/>
      <w:r w:rsidRPr="00A31267">
        <w:rPr>
          <w:sz w:val="22"/>
          <w:szCs w:val="22"/>
        </w:rPr>
        <w:t>Estimated expenditure in 2010</w:t>
      </w:r>
      <w:bookmarkEnd w:id="124"/>
    </w:p>
    <w:tbl>
      <w:tblPr>
        <w:tblW w:w="0" w:type="auto"/>
        <w:tblInd w:w="57" w:type="dxa"/>
        <w:tblLayout w:type="fixed"/>
        <w:tblLook w:val="0000" w:firstRow="0" w:lastRow="0" w:firstColumn="0" w:lastColumn="0" w:noHBand="0" w:noVBand="0"/>
      </w:tblPr>
      <w:tblGrid>
        <w:gridCol w:w="5683"/>
        <w:gridCol w:w="1127"/>
        <w:gridCol w:w="1128"/>
      </w:tblGrid>
      <w:tr w:rsidR="00C411B2"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pPr>
            <w:r>
              <w:t>% of bilateral program</w:t>
            </w:r>
          </w:p>
        </w:tc>
      </w:tr>
      <w:tr w:rsidR="00C411B2" w:rsidRPr="002452D0" w:rsidTr="00027A09">
        <w:trPr>
          <w:cantSplit/>
        </w:trPr>
        <w:tc>
          <w:tcPr>
            <w:tcW w:w="5683" w:type="dxa"/>
            <w:tcBorders>
              <w:bottom w:val="single" w:sz="12" w:space="0" w:color="auto"/>
            </w:tcBorders>
            <w:shd w:val="clear" w:color="auto" w:fill="auto"/>
            <w:tcMar>
              <w:left w:w="57" w:type="dxa"/>
              <w:right w:w="57" w:type="dxa"/>
            </w:tcMar>
          </w:tcPr>
          <w:p w:rsidR="00C411B2" w:rsidRDefault="00C411B2">
            <w:pPr>
              <w:pStyle w:val="TableDataEntries"/>
              <w:jc w:val="left"/>
            </w:pPr>
            <w:r>
              <w:t xml:space="preserve">Economic Governance </w:t>
            </w:r>
          </w:p>
          <w:p w:rsidR="0054374E" w:rsidRPr="002452D0" w:rsidRDefault="0054374E">
            <w:pPr>
              <w:pStyle w:val="TableDataEntries"/>
              <w:jc w:val="left"/>
            </w:pPr>
            <w:r>
              <w:t xml:space="preserve">Other governance  </w:t>
            </w:r>
          </w:p>
        </w:tc>
        <w:tc>
          <w:tcPr>
            <w:tcW w:w="1127" w:type="dxa"/>
            <w:tcBorders>
              <w:bottom w:val="single" w:sz="12" w:space="0" w:color="auto"/>
            </w:tcBorders>
            <w:shd w:val="clear" w:color="auto" w:fill="auto"/>
            <w:tcMar>
              <w:left w:w="57" w:type="dxa"/>
              <w:right w:w="57" w:type="dxa"/>
            </w:tcMar>
          </w:tcPr>
          <w:p w:rsidR="00C411B2" w:rsidRDefault="00C411B2">
            <w:pPr>
              <w:pStyle w:val="TableDataEntries"/>
            </w:pPr>
            <w:r>
              <w:t>27.1</w:t>
            </w:r>
          </w:p>
          <w:p w:rsidR="0054374E" w:rsidRPr="002452D0" w:rsidRDefault="0054374E">
            <w:pPr>
              <w:pStyle w:val="TableDataEntries"/>
            </w:pPr>
            <w:r>
              <w:t>4.3</w:t>
            </w:r>
          </w:p>
        </w:tc>
        <w:tc>
          <w:tcPr>
            <w:tcW w:w="1128" w:type="dxa"/>
            <w:tcBorders>
              <w:bottom w:val="single" w:sz="12" w:space="0" w:color="auto"/>
            </w:tcBorders>
            <w:shd w:val="clear" w:color="auto" w:fill="auto"/>
            <w:tcMar>
              <w:left w:w="57" w:type="dxa"/>
              <w:right w:w="57" w:type="dxa"/>
            </w:tcMar>
          </w:tcPr>
          <w:p w:rsidR="00C411B2" w:rsidRDefault="008A546A">
            <w:pPr>
              <w:pStyle w:val="TableDataEntries"/>
            </w:pPr>
            <w:r>
              <w:t>6</w:t>
            </w:r>
            <w:r w:rsidR="00C101A2">
              <w:t>.</w:t>
            </w:r>
            <w:r>
              <w:t>9</w:t>
            </w:r>
            <w:r w:rsidR="00C101A2">
              <w:t>%</w:t>
            </w:r>
          </w:p>
          <w:p w:rsidR="00C101A2" w:rsidRPr="002452D0" w:rsidRDefault="00C101A2">
            <w:pPr>
              <w:pStyle w:val="TableDataEntries"/>
            </w:pPr>
            <w:r>
              <w:t>1.1%</w:t>
            </w:r>
          </w:p>
        </w:tc>
      </w:tr>
    </w:tbl>
    <w:p w:rsidR="00C411B2" w:rsidRDefault="00C411B2">
      <w:pPr>
        <w:pStyle w:val="Source"/>
      </w:pPr>
      <w:r w:rsidRPr="00C05EB3">
        <w:t xml:space="preserve">Source: </w:t>
      </w:r>
      <w:r w:rsidR="0044505C">
        <w:t xml:space="preserve">2009-2010 fiscal year’s expenditures in </w:t>
      </w:r>
      <w:proofErr w:type="spellStart"/>
      <w:r w:rsidR="0044505C">
        <w:t>AidWorks</w:t>
      </w:r>
      <w:proofErr w:type="spellEnd"/>
    </w:p>
    <w:p w:rsidR="00C411B2" w:rsidRDefault="00C411B2" w:rsidP="00683977">
      <w:pPr>
        <w:pStyle w:val="Heading2"/>
      </w:pPr>
      <w:bookmarkStart w:id="125" w:name="_Toc293049991"/>
      <w:bookmarkStart w:id="126" w:name="_Toc300905112"/>
      <w:bookmarkStart w:id="127" w:name="_Toc360981877"/>
      <w:r>
        <w:t>Disaster risk management</w:t>
      </w:r>
      <w:bookmarkEnd w:id="125"/>
      <w:bookmarkEnd w:id="126"/>
      <w:bookmarkEnd w:id="127"/>
      <w:r>
        <w:t xml:space="preserve"> </w:t>
      </w:r>
    </w:p>
    <w:p w:rsidR="00683977" w:rsidRDefault="00683977" w:rsidP="00612FF9">
      <w:pPr>
        <w:pStyle w:val="H2F"/>
      </w:pPr>
      <w:bookmarkStart w:id="128" w:name="_Toc360981878"/>
      <w:bookmarkStart w:id="129" w:name="_Toc293049992"/>
      <w:r>
        <w:t>Disaster risk management</w:t>
      </w:r>
      <w:bookmarkEnd w:id="128"/>
      <w:r>
        <w:t xml:space="preserve"> </w:t>
      </w:r>
    </w:p>
    <w:p w:rsidR="00C411B2" w:rsidRDefault="00C411B2" w:rsidP="00612FF9">
      <w:pPr>
        <w:pStyle w:val="Heading3"/>
      </w:pPr>
      <w:bookmarkStart w:id="130" w:name="_Toc360981879"/>
      <w:r>
        <w:t>Rating</w:t>
      </w:r>
      <w:bookmarkEnd w:id="129"/>
      <w:bookmarkEnd w:id="130"/>
    </w:p>
    <w:tbl>
      <w:tblPr>
        <w:tblW w:w="0" w:type="auto"/>
        <w:tblInd w:w="57" w:type="dxa"/>
        <w:tblLook w:val="01E0" w:firstRow="1" w:lastRow="1" w:firstColumn="1" w:lastColumn="1" w:noHBand="0" w:noVBand="0"/>
      </w:tblPr>
      <w:tblGrid>
        <w:gridCol w:w="5709"/>
        <w:gridCol w:w="895"/>
        <w:gridCol w:w="1315"/>
      </w:tblGrid>
      <w:tr w:rsidR="00A54966" w:rsidTr="00027A09">
        <w:trPr>
          <w:cantSplit/>
          <w:tblHeader/>
        </w:trPr>
        <w:tc>
          <w:tcPr>
            <w:tcW w:w="5725" w:type="dxa"/>
            <w:shd w:val="clear" w:color="auto" w:fill="F5F1CC"/>
            <w:tcMar>
              <w:left w:w="57" w:type="dxa"/>
              <w:right w:w="57" w:type="dxa"/>
            </w:tcMar>
            <w:vAlign w:val="center"/>
          </w:tcPr>
          <w:p w:rsidR="00A54966" w:rsidRDefault="0026507A" w:rsidP="00A54966">
            <w:pPr>
              <w:pStyle w:val="TableTextEntries"/>
            </w:pPr>
            <w:r>
              <w:t>Objectives</w:t>
            </w:r>
          </w:p>
        </w:tc>
        <w:tc>
          <w:tcPr>
            <w:tcW w:w="896" w:type="dxa"/>
            <w:shd w:val="clear" w:color="auto" w:fill="F5F1CC"/>
            <w:tcMar>
              <w:left w:w="57" w:type="dxa"/>
              <w:right w:w="57" w:type="dxa"/>
            </w:tcMar>
            <w:vAlign w:val="center"/>
          </w:tcPr>
          <w:p w:rsidR="00A54966" w:rsidRDefault="00A54966" w:rsidP="00A54966">
            <w:pPr>
              <w:pStyle w:val="TableTextEntries"/>
              <w:jc w:val="center"/>
            </w:pPr>
            <w:r>
              <w:t>Rating in 2010</w:t>
            </w:r>
          </w:p>
        </w:tc>
        <w:tc>
          <w:tcPr>
            <w:tcW w:w="1316" w:type="dxa"/>
            <w:shd w:val="clear" w:color="auto" w:fill="F5F1CC"/>
            <w:tcMar>
              <w:left w:w="57" w:type="dxa"/>
              <w:right w:w="57" w:type="dxa"/>
            </w:tcMar>
            <w:vAlign w:val="center"/>
          </w:tcPr>
          <w:p w:rsidR="00A54966" w:rsidRDefault="00A54966" w:rsidP="00A54966">
            <w:pPr>
              <w:pStyle w:val="TableTextEntries"/>
              <w:jc w:val="center"/>
              <w:rPr>
                <w:bCs/>
              </w:rPr>
            </w:pPr>
            <w:r>
              <w:rPr>
                <w:bCs/>
              </w:rPr>
              <w:t>Relative to previous rating</w:t>
            </w:r>
          </w:p>
        </w:tc>
      </w:tr>
      <w:tr w:rsidR="00A54966" w:rsidTr="008645D5">
        <w:trPr>
          <w:cantSplit/>
        </w:trPr>
        <w:tc>
          <w:tcPr>
            <w:tcW w:w="5725" w:type="dxa"/>
            <w:shd w:val="clear" w:color="auto" w:fill="auto"/>
            <w:tcMar>
              <w:left w:w="57" w:type="dxa"/>
              <w:right w:w="57" w:type="dxa"/>
            </w:tcMar>
            <w:vAlign w:val="center"/>
          </w:tcPr>
          <w:p w:rsidR="00A54966" w:rsidRDefault="00A54966" w:rsidP="00A54966">
            <w:pPr>
              <w:pStyle w:val="TableTextEntries"/>
            </w:pPr>
            <w:r w:rsidRPr="00532793">
              <w:t>The National Coordinating Agency for Disaster Management (BNPB) is a mature organisation fulfilling its responsibilities as guardian of the Disaster Management Law</w:t>
            </w: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38DC67DA" wp14:editId="7A88F101">
                  <wp:extent cx="149530" cy="149530"/>
                  <wp:effectExtent l="0" t="0" r="3175" b="3175"/>
                  <wp:docPr id="63" name="Picture 6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Unchanged</w:t>
            </w:r>
            <w:r>
              <w:rPr>
                <w:bCs/>
              </w:rPr>
              <w:fldChar w:fldCharType="end"/>
            </w:r>
          </w:p>
        </w:tc>
      </w:tr>
      <w:tr w:rsidR="00A54966" w:rsidTr="008645D5">
        <w:trPr>
          <w:cantSplit/>
        </w:trPr>
        <w:tc>
          <w:tcPr>
            <w:tcW w:w="5725" w:type="dxa"/>
            <w:shd w:val="clear" w:color="auto" w:fill="auto"/>
            <w:tcMar>
              <w:left w:w="57" w:type="dxa"/>
              <w:right w:w="57" w:type="dxa"/>
            </w:tcMar>
            <w:vAlign w:val="center"/>
          </w:tcPr>
          <w:p w:rsidR="00A54966" w:rsidRDefault="00A54966" w:rsidP="00A54966">
            <w:pPr>
              <w:pStyle w:val="TableTextEntries"/>
            </w:pPr>
            <w:r>
              <w:t xml:space="preserve">Sub national disaster management structure are established and fully operational to perform their mandated roles </w:t>
            </w:r>
            <w:r w:rsidRPr="00912D59">
              <w:t>(new outcome)</w:t>
            </w:r>
          </w:p>
        </w:tc>
        <w:tc>
          <w:tcPr>
            <w:tcW w:w="896" w:type="dxa"/>
            <w:shd w:val="clear" w:color="auto" w:fill="auto"/>
            <w:tcMar>
              <w:left w:w="57" w:type="dxa"/>
              <w:right w:w="57" w:type="dxa"/>
            </w:tcMar>
            <w:vAlign w:val="center"/>
          </w:tcPr>
          <w:p w:rsidR="00A54966" w:rsidRDefault="00203B55" w:rsidP="00A54966">
            <w:pPr>
              <w:pStyle w:val="Ratingbullet"/>
            </w:pPr>
            <w:r>
              <w:rPr>
                <w:noProof/>
                <w:lang w:val="en-US"/>
              </w:rPr>
              <w:drawing>
                <wp:inline distT="0" distB="0" distL="0" distR="0" wp14:anchorId="7292B942" wp14:editId="01DA0999">
                  <wp:extent cx="157075" cy="157075"/>
                  <wp:effectExtent l="0" t="0" r="0" b="0"/>
                  <wp:docPr id="21" name="Picture 2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Not applicable</w:t>
            </w:r>
            <w:r>
              <w:rPr>
                <w:bCs/>
              </w:rPr>
              <w:fldChar w:fldCharType="end"/>
            </w:r>
          </w:p>
        </w:tc>
      </w:tr>
      <w:tr w:rsidR="00A54966" w:rsidTr="008645D5">
        <w:trPr>
          <w:cantSplit/>
        </w:trPr>
        <w:tc>
          <w:tcPr>
            <w:tcW w:w="5725" w:type="dxa"/>
            <w:shd w:val="clear" w:color="auto" w:fill="auto"/>
            <w:tcMar>
              <w:left w:w="57" w:type="dxa"/>
              <w:right w:w="57" w:type="dxa"/>
            </w:tcMar>
            <w:vAlign w:val="center"/>
          </w:tcPr>
          <w:p w:rsidR="00A54966" w:rsidRDefault="00CA77B2" w:rsidP="00A54966">
            <w:pPr>
              <w:pStyle w:val="TableTextEntries"/>
            </w:pPr>
            <w:r>
              <w:t>Non-governmental</w:t>
            </w:r>
            <w:r w:rsidR="00A54966">
              <w:t xml:space="preserve"> institutions as partners of the </w:t>
            </w:r>
            <w:proofErr w:type="spellStart"/>
            <w:r w:rsidR="00A54966">
              <w:t>GoI</w:t>
            </w:r>
            <w:proofErr w:type="spellEnd"/>
            <w:r w:rsidR="00A54966">
              <w:t xml:space="preserve"> in Community Based Disaster Management (CBDRM) have strengthened community reliance </w:t>
            </w:r>
            <w:r w:rsidR="00A54966" w:rsidRPr="00912D59">
              <w:t>(new outcome)</w:t>
            </w:r>
          </w:p>
        </w:tc>
        <w:tc>
          <w:tcPr>
            <w:tcW w:w="896" w:type="dxa"/>
            <w:shd w:val="clear" w:color="auto" w:fill="auto"/>
            <w:tcMar>
              <w:left w:w="57" w:type="dxa"/>
              <w:right w:w="57" w:type="dxa"/>
            </w:tcMar>
            <w:vAlign w:val="center"/>
          </w:tcPr>
          <w:p w:rsidR="00A54966" w:rsidRDefault="00203B55" w:rsidP="00A54966">
            <w:pPr>
              <w:pStyle w:val="Ratingbullet"/>
            </w:pPr>
            <w:r>
              <w:rPr>
                <w:noProof/>
                <w:lang w:val="en-US"/>
              </w:rPr>
              <w:drawing>
                <wp:inline distT="0" distB="0" distL="0" distR="0" wp14:anchorId="24AEE65C" wp14:editId="64C81E9B">
                  <wp:extent cx="157075" cy="157075"/>
                  <wp:effectExtent l="0" t="0" r="0" b="0"/>
                  <wp:docPr id="22" name="Picture 22"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png"/>
                          <pic:cNvPicPr/>
                        </pic:nvPicPr>
                        <pic:blipFill>
                          <a:blip r:embed="rId16">
                            <a:extLst>
                              <a:ext uri="{28A0092B-C50C-407E-A947-70E740481C1C}">
                                <a14:useLocalDpi xmlns:a14="http://schemas.microsoft.com/office/drawing/2010/main" val="0"/>
                              </a:ext>
                            </a:extLst>
                          </a:blip>
                          <a:stretch>
                            <a:fillRect/>
                          </a:stretch>
                        </pic:blipFill>
                        <pic:spPr>
                          <a:xfrm>
                            <a:off x="0" y="0"/>
                            <a:ext cx="161859" cy="161859"/>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A7613">
              <w:rPr>
                <w:bCs/>
              </w:rPr>
              <w:t>Not applicable</w:t>
            </w:r>
            <w:r>
              <w:rPr>
                <w:bCs/>
              </w:rPr>
              <w:fldChar w:fldCharType="end"/>
            </w:r>
          </w:p>
        </w:tc>
      </w:tr>
    </w:tbl>
    <w:p w:rsidR="00C411B2" w:rsidRPr="00EF3996" w:rsidRDefault="00C411B2" w:rsidP="00612FF9">
      <w:pPr>
        <w:pStyle w:val="H2F"/>
      </w:pPr>
      <w:bookmarkStart w:id="131" w:name="_Toc293049993"/>
      <w:bookmarkStart w:id="132" w:name="_Toc360981880"/>
      <w:r w:rsidRPr="00044215">
        <w:t>Assessment of results and performance</w:t>
      </w:r>
      <w:bookmarkEnd w:id="131"/>
      <w:bookmarkEnd w:id="132"/>
    </w:p>
    <w:p w:rsidR="00130AF1" w:rsidRDefault="00F0305A" w:rsidP="00130AF1">
      <w:pPr>
        <w:pStyle w:val="BodyText"/>
      </w:pPr>
      <w:smartTag w:uri="urn:schemas-microsoft-com:office:smarttags" w:element="country-region">
        <w:r>
          <w:t>Indonesia</w:t>
        </w:r>
      </w:smartTag>
      <w:r>
        <w:t>’s National Disaster Management agency</w:t>
      </w:r>
      <w:r w:rsidR="0026507A">
        <w:t>’s</w:t>
      </w:r>
      <w:r w:rsidR="00504816">
        <w:t xml:space="preserve"> (</w:t>
      </w:r>
      <w:r w:rsidR="00504816" w:rsidRPr="00055EBA">
        <w:rPr>
          <w:rStyle w:val="AbbreviationChar"/>
        </w:rPr>
        <w:t>BNPB</w:t>
      </w:r>
      <w:r w:rsidR="00504816">
        <w:t>)</w:t>
      </w:r>
      <w:r w:rsidR="00130AF1">
        <w:t xml:space="preserve"> successful role in responding to and coordinating events following the </w:t>
      </w:r>
      <w:smartTag w:uri="urn:schemas-microsoft-com:office:smarttags" w:element="place">
        <w:smartTag w:uri="urn:schemas-microsoft-com:office:smarttags" w:element="PlaceType">
          <w:r w:rsidR="00130AF1">
            <w:t>Mt.</w:t>
          </w:r>
        </w:smartTag>
        <w:r w:rsidR="00130AF1">
          <w:t xml:space="preserve"> </w:t>
        </w:r>
        <w:proofErr w:type="spellStart"/>
        <w:smartTag w:uri="urn:schemas-microsoft-com:office:smarttags" w:element="PlaceName">
          <w:r w:rsidR="00130AF1">
            <w:t>Merapi</w:t>
          </w:r>
        </w:smartTag>
      </w:smartTag>
      <w:proofErr w:type="spellEnd"/>
      <w:r w:rsidR="00130AF1">
        <w:t xml:space="preserve"> volcanic disaster has been recognised </w:t>
      </w:r>
      <w:r w:rsidR="00130AF1">
        <w:lastRenderedPageBreak/>
        <w:t>across various Government of Indonesia (</w:t>
      </w:r>
      <w:proofErr w:type="spellStart"/>
      <w:r w:rsidR="00130AF1">
        <w:t>GoI</w:t>
      </w:r>
      <w:proofErr w:type="spellEnd"/>
      <w:r w:rsidR="00130AF1">
        <w:t>) agencies.  Furthermore, BNPB’s roles and responsibilities are better defined within</w:t>
      </w:r>
      <w:r w:rsidR="00892230">
        <w:t xml:space="preserve"> </w:t>
      </w:r>
      <w:proofErr w:type="spellStart"/>
      <w:r w:rsidR="00130AF1">
        <w:t>GoI</w:t>
      </w:r>
      <w:proofErr w:type="spellEnd"/>
      <w:r w:rsidR="00130AF1">
        <w:t xml:space="preserve"> and </w:t>
      </w:r>
      <w:r w:rsidR="00892230">
        <w:t xml:space="preserve">its </w:t>
      </w:r>
      <w:r w:rsidR="00130AF1">
        <w:t>annual budget has increased significantly.  While this is a positive commitment to disaster risk management by the government it also requires greater Australian commitment to support and facilitate the development of basic program delivery and business process within BNPB.</w:t>
      </w:r>
    </w:p>
    <w:p w:rsidR="00130AF1" w:rsidRDefault="005E533D" w:rsidP="00130AF1">
      <w:pPr>
        <w:pStyle w:val="BodyText"/>
      </w:pPr>
      <w:r>
        <w:t>The Australia-Indonesia Facility for Disaster Reduction (</w:t>
      </w:r>
      <w:r w:rsidRPr="00E03E5F">
        <w:rPr>
          <w:rStyle w:val="AbbreviationChar"/>
        </w:rPr>
        <w:t>AIFDR</w:t>
      </w:r>
      <w:r>
        <w:t xml:space="preserve">) is </w:t>
      </w:r>
      <w:r w:rsidR="005C13E3">
        <w:t>c</w:t>
      </w:r>
      <w:r>
        <w:t>o-</w:t>
      </w:r>
      <w:r w:rsidR="005C13E3">
        <w:t>d</w:t>
      </w:r>
      <w:r>
        <w:t xml:space="preserve">irected with BNPB. </w:t>
      </w:r>
      <w:r w:rsidR="00BE66A9">
        <w:t xml:space="preserve">The </w:t>
      </w:r>
      <w:r>
        <w:t xml:space="preserve">facility </w:t>
      </w:r>
      <w:r w:rsidR="00130AF1" w:rsidRPr="00A35B46">
        <w:t xml:space="preserve">is building the </w:t>
      </w:r>
      <w:r w:rsidR="00130AF1">
        <w:t>capability</w:t>
      </w:r>
      <w:r w:rsidR="00130AF1" w:rsidRPr="00A35B46">
        <w:t xml:space="preserve"> of BNPB to implement </w:t>
      </w:r>
      <w:r w:rsidR="00130AF1">
        <w:t>a</w:t>
      </w:r>
      <w:r w:rsidR="00130AF1" w:rsidRPr="00A35B46">
        <w:t xml:space="preserve"> broad range of programs</w:t>
      </w:r>
      <w:r w:rsidR="005C13E3">
        <w:t xml:space="preserve"> and</w:t>
      </w:r>
      <w:r w:rsidR="00130AF1" w:rsidRPr="00A35B46">
        <w:t xml:space="preserve"> has delivered significant results with BNPB and </w:t>
      </w:r>
      <w:proofErr w:type="spellStart"/>
      <w:r w:rsidR="00130AF1" w:rsidRPr="00A35B46">
        <w:t>GoI</w:t>
      </w:r>
      <w:proofErr w:type="spellEnd"/>
      <w:r w:rsidR="00130AF1" w:rsidRPr="00A35B46">
        <w:t xml:space="preserve"> in </w:t>
      </w:r>
      <w:r w:rsidR="00504816">
        <w:t>d</w:t>
      </w:r>
      <w:r w:rsidR="00130AF1" w:rsidRPr="00A35B46">
        <w:t>isaster prevention and mitigation</w:t>
      </w:r>
      <w:r w:rsidR="00130AF1">
        <w:t>. This has included new knowledge of natural hazard risks through support for:</w:t>
      </w:r>
      <w:r w:rsidR="00130AF1" w:rsidRPr="00A35B46">
        <w:t xml:space="preserve"> </w:t>
      </w:r>
      <w:r w:rsidR="00130AF1">
        <w:t>a new</w:t>
      </w:r>
      <w:r w:rsidR="00130AF1" w:rsidRPr="00A35B46">
        <w:t xml:space="preserve"> </w:t>
      </w:r>
      <w:r w:rsidR="00130AF1">
        <w:t>n</w:t>
      </w:r>
      <w:r w:rsidR="00130AF1" w:rsidRPr="00A35B46">
        <w:t>ational earthquake hazard map</w:t>
      </w:r>
      <w:r w:rsidR="00130AF1">
        <w:t>;</w:t>
      </w:r>
      <w:r w:rsidR="00130AF1" w:rsidRPr="00A35B46">
        <w:t xml:space="preserve"> national guidelines for tsunami and earthquake risk assessment</w:t>
      </w:r>
      <w:r w:rsidR="00130AF1">
        <w:t>s;</w:t>
      </w:r>
      <w:r w:rsidR="00130AF1" w:rsidRPr="00A35B46">
        <w:t xml:space="preserve"> and </w:t>
      </w:r>
      <w:r w:rsidR="00E53A89">
        <w:t xml:space="preserve">modelling and mapping </w:t>
      </w:r>
      <w:r w:rsidR="00130AF1" w:rsidRPr="00A35B46">
        <w:t xml:space="preserve">tools to assist disaster managers to implement </w:t>
      </w:r>
      <w:r w:rsidR="00281B7F">
        <w:t xml:space="preserve">the </w:t>
      </w:r>
      <w:r w:rsidR="00130AF1" w:rsidRPr="00A35B46">
        <w:t>guidelines.</w:t>
      </w:r>
    </w:p>
    <w:p w:rsidR="00130AF1" w:rsidRPr="00A35B46" w:rsidRDefault="00130AF1" w:rsidP="00130AF1">
      <w:pPr>
        <w:pStyle w:val="BodyText"/>
      </w:pPr>
      <w:r>
        <w:t xml:space="preserve">To ensure that this new knowledge makes a difference to disaster managers across </w:t>
      </w:r>
      <w:smartTag w:uri="urn:schemas-microsoft-com:office:smarttags" w:element="place">
        <w:smartTag w:uri="urn:schemas-microsoft-com:office:smarttags" w:element="country-region">
          <w:r>
            <w:t>Indonesia</w:t>
          </w:r>
        </w:smartTag>
      </w:smartTag>
      <w:r>
        <w:t xml:space="preserve">, </w:t>
      </w:r>
      <w:r w:rsidR="00BE66A9">
        <w:t xml:space="preserve">the </w:t>
      </w:r>
      <w:r w:rsidRPr="00A35B46">
        <w:t xml:space="preserve">AIFDR </w:t>
      </w:r>
      <w:r>
        <w:t>and BNPB are</w:t>
      </w:r>
      <w:r w:rsidRPr="00A35B46">
        <w:t xml:space="preserve"> </w:t>
      </w:r>
      <w:r>
        <w:t>implementing findings from a</w:t>
      </w:r>
      <w:r w:rsidRPr="00A35B46">
        <w:t xml:space="preserve"> sub-national disaster management training needs</w:t>
      </w:r>
      <w:r>
        <w:t xml:space="preserve"> assessment</w:t>
      </w:r>
      <w:r w:rsidRPr="00A35B46">
        <w:t xml:space="preserve"> to improve disaster management knowledge and skills</w:t>
      </w:r>
      <w:r>
        <w:t>.</w:t>
      </w:r>
      <w:r w:rsidR="00BE66A9">
        <w:t xml:space="preserve"> </w:t>
      </w:r>
      <w:r>
        <w:t xml:space="preserve"> </w:t>
      </w:r>
      <w:r w:rsidR="00BE66A9">
        <w:t xml:space="preserve">The </w:t>
      </w:r>
      <w:r>
        <w:t xml:space="preserve">AIFDR and BNPB are also developing and finalising BNPB’s training programs for sub-national disaster managers and establishing a program for </w:t>
      </w:r>
      <w:r w:rsidR="008976F2">
        <w:t xml:space="preserve">building and operating </w:t>
      </w:r>
      <w:r>
        <w:t>provincial emergency operation centres to support better preparedness for response.</w:t>
      </w:r>
    </w:p>
    <w:p w:rsidR="00D50B31" w:rsidRDefault="00130AF1" w:rsidP="008645D5">
      <w:pPr>
        <w:pStyle w:val="BodyText"/>
      </w:pPr>
      <w:r>
        <w:t xml:space="preserve">Working directly with communities in disaster risk reduction is a priority of BNPB.  </w:t>
      </w:r>
      <w:r w:rsidR="00BE66A9">
        <w:t xml:space="preserve">The </w:t>
      </w:r>
      <w:r>
        <w:t>AIFDR has facilitated stronger relationships between government and active community based disaster risk management organisations.</w:t>
      </w:r>
      <w:r w:rsidRPr="00A35B46">
        <w:t xml:space="preserve">  The Build Back Better program in </w:t>
      </w:r>
      <w:smartTag w:uri="urn:schemas-microsoft-com:office:smarttags" w:element="place">
        <w:r w:rsidRPr="00A35B46">
          <w:t>West Sumatra</w:t>
        </w:r>
      </w:smartTag>
      <w:r w:rsidRPr="00A35B46">
        <w:t xml:space="preserve"> has been reviewed and is influencing building practices and community awareness.  </w:t>
      </w:r>
      <w:r w:rsidR="00D50B31">
        <w:t xml:space="preserve">Over 300,000 houses were destroyed or damaged following the </w:t>
      </w:r>
      <w:smartTag w:uri="urn:schemas-microsoft-com:office:smarttags" w:element="place">
        <w:smartTag w:uri="urn:schemas-microsoft-com:office:smarttags" w:element="City">
          <w:r w:rsidR="00D50B31">
            <w:t>Padang</w:t>
          </w:r>
        </w:smartTag>
      </w:smartTag>
      <w:r w:rsidR="00D50B31">
        <w:t xml:space="preserve"> earthquake of 2009.  </w:t>
      </w:r>
      <w:r w:rsidR="005C13E3">
        <w:t>T</w:t>
      </w:r>
      <w:r w:rsidR="00D50B31">
        <w:t xml:space="preserve">he review </w:t>
      </w:r>
      <w:r w:rsidR="005C13E3">
        <w:t>found</w:t>
      </w:r>
      <w:r w:rsidR="00D50B31">
        <w:t xml:space="preserve"> that sixty-eight </w:t>
      </w:r>
      <w:proofErr w:type="spellStart"/>
      <w:r w:rsidR="00D50B31">
        <w:t>percent</w:t>
      </w:r>
      <w:proofErr w:type="spellEnd"/>
      <w:r w:rsidR="00D50B31">
        <w:t xml:space="preserve"> of </w:t>
      </w:r>
      <w:smartTag w:uri="urn:schemas-microsoft-com:office:smarttags" w:element="place">
        <w:smartTag w:uri="urn:schemas-microsoft-com:office:smarttags" w:element="City">
          <w:r w:rsidR="00D50B31">
            <w:t>Padang</w:t>
          </w:r>
        </w:smartTag>
      </w:smartTag>
      <w:r w:rsidR="00D50B31">
        <w:t xml:space="preserve"> households now have an improved understanding of earthquake safe housing.</w:t>
      </w:r>
    </w:p>
    <w:p w:rsidR="00130AF1" w:rsidRPr="00A35B46" w:rsidRDefault="00A35BA4" w:rsidP="00130AF1">
      <w:pPr>
        <w:pStyle w:val="BodyText"/>
      </w:pPr>
      <w:r>
        <w:t>P</w:t>
      </w:r>
      <w:r w:rsidR="00130AF1">
        <w:t xml:space="preserve">artnerships with </w:t>
      </w:r>
      <w:proofErr w:type="spellStart"/>
      <w:r w:rsidR="00130AF1" w:rsidRPr="00A35B46">
        <w:t>Muhammadiyah</w:t>
      </w:r>
      <w:proofErr w:type="spellEnd"/>
      <w:r w:rsidR="00130AF1" w:rsidRPr="00A35B46">
        <w:t xml:space="preserve">, </w:t>
      </w:r>
      <w:proofErr w:type="spellStart"/>
      <w:r w:rsidR="00130AF1" w:rsidRPr="00A35B46">
        <w:t>N</w:t>
      </w:r>
      <w:r w:rsidR="00130AF1">
        <w:t>ahdlatul</w:t>
      </w:r>
      <w:proofErr w:type="spellEnd"/>
      <w:r w:rsidR="00130AF1">
        <w:t xml:space="preserve"> </w:t>
      </w:r>
      <w:proofErr w:type="spellStart"/>
      <w:r w:rsidR="00130AF1">
        <w:t>Ulama</w:t>
      </w:r>
      <w:proofErr w:type="spellEnd"/>
      <w:r w:rsidR="00130AF1" w:rsidRPr="00A35B46">
        <w:t xml:space="preserve"> and </w:t>
      </w:r>
      <w:r w:rsidR="00130AF1">
        <w:t xml:space="preserve">Oxfam are ensuring that objectives of BNPB’s national plan on disaster risk management are met at the community level. </w:t>
      </w:r>
      <w:r w:rsidR="00BE66A9">
        <w:t xml:space="preserve"> </w:t>
      </w:r>
      <w:r w:rsidR="00130AF1">
        <w:t xml:space="preserve">Further, </w:t>
      </w:r>
      <w:r w:rsidR="00BE66A9">
        <w:t xml:space="preserve">the </w:t>
      </w:r>
      <w:r w:rsidR="00130AF1">
        <w:t xml:space="preserve">AIFDR </w:t>
      </w:r>
      <w:r w:rsidR="00130AF1" w:rsidRPr="00A35B46">
        <w:t xml:space="preserve">launched the first round </w:t>
      </w:r>
      <w:r w:rsidR="00130AF1">
        <w:t>of</w:t>
      </w:r>
      <w:r w:rsidR="008976F2">
        <w:t xml:space="preserve"> the</w:t>
      </w:r>
      <w:r w:rsidR="00130AF1">
        <w:t xml:space="preserve"> disaster risk reduction</w:t>
      </w:r>
      <w:r w:rsidR="00130AF1" w:rsidRPr="00A35B46">
        <w:t xml:space="preserve"> Research and Community Grants</w:t>
      </w:r>
      <w:r w:rsidR="00892230">
        <w:t>.  These</w:t>
      </w:r>
      <w:r w:rsidR="00B775CB">
        <w:t xml:space="preserve"> </w:t>
      </w:r>
      <w:r w:rsidR="008976F2">
        <w:t xml:space="preserve">grants </w:t>
      </w:r>
      <w:r w:rsidR="00892230">
        <w:t>will</w:t>
      </w:r>
      <w:r w:rsidR="00130AF1" w:rsidRPr="00A35B46">
        <w:t xml:space="preserve"> </w:t>
      </w:r>
      <w:r w:rsidR="00456AEF">
        <w:t xml:space="preserve">fund work in </w:t>
      </w:r>
      <w:r w:rsidR="00130AF1">
        <w:t xml:space="preserve">difficult issues </w:t>
      </w:r>
      <w:r w:rsidR="00456AEF">
        <w:t xml:space="preserve">facing </w:t>
      </w:r>
      <w:r w:rsidR="00892230">
        <w:t>the sector</w:t>
      </w:r>
      <w:r w:rsidR="00130AF1">
        <w:t>, including the role of gender, traditional knowledge, and climate change.</w:t>
      </w:r>
    </w:p>
    <w:p w:rsidR="00130AF1" w:rsidRPr="00A35B46" w:rsidRDefault="00130AF1" w:rsidP="00130AF1">
      <w:pPr>
        <w:pStyle w:val="BodyText"/>
      </w:pPr>
      <w:smartTag w:uri="urn:schemas-microsoft-com:office:smarttags" w:element="place">
        <w:smartTag w:uri="urn:schemas-microsoft-com:office:smarttags" w:element="country-region">
          <w:r w:rsidRPr="00A35B46">
            <w:t>Australia</w:t>
          </w:r>
        </w:smartTag>
      </w:smartTag>
      <w:r w:rsidRPr="00A35B46">
        <w:t xml:space="preserve">’s investment in </w:t>
      </w:r>
      <w:r>
        <w:t>disaster management</w:t>
      </w:r>
      <w:r w:rsidRPr="00A35B46">
        <w:t xml:space="preserve"> has influenced </w:t>
      </w:r>
      <w:proofErr w:type="spellStart"/>
      <w:r>
        <w:t>GoI</w:t>
      </w:r>
      <w:proofErr w:type="spellEnd"/>
      <w:r>
        <w:t xml:space="preserve"> to better coordinate its own internal processes</w:t>
      </w:r>
      <w:r w:rsidR="00892230">
        <w:t xml:space="preserve">, including </w:t>
      </w:r>
      <w:r>
        <w:t xml:space="preserve">the development of a number of agreements and internal </w:t>
      </w:r>
      <w:proofErr w:type="spellStart"/>
      <w:r>
        <w:t>GoI</w:t>
      </w:r>
      <w:proofErr w:type="spellEnd"/>
      <w:r>
        <w:t xml:space="preserve"> Memorand</w:t>
      </w:r>
      <w:r w:rsidR="00892230">
        <w:t>a</w:t>
      </w:r>
      <w:r>
        <w:t xml:space="preserve"> of Understanding. </w:t>
      </w:r>
      <w:r w:rsidRPr="00A35B46">
        <w:t xml:space="preserve"> </w:t>
      </w:r>
      <w:r>
        <w:t xml:space="preserve">In particular, through </w:t>
      </w:r>
      <w:r w:rsidRPr="00A35B46">
        <w:t xml:space="preserve">the Graduate Research on Earthquake and Active Tectonics program, </w:t>
      </w:r>
      <w:r w:rsidR="00892230">
        <w:t xml:space="preserve">the </w:t>
      </w:r>
      <w:r w:rsidRPr="00A35B46">
        <w:t xml:space="preserve">AIFDR has </w:t>
      </w:r>
      <w:r>
        <w:t>facilitated</w:t>
      </w:r>
      <w:r w:rsidRPr="00A35B46">
        <w:t xml:space="preserve"> collaboration between international and national tertiary institutions</w:t>
      </w:r>
      <w:r>
        <w:t>.</w:t>
      </w:r>
      <w:r w:rsidRPr="00A35B46">
        <w:t xml:space="preserve">  </w:t>
      </w:r>
      <w:r w:rsidR="00281B7F">
        <w:t>Six Indonesian (including t</w:t>
      </w:r>
      <w:r w:rsidR="00F2055F">
        <w:t xml:space="preserve">hree </w:t>
      </w:r>
      <w:proofErr w:type="spellStart"/>
      <w:r>
        <w:t>GoI</w:t>
      </w:r>
      <w:proofErr w:type="spellEnd"/>
      <w:r w:rsidR="00281B7F">
        <w:t xml:space="preserve"> officials) s</w:t>
      </w:r>
      <w:r w:rsidR="00281B7F" w:rsidRPr="00A35B46">
        <w:t>tudents</w:t>
      </w:r>
      <w:r w:rsidR="00F2055F" w:rsidRPr="00A35B46">
        <w:t xml:space="preserve"> </w:t>
      </w:r>
      <w:r w:rsidRPr="00A35B46">
        <w:t xml:space="preserve">are now enrolled in </w:t>
      </w:r>
      <w:r>
        <w:t xml:space="preserve">scientific </w:t>
      </w:r>
      <w:r w:rsidRPr="00A35B46">
        <w:t>postgraduate training</w:t>
      </w:r>
      <w:r>
        <w:t xml:space="preserve"> in </w:t>
      </w:r>
      <w:smartTag w:uri="urn:schemas-microsoft-com:office:smarttags" w:element="country-region">
        <w:r>
          <w:t>Indonesia</w:t>
        </w:r>
      </w:smartTag>
      <w:r>
        <w:t xml:space="preserve"> and </w:t>
      </w:r>
      <w:smartTag w:uri="urn:schemas-microsoft-com:office:smarttags" w:element="place">
        <w:smartTag w:uri="urn:schemas-microsoft-com:office:smarttags" w:element="country-region">
          <w:r>
            <w:t>Australia</w:t>
          </w:r>
        </w:smartTag>
      </w:smartTag>
      <w:r w:rsidR="00281B7F">
        <w:t xml:space="preserve"> – the AIFDR is providing partial funding for their study</w:t>
      </w:r>
      <w:r w:rsidRPr="00A35B46">
        <w:t>.</w:t>
      </w:r>
    </w:p>
    <w:p w:rsidR="00130AF1" w:rsidRDefault="00130AF1" w:rsidP="00130AF1">
      <w:pPr>
        <w:pStyle w:val="BodyText"/>
      </w:pPr>
      <w:smartTag w:uri="urn:schemas-microsoft-com:office:smarttags" w:element="country-region">
        <w:r>
          <w:t>Australia</w:t>
        </w:r>
      </w:smartTag>
      <w:r>
        <w:t xml:space="preserve">’s strength in the sector was also demonstrated following the </w:t>
      </w:r>
      <w:proofErr w:type="spellStart"/>
      <w:smartTag w:uri="urn:schemas-microsoft-com:office:smarttags" w:element="place">
        <w:smartTag w:uri="urn:schemas-microsoft-com:office:smarttags" w:element="PlaceName">
          <w:r>
            <w:t>Mentawai</w:t>
          </w:r>
        </w:smartTag>
        <w:proofErr w:type="spellEnd"/>
        <w:r>
          <w:t xml:space="preserve"> </w:t>
        </w:r>
        <w:smartTag w:uri="urn:schemas-microsoft-com:office:smarttags" w:element="PlaceType">
          <w:r>
            <w:t>Islands</w:t>
          </w:r>
        </w:smartTag>
      </w:smartTag>
      <w:r>
        <w:t xml:space="preserve"> tsunami and Mt </w:t>
      </w:r>
      <w:proofErr w:type="spellStart"/>
      <w:r>
        <w:t>Merapi</w:t>
      </w:r>
      <w:proofErr w:type="spellEnd"/>
      <w:r>
        <w:t xml:space="preserve"> volcanic eruptions in late 2010</w:t>
      </w:r>
      <w:r w:rsidR="007C1527">
        <w:t>.</w:t>
      </w:r>
      <w:r>
        <w:t xml:space="preserve"> </w:t>
      </w:r>
      <w:r w:rsidR="007C1527">
        <w:t xml:space="preserve"> </w:t>
      </w:r>
      <w:smartTag w:uri="urn:schemas-microsoft-com:office:smarttags" w:element="place">
        <w:smartTag w:uri="urn:schemas-microsoft-com:office:smarttags" w:element="country-region">
          <w:r>
            <w:t>Australia</w:t>
          </w:r>
        </w:smartTag>
      </w:smartTag>
      <w:r>
        <w:t xml:space="preserve"> delivered timely disaster response and recovery assistance in close cooperation with BNPB and other government and non-government partners. F</w:t>
      </w:r>
      <w:r w:rsidRPr="00A35B46">
        <w:t xml:space="preserve">ollowing </w:t>
      </w:r>
      <w:r>
        <w:t xml:space="preserve">the </w:t>
      </w:r>
      <w:r w:rsidRPr="00A35B46">
        <w:t xml:space="preserve">Mt </w:t>
      </w:r>
      <w:proofErr w:type="spellStart"/>
      <w:r w:rsidRPr="00A35B46">
        <w:t>Merapi</w:t>
      </w:r>
      <w:proofErr w:type="spellEnd"/>
      <w:r w:rsidRPr="00A35B46">
        <w:t xml:space="preserve"> eruption</w:t>
      </w:r>
      <w:r>
        <w:t>s</w:t>
      </w:r>
      <w:r w:rsidRPr="00A35B46">
        <w:t xml:space="preserve">, </w:t>
      </w:r>
      <w:r w:rsidR="00892230">
        <w:t xml:space="preserve">the </w:t>
      </w:r>
      <w:r w:rsidRPr="00A35B46">
        <w:t>AIFDR</w:t>
      </w:r>
      <w:r>
        <w:t>,</w:t>
      </w:r>
      <w:r w:rsidRPr="00A35B46">
        <w:t xml:space="preserve"> at the request of BNPB</w:t>
      </w:r>
      <w:r>
        <w:t>, also</w:t>
      </w:r>
      <w:r w:rsidRPr="00A35B46">
        <w:t xml:space="preserve"> supported research to gain a better understanding </w:t>
      </w:r>
      <w:r>
        <w:t>of the impact of disasters on</w:t>
      </w:r>
      <w:r w:rsidRPr="00A35B46">
        <w:t xml:space="preserve"> livelihood</w:t>
      </w:r>
      <w:r>
        <w:t>s</w:t>
      </w:r>
      <w:r w:rsidRPr="00A35B46">
        <w:t xml:space="preserve"> and provide recommendations for improvement in preparedness and mitigation efforts.</w:t>
      </w:r>
      <w:r>
        <w:t xml:space="preserve">  In addition, AIFDR has supported BNPB in </w:t>
      </w:r>
      <w:r w:rsidR="00892230">
        <w:t xml:space="preserve">its </w:t>
      </w:r>
      <w:r>
        <w:t>response activities by providing the Indonesia Disaster Rapid Response and Assistance Force (</w:t>
      </w:r>
      <w:r w:rsidRPr="00E03E5F">
        <w:rPr>
          <w:rStyle w:val="AbbreviationChar"/>
        </w:rPr>
        <w:t>SRC-PB</w:t>
      </w:r>
      <w:r>
        <w:t xml:space="preserve">) with training and equipment. </w:t>
      </w:r>
    </w:p>
    <w:p w:rsidR="00C411B2" w:rsidRDefault="00130AF1">
      <w:pPr>
        <w:pStyle w:val="BodyText"/>
      </w:pPr>
      <w:r>
        <w:lastRenderedPageBreak/>
        <w:t>The partnership between Australia and Indonesia is now starting to support</w:t>
      </w:r>
      <w:r w:rsidRPr="00A35B46">
        <w:t xml:space="preserve"> </w:t>
      </w:r>
      <w:r>
        <w:t xml:space="preserve">and influence </w:t>
      </w:r>
      <w:r w:rsidRPr="00A35B46">
        <w:t xml:space="preserve">regional </w:t>
      </w:r>
      <w:r>
        <w:t xml:space="preserve">disaster management priorities in particular </w:t>
      </w:r>
      <w:r w:rsidRPr="00A35B46">
        <w:t xml:space="preserve">through </w:t>
      </w:r>
      <w:r>
        <w:t>support to</w:t>
      </w:r>
      <w:r w:rsidRPr="00A35B46">
        <w:t xml:space="preserve"> the ASEAN Agreement on Disaster Management and Emergency Response</w:t>
      </w:r>
      <w:r>
        <w:t xml:space="preserve">. </w:t>
      </w:r>
    </w:p>
    <w:p w:rsidR="00C411B2" w:rsidRDefault="00FE2AC4" w:rsidP="00612FF9">
      <w:pPr>
        <w:pStyle w:val="H2F"/>
      </w:pPr>
      <w:bookmarkStart w:id="133" w:name="_Toc293049994"/>
      <w:bookmarkStart w:id="134" w:name="_Toc360981881"/>
      <w:r>
        <w:t>Factors contributing to or hampering success</w:t>
      </w:r>
      <w:bookmarkEnd w:id="133"/>
      <w:bookmarkEnd w:id="134"/>
    </w:p>
    <w:p w:rsidR="004646E7" w:rsidRPr="00473013" w:rsidRDefault="004646E7" w:rsidP="00473013">
      <w:pPr>
        <w:pStyle w:val="BodyText"/>
      </w:pPr>
      <w:r>
        <w:t>The AIFDR remains flexible and responsive in this dynamic environment, responding to the needs of BNPB an</w:t>
      </w:r>
      <w:r w:rsidR="00892230">
        <w:t>d</w:t>
      </w:r>
      <w:r>
        <w:t xml:space="preserve"> evolving partner organisations. </w:t>
      </w:r>
      <w:r w:rsidR="00892230">
        <w:t xml:space="preserve"> </w:t>
      </w:r>
      <w:r>
        <w:t>While this environment has presented long term planning challenges for AIFDR</w:t>
      </w:r>
      <w:r w:rsidR="00892230">
        <w:t>, the facility</w:t>
      </w:r>
      <w:r>
        <w:t xml:space="preserve"> is nevertheless identified</w:t>
      </w:r>
      <w:r w:rsidR="00F2055F">
        <w:t xml:space="preserve"> by BNPB</w:t>
      </w:r>
      <w:r>
        <w:t xml:space="preserve"> as </w:t>
      </w:r>
      <w:r w:rsidR="00F2055F">
        <w:t>helping</w:t>
      </w:r>
      <w:r w:rsidR="0026507A">
        <w:t xml:space="preserve"> to</w:t>
      </w:r>
      <w:r w:rsidR="00F2055F">
        <w:t xml:space="preserve"> meet</w:t>
      </w:r>
      <w:r>
        <w:t xml:space="preserve"> the </w:t>
      </w:r>
      <w:proofErr w:type="spellStart"/>
      <w:r>
        <w:t>GoI’s</w:t>
      </w:r>
      <w:proofErr w:type="spellEnd"/>
      <w:r>
        <w:t xml:space="preserve"> </w:t>
      </w:r>
      <w:r w:rsidRPr="00473013">
        <w:t>disaster risk management priorities.</w:t>
      </w:r>
    </w:p>
    <w:p w:rsidR="004646E7" w:rsidRPr="00473013" w:rsidRDefault="004646E7" w:rsidP="00473013">
      <w:pPr>
        <w:pStyle w:val="BodyText"/>
      </w:pPr>
      <w:r w:rsidRPr="00473013">
        <w:t xml:space="preserve">While program synergies between AIFDR and other areas of </w:t>
      </w:r>
      <w:proofErr w:type="spellStart"/>
      <w:r w:rsidRPr="00473013">
        <w:t>AusAID</w:t>
      </w:r>
      <w:proofErr w:type="spellEnd"/>
      <w:r w:rsidRPr="00473013">
        <w:t xml:space="preserve"> exist in the response space, the physical and </w:t>
      </w:r>
      <w:r w:rsidRPr="00E03E5F">
        <w:rPr>
          <w:rStyle w:val="AbbreviationChar"/>
        </w:rPr>
        <w:t>ICT</w:t>
      </w:r>
      <w:r w:rsidRPr="00473013">
        <w:t xml:space="preserve"> separation of the AIFDR from </w:t>
      </w:r>
      <w:proofErr w:type="spellStart"/>
      <w:r w:rsidRPr="00473013">
        <w:t>AusAID</w:t>
      </w:r>
      <w:proofErr w:type="spellEnd"/>
      <w:r w:rsidRPr="00473013">
        <w:t xml:space="preserve"> is a significant limitation. AIFDR is scheduled to move onto the </w:t>
      </w:r>
      <w:proofErr w:type="spellStart"/>
      <w:r w:rsidRPr="00473013">
        <w:t>AusAID</w:t>
      </w:r>
      <w:proofErr w:type="spellEnd"/>
      <w:r w:rsidRPr="00473013">
        <w:t xml:space="preserve"> ICT system from June 2011 which will </w:t>
      </w:r>
      <w:r w:rsidR="007C1527">
        <w:t>address</w:t>
      </w:r>
      <w:r w:rsidR="007C1527" w:rsidRPr="00473013">
        <w:t xml:space="preserve"> </w:t>
      </w:r>
      <w:r w:rsidRPr="00473013">
        <w:t>these issues.</w:t>
      </w:r>
    </w:p>
    <w:p w:rsidR="004646E7" w:rsidRDefault="004646E7" w:rsidP="00473013">
      <w:pPr>
        <w:pStyle w:val="BodyText"/>
      </w:pPr>
      <w:r w:rsidRPr="00473013">
        <w:t xml:space="preserve">Through </w:t>
      </w:r>
      <w:r w:rsidR="00892230">
        <w:t>its</w:t>
      </w:r>
      <w:r w:rsidR="00892230" w:rsidRPr="00473013">
        <w:t xml:space="preserve"> </w:t>
      </w:r>
      <w:r w:rsidRPr="00473013">
        <w:t>Na</w:t>
      </w:r>
      <w:r>
        <w:t xml:space="preserve">tional Disaster Risk Management Plan, BNPB has a commitment to developing a holistic program focused on all aspects of disaster management.  </w:t>
      </w:r>
      <w:r w:rsidR="007C1527">
        <w:t>H</w:t>
      </w:r>
      <w:r>
        <w:t xml:space="preserve">owever, </w:t>
      </w:r>
      <w:r w:rsidR="007C1527">
        <w:t xml:space="preserve">last year </w:t>
      </w:r>
      <w:r>
        <w:t>the agency respond</w:t>
      </w:r>
      <w:r w:rsidR="007C1527">
        <w:t>ed</w:t>
      </w:r>
      <w:r>
        <w:t xml:space="preserve"> to </w:t>
      </w:r>
      <w:r w:rsidR="00DF4CEF">
        <w:t>three</w:t>
      </w:r>
      <w:r>
        <w:t xml:space="preserve"> large natural disasters along with broader bilateral commitments</w:t>
      </w:r>
      <w:r w:rsidRPr="00B95363">
        <w:t xml:space="preserve"> </w:t>
      </w:r>
      <w:r w:rsidR="007C1527">
        <w:t>which</w:t>
      </w:r>
      <w:r>
        <w:t xml:space="preserve"> hampered </w:t>
      </w:r>
      <w:r w:rsidR="00892230">
        <w:t xml:space="preserve">its </w:t>
      </w:r>
      <w:r>
        <w:t xml:space="preserve">leadership on disaster reduction, mitigation and preparedness initiatives with provincial governments. </w:t>
      </w:r>
    </w:p>
    <w:p w:rsidR="00C411B2" w:rsidRDefault="00FE2AC4" w:rsidP="00612FF9">
      <w:pPr>
        <w:pStyle w:val="H2F"/>
      </w:pPr>
      <w:bookmarkStart w:id="135" w:name="_Toc293049995"/>
      <w:bookmarkStart w:id="136" w:name="_Toc360981882"/>
      <w:r>
        <w:t>Management consequences</w:t>
      </w:r>
      <w:bookmarkEnd w:id="135"/>
      <w:bookmarkEnd w:id="136"/>
    </w:p>
    <w:p w:rsidR="00C411B2" w:rsidRPr="00473013" w:rsidRDefault="00D74278" w:rsidP="00473013">
      <w:pPr>
        <w:pStyle w:val="BodyText"/>
      </w:pPr>
      <w:r>
        <w:t>I</w:t>
      </w:r>
      <w:r w:rsidRPr="00473013">
        <w:t>n partnership with BNPB and other partners</w:t>
      </w:r>
      <w:r>
        <w:t xml:space="preserve">, </w:t>
      </w:r>
      <w:r w:rsidR="004646E7" w:rsidRPr="00473013">
        <w:t xml:space="preserve">AIFDR will </w:t>
      </w:r>
      <w:r>
        <w:t>focus</w:t>
      </w:r>
      <w:r w:rsidRPr="00473013">
        <w:t xml:space="preserve"> </w:t>
      </w:r>
      <w:r>
        <w:t xml:space="preserve">its program </w:t>
      </w:r>
      <w:r w:rsidR="004646E7" w:rsidRPr="00473013">
        <w:t xml:space="preserve">in </w:t>
      </w:r>
      <w:r>
        <w:t>t</w:t>
      </w:r>
      <w:r w:rsidR="00A35BA4">
        <w:t>wo</w:t>
      </w:r>
      <w:r>
        <w:t xml:space="preserve"> </w:t>
      </w:r>
      <w:r w:rsidR="004646E7" w:rsidRPr="00473013">
        <w:t>provinces in 2011</w:t>
      </w:r>
      <w:r w:rsidR="0026507A">
        <w:t>.</w:t>
      </w:r>
      <w:r w:rsidR="004646E7" w:rsidRPr="00473013">
        <w:t xml:space="preserve"> This will provide a greater focus for AIFDR programs and create a stronger platform for </w:t>
      </w:r>
      <w:r>
        <w:t xml:space="preserve">both </w:t>
      </w:r>
      <w:r w:rsidR="004646E7" w:rsidRPr="00473013">
        <w:t>program areas</w:t>
      </w:r>
      <w:r>
        <w:t xml:space="preserve"> and other </w:t>
      </w:r>
      <w:proofErr w:type="spellStart"/>
      <w:r>
        <w:t>AusAID</w:t>
      </w:r>
      <w:proofErr w:type="spellEnd"/>
      <w:r>
        <w:t xml:space="preserve"> initiatives</w:t>
      </w:r>
      <w:r w:rsidR="004646E7" w:rsidRPr="00473013">
        <w:t xml:space="preserve"> to link together. Further, AIFDR will </w:t>
      </w:r>
      <w:r w:rsidR="00D974D9">
        <w:t>complete</w:t>
      </w:r>
      <w:r w:rsidR="00D974D9" w:rsidRPr="00473013">
        <w:t xml:space="preserve"> </w:t>
      </w:r>
      <w:r w:rsidR="008645D5">
        <w:t>its</w:t>
      </w:r>
      <w:r w:rsidR="004646E7" w:rsidRPr="00473013">
        <w:t xml:space="preserve"> mid-term evaluation </w:t>
      </w:r>
      <w:r w:rsidR="00A35BA4">
        <w:t xml:space="preserve">in </w:t>
      </w:r>
      <w:r w:rsidR="00D974D9">
        <w:t>Sept</w:t>
      </w:r>
      <w:r w:rsidR="007C1527">
        <w:t>ember</w:t>
      </w:r>
      <w:r w:rsidR="00D974D9">
        <w:t xml:space="preserve"> </w:t>
      </w:r>
      <w:r w:rsidR="00A35BA4">
        <w:t xml:space="preserve">2011 </w:t>
      </w:r>
      <w:r w:rsidR="004646E7" w:rsidRPr="00473013">
        <w:t xml:space="preserve">so that progress to date can be reviewed and future programming </w:t>
      </w:r>
      <w:r w:rsidR="00D974D9">
        <w:t>design</w:t>
      </w:r>
      <w:r w:rsidR="004646E7" w:rsidRPr="00473013">
        <w:t xml:space="preserve"> considered.</w:t>
      </w:r>
    </w:p>
    <w:p w:rsidR="00C411B2" w:rsidRPr="00A31267" w:rsidRDefault="00C411B2" w:rsidP="00A31267">
      <w:pPr>
        <w:pStyle w:val="Caption"/>
        <w:rPr>
          <w:sz w:val="22"/>
          <w:szCs w:val="22"/>
          <w:highlight w:val="magenta"/>
        </w:rPr>
      </w:pPr>
      <w:bookmarkStart w:id="137" w:name="_Toc293049996"/>
      <w:r w:rsidRPr="00A31267">
        <w:rPr>
          <w:sz w:val="22"/>
          <w:szCs w:val="22"/>
        </w:rPr>
        <w:t>Estimated expenditure in 20</w:t>
      </w:r>
      <w:r w:rsidR="00FE2AC4" w:rsidRPr="00A31267">
        <w:rPr>
          <w:sz w:val="22"/>
          <w:szCs w:val="22"/>
        </w:rPr>
        <w:t>1</w:t>
      </w:r>
      <w:r w:rsidRPr="00A31267">
        <w:rPr>
          <w:sz w:val="22"/>
          <w:szCs w:val="22"/>
        </w:rPr>
        <w:t>0</w:t>
      </w:r>
      <w:bookmarkEnd w:id="137"/>
    </w:p>
    <w:tbl>
      <w:tblPr>
        <w:tblW w:w="0" w:type="auto"/>
        <w:tblInd w:w="57" w:type="dxa"/>
        <w:tblLayout w:type="fixed"/>
        <w:tblLook w:val="0000" w:firstRow="0" w:lastRow="0" w:firstColumn="0" w:lastColumn="0" w:noHBand="0" w:noVBand="0"/>
      </w:tblPr>
      <w:tblGrid>
        <w:gridCol w:w="5683"/>
        <w:gridCol w:w="1127"/>
        <w:gridCol w:w="1128"/>
      </w:tblGrid>
      <w:tr w:rsidR="00C411B2"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C411B2" w:rsidRDefault="00C411B2">
            <w:pPr>
              <w:pStyle w:val="TableDataColumnHeading"/>
            </w:pPr>
            <w:r>
              <w:t>% of bilateral program</w:t>
            </w:r>
          </w:p>
        </w:tc>
      </w:tr>
      <w:tr w:rsidR="00C411B2" w:rsidRPr="002452D0" w:rsidTr="00027A09">
        <w:trPr>
          <w:cantSplit/>
        </w:trPr>
        <w:tc>
          <w:tcPr>
            <w:tcW w:w="5683" w:type="dxa"/>
            <w:tcBorders>
              <w:bottom w:val="single" w:sz="12" w:space="0" w:color="auto"/>
            </w:tcBorders>
            <w:shd w:val="clear" w:color="auto" w:fill="auto"/>
            <w:tcMar>
              <w:left w:w="57" w:type="dxa"/>
              <w:right w:w="57" w:type="dxa"/>
            </w:tcMar>
          </w:tcPr>
          <w:p w:rsidR="00C411B2" w:rsidRDefault="00FE2AC4">
            <w:pPr>
              <w:pStyle w:val="TableDataEntries"/>
              <w:jc w:val="left"/>
            </w:pPr>
            <w:r>
              <w:t xml:space="preserve">Disaster </w:t>
            </w:r>
            <w:r w:rsidR="001C5B02">
              <w:t>facility</w:t>
            </w:r>
          </w:p>
          <w:p w:rsidR="001C5B02" w:rsidRPr="002452D0" w:rsidRDefault="001C5B02">
            <w:pPr>
              <w:pStyle w:val="TableDataEntries"/>
              <w:jc w:val="left"/>
            </w:pPr>
            <w:r>
              <w:t>Disaster risk management</w:t>
            </w:r>
          </w:p>
        </w:tc>
        <w:tc>
          <w:tcPr>
            <w:tcW w:w="1127" w:type="dxa"/>
            <w:tcBorders>
              <w:bottom w:val="single" w:sz="12" w:space="0" w:color="auto"/>
            </w:tcBorders>
            <w:shd w:val="clear" w:color="auto" w:fill="auto"/>
            <w:tcMar>
              <w:left w:w="57" w:type="dxa"/>
              <w:right w:w="57" w:type="dxa"/>
            </w:tcMar>
          </w:tcPr>
          <w:p w:rsidR="00C411B2" w:rsidRDefault="001C5B02">
            <w:pPr>
              <w:pStyle w:val="TableDataEntries"/>
            </w:pPr>
            <w:r>
              <w:t>13.2</w:t>
            </w:r>
          </w:p>
          <w:p w:rsidR="001C5B02" w:rsidRPr="002452D0" w:rsidRDefault="001C5B02">
            <w:pPr>
              <w:pStyle w:val="TableDataEntries"/>
            </w:pPr>
            <w:r>
              <w:t>9</w:t>
            </w:r>
            <w:r w:rsidR="00C101A2">
              <w:t>.0</w:t>
            </w:r>
          </w:p>
        </w:tc>
        <w:tc>
          <w:tcPr>
            <w:tcW w:w="1128" w:type="dxa"/>
            <w:tcBorders>
              <w:bottom w:val="single" w:sz="12" w:space="0" w:color="auto"/>
            </w:tcBorders>
            <w:shd w:val="clear" w:color="auto" w:fill="auto"/>
            <w:tcMar>
              <w:left w:w="57" w:type="dxa"/>
              <w:right w:w="57" w:type="dxa"/>
            </w:tcMar>
          </w:tcPr>
          <w:p w:rsidR="00C411B2" w:rsidRDefault="00C101A2">
            <w:pPr>
              <w:pStyle w:val="TableDataEntries"/>
            </w:pPr>
            <w:r>
              <w:t>3.4%</w:t>
            </w:r>
          </w:p>
          <w:p w:rsidR="00C101A2" w:rsidRPr="002452D0" w:rsidRDefault="00C101A2">
            <w:pPr>
              <w:pStyle w:val="TableDataEntries"/>
            </w:pPr>
            <w:r>
              <w:t>2.3%</w:t>
            </w:r>
          </w:p>
        </w:tc>
      </w:tr>
    </w:tbl>
    <w:p w:rsidR="00C411B2" w:rsidRDefault="00C411B2">
      <w:pPr>
        <w:pStyle w:val="Source"/>
      </w:pPr>
      <w:r w:rsidRPr="00C05EB3">
        <w:t xml:space="preserve">Source: </w:t>
      </w:r>
      <w:r w:rsidR="0044505C">
        <w:t xml:space="preserve">2009-2010 fiscal year’s expenditures in </w:t>
      </w:r>
      <w:proofErr w:type="spellStart"/>
      <w:r w:rsidR="0044505C">
        <w:t>AidWorks</w:t>
      </w:r>
      <w:proofErr w:type="spellEnd"/>
    </w:p>
    <w:p w:rsidR="00683977" w:rsidRDefault="00683977" w:rsidP="00612FF9">
      <w:pPr>
        <w:pStyle w:val="H2F"/>
      </w:pPr>
      <w:bookmarkStart w:id="138" w:name="_Toc360981883"/>
      <w:bookmarkStart w:id="139" w:name="_Toc293049998"/>
      <w:r>
        <w:t>Climate Change</w:t>
      </w:r>
      <w:bookmarkEnd w:id="138"/>
      <w:r>
        <w:t xml:space="preserve">  </w:t>
      </w:r>
    </w:p>
    <w:p w:rsidR="00FE2AC4" w:rsidRDefault="00FE2AC4" w:rsidP="00612FF9">
      <w:pPr>
        <w:pStyle w:val="Heading3"/>
      </w:pPr>
      <w:bookmarkStart w:id="140" w:name="_Toc360981884"/>
      <w:r>
        <w:t>Rating</w:t>
      </w:r>
      <w:bookmarkEnd w:id="139"/>
      <w:bookmarkEnd w:id="140"/>
    </w:p>
    <w:tbl>
      <w:tblPr>
        <w:tblW w:w="0" w:type="auto"/>
        <w:tblInd w:w="57" w:type="dxa"/>
        <w:tblLook w:val="01E0" w:firstRow="1" w:lastRow="1" w:firstColumn="1" w:lastColumn="1" w:noHBand="0" w:noVBand="0"/>
      </w:tblPr>
      <w:tblGrid>
        <w:gridCol w:w="5709"/>
        <w:gridCol w:w="895"/>
        <w:gridCol w:w="1315"/>
      </w:tblGrid>
      <w:tr w:rsidR="00A54966" w:rsidTr="00027A09">
        <w:trPr>
          <w:cantSplit/>
          <w:tblHeader/>
        </w:trPr>
        <w:tc>
          <w:tcPr>
            <w:tcW w:w="5725" w:type="dxa"/>
            <w:shd w:val="clear" w:color="auto" w:fill="F5F1CC"/>
            <w:tcMar>
              <w:left w:w="57" w:type="dxa"/>
              <w:right w:w="57" w:type="dxa"/>
            </w:tcMar>
            <w:vAlign w:val="center"/>
          </w:tcPr>
          <w:p w:rsidR="00A54966" w:rsidRDefault="0026507A" w:rsidP="00A54966">
            <w:pPr>
              <w:pStyle w:val="TableTextEntries"/>
            </w:pPr>
            <w:r>
              <w:t>Objectives</w:t>
            </w:r>
          </w:p>
        </w:tc>
        <w:tc>
          <w:tcPr>
            <w:tcW w:w="896" w:type="dxa"/>
            <w:shd w:val="clear" w:color="auto" w:fill="F5F1CC"/>
            <w:tcMar>
              <w:left w:w="57" w:type="dxa"/>
              <w:right w:w="57" w:type="dxa"/>
            </w:tcMar>
            <w:vAlign w:val="center"/>
          </w:tcPr>
          <w:p w:rsidR="00A54966" w:rsidRDefault="00A54966" w:rsidP="00A54966">
            <w:pPr>
              <w:pStyle w:val="TableTextEntries"/>
              <w:jc w:val="center"/>
            </w:pPr>
            <w:r>
              <w:t>Rating in 2010</w:t>
            </w:r>
          </w:p>
        </w:tc>
        <w:tc>
          <w:tcPr>
            <w:tcW w:w="1316" w:type="dxa"/>
            <w:shd w:val="clear" w:color="auto" w:fill="F5F1CC"/>
            <w:tcMar>
              <w:left w:w="57" w:type="dxa"/>
              <w:right w:w="57" w:type="dxa"/>
            </w:tcMar>
            <w:vAlign w:val="center"/>
          </w:tcPr>
          <w:p w:rsidR="00A54966" w:rsidRDefault="00A54966" w:rsidP="00A54966">
            <w:pPr>
              <w:pStyle w:val="TableTextEntries"/>
              <w:jc w:val="center"/>
              <w:rPr>
                <w:bCs/>
              </w:rPr>
            </w:pPr>
            <w:r>
              <w:rPr>
                <w:bCs/>
              </w:rPr>
              <w:t>Relative to previous rating</w:t>
            </w:r>
          </w:p>
        </w:tc>
      </w:tr>
      <w:tr w:rsidR="00A54966" w:rsidTr="00A54966">
        <w:trPr>
          <w:cantSplit/>
        </w:trPr>
        <w:tc>
          <w:tcPr>
            <w:tcW w:w="5725" w:type="dxa"/>
            <w:shd w:val="clear" w:color="auto" w:fill="auto"/>
            <w:tcMar>
              <w:left w:w="57" w:type="dxa"/>
              <w:right w:w="57" w:type="dxa"/>
            </w:tcMar>
            <w:vAlign w:val="center"/>
          </w:tcPr>
          <w:p w:rsidR="00A54966" w:rsidRDefault="00A54966" w:rsidP="00A54966">
            <w:pPr>
              <w:pStyle w:val="TableTextEntries"/>
            </w:pPr>
            <w:r w:rsidRPr="00532793">
              <w:t>REDD demonstrated to be practical, effective and equitable</w:t>
            </w: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6C4B0037" wp14:editId="14542B01">
                  <wp:extent cx="149530" cy="149530"/>
                  <wp:effectExtent l="0" t="0" r="3175" b="3175"/>
                  <wp:docPr id="64" name="Picture 6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A54966" w:rsidTr="00A54966">
        <w:trPr>
          <w:cantSplit/>
        </w:trPr>
        <w:tc>
          <w:tcPr>
            <w:tcW w:w="5725" w:type="dxa"/>
            <w:shd w:val="clear" w:color="auto" w:fill="auto"/>
            <w:tcMar>
              <w:left w:w="57" w:type="dxa"/>
              <w:right w:w="57" w:type="dxa"/>
            </w:tcMar>
            <w:vAlign w:val="center"/>
          </w:tcPr>
          <w:p w:rsidR="00A54966" w:rsidRDefault="00A54966" w:rsidP="00A54966">
            <w:pPr>
              <w:pStyle w:val="TableTextEntries"/>
            </w:pPr>
            <w:r w:rsidRPr="00532793">
              <w:t>Future global outcome on climate change influenced by Indonesian experience with REDD</w:t>
            </w:r>
          </w:p>
        </w:tc>
        <w:tc>
          <w:tcPr>
            <w:tcW w:w="896" w:type="dxa"/>
            <w:shd w:val="clear" w:color="auto" w:fill="auto"/>
            <w:tcMar>
              <w:left w:w="57" w:type="dxa"/>
              <w:right w:w="57" w:type="dxa"/>
            </w:tcMar>
            <w:vAlign w:val="center"/>
          </w:tcPr>
          <w:p w:rsidR="00A54966" w:rsidRDefault="00181000" w:rsidP="00A54966">
            <w:pPr>
              <w:pStyle w:val="Ratingbullet"/>
            </w:pPr>
            <w:r>
              <w:rPr>
                <w:rFonts w:hint="cs"/>
                <w:noProof/>
                <w:rtl/>
                <w:lang w:val="en-US"/>
              </w:rPr>
              <w:drawing>
                <wp:inline distT="0" distB="0" distL="0" distR="0" wp14:anchorId="7C0283ED" wp14:editId="078C0EA4">
                  <wp:extent cx="151821" cy="151821"/>
                  <wp:effectExtent l="0" t="0" r="635" b="635"/>
                  <wp:docPr id="105" name="Picture 10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DC463E">
              <w:rPr>
                <w:bCs/>
              </w:rPr>
              <w:t>Unchanged</w:t>
            </w:r>
            <w:r>
              <w:rPr>
                <w:bCs/>
              </w:rPr>
              <w:fldChar w:fldCharType="end"/>
            </w:r>
          </w:p>
        </w:tc>
      </w:tr>
      <w:tr w:rsidR="00A54966" w:rsidTr="00A54966">
        <w:trPr>
          <w:cantSplit/>
        </w:trPr>
        <w:tc>
          <w:tcPr>
            <w:tcW w:w="5725" w:type="dxa"/>
            <w:shd w:val="clear" w:color="auto" w:fill="auto"/>
            <w:tcMar>
              <w:left w:w="57" w:type="dxa"/>
              <w:right w:w="57" w:type="dxa"/>
            </w:tcMar>
            <w:vAlign w:val="center"/>
          </w:tcPr>
          <w:p w:rsidR="00A54966" w:rsidRDefault="00A54966" w:rsidP="00A54966">
            <w:pPr>
              <w:pStyle w:val="TableTextEntries"/>
            </w:pPr>
            <w:r w:rsidRPr="00532793">
              <w:t>Locally generated new knowledge of climate change adaptation being used in strategy development at all levels of government</w:t>
            </w:r>
          </w:p>
        </w:tc>
        <w:tc>
          <w:tcPr>
            <w:tcW w:w="896" w:type="dxa"/>
            <w:shd w:val="clear" w:color="auto" w:fill="auto"/>
            <w:tcMar>
              <w:left w:w="57" w:type="dxa"/>
              <w:right w:w="57" w:type="dxa"/>
            </w:tcMar>
            <w:vAlign w:val="center"/>
          </w:tcPr>
          <w:p w:rsidR="00A54966" w:rsidRDefault="00181000" w:rsidP="00A54966">
            <w:pPr>
              <w:pStyle w:val="Ratingbullet"/>
            </w:pPr>
            <w:r>
              <w:rPr>
                <w:rFonts w:hint="cs"/>
                <w:noProof/>
                <w:rtl/>
                <w:lang w:val="en-US"/>
              </w:rPr>
              <w:drawing>
                <wp:inline distT="0" distB="0" distL="0" distR="0" wp14:anchorId="231A60A7" wp14:editId="45FAAD8D">
                  <wp:extent cx="151821" cy="151821"/>
                  <wp:effectExtent l="0" t="0" r="635" b="635"/>
                  <wp:docPr id="106" name="Picture 10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png"/>
                          <pic:cNvPicPr/>
                        </pic:nvPicPr>
                        <pic:blipFill>
                          <a:blip r:embed="rId15">
                            <a:extLst>
                              <a:ext uri="{28A0092B-C50C-407E-A947-70E740481C1C}">
                                <a14:useLocalDpi xmlns:a14="http://schemas.microsoft.com/office/drawing/2010/main" val="0"/>
                              </a:ext>
                            </a:extLst>
                          </a:blip>
                          <a:stretch>
                            <a:fillRect/>
                          </a:stretch>
                        </pic:blipFill>
                        <pic:spPr>
                          <a:xfrm>
                            <a:off x="0" y="0"/>
                            <a:ext cx="155837" cy="155837"/>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Improved</w:t>
            </w:r>
            <w:r>
              <w:rPr>
                <w:bCs/>
              </w:rPr>
              <w:fldChar w:fldCharType="end"/>
            </w:r>
          </w:p>
        </w:tc>
      </w:tr>
      <w:tr w:rsidR="00A54966" w:rsidTr="00A54966">
        <w:trPr>
          <w:cantSplit/>
        </w:trPr>
        <w:tc>
          <w:tcPr>
            <w:tcW w:w="5725" w:type="dxa"/>
            <w:shd w:val="clear" w:color="auto" w:fill="auto"/>
            <w:tcMar>
              <w:left w:w="57" w:type="dxa"/>
              <w:right w:w="57" w:type="dxa"/>
            </w:tcMar>
            <w:vAlign w:val="center"/>
          </w:tcPr>
          <w:p w:rsidR="00A54966" w:rsidRDefault="00A54966" w:rsidP="00A54966">
            <w:pPr>
              <w:pStyle w:val="TableTextEntries"/>
            </w:pPr>
            <w:r w:rsidRPr="00532793">
              <w:t>Low carbon growth strategies developed and implemented</w:t>
            </w: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3CE0CD9E" wp14:editId="173D069C">
                  <wp:extent cx="149530" cy="149530"/>
                  <wp:effectExtent l="0" t="0" r="3175" b="3175"/>
                  <wp:docPr id="65" name="Picture 6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008F083A" w:rsidRPr="008F083A">
              <w:rPr>
                <w:bCs/>
              </w:rPr>
              <w:t>Unchanged</w:t>
            </w:r>
            <w:r>
              <w:rPr>
                <w:bCs/>
              </w:rPr>
              <w:fldChar w:fldCharType="end"/>
            </w:r>
          </w:p>
        </w:tc>
      </w:tr>
      <w:tr w:rsidR="00A54966" w:rsidTr="00A54966">
        <w:trPr>
          <w:cantSplit/>
        </w:trPr>
        <w:tc>
          <w:tcPr>
            <w:tcW w:w="5725" w:type="dxa"/>
            <w:shd w:val="clear" w:color="auto" w:fill="auto"/>
            <w:tcMar>
              <w:left w:w="57" w:type="dxa"/>
              <w:right w:w="57" w:type="dxa"/>
            </w:tcMar>
            <w:vAlign w:val="center"/>
          </w:tcPr>
          <w:p w:rsidR="00A54966" w:rsidRDefault="00A54966" w:rsidP="00A54966">
            <w:pPr>
              <w:pStyle w:val="TableTextEntries"/>
            </w:pPr>
            <w:r w:rsidRPr="00532793">
              <w:t>Additional domestic finance (government and private sector) and international sources of finance mobilised and accessed, for response to climate change</w:t>
            </w: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1B334AD8" wp14:editId="19CAEE7A">
                  <wp:extent cx="149530" cy="149530"/>
                  <wp:effectExtent l="0" t="0" r="3175" b="3175"/>
                  <wp:docPr id="66" name="Picture 6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Declined</w:t>
            </w:r>
            <w:r>
              <w:rPr>
                <w:bCs/>
              </w:rPr>
              <w:fldChar w:fldCharType="end"/>
            </w:r>
          </w:p>
        </w:tc>
      </w:tr>
    </w:tbl>
    <w:p w:rsidR="00FE2AC4" w:rsidRPr="00EF3996" w:rsidRDefault="00FE2AC4" w:rsidP="00612FF9">
      <w:pPr>
        <w:pStyle w:val="H2F"/>
        <w:spacing w:before="720"/>
      </w:pPr>
      <w:bookmarkStart w:id="141" w:name="_Toc293049999"/>
      <w:bookmarkStart w:id="142" w:name="_Toc360981885"/>
      <w:r w:rsidRPr="00044215">
        <w:lastRenderedPageBreak/>
        <w:t>Assessment of results and performance</w:t>
      </w:r>
      <w:bookmarkEnd w:id="141"/>
      <w:bookmarkEnd w:id="142"/>
    </w:p>
    <w:p w:rsidR="002455FA" w:rsidRDefault="002455FA" w:rsidP="00303DF9">
      <w:pPr>
        <w:pStyle w:val="BodyText"/>
      </w:pPr>
      <w:smartTag w:uri="urn:schemas-microsoft-com:office:smarttags" w:element="place">
        <w:smartTag w:uri="urn:schemas-microsoft-com:office:smarttags" w:element="country-region">
          <w:r w:rsidRPr="00122FB8">
            <w:t>Indonesia</w:t>
          </w:r>
        </w:smartTag>
      </w:smartTag>
      <w:r w:rsidRPr="00122FB8">
        <w:t xml:space="preserve"> is one of the world largest greenhouse gas emitters, largely due to land clearing.  </w:t>
      </w:r>
      <w:smartTag w:uri="urn:schemas-microsoft-com:office:smarttags" w:element="country-region">
        <w:r w:rsidRPr="00122FB8">
          <w:t>Indonesia</w:t>
        </w:r>
      </w:smartTag>
      <w:r w:rsidRPr="00122FB8">
        <w:t xml:space="preserve"> is taking major steps forward in its efforts to address climate change, building upon President </w:t>
      </w:r>
      <w:proofErr w:type="spellStart"/>
      <w:r w:rsidRPr="00122FB8">
        <w:t>Yudhoyono’s</w:t>
      </w:r>
      <w:proofErr w:type="spellEnd"/>
      <w:r w:rsidRPr="00122FB8">
        <w:t xml:space="preserve"> pledge to reduce </w:t>
      </w:r>
      <w:smartTag w:uri="urn:schemas-microsoft-com:office:smarttags" w:element="place">
        <w:smartTag w:uri="urn:schemas-microsoft-com:office:smarttags" w:element="country-region">
          <w:r w:rsidRPr="00122FB8">
            <w:t>Indonesia</w:t>
          </w:r>
        </w:smartTag>
      </w:smartTag>
      <w:r w:rsidRPr="00122FB8">
        <w:t xml:space="preserve">’s emissions by 26 </w:t>
      </w:r>
      <w:proofErr w:type="spellStart"/>
      <w:r w:rsidRPr="00122FB8">
        <w:t>percent</w:t>
      </w:r>
      <w:proofErr w:type="spellEnd"/>
      <w:r w:rsidRPr="00122FB8">
        <w:t xml:space="preserve"> below business as usual by 2020, or 41 </w:t>
      </w:r>
      <w:proofErr w:type="spellStart"/>
      <w:r w:rsidRPr="00122FB8">
        <w:t>percent</w:t>
      </w:r>
      <w:proofErr w:type="spellEnd"/>
      <w:r w:rsidRPr="00122FB8">
        <w:t xml:space="preserve"> with international assistance.  Like </w:t>
      </w:r>
      <w:smartTag w:uri="urn:schemas-microsoft-com:office:smarttags" w:element="country-region">
        <w:r w:rsidRPr="00122FB8">
          <w:t>Australia</w:t>
        </w:r>
      </w:smartTag>
      <w:r w:rsidRPr="00122FB8">
        <w:t xml:space="preserve">, </w:t>
      </w:r>
      <w:smartTag w:uri="urn:schemas-microsoft-com:office:smarttags" w:element="place">
        <w:smartTag w:uri="urn:schemas-microsoft-com:office:smarttags" w:element="country-region">
          <w:r w:rsidRPr="00122FB8">
            <w:t>Indonesia</w:t>
          </w:r>
        </w:smartTag>
      </w:smartTag>
      <w:r w:rsidRPr="00122FB8">
        <w:t xml:space="preserve"> is a member of the Major Economies Forum (MEF), Asia-Pacific Economic Cooperation (APEC), East Asia Summit (EAS) and the Group of Twenty (G20). </w:t>
      </w:r>
      <w:smartTag w:uri="urn:schemas-microsoft-com:office:smarttags" w:element="place">
        <w:smartTag w:uri="urn:schemas-microsoft-com:office:smarttags" w:element="country-region">
          <w:r w:rsidRPr="00122FB8">
            <w:t>Indonesia</w:t>
          </w:r>
        </w:smartTag>
      </w:smartTag>
      <w:r w:rsidRPr="00122FB8">
        <w:t xml:space="preserve"> is also a member of the Cartagena Group, a collection of progressive developed and developing countries advocating for strong climate change action.  </w:t>
      </w:r>
      <w:smartTag w:uri="urn:schemas-microsoft-com:office:smarttags" w:element="country-region">
        <w:r w:rsidRPr="00122FB8">
          <w:t>Indonesia</w:t>
        </w:r>
      </w:smartTag>
      <w:r w:rsidRPr="00122FB8">
        <w:t xml:space="preserve">’s ambitious domestic targets, progressive position in a range of international </w:t>
      </w:r>
      <w:proofErr w:type="spellStart"/>
      <w:r w:rsidRPr="00122FB8">
        <w:t>fora</w:t>
      </w:r>
      <w:proofErr w:type="spellEnd"/>
      <w:r w:rsidRPr="00122FB8">
        <w:t xml:space="preserve">, opportunities for substantial emissions reduction from the forest sector, and local vulnerabilities to the impacts of climate change </w:t>
      </w:r>
      <w:r w:rsidR="007C1527">
        <w:t>make it</w:t>
      </w:r>
      <w:r w:rsidRPr="00122FB8">
        <w:t xml:space="preserve"> a key strategic climate change partner for </w:t>
      </w:r>
      <w:smartTag w:uri="urn:schemas-microsoft-com:office:smarttags" w:element="place">
        <w:smartTag w:uri="urn:schemas-microsoft-com:office:smarttags" w:element="country-region">
          <w:r w:rsidRPr="00122FB8">
            <w:t>Australia</w:t>
          </w:r>
        </w:smartTag>
      </w:smartTag>
      <w:r w:rsidRPr="00122FB8">
        <w:t>.  Australia has a substantial bilateral climate assistance program in Indonesia, including assisting reducing emissions from forest degradation and deforestation (REDD+) ($100m Indonesia-Australia Forest Carbon Partnership), adaptation ($15m) and broader climate change policy (Green Paper), reflecting the ongoing importance of the relationship.</w:t>
      </w:r>
      <w:r w:rsidRPr="00CC524A">
        <w:t xml:space="preserve"> </w:t>
      </w:r>
    </w:p>
    <w:p w:rsidR="002455FA" w:rsidRPr="0095369A" w:rsidRDefault="002455FA" w:rsidP="002455FA">
      <w:pPr>
        <w:pStyle w:val="BodyText"/>
      </w:pPr>
      <w:r w:rsidRPr="0095369A">
        <w:t xml:space="preserve">In May 2010 </w:t>
      </w:r>
      <w:smartTag w:uri="urn:schemas-microsoft-com:office:smarttags" w:element="country-region">
        <w:r w:rsidRPr="0095369A">
          <w:t>Indonesia</w:t>
        </w:r>
      </w:smartTag>
      <w:r w:rsidRPr="0095369A">
        <w:t xml:space="preserve"> and </w:t>
      </w:r>
      <w:smartTag w:uri="urn:schemas-microsoft-com:office:smarttags" w:element="place">
        <w:smartTag w:uri="urn:schemas-microsoft-com:office:smarttags" w:element="country-region">
          <w:r w:rsidRPr="0095369A">
            <w:t>Norway</w:t>
          </w:r>
        </w:smartTag>
      </w:smartTag>
      <w:r w:rsidRPr="0095369A">
        <w:t xml:space="preserve"> signed a Letter of Intent (LOI) for a $1 billion REDD+ Partnership</w:t>
      </w:r>
      <w:r w:rsidR="007C1527">
        <w:t xml:space="preserve">.  </w:t>
      </w:r>
      <w:r w:rsidRPr="0095369A">
        <w:t xml:space="preserve">The signing of the LOI has provided a strong stimulus for the development of </w:t>
      </w:r>
      <w:smartTag w:uri="urn:schemas-microsoft-com:office:smarttags" w:element="place">
        <w:smartTag w:uri="urn:schemas-microsoft-com:office:smarttags" w:element="country-region">
          <w:r w:rsidRPr="0095369A">
            <w:t>Indonesia</w:t>
          </w:r>
        </w:smartTag>
      </w:smartTag>
      <w:r w:rsidRPr="0095369A">
        <w:t xml:space="preserve">’s national architecture for REDD+, which had been </w:t>
      </w:r>
      <w:r w:rsidR="007C1527">
        <w:t>stymied</w:t>
      </w:r>
      <w:r w:rsidRPr="0095369A">
        <w:t xml:space="preserve"> by a lack of whole of government leadership and uncertain roles and responsibilities between agencies.  Pursuant to the LOI</w:t>
      </w:r>
      <w:r w:rsidR="007C1527">
        <w:t>,</w:t>
      </w:r>
      <w:r w:rsidRPr="0095369A">
        <w:t xml:space="preserve"> President </w:t>
      </w:r>
      <w:proofErr w:type="spellStart"/>
      <w:r w:rsidRPr="0095369A">
        <w:t>Yudhoyono</w:t>
      </w:r>
      <w:proofErr w:type="spellEnd"/>
      <w:r w:rsidRPr="0095369A">
        <w:t xml:space="preserve"> established a REDD+ taskforce representing eight agencies and led by </w:t>
      </w:r>
      <w:proofErr w:type="spellStart"/>
      <w:r w:rsidRPr="0095369A">
        <w:t>Kuntoro</w:t>
      </w:r>
      <w:proofErr w:type="spellEnd"/>
      <w:r w:rsidRPr="0095369A">
        <w:t xml:space="preserve"> </w:t>
      </w:r>
      <w:proofErr w:type="spellStart"/>
      <w:r w:rsidRPr="0095369A">
        <w:t>Mangkusubroto</w:t>
      </w:r>
      <w:proofErr w:type="spellEnd"/>
      <w:r w:rsidRPr="0095369A">
        <w:t xml:space="preserve">, Head of </w:t>
      </w:r>
      <w:r w:rsidRPr="0095369A">
        <w:rPr>
          <w:rStyle w:val="AbbreviationChar"/>
        </w:rPr>
        <w:t>UKP4</w:t>
      </w:r>
      <w:r w:rsidRPr="0095369A">
        <w:t xml:space="preserve"> (The Presidential Working Unit for Supervision and Control of Development). </w:t>
      </w:r>
      <w:r>
        <w:t xml:space="preserve"> </w:t>
      </w:r>
      <w:r w:rsidRPr="0095369A">
        <w:t>The taskforce will complete a national REDD+ strategy, establish a REDD+ agency</w:t>
      </w:r>
      <w:r w:rsidR="007C1527">
        <w:t>,</w:t>
      </w:r>
      <w:r w:rsidRPr="0095369A">
        <w:t xml:space="preserve"> financing mechanism and an institution for measuring, reporting and verifying (</w:t>
      </w:r>
      <w:r w:rsidRPr="0095369A">
        <w:rPr>
          <w:rStyle w:val="AbbreviationChar"/>
        </w:rPr>
        <w:t>MRV</w:t>
      </w:r>
      <w:r w:rsidRPr="0095369A">
        <w:t xml:space="preserve">) emission reductions </w:t>
      </w:r>
      <w:r>
        <w:t>in the second half of</w:t>
      </w:r>
      <w:r w:rsidRPr="0095369A">
        <w:t xml:space="preserve"> 2011.  </w:t>
      </w:r>
      <w:r>
        <w:t xml:space="preserve">The </w:t>
      </w:r>
      <w:r w:rsidRPr="0095369A">
        <w:t>introduction of a two</w:t>
      </w:r>
      <w:r w:rsidR="00D84531">
        <w:t>-</w:t>
      </w:r>
      <w:r w:rsidRPr="0095369A">
        <w:t>year moratorium on new forest licenses</w:t>
      </w:r>
      <w:r>
        <w:t xml:space="preserve"> has also since been introduced as a requirement of the LOI in 2011</w:t>
      </w:r>
      <w:r w:rsidRPr="00122FB8">
        <w:t xml:space="preserve">.  </w:t>
      </w:r>
      <w:smartTag w:uri="urn:schemas-microsoft-com:office:smarttags" w:element="country-region">
        <w:r w:rsidRPr="00122FB8">
          <w:t>Australia</w:t>
        </w:r>
      </w:smartTag>
      <w:r w:rsidRPr="00122FB8">
        <w:t xml:space="preserve">’s Minister for Foreign Affairs, Kevin Rudd, and Minister for Climate Change and Energy Efficiency, Greg </w:t>
      </w:r>
      <w:proofErr w:type="spellStart"/>
      <w:r w:rsidRPr="00122FB8">
        <w:t>Combet</w:t>
      </w:r>
      <w:proofErr w:type="spellEnd"/>
      <w:r w:rsidRPr="00122FB8">
        <w:t xml:space="preserve">, jointly announced in December 2010, that </w:t>
      </w:r>
      <w:smartTag w:uri="urn:schemas-microsoft-com:office:smarttags" w:element="place">
        <w:smartTag w:uri="urn:schemas-microsoft-com:office:smarttags" w:element="country-region">
          <w:r w:rsidRPr="00122FB8">
            <w:t>Australia</w:t>
          </w:r>
        </w:smartTag>
      </w:smartTag>
      <w:r w:rsidRPr="00122FB8">
        <w:t xml:space="preserve"> will align relevant activities with, the REDD+ Partnership</w:t>
      </w:r>
      <w:r w:rsidRPr="0095369A">
        <w:t xml:space="preserve">.  </w:t>
      </w:r>
      <w:r w:rsidR="00385719" w:rsidRPr="0095369A">
        <w:t xml:space="preserve"> </w:t>
      </w:r>
      <w:r>
        <w:t>O</w:t>
      </w:r>
      <w:r w:rsidRPr="0095369A">
        <w:t xml:space="preserve">utcomes </w:t>
      </w:r>
      <w:r>
        <w:t xml:space="preserve">from the </w:t>
      </w:r>
      <w:smartTag w:uri="urn:schemas-microsoft-com:office:smarttags" w:element="place">
        <w:r>
          <w:t>Cancun</w:t>
        </w:r>
      </w:smartTag>
      <w:r>
        <w:t xml:space="preserve"> climate change negotiations </w:t>
      </w:r>
      <w:r w:rsidRPr="0095369A">
        <w:t xml:space="preserve">were conducive to further development of REDD+ but </w:t>
      </w:r>
      <w:r>
        <w:t>progress</w:t>
      </w:r>
      <w:r w:rsidRPr="0095369A">
        <w:t xml:space="preserve"> on reaching a global climate outcome that could include international emissions trading</w:t>
      </w:r>
      <w:r>
        <w:t>,</w:t>
      </w:r>
      <w:r w:rsidRPr="0095369A">
        <w:t xml:space="preserve"> which is </w:t>
      </w:r>
      <w:r>
        <w:t>key</w:t>
      </w:r>
      <w:r w:rsidRPr="0095369A">
        <w:t xml:space="preserve"> for</w:t>
      </w:r>
      <w:r w:rsidR="00667F43">
        <w:t xml:space="preserve"> </w:t>
      </w:r>
      <w:r>
        <w:t xml:space="preserve">the sustainability of </w:t>
      </w:r>
      <w:r w:rsidRPr="0095369A">
        <w:t>REDD</w:t>
      </w:r>
      <w:r>
        <w:t>+, remains incremental</w:t>
      </w:r>
      <w:r w:rsidRPr="0095369A">
        <w:t>.</w:t>
      </w:r>
      <w:r>
        <w:t xml:space="preserve">  Practical </w:t>
      </w:r>
      <w:r w:rsidR="00D84531">
        <w:t>lessons</w:t>
      </w:r>
      <w:r>
        <w:t xml:space="preserve"> from on-the-ground REDD+ demonstration activities continue</w:t>
      </w:r>
      <w:r w:rsidR="00D84531">
        <w:t>s</w:t>
      </w:r>
      <w:r>
        <w:t xml:space="preserve"> to feed into international climate change negotiations. </w:t>
      </w:r>
    </w:p>
    <w:p w:rsidR="002455FA" w:rsidRPr="0095369A" w:rsidRDefault="002455FA" w:rsidP="002455FA">
      <w:pPr>
        <w:pStyle w:val="BodyText"/>
      </w:pPr>
      <w:r w:rsidRPr="0095369A">
        <w:t xml:space="preserve">Reform to the spatial planning processes </w:t>
      </w:r>
      <w:r>
        <w:t xml:space="preserve">and the adoption of low carbon growth principles is starting to have a positive impact in </w:t>
      </w:r>
      <w:smartTag w:uri="urn:schemas-microsoft-com:office:smarttags" w:element="place">
        <w:smartTag w:uri="urn:schemas-microsoft-com:office:smarttags" w:element="country-region">
          <w:r>
            <w:t>Indonesia</w:t>
          </w:r>
        </w:smartTag>
      </w:smartTag>
      <w:r>
        <w:t xml:space="preserve">. </w:t>
      </w:r>
      <w:r w:rsidR="00D84531">
        <w:t xml:space="preserve"> </w:t>
      </w:r>
      <w:r w:rsidRPr="0095369A">
        <w:t xml:space="preserve">Several provinces, including Central and </w:t>
      </w:r>
      <w:smartTag w:uri="urn:schemas-microsoft-com:office:smarttags" w:element="place">
        <w:r w:rsidRPr="0095369A">
          <w:t>East Kalimantan</w:t>
        </w:r>
      </w:smartTag>
      <w:r w:rsidRPr="0095369A">
        <w:t xml:space="preserve"> </w:t>
      </w:r>
      <w:r w:rsidR="00D84531">
        <w:t>are</w:t>
      </w:r>
      <w:r w:rsidRPr="0095369A">
        <w:t xml:space="preserve"> developing low carbon growth strategies.  </w:t>
      </w:r>
      <w:proofErr w:type="spellStart"/>
      <w:r w:rsidRPr="0095369A">
        <w:t>G</w:t>
      </w:r>
      <w:r w:rsidR="00936D2A">
        <w:t>o</w:t>
      </w:r>
      <w:r w:rsidRPr="0095369A">
        <w:t>I</w:t>
      </w:r>
      <w:proofErr w:type="spellEnd"/>
      <w:r w:rsidRPr="0095369A">
        <w:t xml:space="preserve"> continues to push forward on removing the impediments to geothermal power development and scaling back petrol subsidies.</w:t>
      </w:r>
    </w:p>
    <w:p w:rsidR="002455FA" w:rsidRPr="0095369A" w:rsidRDefault="002455FA" w:rsidP="002455FA">
      <w:pPr>
        <w:pStyle w:val="BodyText"/>
      </w:pPr>
      <w:smartTag w:uri="urn:schemas-microsoft-com:office:smarttags" w:element="country-region">
        <w:r w:rsidRPr="0095369A">
          <w:t>Australia</w:t>
        </w:r>
      </w:smartTag>
      <w:r w:rsidRPr="0095369A">
        <w:t xml:space="preserve">’s support for REDD+ in </w:t>
      </w:r>
      <w:smartTag w:uri="urn:schemas-microsoft-com:office:smarttags" w:element="place">
        <w:smartTag w:uri="urn:schemas-microsoft-com:office:smarttags" w:element="country-region">
          <w:r w:rsidRPr="0095369A">
            <w:t>Indonesia</w:t>
          </w:r>
        </w:smartTag>
      </w:smartTag>
      <w:r w:rsidRPr="0095369A">
        <w:t xml:space="preserve"> has been boosted by the new impetus around the LOI and the announcement of additional funding of </w:t>
      </w:r>
      <w:r w:rsidRPr="00BD2D5D">
        <w:t>$30 million</w:t>
      </w:r>
      <w:r w:rsidRPr="0095369A">
        <w:t xml:space="preserve"> for the</w:t>
      </w:r>
      <w:r>
        <w:t xml:space="preserve"> Indonesia Australia Forest Carbon Partnership (</w:t>
      </w:r>
      <w:r w:rsidRPr="0095369A">
        <w:rPr>
          <w:rStyle w:val="AbbreviationChar"/>
        </w:rPr>
        <w:t>IAFCP</w:t>
      </w:r>
      <w:r>
        <w:rPr>
          <w:rStyle w:val="AbbreviationChar"/>
        </w:rPr>
        <w:t>)</w:t>
      </w:r>
      <w:r w:rsidRPr="0095369A">
        <w:t xml:space="preserve">.  </w:t>
      </w:r>
      <w:smartTag w:uri="urn:schemas-microsoft-com:office:smarttags" w:element="place">
        <w:smartTag w:uri="urn:schemas-microsoft-com:office:smarttags" w:element="country-region">
          <w:r>
            <w:t>Australia</w:t>
          </w:r>
        </w:smartTag>
      </w:smartTag>
      <w:r w:rsidRPr="0095369A">
        <w:t xml:space="preserve"> and other donors are aligning our programs to assist </w:t>
      </w:r>
      <w:r>
        <w:t xml:space="preserve">in </w:t>
      </w:r>
      <w:r w:rsidRPr="0095369A">
        <w:t>achieving the goals of the REDD+ Partnership.</w:t>
      </w:r>
      <w:r w:rsidR="00BD496E">
        <w:t xml:space="preserve"> </w:t>
      </w:r>
      <w:r w:rsidR="00D84531">
        <w:t xml:space="preserve">Despite procedural delays, </w:t>
      </w:r>
      <w:smartTag w:uri="urn:schemas-microsoft-com:office:smarttags" w:element="country-region">
        <w:r>
          <w:t>Australia</w:t>
        </w:r>
      </w:smartTag>
      <w:r>
        <w:t>’s</w:t>
      </w:r>
      <w:r w:rsidRPr="0095369A">
        <w:t xml:space="preserve"> first demonstration activity in Central Kalimantan will make a significant contribution to the LOI initiative to make </w:t>
      </w:r>
      <w:smartTag w:uri="urn:schemas-microsoft-com:office:smarttags" w:element="place">
        <w:r w:rsidRPr="0095369A">
          <w:t>Central Kalimantan</w:t>
        </w:r>
      </w:smartTag>
      <w:r w:rsidRPr="0095369A">
        <w:t xml:space="preserve"> a pilot province for REDD+.  Livelihoods trial programs in rubber farming have had very good results. The Australian-supported Indonesia National Carbon Accounting System</w:t>
      </w:r>
      <w:r>
        <w:t xml:space="preserve"> has been closely reviewed by the REDD+ Taskforce, and</w:t>
      </w:r>
      <w:r w:rsidRPr="0095369A">
        <w:t xml:space="preserve"> </w:t>
      </w:r>
      <w:r>
        <w:lastRenderedPageBreak/>
        <w:t xml:space="preserve">is likely to </w:t>
      </w:r>
      <w:r w:rsidRPr="00122FB8">
        <w:t>form the technical basis of the new MRV Institution, a key contribution to the LOI.</w:t>
      </w:r>
      <w:r w:rsidRPr="0095369A">
        <w:t xml:space="preserve">  The satellite mapping of forest cover change over the last decade is yielding very useful results. </w:t>
      </w:r>
      <w:r w:rsidRPr="00BD2D5D">
        <w:t xml:space="preserve">Our activities have made a contribution to REDD+ policy development domestically in </w:t>
      </w:r>
      <w:smartTag w:uri="urn:schemas-microsoft-com:office:smarttags" w:element="place">
        <w:smartTag w:uri="urn:schemas-microsoft-com:office:smarttags" w:element="country-region">
          <w:r w:rsidRPr="00BD2D5D">
            <w:t>Indonesia</w:t>
          </w:r>
        </w:smartTag>
      </w:smartTag>
      <w:r w:rsidRPr="00BD2D5D">
        <w:t xml:space="preserve">, particularly in relation to MRV. Furthermore, initial lessons from our demonstration activities have been influential internationally in the UN climate change negotiations and other multilateral REDD+ </w:t>
      </w:r>
      <w:proofErr w:type="spellStart"/>
      <w:r w:rsidRPr="00BD2D5D">
        <w:t>fora</w:t>
      </w:r>
      <w:proofErr w:type="spellEnd"/>
      <w:r w:rsidRPr="00BD2D5D">
        <w:t xml:space="preserve">.   </w:t>
      </w:r>
    </w:p>
    <w:p w:rsidR="002455FA" w:rsidRPr="0095369A" w:rsidRDefault="002455FA" w:rsidP="002455FA">
      <w:pPr>
        <w:pStyle w:val="BodyText"/>
      </w:pPr>
      <w:r w:rsidRPr="0095369A">
        <w:rPr>
          <w:rStyle w:val="CharChar4"/>
        </w:rPr>
        <w:t>Local knowledge of climate change adaptation is being generated through a number of activities</w:t>
      </w:r>
      <w:r w:rsidR="005A604E">
        <w:rPr>
          <w:rStyle w:val="CharChar4"/>
        </w:rPr>
        <w:t xml:space="preserve">. These </w:t>
      </w:r>
      <w:r w:rsidRPr="0095369A">
        <w:rPr>
          <w:rStyle w:val="CharChar4"/>
        </w:rPr>
        <w:t>includ</w:t>
      </w:r>
      <w:r w:rsidR="005A604E">
        <w:rPr>
          <w:rStyle w:val="CharChar4"/>
        </w:rPr>
        <w:t>e</w:t>
      </w:r>
      <w:r w:rsidRPr="0095369A">
        <w:rPr>
          <w:rStyle w:val="CharChar4"/>
        </w:rPr>
        <w:t xml:space="preserve"> the whole of government, B</w:t>
      </w:r>
      <w:r>
        <w:rPr>
          <w:rStyle w:val="CharChar4"/>
        </w:rPr>
        <w:t>APPENAS</w:t>
      </w:r>
      <w:r w:rsidRPr="0095369A">
        <w:rPr>
          <w:rStyle w:val="CharChar4"/>
        </w:rPr>
        <w:t>-led Climate Change Sectoral Roadmap which has in</w:t>
      </w:r>
      <w:r w:rsidR="005A604E">
        <w:rPr>
          <w:rStyle w:val="CharChar4"/>
        </w:rPr>
        <w:t>-</w:t>
      </w:r>
      <w:r w:rsidRPr="0095369A">
        <w:rPr>
          <w:rStyle w:val="CharChar4"/>
        </w:rPr>
        <w:t xml:space="preserve">depth analysis of adaptation in the agriculture, health, water resources, and marine and fisheries. </w:t>
      </w:r>
      <w:smartTag w:uri="urn:schemas-microsoft-com:office:smarttags" w:element="place">
        <w:smartTag w:uri="urn:schemas-microsoft-com:office:smarttags" w:element="country-region">
          <w:r w:rsidRPr="0095369A">
            <w:t>Australia</w:t>
          </w:r>
        </w:smartTag>
      </w:smartTag>
      <w:r w:rsidRPr="0095369A">
        <w:t>’s pilot support to the Ministry of Environment is enabling climate change vulnerability needs assessment to be tested at provinc</w:t>
      </w:r>
      <w:r>
        <w:t>ial</w:t>
      </w:r>
      <w:r w:rsidRPr="0095369A">
        <w:t xml:space="preserve"> and district scale with results guiding national adaptation strategy development and local development planning.</w:t>
      </w:r>
      <w:r w:rsidR="004D41CF">
        <w:t xml:space="preserve"> </w:t>
      </w:r>
      <w:smartTag w:uri="urn:schemas-microsoft-com:office:smarttags" w:element="country-region">
        <w:smartTag w:uri="urn:schemas-microsoft-com:office:smarttags" w:element="place">
          <w:r>
            <w:t>Indonesia</w:t>
          </w:r>
        </w:smartTag>
      </w:smartTag>
      <w:r>
        <w:t>’s strong commitment towards</w:t>
      </w:r>
      <w:r w:rsidR="0069660A">
        <w:t xml:space="preserve"> an</w:t>
      </w:r>
      <w:r>
        <w:t xml:space="preserve"> improved climate change strategy</w:t>
      </w:r>
      <w:r w:rsidR="005A604E">
        <w:t xml:space="preserve"> is</w:t>
      </w:r>
      <w:r>
        <w:t xml:space="preserve"> reflected </w:t>
      </w:r>
      <w:r w:rsidR="005A604E">
        <w:t>by</w:t>
      </w:r>
      <w:r>
        <w:t xml:space="preserve"> an increased rating in this area. </w:t>
      </w:r>
      <w:r w:rsidRPr="0095369A">
        <w:rPr>
          <w:rStyle w:val="CharChar4"/>
        </w:rPr>
        <w:t xml:space="preserve">In December 2010 </w:t>
      </w:r>
      <w:smartTag w:uri="urn:schemas-microsoft-com:office:smarttags" w:element="country-region">
        <w:r w:rsidRPr="0095369A">
          <w:rPr>
            <w:rStyle w:val="CharChar4"/>
          </w:rPr>
          <w:t>Australia</w:t>
        </w:r>
      </w:smartTag>
      <w:r w:rsidRPr="0095369A">
        <w:rPr>
          <w:rStyle w:val="CharChar4"/>
        </w:rPr>
        <w:t xml:space="preserve"> announced an additional $15 million for adaptation in </w:t>
      </w:r>
      <w:smartTag w:uri="urn:schemas-microsoft-com:office:smarttags" w:element="place">
        <w:smartTag w:uri="urn:schemas-microsoft-com:office:smarttags" w:element="country-region">
          <w:r w:rsidRPr="0095369A">
            <w:rPr>
              <w:rStyle w:val="CharChar4"/>
            </w:rPr>
            <w:t>Indonesia</w:t>
          </w:r>
        </w:smartTag>
      </w:smartTag>
      <w:r>
        <w:rPr>
          <w:rStyle w:val="CharChar4"/>
        </w:rPr>
        <w:t>, which will allow work to scale up from the current small base</w:t>
      </w:r>
      <w:r w:rsidRPr="0095369A">
        <w:rPr>
          <w:rStyle w:val="CharChar4"/>
        </w:rPr>
        <w:t>.</w:t>
      </w:r>
    </w:p>
    <w:p w:rsidR="00FE2AC4" w:rsidRPr="0095369A" w:rsidRDefault="002455FA" w:rsidP="0095369A">
      <w:pPr>
        <w:pStyle w:val="BodyText"/>
      </w:pPr>
      <w:r w:rsidRPr="0095369A">
        <w:t xml:space="preserve">The language of ‘low carbon growth’ is now in common usage within government owing in some measure to the climate change green paper supported by </w:t>
      </w:r>
      <w:smartTag w:uri="urn:schemas-microsoft-com:office:smarttags" w:element="place">
        <w:smartTag w:uri="urn:schemas-microsoft-com:office:smarttags" w:element="country-region">
          <w:r w:rsidRPr="0095369A">
            <w:t>Australia</w:t>
          </w:r>
        </w:smartTag>
      </w:smartTag>
      <w:r w:rsidRPr="0095369A">
        <w:t xml:space="preserve">.  A mantra of “7 </w:t>
      </w:r>
      <w:proofErr w:type="spellStart"/>
      <w:r w:rsidRPr="0095369A">
        <w:t>percent</w:t>
      </w:r>
      <w:proofErr w:type="spellEnd"/>
      <w:r w:rsidRPr="0095369A">
        <w:t xml:space="preserve"> growth, 26</w:t>
      </w:r>
      <w:r>
        <w:t xml:space="preserve"> </w:t>
      </w:r>
      <w:proofErr w:type="spellStart"/>
      <w:r w:rsidRPr="0095369A">
        <w:t>percent</w:t>
      </w:r>
      <w:proofErr w:type="spellEnd"/>
      <w:r w:rsidRPr="0095369A">
        <w:t xml:space="preserve"> emissions reductions” </w:t>
      </w:r>
      <w:r>
        <w:t>is increasingly being</w:t>
      </w:r>
      <w:r w:rsidRPr="0095369A">
        <w:t xml:space="preserve"> used by central agencies and </w:t>
      </w:r>
      <w:r w:rsidR="00322883" w:rsidRPr="0095369A">
        <w:t>donor</w:t>
      </w:r>
      <w:r w:rsidR="00177D3F">
        <w:t>s</w:t>
      </w:r>
      <w:r w:rsidRPr="0095369A">
        <w:t xml:space="preserve">.  A high level policy dialogue forum encompassing all the major existing mechanisms and steering committees has been proposed by </w:t>
      </w:r>
      <w:proofErr w:type="spellStart"/>
      <w:r w:rsidRPr="0095369A">
        <w:t>G</w:t>
      </w:r>
      <w:r w:rsidR="00936D2A">
        <w:t>o</w:t>
      </w:r>
      <w:r w:rsidRPr="0095369A">
        <w:t>I</w:t>
      </w:r>
      <w:proofErr w:type="spellEnd"/>
      <w:r w:rsidRPr="0095369A">
        <w:t xml:space="preserve">.  </w:t>
      </w:r>
      <w:smartTag w:uri="urn:schemas-microsoft-com:office:smarttags" w:element="place">
        <w:smartTag w:uri="urn:schemas-microsoft-com:office:smarttags" w:element="country-region">
          <w:r w:rsidRPr="0095369A">
            <w:t>Indonesia</w:t>
          </w:r>
        </w:smartTag>
      </w:smartTag>
      <w:r w:rsidRPr="0095369A">
        <w:t xml:space="preserve"> is </w:t>
      </w:r>
      <w:r w:rsidR="00A222DA">
        <w:t xml:space="preserve">also </w:t>
      </w:r>
      <w:r w:rsidRPr="0095369A">
        <w:t xml:space="preserve">building a financing framework for climate change mitigation and adaptation primarily through </w:t>
      </w:r>
      <w:r>
        <w:t>BAPPENAS</w:t>
      </w:r>
      <w:r w:rsidRPr="0095369A">
        <w:t xml:space="preserve"> and the Ministry of Finance.  Meanwhile the Indonesia Climate Change Trust Fund (</w:t>
      </w:r>
      <w:r w:rsidRPr="0095369A">
        <w:rPr>
          <w:rStyle w:val="AbbreviationChar"/>
        </w:rPr>
        <w:t>ICCTF</w:t>
      </w:r>
      <w:r w:rsidRPr="0095369A">
        <w:t xml:space="preserve">) is operational but under-resourced to achieve effective impact. </w:t>
      </w:r>
      <w:r w:rsidR="00A222DA">
        <w:t>Uncertainty</w:t>
      </w:r>
      <w:r w:rsidRPr="0095369A">
        <w:t xml:space="preserve"> </w:t>
      </w:r>
      <w:r w:rsidR="00A222DA">
        <w:t xml:space="preserve">surrounding </w:t>
      </w:r>
      <w:r>
        <w:t>Indonesia’s</w:t>
      </w:r>
      <w:r w:rsidRPr="0095369A">
        <w:t xml:space="preserve"> state budget </w:t>
      </w:r>
      <w:r w:rsidR="00A222DA" w:rsidRPr="0095369A">
        <w:t xml:space="preserve">contribution </w:t>
      </w:r>
      <w:r w:rsidRPr="0095369A">
        <w:t xml:space="preserve">and </w:t>
      </w:r>
      <w:r w:rsidR="00A222DA">
        <w:t xml:space="preserve">a </w:t>
      </w:r>
      <w:r w:rsidRPr="0095369A">
        <w:t xml:space="preserve">lack of </w:t>
      </w:r>
      <w:r w:rsidR="00A222DA" w:rsidRPr="0095369A">
        <w:t xml:space="preserve">private sector climate financing </w:t>
      </w:r>
      <w:r w:rsidRPr="0095369A">
        <w:t xml:space="preserve">development has contributed to </w:t>
      </w:r>
      <w:r w:rsidR="00A222DA">
        <w:t>the</w:t>
      </w:r>
      <w:r w:rsidR="00A222DA" w:rsidRPr="0095369A">
        <w:t xml:space="preserve"> </w:t>
      </w:r>
      <w:r w:rsidRPr="0095369A">
        <w:t>downgrading of our rating for this objective</w:t>
      </w:r>
      <w:r w:rsidR="00CA77B2">
        <w:t>.</w:t>
      </w:r>
    </w:p>
    <w:p w:rsidR="00FE2AC4" w:rsidRDefault="00FE2AC4" w:rsidP="00612FF9">
      <w:pPr>
        <w:pStyle w:val="H2F"/>
      </w:pPr>
      <w:bookmarkStart w:id="143" w:name="_Toc293050000"/>
      <w:bookmarkStart w:id="144" w:name="_Toc360981886"/>
      <w:r>
        <w:t>Factors contributing to or hampering success</w:t>
      </w:r>
      <w:bookmarkEnd w:id="143"/>
      <w:bookmarkEnd w:id="144"/>
    </w:p>
    <w:p w:rsidR="002455FA" w:rsidRDefault="002455FA" w:rsidP="002455FA">
      <w:pPr>
        <w:pStyle w:val="BodyText"/>
      </w:pPr>
      <w:r>
        <w:t xml:space="preserve">Presidential leadership has helped </w:t>
      </w:r>
      <w:smartTag w:uri="urn:schemas-microsoft-com:office:smarttags" w:element="place">
        <w:smartTag w:uri="urn:schemas-microsoft-com:office:smarttags" w:element="country-region">
          <w:r w:rsidRPr="002723FB">
            <w:t>Indonesia</w:t>
          </w:r>
        </w:smartTag>
      </w:smartTag>
      <w:r w:rsidRPr="002723FB">
        <w:t xml:space="preserve"> ma</w:t>
      </w:r>
      <w:r>
        <w:t>k</w:t>
      </w:r>
      <w:r w:rsidRPr="002723FB">
        <w:t>e progress</w:t>
      </w:r>
      <w:r>
        <w:t xml:space="preserve"> </w:t>
      </w:r>
      <w:r w:rsidR="00003287">
        <w:t xml:space="preserve">with </w:t>
      </w:r>
      <w:r>
        <w:t xml:space="preserve">whole of government strategy development on climate change mitigation. </w:t>
      </w:r>
      <w:r w:rsidR="00957331">
        <w:t>H</w:t>
      </w:r>
      <w:r w:rsidR="00CA345C">
        <w:t>owever</w:t>
      </w:r>
      <w:r>
        <w:t xml:space="preserve"> the government still needs to resolve overlapping and unclear mandates of central agencies on climate change.  The LOI with </w:t>
      </w:r>
      <w:smartTag w:uri="urn:schemas-microsoft-com:office:smarttags" w:element="place">
        <w:smartTag w:uri="urn:schemas-microsoft-com:office:smarttags" w:element="country-region">
          <w:r>
            <w:t>Norway</w:t>
          </w:r>
        </w:smartTag>
      </w:smartTag>
      <w:r>
        <w:t xml:space="preserve"> provided a strong impetus to establish a new institutional framework for REDD+.  </w:t>
      </w:r>
      <w:smartTag w:uri="urn:schemas-microsoft-com:office:smarttags" w:element="country-region">
        <w:r>
          <w:t>Australia</w:t>
        </w:r>
      </w:smartTag>
      <w:r>
        <w:t xml:space="preserve">’s forest carbon partnership made headway in </w:t>
      </w:r>
      <w:smartTag w:uri="urn:schemas-microsoft-com:office:smarttags" w:element="place">
        <w:r>
          <w:t>Central Kalimantan</w:t>
        </w:r>
      </w:smartTag>
      <w:r>
        <w:t xml:space="preserve"> but delays in appointing an implementing agency in </w:t>
      </w:r>
      <w:r w:rsidR="00791CD7">
        <w:t xml:space="preserve">the </w:t>
      </w:r>
      <w:r>
        <w:t>Ministry of Forestry have prevented progress with a second demonstration activity.  Progress on adaptation has been less dramatic perhaps due a lack of high profile presidential leadership and the greate</w:t>
      </w:r>
      <w:r w:rsidR="00CA77B2">
        <w:t>r number of agencies involved.</w:t>
      </w:r>
    </w:p>
    <w:p w:rsidR="00FE2AC4" w:rsidRDefault="00FE2AC4" w:rsidP="00612FF9">
      <w:pPr>
        <w:pStyle w:val="H2F"/>
      </w:pPr>
      <w:bookmarkStart w:id="145" w:name="_Toc293050001"/>
      <w:bookmarkStart w:id="146" w:name="_Toc360981887"/>
      <w:r>
        <w:t>Management consequences</w:t>
      </w:r>
      <w:bookmarkEnd w:id="145"/>
      <w:bookmarkEnd w:id="146"/>
    </w:p>
    <w:p w:rsidR="002455FA" w:rsidRDefault="00C0713E" w:rsidP="002455FA">
      <w:pPr>
        <w:pStyle w:val="BodyText"/>
      </w:pPr>
      <w:r>
        <w:t>P</w:t>
      </w:r>
      <w:r w:rsidR="00322883">
        <w:t>reparation</w:t>
      </w:r>
      <w:r w:rsidR="002455FA">
        <w:t xml:space="preserve"> of a whole of government strategy for climate change in the </w:t>
      </w:r>
      <w:smartTag w:uri="urn:schemas-microsoft-com:office:smarttags" w:element="place">
        <w:smartTag w:uri="urn:schemas-microsoft-com:office:smarttags" w:element="country-region">
          <w:r w:rsidR="002455FA">
            <w:t>Indonesia</w:t>
          </w:r>
        </w:smartTag>
      </w:smartTag>
      <w:r w:rsidR="002455FA">
        <w:t xml:space="preserve"> program will get underway in the coming year.  This will confirm </w:t>
      </w:r>
      <w:smartTag w:uri="urn:schemas-microsoft-com:office:smarttags" w:element="place">
        <w:smartTag w:uri="urn:schemas-microsoft-com:office:smarttags" w:element="country-region">
          <w:r w:rsidR="002455FA">
            <w:t>Australia</w:t>
          </w:r>
        </w:smartTag>
      </w:smartTag>
      <w:r w:rsidR="002455FA">
        <w:t xml:space="preserve">’s objectives and strategies for executing climate change assistance, including mainstreaming climate into the broader development program and consider the implications of the changing international landscape.  Future work will likely focus on </w:t>
      </w:r>
      <w:r w:rsidR="002455FA" w:rsidRPr="00FB17FC">
        <w:t xml:space="preserve">assisting </w:t>
      </w:r>
      <w:smartTag w:uri="urn:schemas-microsoft-com:office:smarttags" w:element="place">
        <w:smartTag w:uri="urn:schemas-microsoft-com:office:smarttags" w:element="country-region">
          <w:r w:rsidR="002455FA" w:rsidRPr="00FB17FC">
            <w:t>Indonesia</w:t>
          </w:r>
        </w:smartTag>
      </w:smartTag>
      <w:r w:rsidR="002455FA" w:rsidRPr="00FB17FC">
        <w:t xml:space="preserve"> to achieve its mitigation targets, adapt to the impacts of climate change and pursue ‘low carbon growth’.</w:t>
      </w:r>
    </w:p>
    <w:p w:rsidR="002455FA" w:rsidRDefault="002455FA" w:rsidP="002455FA">
      <w:pPr>
        <w:pStyle w:val="BodyText"/>
      </w:pPr>
      <w:r w:rsidRPr="00A615A1">
        <w:t xml:space="preserve">With delays in the international context and in the domestic implementation of REDD+, a risk remains if </w:t>
      </w:r>
      <w:r w:rsidR="00791CD7">
        <w:t xml:space="preserve">Australian </w:t>
      </w:r>
      <w:r w:rsidRPr="00A615A1">
        <w:t xml:space="preserve">funding is not extended beyond the current timeline to 2012-13, </w:t>
      </w:r>
      <w:r w:rsidRPr="00A615A1">
        <w:lastRenderedPageBreak/>
        <w:t xml:space="preserve">when results will likely remain nascent.  A decision by management will be needed in the coming year.  </w:t>
      </w:r>
      <w:r w:rsidRPr="00913FFB">
        <w:t xml:space="preserve">With a large number of initiatives underway in this sector, the partnership will work to improve the </w:t>
      </w:r>
      <w:r w:rsidR="00791CD7" w:rsidRPr="00913FFB">
        <w:t>cohes</w:t>
      </w:r>
      <w:r w:rsidR="00791CD7">
        <w:t>ion</w:t>
      </w:r>
      <w:r w:rsidR="00791CD7" w:rsidRPr="00913FFB">
        <w:t xml:space="preserve"> </w:t>
      </w:r>
      <w:r w:rsidRPr="00913FFB">
        <w:t>of donor support for climate change, including aligning support for REDD+.</w:t>
      </w:r>
      <w:r>
        <w:t xml:space="preserve">  We will put greater effort into documenting lessons learned from REDD+ and </w:t>
      </w:r>
      <w:r w:rsidR="00791CD7">
        <w:t>will implement</w:t>
      </w:r>
      <w:r>
        <w:t xml:space="preserve"> a pro</w:t>
      </w:r>
      <w:r w:rsidR="00CA77B2">
        <w:t>active communications strategy.</w:t>
      </w:r>
    </w:p>
    <w:p w:rsidR="00FE2AC4" w:rsidRPr="00A31267" w:rsidRDefault="00FE2AC4" w:rsidP="00A31267">
      <w:pPr>
        <w:pStyle w:val="Caption"/>
        <w:rPr>
          <w:sz w:val="22"/>
          <w:szCs w:val="22"/>
          <w:highlight w:val="magenta"/>
        </w:rPr>
      </w:pPr>
      <w:bookmarkStart w:id="147" w:name="_Toc293050002"/>
      <w:r w:rsidRPr="00A31267">
        <w:rPr>
          <w:sz w:val="22"/>
          <w:szCs w:val="22"/>
        </w:rPr>
        <w:t>Estimated expenditure in 2010</w:t>
      </w:r>
      <w:bookmarkEnd w:id="147"/>
    </w:p>
    <w:tbl>
      <w:tblPr>
        <w:tblW w:w="0" w:type="auto"/>
        <w:tblInd w:w="57" w:type="dxa"/>
        <w:tblLayout w:type="fixed"/>
        <w:tblLook w:val="0000" w:firstRow="0" w:lastRow="0" w:firstColumn="0" w:lastColumn="0" w:noHBand="0" w:noVBand="0"/>
      </w:tblPr>
      <w:tblGrid>
        <w:gridCol w:w="5683"/>
        <w:gridCol w:w="1127"/>
        <w:gridCol w:w="1128"/>
      </w:tblGrid>
      <w:tr w:rsidR="00FE2AC4"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FE2AC4" w:rsidRDefault="00FE2AC4">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FE2AC4" w:rsidRDefault="00FE2AC4">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FE2AC4" w:rsidRDefault="00FE2AC4">
            <w:pPr>
              <w:pStyle w:val="TableDataColumnHeading"/>
            </w:pPr>
            <w:r>
              <w:t>% of bilateral program</w:t>
            </w:r>
          </w:p>
        </w:tc>
      </w:tr>
      <w:tr w:rsidR="00FE2AC4" w:rsidRPr="002452D0" w:rsidTr="00027A09">
        <w:trPr>
          <w:cantSplit/>
        </w:trPr>
        <w:tc>
          <w:tcPr>
            <w:tcW w:w="5683" w:type="dxa"/>
            <w:tcBorders>
              <w:bottom w:val="single" w:sz="12" w:space="0" w:color="auto"/>
            </w:tcBorders>
            <w:shd w:val="clear" w:color="auto" w:fill="auto"/>
            <w:tcMar>
              <w:left w:w="57" w:type="dxa"/>
              <w:right w:w="57" w:type="dxa"/>
            </w:tcMar>
          </w:tcPr>
          <w:p w:rsidR="00FE2AC4" w:rsidRPr="002452D0" w:rsidRDefault="00FE2AC4">
            <w:pPr>
              <w:pStyle w:val="TableDataEntries"/>
              <w:jc w:val="left"/>
            </w:pPr>
            <w:r>
              <w:t>Climate change</w:t>
            </w:r>
          </w:p>
        </w:tc>
        <w:tc>
          <w:tcPr>
            <w:tcW w:w="1127" w:type="dxa"/>
            <w:tcBorders>
              <w:bottom w:val="single" w:sz="12" w:space="0" w:color="auto"/>
            </w:tcBorders>
            <w:shd w:val="clear" w:color="auto" w:fill="auto"/>
            <w:tcMar>
              <w:left w:w="57" w:type="dxa"/>
              <w:right w:w="57" w:type="dxa"/>
            </w:tcMar>
          </w:tcPr>
          <w:p w:rsidR="00FE2AC4" w:rsidRPr="002452D0" w:rsidRDefault="00FE2AC4">
            <w:pPr>
              <w:pStyle w:val="TableDataEntries"/>
            </w:pPr>
            <w:r>
              <w:t>13.3</w:t>
            </w:r>
          </w:p>
        </w:tc>
        <w:tc>
          <w:tcPr>
            <w:tcW w:w="1128" w:type="dxa"/>
            <w:tcBorders>
              <w:bottom w:val="single" w:sz="12" w:space="0" w:color="auto"/>
            </w:tcBorders>
            <w:shd w:val="clear" w:color="auto" w:fill="auto"/>
            <w:tcMar>
              <w:left w:w="57" w:type="dxa"/>
              <w:right w:w="57" w:type="dxa"/>
            </w:tcMar>
          </w:tcPr>
          <w:p w:rsidR="00FE2AC4" w:rsidRPr="002452D0" w:rsidRDefault="00C101A2">
            <w:pPr>
              <w:pStyle w:val="TableDataEntries"/>
            </w:pPr>
            <w:r>
              <w:t>3.</w:t>
            </w:r>
            <w:r w:rsidR="008A546A">
              <w:t>4</w:t>
            </w:r>
            <w:r>
              <w:t>%</w:t>
            </w:r>
          </w:p>
        </w:tc>
      </w:tr>
    </w:tbl>
    <w:p w:rsidR="00FE2AC4" w:rsidRDefault="00FE2AC4">
      <w:pPr>
        <w:pStyle w:val="Source"/>
      </w:pPr>
      <w:r w:rsidRPr="00C05EB3">
        <w:t xml:space="preserve">Source: </w:t>
      </w:r>
      <w:r w:rsidR="0044505C">
        <w:t xml:space="preserve">2009-2010 fiscal year’s expenditures in </w:t>
      </w:r>
      <w:proofErr w:type="spellStart"/>
      <w:r w:rsidR="0044505C">
        <w:t>AidWorks</w:t>
      </w:r>
      <w:proofErr w:type="spellEnd"/>
    </w:p>
    <w:p w:rsidR="00683977" w:rsidRDefault="00683977" w:rsidP="00612FF9">
      <w:pPr>
        <w:pStyle w:val="H2F"/>
      </w:pPr>
      <w:bookmarkStart w:id="148" w:name="_Toc360981888"/>
      <w:bookmarkStart w:id="149" w:name="_Toc293050004"/>
      <w:r>
        <w:t>Rural livelihoods and agribusiness</w:t>
      </w:r>
      <w:bookmarkEnd w:id="148"/>
      <w:r>
        <w:t xml:space="preserve"> </w:t>
      </w:r>
    </w:p>
    <w:p w:rsidR="007F2DAB" w:rsidRDefault="007F2DAB" w:rsidP="00612FF9">
      <w:pPr>
        <w:pStyle w:val="Heading3"/>
      </w:pPr>
      <w:bookmarkStart w:id="150" w:name="_Toc360981889"/>
      <w:r>
        <w:t>Rating</w:t>
      </w:r>
      <w:bookmarkEnd w:id="149"/>
      <w:bookmarkEnd w:id="150"/>
    </w:p>
    <w:tbl>
      <w:tblPr>
        <w:tblW w:w="0" w:type="auto"/>
        <w:tblInd w:w="57" w:type="dxa"/>
        <w:tblLook w:val="01E0" w:firstRow="1" w:lastRow="1" w:firstColumn="1" w:lastColumn="1" w:noHBand="0" w:noVBand="0"/>
      </w:tblPr>
      <w:tblGrid>
        <w:gridCol w:w="5709"/>
        <w:gridCol w:w="895"/>
        <w:gridCol w:w="1315"/>
      </w:tblGrid>
      <w:tr w:rsidR="00A54966" w:rsidTr="00027A09">
        <w:trPr>
          <w:cantSplit/>
          <w:tblHeader/>
        </w:trPr>
        <w:tc>
          <w:tcPr>
            <w:tcW w:w="5725" w:type="dxa"/>
            <w:shd w:val="clear" w:color="auto" w:fill="F5F1CC"/>
            <w:tcMar>
              <w:left w:w="57" w:type="dxa"/>
              <w:right w:w="57" w:type="dxa"/>
            </w:tcMar>
            <w:vAlign w:val="center"/>
          </w:tcPr>
          <w:p w:rsidR="00A54966" w:rsidRDefault="003903E8" w:rsidP="00A54966">
            <w:pPr>
              <w:pStyle w:val="TableTextEntries"/>
            </w:pPr>
            <w:r>
              <w:t>Objectives</w:t>
            </w:r>
            <w:r w:rsidR="00A54966" w:rsidRPr="00532793">
              <w:t xml:space="preserve"> </w:t>
            </w:r>
          </w:p>
        </w:tc>
        <w:tc>
          <w:tcPr>
            <w:tcW w:w="896" w:type="dxa"/>
            <w:shd w:val="clear" w:color="auto" w:fill="F5F1CC"/>
            <w:tcMar>
              <w:left w:w="57" w:type="dxa"/>
              <w:right w:w="57" w:type="dxa"/>
            </w:tcMar>
            <w:vAlign w:val="center"/>
          </w:tcPr>
          <w:p w:rsidR="00A54966" w:rsidRDefault="00A54966" w:rsidP="00A54966">
            <w:pPr>
              <w:pStyle w:val="TableTextEntries"/>
              <w:jc w:val="center"/>
            </w:pPr>
            <w:r>
              <w:t>Rating in 2010</w:t>
            </w:r>
          </w:p>
        </w:tc>
        <w:tc>
          <w:tcPr>
            <w:tcW w:w="1316" w:type="dxa"/>
            <w:shd w:val="clear" w:color="auto" w:fill="F5F1CC"/>
            <w:tcMar>
              <w:left w:w="57" w:type="dxa"/>
              <w:right w:w="57" w:type="dxa"/>
            </w:tcMar>
            <w:vAlign w:val="center"/>
          </w:tcPr>
          <w:p w:rsidR="00A54966" w:rsidRDefault="00A54966" w:rsidP="00A54966">
            <w:pPr>
              <w:pStyle w:val="TableTextEntries"/>
              <w:jc w:val="center"/>
              <w:rPr>
                <w:bCs/>
              </w:rPr>
            </w:pPr>
            <w:r>
              <w:rPr>
                <w:bCs/>
              </w:rPr>
              <w:t>Relative to previous rating</w:t>
            </w:r>
          </w:p>
        </w:tc>
      </w:tr>
      <w:tr w:rsidR="00A54966" w:rsidTr="008645D5">
        <w:trPr>
          <w:cantSplit/>
        </w:trPr>
        <w:tc>
          <w:tcPr>
            <w:tcW w:w="5725" w:type="dxa"/>
            <w:shd w:val="clear" w:color="auto" w:fill="auto"/>
            <w:tcMar>
              <w:left w:w="57" w:type="dxa"/>
              <w:right w:w="57" w:type="dxa"/>
            </w:tcMar>
            <w:vAlign w:val="center"/>
          </w:tcPr>
          <w:p w:rsidR="00A54966" w:rsidRPr="0095369A" w:rsidRDefault="00A54966" w:rsidP="004C4884">
            <w:pPr>
              <w:pStyle w:val="TableTextEntries"/>
              <w:spacing w:line="240" w:lineRule="auto"/>
            </w:pPr>
            <w:r w:rsidRPr="0095369A">
              <w:t xml:space="preserve">Improved smallholder agri-business practices </w:t>
            </w: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192B8608" wp14:editId="35C18DDD">
                  <wp:extent cx="149530" cy="149530"/>
                  <wp:effectExtent l="0" t="0" r="3175" b="3175"/>
                  <wp:docPr id="67" name="Picture 6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004C4884" w:rsidRPr="004C4884">
              <w:rPr>
                <w:bCs/>
              </w:rPr>
              <w:t>Improved</w:t>
            </w:r>
            <w:r>
              <w:rPr>
                <w:bCs/>
              </w:rPr>
              <w:fldChar w:fldCharType="end"/>
            </w:r>
          </w:p>
        </w:tc>
      </w:tr>
      <w:tr w:rsidR="00A54966" w:rsidTr="008645D5">
        <w:trPr>
          <w:cantSplit/>
        </w:trPr>
        <w:tc>
          <w:tcPr>
            <w:tcW w:w="5725" w:type="dxa"/>
            <w:shd w:val="clear" w:color="auto" w:fill="auto"/>
            <w:tcMar>
              <w:left w:w="57" w:type="dxa"/>
              <w:right w:w="57" w:type="dxa"/>
            </w:tcMar>
            <w:vAlign w:val="center"/>
          </w:tcPr>
          <w:p w:rsidR="00A54966" w:rsidRPr="0095369A" w:rsidRDefault="004C4884" w:rsidP="004C4884">
            <w:pPr>
              <w:pStyle w:val="BodyText"/>
              <w:spacing w:before="40" w:after="40" w:line="240" w:lineRule="auto"/>
              <w:jc w:val="both"/>
              <w:rPr>
                <w:rFonts w:ascii="Franklin Gothic Book" w:hAnsi="Franklin Gothic Book"/>
                <w:sz w:val="17"/>
                <w:szCs w:val="17"/>
              </w:rPr>
            </w:pPr>
            <w:r w:rsidRPr="0095369A">
              <w:rPr>
                <w:rFonts w:ascii="Franklin Gothic Book" w:hAnsi="Franklin Gothic Book"/>
                <w:sz w:val="17"/>
                <w:szCs w:val="17"/>
              </w:rPr>
              <w:t>Improved enabling environment for agri-business that benefits smallholders, at the provincial and national level</w:t>
            </w: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5D6C3086" wp14:editId="1A8E6B56">
                  <wp:extent cx="149530" cy="149530"/>
                  <wp:effectExtent l="0" t="0" r="3175" b="3175"/>
                  <wp:docPr id="68" name="Picture 6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Unchanged</w:t>
            </w:r>
            <w:r>
              <w:rPr>
                <w:bCs/>
              </w:rPr>
              <w:fldChar w:fldCharType="end"/>
            </w:r>
          </w:p>
        </w:tc>
      </w:tr>
      <w:tr w:rsidR="00A54966" w:rsidTr="008645D5">
        <w:trPr>
          <w:cantSplit/>
        </w:trPr>
        <w:tc>
          <w:tcPr>
            <w:tcW w:w="5725" w:type="dxa"/>
            <w:shd w:val="clear" w:color="auto" w:fill="auto"/>
            <w:tcMar>
              <w:left w:w="57" w:type="dxa"/>
              <w:right w:w="57" w:type="dxa"/>
            </w:tcMar>
            <w:vAlign w:val="center"/>
          </w:tcPr>
          <w:p w:rsidR="00A54966" w:rsidRPr="0095369A" w:rsidRDefault="004C4884" w:rsidP="004C4884">
            <w:pPr>
              <w:spacing w:before="40" w:after="40"/>
              <w:rPr>
                <w:rFonts w:ascii="Franklin Gothic Book" w:hAnsi="Franklin Gothic Book"/>
                <w:sz w:val="17"/>
                <w:szCs w:val="17"/>
              </w:rPr>
            </w:pPr>
            <w:r w:rsidRPr="0095369A">
              <w:rPr>
                <w:rStyle w:val="CharChar4"/>
                <w:rFonts w:ascii="Franklin Gothic Book" w:hAnsi="Franklin Gothic Book"/>
                <w:sz w:val="17"/>
                <w:szCs w:val="17"/>
              </w:rPr>
              <w:t>Improved capacity of agricultural agencies to conduct agricultural research and transfer the results for the benefit of small holders</w:t>
            </w: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64B86FDF" wp14:editId="12A8AF9B">
                  <wp:extent cx="149530" cy="149530"/>
                  <wp:effectExtent l="0" t="0" r="3175" b="3175"/>
                  <wp:docPr id="69" name="Picture 6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004C4884" w:rsidRPr="004C4884">
              <w:rPr>
                <w:bCs/>
              </w:rPr>
              <w:t>Unchanged</w:t>
            </w:r>
            <w:r>
              <w:rPr>
                <w:bCs/>
              </w:rPr>
              <w:fldChar w:fldCharType="end"/>
            </w:r>
          </w:p>
        </w:tc>
      </w:tr>
      <w:tr w:rsidR="00A54966" w:rsidTr="008645D5">
        <w:trPr>
          <w:cantSplit/>
        </w:trPr>
        <w:tc>
          <w:tcPr>
            <w:tcW w:w="5725" w:type="dxa"/>
            <w:shd w:val="clear" w:color="auto" w:fill="auto"/>
            <w:tcMar>
              <w:left w:w="57" w:type="dxa"/>
              <w:right w:w="57" w:type="dxa"/>
            </w:tcMar>
            <w:vAlign w:val="center"/>
          </w:tcPr>
          <w:p w:rsidR="004C4884" w:rsidRPr="0095369A" w:rsidRDefault="004C4884" w:rsidP="004C4884">
            <w:pPr>
              <w:pStyle w:val="BodyText"/>
              <w:spacing w:before="40" w:after="40" w:line="240" w:lineRule="auto"/>
              <w:rPr>
                <w:rFonts w:ascii="Franklin Gothic Book" w:hAnsi="Franklin Gothic Book" w:cs="Arial"/>
                <w:i/>
                <w:sz w:val="17"/>
                <w:szCs w:val="17"/>
              </w:rPr>
            </w:pPr>
            <w:r w:rsidRPr="0095369A">
              <w:rPr>
                <w:rStyle w:val="CharChar4"/>
                <w:rFonts w:ascii="Franklin Gothic Book" w:hAnsi="Franklin Gothic Book"/>
                <w:sz w:val="17"/>
                <w:szCs w:val="17"/>
              </w:rPr>
              <w:t>Better functioning agricultural markets as part of value chains</w:t>
            </w:r>
          </w:p>
          <w:p w:rsidR="00A54966" w:rsidRPr="0095369A" w:rsidRDefault="00A54966" w:rsidP="004C4884">
            <w:pPr>
              <w:pStyle w:val="TableTextEntries"/>
              <w:spacing w:line="240" w:lineRule="auto"/>
            </w:pPr>
          </w:p>
        </w:tc>
        <w:tc>
          <w:tcPr>
            <w:tcW w:w="896" w:type="dxa"/>
            <w:shd w:val="clear" w:color="auto" w:fill="auto"/>
            <w:tcMar>
              <w:left w:w="57" w:type="dxa"/>
              <w:right w:w="57" w:type="dxa"/>
            </w:tcMar>
            <w:vAlign w:val="center"/>
          </w:tcPr>
          <w:p w:rsidR="00A54966" w:rsidRDefault="00907A26" w:rsidP="00A54966">
            <w:pPr>
              <w:pStyle w:val="Ratingbullet"/>
            </w:pPr>
            <w:r>
              <w:rPr>
                <w:noProof/>
                <w:lang w:val="en-US"/>
              </w:rPr>
              <w:drawing>
                <wp:inline distT="0" distB="0" distL="0" distR="0" wp14:anchorId="6C658EDE" wp14:editId="0F26D862">
                  <wp:extent cx="149530" cy="149530"/>
                  <wp:effectExtent l="0" t="0" r="3175" b="3175"/>
                  <wp:docPr id="70" name="Picture 7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A54966" w:rsidRDefault="00A54966" w:rsidP="00A54966">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C14DFC">
              <w:rPr>
                <w:bCs/>
              </w:rPr>
              <w:t>Declined</w:t>
            </w:r>
            <w:r>
              <w:rPr>
                <w:bCs/>
              </w:rPr>
              <w:fldChar w:fldCharType="end"/>
            </w:r>
          </w:p>
        </w:tc>
      </w:tr>
    </w:tbl>
    <w:p w:rsidR="007F2DAB" w:rsidRPr="00EF3996" w:rsidRDefault="007F2DAB" w:rsidP="00612FF9">
      <w:pPr>
        <w:pStyle w:val="H2F"/>
      </w:pPr>
      <w:bookmarkStart w:id="151" w:name="_Toc293050005"/>
      <w:bookmarkStart w:id="152" w:name="_Toc360981890"/>
      <w:r w:rsidRPr="00044215">
        <w:t>Assessment of results and performance</w:t>
      </w:r>
      <w:bookmarkEnd w:id="151"/>
      <w:bookmarkEnd w:id="152"/>
    </w:p>
    <w:p w:rsidR="004C4884" w:rsidRDefault="004C4884" w:rsidP="004C4884">
      <w:pPr>
        <w:pStyle w:val="BodyText"/>
      </w:pPr>
      <w:r>
        <w:t>The Indonesian Government recognises the importance of rural livelihoods to combating poverty,</w:t>
      </w:r>
      <w:r>
        <w:rPr>
          <w:rStyle w:val="FootnoteReference"/>
        </w:rPr>
        <w:footnoteReference w:id="19"/>
      </w:r>
      <w:r>
        <w:t xml:space="preserve"> as reflected in its Medium Term Development Plan (2010-2014). However, this is not reflected in the national budget, with </w:t>
      </w:r>
      <w:r w:rsidR="0095369A">
        <w:t>a</w:t>
      </w:r>
      <w:r>
        <w:t xml:space="preserve">griculture ranked </w:t>
      </w:r>
      <w:r w:rsidR="00C6009E">
        <w:t xml:space="preserve">eighth </w:t>
      </w:r>
      <w:r>
        <w:t xml:space="preserve">compared to other sectors. </w:t>
      </w:r>
      <w:r w:rsidR="00791CD7">
        <w:t>The</w:t>
      </w:r>
      <w:r w:rsidR="00D375AC">
        <w:t xml:space="preserve"> prospect of rising w</w:t>
      </w:r>
      <w:r>
        <w:t xml:space="preserve">orld food prices </w:t>
      </w:r>
      <w:r w:rsidR="00D375AC">
        <w:t xml:space="preserve">is raising concerns over </w:t>
      </w:r>
      <w:r>
        <w:t xml:space="preserve">the fragile situation of </w:t>
      </w:r>
      <w:smartTag w:uri="urn:schemas-microsoft-com:office:smarttags" w:element="place">
        <w:smartTag w:uri="urn:schemas-microsoft-com:office:smarttags" w:element="country-region">
          <w:r>
            <w:t>Indonesia</w:t>
          </w:r>
        </w:smartTag>
      </w:smartTag>
      <w:r>
        <w:t>’s poor farmers: for subsistence farmers, higher food prices hinder rather than help their food security status.</w:t>
      </w:r>
      <w:r w:rsidRPr="00D9390B">
        <w:t xml:space="preserve"> </w:t>
      </w:r>
      <w:r w:rsidR="00791CD7">
        <w:t>F</w:t>
      </w:r>
      <w:r>
        <w:t xml:space="preserve">ood security concerns as a result of recent crop failures due to unpredictable and unusual weather patterns are being addressed through subsidies instead of improving agribusiness and farming practices. Farmer terms of trade are steady but overall trending downward. Meanwhile, </w:t>
      </w:r>
      <w:proofErr w:type="spellStart"/>
      <w:r>
        <w:t>G</w:t>
      </w:r>
      <w:r w:rsidR="00B31636">
        <w:t>o</w:t>
      </w:r>
      <w:r>
        <w:t>I</w:t>
      </w:r>
      <w:proofErr w:type="spellEnd"/>
      <w:r>
        <w:t xml:space="preserve"> is planning a number of food estates to generate a massive increase in food crops for domestic consumption and export</w:t>
      </w:r>
      <w:r w:rsidR="00BC34CE">
        <w:t>.</w:t>
      </w:r>
    </w:p>
    <w:p w:rsidR="00BC34CE" w:rsidRPr="00BC34CE" w:rsidRDefault="00BC34CE" w:rsidP="00BC34CE">
      <w:pPr>
        <w:pStyle w:val="BodyText"/>
      </w:pPr>
      <w:r w:rsidRPr="00BC34CE">
        <w:t>The decline in ratings for 2010 for the indicator “better functioning agricultural markets as part of value chains” is based on a number of studies</w:t>
      </w:r>
      <w:r w:rsidRPr="00BC34CE">
        <w:rPr>
          <w:rStyle w:val="FootnoteReference"/>
          <w:rFonts w:ascii="Georgia" w:hAnsi="Georgia"/>
          <w:position w:val="0"/>
          <w:sz w:val="19"/>
          <w:vertAlign w:val="superscript"/>
        </w:rPr>
        <w:footnoteReference w:id="20"/>
      </w:r>
      <w:r w:rsidRPr="00BC34CE">
        <w:t xml:space="preserve"> </w:t>
      </w:r>
      <w:r w:rsidR="0069660A">
        <w:t xml:space="preserve">that </w:t>
      </w:r>
      <w:r w:rsidRPr="00BC34CE">
        <w:t>highlighted the increasing number of by-laws for lev</w:t>
      </w:r>
      <w:r w:rsidR="0069660A">
        <w:t>ies</w:t>
      </w:r>
      <w:r w:rsidRPr="00BC34CE">
        <w:t xml:space="preserve"> issued by local governments that are increasing the costs of transporting goods.</w:t>
      </w:r>
    </w:p>
    <w:p w:rsidR="004C4884" w:rsidRDefault="004C4884" w:rsidP="008645D5">
      <w:pPr>
        <w:pStyle w:val="BodyText"/>
      </w:pPr>
      <w:r>
        <w:t xml:space="preserve">To address poverty concerns, work is needed to further increase farmer productivity, enhance linkages between farmers and markets, and improve the business-enabling environment in </w:t>
      </w:r>
      <w:r>
        <w:lastRenderedPageBreak/>
        <w:t>the agriculture sector. H</w:t>
      </w:r>
      <w:r w:rsidRPr="00131516">
        <w:t>igh and often hidden trade costs</w:t>
      </w:r>
      <w:r>
        <w:t xml:space="preserve"> and </w:t>
      </w:r>
      <w:r w:rsidR="00B31636">
        <w:t xml:space="preserve">a </w:t>
      </w:r>
      <w:r>
        <w:t xml:space="preserve">lack of </w:t>
      </w:r>
      <w:r w:rsidRPr="00131516">
        <w:t xml:space="preserve">public and private infrastructure investment </w:t>
      </w:r>
      <w:r>
        <w:t>remain considerable constraints to the sector, as well as the generally poor performance of government extension services for farmers.</w:t>
      </w:r>
    </w:p>
    <w:p w:rsidR="004C4884" w:rsidRDefault="004C4884" w:rsidP="004C4884">
      <w:pPr>
        <w:pStyle w:val="BodyText"/>
        <w:rPr>
          <w:rFonts w:eastAsia="MS Mincho"/>
          <w:lang w:eastAsia="ja-JP"/>
        </w:rPr>
      </w:pPr>
      <w:r w:rsidRPr="00D9390B">
        <w:rPr>
          <w:rFonts w:eastAsia="MS Mincho"/>
          <w:lang w:eastAsia="ja-JP"/>
        </w:rPr>
        <w:t xml:space="preserve">2010 saw a hiatus in </w:t>
      </w:r>
      <w:proofErr w:type="spellStart"/>
      <w:r>
        <w:rPr>
          <w:rFonts w:eastAsia="MS Mincho"/>
          <w:lang w:eastAsia="ja-JP"/>
        </w:rPr>
        <w:t>AusAID’s</w:t>
      </w:r>
      <w:proofErr w:type="spellEnd"/>
      <w:r>
        <w:rPr>
          <w:rFonts w:eastAsia="MS Mincho"/>
          <w:lang w:eastAsia="ja-JP"/>
        </w:rPr>
        <w:t xml:space="preserve"> substantive</w:t>
      </w:r>
      <w:r w:rsidRPr="00D9390B">
        <w:rPr>
          <w:rFonts w:eastAsia="MS Mincho"/>
          <w:lang w:eastAsia="ja-JP"/>
        </w:rPr>
        <w:t xml:space="preserve"> </w:t>
      </w:r>
      <w:r>
        <w:rPr>
          <w:rFonts w:eastAsia="MS Mincho"/>
          <w:lang w:eastAsia="ja-JP"/>
        </w:rPr>
        <w:t xml:space="preserve">engagement in the </w:t>
      </w:r>
      <w:r w:rsidR="0095369A">
        <w:rPr>
          <w:rFonts w:eastAsia="MS Mincho"/>
          <w:lang w:eastAsia="ja-JP"/>
        </w:rPr>
        <w:t>r</w:t>
      </w:r>
      <w:r>
        <w:rPr>
          <w:rFonts w:eastAsia="MS Mincho"/>
          <w:lang w:eastAsia="ja-JP"/>
        </w:rPr>
        <w:t>ural sector</w:t>
      </w:r>
      <w:r w:rsidRPr="00D9390B">
        <w:rPr>
          <w:rFonts w:eastAsia="MS Mincho"/>
          <w:lang w:eastAsia="ja-JP"/>
        </w:rPr>
        <w:t xml:space="preserve">, while </w:t>
      </w:r>
      <w:r w:rsidR="00B31636">
        <w:rPr>
          <w:rFonts w:eastAsia="MS Mincho"/>
          <w:lang w:eastAsia="ja-JP"/>
        </w:rPr>
        <w:t>the agency</w:t>
      </w:r>
      <w:r w:rsidR="00B31636" w:rsidRPr="00D9390B">
        <w:rPr>
          <w:rFonts w:eastAsia="MS Mincho"/>
          <w:lang w:eastAsia="ja-JP"/>
        </w:rPr>
        <w:t xml:space="preserve"> </w:t>
      </w:r>
      <w:r w:rsidRPr="00D9390B">
        <w:rPr>
          <w:rFonts w:eastAsia="MS Mincho"/>
          <w:lang w:eastAsia="ja-JP"/>
        </w:rPr>
        <w:t>took stock of lessons learned and recommendati</w:t>
      </w:r>
      <w:r>
        <w:rPr>
          <w:rFonts w:eastAsia="MS Mincho"/>
          <w:lang w:eastAsia="ja-JP"/>
        </w:rPr>
        <w:t xml:space="preserve">ons </w:t>
      </w:r>
      <w:r w:rsidR="00A534B8">
        <w:rPr>
          <w:rFonts w:eastAsia="MS Mincho"/>
          <w:lang w:eastAsia="ja-JP"/>
        </w:rPr>
        <w:t xml:space="preserve">arising from </w:t>
      </w:r>
      <w:r>
        <w:rPr>
          <w:rFonts w:eastAsia="MS Mincho"/>
          <w:lang w:eastAsia="ja-JP"/>
        </w:rPr>
        <w:t xml:space="preserve">reviews </w:t>
      </w:r>
      <w:r w:rsidR="00A534B8">
        <w:rPr>
          <w:rFonts w:eastAsia="MS Mincho"/>
          <w:lang w:eastAsia="ja-JP"/>
        </w:rPr>
        <w:t xml:space="preserve">undertaken in earlier years, in particular </w:t>
      </w:r>
      <w:r>
        <w:rPr>
          <w:rFonts w:eastAsia="MS Mincho"/>
          <w:lang w:eastAsia="ja-JP"/>
        </w:rPr>
        <w:t xml:space="preserve">the Smallholder Agribusiness Development Initiative. </w:t>
      </w:r>
      <w:r w:rsidR="00A534B8">
        <w:rPr>
          <w:rFonts w:eastAsia="MS Mincho"/>
          <w:lang w:eastAsia="ja-JP"/>
        </w:rPr>
        <w:t xml:space="preserve"> </w:t>
      </w:r>
      <w:r>
        <w:rPr>
          <w:rFonts w:eastAsia="MS Mincho"/>
          <w:lang w:eastAsia="ja-JP"/>
        </w:rPr>
        <w:t xml:space="preserve">Building on these findings, a new rural development program is being designed for </w:t>
      </w:r>
      <w:r w:rsidRPr="00D9390B">
        <w:rPr>
          <w:rFonts w:eastAsia="MS Mincho"/>
          <w:lang w:eastAsia="ja-JP"/>
        </w:rPr>
        <w:t>implementation in 20</w:t>
      </w:r>
      <w:r>
        <w:rPr>
          <w:rFonts w:eastAsia="MS Mincho"/>
          <w:lang w:eastAsia="ja-JP"/>
        </w:rPr>
        <w:t>12. The new program will be integrated with</w:t>
      </w:r>
      <w:r w:rsidRPr="00D9390B">
        <w:rPr>
          <w:rFonts w:eastAsia="MS Mincho"/>
          <w:lang w:eastAsia="ja-JP"/>
        </w:rPr>
        <w:t xml:space="preserve"> the Australia Indonesia Partnership for Decentralisation</w:t>
      </w:r>
      <w:r>
        <w:rPr>
          <w:rFonts w:eastAsia="MS Mincho"/>
          <w:lang w:eastAsia="ja-JP"/>
        </w:rPr>
        <w:t>, and aims to increase farmer competitiveness and net incomes.</w:t>
      </w:r>
    </w:p>
    <w:p w:rsidR="004C4884" w:rsidRDefault="004C4884" w:rsidP="004C4884">
      <w:pPr>
        <w:pStyle w:val="BodyText"/>
        <w:rPr>
          <w:rFonts w:eastAsia="MS Mincho" w:cs="Cambria"/>
          <w:lang w:eastAsia="ja-JP"/>
        </w:rPr>
      </w:pPr>
      <w:r>
        <w:rPr>
          <w:rFonts w:eastAsia="MS Mincho"/>
          <w:lang w:eastAsia="ja-JP"/>
        </w:rPr>
        <w:t>Meanwhile,</w:t>
      </w:r>
      <w:r w:rsidRPr="0052453B">
        <w:rPr>
          <w:rFonts w:eastAsia="MS Mincho"/>
          <w:lang w:eastAsia="ja-JP"/>
        </w:rPr>
        <w:t xml:space="preserve"> </w:t>
      </w:r>
      <w:proofErr w:type="spellStart"/>
      <w:r w:rsidRPr="0052453B">
        <w:rPr>
          <w:rFonts w:eastAsia="MS Mincho"/>
          <w:lang w:eastAsia="ja-JP"/>
        </w:rPr>
        <w:t>AusAID</w:t>
      </w:r>
      <w:proofErr w:type="spellEnd"/>
      <w:r w:rsidRPr="0052453B">
        <w:rPr>
          <w:rFonts w:eastAsia="MS Mincho"/>
          <w:lang w:eastAsia="ja-JP"/>
        </w:rPr>
        <w:t xml:space="preserve"> provided support to The Asia Foundation and</w:t>
      </w:r>
      <w:r w:rsidRPr="00C6009E">
        <w:rPr>
          <w:rFonts w:eastAsia="MS Mincho"/>
        </w:rPr>
        <w:t xml:space="preserve"> the </w:t>
      </w:r>
      <w:r w:rsidR="00C6009E">
        <w:rPr>
          <w:rFonts w:eastAsia="MS Mincho"/>
        </w:rPr>
        <w:t>r</w:t>
      </w:r>
      <w:r w:rsidR="00C6009E" w:rsidRPr="00C6009E">
        <w:t xml:space="preserve">egional </w:t>
      </w:r>
      <w:r w:rsidR="00C6009E">
        <w:t>a</w:t>
      </w:r>
      <w:r w:rsidR="00C6009E" w:rsidRPr="00C6009E">
        <w:t xml:space="preserve">utonomy </w:t>
      </w:r>
      <w:r w:rsidR="00C6009E">
        <w:t>w</w:t>
      </w:r>
      <w:r w:rsidR="00C6009E" w:rsidRPr="00C6009E">
        <w:t>atch</w:t>
      </w:r>
      <w:r w:rsidR="00C6009E">
        <w:t xml:space="preserve"> committee-</w:t>
      </w:r>
      <w:r w:rsidRPr="001F1DAB">
        <w:rPr>
          <w:rStyle w:val="AbbreviationChar"/>
          <w:rFonts w:eastAsia="MS Mincho"/>
        </w:rPr>
        <w:t>KPPOD</w:t>
      </w:r>
      <w:r w:rsidRPr="00C6009E">
        <w:rPr>
          <w:rFonts w:eastAsia="MS Mincho"/>
        </w:rPr>
        <w:t xml:space="preserve"> (through our partnership with IFC-PENSA) to cond</w:t>
      </w:r>
      <w:r w:rsidRPr="0052453B">
        <w:rPr>
          <w:rFonts w:eastAsia="MS Mincho"/>
          <w:lang w:eastAsia="ja-JP"/>
        </w:rPr>
        <w:t>uct surveys and provide analys</w:t>
      </w:r>
      <w:r>
        <w:rPr>
          <w:rFonts w:eastAsia="MS Mincho"/>
          <w:lang w:eastAsia="ja-JP"/>
        </w:rPr>
        <w:t xml:space="preserve">is on </w:t>
      </w:r>
      <w:r w:rsidR="001F1DAB">
        <w:rPr>
          <w:rFonts w:eastAsia="MS Mincho"/>
          <w:lang w:eastAsia="ja-JP"/>
        </w:rPr>
        <w:t>l</w:t>
      </w:r>
      <w:r>
        <w:rPr>
          <w:rFonts w:eastAsia="MS Mincho"/>
          <w:lang w:eastAsia="ja-JP"/>
        </w:rPr>
        <w:t xml:space="preserve">ocal </w:t>
      </w:r>
      <w:r w:rsidR="001F1DAB">
        <w:rPr>
          <w:rFonts w:eastAsia="MS Mincho"/>
          <w:lang w:eastAsia="ja-JP"/>
        </w:rPr>
        <w:t>e</w:t>
      </w:r>
      <w:r>
        <w:rPr>
          <w:rFonts w:eastAsia="MS Mincho"/>
          <w:lang w:eastAsia="ja-JP"/>
        </w:rPr>
        <w:t xml:space="preserve">conomic </w:t>
      </w:r>
      <w:r w:rsidR="001F1DAB">
        <w:rPr>
          <w:rFonts w:eastAsia="MS Mincho"/>
          <w:lang w:eastAsia="ja-JP"/>
        </w:rPr>
        <w:t>g</w:t>
      </w:r>
      <w:r>
        <w:rPr>
          <w:rFonts w:eastAsia="MS Mincho"/>
          <w:lang w:eastAsia="ja-JP"/>
        </w:rPr>
        <w:t>overnance</w:t>
      </w:r>
      <w:r w:rsidRPr="0052453B">
        <w:rPr>
          <w:rFonts w:eastAsia="MS Mincho"/>
          <w:lang w:eastAsia="ja-JP"/>
        </w:rPr>
        <w:t xml:space="preserve"> and </w:t>
      </w:r>
      <w:r w:rsidR="001F1DAB">
        <w:rPr>
          <w:rFonts w:eastAsia="MS Mincho"/>
          <w:lang w:eastAsia="ja-JP"/>
        </w:rPr>
        <w:t>e</w:t>
      </w:r>
      <w:r w:rsidRPr="0052453B">
        <w:rPr>
          <w:rFonts w:eastAsia="MS Mincho"/>
          <w:lang w:eastAsia="ja-JP"/>
        </w:rPr>
        <w:t xml:space="preserve">ase of </w:t>
      </w:r>
      <w:r w:rsidR="001F1DAB">
        <w:rPr>
          <w:rFonts w:eastAsia="MS Mincho"/>
          <w:lang w:eastAsia="ja-JP"/>
        </w:rPr>
        <w:t>d</w:t>
      </w:r>
      <w:r w:rsidRPr="0052453B">
        <w:rPr>
          <w:rFonts w:eastAsia="MS Mincho"/>
          <w:lang w:eastAsia="ja-JP"/>
        </w:rPr>
        <w:t xml:space="preserve">oing </w:t>
      </w:r>
      <w:r w:rsidR="001F1DAB">
        <w:rPr>
          <w:rFonts w:eastAsia="MS Mincho"/>
          <w:lang w:eastAsia="ja-JP"/>
        </w:rPr>
        <w:t>b</w:t>
      </w:r>
      <w:r w:rsidRPr="0052453B">
        <w:rPr>
          <w:rFonts w:eastAsia="MS Mincho"/>
          <w:lang w:eastAsia="ja-JP"/>
        </w:rPr>
        <w:t xml:space="preserve">usiness, </w:t>
      </w:r>
      <w:r>
        <w:rPr>
          <w:rFonts w:eastAsia="MS Mincho"/>
          <w:lang w:eastAsia="ja-JP"/>
        </w:rPr>
        <w:t>respectively. T</w:t>
      </w:r>
      <w:r w:rsidRPr="0052453B">
        <w:rPr>
          <w:rFonts w:eastAsia="MS Mincho"/>
          <w:lang w:eastAsia="ja-JP"/>
        </w:rPr>
        <w:t xml:space="preserve">hese reports will provide important baseline data for the </w:t>
      </w:r>
      <w:r>
        <w:rPr>
          <w:rFonts w:eastAsia="MS Mincho"/>
          <w:lang w:eastAsia="ja-JP"/>
        </w:rPr>
        <w:t>new r</w:t>
      </w:r>
      <w:r w:rsidRPr="0052453B">
        <w:rPr>
          <w:rFonts w:eastAsia="MS Mincho"/>
          <w:lang w:eastAsia="ja-JP"/>
        </w:rPr>
        <w:t>ural</w:t>
      </w:r>
      <w:r>
        <w:rPr>
          <w:rFonts w:eastAsia="MS Mincho"/>
          <w:lang w:eastAsia="ja-JP"/>
        </w:rPr>
        <w:t xml:space="preserve"> development</w:t>
      </w:r>
      <w:r w:rsidRPr="0052453B">
        <w:rPr>
          <w:rFonts w:eastAsia="MS Mincho"/>
          <w:lang w:eastAsia="ja-JP"/>
        </w:rPr>
        <w:t xml:space="preserve"> </w:t>
      </w:r>
      <w:r>
        <w:rPr>
          <w:rFonts w:eastAsia="MS Mincho"/>
          <w:lang w:eastAsia="ja-JP"/>
        </w:rPr>
        <w:t>program</w:t>
      </w:r>
      <w:r w:rsidRPr="0052453B">
        <w:rPr>
          <w:rFonts w:eastAsia="MS Mincho"/>
          <w:lang w:eastAsia="ja-JP"/>
        </w:rPr>
        <w:t>.</w:t>
      </w:r>
    </w:p>
    <w:p w:rsidR="004C4884" w:rsidRDefault="004C4884" w:rsidP="004C4884">
      <w:pPr>
        <w:pStyle w:val="BodyText"/>
      </w:pPr>
      <w:proofErr w:type="spellStart"/>
      <w:r w:rsidRPr="0052453B">
        <w:t>AusAID</w:t>
      </w:r>
      <w:proofErr w:type="spellEnd"/>
      <w:r w:rsidRPr="0052453B">
        <w:t xml:space="preserve"> contributions to the International Finance Corporation (the private arm of the World Bank) assisted linking smallholder farmers to lead firms. The IFC’s </w:t>
      </w:r>
      <w:r w:rsidR="00E136B4">
        <w:t>a</w:t>
      </w:r>
      <w:r w:rsidRPr="0052453B">
        <w:t xml:space="preserve">griculture </w:t>
      </w:r>
      <w:r w:rsidR="00E136B4">
        <w:t>l</w:t>
      </w:r>
      <w:r w:rsidRPr="0052453B">
        <w:t xml:space="preserve">ead </w:t>
      </w:r>
      <w:r w:rsidR="00E136B4">
        <w:t>f</w:t>
      </w:r>
      <w:r w:rsidRPr="0052453B">
        <w:t xml:space="preserve">irm </w:t>
      </w:r>
      <w:r w:rsidR="00E136B4">
        <w:t>i</w:t>
      </w:r>
      <w:r w:rsidRPr="0052453B">
        <w:t xml:space="preserve">nitiative </w:t>
      </w:r>
      <w:r>
        <w:t>generated USD</w:t>
      </w:r>
      <w:r w:rsidR="006E2DEF">
        <w:t>$</w:t>
      </w:r>
      <w:r>
        <w:t>6.2 million in revenues for almost 5000</w:t>
      </w:r>
      <w:r w:rsidRPr="0052453B">
        <w:t xml:space="preserve"> farmers</w:t>
      </w:r>
      <w:r>
        <w:t xml:space="preserve"> (about USD</w:t>
      </w:r>
      <w:r w:rsidR="006E2DEF">
        <w:t>$</w:t>
      </w:r>
      <w:r>
        <w:t xml:space="preserve">3 million of this achieved </w:t>
      </w:r>
      <w:r w:rsidRPr="0052453B">
        <w:t>in 2010) easily exceeding the project’s USD</w:t>
      </w:r>
      <w:r w:rsidR="006E2DEF">
        <w:t>$</w:t>
      </w:r>
      <w:r w:rsidRPr="0052453B">
        <w:t xml:space="preserve">5 million target. </w:t>
      </w:r>
      <w:proofErr w:type="spellStart"/>
      <w:r>
        <w:t>AusAID</w:t>
      </w:r>
      <w:proofErr w:type="spellEnd"/>
      <w:r>
        <w:t xml:space="preserve"> support is also helping banks to develop loan products more accessible to SMEs, for instance products that allow a lead firm to repay a partner farmer’s loan based on warehouse receipts for produce delivered. The new bilateral rural program will expand the warehouse receipts model across eastern </w:t>
      </w:r>
      <w:smartTag w:uri="urn:schemas-microsoft-com:office:smarttags" w:element="place">
        <w:smartTag w:uri="urn:schemas-microsoft-com:office:smarttags" w:element="country-region">
          <w:r>
            <w:t>Indonesia</w:t>
          </w:r>
        </w:smartTag>
      </w:smartTag>
      <w:r>
        <w:t xml:space="preserve">. </w:t>
      </w:r>
    </w:p>
    <w:p w:rsidR="007F2DAB" w:rsidRDefault="007F2DAB" w:rsidP="00612FF9">
      <w:pPr>
        <w:pStyle w:val="H2F"/>
      </w:pPr>
      <w:bookmarkStart w:id="153" w:name="_Toc293050006"/>
      <w:bookmarkStart w:id="154" w:name="_Toc360981891"/>
      <w:r>
        <w:t>Factors contributing to or hampering success</w:t>
      </w:r>
      <w:bookmarkEnd w:id="153"/>
      <w:bookmarkEnd w:id="154"/>
    </w:p>
    <w:p w:rsidR="004C4884" w:rsidRPr="004C4884" w:rsidRDefault="004C4884" w:rsidP="004C4884">
      <w:pPr>
        <w:pStyle w:val="BodyText"/>
      </w:pPr>
      <w:r w:rsidRPr="004C4884">
        <w:t xml:space="preserve">The extended approach to designing the new Rural Development Program demonstrates the lack of clarity around what works in terms of rural development interventions, and how </w:t>
      </w:r>
      <w:proofErr w:type="spellStart"/>
      <w:r w:rsidRPr="004C4884">
        <w:t>AusAID</w:t>
      </w:r>
      <w:proofErr w:type="spellEnd"/>
      <w:r w:rsidRPr="004C4884">
        <w:t xml:space="preserve"> can best engage in the sector. Although the IFC has delivered some success, it relies primarily on expensive international </w:t>
      </w:r>
      <w:r w:rsidR="006E2DEF">
        <w:t>technical assistance</w:t>
      </w:r>
      <w:r w:rsidRPr="004C4884">
        <w:t xml:space="preserve">, and has difficulty partnering with SMEs due to rigid criteria for engagement. This constrains deeper penetration and poverty impacts for farmers in eastern </w:t>
      </w:r>
      <w:smartTag w:uri="urn:schemas-microsoft-com:office:smarttags" w:element="place">
        <w:smartTag w:uri="urn:schemas-microsoft-com:office:smarttags" w:element="country-region">
          <w:r w:rsidRPr="004C4884">
            <w:t>Indonesia</w:t>
          </w:r>
        </w:smartTag>
      </w:smartTag>
      <w:r w:rsidRPr="004C4884">
        <w:t>.</w:t>
      </w:r>
    </w:p>
    <w:p w:rsidR="004C4884" w:rsidRPr="004C4884" w:rsidRDefault="004C4884" w:rsidP="004C4884">
      <w:pPr>
        <w:pStyle w:val="BodyText"/>
      </w:pPr>
      <w:r w:rsidRPr="004C4884">
        <w:t>Access to financial services, including banking, credit and insurance, is not widespread, and this has obvious implications for farm level capital accumulation and risk appetite. SMEs often are too small and ill</w:t>
      </w:r>
      <w:r w:rsidR="006E2DEF">
        <w:t>-</w:t>
      </w:r>
      <w:r w:rsidRPr="004C4884">
        <w:t xml:space="preserve">equipped to qualify for corporate lending, and yet too large and complex to be attractive to microfinance providers. On a positive note, bank loans portfolios continue to rise in eastern </w:t>
      </w:r>
      <w:smartTag w:uri="urn:schemas-microsoft-com:office:smarttags" w:element="place">
        <w:smartTag w:uri="urn:schemas-microsoft-com:office:smarttags" w:element="country-region">
          <w:r w:rsidRPr="004C4884">
            <w:t>Indonesia</w:t>
          </w:r>
        </w:smartTag>
      </w:smartTag>
      <w:r w:rsidRPr="004C4884">
        <w:t>, suggesting an increasing investment appetite over time.</w:t>
      </w:r>
    </w:p>
    <w:p w:rsidR="004C4884" w:rsidRPr="004C4884" w:rsidRDefault="004C4884" w:rsidP="004C4884">
      <w:pPr>
        <w:pStyle w:val="BodyText"/>
      </w:pPr>
      <w:r w:rsidRPr="004C4884">
        <w:t xml:space="preserve">There remains a significant need for good quality extension services, and financial awareness by small farmers also needs to grow before they can take full advantage of market opportunities. Lack of commitment from </w:t>
      </w:r>
      <w:proofErr w:type="spellStart"/>
      <w:r w:rsidRPr="004C4884">
        <w:t>G</w:t>
      </w:r>
      <w:r w:rsidR="006E2DEF">
        <w:t>o</w:t>
      </w:r>
      <w:r w:rsidRPr="004C4884">
        <w:t>I</w:t>
      </w:r>
      <w:proofErr w:type="spellEnd"/>
      <w:r w:rsidRPr="004C4884">
        <w:t xml:space="preserve"> in the form of budget allocation and substantive regulatory reform will continue to constrain better rural development outcomes.</w:t>
      </w:r>
    </w:p>
    <w:p w:rsidR="007F2DAB" w:rsidRDefault="007F2DAB" w:rsidP="00612FF9">
      <w:pPr>
        <w:pStyle w:val="H2F"/>
      </w:pPr>
      <w:bookmarkStart w:id="155" w:name="_Toc293050007"/>
      <w:bookmarkStart w:id="156" w:name="_Toc360981892"/>
      <w:r>
        <w:t>Management consequences</w:t>
      </w:r>
      <w:bookmarkEnd w:id="155"/>
      <w:bookmarkEnd w:id="156"/>
    </w:p>
    <w:p w:rsidR="00D8434B" w:rsidRDefault="00393600" w:rsidP="00393600">
      <w:pPr>
        <w:pStyle w:val="BodyText"/>
      </w:pPr>
      <w:r>
        <w:t xml:space="preserve">We aim to establish national level partnerships for policy engagement and to support rural program delivery. </w:t>
      </w:r>
      <w:r w:rsidR="008549CC">
        <w:t xml:space="preserve">We </w:t>
      </w:r>
      <w:r w:rsidR="006E2DEF">
        <w:t xml:space="preserve">also </w:t>
      </w:r>
      <w:r w:rsidR="008549CC">
        <w:t xml:space="preserve">aim to develop </w:t>
      </w:r>
      <w:r>
        <w:t xml:space="preserve">and implement a Rural Development Program to increase farmer competitiveness and net incomes by enhancing agriculture market systems, with management arrangements integrated with the Australia Indonesia Partnership for Decentralisation. </w:t>
      </w:r>
      <w:r w:rsidR="008549CC">
        <w:t xml:space="preserve">We will also pilot </w:t>
      </w:r>
      <w:r w:rsidR="00D8434B">
        <w:t>an on-granting mechanism</w:t>
      </w:r>
      <w:r w:rsidR="00836001">
        <w:t xml:space="preserve"> and</w:t>
      </w:r>
      <w:r w:rsidR="00D8434B">
        <w:t xml:space="preserve"> </w:t>
      </w:r>
      <w:r w:rsidR="00836001">
        <w:t>effective farmer extension and agri-business technical assistance.</w:t>
      </w:r>
    </w:p>
    <w:p w:rsidR="007F2DAB" w:rsidRPr="00A31267" w:rsidRDefault="007F2DAB" w:rsidP="00A31267">
      <w:pPr>
        <w:pStyle w:val="Caption"/>
        <w:rPr>
          <w:sz w:val="22"/>
          <w:szCs w:val="22"/>
          <w:highlight w:val="magenta"/>
        </w:rPr>
      </w:pPr>
      <w:bookmarkStart w:id="157" w:name="_Toc293050008"/>
      <w:r w:rsidRPr="00A31267">
        <w:rPr>
          <w:sz w:val="22"/>
          <w:szCs w:val="22"/>
        </w:rPr>
        <w:lastRenderedPageBreak/>
        <w:t>Estimated expenditure in 2010</w:t>
      </w:r>
      <w:bookmarkEnd w:id="157"/>
    </w:p>
    <w:tbl>
      <w:tblPr>
        <w:tblW w:w="0" w:type="auto"/>
        <w:tblInd w:w="57" w:type="dxa"/>
        <w:tblLayout w:type="fixed"/>
        <w:tblLook w:val="0000" w:firstRow="0" w:lastRow="0" w:firstColumn="0" w:lastColumn="0" w:noHBand="0" w:noVBand="0"/>
      </w:tblPr>
      <w:tblGrid>
        <w:gridCol w:w="5683"/>
        <w:gridCol w:w="1127"/>
        <w:gridCol w:w="1128"/>
      </w:tblGrid>
      <w:tr w:rsidR="007F2DAB"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7F2DAB" w:rsidRDefault="007F2DAB">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7F2DAB" w:rsidRDefault="007F2DAB">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7F2DAB" w:rsidRDefault="007F2DAB">
            <w:pPr>
              <w:pStyle w:val="TableDataColumnHeading"/>
            </w:pPr>
            <w:r>
              <w:t>% of bilateral program</w:t>
            </w:r>
          </w:p>
        </w:tc>
      </w:tr>
      <w:tr w:rsidR="007F2DAB" w:rsidRPr="002452D0" w:rsidTr="00027A09">
        <w:trPr>
          <w:cantSplit/>
        </w:trPr>
        <w:tc>
          <w:tcPr>
            <w:tcW w:w="5683" w:type="dxa"/>
            <w:tcBorders>
              <w:bottom w:val="single" w:sz="12" w:space="0" w:color="auto"/>
            </w:tcBorders>
            <w:shd w:val="clear" w:color="auto" w:fill="auto"/>
            <w:tcMar>
              <w:left w:w="57" w:type="dxa"/>
              <w:right w:w="57" w:type="dxa"/>
            </w:tcMar>
          </w:tcPr>
          <w:p w:rsidR="007F2DAB" w:rsidRPr="002452D0" w:rsidRDefault="007F2DAB">
            <w:pPr>
              <w:pStyle w:val="TableDataEntries"/>
              <w:jc w:val="left"/>
            </w:pPr>
            <w:r>
              <w:t>Rural livelihoods and agribusiness</w:t>
            </w:r>
          </w:p>
        </w:tc>
        <w:tc>
          <w:tcPr>
            <w:tcW w:w="1127" w:type="dxa"/>
            <w:tcBorders>
              <w:bottom w:val="single" w:sz="12" w:space="0" w:color="auto"/>
            </w:tcBorders>
            <w:shd w:val="clear" w:color="auto" w:fill="auto"/>
            <w:tcMar>
              <w:left w:w="57" w:type="dxa"/>
              <w:right w:w="57" w:type="dxa"/>
            </w:tcMar>
          </w:tcPr>
          <w:p w:rsidR="007F2DAB" w:rsidRPr="002452D0" w:rsidRDefault="007F2DAB">
            <w:pPr>
              <w:pStyle w:val="TableDataEntries"/>
            </w:pPr>
            <w:r>
              <w:t>4.6</w:t>
            </w:r>
          </w:p>
        </w:tc>
        <w:tc>
          <w:tcPr>
            <w:tcW w:w="1128" w:type="dxa"/>
            <w:tcBorders>
              <w:bottom w:val="single" w:sz="12" w:space="0" w:color="auto"/>
            </w:tcBorders>
            <w:shd w:val="clear" w:color="auto" w:fill="auto"/>
            <w:tcMar>
              <w:left w:w="57" w:type="dxa"/>
              <w:right w:w="57" w:type="dxa"/>
            </w:tcMar>
          </w:tcPr>
          <w:p w:rsidR="007F2DAB" w:rsidRPr="002452D0" w:rsidRDefault="00C101A2">
            <w:pPr>
              <w:pStyle w:val="TableDataEntries"/>
            </w:pPr>
            <w:r>
              <w:t>1.2%</w:t>
            </w:r>
          </w:p>
        </w:tc>
      </w:tr>
    </w:tbl>
    <w:p w:rsidR="007F2DAB" w:rsidRDefault="007F2DAB">
      <w:pPr>
        <w:pStyle w:val="Source"/>
      </w:pPr>
      <w:r w:rsidRPr="00C05EB3">
        <w:t xml:space="preserve">Source: </w:t>
      </w:r>
      <w:r w:rsidR="0044505C">
        <w:t xml:space="preserve">2009-2010 fiscal year’s expenditures in </w:t>
      </w:r>
      <w:proofErr w:type="spellStart"/>
      <w:r w:rsidR="0044505C">
        <w:t>AidWorks</w:t>
      </w:r>
      <w:proofErr w:type="spellEnd"/>
    </w:p>
    <w:p w:rsidR="00542CA5" w:rsidRDefault="00542CA5" w:rsidP="00683977">
      <w:pPr>
        <w:pStyle w:val="Heading2"/>
      </w:pPr>
      <w:bookmarkStart w:id="158" w:name="_Toc293050009"/>
      <w:bookmarkStart w:id="159" w:name="_Toc300905113"/>
      <w:bookmarkStart w:id="160" w:name="_Toc360981893"/>
      <w:r>
        <w:t>Law and justice</w:t>
      </w:r>
      <w:bookmarkEnd w:id="158"/>
      <w:bookmarkEnd w:id="159"/>
      <w:bookmarkEnd w:id="160"/>
    </w:p>
    <w:p w:rsidR="00683977" w:rsidRDefault="00683977" w:rsidP="00612FF9">
      <w:pPr>
        <w:pStyle w:val="H2F"/>
      </w:pPr>
      <w:bookmarkStart w:id="161" w:name="_Toc360981894"/>
      <w:bookmarkStart w:id="162" w:name="_Toc293050010"/>
      <w:r>
        <w:t>Law and justice</w:t>
      </w:r>
      <w:bookmarkEnd w:id="161"/>
      <w:r>
        <w:t xml:space="preserve"> </w:t>
      </w:r>
    </w:p>
    <w:p w:rsidR="00542CA5" w:rsidRDefault="00542CA5" w:rsidP="00612FF9">
      <w:pPr>
        <w:pStyle w:val="Heading3"/>
      </w:pPr>
      <w:bookmarkStart w:id="163" w:name="_Toc360981895"/>
      <w:r>
        <w:t>Rating</w:t>
      </w:r>
      <w:bookmarkEnd w:id="162"/>
      <w:bookmarkEnd w:id="163"/>
    </w:p>
    <w:tbl>
      <w:tblPr>
        <w:tblW w:w="0" w:type="auto"/>
        <w:tblInd w:w="57" w:type="dxa"/>
        <w:tblLook w:val="01E0" w:firstRow="1" w:lastRow="1" w:firstColumn="1" w:lastColumn="1" w:noHBand="0" w:noVBand="0"/>
      </w:tblPr>
      <w:tblGrid>
        <w:gridCol w:w="5709"/>
        <w:gridCol w:w="895"/>
        <w:gridCol w:w="1315"/>
      </w:tblGrid>
      <w:tr w:rsidR="00033DBC" w:rsidTr="00027A09">
        <w:trPr>
          <w:cantSplit/>
          <w:tblHeader/>
        </w:trPr>
        <w:tc>
          <w:tcPr>
            <w:tcW w:w="5725" w:type="dxa"/>
            <w:shd w:val="clear" w:color="auto" w:fill="F5F1CC"/>
            <w:tcMar>
              <w:left w:w="57" w:type="dxa"/>
              <w:right w:w="57" w:type="dxa"/>
            </w:tcMar>
            <w:vAlign w:val="center"/>
          </w:tcPr>
          <w:p w:rsidR="00033DBC" w:rsidRDefault="008549CC" w:rsidP="00145E8E">
            <w:pPr>
              <w:pStyle w:val="TableTextEntries"/>
            </w:pPr>
            <w:r>
              <w:t>Objectives</w:t>
            </w:r>
          </w:p>
        </w:tc>
        <w:tc>
          <w:tcPr>
            <w:tcW w:w="896" w:type="dxa"/>
            <w:shd w:val="clear" w:color="auto" w:fill="F5F1CC"/>
            <w:tcMar>
              <w:left w:w="57" w:type="dxa"/>
              <w:right w:w="57" w:type="dxa"/>
            </w:tcMar>
            <w:vAlign w:val="center"/>
          </w:tcPr>
          <w:p w:rsidR="00033DBC" w:rsidRDefault="00033DBC" w:rsidP="00033DBC">
            <w:pPr>
              <w:pStyle w:val="TableTextEntries"/>
              <w:jc w:val="center"/>
            </w:pPr>
            <w:r>
              <w:t>Rating in 2010</w:t>
            </w:r>
          </w:p>
        </w:tc>
        <w:tc>
          <w:tcPr>
            <w:tcW w:w="1316" w:type="dxa"/>
            <w:shd w:val="clear" w:color="auto" w:fill="F5F1CC"/>
            <w:tcMar>
              <w:left w:w="57" w:type="dxa"/>
              <w:right w:w="57" w:type="dxa"/>
            </w:tcMar>
            <w:vAlign w:val="center"/>
          </w:tcPr>
          <w:p w:rsidR="00033DBC" w:rsidRDefault="00033DBC" w:rsidP="00033DBC">
            <w:pPr>
              <w:pStyle w:val="TableTextEntries"/>
              <w:jc w:val="center"/>
              <w:rPr>
                <w:bCs/>
              </w:rPr>
            </w:pPr>
            <w:r>
              <w:rPr>
                <w:bCs/>
              </w:rPr>
              <w:t>Relative to previous rating</w:t>
            </w:r>
          </w:p>
        </w:tc>
      </w:tr>
      <w:tr w:rsidR="00033DBC" w:rsidTr="008645D5">
        <w:trPr>
          <w:cantSplit/>
        </w:trPr>
        <w:tc>
          <w:tcPr>
            <w:tcW w:w="5725" w:type="dxa"/>
            <w:shd w:val="clear" w:color="auto" w:fill="auto"/>
            <w:tcMar>
              <w:left w:w="57" w:type="dxa"/>
              <w:right w:w="57" w:type="dxa"/>
            </w:tcMar>
          </w:tcPr>
          <w:p w:rsidR="00033DBC" w:rsidRDefault="00AE3D89" w:rsidP="00145E8E">
            <w:pPr>
              <w:pStyle w:val="TableTextEntries"/>
            </w:pPr>
            <w:r>
              <w:t xml:space="preserve">Judicial Reform </w:t>
            </w:r>
          </w:p>
        </w:tc>
        <w:tc>
          <w:tcPr>
            <w:tcW w:w="896" w:type="dxa"/>
            <w:shd w:val="clear" w:color="auto" w:fill="auto"/>
            <w:tcMar>
              <w:left w:w="57" w:type="dxa"/>
              <w:right w:w="57" w:type="dxa"/>
            </w:tcMar>
            <w:vAlign w:val="center"/>
          </w:tcPr>
          <w:p w:rsidR="00033DBC" w:rsidRDefault="00907A26" w:rsidP="00145E8E">
            <w:pPr>
              <w:pStyle w:val="Ratingbullet"/>
            </w:pPr>
            <w:r>
              <w:rPr>
                <w:noProof/>
                <w:lang w:val="en-US"/>
              </w:rPr>
              <w:drawing>
                <wp:inline distT="0" distB="0" distL="0" distR="0" wp14:anchorId="6047D348" wp14:editId="3E816D63">
                  <wp:extent cx="149530" cy="149530"/>
                  <wp:effectExtent l="0" t="0" r="3175" b="3175"/>
                  <wp:docPr id="71" name="Picture 7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033DBC" w:rsidRDefault="00033DBC" w:rsidP="00145E8E">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00AE3D89" w:rsidRPr="00AE3D89">
              <w:rPr>
                <w:bCs/>
              </w:rPr>
              <w:t>Unchanged</w:t>
            </w:r>
            <w:r>
              <w:rPr>
                <w:bCs/>
              </w:rPr>
              <w:fldChar w:fldCharType="end"/>
            </w:r>
          </w:p>
        </w:tc>
      </w:tr>
      <w:tr w:rsidR="00033DBC" w:rsidTr="008645D5">
        <w:trPr>
          <w:cantSplit/>
        </w:trPr>
        <w:tc>
          <w:tcPr>
            <w:tcW w:w="5725" w:type="dxa"/>
            <w:shd w:val="clear" w:color="auto" w:fill="auto"/>
            <w:tcMar>
              <w:left w:w="57" w:type="dxa"/>
              <w:right w:w="57" w:type="dxa"/>
            </w:tcMar>
          </w:tcPr>
          <w:p w:rsidR="00033DBC" w:rsidRDefault="00AE3D89" w:rsidP="00145E8E">
            <w:pPr>
              <w:pStyle w:val="TableTextEntries"/>
            </w:pPr>
            <w:r>
              <w:t xml:space="preserve">Anti-corruption </w:t>
            </w:r>
            <w:r w:rsidR="00033DBC">
              <w:t xml:space="preserve"> </w:t>
            </w:r>
          </w:p>
        </w:tc>
        <w:tc>
          <w:tcPr>
            <w:tcW w:w="896" w:type="dxa"/>
            <w:shd w:val="clear" w:color="auto" w:fill="auto"/>
            <w:tcMar>
              <w:left w:w="57" w:type="dxa"/>
              <w:right w:w="57" w:type="dxa"/>
            </w:tcMar>
            <w:vAlign w:val="center"/>
          </w:tcPr>
          <w:p w:rsidR="00033DBC" w:rsidRDefault="00907A26" w:rsidP="00145E8E">
            <w:pPr>
              <w:pStyle w:val="Ratingbullet"/>
            </w:pPr>
            <w:r>
              <w:rPr>
                <w:noProof/>
                <w:lang w:val="en-US"/>
              </w:rPr>
              <w:drawing>
                <wp:inline distT="0" distB="0" distL="0" distR="0" wp14:anchorId="064E4EF4" wp14:editId="05378DE8">
                  <wp:extent cx="149530" cy="149530"/>
                  <wp:effectExtent l="0" t="0" r="3175" b="3175"/>
                  <wp:docPr id="72" name="Picture 7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033DBC" w:rsidRDefault="00033DBC" w:rsidP="00145E8E">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002E4D83" w:rsidRPr="002E4D83">
              <w:rPr>
                <w:bCs/>
              </w:rPr>
              <w:t>Improved</w:t>
            </w:r>
            <w:r>
              <w:rPr>
                <w:bCs/>
              </w:rPr>
              <w:fldChar w:fldCharType="end"/>
            </w:r>
          </w:p>
        </w:tc>
      </w:tr>
    </w:tbl>
    <w:p w:rsidR="00542CA5" w:rsidRDefault="00542CA5" w:rsidP="00612FF9">
      <w:pPr>
        <w:pStyle w:val="H2F"/>
      </w:pPr>
      <w:bookmarkStart w:id="164" w:name="_Toc293050011"/>
      <w:bookmarkStart w:id="165" w:name="_Toc360981896"/>
      <w:r w:rsidRPr="00044215">
        <w:t>Assessment of results and performance</w:t>
      </w:r>
      <w:bookmarkEnd w:id="164"/>
      <w:bookmarkEnd w:id="165"/>
    </w:p>
    <w:p w:rsidR="006B17DE" w:rsidRDefault="006B17DE" w:rsidP="006B17DE">
      <w:pPr>
        <w:pStyle w:val="BodyText"/>
      </w:pPr>
      <w:smartTag w:uri="urn:schemas-microsoft-com:office:smarttags" w:element="place">
        <w:smartTag w:uri="urn:schemas-microsoft-com:office:smarttags" w:element="country-region">
          <w:r w:rsidRPr="00336858">
            <w:t>Australia</w:t>
          </w:r>
        </w:smartTag>
      </w:smartTag>
      <w:r>
        <w:t xml:space="preserve"> continued to support the reform of two key law and justice sector institutions in 2010 – the Supreme Court and Attorney General’s Office (</w:t>
      </w:r>
      <w:r w:rsidRPr="00B64467">
        <w:rPr>
          <w:rStyle w:val="AbbreviationChar"/>
        </w:rPr>
        <w:t>AGO</w:t>
      </w:r>
      <w:r>
        <w:t xml:space="preserve">) - through a transition program. Key results included: </w:t>
      </w:r>
    </w:p>
    <w:p w:rsidR="006B17DE" w:rsidRPr="00592CEB" w:rsidRDefault="006B17DE" w:rsidP="006B17DE">
      <w:pPr>
        <w:pStyle w:val="ListBullet2"/>
      </w:pPr>
      <w:r>
        <w:t>The Supreme Court’s l</w:t>
      </w:r>
      <w:r w:rsidRPr="00592CEB">
        <w:t xml:space="preserve">aunch of </w:t>
      </w:r>
      <w:r>
        <w:t>its 25</w:t>
      </w:r>
      <w:r w:rsidR="00514B6A">
        <w:t>-</w:t>
      </w:r>
      <w:r>
        <w:t xml:space="preserve">year </w:t>
      </w:r>
      <w:r w:rsidRPr="00592CEB">
        <w:t xml:space="preserve">Blueprint </w:t>
      </w:r>
      <w:r>
        <w:t>for Reform. Australian funded members of the Judicial Reform Team Office worked closely with the Supreme Court to develop and disseminate the blueprint. Launched in late 2010, the blueprint is based on the International Court Excellence standards and provides the basis</w:t>
      </w:r>
      <w:r w:rsidRPr="00592CEB">
        <w:t xml:space="preserve"> for future </w:t>
      </w:r>
      <w:r>
        <w:t>court</w:t>
      </w:r>
      <w:r w:rsidRPr="00592CEB">
        <w:t xml:space="preserve"> reform</w:t>
      </w:r>
      <w:r>
        <w:t xml:space="preserve">. We are working with the Attorney General’s Office on a similar reform </w:t>
      </w:r>
      <w:r w:rsidR="00690870">
        <w:t>b</w:t>
      </w:r>
      <w:r>
        <w:t>lueprint.</w:t>
      </w:r>
    </w:p>
    <w:p w:rsidR="006B17DE" w:rsidRPr="002A77BB" w:rsidRDefault="006B17DE" w:rsidP="006B17DE">
      <w:pPr>
        <w:pStyle w:val="ListBullet2"/>
      </w:pPr>
      <w:r w:rsidRPr="00C83E19">
        <w:t xml:space="preserve">Approval by the President of a new structure for the Attorney General’s Office </w:t>
      </w:r>
      <w:r>
        <w:t>that</w:t>
      </w:r>
      <w:r w:rsidRPr="00C83E19">
        <w:t xml:space="preserve"> streamlines the bureaucracy and ensures prosecutors are focused on their core tasks. Associated management reforms have also been agreed that will enhance accountability for prosecutors’ performance, and ensure that recruitments, </w:t>
      </w:r>
      <w:r w:rsidRPr="002A77BB">
        <w:t xml:space="preserve">promotions and transfers are merit-based.  </w:t>
      </w:r>
    </w:p>
    <w:p w:rsidR="006B17DE" w:rsidRPr="002A77BB" w:rsidRDefault="006B17DE" w:rsidP="006B17DE">
      <w:pPr>
        <w:pStyle w:val="ListBullet2"/>
      </w:pPr>
      <w:r w:rsidRPr="002A77BB">
        <w:t>Increased utilisation of legal aid for the poor and marginalised. Australian</w:t>
      </w:r>
      <w:r w:rsidR="00514B6A">
        <w:t>-</w:t>
      </w:r>
      <w:r w:rsidRPr="002A77BB">
        <w:t xml:space="preserve">funded analysis of women’s demand for court services facilitated the allocation of funding for court fee waivers, circuit courts and legal aid lawyers. Between 2007 and 2009, the number of cases heard by circuit courts more than doubled, and court fee waivers increased 10-fold. This was achieved through the development of a model for cooperation between civil society and the courts to identify and meet the needs of marginalised groups.  </w:t>
      </w:r>
    </w:p>
    <w:p w:rsidR="006B17DE" w:rsidRDefault="006B17DE" w:rsidP="006B17DE">
      <w:pPr>
        <w:pStyle w:val="ListBullet2"/>
      </w:pPr>
      <w:r>
        <w:t xml:space="preserve">Completion of analytical pieces to inform the future law and justice sector program – assessment of access to justice for people with disabilities in </w:t>
      </w:r>
      <w:smartTag w:uri="urn:schemas-microsoft-com:office:smarttags" w:element="place">
        <w:smartTag w:uri="urn:schemas-microsoft-com:office:smarttags" w:element="country-region">
          <w:r>
            <w:t>Indonesia</w:t>
          </w:r>
        </w:smartTag>
      </w:smartTag>
      <w:r>
        <w:t xml:space="preserve"> is the first report of its kind. Analysis on anti-corruption will lead to targeted assistance aimed at strengthening rule of law and public confidence.</w:t>
      </w:r>
    </w:p>
    <w:p w:rsidR="006B17DE" w:rsidRPr="000C576A" w:rsidRDefault="006B17DE" w:rsidP="000C576A">
      <w:pPr>
        <w:pStyle w:val="ListBullet2"/>
      </w:pPr>
      <w:r w:rsidRPr="000C576A">
        <w:t xml:space="preserve">In addition, a long term program of support to the justice sector </w:t>
      </w:r>
      <w:r w:rsidR="005029E7" w:rsidRPr="000C576A">
        <w:t xml:space="preserve">(2011-14) was </w:t>
      </w:r>
      <w:r w:rsidR="008645D5" w:rsidRPr="000C576A">
        <w:t>approved</w:t>
      </w:r>
      <w:r w:rsidRPr="000C576A">
        <w:t xml:space="preserve"> and tendered in 2010.</w:t>
      </w:r>
    </w:p>
    <w:p w:rsidR="00542CA5" w:rsidRDefault="00542CA5" w:rsidP="00612FF9">
      <w:pPr>
        <w:pStyle w:val="H2F"/>
        <w:spacing w:before="720"/>
      </w:pPr>
      <w:bookmarkStart w:id="166" w:name="_Toc293050012"/>
      <w:bookmarkStart w:id="167" w:name="_Toc360981897"/>
      <w:r>
        <w:lastRenderedPageBreak/>
        <w:t>Factors contributing to or hampering success</w:t>
      </w:r>
      <w:bookmarkEnd w:id="166"/>
      <w:bookmarkEnd w:id="167"/>
    </w:p>
    <w:p w:rsidR="005029E7" w:rsidRPr="00D4411E" w:rsidRDefault="005029E7" w:rsidP="005029E7">
      <w:pPr>
        <w:pStyle w:val="BodyText"/>
      </w:pPr>
      <w:r w:rsidRPr="000C576A">
        <w:t xml:space="preserve">The Indonesian Government has recognised law and justice reform as a national priority.  The eradication of the legal mafia and increasing the performance of key law enforcement agencies was the top priority identified in President </w:t>
      </w:r>
      <w:proofErr w:type="spellStart"/>
      <w:r w:rsidRPr="000C576A">
        <w:t>Yudhyono’s</w:t>
      </w:r>
      <w:proofErr w:type="spellEnd"/>
      <w:r w:rsidRPr="000C576A">
        <w:t xml:space="preserve"> second term administration’s 100 day program.  A Taskforce on the Eradication of the Legal Mafia was formed shortly after the President’s re-election in 2009, and the Supreme Court and Attorney General’s Reform agendas remain priorities. </w:t>
      </w:r>
    </w:p>
    <w:p w:rsidR="00542CA5" w:rsidRPr="0041318A" w:rsidRDefault="00586411" w:rsidP="00586411">
      <w:pPr>
        <w:pStyle w:val="BodyText"/>
      </w:pPr>
      <w:r w:rsidRPr="00C83E19">
        <w:t xml:space="preserve">Justice sector reform remains a </w:t>
      </w:r>
      <w:r w:rsidR="005029E7">
        <w:t>gradual</w:t>
      </w:r>
      <w:r w:rsidRPr="00C83E19">
        <w:t>, long term process</w:t>
      </w:r>
      <w:r>
        <w:t xml:space="preserve"> and </w:t>
      </w:r>
      <w:r w:rsidR="005029E7">
        <w:t xml:space="preserve">the sector </w:t>
      </w:r>
      <w:r>
        <w:t xml:space="preserve">continues to suffer from </w:t>
      </w:r>
      <w:r w:rsidR="005D7DD3">
        <w:t xml:space="preserve">a </w:t>
      </w:r>
      <w:r>
        <w:t xml:space="preserve">lack of public trust and entrenched corruption and patronage. </w:t>
      </w:r>
      <w:r w:rsidRPr="006B5FEA">
        <w:t>There w</w:t>
      </w:r>
      <w:r w:rsidR="005029E7">
        <w:t>ere</w:t>
      </w:r>
      <w:r w:rsidRPr="006B5FEA">
        <w:t xml:space="preserve"> high </w:t>
      </w:r>
      <w:r>
        <w:t>expectation</w:t>
      </w:r>
      <w:r w:rsidR="005029E7">
        <w:t>s</w:t>
      </w:r>
      <w:r w:rsidRPr="006B5FEA">
        <w:t xml:space="preserve"> that President </w:t>
      </w:r>
      <w:proofErr w:type="spellStart"/>
      <w:r w:rsidRPr="006B5FEA">
        <w:t>Yudhoyono’s</w:t>
      </w:r>
      <w:proofErr w:type="spellEnd"/>
      <w:r w:rsidRPr="006B5FEA">
        <w:t xml:space="preserve"> second term </w:t>
      </w:r>
      <w:r w:rsidR="005029E7">
        <w:t>administration would make further progress in combating</w:t>
      </w:r>
      <w:r w:rsidRPr="006B5FEA">
        <w:t xml:space="preserve"> corruption</w:t>
      </w:r>
      <w:r>
        <w:t>, in particular judicial corruption. However</w:t>
      </w:r>
      <w:r w:rsidRPr="006B5FEA">
        <w:t xml:space="preserve"> the </w:t>
      </w:r>
      <w:r w:rsidR="005029E7">
        <w:t>continuing incidences</w:t>
      </w:r>
      <w:r w:rsidRPr="006B5FEA">
        <w:t xml:space="preserve"> of </w:t>
      </w:r>
      <w:r>
        <w:t xml:space="preserve">high level </w:t>
      </w:r>
      <w:r w:rsidRPr="006B5FEA">
        <w:t xml:space="preserve">corruption cases </w:t>
      </w:r>
      <w:r>
        <w:t xml:space="preserve">in 2010 further </w:t>
      </w:r>
      <w:r w:rsidRPr="006B5FEA">
        <w:t>reduced public confidence</w:t>
      </w:r>
      <w:r w:rsidR="005029E7">
        <w:t xml:space="preserve"> in the judiciary</w:t>
      </w:r>
      <w:r w:rsidRPr="006B5FEA">
        <w:t xml:space="preserve">. The National Strategy on Corruption Eradication was due to be launched in 2009, but </w:t>
      </w:r>
      <w:r w:rsidR="005029E7">
        <w:t>as at the end of 2010 was</w:t>
      </w:r>
      <w:r w:rsidRPr="006B5FEA">
        <w:t xml:space="preserve"> still </w:t>
      </w:r>
      <w:r>
        <w:t>a</w:t>
      </w:r>
      <w:r w:rsidRPr="006B5FEA">
        <w:t xml:space="preserve">waiting </w:t>
      </w:r>
      <w:r>
        <w:t>p</w:t>
      </w:r>
      <w:r w:rsidRPr="006B5FEA">
        <w:t>resident</w:t>
      </w:r>
      <w:r>
        <w:t>ial</w:t>
      </w:r>
      <w:r w:rsidRPr="006B5FEA">
        <w:t xml:space="preserve"> approval.</w:t>
      </w:r>
      <w:r>
        <w:t xml:space="preserve"> In 2010 </w:t>
      </w:r>
      <w:smartTag w:uri="urn:schemas-microsoft-com:office:smarttags" w:element="country-region">
        <w:smartTag w:uri="urn:schemas-microsoft-com:office:smarttags" w:element="place">
          <w:r>
            <w:t>Australia</w:t>
          </w:r>
        </w:smartTag>
      </w:smartTag>
      <w:r>
        <w:t xml:space="preserve"> operated </w:t>
      </w:r>
      <w:r w:rsidR="005D7DD3">
        <w:t xml:space="preserve">only </w:t>
      </w:r>
      <w:r>
        <w:t xml:space="preserve">a small, discrete transition program. </w:t>
      </w:r>
    </w:p>
    <w:p w:rsidR="00542CA5" w:rsidRDefault="00542CA5" w:rsidP="00612FF9">
      <w:pPr>
        <w:pStyle w:val="H2F"/>
      </w:pPr>
      <w:bookmarkStart w:id="168" w:name="_Toc293050013"/>
      <w:bookmarkStart w:id="169" w:name="_Toc360981898"/>
      <w:r>
        <w:t>Management consequences</w:t>
      </w:r>
      <w:bookmarkEnd w:id="168"/>
      <w:bookmarkEnd w:id="169"/>
    </w:p>
    <w:p w:rsidR="00586411" w:rsidRDefault="005D7DD3" w:rsidP="00586411">
      <w:pPr>
        <w:pStyle w:val="BodyText"/>
      </w:pPr>
      <w:r>
        <w:t>P</w:t>
      </w:r>
      <w:r w:rsidR="00586411">
        <w:t xml:space="preserve">rogress was made in addressing the management consequences identified in the 2009 APPR with most of the analytical products to inform the long-term program </w:t>
      </w:r>
      <w:r w:rsidR="005029E7">
        <w:t xml:space="preserve">(anti-corruption, access to justice for people with disability, review mechanisms for discriminatory regional regulations) </w:t>
      </w:r>
      <w:r w:rsidR="00586411">
        <w:t xml:space="preserve">finalised or in </w:t>
      </w:r>
      <w:r>
        <w:t xml:space="preserve">their </w:t>
      </w:r>
      <w:r w:rsidR="00586411">
        <w:t>final stages.</w:t>
      </w:r>
    </w:p>
    <w:p w:rsidR="00586411" w:rsidRDefault="00586411" w:rsidP="00586411">
      <w:pPr>
        <w:pStyle w:val="BodyText"/>
      </w:pPr>
      <w:r>
        <w:t xml:space="preserve">Induction of the new justice </w:t>
      </w:r>
      <w:r w:rsidR="0095369A">
        <w:t>p</w:t>
      </w:r>
      <w:r>
        <w:t xml:space="preserve">rogram </w:t>
      </w:r>
      <w:r w:rsidR="0095369A">
        <w:t>d</w:t>
      </w:r>
      <w:r>
        <w:t xml:space="preserve">irector will be important to ensure this model works in </w:t>
      </w:r>
      <w:r w:rsidR="008645D5">
        <w:t>strengthening</w:t>
      </w:r>
      <w:r>
        <w:t xml:space="preserve"> </w:t>
      </w:r>
      <w:proofErr w:type="spellStart"/>
      <w:r>
        <w:t>AusAID</w:t>
      </w:r>
      <w:proofErr w:type="spellEnd"/>
      <w:r>
        <w:t xml:space="preserve"> engagement </w:t>
      </w:r>
      <w:r w:rsidR="008645D5">
        <w:t>with</w:t>
      </w:r>
      <w:r w:rsidR="00FC4A2E">
        <w:t xml:space="preserve"> </w:t>
      </w:r>
      <w:r>
        <w:t>stakeholders</w:t>
      </w:r>
      <w:r w:rsidR="0069660A">
        <w:t>. This will</w:t>
      </w:r>
      <w:r>
        <w:t xml:space="preserve"> </w:t>
      </w:r>
      <w:r w:rsidR="008645D5">
        <w:t>ensur</w:t>
      </w:r>
      <w:r w:rsidR="0069660A">
        <w:t>e</w:t>
      </w:r>
      <w:r w:rsidR="008645D5">
        <w:t xml:space="preserve"> </w:t>
      </w:r>
      <w:r>
        <w:t xml:space="preserve">a better understanding of the political dynamics in the justice sector </w:t>
      </w:r>
      <w:r w:rsidR="005029E7">
        <w:t xml:space="preserve">so as </w:t>
      </w:r>
      <w:r>
        <w:t>to inform programming and manage risks.</w:t>
      </w:r>
    </w:p>
    <w:p w:rsidR="00586411" w:rsidRDefault="00586411" w:rsidP="00586411">
      <w:pPr>
        <w:pStyle w:val="BodyText"/>
      </w:pPr>
      <w:r>
        <w:t xml:space="preserve">Mobilisation of the new justice program will require significant investment of time and effort in 2011. Programming in 2011 will focus on continued support to stakeholders under the transition program while undertaking a comprehensive planning process by the end of the year. </w:t>
      </w:r>
    </w:p>
    <w:p w:rsidR="00586411" w:rsidRDefault="00586411" w:rsidP="00586411">
      <w:pPr>
        <w:pStyle w:val="BodyText"/>
      </w:pPr>
      <w:r>
        <w:t xml:space="preserve">Careful and strategic engagement of stakeholders, both in </w:t>
      </w:r>
      <w:smartTag w:uri="urn:schemas-microsoft-com:office:smarttags" w:element="country-region">
        <w:r>
          <w:t>Indonesia</w:t>
        </w:r>
      </w:smartTag>
      <w:r>
        <w:t xml:space="preserve"> and </w:t>
      </w:r>
      <w:smartTag w:uri="urn:schemas-microsoft-com:office:smarttags" w:element="place">
        <w:smartTag w:uri="urn:schemas-microsoft-com:office:smarttags" w:element="country-region">
          <w:r>
            <w:t>Australia</w:t>
          </w:r>
        </w:smartTag>
      </w:smartTag>
      <w:r>
        <w:t>, will be required to manage expectations.</w:t>
      </w:r>
    </w:p>
    <w:p w:rsidR="00542CA5" w:rsidRPr="00A31267" w:rsidRDefault="00542CA5" w:rsidP="00A31267">
      <w:pPr>
        <w:pStyle w:val="Caption"/>
        <w:rPr>
          <w:sz w:val="22"/>
          <w:szCs w:val="22"/>
          <w:highlight w:val="magenta"/>
        </w:rPr>
      </w:pPr>
      <w:bookmarkStart w:id="170" w:name="_Toc293050014"/>
      <w:r w:rsidRPr="00A31267">
        <w:rPr>
          <w:sz w:val="22"/>
          <w:szCs w:val="22"/>
        </w:rPr>
        <w:t>Estimated expenditure in 2010</w:t>
      </w:r>
      <w:bookmarkEnd w:id="170"/>
    </w:p>
    <w:tbl>
      <w:tblPr>
        <w:tblW w:w="0" w:type="auto"/>
        <w:tblInd w:w="57" w:type="dxa"/>
        <w:tblLayout w:type="fixed"/>
        <w:tblLook w:val="0000" w:firstRow="0" w:lastRow="0" w:firstColumn="0" w:lastColumn="0" w:noHBand="0" w:noVBand="0"/>
      </w:tblPr>
      <w:tblGrid>
        <w:gridCol w:w="5683"/>
        <w:gridCol w:w="1127"/>
        <w:gridCol w:w="1128"/>
      </w:tblGrid>
      <w:tr w:rsidR="00542CA5" w:rsidRPr="003E4C57" w:rsidTr="00027A09">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542CA5" w:rsidRDefault="00542CA5">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542CA5" w:rsidRDefault="00542CA5">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542CA5" w:rsidRDefault="00542CA5">
            <w:pPr>
              <w:pStyle w:val="TableDataColumnHeading"/>
            </w:pPr>
            <w:r>
              <w:t>% of bilateral program</w:t>
            </w:r>
          </w:p>
        </w:tc>
      </w:tr>
      <w:tr w:rsidR="00542CA5" w:rsidRPr="002452D0" w:rsidTr="00027A09">
        <w:trPr>
          <w:cantSplit/>
        </w:trPr>
        <w:tc>
          <w:tcPr>
            <w:tcW w:w="5683" w:type="dxa"/>
            <w:tcBorders>
              <w:bottom w:val="single" w:sz="12" w:space="0" w:color="auto"/>
            </w:tcBorders>
            <w:shd w:val="clear" w:color="auto" w:fill="auto"/>
            <w:tcMar>
              <w:left w:w="57" w:type="dxa"/>
              <w:right w:w="57" w:type="dxa"/>
            </w:tcMar>
          </w:tcPr>
          <w:p w:rsidR="00542CA5" w:rsidRPr="002452D0" w:rsidRDefault="00542CA5">
            <w:pPr>
              <w:pStyle w:val="TableDataEntries"/>
              <w:jc w:val="left"/>
            </w:pPr>
            <w:r>
              <w:t>Law and justice</w:t>
            </w:r>
          </w:p>
        </w:tc>
        <w:tc>
          <w:tcPr>
            <w:tcW w:w="1127" w:type="dxa"/>
            <w:tcBorders>
              <w:bottom w:val="single" w:sz="12" w:space="0" w:color="auto"/>
            </w:tcBorders>
            <w:shd w:val="clear" w:color="auto" w:fill="auto"/>
            <w:tcMar>
              <w:left w:w="57" w:type="dxa"/>
              <w:right w:w="57" w:type="dxa"/>
            </w:tcMar>
          </w:tcPr>
          <w:p w:rsidR="00542CA5" w:rsidRPr="002452D0" w:rsidRDefault="001C5B02">
            <w:pPr>
              <w:pStyle w:val="TableDataEntries"/>
            </w:pPr>
            <w:r>
              <w:t>5.8</w:t>
            </w:r>
          </w:p>
        </w:tc>
        <w:tc>
          <w:tcPr>
            <w:tcW w:w="1128" w:type="dxa"/>
            <w:tcBorders>
              <w:bottom w:val="single" w:sz="12" w:space="0" w:color="auto"/>
            </w:tcBorders>
            <w:shd w:val="clear" w:color="auto" w:fill="auto"/>
            <w:tcMar>
              <w:left w:w="57" w:type="dxa"/>
              <w:right w:w="57" w:type="dxa"/>
            </w:tcMar>
          </w:tcPr>
          <w:p w:rsidR="00542CA5" w:rsidRPr="002452D0" w:rsidRDefault="00C101A2">
            <w:pPr>
              <w:pStyle w:val="TableDataEntries"/>
            </w:pPr>
            <w:r>
              <w:t>1.5%</w:t>
            </w:r>
          </w:p>
        </w:tc>
      </w:tr>
    </w:tbl>
    <w:p w:rsidR="00542CA5" w:rsidRDefault="00542CA5">
      <w:pPr>
        <w:pStyle w:val="Source"/>
      </w:pPr>
      <w:r w:rsidRPr="00C05EB3">
        <w:t xml:space="preserve">Source: </w:t>
      </w:r>
      <w:r w:rsidR="0044505C">
        <w:t xml:space="preserve">2009-2010 fiscal year’s expenditures in </w:t>
      </w:r>
      <w:proofErr w:type="spellStart"/>
      <w:r w:rsidR="0044505C">
        <w:t>AidWorks</w:t>
      </w:r>
      <w:proofErr w:type="spellEnd"/>
    </w:p>
    <w:p w:rsidR="001C5B02" w:rsidRDefault="001C5B02" w:rsidP="00683977">
      <w:pPr>
        <w:pStyle w:val="Heading2"/>
      </w:pPr>
      <w:bookmarkStart w:id="171" w:name="_Toc293050015"/>
      <w:bookmarkStart w:id="172" w:name="_Toc300905114"/>
      <w:bookmarkStart w:id="173" w:name="_Toc360981899"/>
      <w:r>
        <w:t>Election</w:t>
      </w:r>
      <w:bookmarkEnd w:id="171"/>
      <w:bookmarkEnd w:id="172"/>
      <w:bookmarkEnd w:id="173"/>
    </w:p>
    <w:p w:rsidR="00683977" w:rsidRDefault="00683977" w:rsidP="00612FF9">
      <w:pPr>
        <w:pStyle w:val="H2F"/>
      </w:pPr>
      <w:bookmarkStart w:id="174" w:name="_Toc360981900"/>
      <w:bookmarkStart w:id="175" w:name="_Toc293050016"/>
      <w:r>
        <w:t>Elections</w:t>
      </w:r>
      <w:bookmarkEnd w:id="174"/>
      <w:r>
        <w:t xml:space="preserve"> </w:t>
      </w:r>
    </w:p>
    <w:p w:rsidR="001C5B02" w:rsidRDefault="001C5B02" w:rsidP="00612FF9">
      <w:pPr>
        <w:pStyle w:val="Heading3"/>
      </w:pPr>
      <w:bookmarkStart w:id="176" w:name="_Toc360981901"/>
      <w:r>
        <w:t>Rating</w:t>
      </w:r>
      <w:bookmarkEnd w:id="175"/>
      <w:bookmarkEnd w:id="176"/>
    </w:p>
    <w:tbl>
      <w:tblPr>
        <w:tblW w:w="0" w:type="auto"/>
        <w:tblInd w:w="57" w:type="dxa"/>
        <w:tblLook w:val="01E0" w:firstRow="1" w:lastRow="1" w:firstColumn="1" w:lastColumn="1" w:noHBand="0" w:noVBand="0"/>
      </w:tblPr>
      <w:tblGrid>
        <w:gridCol w:w="5709"/>
        <w:gridCol w:w="895"/>
        <w:gridCol w:w="1315"/>
      </w:tblGrid>
      <w:tr w:rsidR="00033DBC" w:rsidTr="00C354EE">
        <w:trPr>
          <w:cantSplit/>
          <w:tblHeader/>
        </w:trPr>
        <w:tc>
          <w:tcPr>
            <w:tcW w:w="5725" w:type="dxa"/>
            <w:shd w:val="clear" w:color="auto" w:fill="F5F1CC"/>
            <w:tcMar>
              <w:left w:w="57" w:type="dxa"/>
              <w:right w:w="57" w:type="dxa"/>
            </w:tcMar>
          </w:tcPr>
          <w:p w:rsidR="00033DBC" w:rsidRDefault="0001375B" w:rsidP="00145E8E">
            <w:pPr>
              <w:pStyle w:val="TableTextEntries"/>
            </w:pPr>
            <w:r>
              <w:t>Objectives</w:t>
            </w:r>
          </w:p>
        </w:tc>
        <w:tc>
          <w:tcPr>
            <w:tcW w:w="896" w:type="dxa"/>
            <w:shd w:val="clear" w:color="auto" w:fill="F5F1CC"/>
            <w:tcMar>
              <w:left w:w="57" w:type="dxa"/>
              <w:right w:w="57" w:type="dxa"/>
            </w:tcMar>
            <w:vAlign w:val="center"/>
          </w:tcPr>
          <w:p w:rsidR="00033DBC" w:rsidRDefault="00033DBC" w:rsidP="00033DBC">
            <w:pPr>
              <w:pStyle w:val="TableTextEntries"/>
              <w:jc w:val="center"/>
            </w:pPr>
            <w:r>
              <w:t>Rating in 2010</w:t>
            </w:r>
          </w:p>
        </w:tc>
        <w:tc>
          <w:tcPr>
            <w:tcW w:w="1316" w:type="dxa"/>
            <w:shd w:val="clear" w:color="auto" w:fill="F5F1CC"/>
            <w:tcMar>
              <w:left w:w="57" w:type="dxa"/>
              <w:right w:w="57" w:type="dxa"/>
            </w:tcMar>
            <w:vAlign w:val="center"/>
          </w:tcPr>
          <w:p w:rsidR="00033DBC" w:rsidRDefault="00033DBC" w:rsidP="00033DBC">
            <w:pPr>
              <w:pStyle w:val="TableTextEntries"/>
              <w:jc w:val="center"/>
              <w:rPr>
                <w:bCs/>
              </w:rPr>
            </w:pPr>
            <w:r>
              <w:rPr>
                <w:bCs/>
              </w:rPr>
              <w:t>Relative to previous rating</w:t>
            </w:r>
          </w:p>
        </w:tc>
      </w:tr>
      <w:tr w:rsidR="00033DBC" w:rsidTr="008645D5">
        <w:trPr>
          <w:cantSplit/>
        </w:trPr>
        <w:tc>
          <w:tcPr>
            <w:tcW w:w="5725" w:type="dxa"/>
            <w:shd w:val="clear" w:color="auto" w:fill="auto"/>
            <w:tcMar>
              <w:left w:w="57" w:type="dxa"/>
              <w:right w:w="57" w:type="dxa"/>
            </w:tcMar>
            <w:vAlign w:val="center"/>
          </w:tcPr>
          <w:p w:rsidR="00033DBC" w:rsidRDefault="00033DBC" w:rsidP="00145E8E">
            <w:pPr>
              <w:pStyle w:val="TableTextEntries"/>
            </w:pPr>
            <w:r w:rsidRPr="00532793">
              <w:t>Improved performance of electoral management bodies in managing and delivering quality elections (local and national)</w:t>
            </w:r>
          </w:p>
        </w:tc>
        <w:tc>
          <w:tcPr>
            <w:tcW w:w="896" w:type="dxa"/>
            <w:shd w:val="clear" w:color="auto" w:fill="auto"/>
            <w:tcMar>
              <w:left w:w="57" w:type="dxa"/>
              <w:right w:w="57" w:type="dxa"/>
            </w:tcMar>
            <w:vAlign w:val="center"/>
          </w:tcPr>
          <w:p w:rsidR="00033DBC" w:rsidRDefault="00907A26" w:rsidP="00145E8E">
            <w:pPr>
              <w:pStyle w:val="Ratingbullet"/>
            </w:pPr>
            <w:r>
              <w:rPr>
                <w:noProof/>
                <w:lang w:val="en-US"/>
              </w:rPr>
              <w:drawing>
                <wp:inline distT="0" distB="0" distL="0" distR="0" wp14:anchorId="3F4BB7A7" wp14:editId="56D14840">
                  <wp:extent cx="149530" cy="149530"/>
                  <wp:effectExtent l="0" t="0" r="3175" b="3175"/>
                  <wp:docPr id="73" name="Picture 7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033DBC" w:rsidRDefault="00033DBC" w:rsidP="00145E8E">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033DBC">
              <w:rPr>
                <w:bCs/>
              </w:rPr>
              <w:t>Unchanged</w:t>
            </w:r>
            <w:r>
              <w:rPr>
                <w:bCs/>
              </w:rPr>
              <w:fldChar w:fldCharType="end"/>
            </w:r>
          </w:p>
        </w:tc>
      </w:tr>
      <w:tr w:rsidR="00033DBC" w:rsidTr="008645D5">
        <w:trPr>
          <w:cantSplit/>
        </w:trPr>
        <w:tc>
          <w:tcPr>
            <w:tcW w:w="5725" w:type="dxa"/>
            <w:shd w:val="clear" w:color="auto" w:fill="auto"/>
            <w:tcMar>
              <w:left w:w="57" w:type="dxa"/>
              <w:right w:w="57" w:type="dxa"/>
            </w:tcMar>
            <w:vAlign w:val="center"/>
          </w:tcPr>
          <w:p w:rsidR="00033DBC" w:rsidRDefault="00033DBC" w:rsidP="00145E8E">
            <w:pPr>
              <w:pStyle w:val="TableTextEntries"/>
            </w:pPr>
            <w:r>
              <w:lastRenderedPageBreak/>
              <w:t xml:space="preserve">Increased public engagement in </w:t>
            </w:r>
            <w:smartTag w:uri="urn:schemas-microsoft-com:office:smarttags" w:element="place">
              <w:smartTag w:uri="urn:schemas-microsoft-com:office:smarttags" w:element="country-region">
                <w:r>
                  <w:t>Indonesia</w:t>
                </w:r>
              </w:smartTag>
            </w:smartTag>
            <w:r>
              <w:t xml:space="preserve">’s elections and systems </w:t>
            </w:r>
          </w:p>
        </w:tc>
        <w:tc>
          <w:tcPr>
            <w:tcW w:w="896" w:type="dxa"/>
            <w:shd w:val="clear" w:color="auto" w:fill="auto"/>
            <w:tcMar>
              <w:left w:w="57" w:type="dxa"/>
              <w:right w:w="57" w:type="dxa"/>
            </w:tcMar>
            <w:vAlign w:val="center"/>
          </w:tcPr>
          <w:p w:rsidR="00033DBC" w:rsidRDefault="00907A26" w:rsidP="00145E8E">
            <w:pPr>
              <w:pStyle w:val="Ratingbullet"/>
            </w:pPr>
            <w:r>
              <w:rPr>
                <w:noProof/>
                <w:lang w:val="en-US"/>
              </w:rPr>
              <w:drawing>
                <wp:inline distT="0" distB="0" distL="0" distR="0" wp14:anchorId="35CD9D23" wp14:editId="2C12120C">
                  <wp:extent cx="149530" cy="149530"/>
                  <wp:effectExtent l="0" t="0" r="3175" b="3175"/>
                  <wp:docPr id="74" name="Picture 7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beer.png"/>
                          <pic:cNvPicPr/>
                        </pic:nvPicPr>
                        <pic:blipFill>
                          <a:blip r:embed="rId14">
                            <a:extLst>
                              <a:ext uri="{28A0092B-C50C-407E-A947-70E740481C1C}">
                                <a14:useLocalDpi xmlns:a14="http://schemas.microsoft.com/office/drawing/2010/main" val="0"/>
                              </a:ext>
                            </a:extLst>
                          </a:blip>
                          <a:stretch>
                            <a:fillRect/>
                          </a:stretch>
                        </pic:blipFill>
                        <pic:spPr>
                          <a:xfrm>
                            <a:off x="0" y="0"/>
                            <a:ext cx="153591" cy="153591"/>
                          </a:xfrm>
                          <a:prstGeom prst="rect">
                            <a:avLst/>
                          </a:prstGeom>
                        </pic:spPr>
                      </pic:pic>
                    </a:graphicData>
                  </a:graphic>
                </wp:inline>
              </w:drawing>
            </w:r>
          </w:p>
        </w:tc>
        <w:tc>
          <w:tcPr>
            <w:tcW w:w="1316" w:type="dxa"/>
            <w:shd w:val="clear" w:color="auto" w:fill="auto"/>
            <w:tcMar>
              <w:left w:w="57" w:type="dxa"/>
              <w:right w:w="57" w:type="dxa"/>
            </w:tcMar>
            <w:vAlign w:val="center"/>
          </w:tcPr>
          <w:p w:rsidR="00033DBC" w:rsidRDefault="00033DBC" w:rsidP="00145E8E">
            <w:pPr>
              <w:pStyle w:val="TableTextEntries"/>
              <w:jc w:val="center"/>
              <w:rPr>
                <w:bCs/>
              </w:rPr>
            </w:pPr>
            <w:r>
              <w:rPr>
                <w:bCs/>
              </w:rPr>
              <w:fldChar w:fldCharType="begin"/>
            </w:r>
            <w:r>
              <w:rPr>
                <w:bCs/>
              </w:rPr>
              <w:instrText xml:space="preserve"> AUTOTEXTLIST  \s "Table Text Entries"\t "Right click to choose a response" \* MERGEFORMAT </w:instrText>
            </w:r>
            <w:r>
              <w:rPr>
                <w:bCs/>
              </w:rPr>
              <w:fldChar w:fldCharType="separate"/>
            </w:r>
            <w:r w:rsidRPr="00033DBC">
              <w:rPr>
                <w:bCs/>
              </w:rPr>
              <w:t>Unchanged</w:t>
            </w:r>
            <w:r>
              <w:rPr>
                <w:bCs/>
              </w:rPr>
              <w:fldChar w:fldCharType="end"/>
            </w:r>
          </w:p>
        </w:tc>
      </w:tr>
    </w:tbl>
    <w:p w:rsidR="001D296A" w:rsidRDefault="001D296A" w:rsidP="00612FF9">
      <w:pPr>
        <w:pStyle w:val="H2F"/>
      </w:pPr>
      <w:bookmarkStart w:id="177" w:name="_Toc293050017"/>
      <w:bookmarkStart w:id="178" w:name="_Toc360981902"/>
      <w:r w:rsidRPr="00044215">
        <w:t>Assessment of results and performance</w:t>
      </w:r>
      <w:bookmarkEnd w:id="177"/>
      <w:bookmarkEnd w:id="178"/>
    </w:p>
    <w:p w:rsidR="00A70F17" w:rsidRDefault="00A70F17" w:rsidP="00A70F17">
      <w:pPr>
        <w:pStyle w:val="BodyText"/>
      </w:pPr>
      <w:r>
        <w:t xml:space="preserve">In 2010, more than 240 local elections conducted in </w:t>
      </w:r>
      <w:smartTag w:uri="urn:schemas-microsoft-com:office:smarttags" w:element="place">
        <w:smartTag w:uri="urn:schemas-microsoft-com:office:smarttags" w:element="country-region">
          <w:r>
            <w:t>Indonesia</w:t>
          </w:r>
        </w:smartTag>
      </w:smartTag>
      <w:r>
        <w:t xml:space="preserve"> </w:t>
      </w:r>
      <w:r w:rsidR="005D7DD3">
        <w:t xml:space="preserve">showed </w:t>
      </w:r>
      <w:r>
        <w:t xml:space="preserve">that problems evident in the 2009 national elections have not been resolved, and may be worsening. </w:t>
      </w:r>
      <w:r w:rsidR="00847D7D">
        <w:t xml:space="preserve">Violence was associated with </w:t>
      </w:r>
      <w:r w:rsidR="008645D5">
        <w:t>approximately</w:t>
      </w:r>
      <w:r>
        <w:t xml:space="preserve"> 10% of elections, 80% of results were disputed in the </w:t>
      </w:r>
      <w:smartTag w:uri="urn:schemas-microsoft-com:office:smarttags" w:element="Street">
        <w:smartTag w:uri="urn:schemas-microsoft-com:office:smarttags" w:element="address">
          <w:r>
            <w:t>Constitutional Court</w:t>
          </w:r>
        </w:smartTag>
      </w:smartTag>
      <w:r>
        <w:t xml:space="preserve">, and parliamentary revisions to essential electoral legislation have been delayed. In this context, </w:t>
      </w:r>
      <w:smartTag w:uri="urn:schemas-microsoft-com:office:smarttags" w:element="place">
        <w:smartTag w:uri="urn:schemas-microsoft-com:office:smarttags" w:element="country-region">
          <w:r>
            <w:t>Australia</w:t>
          </w:r>
        </w:smartTag>
      </w:smartTag>
      <w:r>
        <w:t xml:space="preserve"> funded a one-year interim program while finalising a new five-year program. Assistance under the interim program was targeted to inform legislative revisions and strengthen the capacity of electoral management bodies. </w:t>
      </w:r>
      <w:smartTag w:uri="urn:schemas-microsoft-com:office:smarttags" w:element="country-region">
        <w:r>
          <w:t>Australia</w:t>
        </w:r>
      </w:smartTag>
      <w:r>
        <w:t xml:space="preserve"> remains the largest donor in this sector although contributions are less than 1% of </w:t>
      </w:r>
      <w:smartTag w:uri="urn:schemas-microsoft-com:office:smarttags" w:element="place">
        <w:smartTag w:uri="urn:schemas-microsoft-com:office:smarttags" w:element="country-region">
          <w:r>
            <w:t>Indonesia</w:t>
          </w:r>
        </w:smartTag>
      </w:smartTag>
      <w:r>
        <w:t>’s expenditure on elections.</w:t>
      </w:r>
      <w:r w:rsidRPr="00F31C4E">
        <w:rPr>
          <w:rStyle w:val="FootnoteReference"/>
          <w:rFonts w:ascii="Georgia" w:hAnsi="Georgia"/>
          <w:sz w:val="19"/>
          <w:szCs w:val="20"/>
          <w:vertAlign w:val="superscript"/>
        </w:rPr>
        <w:footnoteReference w:id="21"/>
      </w:r>
      <w:r>
        <w:t xml:space="preserve"> Key results in 2010 included:</w:t>
      </w:r>
    </w:p>
    <w:p w:rsidR="00A70F17" w:rsidRDefault="00A70F17" w:rsidP="00F31C4E">
      <w:pPr>
        <w:pStyle w:val="ListBullet2"/>
      </w:pPr>
      <w:r>
        <w:t xml:space="preserve">Support for the Electoral Resources Information Centre that laid the groundwork for the Electoral Commission to make election information (such as election results) publicly available and meet responsibilities under the 2008 Freedom of Information Law for the first time. </w:t>
      </w:r>
    </w:p>
    <w:p w:rsidR="00A70F17" w:rsidRDefault="00A70F17" w:rsidP="00F31C4E">
      <w:pPr>
        <w:pStyle w:val="ListBullet2"/>
      </w:pPr>
      <w:r>
        <w:t xml:space="preserve">Training to local electoral commissions in five provinces that </w:t>
      </w:r>
      <w:r w:rsidR="008645D5" w:rsidRPr="00516F29">
        <w:t>i</w:t>
      </w:r>
      <w:r w:rsidR="008645D5">
        <w:t>mproved</w:t>
      </w:r>
      <w:r w:rsidR="008645D5" w:rsidRPr="00516F29">
        <w:t xml:space="preserve"> </w:t>
      </w:r>
      <w:r>
        <w:t>their ability to</w:t>
      </w:r>
      <w:r w:rsidRPr="00516F29">
        <w:t xml:space="preserve"> manag</w:t>
      </w:r>
      <w:r>
        <w:t>e</w:t>
      </w:r>
      <w:r w:rsidRPr="00516F29">
        <w:t xml:space="preserve"> </w:t>
      </w:r>
      <w:r>
        <w:t xml:space="preserve">the </w:t>
      </w:r>
      <w:r w:rsidRPr="00516F29">
        <w:t>voter</w:t>
      </w:r>
      <w:r>
        <w:t>s</w:t>
      </w:r>
      <w:r w:rsidRPr="00516F29">
        <w:t xml:space="preserve"> list</w:t>
      </w:r>
      <w:r>
        <w:t xml:space="preserve">, </w:t>
      </w:r>
      <w:r w:rsidRPr="00516F29">
        <w:t>confirm</w:t>
      </w:r>
      <w:r>
        <w:t>ed</w:t>
      </w:r>
      <w:r w:rsidRPr="00516F29">
        <w:t xml:space="preserve"> the right to vote for 38</w:t>
      </w:r>
      <w:r>
        <w:t xml:space="preserve"> million </w:t>
      </w:r>
      <w:r w:rsidRPr="00516F29">
        <w:t>people</w:t>
      </w:r>
      <w:r>
        <w:t>,</w:t>
      </w:r>
      <w:r w:rsidRPr="00516F29">
        <w:t xml:space="preserve"> </w:t>
      </w:r>
      <w:r>
        <w:t>and increased</w:t>
      </w:r>
      <w:r w:rsidRPr="00516F29">
        <w:t xml:space="preserve"> public confidence in the voter registry.</w:t>
      </w:r>
      <w:r>
        <w:t xml:space="preserve"> </w:t>
      </w:r>
    </w:p>
    <w:p w:rsidR="00A70F17" w:rsidRDefault="00A70F17" w:rsidP="00F31C4E">
      <w:pPr>
        <w:pStyle w:val="ListBullet2"/>
      </w:pPr>
      <w:r>
        <w:t xml:space="preserve">The first standardised manual for polling officials working on sub-national elections across the country to ensure that all polling officials are able to consistently manage local elections. </w:t>
      </w:r>
    </w:p>
    <w:p w:rsidR="00A70F17" w:rsidRDefault="00A70F17" w:rsidP="00F31C4E">
      <w:pPr>
        <w:pStyle w:val="ListBullet2"/>
      </w:pPr>
      <w:r>
        <w:rPr>
          <w:lang w:val="en-US"/>
        </w:rPr>
        <w:t xml:space="preserve">Production of evidence-based research on elections financing, women’s candidacy and elections monitoring to inform amendments to the elections management law and local elections law. These have been </w:t>
      </w:r>
      <w:proofErr w:type="spellStart"/>
      <w:r>
        <w:rPr>
          <w:lang w:val="en-US"/>
        </w:rPr>
        <w:t>favourably</w:t>
      </w:r>
      <w:proofErr w:type="spellEnd"/>
      <w:r>
        <w:rPr>
          <w:lang w:val="en-US"/>
        </w:rPr>
        <w:t xml:space="preserve"> received by the Ministry of Home Affairs and Parliament. </w:t>
      </w:r>
    </w:p>
    <w:p w:rsidR="00452887" w:rsidRDefault="00A70F17" w:rsidP="00F31C4E">
      <w:pPr>
        <w:pStyle w:val="ListBullet2"/>
      </w:pPr>
      <w:r>
        <w:t>Elections financing research that was the first of its kind. It will assist increased transparency in elections budgeting, advise decision-makers of potential cost savings in the conduct of elections, and inform electoral legislation revisions.</w:t>
      </w:r>
    </w:p>
    <w:p w:rsidR="00F31C4E" w:rsidRPr="00452887" w:rsidRDefault="00F31C4E" w:rsidP="00F31C4E">
      <w:pPr>
        <w:pStyle w:val="BodyText"/>
      </w:pPr>
      <w:r>
        <w:t xml:space="preserve">In addition, </w:t>
      </w:r>
      <w:smartTag w:uri="urn:schemas-microsoft-com:office:smarttags" w:element="place">
        <w:smartTag w:uri="urn:schemas-microsoft-com:office:smarttags" w:element="country-region">
          <w:r>
            <w:t>Australia</w:t>
          </w:r>
        </w:smartTag>
      </w:smartTag>
      <w:r>
        <w:t xml:space="preserve">’s long-term program of </w:t>
      </w:r>
      <w:r w:rsidRPr="009E0362">
        <w:t>support</w:t>
      </w:r>
      <w:r>
        <w:t xml:space="preserve"> </w:t>
      </w:r>
      <w:r w:rsidR="00847D7D">
        <w:t xml:space="preserve">2011-15 was </w:t>
      </w:r>
      <w:r w:rsidR="008645D5">
        <w:t>approved</w:t>
      </w:r>
      <w:r>
        <w:t xml:space="preserve"> at the end of 2010</w:t>
      </w:r>
      <w:r w:rsidRPr="009E0362">
        <w:t>.</w:t>
      </w:r>
    </w:p>
    <w:p w:rsidR="001D296A" w:rsidRDefault="001D296A" w:rsidP="00612FF9">
      <w:pPr>
        <w:pStyle w:val="H2F"/>
      </w:pPr>
      <w:bookmarkStart w:id="179" w:name="_Toc293050018"/>
      <w:bookmarkStart w:id="180" w:name="_Toc360981903"/>
      <w:r>
        <w:t>Factors contributing to or hampering success</w:t>
      </w:r>
      <w:bookmarkEnd w:id="179"/>
      <w:bookmarkEnd w:id="180"/>
    </w:p>
    <w:p w:rsidR="004C6952" w:rsidRDefault="004C6952" w:rsidP="008645D5">
      <w:pPr>
        <w:pStyle w:val="BodyText"/>
      </w:pPr>
      <w:r>
        <w:t xml:space="preserve">The provision of </w:t>
      </w:r>
      <w:r w:rsidR="00847D7D">
        <w:t xml:space="preserve">electoral assistance in 2010 was </w:t>
      </w:r>
      <w:r w:rsidR="009B3448">
        <w:t xml:space="preserve">delivered </w:t>
      </w:r>
      <w:r w:rsidR="00847D7D">
        <w:t xml:space="preserve">against the backdrop of the problems highlighted in the 2009 national elections. Of most concern were: an inaccurate voters list that disenfranchised millions of voters; errors in vote tabulation; and a high level of invalid votes that could have </w:t>
      </w:r>
      <w:r w:rsidR="003B5DC8">
        <w:t>led to</w:t>
      </w:r>
      <w:r w:rsidR="00847D7D">
        <w:t xml:space="preserve"> significant disputes if the winning margin had not been so substantial. These weaknesses on election day were underpinned by weak human resource capacity and communication within electoral management bodies, an ambiguous and </w:t>
      </w:r>
      <w:r w:rsidR="00847D7D">
        <w:lastRenderedPageBreak/>
        <w:t xml:space="preserve">changing legislative framework and weak commitment to timely decision-making that meant key decisions were left too late to be effective. </w:t>
      </w:r>
    </w:p>
    <w:p w:rsidR="00847D7D" w:rsidRDefault="00847D7D" w:rsidP="008645D5">
      <w:pPr>
        <w:pStyle w:val="BodyText"/>
      </w:pPr>
      <w:r w:rsidRPr="00244E33">
        <w:t>The</w:t>
      </w:r>
      <w:r>
        <w:t xml:space="preserve"> concern</w:t>
      </w:r>
      <w:r w:rsidRPr="00244E33">
        <w:t xml:space="preserve"> is that </w:t>
      </w:r>
      <w:r>
        <w:t xml:space="preserve">if </w:t>
      </w:r>
      <w:r w:rsidRPr="00244E33">
        <w:t xml:space="preserve">the next round of national elections </w:t>
      </w:r>
      <w:r>
        <w:t xml:space="preserve">in 2014 yield unclear </w:t>
      </w:r>
      <w:r w:rsidRPr="00244E33">
        <w:t xml:space="preserve">results </w:t>
      </w:r>
      <w:r>
        <w:t>(either through weak management capacity and/or corruption), this will undermine public confidence in political and legal processes to resolve election disputes, leading to the reversal of democratic gains and at worst, outbreaks of violence</w:t>
      </w:r>
      <w:r w:rsidRPr="00244E33">
        <w:t>.</w:t>
      </w:r>
      <w:r>
        <w:t xml:space="preserve"> The local elections in the lead up to the 2014 national elections</w:t>
      </w:r>
      <w:r w:rsidR="004C6952">
        <w:t xml:space="preserve"> will test whether progress is being made in addressing these problems.</w:t>
      </w:r>
    </w:p>
    <w:p w:rsidR="00F31C4E" w:rsidRDefault="00F31C4E" w:rsidP="00F31C4E">
      <w:pPr>
        <w:pStyle w:val="BodyText"/>
      </w:pPr>
      <w:smartTag w:uri="urn:schemas-microsoft-com:office:smarttags" w:element="place">
        <w:smartTag w:uri="urn:schemas-microsoft-com:office:smarttags" w:element="country-region">
          <w:r>
            <w:t>Australia</w:t>
          </w:r>
        </w:smartTag>
      </w:smartTag>
      <w:r>
        <w:t xml:space="preserve">’s key partners in the delivery of the </w:t>
      </w:r>
      <w:r w:rsidR="00847D7D">
        <w:t xml:space="preserve">2010 elections </w:t>
      </w:r>
      <w:r>
        <w:t xml:space="preserve">program – </w:t>
      </w:r>
      <w:r w:rsidRPr="00F31C4E">
        <w:rPr>
          <w:rStyle w:val="AbbreviationChar"/>
        </w:rPr>
        <w:t>CSOs</w:t>
      </w:r>
      <w:r>
        <w:t xml:space="preserve">, </w:t>
      </w:r>
      <w:r w:rsidR="003B5DC8">
        <w:t xml:space="preserve">the </w:t>
      </w:r>
      <w:r>
        <w:t>United Nations Development Programme (UNDP) and the Australian Electoral Commission – demonstrated strong relationships with their respective counterparts. This resulted in effective participation in training, and research inputs were actively considered in parliamentary debates on electoral legislation. At the same time, p</w:t>
      </w:r>
      <w:r>
        <w:rPr>
          <w:rFonts w:cs="Arial"/>
        </w:rPr>
        <w:t>rolonged parliamentary deliberations, espe</w:t>
      </w:r>
      <w:r w:rsidRPr="00862554">
        <w:rPr>
          <w:rFonts w:cs="Arial"/>
        </w:rPr>
        <w:t>cially</w:t>
      </w:r>
      <w:r>
        <w:rPr>
          <w:rFonts w:cs="Arial"/>
        </w:rPr>
        <w:t xml:space="preserve"> on the</w:t>
      </w:r>
      <w:r w:rsidRPr="00862554">
        <w:rPr>
          <w:rFonts w:cs="Arial"/>
        </w:rPr>
        <w:t xml:space="preserve"> elections management law</w:t>
      </w:r>
      <w:r>
        <w:rPr>
          <w:rFonts w:cs="Arial"/>
        </w:rPr>
        <w:t>, resulted in delays to the finalisation of</w:t>
      </w:r>
      <w:r w:rsidRPr="00862554">
        <w:rPr>
          <w:rFonts w:cs="Arial"/>
        </w:rPr>
        <w:t xml:space="preserve"> </w:t>
      </w:r>
      <w:r>
        <w:rPr>
          <w:rFonts w:cs="Arial"/>
        </w:rPr>
        <w:t xml:space="preserve">activities. </w:t>
      </w:r>
    </w:p>
    <w:p w:rsidR="001D296A" w:rsidRDefault="001D296A" w:rsidP="00612FF9">
      <w:pPr>
        <w:pStyle w:val="H2F"/>
      </w:pPr>
      <w:bookmarkStart w:id="181" w:name="_Toc293050019"/>
      <w:bookmarkStart w:id="182" w:name="_Toc360981904"/>
      <w:r>
        <w:t>Management consequences</w:t>
      </w:r>
      <w:bookmarkEnd w:id="181"/>
      <w:bookmarkEnd w:id="182"/>
    </w:p>
    <w:p w:rsidR="00F31C4E" w:rsidRPr="00CD3939" w:rsidRDefault="00F31C4E" w:rsidP="00F31C4E">
      <w:pPr>
        <w:pStyle w:val="BodyText"/>
      </w:pPr>
      <w:r>
        <w:t xml:space="preserve">Good progress was made in addressing the management consequences identified in the 2009 </w:t>
      </w:r>
      <w:r w:rsidRPr="00F31C4E">
        <w:rPr>
          <w:rStyle w:val="AbbreviationChar"/>
        </w:rPr>
        <w:t>APPR.</w:t>
      </w:r>
      <w:r>
        <w:t xml:space="preserve"> Additional staff were engaged and the new five</w:t>
      </w:r>
      <w:r w:rsidR="003B5DC8">
        <w:t>-</w:t>
      </w:r>
      <w:r>
        <w:t xml:space="preserve">year elections program received Ministerial approval. </w:t>
      </w:r>
    </w:p>
    <w:p w:rsidR="00F31C4E" w:rsidRDefault="00F31C4E" w:rsidP="00F31C4E">
      <w:pPr>
        <w:pStyle w:val="BodyText"/>
      </w:pPr>
      <w:r>
        <w:t>The transition program has positioned us well in terms of highlighting the benefits of engaging directly with partners in the delivery of a politically sensitive program.  A</w:t>
      </w:r>
      <w:r w:rsidRPr="00CD3939">
        <w:t xml:space="preserve">pproval of the procurement method and funding </w:t>
      </w:r>
      <w:r>
        <w:t xml:space="preserve">of the proposed delivery partner </w:t>
      </w:r>
      <w:r w:rsidRPr="00CD3939">
        <w:t xml:space="preserve">is required </w:t>
      </w:r>
      <w:r w:rsidR="003B5DC8">
        <w:t>for</w:t>
      </w:r>
      <w:r w:rsidRPr="00CD3939">
        <w:t xml:space="preserve"> the program </w:t>
      </w:r>
      <w:r w:rsidR="003B5DC8">
        <w:t>to</w:t>
      </w:r>
      <w:r w:rsidR="003B5DC8" w:rsidRPr="00CD3939">
        <w:t xml:space="preserve"> </w:t>
      </w:r>
      <w:r w:rsidRPr="00CD3939">
        <w:t>mobilise</w:t>
      </w:r>
      <w:r>
        <w:t xml:space="preserve"> </w:t>
      </w:r>
      <w:r w:rsidR="00847D7D">
        <w:t>in 2011</w:t>
      </w:r>
      <w:r w:rsidRPr="00CD3939">
        <w:t>.</w:t>
      </w:r>
    </w:p>
    <w:p w:rsidR="00F31C4E" w:rsidRDefault="00F31C4E" w:rsidP="00F31C4E">
      <w:pPr>
        <w:pStyle w:val="BodyText"/>
      </w:pPr>
      <w:r>
        <w:t xml:space="preserve">Further delays in passing electoral management legislation beyond mid-2011 will negatively impact on achieving </w:t>
      </w:r>
      <w:r w:rsidR="004C6952">
        <w:t xml:space="preserve">the long-term </w:t>
      </w:r>
      <w:r>
        <w:t xml:space="preserve">program outcomes. The Democratic Governance team will continue to closely monitor the progress of electoral reform and regularly review and update the risk management framework. Key risk management strategies will include </w:t>
      </w:r>
      <w:r w:rsidR="003B5DC8">
        <w:t xml:space="preserve">keeping </w:t>
      </w:r>
      <w:r>
        <w:t xml:space="preserve">the program </w:t>
      </w:r>
      <w:r w:rsidR="003B5DC8">
        <w:t xml:space="preserve">open </w:t>
      </w:r>
      <w:r>
        <w:t>to opportunities for engagement</w:t>
      </w:r>
      <w:r w:rsidR="003B5DC8">
        <w:t>,</w:t>
      </w:r>
      <w:r>
        <w:t xml:space="preserve"> and</w:t>
      </w:r>
      <w:r w:rsidR="003B5DC8">
        <w:t xml:space="preserve"> ensuring </w:t>
      </w:r>
      <w:r>
        <w:t>the delivery partner has a proven track record of managing risks in the sector.</w:t>
      </w:r>
    </w:p>
    <w:p w:rsidR="00F31C4E" w:rsidRDefault="00F31C4E" w:rsidP="00F31C4E">
      <w:pPr>
        <w:pStyle w:val="BodyText"/>
      </w:pPr>
      <w:r>
        <w:t xml:space="preserve">An independent completion review will </w:t>
      </w:r>
      <w:r w:rsidR="003B5DC8">
        <w:t>examine</w:t>
      </w:r>
      <w:r>
        <w:t xml:space="preserve"> the transition program. Its recommendations will inform the long term program.</w:t>
      </w:r>
    </w:p>
    <w:p w:rsidR="001C5B02" w:rsidRPr="00A31267" w:rsidRDefault="001C5B02" w:rsidP="00A31267">
      <w:pPr>
        <w:pStyle w:val="Caption"/>
        <w:rPr>
          <w:sz w:val="22"/>
          <w:szCs w:val="22"/>
          <w:highlight w:val="magenta"/>
        </w:rPr>
      </w:pPr>
      <w:bookmarkStart w:id="183" w:name="_Toc293050020"/>
      <w:r w:rsidRPr="00A31267">
        <w:rPr>
          <w:sz w:val="22"/>
          <w:szCs w:val="22"/>
        </w:rPr>
        <w:t>Estimated expenditure in 20</w:t>
      </w:r>
      <w:r w:rsidR="001D296A" w:rsidRPr="00A31267">
        <w:rPr>
          <w:sz w:val="22"/>
          <w:szCs w:val="22"/>
        </w:rPr>
        <w:t>1</w:t>
      </w:r>
      <w:r w:rsidRPr="00A31267">
        <w:rPr>
          <w:sz w:val="22"/>
          <w:szCs w:val="22"/>
        </w:rPr>
        <w:t>0</w:t>
      </w:r>
      <w:bookmarkEnd w:id="183"/>
    </w:p>
    <w:tbl>
      <w:tblPr>
        <w:tblW w:w="0" w:type="auto"/>
        <w:tblInd w:w="57" w:type="dxa"/>
        <w:tblLayout w:type="fixed"/>
        <w:tblLook w:val="0000" w:firstRow="0" w:lastRow="0" w:firstColumn="0" w:lastColumn="0" w:noHBand="0" w:noVBand="0"/>
      </w:tblPr>
      <w:tblGrid>
        <w:gridCol w:w="5683"/>
        <w:gridCol w:w="1127"/>
        <w:gridCol w:w="1128"/>
      </w:tblGrid>
      <w:tr w:rsidR="001C5B02" w:rsidRPr="003E4C57" w:rsidTr="00C354EE">
        <w:trPr>
          <w:cantSplit/>
          <w:tblHeader/>
        </w:trPr>
        <w:tc>
          <w:tcPr>
            <w:tcW w:w="5683" w:type="dxa"/>
            <w:tcBorders>
              <w:top w:val="single" w:sz="12" w:space="0" w:color="auto"/>
              <w:bottom w:val="single" w:sz="2" w:space="0" w:color="auto"/>
            </w:tcBorders>
            <w:shd w:val="clear" w:color="auto" w:fill="auto"/>
            <w:tcMar>
              <w:left w:w="57" w:type="dxa"/>
              <w:right w:w="57" w:type="dxa"/>
            </w:tcMar>
          </w:tcPr>
          <w:p w:rsidR="001C5B02" w:rsidRDefault="001C5B02">
            <w:pPr>
              <w:pStyle w:val="TableDataColumnHeading"/>
              <w:jc w:val="left"/>
            </w:pPr>
            <w:r>
              <w:t>Objective</w:t>
            </w:r>
          </w:p>
        </w:tc>
        <w:tc>
          <w:tcPr>
            <w:tcW w:w="1127" w:type="dxa"/>
            <w:tcBorders>
              <w:top w:val="single" w:sz="12" w:space="0" w:color="auto"/>
              <w:bottom w:val="single" w:sz="2" w:space="0" w:color="auto"/>
            </w:tcBorders>
            <w:shd w:val="clear" w:color="auto" w:fill="auto"/>
            <w:tcMar>
              <w:left w:w="57" w:type="dxa"/>
              <w:right w:w="57" w:type="dxa"/>
            </w:tcMar>
          </w:tcPr>
          <w:p w:rsidR="001C5B02" w:rsidRDefault="001C5B02">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1C5B02" w:rsidRDefault="001C5B02">
            <w:pPr>
              <w:pStyle w:val="TableDataColumnHeading"/>
            </w:pPr>
            <w:r>
              <w:t>% of bilateral program</w:t>
            </w:r>
          </w:p>
        </w:tc>
      </w:tr>
      <w:tr w:rsidR="001C5B02" w:rsidRPr="002452D0" w:rsidTr="00C354EE">
        <w:trPr>
          <w:cantSplit/>
        </w:trPr>
        <w:tc>
          <w:tcPr>
            <w:tcW w:w="5683" w:type="dxa"/>
            <w:tcBorders>
              <w:bottom w:val="single" w:sz="12" w:space="0" w:color="auto"/>
            </w:tcBorders>
            <w:shd w:val="clear" w:color="auto" w:fill="auto"/>
            <w:tcMar>
              <w:left w:w="57" w:type="dxa"/>
              <w:right w:w="57" w:type="dxa"/>
            </w:tcMar>
          </w:tcPr>
          <w:p w:rsidR="001C5B02" w:rsidRPr="002452D0" w:rsidRDefault="001D296A">
            <w:pPr>
              <w:pStyle w:val="TableDataEntries"/>
              <w:jc w:val="left"/>
            </w:pPr>
            <w:r>
              <w:t xml:space="preserve">Elections </w:t>
            </w:r>
          </w:p>
        </w:tc>
        <w:tc>
          <w:tcPr>
            <w:tcW w:w="1127" w:type="dxa"/>
            <w:tcBorders>
              <w:bottom w:val="single" w:sz="12" w:space="0" w:color="auto"/>
            </w:tcBorders>
            <w:shd w:val="clear" w:color="auto" w:fill="auto"/>
            <w:tcMar>
              <w:left w:w="57" w:type="dxa"/>
              <w:right w:w="57" w:type="dxa"/>
            </w:tcMar>
          </w:tcPr>
          <w:p w:rsidR="001C5B02" w:rsidRPr="002452D0" w:rsidRDefault="0054374E">
            <w:pPr>
              <w:pStyle w:val="TableDataEntries"/>
            </w:pPr>
            <w:r>
              <w:t>4</w:t>
            </w:r>
            <w:r w:rsidR="001D296A">
              <w:t>.</w:t>
            </w:r>
            <w:r>
              <w:t>5</w:t>
            </w:r>
          </w:p>
        </w:tc>
        <w:tc>
          <w:tcPr>
            <w:tcW w:w="1128" w:type="dxa"/>
            <w:tcBorders>
              <w:bottom w:val="single" w:sz="12" w:space="0" w:color="auto"/>
            </w:tcBorders>
            <w:shd w:val="clear" w:color="auto" w:fill="auto"/>
            <w:tcMar>
              <w:left w:w="57" w:type="dxa"/>
              <w:right w:w="57" w:type="dxa"/>
            </w:tcMar>
          </w:tcPr>
          <w:p w:rsidR="001C5B02" w:rsidRPr="002452D0" w:rsidRDefault="00C101A2">
            <w:pPr>
              <w:pStyle w:val="TableDataEntries"/>
            </w:pPr>
            <w:r>
              <w:t>1.</w:t>
            </w:r>
            <w:r w:rsidR="008A546A">
              <w:t>1</w:t>
            </w:r>
            <w:r>
              <w:t>%</w:t>
            </w:r>
          </w:p>
        </w:tc>
      </w:tr>
    </w:tbl>
    <w:p w:rsidR="00297E71" w:rsidRPr="00525937" w:rsidRDefault="001C5B02" w:rsidP="00F32387">
      <w:pPr>
        <w:pStyle w:val="Source"/>
      </w:pPr>
      <w:r w:rsidRPr="00C05EB3">
        <w:t xml:space="preserve">Source: </w:t>
      </w:r>
      <w:r w:rsidR="0044505C">
        <w:t xml:space="preserve">2009-2010 fiscal year’s expenditures in </w:t>
      </w:r>
      <w:proofErr w:type="spellStart"/>
      <w:r w:rsidR="0044505C">
        <w:t>AidWorks</w:t>
      </w:r>
      <w:bookmarkStart w:id="184" w:name="_Toc293050021"/>
      <w:bookmarkStart w:id="185" w:name="_Toc300905115"/>
      <w:r w:rsidR="00FF5B06">
        <w:t>Q</w:t>
      </w:r>
      <w:r w:rsidR="00FF5B06" w:rsidRPr="00C07044">
        <w:t>uality</w:t>
      </w:r>
      <w:proofErr w:type="spellEnd"/>
      <w:r w:rsidR="00FF5B06" w:rsidRPr="00C07044">
        <w:t xml:space="preserve"> of </w:t>
      </w:r>
      <w:r w:rsidR="00FF5B06">
        <w:t>aid a</w:t>
      </w:r>
      <w:r w:rsidR="00FF5B06" w:rsidRPr="00C07044">
        <w:t>ctivities</w:t>
      </w:r>
      <w:bookmarkStart w:id="186" w:name="_Toc293050030"/>
      <w:bookmarkStart w:id="187" w:name="OLE_LINK1"/>
      <w:bookmarkStart w:id="188" w:name="OLE_LINK2"/>
      <w:bookmarkStart w:id="189" w:name="_Toc293050024"/>
      <w:bookmarkEnd w:id="184"/>
      <w:bookmarkEnd w:id="185"/>
      <w:r w:rsidR="006729CE">
        <w:br w:type="page"/>
      </w:r>
      <w:r w:rsidR="00297E71" w:rsidRPr="00525937">
        <w:lastRenderedPageBreak/>
        <w:t>Gender equality</w:t>
      </w:r>
      <w:bookmarkEnd w:id="186"/>
    </w:p>
    <w:p w:rsidR="000C576A" w:rsidRPr="000B3BED" w:rsidRDefault="000C576A" w:rsidP="00924F5F">
      <w:pPr>
        <w:pStyle w:val="BodyText"/>
        <w:rPr>
          <w:lang w:val="en-US" w:bidi="ar-SY"/>
        </w:rPr>
      </w:pPr>
      <w:proofErr w:type="spellStart"/>
      <w:r w:rsidRPr="00572D29">
        <w:t>AusAID</w:t>
      </w:r>
      <w:proofErr w:type="spellEnd"/>
      <w:r w:rsidRPr="00572D29">
        <w:t xml:space="preserve"> </w:t>
      </w:r>
      <w:r w:rsidR="003B5DC8">
        <w:t xml:space="preserve">has </w:t>
      </w:r>
      <w:r w:rsidRPr="00572D29">
        <w:t>maintain</w:t>
      </w:r>
      <w:r w:rsidR="003B5DC8">
        <w:t>ed</w:t>
      </w:r>
      <w:r w:rsidRPr="00572D29">
        <w:t xml:space="preserve"> its commitment to the overall objective of </w:t>
      </w:r>
      <w:r w:rsidR="0069660A">
        <w:t xml:space="preserve">its </w:t>
      </w:r>
      <w:r w:rsidRPr="00572D29">
        <w:t>Gender Action Plan (GAP)</w:t>
      </w:r>
      <w:r w:rsidR="00924F5F">
        <w:t xml:space="preserve"> </w:t>
      </w:r>
      <w:r w:rsidRPr="00572D29">
        <w:t xml:space="preserve">to help internal stakeholders bring about changes that improve women’s access to services, democratic process, decision-making and to women’s rights. </w:t>
      </w:r>
      <w:r w:rsidR="00924F5F">
        <w:t>Our work to meet key GAP priorities is listed b</w:t>
      </w:r>
      <w:r w:rsidR="000B3BED">
        <w:t>elow.</w:t>
      </w:r>
    </w:p>
    <w:p w:rsidR="000C576A" w:rsidRPr="000C576A" w:rsidRDefault="000C576A" w:rsidP="008645D5">
      <w:pPr>
        <w:pStyle w:val="BodyText"/>
        <w:rPr>
          <w:b/>
        </w:rPr>
      </w:pPr>
      <w:r w:rsidRPr="000C576A">
        <w:rPr>
          <w:b/>
        </w:rPr>
        <w:t>a.)  Developing a targeted program to support strengthening of women’s organizations and groups and organizations promoting gender equality, to initiate and engage in informed public and policy debates on priori</w:t>
      </w:r>
      <w:r w:rsidR="000B3BED">
        <w:rPr>
          <w:b/>
        </w:rPr>
        <w:t>ty gender issues at all levels.</w:t>
      </w:r>
    </w:p>
    <w:p w:rsidR="000C576A" w:rsidRPr="00572D29" w:rsidRDefault="000C576A" w:rsidP="008645D5">
      <w:pPr>
        <w:pStyle w:val="BodyText"/>
      </w:pPr>
      <w:proofErr w:type="spellStart"/>
      <w:r w:rsidRPr="00572D29">
        <w:t>AusAID</w:t>
      </w:r>
      <w:proofErr w:type="spellEnd"/>
      <w:r w:rsidRPr="00572D29">
        <w:t xml:space="preserve"> </w:t>
      </w:r>
      <w:smartTag w:uri="urn:schemas-microsoft-com:office:smarttags" w:element="place">
        <w:smartTag w:uri="urn:schemas-microsoft-com:office:smarttags" w:element="country-region">
          <w:r w:rsidRPr="00572D29">
            <w:t>Indonesia</w:t>
          </w:r>
        </w:smartTag>
      </w:smartTag>
      <w:r w:rsidRPr="00572D29">
        <w:t xml:space="preserve"> </w:t>
      </w:r>
      <w:r>
        <w:t>support</w:t>
      </w:r>
      <w:r w:rsidR="00924F5F">
        <w:t>s</w:t>
      </w:r>
      <w:r>
        <w:t xml:space="preserve"> a range of initiatives at the national and sub national level that directly and indirectly support women leaders to advance an equality agenda.  In ACCESS and LOGICA for example, support is being provided to marginalised women to better understand their rights, participate in local</w:t>
      </w:r>
      <w:r w:rsidR="00924F5F">
        <w:t>-</w:t>
      </w:r>
      <w:r>
        <w:t xml:space="preserve">level planning activities and shape gender-related legislation. </w:t>
      </w:r>
      <w:proofErr w:type="spellStart"/>
      <w:r>
        <w:t>AusAID</w:t>
      </w:r>
      <w:proofErr w:type="spellEnd"/>
      <w:r>
        <w:t xml:space="preserve"> </w:t>
      </w:r>
      <w:r w:rsidRPr="00572D29">
        <w:t xml:space="preserve">support to </w:t>
      </w:r>
      <w:proofErr w:type="spellStart"/>
      <w:r w:rsidRPr="00572D29">
        <w:t>Komnas</w:t>
      </w:r>
      <w:proofErr w:type="spellEnd"/>
      <w:r w:rsidRPr="00572D29">
        <w:t xml:space="preserve"> </w:t>
      </w:r>
      <w:proofErr w:type="spellStart"/>
      <w:r w:rsidRPr="00572D29">
        <w:t>Perempuan</w:t>
      </w:r>
      <w:proofErr w:type="spellEnd"/>
      <w:r w:rsidRPr="00572D29">
        <w:t xml:space="preserve"> has improved coordination among V</w:t>
      </w:r>
      <w:r>
        <w:t>iolence Against Women (VAW) serv</w:t>
      </w:r>
      <w:r w:rsidRPr="00572D29">
        <w:t>ice providers and raise</w:t>
      </w:r>
      <w:r w:rsidR="00924F5F">
        <w:t>d</w:t>
      </w:r>
      <w:r w:rsidRPr="00572D29">
        <w:t xml:space="preserve"> awareness of the range of services available to VAW cases among local governments, communities and law enforcement officers. </w:t>
      </w:r>
      <w:proofErr w:type="spellStart"/>
      <w:r w:rsidRPr="00572D29">
        <w:t>Komnas</w:t>
      </w:r>
      <w:proofErr w:type="spellEnd"/>
      <w:r w:rsidRPr="00572D29">
        <w:t xml:space="preserve"> </w:t>
      </w:r>
      <w:proofErr w:type="spellStart"/>
      <w:r w:rsidRPr="00572D29">
        <w:t>Perempuan</w:t>
      </w:r>
      <w:proofErr w:type="spellEnd"/>
      <w:r w:rsidRPr="00572D29">
        <w:t xml:space="preserve"> has produced </w:t>
      </w:r>
      <w:r w:rsidR="00924F5F">
        <w:t xml:space="preserve">a </w:t>
      </w:r>
      <w:r w:rsidRPr="00572D29">
        <w:t>Strategic Planning document 2010-2014, training module of VAW for Law enforcements Apparatus in General Courts and an Integrative Report on VAW in 40 years Armed Conflict in Indonesia</w:t>
      </w:r>
      <w:r w:rsidR="00924F5F">
        <w:t xml:space="preserve">. It </w:t>
      </w:r>
      <w:r w:rsidRPr="00572D29">
        <w:t xml:space="preserve">also held </w:t>
      </w:r>
      <w:r w:rsidR="00924F5F">
        <w:t xml:space="preserve">a </w:t>
      </w:r>
      <w:r w:rsidRPr="00572D29">
        <w:t>conference on Law and Punishment which provide</w:t>
      </w:r>
      <w:r w:rsidR="00924F5F">
        <w:t>d</w:t>
      </w:r>
      <w:r w:rsidRPr="00572D29">
        <w:t xml:space="preserve"> fellowship for 100 Indonesia</w:t>
      </w:r>
      <w:r w:rsidR="0069660A">
        <w:t>n</w:t>
      </w:r>
      <w:r w:rsidRPr="00572D29">
        <w:t xml:space="preserve"> women human rights defenders. </w:t>
      </w:r>
    </w:p>
    <w:p w:rsidR="000C576A" w:rsidRPr="00572D29" w:rsidRDefault="000C576A" w:rsidP="008645D5">
      <w:pPr>
        <w:pStyle w:val="BodyText"/>
        <w:rPr>
          <w:rFonts w:cs="Arial"/>
          <w:sz w:val="20"/>
          <w:szCs w:val="20"/>
        </w:rPr>
      </w:pPr>
      <w:r>
        <w:rPr>
          <w:bCs/>
          <w:sz w:val="20"/>
          <w:szCs w:val="20"/>
        </w:rPr>
        <w:t xml:space="preserve">In 2010 </w:t>
      </w:r>
      <w:proofErr w:type="spellStart"/>
      <w:r w:rsidRPr="00572D29">
        <w:rPr>
          <w:bCs/>
          <w:sz w:val="20"/>
          <w:szCs w:val="20"/>
        </w:rPr>
        <w:t>AusAID</w:t>
      </w:r>
      <w:proofErr w:type="spellEnd"/>
      <w:r w:rsidRPr="00572D29">
        <w:rPr>
          <w:bCs/>
          <w:sz w:val="20"/>
          <w:szCs w:val="20"/>
        </w:rPr>
        <w:t xml:space="preserve"> </w:t>
      </w:r>
      <w:r w:rsidR="00AC3751">
        <w:rPr>
          <w:bCs/>
          <w:sz w:val="20"/>
          <w:szCs w:val="20"/>
        </w:rPr>
        <w:t>started</w:t>
      </w:r>
      <w:r w:rsidRPr="00572D29">
        <w:rPr>
          <w:rFonts w:cs="Arial"/>
          <w:sz w:val="20"/>
          <w:szCs w:val="20"/>
        </w:rPr>
        <w:t xml:space="preserve"> </w:t>
      </w:r>
      <w:r w:rsidR="00AC3751">
        <w:rPr>
          <w:rFonts w:cs="Arial"/>
          <w:sz w:val="20"/>
          <w:szCs w:val="20"/>
        </w:rPr>
        <w:t>development of a program to promote</w:t>
      </w:r>
      <w:r>
        <w:rPr>
          <w:rFonts w:cs="Arial"/>
          <w:sz w:val="20"/>
          <w:szCs w:val="20"/>
        </w:rPr>
        <w:t xml:space="preserve"> women’s leadership</w:t>
      </w:r>
      <w:r w:rsidR="00AC3751">
        <w:rPr>
          <w:rFonts w:cs="Arial"/>
          <w:sz w:val="20"/>
          <w:szCs w:val="20"/>
        </w:rPr>
        <w:t xml:space="preserve">. </w:t>
      </w:r>
      <w:r>
        <w:rPr>
          <w:rFonts w:cs="Arial"/>
          <w:sz w:val="20"/>
          <w:szCs w:val="20"/>
        </w:rPr>
        <w:t xml:space="preserve"> </w:t>
      </w:r>
      <w:r w:rsidR="00AC3751">
        <w:rPr>
          <w:rFonts w:cs="Arial"/>
          <w:sz w:val="20"/>
          <w:szCs w:val="20"/>
        </w:rPr>
        <w:t>It will</w:t>
      </w:r>
      <w:r>
        <w:rPr>
          <w:rFonts w:cs="Arial"/>
          <w:sz w:val="20"/>
          <w:szCs w:val="20"/>
        </w:rPr>
        <w:t xml:space="preserve"> s</w:t>
      </w:r>
      <w:r w:rsidRPr="00572D29">
        <w:rPr>
          <w:rFonts w:cs="Arial"/>
          <w:sz w:val="20"/>
          <w:szCs w:val="20"/>
        </w:rPr>
        <w:t>upport women within government and civil society to take-up political and decisio</w:t>
      </w:r>
      <w:r>
        <w:rPr>
          <w:rFonts w:cs="Arial"/>
          <w:sz w:val="20"/>
          <w:szCs w:val="20"/>
        </w:rPr>
        <w:t xml:space="preserve">n-making leadership roles and </w:t>
      </w:r>
      <w:r w:rsidR="00AC3751">
        <w:rPr>
          <w:rFonts w:cs="Arial"/>
          <w:sz w:val="20"/>
          <w:szCs w:val="20"/>
        </w:rPr>
        <w:t>will</w:t>
      </w:r>
      <w:r w:rsidRPr="00572D29">
        <w:rPr>
          <w:rFonts w:cs="Arial"/>
          <w:sz w:val="20"/>
          <w:szCs w:val="20"/>
        </w:rPr>
        <w:t xml:space="preserve"> work with policy makers and civil society to promote policies and programs that r</w:t>
      </w:r>
      <w:r>
        <w:rPr>
          <w:rFonts w:cs="Arial"/>
          <w:sz w:val="20"/>
          <w:szCs w:val="20"/>
        </w:rPr>
        <w:t>espond to the needs of women,</w:t>
      </w:r>
      <w:r w:rsidRPr="00572D29">
        <w:rPr>
          <w:rFonts w:cs="Arial"/>
          <w:sz w:val="20"/>
          <w:szCs w:val="20"/>
        </w:rPr>
        <w:t xml:space="preserve"> parti</w:t>
      </w:r>
      <w:r w:rsidR="000B3BED">
        <w:rPr>
          <w:rFonts w:cs="Arial"/>
          <w:sz w:val="20"/>
          <w:szCs w:val="20"/>
        </w:rPr>
        <w:t>cularly poor women.</w:t>
      </w:r>
    </w:p>
    <w:p w:rsidR="000C576A" w:rsidRPr="000C576A" w:rsidRDefault="000C576A" w:rsidP="008645D5">
      <w:pPr>
        <w:pStyle w:val="BodyText"/>
        <w:rPr>
          <w:b/>
        </w:rPr>
      </w:pPr>
      <w:r>
        <w:rPr>
          <w:b/>
        </w:rPr>
        <w:t xml:space="preserve">b.) </w:t>
      </w:r>
      <w:r w:rsidRPr="000C576A">
        <w:rPr>
          <w:b/>
        </w:rPr>
        <w:t>Integrating initiatives to promote gender equality and help meet gender-related MDGs especially into health, education and community development programs, with a specific focus on creating sustainable impacts by increasing the number and capacity of women in the decision-making relating to these sectors at district level</w:t>
      </w:r>
    </w:p>
    <w:p w:rsidR="000C576A" w:rsidRPr="003C6545" w:rsidRDefault="000C576A" w:rsidP="008645D5">
      <w:pPr>
        <w:pStyle w:val="BodyText"/>
      </w:pPr>
      <w:r>
        <w:t xml:space="preserve">Gender equality </w:t>
      </w:r>
      <w:r w:rsidR="007F2117">
        <w:t>is well</w:t>
      </w:r>
      <w:r>
        <w:t xml:space="preserve"> integrated into the </w:t>
      </w:r>
      <w:proofErr w:type="spellStart"/>
      <w:r>
        <w:t>AusAID</w:t>
      </w:r>
      <w:proofErr w:type="spellEnd"/>
      <w:r>
        <w:t xml:space="preserve"> Indonesia Program. In 2010/11 fiscal year,</w:t>
      </w:r>
      <w:r w:rsidRPr="003C6545">
        <w:t xml:space="preserve"> </w:t>
      </w:r>
      <w:r w:rsidRPr="00572D29">
        <w:t>$243 million or 51% of total funding was spent on activities that have improving gender equality as a primary or secondary objective. Health, education and governance sectors account for three quarters of this expenditure, a result consistent with G</w:t>
      </w:r>
      <w:r w:rsidR="007F2117">
        <w:t>AP</w:t>
      </w:r>
      <w:r w:rsidRPr="00572D29">
        <w:t xml:space="preserve"> priorities.</w:t>
      </w:r>
    </w:p>
    <w:p w:rsidR="000C576A" w:rsidRPr="00572D29" w:rsidRDefault="000C576A" w:rsidP="008645D5">
      <w:pPr>
        <w:pStyle w:val="BodyText"/>
      </w:pPr>
      <w:r w:rsidRPr="00572D29">
        <w:t xml:space="preserve">In 2010, </w:t>
      </w:r>
      <w:proofErr w:type="spellStart"/>
      <w:r w:rsidRPr="00572D29">
        <w:t>AusAID</w:t>
      </w:r>
      <w:proofErr w:type="spellEnd"/>
      <w:r w:rsidRPr="00572D29">
        <w:t xml:space="preserve"> helped improve maternal and neonatal health in East Nusa Tenggara, one of </w:t>
      </w:r>
      <w:smartTag w:uri="urn:schemas-microsoft-com:office:smarttags" w:element="place">
        <w:smartTag w:uri="urn:schemas-microsoft-com:office:smarttags" w:element="country-region">
          <w:r w:rsidRPr="00572D29">
            <w:t>Indonesia</w:t>
          </w:r>
        </w:smartTag>
      </w:smartTag>
      <w:r w:rsidRPr="00572D29">
        <w:t xml:space="preserve">’s poorest provinces by providing training for health workers and community health volunteers and renovating 24 birthing wards in public health clinics. In at least 8 of these clinics, the number of births has doubled. </w:t>
      </w:r>
    </w:p>
    <w:p w:rsidR="000C576A" w:rsidRPr="00572D29" w:rsidRDefault="000C576A" w:rsidP="008645D5">
      <w:pPr>
        <w:pStyle w:val="BodyText"/>
      </w:pPr>
      <w:r w:rsidRPr="00572D29">
        <w:t xml:space="preserve">Under the AIBEP program, which was completed in June 2011, </w:t>
      </w:r>
      <w:proofErr w:type="spellStart"/>
      <w:r w:rsidRPr="00572D29">
        <w:t>AusAID</w:t>
      </w:r>
      <w:proofErr w:type="spellEnd"/>
      <w:r w:rsidRPr="00572D29">
        <w:t xml:space="preserve"> </w:t>
      </w:r>
      <w:smartTag w:uri="urn:schemas-microsoft-com:office:smarttags" w:element="place">
        <w:smartTag w:uri="urn:schemas-microsoft-com:office:smarttags" w:element="country-region">
          <w:r w:rsidRPr="00572D29">
            <w:t>Indonesia</w:t>
          </w:r>
        </w:smartTag>
      </w:smartTag>
      <w:r w:rsidRPr="00572D29">
        <w:t xml:space="preserve"> supported the construction of 2074 public and private (Islamic) Junior Secondary Schools. Through the program, enrolments in school</w:t>
      </w:r>
      <w:r w:rsidR="007F2117">
        <w:t>s</w:t>
      </w:r>
      <w:r w:rsidRPr="00572D29">
        <w:t xml:space="preserve"> constructed under AIBEP reached 185,492 students (grades 7</w:t>
      </w:r>
      <w:r w:rsidR="000B3BED">
        <w:t>-9), of which 49.8% were girls.</w:t>
      </w:r>
    </w:p>
    <w:p w:rsidR="000C576A" w:rsidRDefault="000C576A" w:rsidP="008645D5">
      <w:pPr>
        <w:pStyle w:val="BodyText"/>
        <w:rPr>
          <w:spacing w:val="-3"/>
        </w:rPr>
      </w:pPr>
      <w:proofErr w:type="spellStart"/>
      <w:r w:rsidRPr="00572D29">
        <w:t>AusAID’s</w:t>
      </w:r>
      <w:proofErr w:type="spellEnd"/>
      <w:r w:rsidRPr="00572D29">
        <w:t xml:space="preserve"> support to the National Program for Community Empowerment (PNPM) has increased women’s participation in decision making and economic development. PNPM-</w:t>
      </w:r>
      <w:r w:rsidRPr="00572D29">
        <w:lastRenderedPageBreak/>
        <w:t xml:space="preserve">Rural </w:t>
      </w:r>
      <w:r w:rsidR="007F2117">
        <w:t>reaches</w:t>
      </w:r>
      <w:r w:rsidRPr="00572D29">
        <w:t xml:space="preserve"> an estimated 40 million villagers from over 60,000 villages in 4,791 sub-districts </w:t>
      </w:r>
      <w:r w:rsidR="007F2117">
        <w:t>-</w:t>
      </w:r>
      <w:r w:rsidRPr="00572D29">
        <w:t xml:space="preserve"> about 76 </w:t>
      </w:r>
      <w:proofErr w:type="spellStart"/>
      <w:r w:rsidRPr="00572D29">
        <w:t>percent</w:t>
      </w:r>
      <w:proofErr w:type="spellEnd"/>
      <w:r w:rsidRPr="00572D29">
        <w:t xml:space="preserve"> of </w:t>
      </w:r>
      <w:smartTag w:uri="urn:schemas-microsoft-com:office:smarttags" w:element="place">
        <w:smartTag w:uri="urn:schemas-microsoft-com:office:smarttags" w:element="country-region">
          <w:r w:rsidRPr="00572D29">
            <w:t>Indonesia</w:t>
          </w:r>
        </w:smartTag>
      </w:smartTag>
      <w:r w:rsidRPr="00572D29">
        <w:t xml:space="preserve">’s sub-districts. The program has provided direct block grant financing to local communities to finance an open menu of local development priorities – typically small scale/economic infrastructure, education and health activities, and revolving loan funds (RLF) to women’s savings groups. </w:t>
      </w:r>
      <w:r w:rsidR="007F2117">
        <w:t xml:space="preserve"> </w:t>
      </w:r>
      <w:r w:rsidRPr="00572D29">
        <w:t xml:space="preserve">Almost 70 </w:t>
      </w:r>
      <w:proofErr w:type="spellStart"/>
      <w:r w:rsidRPr="00572D29">
        <w:t>percent</w:t>
      </w:r>
      <w:proofErr w:type="spellEnd"/>
      <w:r w:rsidRPr="00572D29">
        <w:t xml:space="preserve"> of funded village proposals </w:t>
      </w:r>
      <w:r w:rsidR="007F2117">
        <w:t>come</w:t>
      </w:r>
      <w:r w:rsidRPr="00572D29">
        <w:t xml:space="preserve"> from women’s special meetings and up to 25 </w:t>
      </w:r>
      <w:proofErr w:type="spellStart"/>
      <w:r w:rsidRPr="00572D29">
        <w:t>percent</w:t>
      </w:r>
      <w:proofErr w:type="spellEnd"/>
      <w:r w:rsidRPr="00572D29">
        <w:t xml:space="preserve"> </w:t>
      </w:r>
      <w:r w:rsidR="007F2117">
        <w:t xml:space="preserve">of </w:t>
      </w:r>
      <w:r w:rsidRPr="00572D29">
        <w:t xml:space="preserve">these block grant funds </w:t>
      </w:r>
      <w:r w:rsidR="007F2117">
        <w:t>will</w:t>
      </w:r>
      <w:r w:rsidRPr="00572D29">
        <w:t xml:space="preserve"> be allocated for </w:t>
      </w:r>
      <w:r>
        <w:t>revolving loa</w:t>
      </w:r>
      <w:r w:rsidR="0069660A">
        <w:t>n</w:t>
      </w:r>
      <w:r>
        <w:t xml:space="preserve"> funds</w:t>
      </w:r>
      <w:r w:rsidRPr="00572D29">
        <w:t xml:space="preserve">. The RLF capital in PNPM Rural has reached more than US$500 million and about 327,000 groups, with an estimated outreach of 3 million individual borrowers. </w:t>
      </w:r>
      <w:r w:rsidRPr="00572D29">
        <w:rPr>
          <w:spacing w:val="-3"/>
        </w:rPr>
        <w:t xml:space="preserve">Client surveys suggest that </w:t>
      </w:r>
      <w:r>
        <w:rPr>
          <w:spacing w:val="-3"/>
        </w:rPr>
        <w:t>these funds</w:t>
      </w:r>
      <w:r w:rsidRPr="00572D29">
        <w:rPr>
          <w:spacing w:val="-3"/>
        </w:rPr>
        <w:t xml:space="preserve"> have had positive impacts on household income, business development, job creation and children’s education. </w:t>
      </w:r>
    </w:p>
    <w:p w:rsidR="000C576A" w:rsidRPr="0069660A" w:rsidRDefault="000C576A" w:rsidP="008645D5">
      <w:pPr>
        <w:pStyle w:val="BodyText"/>
      </w:pPr>
      <w:proofErr w:type="spellStart"/>
      <w:r w:rsidRPr="0069660A">
        <w:t>AusAID</w:t>
      </w:r>
      <w:proofErr w:type="spellEnd"/>
      <w:r w:rsidRPr="0069660A">
        <w:t>, with other donor agencies such DFID, CIDA and ADB, international and local NGOs, and the World Bank, has been supporting the Ministry of Women</w:t>
      </w:r>
      <w:r w:rsidR="0069660A" w:rsidRPr="0069660A">
        <w:t>’s</w:t>
      </w:r>
      <w:r w:rsidRPr="0069660A">
        <w:t xml:space="preserve"> Empowerment and </w:t>
      </w:r>
      <w:proofErr w:type="spellStart"/>
      <w:r w:rsidRPr="0069660A">
        <w:t>Bappenas</w:t>
      </w:r>
      <w:proofErr w:type="spellEnd"/>
      <w:r w:rsidRPr="0069660A">
        <w:t xml:space="preserve"> in the development of policy briefs </w:t>
      </w:r>
      <w:r w:rsidR="007F2117" w:rsidRPr="0069660A">
        <w:t>that</w:t>
      </w:r>
      <w:r w:rsidRPr="0069660A">
        <w:t xml:space="preserve"> </w:t>
      </w:r>
      <w:r w:rsidR="007F2117" w:rsidRPr="0069660A">
        <w:t>address</w:t>
      </w:r>
      <w:r w:rsidRPr="0069660A">
        <w:t xml:space="preserve"> gender in eight different sectors. </w:t>
      </w:r>
      <w:proofErr w:type="spellStart"/>
      <w:r w:rsidRPr="0069660A">
        <w:t>AusAID’s</w:t>
      </w:r>
      <w:proofErr w:type="spellEnd"/>
      <w:r w:rsidRPr="0069660A">
        <w:t xml:space="preserve"> contribution </w:t>
      </w:r>
      <w:r w:rsidR="007F2117" w:rsidRPr="0069660A">
        <w:t>to a</w:t>
      </w:r>
      <w:r w:rsidRPr="0069660A">
        <w:t xml:space="preserve"> policy brief </w:t>
      </w:r>
      <w:r w:rsidR="007F2117" w:rsidRPr="0069660A">
        <w:t>o</w:t>
      </w:r>
      <w:r w:rsidRPr="0069660A">
        <w:t xml:space="preserve">n disaster </w:t>
      </w:r>
      <w:r w:rsidR="0069660A">
        <w:t xml:space="preserve">response </w:t>
      </w:r>
      <w:r w:rsidRPr="0069660A">
        <w:t xml:space="preserve">and education has been well received.  The </w:t>
      </w:r>
      <w:r w:rsidR="007F2117" w:rsidRPr="0069660A">
        <w:t>b</w:t>
      </w:r>
      <w:r w:rsidRPr="0069660A">
        <w:t>riefs were officially launch</w:t>
      </w:r>
      <w:r w:rsidR="007F2117" w:rsidRPr="0069660A">
        <w:t>ed</w:t>
      </w:r>
      <w:r w:rsidRPr="0069660A">
        <w:t xml:space="preserve"> on 28 June 2011.  </w:t>
      </w:r>
    </w:p>
    <w:p w:rsidR="000C576A" w:rsidRPr="000C576A" w:rsidRDefault="000C576A" w:rsidP="008645D5">
      <w:pPr>
        <w:pStyle w:val="BodyText"/>
        <w:rPr>
          <w:b/>
        </w:rPr>
      </w:pPr>
      <w:r w:rsidRPr="000C576A">
        <w:rPr>
          <w:b/>
        </w:rPr>
        <w:t xml:space="preserve">c.) Monitoring the country program and providing specialist support to ensure opportunities to appropriately integrate a gender perspective are not missed in other sectors. </w:t>
      </w:r>
    </w:p>
    <w:p w:rsidR="000C576A" w:rsidRPr="00572D29" w:rsidRDefault="000C576A" w:rsidP="008645D5">
      <w:pPr>
        <w:pStyle w:val="BodyText"/>
      </w:pPr>
      <w:r w:rsidRPr="00572D29">
        <w:t>To ensure implementation of GAP priorities</w:t>
      </w:r>
      <w:r>
        <w:t xml:space="preserve"> and facilitate access to specialist support</w:t>
      </w:r>
      <w:r w:rsidRPr="00572D29">
        <w:t xml:space="preserve">, </w:t>
      </w:r>
      <w:proofErr w:type="spellStart"/>
      <w:r w:rsidRPr="00572D29">
        <w:t>AusAID</w:t>
      </w:r>
      <w:proofErr w:type="spellEnd"/>
      <w:r w:rsidRPr="00572D29">
        <w:t xml:space="preserve"> </w:t>
      </w:r>
      <w:r>
        <w:t>has established a Gender U</w:t>
      </w:r>
      <w:r w:rsidRPr="00572D29">
        <w:t xml:space="preserve">nit to work closely with the </w:t>
      </w:r>
      <w:proofErr w:type="spellStart"/>
      <w:r w:rsidRPr="00572D29">
        <w:t>AusAID</w:t>
      </w:r>
      <w:proofErr w:type="spellEnd"/>
      <w:r w:rsidRPr="00572D29">
        <w:t xml:space="preserve"> Principal Gender Advisor</w:t>
      </w:r>
      <w:r>
        <w:t xml:space="preserve"> and a network of 12 Gender Coordinators. </w:t>
      </w:r>
      <w:r w:rsidRPr="00572D29">
        <w:t xml:space="preserve"> </w:t>
      </w:r>
    </w:p>
    <w:p w:rsidR="000C576A" w:rsidRDefault="007F2117" w:rsidP="008645D5">
      <w:pPr>
        <w:pStyle w:val="BodyText"/>
      </w:pPr>
      <w:r>
        <w:t>Boosting</w:t>
      </w:r>
      <w:r w:rsidR="000C576A">
        <w:t xml:space="preserve"> </w:t>
      </w:r>
      <w:r>
        <w:t>the</w:t>
      </w:r>
      <w:r w:rsidR="000C576A">
        <w:t xml:space="preserve"> capacity of staff</w:t>
      </w:r>
      <w:r w:rsidR="000C576A" w:rsidRPr="00572D29">
        <w:t xml:space="preserve"> to </w:t>
      </w:r>
      <w:r>
        <w:t>help</w:t>
      </w:r>
      <w:r w:rsidR="000C576A" w:rsidRPr="00572D29">
        <w:t xml:space="preserve"> </w:t>
      </w:r>
      <w:r w:rsidR="000C576A">
        <w:t>coordinators</w:t>
      </w:r>
      <w:r w:rsidR="000C576A" w:rsidRPr="00572D29">
        <w:t xml:space="preserve"> </w:t>
      </w:r>
      <w:r w:rsidR="000C576A">
        <w:t>integrat</w:t>
      </w:r>
      <w:r>
        <w:t>e</w:t>
      </w:r>
      <w:r w:rsidR="000C576A">
        <w:t xml:space="preserve"> gender issues into</w:t>
      </w:r>
      <w:r w:rsidR="000C576A" w:rsidRPr="00572D29">
        <w:t xml:space="preserve"> </w:t>
      </w:r>
      <w:r>
        <w:t xml:space="preserve">the </w:t>
      </w:r>
      <w:r w:rsidR="000C576A" w:rsidRPr="00572D29">
        <w:t>design, implementation and monitoring</w:t>
      </w:r>
      <w:r>
        <w:t xml:space="preserve"> of</w:t>
      </w:r>
      <w:r w:rsidR="000C576A" w:rsidRPr="00572D29">
        <w:t xml:space="preserve"> </w:t>
      </w:r>
      <w:r w:rsidR="000C576A">
        <w:t>programs is one of the Gender Unit’s</w:t>
      </w:r>
      <w:r>
        <w:t xml:space="preserve"> </w:t>
      </w:r>
      <w:r w:rsidR="00F01442">
        <w:t xml:space="preserve">major </w:t>
      </w:r>
      <w:r>
        <w:t>priorities</w:t>
      </w:r>
      <w:r w:rsidR="000C576A" w:rsidRPr="00572D29">
        <w:t xml:space="preserve">. </w:t>
      </w:r>
    </w:p>
    <w:p w:rsidR="000C576A" w:rsidRDefault="000C576A" w:rsidP="008645D5">
      <w:pPr>
        <w:pStyle w:val="BodyText"/>
      </w:pPr>
      <w:r>
        <w:t xml:space="preserve">In late 2010, planning commenced for an assessment of </w:t>
      </w:r>
      <w:r w:rsidR="00342269">
        <w:t xml:space="preserve">how </w:t>
      </w:r>
      <w:proofErr w:type="spellStart"/>
      <w:r>
        <w:t>AusAID</w:t>
      </w:r>
      <w:proofErr w:type="spellEnd"/>
      <w:r>
        <w:t xml:space="preserve"> </w:t>
      </w:r>
      <w:smartTag w:uri="urn:schemas-microsoft-com:office:smarttags" w:element="place">
        <w:smartTag w:uri="urn:schemas-microsoft-com:office:smarttags" w:element="country-region">
          <w:r>
            <w:t>Indonesia</w:t>
          </w:r>
        </w:smartTag>
      </w:smartTag>
      <w:r>
        <w:t>’s programs contribut</w:t>
      </w:r>
      <w:r w:rsidR="00342269">
        <w:t>e</w:t>
      </w:r>
      <w:r>
        <w:t xml:space="preserve"> to progressing gender equality. </w:t>
      </w:r>
      <w:r w:rsidRPr="00572D29">
        <w:t xml:space="preserve"> </w:t>
      </w:r>
      <w:r>
        <w:t>The objectives of the stock take are to:</w:t>
      </w:r>
    </w:p>
    <w:p w:rsidR="000C576A" w:rsidRDefault="000C576A" w:rsidP="000C576A">
      <w:pPr>
        <w:pStyle w:val="ListBullet2"/>
      </w:pPr>
      <w:r>
        <w:t>Establish a baseline of gender activities within the program and identify targets for implementing the GAP</w:t>
      </w:r>
    </w:p>
    <w:p w:rsidR="000C576A" w:rsidRDefault="000C576A" w:rsidP="000C576A">
      <w:pPr>
        <w:pStyle w:val="ListBullet2"/>
      </w:pPr>
      <w:r>
        <w:t>Map ongoing activities to improve women’s participation in decision-making at all levels to contribute to development of a Women’s Leadership Program</w:t>
      </w:r>
    </w:p>
    <w:p w:rsidR="000C576A" w:rsidRDefault="000C576A" w:rsidP="000C576A">
      <w:pPr>
        <w:pStyle w:val="ListBullet2"/>
      </w:pPr>
      <w:r>
        <w:t>Collect information on the effectiveness of different strategies for improving gender equality to contribute to other programs</w:t>
      </w:r>
    </w:p>
    <w:p w:rsidR="000C576A" w:rsidRPr="000C576A" w:rsidRDefault="000C576A" w:rsidP="000C576A">
      <w:pPr>
        <w:pStyle w:val="ListBullet2"/>
      </w:pPr>
      <w:r>
        <w:t xml:space="preserve">Provide an opportunity to enhance the knowledge and skills of gender coordinators in effective development approaches to promoting gender equality and empowering </w:t>
      </w:r>
      <w:r w:rsidR="000B3BED">
        <w:t>women.</w:t>
      </w:r>
    </w:p>
    <w:p w:rsidR="000C576A" w:rsidRPr="00572D29" w:rsidRDefault="000C576A" w:rsidP="008645D5">
      <w:pPr>
        <w:pStyle w:val="BodyText"/>
      </w:pPr>
      <w:r>
        <w:t>The report of the stock take will be finalised in September 2011.  Early</w:t>
      </w:r>
      <w:r w:rsidRPr="00572D29">
        <w:t xml:space="preserve"> findings suggest that </w:t>
      </w:r>
      <w:proofErr w:type="spellStart"/>
      <w:r w:rsidRPr="00572D29">
        <w:t>AusAID</w:t>
      </w:r>
      <w:proofErr w:type="spellEnd"/>
      <w:r w:rsidRPr="00572D29">
        <w:t xml:space="preserve"> relies heavily on the knowledge and capacity of implementing partners to integrate gender into activities but does not provide sufficient support and direction to implementing partners to ensure the meaningful participation of women. While some initiatives frequently include gender advisors w</w:t>
      </w:r>
      <w:r>
        <w:t>orking at initiative level, many</w:t>
      </w:r>
      <w:r w:rsidRPr="00572D29">
        <w:t xml:space="preserve"> are not e</w:t>
      </w:r>
      <w:r w:rsidR="00342269">
        <w:t>ngaged</w:t>
      </w:r>
      <w:r w:rsidRPr="00572D29">
        <w:t xml:space="preserve"> early and </w:t>
      </w:r>
      <w:r w:rsidR="00342269">
        <w:t>few</w:t>
      </w:r>
      <w:r w:rsidRPr="00572D29">
        <w:t xml:space="preserve"> initiatives</w:t>
      </w:r>
      <w:r>
        <w:t xml:space="preserve"> </w:t>
      </w:r>
      <w:r w:rsidRPr="00572D29">
        <w:t xml:space="preserve">conduct </w:t>
      </w:r>
      <w:r>
        <w:t xml:space="preserve">a </w:t>
      </w:r>
      <w:r w:rsidRPr="00572D29">
        <w:t xml:space="preserve">gender assessment </w:t>
      </w:r>
      <w:r>
        <w:t>as part of the program</w:t>
      </w:r>
      <w:r w:rsidRPr="00572D29">
        <w:t xml:space="preserve"> design. </w:t>
      </w:r>
    </w:p>
    <w:p w:rsidR="00E27ADE" w:rsidRPr="00441D8B" w:rsidRDefault="00342269" w:rsidP="00E27ADE">
      <w:pPr>
        <w:pStyle w:val="BodyText"/>
      </w:pPr>
      <w:r>
        <w:t>T</w:t>
      </w:r>
      <w:r w:rsidR="000C576A" w:rsidRPr="00572D29">
        <w:t>here is</w:t>
      </w:r>
      <w:r w:rsidR="000C576A">
        <w:t xml:space="preserve"> also</w:t>
      </w:r>
      <w:r w:rsidR="000C576A" w:rsidRPr="00572D29">
        <w:t xml:space="preserve"> a lack of internal tools and resources to </w:t>
      </w:r>
      <w:r>
        <w:t>help</w:t>
      </w:r>
      <w:r w:rsidR="000C576A" w:rsidRPr="00572D29">
        <w:t xml:space="preserve"> gender coordinators perform their roles. The</w:t>
      </w:r>
      <w:r>
        <w:t>refore</w:t>
      </w:r>
      <w:r w:rsidR="0069660A">
        <w:t>,</w:t>
      </w:r>
      <w:r>
        <w:t xml:space="preserve"> the</w:t>
      </w:r>
      <w:r w:rsidR="000C576A" w:rsidRPr="00572D29">
        <w:t xml:space="preserve"> Unit aim</w:t>
      </w:r>
      <w:r>
        <w:t>s</w:t>
      </w:r>
      <w:r w:rsidR="000C576A" w:rsidRPr="00572D29">
        <w:t xml:space="preserve"> to integrate gender into the Indonesia program’s Evaluation Capacity Building tools</w:t>
      </w:r>
      <w:r w:rsidR="000C576A">
        <w:t xml:space="preserve"> so that gender issues can be adequately captured in </w:t>
      </w:r>
      <w:r>
        <w:t xml:space="preserve">the </w:t>
      </w:r>
      <w:r w:rsidR="000C576A">
        <w:t>design, implementation and monitoring of initiatives</w:t>
      </w:r>
      <w:r w:rsidR="000B3BED">
        <w:t>.</w:t>
      </w:r>
    </w:p>
    <w:p w:rsidR="00AF0985" w:rsidRDefault="00AF0985" w:rsidP="00612FF9">
      <w:pPr>
        <w:pStyle w:val="H2F"/>
      </w:pPr>
      <w:bookmarkStart w:id="190" w:name="_Toc360981905"/>
      <w:bookmarkEnd w:id="187"/>
      <w:bookmarkEnd w:id="188"/>
      <w:proofErr w:type="spellStart"/>
      <w:r w:rsidRPr="00DF5C9F">
        <w:lastRenderedPageBreak/>
        <w:t>Anti Corruption</w:t>
      </w:r>
      <w:bookmarkEnd w:id="189"/>
      <w:bookmarkEnd w:id="190"/>
      <w:proofErr w:type="spellEnd"/>
    </w:p>
    <w:p w:rsidR="00277EFE" w:rsidRPr="00277EFE" w:rsidRDefault="00277EFE" w:rsidP="00277EFE">
      <w:pPr>
        <w:pStyle w:val="BodyText"/>
      </w:pPr>
      <w:proofErr w:type="spellStart"/>
      <w:r w:rsidRPr="00277EFE">
        <w:t>AusAID</w:t>
      </w:r>
      <w:proofErr w:type="spellEnd"/>
      <w:r w:rsidRPr="00277EFE">
        <w:t xml:space="preserve"> has zero tolerance for corruption and fraud, and has robust safeguards in place to prevent and guard against fraud and corruption in the Indonesia program. Activities are externally audited and spot audited, and cases are investigated when issues are identified.  </w:t>
      </w:r>
    </w:p>
    <w:p w:rsidR="00277EFE" w:rsidRPr="00277EFE" w:rsidRDefault="00277EFE" w:rsidP="00277EFE">
      <w:pPr>
        <w:pStyle w:val="BodyText"/>
      </w:pPr>
      <w:r w:rsidRPr="00277EFE">
        <w:t>The</w:t>
      </w:r>
      <w:r w:rsidR="00342269">
        <w:t>re are</w:t>
      </w:r>
      <w:r w:rsidRPr="00277EFE">
        <w:t xml:space="preserve"> 31 active cases of fraud</w:t>
      </w:r>
      <w:r w:rsidR="00342269">
        <w:t xml:space="preserve"> in the program</w:t>
      </w:r>
      <w:r w:rsidRPr="00277EFE">
        <w:t xml:space="preserve"> dating back to March 2007 involving $379</w:t>
      </w:r>
      <w:r>
        <w:t> </w:t>
      </w:r>
      <w:r w:rsidRPr="00277EFE">
        <w:t>847, of which $74</w:t>
      </w:r>
      <w:r>
        <w:t> </w:t>
      </w:r>
      <w:r w:rsidRPr="00277EFE">
        <w:t xml:space="preserve">882 has been recovered and $227 was prevented. In </w:t>
      </w:r>
      <w:r>
        <w:t>nine</w:t>
      </w:r>
      <w:r w:rsidRPr="00277EFE">
        <w:t xml:space="preserve"> of the 31 cases, funds were fully recovered. In 22 of the 31 active cases, investigations are ongoing. A number await further progress by </w:t>
      </w:r>
      <w:smartTag w:uri="urn:schemas-microsoft-com:office:smarttags" w:element="place">
        <w:smartTag w:uri="urn:schemas-microsoft-com:office:smarttags" w:element="country-region">
          <w:r w:rsidRPr="00277EFE">
            <w:t>Indonesia</w:t>
          </w:r>
        </w:smartTag>
      </w:smartTag>
      <w:r w:rsidRPr="00277EFE">
        <w:t xml:space="preserve">'s National Police, National Audit Agency or the relevant </w:t>
      </w:r>
      <w:r>
        <w:t>m</w:t>
      </w:r>
      <w:r w:rsidRPr="00277EFE">
        <w:t>inistry</w:t>
      </w:r>
      <w:r w:rsidR="00342269">
        <w:t xml:space="preserve"> and</w:t>
      </w:r>
      <w:r w:rsidRPr="00277EFE">
        <w:t xml:space="preserve"> </w:t>
      </w:r>
      <w:r w:rsidR="00342269">
        <w:t>e</w:t>
      </w:r>
      <w:r w:rsidRPr="00277EFE">
        <w:t xml:space="preserve">fforts to recover funds continue wherever possible. </w:t>
      </w:r>
      <w:r w:rsidR="00342269">
        <w:t>I</w:t>
      </w:r>
      <w:r w:rsidRPr="00277EFE">
        <w:t>ncidence of fraud on the Indonesia Program is extremely low, representing less than one-tenth of one per cent of expenditure between 2007 and 2010.</w:t>
      </w:r>
    </w:p>
    <w:p w:rsidR="00277EFE" w:rsidRPr="00277EFE" w:rsidRDefault="00277EFE" w:rsidP="00277EFE">
      <w:pPr>
        <w:pStyle w:val="BodyText"/>
      </w:pPr>
      <w:r w:rsidRPr="00277EFE">
        <w:t xml:space="preserve">The Indonesia Program’s </w:t>
      </w:r>
      <w:proofErr w:type="spellStart"/>
      <w:r w:rsidRPr="00277EFE">
        <w:t>Anti Corruption</w:t>
      </w:r>
      <w:proofErr w:type="spellEnd"/>
      <w:r w:rsidRPr="00277EFE">
        <w:t xml:space="preserve"> for Development Plan 2008-2013 (the </w:t>
      </w:r>
      <w:r>
        <w:t>p</w:t>
      </w:r>
      <w:r w:rsidRPr="00277EFE">
        <w:t xml:space="preserve">lan) emphasises mainstreaming anti-corruption throughout the aid program. </w:t>
      </w:r>
      <w:r w:rsidR="00452E06">
        <w:t xml:space="preserve"> </w:t>
      </w:r>
      <w:r w:rsidRPr="00277EFE">
        <w:t xml:space="preserve">This provides a reference point for the design and development of </w:t>
      </w:r>
      <w:r w:rsidR="0069660A">
        <w:t>initiatives</w:t>
      </w:r>
      <w:r w:rsidR="0069660A" w:rsidRPr="00277EFE">
        <w:t xml:space="preserve"> </w:t>
      </w:r>
      <w:r w:rsidRPr="00277EFE">
        <w:t xml:space="preserve">across the program. </w:t>
      </w:r>
      <w:r w:rsidR="00452E06">
        <w:t xml:space="preserve"> </w:t>
      </w:r>
      <w:r w:rsidRPr="00277EFE">
        <w:t xml:space="preserve">A snapshot survey showed that new designs in 2010 (for example, </w:t>
      </w:r>
      <w:r w:rsidRPr="00B64467">
        <w:rPr>
          <w:rStyle w:val="AbbreviationChar"/>
        </w:rPr>
        <w:t>PNPM</w:t>
      </w:r>
      <w:r w:rsidRPr="00277EFE">
        <w:t xml:space="preserve"> and justice) reviewed the </w:t>
      </w:r>
      <w:r>
        <w:t>p</w:t>
      </w:r>
      <w:r w:rsidRPr="00277EFE">
        <w:t xml:space="preserve">lan and its principles are reflected in the designs, however the </w:t>
      </w:r>
      <w:r w:rsidR="00452887">
        <w:t>p</w:t>
      </w:r>
      <w:r w:rsidRPr="00277EFE">
        <w:t>lan was not highly influential in the direction or decisions taken.</w:t>
      </w:r>
    </w:p>
    <w:p w:rsidR="00277EFE" w:rsidRPr="00277EFE" w:rsidRDefault="00277EFE" w:rsidP="00277EFE">
      <w:pPr>
        <w:pStyle w:val="BodyText"/>
        <w:rPr>
          <w:rStyle w:val="style131"/>
          <w:color w:val="auto"/>
          <w:sz w:val="19"/>
          <w:szCs w:val="24"/>
        </w:rPr>
      </w:pPr>
      <w:smartTag w:uri="urn:schemas-microsoft-com:office:smarttags" w:element="place">
        <w:smartTag w:uri="urn:schemas-microsoft-com:office:smarttags" w:element="country-region">
          <w:r w:rsidRPr="00277EFE">
            <w:t>Australia</w:t>
          </w:r>
        </w:smartTag>
      </w:smartTag>
      <w:r w:rsidRPr="00277EFE">
        <w:t xml:space="preserve"> supports Indonesian Government institutions in building their anti-corruption capacity. </w:t>
      </w:r>
      <w:r w:rsidR="00452E06">
        <w:t xml:space="preserve"> </w:t>
      </w:r>
      <w:r w:rsidRPr="00277EFE">
        <w:t>A notable example in 2010 was that support provided to the Financial Transactions Reports and Analysis Centre (</w:t>
      </w:r>
      <w:r w:rsidRPr="00B64467">
        <w:rPr>
          <w:rStyle w:val="AbbreviationChar"/>
        </w:rPr>
        <w:t>PPATK</w:t>
      </w:r>
      <w:r w:rsidRPr="00277EFE">
        <w:t xml:space="preserve">) increased its ability to detect and report on suspicious transactions. </w:t>
      </w:r>
      <w:r w:rsidR="00452E06">
        <w:t xml:space="preserve"> </w:t>
      </w:r>
      <w:r w:rsidRPr="00277EFE">
        <w:t xml:space="preserve">This assisted </w:t>
      </w:r>
      <w:r w:rsidRPr="00B64467">
        <w:rPr>
          <w:rStyle w:val="AbbreviationChar"/>
        </w:rPr>
        <w:t>PPATK</w:t>
      </w:r>
      <w:r w:rsidRPr="00277EFE">
        <w:t xml:space="preserve"> in exposing a high profile corruption case in the tax office. The justice program also provided support to the development of the monitoring and evaluation framework of the Indonesian Government’s new </w:t>
      </w:r>
      <w:r w:rsidRPr="00277EFE">
        <w:rPr>
          <w:rStyle w:val="style131"/>
          <w:color w:val="auto"/>
          <w:sz w:val="19"/>
          <w:szCs w:val="24"/>
        </w:rPr>
        <w:t>National Strategy for Corruption Eradication 2010-2015 (</w:t>
      </w:r>
      <w:r w:rsidRPr="00B64467">
        <w:rPr>
          <w:rStyle w:val="AbbreviationChar"/>
        </w:rPr>
        <w:t>STRANAS PK</w:t>
      </w:r>
      <w:r w:rsidRPr="00277EFE">
        <w:rPr>
          <w:rStyle w:val="style131"/>
          <w:color w:val="auto"/>
          <w:sz w:val="19"/>
          <w:szCs w:val="24"/>
        </w:rPr>
        <w:t xml:space="preserve"> 2010-2015). </w:t>
      </w:r>
      <w:r w:rsidR="00452E06">
        <w:rPr>
          <w:rStyle w:val="style131"/>
          <w:color w:val="auto"/>
          <w:sz w:val="19"/>
          <w:szCs w:val="24"/>
        </w:rPr>
        <w:t xml:space="preserve"> </w:t>
      </w:r>
      <w:r w:rsidRPr="00277EFE">
        <w:rPr>
          <w:rStyle w:val="style131"/>
          <w:color w:val="auto"/>
          <w:sz w:val="19"/>
          <w:szCs w:val="24"/>
        </w:rPr>
        <w:t xml:space="preserve">This </w:t>
      </w:r>
      <w:r>
        <w:rPr>
          <w:rStyle w:val="style131"/>
          <w:color w:val="auto"/>
          <w:sz w:val="19"/>
          <w:szCs w:val="24"/>
        </w:rPr>
        <w:t>s</w:t>
      </w:r>
      <w:r w:rsidRPr="00277EFE">
        <w:rPr>
          <w:rStyle w:val="style131"/>
          <w:color w:val="auto"/>
          <w:sz w:val="19"/>
          <w:szCs w:val="24"/>
        </w:rPr>
        <w:t xml:space="preserve">trategy will synergise government efforts to combat corruption in accordance with the </w:t>
      </w:r>
      <w:r w:rsidRPr="00B64467">
        <w:rPr>
          <w:rStyle w:val="AbbreviationChar"/>
        </w:rPr>
        <w:t>UN</w:t>
      </w:r>
      <w:r w:rsidRPr="00277EFE">
        <w:rPr>
          <w:rStyle w:val="style131"/>
          <w:color w:val="auto"/>
          <w:sz w:val="19"/>
          <w:szCs w:val="24"/>
        </w:rPr>
        <w:t xml:space="preserve"> Convention against Corruption.</w:t>
      </w:r>
    </w:p>
    <w:p w:rsidR="00277EFE" w:rsidRPr="00277EFE" w:rsidRDefault="00277EFE" w:rsidP="00277EFE">
      <w:pPr>
        <w:pStyle w:val="BodyText"/>
      </w:pPr>
      <w:proofErr w:type="spellStart"/>
      <w:r w:rsidRPr="00277EFE">
        <w:t>AusAID</w:t>
      </w:r>
      <w:proofErr w:type="spellEnd"/>
      <w:r w:rsidRPr="00277EFE">
        <w:t xml:space="preserve"> works with the Indonesian Government and communities to strengthen their capacity to combat fraud and corruption through measures built into our joint programs. </w:t>
      </w:r>
      <w:r w:rsidR="00452E06">
        <w:t xml:space="preserve"> </w:t>
      </w:r>
      <w:r w:rsidRPr="00277EFE">
        <w:t>For example the $</w:t>
      </w:r>
      <w:r w:rsidR="0069660A">
        <w:t>395</w:t>
      </w:r>
      <w:r w:rsidRPr="00277EFE">
        <w:t xml:space="preserve"> million Basic Education Program included a complaints-handling system so that communities supervising the construction of schools could report any suspicions of fraud or corruption. </w:t>
      </w:r>
      <w:r w:rsidR="00452E06">
        <w:t xml:space="preserve"> </w:t>
      </w:r>
      <w:r w:rsidRPr="00277EFE">
        <w:t xml:space="preserve">The system was resourced so complaints could be acted upon. </w:t>
      </w:r>
      <w:r w:rsidR="00452E06">
        <w:t xml:space="preserve"> </w:t>
      </w:r>
      <w:r w:rsidRPr="00277EFE">
        <w:t>A number of the active cases have come through the complaints handling system.</w:t>
      </w:r>
    </w:p>
    <w:p w:rsidR="00277EFE" w:rsidRPr="00277EFE" w:rsidRDefault="00277EFE" w:rsidP="00277EFE">
      <w:pPr>
        <w:pStyle w:val="BodyText"/>
      </w:pPr>
      <w:r w:rsidRPr="00277EFE">
        <w:t xml:space="preserve">Given the recent corruption scandals implicating </w:t>
      </w:r>
      <w:smartTag w:uri="urn:schemas-microsoft-com:office:smarttags" w:element="country-region">
        <w:r w:rsidRPr="00277EFE">
          <w:t>Indonesia</w:t>
        </w:r>
      </w:smartTag>
      <w:r w:rsidRPr="00277EFE">
        <w:t>’s judiciary and law and justice system</w:t>
      </w:r>
      <w:r w:rsidR="00452E06" w:rsidRPr="00277EFE">
        <w:t xml:space="preserve">, </w:t>
      </w:r>
      <w:proofErr w:type="spellStart"/>
      <w:r w:rsidR="00452E06">
        <w:t>AusAID</w:t>
      </w:r>
      <w:proofErr w:type="spellEnd"/>
      <w:r w:rsidRPr="00277EFE">
        <w:t xml:space="preserve"> commissioned analysis in 2010 on the state of play of anti-corruption activities in the law and justice sector in </w:t>
      </w:r>
      <w:smartTag w:uri="urn:schemas-microsoft-com:office:smarttags" w:element="place">
        <w:smartTag w:uri="urn:schemas-microsoft-com:office:smarttags" w:element="country-region">
          <w:r w:rsidRPr="00277EFE">
            <w:t>Indonesia</w:t>
          </w:r>
        </w:smartTag>
      </w:smartTag>
      <w:r w:rsidRPr="00277EFE">
        <w:t xml:space="preserve">. </w:t>
      </w:r>
      <w:r w:rsidR="00452E06">
        <w:t xml:space="preserve"> </w:t>
      </w:r>
      <w:r w:rsidRPr="00277EFE">
        <w:t>The report’s findings and recommendations will inform anti-corruption activities supported by the new justice program that starts in 2011.</w:t>
      </w:r>
    </w:p>
    <w:p w:rsidR="00277EFE" w:rsidRPr="00277EFE" w:rsidRDefault="00277EFE" w:rsidP="00277EFE">
      <w:pPr>
        <w:pStyle w:val="BodyText"/>
      </w:pPr>
      <w:r w:rsidRPr="00277EFE">
        <w:t xml:space="preserve">A Public Financial Management Unit was established at </w:t>
      </w:r>
      <w:r>
        <w:t>p</w:t>
      </w:r>
      <w:r w:rsidRPr="00277EFE">
        <w:t xml:space="preserve">ost in </w:t>
      </w:r>
      <w:proofErr w:type="spellStart"/>
      <w:r w:rsidRPr="00277EFE">
        <w:t>mid 2010</w:t>
      </w:r>
      <w:proofErr w:type="spellEnd"/>
      <w:r w:rsidRPr="00277EFE">
        <w:t xml:space="preserve"> to provide advice and support to programs in carrying out fiduciary risk assessments to determine the level of risk, including corruption, associated with channelling money through Indonesian Government systems. In 2010, the unit provided substantial support to the health design.</w:t>
      </w:r>
    </w:p>
    <w:p w:rsidR="00277EFE" w:rsidRPr="00277EFE" w:rsidRDefault="00277EFE" w:rsidP="00277EFE">
      <w:pPr>
        <w:pStyle w:val="BodyText"/>
      </w:pPr>
      <w:r w:rsidRPr="00277EFE">
        <w:t xml:space="preserve">Management response: </w:t>
      </w:r>
      <w:proofErr w:type="spellStart"/>
      <w:r w:rsidRPr="00277EFE">
        <w:t>AusAID</w:t>
      </w:r>
      <w:proofErr w:type="spellEnd"/>
      <w:r w:rsidRPr="00277EFE">
        <w:t xml:space="preserve"> has (February 2011) new guidelines on using partner government systems for public financial management and procurement. </w:t>
      </w:r>
      <w:r w:rsidR="00452E06">
        <w:t xml:space="preserve"> </w:t>
      </w:r>
      <w:r w:rsidRPr="00277EFE">
        <w:t>An assessment of national-level partner government systems is required to assess fiduciary risks associated with national-level partner government systems for public financial management and procurement. This assessment will be undertaken in 2011, and where recommended, assessments will be undertaken at a sectoral level.</w:t>
      </w:r>
    </w:p>
    <w:p w:rsidR="00277EFE" w:rsidRPr="00277EFE" w:rsidRDefault="00277EFE" w:rsidP="00277EFE">
      <w:pPr>
        <w:pStyle w:val="BodyText"/>
      </w:pPr>
      <w:r w:rsidRPr="00277EFE">
        <w:lastRenderedPageBreak/>
        <w:t>More broadly a reinvigorated Fraud and Risk Management Plan will be developed and a Risk Administrator role will be added to duties of the Chief of Operations.</w:t>
      </w:r>
    </w:p>
    <w:p w:rsidR="00AF0985" w:rsidRPr="008A159C" w:rsidRDefault="00AF0985" w:rsidP="00612FF9">
      <w:pPr>
        <w:pStyle w:val="H2F"/>
      </w:pPr>
      <w:bookmarkStart w:id="191" w:name="_Toc293050025"/>
      <w:bookmarkStart w:id="192" w:name="_Toc360981906"/>
      <w:r>
        <w:t>A</w:t>
      </w:r>
      <w:r w:rsidRPr="008A159C">
        <w:t>id effectiveness agenda</w:t>
      </w:r>
      <w:bookmarkEnd w:id="191"/>
      <w:bookmarkEnd w:id="192"/>
    </w:p>
    <w:p w:rsidR="00AF0985" w:rsidRPr="00AF0985" w:rsidRDefault="0069660A" w:rsidP="00AF0985">
      <w:pPr>
        <w:pStyle w:val="BodyText"/>
      </w:pPr>
      <w:r>
        <w:t>Limited progress was made on the aid effectiveness</w:t>
      </w:r>
      <w:r w:rsidR="00596688">
        <w:t xml:space="preserve"> </w:t>
      </w:r>
      <w:r>
        <w:t xml:space="preserve">agenda </w:t>
      </w:r>
      <w:r w:rsidR="00596688">
        <w:t>in 2010</w:t>
      </w:r>
      <w:r w:rsidR="00AF0985" w:rsidRPr="00AF0985">
        <w:t xml:space="preserve">.  The agenda is being driven by the Indonesian National </w:t>
      </w:r>
      <w:r w:rsidR="00AD44EE">
        <w:t xml:space="preserve">Development </w:t>
      </w:r>
      <w:r w:rsidR="00AF0985" w:rsidRPr="00AF0985">
        <w:t>Planning Agency (</w:t>
      </w:r>
      <w:r w:rsidR="00AF0985" w:rsidRPr="00E03E5F">
        <w:rPr>
          <w:rStyle w:val="AbbreviationChar"/>
        </w:rPr>
        <w:t>B</w:t>
      </w:r>
      <w:r w:rsidR="00AD44EE">
        <w:rPr>
          <w:rStyle w:val="AbbreviationChar"/>
        </w:rPr>
        <w:t>APPENAS</w:t>
      </w:r>
      <w:r w:rsidR="00AF0985" w:rsidRPr="00AF0985">
        <w:t xml:space="preserve">) with little buy-in from other Indonesian Government agencies.  </w:t>
      </w:r>
      <w:r w:rsidR="00E83714">
        <w:t>Further</w:t>
      </w:r>
      <w:r w:rsidR="00452E06">
        <w:t>more,</w:t>
      </w:r>
      <w:r w:rsidR="00E83714">
        <w:t xml:space="preserve"> there has been little progress on substantively e</w:t>
      </w:r>
      <w:r w:rsidR="00AF0985" w:rsidRPr="00AF0985">
        <w:t>ngag</w:t>
      </w:r>
      <w:r w:rsidR="00E83714">
        <w:t xml:space="preserve">ing </w:t>
      </w:r>
      <w:r w:rsidR="00AF0985" w:rsidRPr="00AF0985">
        <w:t xml:space="preserve">other partners, such as civil society, </w:t>
      </w:r>
      <w:r w:rsidR="00E83714">
        <w:t>on aid effectiveness</w:t>
      </w:r>
      <w:r w:rsidR="00AF0985" w:rsidRPr="00AF0985">
        <w:t xml:space="preserve">. </w:t>
      </w:r>
    </w:p>
    <w:p w:rsidR="00AF0985" w:rsidRPr="00AF0985" w:rsidRDefault="00AF0985" w:rsidP="00AF0985">
      <w:pPr>
        <w:pStyle w:val="BodyText"/>
      </w:pPr>
      <w:r w:rsidRPr="00AF0985">
        <w:t>The Aid for Development Effectiveness Secretariat (</w:t>
      </w:r>
      <w:r w:rsidRPr="00E03E5F">
        <w:rPr>
          <w:rStyle w:val="AbbreviationChar"/>
        </w:rPr>
        <w:t>A4DES</w:t>
      </w:r>
      <w:r w:rsidRPr="00AF0985">
        <w:t xml:space="preserve">), the body established to drive the Jakarta Commitment, </w:t>
      </w:r>
      <w:smartTag w:uri="urn:schemas-microsoft-com:office:smarttags" w:element="place">
        <w:smartTag w:uri="urn:schemas-microsoft-com:office:smarttags" w:element="country-region">
          <w:r w:rsidRPr="00AF0985">
            <w:t>Indonesia</w:t>
          </w:r>
        </w:smartTag>
      </w:smartTag>
      <w:r w:rsidRPr="00AF0985">
        <w:t xml:space="preserve">’s roadmap for implementing the Paris Declaration and Accra Agenda for Action, has found it difficult to drive the programs under each of the six A4DES working groups. </w:t>
      </w:r>
      <w:r w:rsidR="00452E06">
        <w:t xml:space="preserve"> </w:t>
      </w:r>
      <w:r w:rsidRPr="00AF0985">
        <w:t xml:space="preserve">These working groups often do not involve donors. </w:t>
      </w:r>
      <w:r w:rsidR="00452E06">
        <w:t xml:space="preserve"> </w:t>
      </w:r>
      <w:r w:rsidRPr="00AF0985">
        <w:t xml:space="preserve">Therefore, they have not become forums for the Indonesian Government and donors to discuss the barriers and challenges in achieving aid effectiveness and using Indonesian Government systems </w:t>
      </w:r>
      <w:r w:rsidR="001919CE">
        <w:t>as</w:t>
      </w:r>
      <w:r w:rsidR="001919CE" w:rsidRPr="00AF0985">
        <w:t xml:space="preserve"> </w:t>
      </w:r>
      <w:r w:rsidRPr="00AF0985">
        <w:t xml:space="preserve">we had hoped. </w:t>
      </w:r>
    </w:p>
    <w:p w:rsidR="00AF0985" w:rsidRPr="00AF0985" w:rsidRDefault="00AF0985" w:rsidP="00AF0985">
      <w:pPr>
        <w:pStyle w:val="BodyText"/>
        <w:rPr>
          <w:rtl/>
          <w:lang w:bidi="ar-SY"/>
        </w:rPr>
      </w:pPr>
      <w:r w:rsidRPr="00AF0985">
        <w:t xml:space="preserve">The two areas that have made the most progress have been under the </w:t>
      </w:r>
      <w:r w:rsidR="00AD44EE">
        <w:t>p</w:t>
      </w:r>
      <w:r w:rsidRPr="00AF0985">
        <w:t xml:space="preserve">rocurement </w:t>
      </w:r>
      <w:r w:rsidR="00AD44EE">
        <w:t>w</w:t>
      </w:r>
      <w:r w:rsidRPr="00AF0985">
        <w:t xml:space="preserve">orking </w:t>
      </w:r>
      <w:r w:rsidR="00AD44EE">
        <w:t>g</w:t>
      </w:r>
      <w:r w:rsidRPr="00AF0985">
        <w:t xml:space="preserve">roup and the </w:t>
      </w:r>
      <w:r w:rsidR="00AD44EE">
        <w:t>m</w:t>
      </w:r>
      <w:r w:rsidRPr="00AF0985">
        <w:t xml:space="preserve">onitoring &amp; </w:t>
      </w:r>
      <w:r w:rsidR="00AD44EE">
        <w:t>e</w:t>
      </w:r>
      <w:r w:rsidRPr="00AF0985">
        <w:t xml:space="preserve">valuation </w:t>
      </w:r>
      <w:r w:rsidR="00AD44EE">
        <w:t>w</w:t>
      </w:r>
      <w:r w:rsidRPr="00AF0985">
        <w:t xml:space="preserve">orking </w:t>
      </w:r>
      <w:r w:rsidR="00AD44EE">
        <w:t>g</w:t>
      </w:r>
      <w:r w:rsidRPr="00AF0985">
        <w:t xml:space="preserve">roup. </w:t>
      </w:r>
      <w:r w:rsidR="00452E06">
        <w:t xml:space="preserve"> </w:t>
      </w:r>
      <w:r w:rsidRPr="00AF0985">
        <w:t xml:space="preserve">The former has been developing </w:t>
      </w:r>
      <w:r w:rsidR="00452E06">
        <w:t>a compliance</w:t>
      </w:r>
      <w:r w:rsidRPr="00AF0985">
        <w:t xml:space="preserve"> and </w:t>
      </w:r>
      <w:r w:rsidR="00AD44EE">
        <w:t>p</w:t>
      </w:r>
      <w:r w:rsidRPr="00AF0985">
        <w:t xml:space="preserve">erformance </w:t>
      </w:r>
      <w:r w:rsidR="001919CE">
        <w:t>i</w:t>
      </w:r>
      <w:r w:rsidRPr="00AF0985">
        <w:t xml:space="preserve">ndicators study (with </w:t>
      </w:r>
      <w:proofErr w:type="spellStart"/>
      <w:r w:rsidRPr="00AF0985">
        <w:t>AusAID</w:t>
      </w:r>
      <w:proofErr w:type="spellEnd"/>
      <w:r w:rsidRPr="00AF0985">
        <w:t xml:space="preserve"> assistance) which will assist </w:t>
      </w:r>
      <w:smartTag w:uri="urn:schemas-microsoft-com:office:smarttags" w:element="place">
        <w:smartTag w:uri="urn:schemas-microsoft-com:office:smarttags" w:element="country-region">
          <w:r w:rsidRPr="00AF0985">
            <w:t>Indonesia</w:t>
          </w:r>
        </w:smartTag>
      </w:smartTag>
      <w:r w:rsidRPr="00AF0985">
        <w:t xml:space="preserve"> assess the strength of its procurement systems. </w:t>
      </w:r>
      <w:r w:rsidR="00452E06">
        <w:t xml:space="preserve"> </w:t>
      </w:r>
      <w:r w:rsidRPr="00AF0985">
        <w:t>The st</w:t>
      </w:r>
      <w:r w:rsidR="000B3BED">
        <w:t>udy will be undertaken in 2011.</w:t>
      </w:r>
    </w:p>
    <w:p w:rsidR="00AF0985" w:rsidRPr="000B3BED" w:rsidRDefault="00AF0985" w:rsidP="00AF0985">
      <w:pPr>
        <w:pStyle w:val="BodyText"/>
        <w:rPr>
          <w:lang w:val="en-US"/>
        </w:rPr>
      </w:pPr>
      <w:r w:rsidRPr="00AF0985">
        <w:t xml:space="preserve">The </w:t>
      </w:r>
      <w:r w:rsidR="00AD44EE">
        <w:t>m</w:t>
      </w:r>
      <w:r w:rsidRPr="00AF0985">
        <w:t xml:space="preserve">onitoring &amp; </w:t>
      </w:r>
      <w:r w:rsidR="00AD44EE">
        <w:t>e</w:t>
      </w:r>
      <w:r w:rsidRPr="00AF0985">
        <w:t xml:space="preserve">valuation </w:t>
      </w:r>
      <w:r w:rsidR="00AD44EE">
        <w:t>w</w:t>
      </w:r>
      <w:r w:rsidRPr="00AF0985">
        <w:t xml:space="preserve">orking </w:t>
      </w:r>
      <w:r w:rsidR="00AD44EE">
        <w:t>g</w:t>
      </w:r>
      <w:r w:rsidRPr="00AF0985">
        <w:t xml:space="preserve">roup has established and trialled the Aid Information Management System, a database to capture all foreign loan and grant development activities in </w:t>
      </w:r>
      <w:smartTag w:uri="urn:schemas-microsoft-com:office:smarttags" w:element="place">
        <w:smartTag w:uri="urn:schemas-microsoft-com:office:smarttags" w:element="country-region">
          <w:r w:rsidRPr="00AF0985">
            <w:t>Indonesia</w:t>
          </w:r>
        </w:smartTag>
      </w:smartTag>
      <w:r w:rsidRPr="00AF0985">
        <w:t xml:space="preserve">. </w:t>
      </w:r>
      <w:r w:rsidR="00452E06">
        <w:t xml:space="preserve"> </w:t>
      </w:r>
      <w:proofErr w:type="spellStart"/>
      <w:r w:rsidRPr="00AF0985">
        <w:t>AusAID</w:t>
      </w:r>
      <w:proofErr w:type="spellEnd"/>
      <w:r w:rsidRPr="00AF0985">
        <w:t xml:space="preserve"> participated in the trial inputting data on $347.6m worth of activities. This working group also undertakes the Paris Declaration Surveys and Evaluations being conducted in the lead up to the </w:t>
      </w:r>
      <w:r w:rsidR="00AD44EE">
        <w:t>h</w:t>
      </w:r>
      <w:r w:rsidRPr="00AF0985">
        <w:t xml:space="preserve">igh </w:t>
      </w:r>
      <w:r w:rsidR="00AD44EE">
        <w:t>l</w:t>
      </w:r>
      <w:r w:rsidRPr="00AF0985">
        <w:t xml:space="preserve">evel </w:t>
      </w:r>
      <w:r w:rsidR="00AD44EE">
        <w:t>f</w:t>
      </w:r>
      <w:r w:rsidRPr="00AF0985">
        <w:t xml:space="preserve">orum in </w:t>
      </w:r>
      <w:proofErr w:type="spellStart"/>
      <w:smartTag w:uri="urn:schemas-microsoft-com:office:smarttags" w:element="place">
        <w:smartTag w:uri="urn:schemas-microsoft-com:office:smarttags" w:element="City">
          <w:r w:rsidRPr="00AF0985">
            <w:t>Busan</w:t>
          </w:r>
        </w:smartTag>
        <w:proofErr w:type="spellEnd"/>
        <w:r w:rsidRPr="00AF0985">
          <w:t xml:space="preserve">, </w:t>
        </w:r>
        <w:smartTag w:uri="urn:schemas-microsoft-com:office:smarttags" w:element="country-region">
          <w:r w:rsidR="00E53699">
            <w:t xml:space="preserve">South </w:t>
          </w:r>
          <w:r w:rsidRPr="00AF0985">
            <w:t>Korea</w:t>
          </w:r>
        </w:smartTag>
      </w:smartTag>
      <w:r w:rsidRPr="00AF0985">
        <w:t xml:space="preserve"> in November 2011. Australia </w:t>
      </w:r>
      <w:r w:rsidR="005917AB">
        <w:t xml:space="preserve">provided </w:t>
      </w:r>
      <w:r w:rsidRPr="00AF0985">
        <w:t xml:space="preserve">input into the Paris Declaration Evaluation (Phase 2) in 2010 and was a member of the </w:t>
      </w:r>
      <w:r w:rsidR="00AD44EE">
        <w:t>n</w:t>
      </w:r>
      <w:r w:rsidRPr="00AF0985">
        <w:t xml:space="preserve">ational </w:t>
      </w:r>
      <w:r w:rsidR="00AD44EE">
        <w:t>r</w:t>
      </w:r>
      <w:r w:rsidRPr="00AF0985">
        <w:t xml:space="preserve">eference </w:t>
      </w:r>
      <w:r w:rsidR="00AD44EE">
        <w:t>g</w:t>
      </w:r>
      <w:r w:rsidR="000B3BED">
        <w:t>roup for the study.</w:t>
      </w:r>
    </w:p>
    <w:p w:rsidR="00AF0985" w:rsidRPr="003748F9" w:rsidRDefault="00AF0985" w:rsidP="00612FF9">
      <w:pPr>
        <w:pStyle w:val="H2F"/>
      </w:pPr>
      <w:bookmarkStart w:id="193" w:name="_Toc293050026"/>
      <w:bookmarkStart w:id="194" w:name="_Toc360981907"/>
      <w:r w:rsidRPr="003748F9">
        <w:t>Public Financial Management/Working in Partner Systems</w:t>
      </w:r>
      <w:bookmarkEnd w:id="193"/>
      <w:bookmarkEnd w:id="194"/>
    </w:p>
    <w:p w:rsidR="00AF0985" w:rsidRPr="00AF0985" w:rsidRDefault="00AF0985" w:rsidP="00AF0985">
      <w:pPr>
        <w:pStyle w:val="BodyText"/>
      </w:pPr>
      <w:r w:rsidRPr="00AF0985">
        <w:t xml:space="preserve">In 2010, </w:t>
      </w:r>
      <w:smartTag w:uri="urn:schemas-microsoft-com:office:smarttags" w:element="place">
        <w:smartTag w:uri="urn:schemas-microsoft-com:office:smarttags" w:element="country-region">
          <w:r w:rsidRPr="00AF0985">
            <w:t>Australia</w:t>
          </w:r>
        </w:smartTag>
      </w:smartTag>
      <w:r w:rsidRPr="00AF0985">
        <w:t xml:space="preserve"> provided $59.7 million in direct funding to the Indonesian Government. This is significantly less than in 2009 ($121.6 million) and is less than the projected amount for 2011 ($98.8 million). </w:t>
      </w:r>
      <w:r w:rsidR="00452E06">
        <w:t xml:space="preserve"> </w:t>
      </w:r>
      <w:r w:rsidRPr="00AF0985">
        <w:t xml:space="preserve">The </w:t>
      </w:r>
      <w:r w:rsidR="00452E06">
        <w:t xml:space="preserve">reason for the </w:t>
      </w:r>
      <w:r w:rsidRPr="00AF0985">
        <w:t xml:space="preserve">lesser figure </w:t>
      </w:r>
      <w:r w:rsidR="00452E06">
        <w:t xml:space="preserve">is </w:t>
      </w:r>
      <w:r w:rsidRPr="00AF0985">
        <w:t>that our largest program</w:t>
      </w:r>
      <w:r w:rsidR="00452E06">
        <w:t>,</w:t>
      </w:r>
      <w:r w:rsidRPr="00AF0985">
        <w:t xml:space="preserve"> education </w:t>
      </w:r>
      <w:r w:rsidR="00452E06">
        <w:t>(</w:t>
      </w:r>
      <w:r w:rsidRPr="00AF0985">
        <w:t>that provide</w:t>
      </w:r>
      <w:r w:rsidR="00473CEA">
        <w:t>s</w:t>
      </w:r>
      <w:r w:rsidRPr="00AF0985">
        <w:t xml:space="preserve"> funds directly to </w:t>
      </w:r>
      <w:smartTag w:uri="urn:schemas-microsoft-com:office:smarttags" w:element="place">
        <w:smartTag w:uri="urn:schemas-microsoft-com:office:smarttags" w:element="country-region">
          <w:r w:rsidRPr="00AF0985">
            <w:t>Indonesia</w:t>
          </w:r>
        </w:smartTag>
      </w:smartTag>
      <w:r w:rsidR="00452E06">
        <w:t>),</w:t>
      </w:r>
      <w:r w:rsidRPr="00AF0985">
        <w:t xml:space="preserve"> was transiti</w:t>
      </w:r>
      <w:r w:rsidR="00D772E0">
        <w:t>oni</w:t>
      </w:r>
      <w:r w:rsidRPr="00AF0985">
        <w:t>ng to a new long term program.</w:t>
      </w:r>
      <w:r w:rsidR="00473CEA">
        <w:t xml:space="preserve">  </w:t>
      </w:r>
      <w:r w:rsidR="00452E06">
        <w:t>I</w:t>
      </w:r>
      <w:r w:rsidR="00473CEA">
        <w:t>n 2011</w:t>
      </w:r>
      <w:r w:rsidR="00452E06">
        <w:t xml:space="preserve"> we expect</w:t>
      </w:r>
      <w:r w:rsidR="00473CEA">
        <w:t xml:space="preserve"> to see the proportion of Australian direct funding to the Indonesian Government </w:t>
      </w:r>
      <w:r w:rsidR="00D772E0">
        <w:t>rise</w:t>
      </w:r>
      <w:r w:rsidR="00473CEA">
        <w:t xml:space="preserve"> again.</w:t>
      </w:r>
    </w:p>
    <w:p w:rsidR="00AF0985" w:rsidRPr="00AF0985" w:rsidRDefault="00AF0985" w:rsidP="00AF0985">
      <w:pPr>
        <w:pStyle w:val="BodyText"/>
      </w:pPr>
      <w:r w:rsidRPr="00AF0985">
        <w:t xml:space="preserve">In </w:t>
      </w:r>
      <w:r w:rsidR="00D772E0">
        <w:t>mid-</w:t>
      </w:r>
      <w:r w:rsidRPr="00AF0985">
        <w:t>2010, the Indonesian Program establish</w:t>
      </w:r>
      <w:r w:rsidR="00D772E0">
        <w:t>ed</w:t>
      </w:r>
      <w:r w:rsidRPr="00AF0985">
        <w:t xml:space="preserve"> a </w:t>
      </w:r>
      <w:r w:rsidR="00550C8A">
        <w:t>p</w:t>
      </w:r>
      <w:r w:rsidRPr="00AF0985">
        <w:t xml:space="preserve">ublic </w:t>
      </w:r>
      <w:r w:rsidR="00550C8A">
        <w:t>f</w:t>
      </w:r>
      <w:r w:rsidRPr="00AF0985">
        <w:t xml:space="preserve">inancial </w:t>
      </w:r>
      <w:r w:rsidR="00550C8A">
        <w:t>m</w:t>
      </w:r>
      <w:r w:rsidRPr="00AF0985">
        <w:t xml:space="preserve">anagement </w:t>
      </w:r>
      <w:r w:rsidR="00550C8A">
        <w:t>u</w:t>
      </w:r>
      <w:r w:rsidRPr="00AF0985">
        <w:t xml:space="preserve">nit. </w:t>
      </w:r>
      <w:r w:rsidR="001919CE">
        <w:t>T</w:t>
      </w:r>
      <w:r w:rsidR="001919CE" w:rsidRPr="00AF0985">
        <w:t>he Indonesia Program has continued to focus internally on increasing its understanding of Indonesian Government systems and promoting reform through sectoral programs.</w:t>
      </w:r>
      <w:r w:rsidR="001919CE">
        <w:t xml:space="preserve">  </w:t>
      </w:r>
      <w:r w:rsidRPr="00AF0985">
        <w:t xml:space="preserve">In 2010 staff were given the opportunity to learn more about the planning and budgeting system in </w:t>
      </w:r>
      <w:smartTag w:uri="urn:schemas-microsoft-com:office:smarttags" w:element="place">
        <w:smartTag w:uri="urn:schemas-microsoft-com:office:smarttags" w:element="country-region">
          <w:r w:rsidRPr="00AF0985">
            <w:t>Indonesia</w:t>
          </w:r>
        </w:smartTag>
      </w:smartTag>
      <w:r w:rsidRPr="00AF0985">
        <w:t xml:space="preserve"> with a series of workshops presented by </w:t>
      </w:r>
      <w:proofErr w:type="spellStart"/>
      <w:r w:rsidR="00936D2A">
        <w:t>GoI</w:t>
      </w:r>
      <w:proofErr w:type="spellEnd"/>
      <w:r w:rsidRPr="00AF0985">
        <w:t xml:space="preserve"> and leading Indonesian academics.</w:t>
      </w:r>
    </w:p>
    <w:p w:rsidR="00AF0985" w:rsidRPr="00AF0985" w:rsidRDefault="00AF0985" w:rsidP="00AF0985">
      <w:pPr>
        <w:pStyle w:val="BodyText"/>
      </w:pPr>
      <w:r w:rsidRPr="00AF0985">
        <w:t xml:space="preserve">Faced with an </w:t>
      </w:r>
      <w:r w:rsidR="00105C18">
        <w:t>a</w:t>
      </w:r>
      <w:r w:rsidRPr="00AF0985">
        <w:t xml:space="preserve">id for </w:t>
      </w:r>
      <w:r w:rsidR="00105C18">
        <w:t>d</w:t>
      </w:r>
      <w:r w:rsidRPr="00AF0985">
        <w:t xml:space="preserve">evelopment </w:t>
      </w:r>
      <w:r w:rsidR="00105C18">
        <w:t>e</w:t>
      </w:r>
      <w:r w:rsidRPr="00AF0985">
        <w:t xml:space="preserve">ffectiveness </w:t>
      </w:r>
      <w:r w:rsidR="00105C18">
        <w:t>s</w:t>
      </w:r>
      <w:r w:rsidRPr="00AF0985">
        <w:t>ecretariat tha</w:t>
      </w:r>
      <w:r w:rsidR="000B3BED">
        <w:t>t is not functioning as hoped,</w:t>
      </w:r>
    </w:p>
    <w:p w:rsidR="00AF0985" w:rsidRPr="00AF0985" w:rsidRDefault="00AF0985" w:rsidP="00AF0985">
      <w:pPr>
        <w:pStyle w:val="BodyText"/>
        <w:rPr>
          <w:highlight w:val="yellow"/>
        </w:rPr>
      </w:pPr>
      <w:r w:rsidRPr="00AF0985">
        <w:t xml:space="preserve">In the absence of a government-led Public Financial Management </w:t>
      </w:r>
      <w:r w:rsidR="00D772E0">
        <w:t xml:space="preserve">(PFM) </w:t>
      </w:r>
      <w:r w:rsidRPr="00AF0985">
        <w:t xml:space="preserve">donor coordination committee, </w:t>
      </w:r>
      <w:proofErr w:type="spellStart"/>
      <w:r w:rsidRPr="00AF0985">
        <w:t>AusAID</w:t>
      </w:r>
      <w:proofErr w:type="spellEnd"/>
      <w:r w:rsidRPr="00AF0985">
        <w:t xml:space="preserve"> has been working informally with other donors to ensure a cohesive and consistent approach to donors support for PFM. In 2011, </w:t>
      </w:r>
      <w:proofErr w:type="spellStart"/>
      <w:r w:rsidRPr="00AF0985">
        <w:t>AusAID</w:t>
      </w:r>
      <w:proofErr w:type="spellEnd"/>
      <w:r w:rsidRPr="00AF0985">
        <w:t xml:space="preserve"> will continue this trend, working with donors on joint analytical pieces, undertaking joint missions, greater </w:t>
      </w:r>
      <w:r w:rsidRPr="00AF0985">
        <w:lastRenderedPageBreak/>
        <w:t>engagement on policy lending instruments with</w:t>
      </w:r>
      <w:r w:rsidR="00D772E0">
        <w:t xml:space="preserve"> the</w:t>
      </w:r>
      <w:r w:rsidRPr="00AF0985">
        <w:t xml:space="preserve"> ADB and </w:t>
      </w:r>
      <w:r w:rsidR="00D772E0">
        <w:t xml:space="preserve">the </w:t>
      </w:r>
      <w:r w:rsidRPr="00AF0985">
        <w:t>World Bank, and producing joint fiduciary risk assessments with other donors.</w:t>
      </w:r>
    </w:p>
    <w:p w:rsidR="00AF0985" w:rsidRPr="008A159C" w:rsidRDefault="00AF0985" w:rsidP="00612FF9">
      <w:pPr>
        <w:pStyle w:val="H2F"/>
      </w:pPr>
      <w:bookmarkStart w:id="195" w:name="_Toc293050027"/>
      <w:bookmarkStart w:id="196" w:name="_Toc360981908"/>
      <w:smartTag w:uri="urn:schemas-microsoft-com:office:smarttags" w:element="place">
        <w:smartTag w:uri="urn:schemas-microsoft-com:office:smarttags" w:element="country-region">
          <w:r w:rsidRPr="008A159C">
            <w:t>Indonesia</w:t>
          </w:r>
        </w:smartTag>
      </w:smartTag>
      <w:r w:rsidRPr="008A159C">
        <w:t xml:space="preserve"> Review of Long-Term Adviser Positions</w:t>
      </w:r>
      <w:bookmarkEnd w:id="195"/>
      <w:bookmarkEnd w:id="196"/>
    </w:p>
    <w:p w:rsidR="00AF0985" w:rsidRPr="008A159C" w:rsidRDefault="00AF0985" w:rsidP="00AF0985">
      <w:pPr>
        <w:pStyle w:val="BodyText"/>
      </w:pPr>
      <w:r w:rsidRPr="008A159C">
        <w:t xml:space="preserve">In the 2010/11 </w:t>
      </w:r>
      <w:r w:rsidR="00550C8A">
        <w:t>b</w:t>
      </w:r>
      <w:r w:rsidRPr="008A159C">
        <w:t xml:space="preserve">udget </w:t>
      </w:r>
      <w:r w:rsidR="00550C8A">
        <w:t>s</w:t>
      </w:r>
      <w:r w:rsidRPr="008A159C">
        <w:t xml:space="preserve">tatement former Foreign Minister Smith announced a review of all long-term adviser positions funded by the Australian aid program.  This review was undertaken in </w:t>
      </w:r>
      <w:smartTag w:uri="urn:schemas-microsoft-com:office:smarttags" w:element="place">
        <w:smartTag w:uri="urn:schemas-microsoft-com:office:smarttags" w:element="country-region">
          <w:r w:rsidRPr="008A159C">
            <w:t>Indonesia</w:t>
          </w:r>
        </w:smartTag>
      </w:smartTag>
      <w:r w:rsidRPr="008A159C">
        <w:t xml:space="preserve"> from September to December 2010 and identified 156 positions across 26 programs, with over half of the positions (52 per cent) filled by Indonesians. </w:t>
      </w:r>
    </w:p>
    <w:p w:rsidR="00AF0985" w:rsidRPr="008A159C" w:rsidRDefault="00AF0985" w:rsidP="00AF0985">
      <w:pPr>
        <w:pStyle w:val="BodyText"/>
      </w:pPr>
      <w:r w:rsidRPr="008A159C">
        <w:t xml:space="preserve">The proportion of long-term adviser costs to total annual program expenditure was found to be five per cent, a ratio that is expected to be maintained as the Indonesia Program expands in coming years. </w:t>
      </w:r>
      <w:r w:rsidR="00D772E0">
        <w:t xml:space="preserve"> </w:t>
      </w:r>
      <w:r w:rsidRPr="008A159C">
        <w:t xml:space="preserve">The evidence reflects a relatively modest use of long-term advisers by the Indonesia </w:t>
      </w:r>
      <w:r w:rsidR="00550C8A">
        <w:t>P</w:t>
      </w:r>
      <w:r w:rsidRPr="008A159C">
        <w:t xml:space="preserve">rogram compared to similar-sized </w:t>
      </w:r>
      <w:proofErr w:type="spellStart"/>
      <w:r w:rsidRPr="008A159C">
        <w:t>AusAID</w:t>
      </w:r>
      <w:proofErr w:type="spellEnd"/>
      <w:r w:rsidRPr="008A159C">
        <w:t xml:space="preserve"> programs and high use of local capacity where it exists.</w:t>
      </w:r>
    </w:p>
    <w:p w:rsidR="00AF0985" w:rsidRPr="008A159C" w:rsidRDefault="00AF0985" w:rsidP="00AF0985">
      <w:pPr>
        <w:pStyle w:val="BodyText"/>
      </w:pPr>
      <w:r w:rsidRPr="008A159C">
        <w:t xml:space="preserve">Consultations undertaken with a range of </w:t>
      </w:r>
      <w:r>
        <w:t>Indonesian Government</w:t>
      </w:r>
      <w:r w:rsidRPr="008A159C">
        <w:t xml:space="preserve"> agencies that manage or have oversight of long-term </w:t>
      </w:r>
      <w:proofErr w:type="spellStart"/>
      <w:r w:rsidRPr="008A159C">
        <w:t>AusAID</w:t>
      </w:r>
      <w:proofErr w:type="spellEnd"/>
      <w:r w:rsidRPr="008A159C">
        <w:t xml:space="preserve">-funded advisers did not reveal any concerns about how long-term advisers were being used or remunerated, nor identified any programs using long-term advisers indiscriminately. </w:t>
      </w:r>
      <w:r w:rsidR="00D772E0">
        <w:t xml:space="preserve"> T</w:t>
      </w:r>
      <w:r w:rsidRPr="008A159C">
        <w:t xml:space="preserve">he consultations </w:t>
      </w:r>
      <w:r w:rsidR="00D772E0">
        <w:t xml:space="preserve">also </w:t>
      </w:r>
      <w:r w:rsidRPr="008A159C">
        <w:t xml:space="preserve">affirmed that 91 per cent of the long-term adviser positions were rated as high priority by </w:t>
      </w:r>
      <w:r>
        <w:t>Indonesian</w:t>
      </w:r>
      <w:r w:rsidRPr="008A159C">
        <w:t xml:space="preserve"> counterparts and </w:t>
      </w:r>
      <w:proofErr w:type="spellStart"/>
      <w:r w:rsidRPr="008A159C">
        <w:t>AusAID</w:t>
      </w:r>
      <w:proofErr w:type="spellEnd"/>
      <w:r w:rsidRPr="008A159C">
        <w:t xml:space="preserve">. It was agreed that the remaining nine per cent (14 positions) be either phased out or be reappraised and </w:t>
      </w:r>
      <w:r w:rsidR="000B3BED">
        <w:t>positions descriptions revised.</w:t>
      </w:r>
    </w:p>
    <w:p w:rsidR="00AF0985" w:rsidRPr="008A159C" w:rsidRDefault="00AF0985" w:rsidP="00AF0985">
      <w:pPr>
        <w:pStyle w:val="BodyText"/>
      </w:pPr>
      <w:r>
        <w:t>Indonesian</w:t>
      </w:r>
      <w:r w:rsidRPr="008A159C">
        <w:t xml:space="preserve"> counterparts consulted during the review consistent</w:t>
      </w:r>
      <w:r>
        <w:t xml:space="preserve">ly commented on the high value </w:t>
      </w:r>
      <w:smartTag w:uri="urn:schemas-microsoft-com:office:smarttags" w:element="country-region">
        <w:r>
          <w:t>Indonesia</w:t>
        </w:r>
      </w:smartTag>
      <w:r w:rsidRPr="008A159C">
        <w:t xml:space="preserve"> places on technical assistance provided by </w:t>
      </w:r>
      <w:smartTag w:uri="urn:schemas-microsoft-com:office:smarttags" w:element="place">
        <w:smartTag w:uri="urn:schemas-microsoft-com:office:smarttags" w:element="country-region">
          <w:r w:rsidRPr="008A159C">
            <w:t>Australia</w:t>
          </w:r>
        </w:smartTag>
      </w:smartTag>
      <w:r w:rsidRPr="008A159C">
        <w:t xml:space="preserve"> and its strong wish to see this assistance continue. For example, the Indonesian Trade Minister, Dr </w:t>
      </w:r>
      <w:proofErr w:type="spellStart"/>
      <w:r w:rsidRPr="008A159C">
        <w:t>Pangestu</w:t>
      </w:r>
      <w:proofErr w:type="spellEnd"/>
      <w:r w:rsidRPr="008A159C">
        <w:t xml:space="preserve">, noted in a letter in June 2010 about long-term advisers supporting her </w:t>
      </w:r>
      <w:r w:rsidR="00550C8A">
        <w:t>m</w:t>
      </w:r>
      <w:r w:rsidRPr="008A159C">
        <w:t>inistry that “</w:t>
      </w:r>
      <w:proofErr w:type="spellStart"/>
      <w:r w:rsidRPr="008A159C">
        <w:t>AusAID’s</w:t>
      </w:r>
      <w:proofErr w:type="spellEnd"/>
      <w:r w:rsidRPr="008A159C">
        <w:t xml:space="preserve"> assistance is highly valued by the </w:t>
      </w:r>
      <w:r w:rsidR="00550C8A">
        <w:t>m</w:t>
      </w:r>
      <w:r w:rsidRPr="008A159C">
        <w:t xml:space="preserve">inistry and is a major contributor to further strengthening the bilateral Australia-Indonesia relationship”. She noted, like other counterparts, the </w:t>
      </w:r>
      <w:r>
        <w:t xml:space="preserve">impressive and helpful </w:t>
      </w:r>
      <w:r w:rsidRPr="008A159C">
        <w:t xml:space="preserve">role played by Australian long-term advisers in providing high level advice </w:t>
      </w:r>
      <w:r w:rsidR="000B3BED">
        <w:t>on strategic and policy issues.</w:t>
      </w:r>
    </w:p>
    <w:p w:rsidR="00AF0985" w:rsidRPr="008A159C" w:rsidRDefault="00AF0985" w:rsidP="00AF0985">
      <w:pPr>
        <w:pStyle w:val="BodyText"/>
      </w:pPr>
      <w:r w:rsidRPr="008A159C">
        <w:t>The review confirmed that the Indonesian Government exerts strong ownership and is active in monitoring the role and performance of long-term advisers.  Indonesia’s own rules require that annual visa extension requests of international advisers be accompanied by a perform</w:t>
      </w:r>
      <w:r w:rsidR="000B3BED">
        <w:t>ance assessment of the adviser.</w:t>
      </w:r>
    </w:p>
    <w:p w:rsidR="00FF5B06" w:rsidRDefault="00D772E0" w:rsidP="00AF0985">
      <w:pPr>
        <w:pStyle w:val="BodyText"/>
      </w:pPr>
      <w:r>
        <w:t>The review also</w:t>
      </w:r>
      <w:r w:rsidR="00AF0985" w:rsidRPr="00AF0985">
        <w:t xml:space="preserve"> recommended that a remuneration framework be developed to guide the program when recruiting national (Indonesian) advisers and ensure </w:t>
      </w:r>
      <w:proofErr w:type="spellStart"/>
      <w:r w:rsidR="00AF0985" w:rsidRPr="00AF0985">
        <w:t>AusAID</w:t>
      </w:r>
      <w:proofErr w:type="spellEnd"/>
      <w:r w:rsidR="00AF0985" w:rsidRPr="00AF0985">
        <w:t xml:space="preserve"> pay</w:t>
      </w:r>
      <w:r w:rsidR="00823B31">
        <w:t>s</w:t>
      </w:r>
      <w:r w:rsidR="00AF0985" w:rsidRPr="00AF0985">
        <w:t xml:space="preserve"> fair rates but </w:t>
      </w:r>
      <w:r w:rsidR="00823B31">
        <w:t xml:space="preserve">does </w:t>
      </w:r>
      <w:r w:rsidR="00AF0985" w:rsidRPr="00AF0985">
        <w:t xml:space="preserve">not distort the market. It was also noted that programs should involve Indonesian Government counterparts more in the recruitment of advisers and develop exit strategies from the outset (particularly for those programs with in-line national adviser positions). </w:t>
      </w:r>
      <w:r>
        <w:t xml:space="preserve"> </w:t>
      </w:r>
      <w:r w:rsidR="00AF0985" w:rsidRPr="00AF0985">
        <w:t xml:space="preserve">The </w:t>
      </w:r>
      <w:smartTag w:uri="urn:schemas-microsoft-com:office:smarttags" w:element="place">
        <w:smartTag w:uri="urn:schemas-microsoft-com:office:smarttags" w:element="country-region">
          <w:r w:rsidR="00AF0985" w:rsidRPr="00AF0985">
            <w:t>Indonesia</w:t>
          </w:r>
        </w:smartTag>
      </w:smartTag>
      <w:r w:rsidR="00AF0985" w:rsidRPr="00AF0985">
        <w:t xml:space="preserve"> program will also seek to ensure Indonesian counterparts are more aware of adviser costs, at least the order of cost. </w:t>
      </w:r>
      <w:r>
        <w:t xml:space="preserve"> T</w:t>
      </w:r>
      <w:r w:rsidRPr="00AF0985">
        <w:t xml:space="preserve">he </w:t>
      </w:r>
      <w:r w:rsidR="00AF0985" w:rsidRPr="00AF0985">
        <w:t xml:space="preserve">overall number and costs of advisers will continue to be monitored through the biannual </w:t>
      </w:r>
      <w:r w:rsidR="00550C8A">
        <w:t>a</w:t>
      </w:r>
      <w:r w:rsidR="00AF0985" w:rsidRPr="00AF0985">
        <w:t xml:space="preserve">dviser </w:t>
      </w:r>
      <w:r w:rsidR="00550C8A">
        <w:t>s</w:t>
      </w:r>
      <w:r w:rsidR="00AF0985" w:rsidRPr="00AF0985">
        <w:t>tock</w:t>
      </w:r>
      <w:r>
        <w:t xml:space="preserve"> </w:t>
      </w:r>
      <w:r w:rsidR="00AF0985" w:rsidRPr="00AF0985">
        <w:t>take, reporting via the annual Senior Officials’ Meeting and the Ann</w:t>
      </w:r>
      <w:r w:rsidR="000B3BED">
        <w:t>ual Program Performance Report.</w:t>
      </w:r>
    </w:p>
    <w:p w:rsidR="003B117C" w:rsidRDefault="003B117C" w:rsidP="00612FF9">
      <w:pPr>
        <w:pStyle w:val="H2F"/>
      </w:pPr>
      <w:bookmarkStart w:id="197" w:name="_Toc293050028"/>
      <w:bookmarkStart w:id="198" w:name="_Toc360981909"/>
      <w:r>
        <w:t>Performance and Quality</w:t>
      </w:r>
      <w:bookmarkEnd w:id="197"/>
      <w:bookmarkEnd w:id="198"/>
      <w:r>
        <w:t xml:space="preserve"> </w:t>
      </w:r>
    </w:p>
    <w:p w:rsidR="001747FF" w:rsidRDefault="00823B31" w:rsidP="003B117C">
      <w:pPr>
        <w:pStyle w:val="BodyText"/>
      </w:pPr>
      <w:r>
        <w:t>During 2010 t</w:t>
      </w:r>
      <w:r w:rsidR="003B117C" w:rsidRPr="003B117C">
        <w:t xml:space="preserve">he </w:t>
      </w:r>
      <w:smartTag w:uri="urn:schemas-microsoft-com:office:smarttags" w:element="place">
        <w:smartTag w:uri="urn:schemas-microsoft-com:office:smarttags" w:element="country-region">
          <w:r w:rsidR="003B117C" w:rsidRPr="003B117C">
            <w:t>Indonesia</w:t>
          </w:r>
        </w:smartTag>
      </w:smartTag>
      <w:r w:rsidR="003B117C" w:rsidRPr="003B117C">
        <w:t xml:space="preserve"> program </w:t>
      </w:r>
      <w:r w:rsidR="001747FF">
        <w:t>initiated its</w:t>
      </w:r>
      <w:r w:rsidR="003B117C" w:rsidRPr="003B117C">
        <w:t xml:space="preserve"> Evaluation Capacity Building Program (</w:t>
      </w:r>
      <w:r w:rsidR="003B117C" w:rsidRPr="000E4C0C">
        <w:rPr>
          <w:rStyle w:val="AbbreviationChar"/>
        </w:rPr>
        <w:t>ECBP</w:t>
      </w:r>
      <w:r w:rsidR="003B117C" w:rsidRPr="003B117C">
        <w:t>)</w:t>
      </w:r>
      <w:r>
        <w:t>, which</w:t>
      </w:r>
      <w:r w:rsidR="003B117C" w:rsidRPr="003B117C">
        <w:t xml:space="preserve"> is designed to build staff skills in monitoring and evaluation (</w:t>
      </w:r>
      <w:r w:rsidR="003B117C" w:rsidRPr="000E4C0C">
        <w:rPr>
          <w:rStyle w:val="AbbreviationChar"/>
        </w:rPr>
        <w:t>M&amp;E</w:t>
      </w:r>
      <w:r w:rsidR="003B117C" w:rsidRPr="003B117C">
        <w:t>)</w:t>
      </w:r>
      <w:r w:rsidR="001747FF">
        <w:t xml:space="preserve">.  This </w:t>
      </w:r>
      <w:r w:rsidR="001747FF">
        <w:lastRenderedPageBreak/>
        <w:t>initiative is aimed at equipping staff with the means to be results</w:t>
      </w:r>
      <w:r>
        <w:t>-</w:t>
      </w:r>
      <w:r w:rsidR="001747FF">
        <w:t xml:space="preserve">focused and </w:t>
      </w:r>
      <w:r w:rsidR="00A36DAD">
        <w:t xml:space="preserve">able to </w:t>
      </w:r>
      <w:r w:rsidR="001747FF">
        <w:t xml:space="preserve">derive </w:t>
      </w:r>
      <w:r w:rsidR="003B117C" w:rsidRPr="003B117C">
        <w:t xml:space="preserve">information </w:t>
      </w:r>
      <w:r w:rsidR="001747FF">
        <w:t xml:space="preserve">and evidence </w:t>
      </w:r>
      <w:r w:rsidR="00A36DAD">
        <w:t xml:space="preserve">on </w:t>
      </w:r>
      <w:r w:rsidR="001747FF">
        <w:t xml:space="preserve">program performance and impact.   </w:t>
      </w:r>
    </w:p>
    <w:p w:rsidR="00A36DAD" w:rsidRDefault="003B117C" w:rsidP="003B117C">
      <w:pPr>
        <w:pStyle w:val="BodyText"/>
      </w:pPr>
      <w:r w:rsidRPr="003B117C">
        <w:t>A set of standards with minimum requirements of M&amp;E products</w:t>
      </w:r>
      <w:r w:rsidRPr="003B117C">
        <w:rPr>
          <w:vertAlign w:val="superscript"/>
        </w:rPr>
        <w:footnoteReference w:id="22"/>
      </w:r>
      <w:r w:rsidRPr="003B117C">
        <w:t xml:space="preserve"> </w:t>
      </w:r>
      <w:r w:rsidR="001747FF">
        <w:t>was developed</w:t>
      </w:r>
      <w:r w:rsidR="00CE1376">
        <w:t xml:space="preserve"> over the course of 2010 and issued to staff.  The tools developed</w:t>
      </w:r>
      <w:r w:rsidR="001747FF">
        <w:t xml:space="preserve"> </w:t>
      </w:r>
      <w:r w:rsidR="00CE1376">
        <w:t xml:space="preserve">serve as the core material </w:t>
      </w:r>
      <w:r w:rsidR="00A36DAD">
        <w:t xml:space="preserve">for </w:t>
      </w:r>
      <w:r w:rsidR="00CE1376">
        <w:t xml:space="preserve">training </w:t>
      </w:r>
      <w:r w:rsidRPr="003B117C">
        <w:t>staff</w:t>
      </w:r>
      <w:r w:rsidR="00CE1376">
        <w:t xml:space="preserve">, including </w:t>
      </w:r>
      <w:r w:rsidR="00A36DAD">
        <w:t xml:space="preserve">learning by doing </w:t>
      </w:r>
      <w:r w:rsidRPr="003B117C">
        <w:t xml:space="preserve">applications. </w:t>
      </w:r>
      <w:r w:rsidR="00A36DAD">
        <w:t xml:space="preserve"> The services of a</w:t>
      </w:r>
      <w:r w:rsidR="005E533D">
        <w:t>n</w:t>
      </w:r>
      <w:r w:rsidR="00A36DAD">
        <w:t xml:space="preserve"> evaluation and performance specialist formed part of the Performance and Quality Unit (PQU) that supported staff in the conduct of evaluations and designs.  Design capacity support is ex</w:t>
      </w:r>
      <w:r w:rsidR="000B3BED">
        <w:t>pected to be enhanced in 2011.</w:t>
      </w:r>
    </w:p>
    <w:p w:rsidR="003B117C" w:rsidRPr="003B117C" w:rsidRDefault="003B117C" w:rsidP="003B117C">
      <w:pPr>
        <w:pStyle w:val="BodyText"/>
      </w:pPr>
      <w:r w:rsidRPr="003B117C">
        <w:t>In November</w:t>
      </w:r>
      <w:r w:rsidR="00823B31">
        <w:t>,</w:t>
      </w:r>
      <w:r w:rsidRPr="003B117C">
        <w:t xml:space="preserve"> the Performance and Quality Unit (</w:t>
      </w:r>
      <w:r w:rsidRPr="000E4C0C">
        <w:rPr>
          <w:rStyle w:val="AbbreviationChar"/>
        </w:rPr>
        <w:t>PQU</w:t>
      </w:r>
      <w:r w:rsidRPr="003B117C">
        <w:t xml:space="preserve">) </w:t>
      </w:r>
      <w:r w:rsidR="00823B31">
        <w:t>held</w:t>
      </w:r>
      <w:r w:rsidR="00823B31" w:rsidRPr="003B117C">
        <w:t xml:space="preserve"> </w:t>
      </w:r>
      <w:r w:rsidRPr="003B117C">
        <w:t>a workshop for managing contractors and M&amp;E practitioners to introduce the M&amp;E standards</w:t>
      </w:r>
      <w:r w:rsidR="001D24A9">
        <w:t xml:space="preserve"> developed by the </w:t>
      </w:r>
      <w:smartTag w:uri="urn:schemas-microsoft-com:office:smarttags" w:element="place">
        <w:smartTag w:uri="urn:schemas-microsoft-com:office:smarttags" w:element="country-region">
          <w:r w:rsidR="001D24A9">
            <w:t>Indonesia</w:t>
          </w:r>
        </w:smartTag>
      </w:smartTag>
      <w:r w:rsidR="001D24A9">
        <w:t xml:space="preserve"> program</w:t>
      </w:r>
      <w:r w:rsidRPr="003B117C">
        <w:t xml:space="preserve">. </w:t>
      </w:r>
      <w:r w:rsidR="00823B31">
        <w:t xml:space="preserve"> </w:t>
      </w:r>
      <w:r w:rsidRPr="003B117C">
        <w:t xml:space="preserve">The purpose was to </w:t>
      </w:r>
      <w:r w:rsidR="001D24A9">
        <w:t xml:space="preserve">ensure that industry </w:t>
      </w:r>
      <w:r w:rsidR="00823B31">
        <w:t>was</w:t>
      </w:r>
      <w:r w:rsidR="00823B31" w:rsidRPr="003B117C">
        <w:t xml:space="preserve"> </w:t>
      </w:r>
      <w:r w:rsidRPr="003B117C">
        <w:t xml:space="preserve">aware of </w:t>
      </w:r>
      <w:r w:rsidR="001D24A9">
        <w:t>the standards that staff would be requiring and generate buy-in</w:t>
      </w:r>
      <w:r w:rsidRPr="003B117C">
        <w:t xml:space="preserve">. </w:t>
      </w:r>
      <w:r w:rsidR="001D24A9">
        <w:t xml:space="preserve"> The approach of the </w:t>
      </w:r>
      <w:smartTag w:uri="urn:schemas-microsoft-com:office:smarttags" w:element="country-region">
        <w:r w:rsidR="001D24A9">
          <w:t>Indonesia</w:t>
        </w:r>
      </w:smartTag>
      <w:r w:rsidR="001D24A9">
        <w:t xml:space="preserve"> program and M&amp;E products produced </w:t>
      </w:r>
      <w:r w:rsidRPr="003B117C">
        <w:t xml:space="preserve">has drawn both corporate interest in </w:t>
      </w:r>
      <w:smartTag w:uri="urn:schemas-microsoft-com:office:smarttags" w:element="City">
        <w:r w:rsidRPr="003B117C">
          <w:t>Canberra</w:t>
        </w:r>
      </w:smartTag>
      <w:r w:rsidRPr="003B117C">
        <w:t xml:space="preserve"> and other country programs such as the </w:t>
      </w:r>
      <w:smartTag w:uri="urn:schemas-microsoft-com:office:smarttags" w:element="place">
        <w:smartTag w:uri="urn:schemas-microsoft-com:office:smarttags" w:element="country-region">
          <w:r w:rsidRPr="003B117C">
            <w:t>Philippines</w:t>
          </w:r>
        </w:smartTag>
      </w:smartTag>
      <w:r w:rsidRPr="003B117C">
        <w:t xml:space="preserve"> and </w:t>
      </w:r>
      <w:r w:rsidRPr="000E4C0C">
        <w:rPr>
          <w:rStyle w:val="AbbreviationChar"/>
        </w:rPr>
        <w:t>PNG</w:t>
      </w:r>
      <w:r w:rsidRPr="003B117C">
        <w:t xml:space="preserve">. </w:t>
      </w:r>
    </w:p>
    <w:p w:rsidR="003B117C" w:rsidRDefault="003B117C" w:rsidP="003B117C">
      <w:pPr>
        <w:pStyle w:val="BodyText"/>
        <w:rPr>
          <w:rtl/>
          <w:lang w:bidi="ar-SY"/>
        </w:rPr>
      </w:pPr>
      <w:r w:rsidRPr="003B117C">
        <w:t xml:space="preserve">Baseline assessments </w:t>
      </w:r>
      <w:r w:rsidR="001D24A9">
        <w:t xml:space="preserve">of the state of the program’s M&amp;E systems were commenced in 2010.  Unsurprisingly, early findings indicated </w:t>
      </w:r>
      <w:r w:rsidR="00E53699">
        <w:t xml:space="preserve">that, </w:t>
      </w:r>
      <w:r w:rsidR="001D24A9">
        <w:t>benchmarked against our standards for M&amp;E systems</w:t>
      </w:r>
      <w:r w:rsidR="00E53699">
        <w:t>,</w:t>
      </w:r>
      <w:r w:rsidR="001D24A9">
        <w:t xml:space="preserve"> most of our programs were found wanting. </w:t>
      </w:r>
      <w:r w:rsidRPr="003B117C">
        <w:t xml:space="preserve"> </w:t>
      </w:r>
      <w:r w:rsidR="001D24A9">
        <w:t>T</w:t>
      </w:r>
      <w:r w:rsidRPr="003B117C">
        <w:t xml:space="preserve">here is considerable work to be done </w:t>
      </w:r>
      <w:r w:rsidR="001D24A9">
        <w:t xml:space="preserve">and improvements will be monitored over the life of the ECBP effort.  </w:t>
      </w:r>
      <w:r w:rsidRPr="003B117C">
        <w:t xml:space="preserve">Some </w:t>
      </w:r>
      <w:r w:rsidR="001D24A9">
        <w:t>of t</w:t>
      </w:r>
      <w:r w:rsidR="00637FE2">
        <w:t>h</w:t>
      </w:r>
      <w:r w:rsidR="001D24A9">
        <w:t>e areas identified for improvement were:</w:t>
      </w:r>
      <w:r w:rsidRPr="003B117C">
        <w:t xml:space="preserve"> many initiatives under</w:t>
      </w:r>
      <w:r w:rsidR="00E53699">
        <w:t>-</w:t>
      </w:r>
      <w:r w:rsidRPr="003B117C">
        <w:t xml:space="preserve">resourced </w:t>
      </w:r>
      <w:r w:rsidR="00F36B22">
        <w:t xml:space="preserve">attention to M&amp;E at </w:t>
      </w:r>
      <w:r w:rsidRPr="003B117C">
        <w:t xml:space="preserve">the design </w:t>
      </w:r>
      <w:r w:rsidR="00F36B22">
        <w:t>step</w:t>
      </w:r>
      <w:r w:rsidRPr="003B117C">
        <w:t xml:space="preserve">; M&amp;E specialists often did not have adequate methodological training or experience; </w:t>
      </w:r>
      <w:r w:rsidR="00823B31">
        <w:t xml:space="preserve">and </w:t>
      </w:r>
      <w:r w:rsidR="00F36B22">
        <w:t>program objectives</w:t>
      </w:r>
      <w:r w:rsidR="001919CE">
        <w:t xml:space="preserve"> were</w:t>
      </w:r>
      <w:r w:rsidR="00F36B22">
        <w:t xml:space="preserve"> </w:t>
      </w:r>
      <w:r w:rsidRPr="003B117C">
        <w:t xml:space="preserve">pitched </w:t>
      </w:r>
      <w:r w:rsidR="00F36B22">
        <w:t xml:space="preserve">too high </w:t>
      </w:r>
      <w:r w:rsidR="001919CE">
        <w:t xml:space="preserve">to be </w:t>
      </w:r>
      <w:r w:rsidR="00F36B22">
        <w:t xml:space="preserve">achievable in the time frame or </w:t>
      </w:r>
      <w:r w:rsidR="001919CE">
        <w:t xml:space="preserve">with the </w:t>
      </w:r>
      <w:r w:rsidR="00F36B22">
        <w:t xml:space="preserve">resources allowed </w:t>
      </w:r>
      <w:r w:rsidRPr="003B117C">
        <w:t>(</w:t>
      </w:r>
      <w:r w:rsidR="00F36B22">
        <w:t xml:space="preserve">weak program </w:t>
      </w:r>
      <w:r w:rsidRPr="003B117C">
        <w:t>logic)</w:t>
      </w:r>
      <w:r w:rsidR="00F36B22">
        <w:t>.</w:t>
      </w:r>
    </w:p>
    <w:p w:rsidR="006729CE" w:rsidRDefault="00863B0E" w:rsidP="003B117C">
      <w:pPr>
        <w:pStyle w:val="BodyText"/>
      </w:pPr>
      <w:r>
        <w:rPr>
          <w:noProof/>
          <w:lang w:val="en-US" w:eastAsia="en-US"/>
        </w:rPr>
        <w:drawing>
          <wp:anchor distT="0" distB="0" distL="114300" distR="114300" simplePos="0" relativeHeight="251659776" behindDoc="0" locked="0" layoutInCell="1" allowOverlap="1" wp14:anchorId="4C4B1107" wp14:editId="76D91BFF">
            <wp:simplePos x="0" y="0"/>
            <wp:positionH relativeFrom="column">
              <wp:posOffset>-233045</wp:posOffset>
            </wp:positionH>
            <wp:positionV relativeFrom="paragraph">
              <wp:posOffset>152400</wp:posOffset>
            </wp:positionV>
            <wp:extent cx="2819400" cy="1825625"/>
            <wp:effectExtent l="0" t="0" r="0" b="3175"/>
            <wp:wrapSquare wrapText="bothSides"/>
            <wp:docPr id="6" name="Picture 6" descr="Quality of initiatives (QAI):&#10;Mar 2009 (46 Init.)&#10;Poor Quality 39 % &#10;Acceptable Quality 39%&#10;high Quality 22%&#10;Mar 2010 (47 Init.)&#10;Poor Quality 26%&#10;Acceptable Quality 51%&#10;high Quality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0" cy="182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17C" w:rsidRPr="000B3BED" w:rsidRDefault="003B117C" w:rsidP="003B117C">
      <w:pPr>
        <w:pStyle w:val="BodyText"/>
        <w:rPr>
          <w:lang w:val="en-US"/>
        </w:rPr>
      </w:pPr>
      <w:r w:rsidRPr="003B117C">
        <w:t>The Sector Performance Assessment Frameworks</w:t>
      </w:r>
      <w:r w:rsidRPr="003B117C">
        <w:rPr>
          <w:rStyle w:val="FootnoteReference"/>
          <w:rFonts w:ascii="Georgia" w:hAnsi="Georgia"/>
          <w:position w:val="0"/>
          <w:sz w:val="19"/>
          <w:szCs w:val="22"/>
          <w:vertAlign w:val="superscript"/>
        </w:rPr>
        <w:footnoteReference w:id="23"/>
      </w:r>
      <w:r w:rsidRPr="003B117C">
        <w:t xml:space="preserve"> (</w:t>
      </w:r>
      <w:r w:rsidRPr="000E4C0C">
        <w:rPr>
          <w:rStyle w:val="AbbreviationChar"/>
        </w:rPr>
        <w:t>PAF</w:t>
      </w:r>
      <w:r w:rsidR="00105C18">
        <w:rPr>
          <w:rStyle w:val="AbbreviationChar"/>
        </w:rPr>
        <w:t>s</w:t>
      </w:r>
      <w:r w:rsidRPr="003B117C">
        <w:t xml:space="preserve">) </w:t>
      </w:r>
      <w:r w:rsidR="00F36B22">
        <w:t xml:space="preserve">were </w:t>
      </w:r>
      <w:r w:rsidRPr="003B117C">
        <w:t>further ev</w:t>
      </w:r>
      <w:r w:rsidR="00F36B22">
        <w:t>o</w:t>
      </w:r>
      <w:r w:rsidRPr="003B117C">
        <w:t>l</w:t>
      </w:r>
      <w:r w:rsidR="00F36B22">
        <w:t>ved in 2010.  A</w:t>
      </w:r>
      <w:r w:rsidRPr="003B117C">
        <w:t>nnual key deliverables</w:t>
      </w:r>
      <w:r w:rsidR="00F36B22">
        <w:t xml:space="preserve"> were identified at the sectoral level, performance indicators were tested in terms of whether data could be collected, validated and linkages to the Quality at Implementation (QAI) reporting at the initiative level strengthened</w:t>
      </w:r>
      <w:r w:rsidR="000B3BED">
        <w:t>.</w:t>
      </w:r>
    </w:p>
    <w:p w:rsidR="003B117C" w:rsidRPr="003B117C" w:rsidRDefault="00863B0E" w:rsidP="003B117C">
      <w:pPr>
        <w:pStyle w:val="BodyText"/>
      </w:pPr>
      <w:r>
        <w:rPr>
          <w:noProof/>
          <w:lang w:val="en-US" w:eastAsia="en-US"/>
        </w:rPr>
        <mc:AlternateContent>
          <mc:Choice Requires="wps">
            <w:drawing>
              <wp:anchor distT="0" distB="0" distL="114300" distR="114300" simplePos="0" relativeHeight="251658752" behindDoc="0" locked="0" layoutInCell="1" allowOverlap="1" wp14:anchorId="0213F968" wp14:editId="5353B052">
                <wp:simplePos x="0" y="0"/>
                <wp:positionH relativeFrom="column">
                  <wp:posOffset>-228600</wp:posOffset>
                </wp:positionH>
                <wp:positionV relativeFrom="paragraph">
                  <wp:posOffset>114300</wp:posOffset>
                </wp:positionV>
                <wp:extent cx="2819400" cy="457200"/>
                <wp:effectExtent l="0" t="0" r="635" b="25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7D3" w:rsidRPr="00D95B4C" w:rsidRDefault="002B67D3">
                            <w:pPr>
                              <w:rPr>
                                <w:sz w:val="14"/>
                                <w:szCs w:val="14"/>
                              </w:rPr>
                            </w:pPr>
                            <w:r w:rsidRPr="00D95B4C">
                              <w:rPr>
                                <w:rFonts w:ascii="Arial Narrow" w:hAnsi="Arial Narrow"/>
                                <w:b/>
                                <w:i/>
                                <w:sz w:val="14"/>
                                <w:szCs w:val="14"/>
                              </w:rPr>
                              <w:t>Note:</w:t>
                            </w:r>
                            <w:r w:rsidRPr="00D95B4C">
                              <w:rPr>
                                <w:rFonts w:ascii="Arial Narrow" w:hAnsi="Arial Narrow"/>
                                <w:i/>
                                <w:sz w:val="14"/>
                                <w:szCs w:val="14"/>
                              </w:rPr>
                              <w:t xml:space="preserve"> high quality is an average of 5.0 and above, nothing below a 4; acceptable is an average of 4.0 and above, nothing below a 3; and poor is the remainder.  (In this assessment only one initiative was “moved” – it was downgraded from acceptable to poor due to two ratings below a 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pt;margin-top:9pt;width:22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3XfQIAAA8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" stroked="f">
                <v:textbox inset="1mm,1mm,1mm,1mm">
                  <w:txbxContent>
                    <w:p w:rsidR="002B67D3" w:rsidRPr="00D95B4C" w:rsidRDefault="002B67D3">
                      <w:pPr>
                        <w:rPr>
                          <w:sz w:val="14"/>
                          <w:szCs w:val="14"/>
                        </w:rPr>
                      </w:pPr>
                      <w:r w:rsidRPr="00D95B4C">
                        <w:rPr>
                          <w:rFonts w:ascii="Arial Narrow" w:hAnsi="Arial Narrow"/>
                          <w:b/>
                          <w:i/>
                          <w:sz w:val="14"/>
                          <w:szCs w:val="14"/>
                        </w:rPr>
                        <w:t>Note:</w:t>
                      </w:r>
                      <w:r w:rsidRPr="00D95B4C">
                        <w:rPr>
                          <w:rFonts w:ascii="Arial Narrow" w:hAnsi="Arial Narrow"/>
                          <w:i/>
                          <w:sz w:val="14"/>
                          <w:szCs w:val="14"/>
                        </w:rPr>
                        <w:t xml:space="preserve"> high quality is an average of 5.0 and above, nothing below a 4; acceptable is an average of 4.0 and above, nothing below a 3; and poor is the remainder.  (In this assessment only one initiative was “moved” – it was downgraded from acceptable to poor due to two ratings below a 3).</w:t>
                      </w:r>
                    </w:p>
                  </w:txbxContent>
                </v:textbox>
                <w10:wrap type="square"/>
              </v:shape>
            </w:pict>
          </mc:Fallback>
        </mc:AlternateContent>
      </w:r>
      <w:r w:rsidR="003B117C" w:rsidRPr="003B117C">
        <w:t xml:space="preserve">PQU </w:t>
      </w:r>
      <w:r w:rsidR="00F36B22">
        <w:t>aim</w:t>
      </w:r>
      <w:r w:rsidR="00823B31">
        <w:t>s</w:t>
      </w:r>
      <w:r w:rsidR="00F36B22">
        <w:t xml:space="preserve"> to complete the </w:t>
      </w:r>
      <w:r w:rsidR="003B117C" w:rsidRPr="003B117C">
        <w:t xml:space="preserve">PAF </w:t>
      </w:r>
      <w:r w:rsidR="00F36B22">
        <w:t xml:space="preserve">with the development of the country level Apex PAF in 2011.  </w:t>
      </w:r>
      <w:r w:rsidR="00891E4A">
        <w:t>The Apex PAF will be used to capture cross program performance elements such Partnerships.  Additional tools such as an enhanced Program Management Plan will be developed in 2011 to better capture, align and assist in planning for and management of evaluations, design and strategies.</w:t>
      </w:r>
    </w:p>
    <w:p w:rsidR="008A2783" w:rsidRDefault="008A2783" w:rsidP="00612FF9">
      <w:pPr>
        <w:pStyle w:val="H2F"/>
      </w:pPr>
      <w:bookmarkStart w:id="199" w:name="_Toc293050029"/>
      <w:bookmarkStart w:id="200" w:name="_Toc360981910"/>
      <w:r>
        <w:lastRenderedPageBreak/>
        <w:t>Disaster Re</w:t>
      </w:r>
      <w:r w:rsidRPr="008A2783">
        <w:t>sponse</w:t>
      </w:r>
      <w:bookmarkEnd w:id="199"/>
      <w:r w:rsidR="003B117C" w:rsidRPr="008A2783">
        <w:t xml:space="preserve">  </w:t>
      </w:r>
      <w:r>
        <w:t>Indonesia is one of the world’s most disaster prone countries, with 1 946 people killed and 2 876 919 people affected by natural disasters in 2009</w:t>
      </w:r>
      <w:r>
        <w:rPr>
          <w:rStyle w:val="FootnoteReference"/>
          <w:rFonts w:ascii="Calibri" w:hAnsi="Calibri"/>
        </w:rPr>
        <w:footnoteReference w:id="24"/>
      </w:r>
      <w:r>
        <w:t xml:space="preserve">. While the Australia-Indonesia Facility for Disaster Reduction (AIFDR) continues to build </w:t>
      </w:r>
      <w:smartTag w:uri="urn:schemas-microsoft-com:office:smarttags" w:element="place">
        <w:smartTag w:uri="urn:schemas-microsoft-com:office:smarttags" w:element="country-region">
          <w:r>
            <w:t>Indonesia</w:t>
          </w:r>
        </w:smartTag>
      </w:smartTag>
      <w:r>
        <w:t xml:space="preserve">’s capacity to mitigate against and prepare for disasters, the Indonesian Government can still request international assistance to deal with major or complex natural disasters. In such an event </w:t>
      </w:r>
      <w:proofErr w:type="spellStart"/>
      <w:r>
        <w:t>AusAID</w:t>
      </w:r>
      <w:proofErr w:type="spellEnd"/>
      <w:r>
        <w:t xml:space="preserve"> Jakarta’s Disaster Response Unit stands ready to coordinate the Australian Government’s humanitarian assistance.</w:t>
      </w:r>
      <w:bookmarkEnd w:id="200"/>
    </w:p>
    <w:p w:rsidR="008A2783" w:rsidRDefault="008A2783" w:rsidP="008A2783">
      <w:pPr>
        <w:pStyle w:val="BodyText"/>
      </w:pPr>
      <w:r>
        <w:t xml:space="preserve">In 2010 </w:t>
      </w:r>
      <w:proofErr w:type="spellStart"/>
      <w:r>
        <w:t>AusAID</w:t>
      </w:r>
      <w:proofErr w:type="spellEnd"/>
      <w:r>
        <w:t xml:space="preserve"> Jakarta deployed staff to four natural disasters in </w:t>
      </w:r>
      <w:smartTag w:uri="urn:schemas-microsoft-com:office:smarttags" w:element="country-region">
        <w:r>
          <w:t>Indonesia</w:t>
        </w:r>
      </w:smartTag>
      <w:r>
        <w:t xml:space="preserve">: </w:t>
      </w:r>
      <w:proofErr w:type="spellStart"/>
      <w:r>
        <w:t>Simeulue</w:t>
      </w:r>
      <w:proofErr w:type="spellEnd"/>
      <w:r>
        <w:t xml:space="preserve"> Island Earthquake (Aceh) in April 2010; the eruption of Mt </w:t>
      </w:r>
      <w:proofErr w:type="spellStart"/>
      <w:r>
        <w:t>Sinabung</w:t>
      </w:r>
      <w:proofErr w:type="spellEnd"/>
      <w:r>
        <w:t xml:space="preserve"> (North Sumatra) in August 2010; the earthquake and subsequent tsunami in the </w:t>
      </w:r>
      <w:proofErr w:type="spellStart"/>
      <w:smartTag w:uri="urn:schemas-microsoft-com:office:smarttags" w:element="place">
        <w:smartTag w:uri="urn:schemas-microsoft-com:office:smarttags" w:element="PlaceName">
          <w:r>
            <w:t>Mentawai</w:t>
          </w:r>
        </w:smartTag>
        <w:proofErr w:type="spellEnd"/>
        <w:r>
          <w:t xml:space="preserve"> </w:t>
        </w:r>
        <w:smartTag w:uri="urn:schemas-microsoft-com:office:smarttags" w:element="PlaceType">
          <w:r>
            <w:t>Islands</w:t>
          </w:r>
        </w:smartTag>
      </w:smartTag>
      <w:r>
        <w:t xml:space="preserve"> on 25 October 2010; and the eruptions of Mt </w:t>
      </w:r>
      <w:proofErr w:type="spellStart"/>
      <w:r>
        <w:t>Merapi</w:t>
      </w:r>
      <w:proofErr w:type="spellEnd"/>
      <w:r>
        <w:t xml:space="preserve"> in October-November 2010. This is a significant increase from the one (albeit large) deployment in 2009 to the </w:t>
      </w:r>
      <w:smartTag w:uri="urn:schemas-microsoft-com:office:smarttags" w:element="place">
        <w:smartTag w:uri="urn:schemas-microsoft-com:office:smarttags" w:element="City">
          <w:r>
            <w:t>Padang</w:t>
          </w:r>
        </w:smartTag>
      </w:smartTag>
      <w:r>
        <w:t xml:space="preserve"> earthquake.</w:t>
      </w:r>
    </w:p>
    <w:p w:rsidR="008A2783" w:rsidRDefault="008A2783" w:rsidP="008A2783">
      <w:pPr>
        <w:pStyle w:val="BodyText"/>
      </w:pPr>
      <w:smartTag w:uri="urn:schemas-microsoft-com:office:smarttags" w:element="place">
        <w:smartTag w:uri="urn:schemas-microsoft-com:office:smarttags" w:element="country-region">
          <w:r>
            <w:t>Australia</w:t>
          </w:r>
        </w:smartTag>
      </w:smartTag>
      <w:r>
        <w:t xml:space="preserve"> assisted the Government of Indonesia </w:t>
      </w:r>
      <w:r w:rsidR="00936D2A">
        <w:t>(</w:t>
      </w:r>
      <w:proofErr w:type="spellStart"/>
      <w:r w:rsidR="00936D2A">
        <w:t>GoI</w:t>
      </w:r>
      <w:proofErr w:type="spellEnd"/>
      <w:r w:rsidR="00936D2A">
        <w:t xml:space="preserve">) </w:t>
      </w:r>
      <w:r>
        <w:t xml:space="preserve">to meet humanitarian needs during both the </w:t>
      </w:r>
      <w:proofErr w:type="spellStart"/>
      <w:r>
        <w:t>Mentawai</w:t>
      </w:r>
      <w:proofErr w:type="spellEnd"/>
      <w:r>
        <w:t xml:space="preserve"> and </w:t>
      </w:r>
      <w:proofErr w:type="spellStart"/>
      <w:r>
        <w:t>Merapi</w:t>
      </w:r>
      <w:proofErr w:type="spellEnd"/>
      <w:r>
        <w:t xml:space="preserve"> events. Australia’s initial disaster response assistance of $1m contributed to sheltering and feeding over 3000 families in the </w:t>
      </w:r>
      <w:proofErr w:type="spellStart"/>
      <w:r>
        <w:t>Mentawai</w:t>
      </w:r>
      <w:proofErr w:type="spellEnd"/>
      <w:r>
        <w:t xml:space="preserve"> Islands and up to 100 000 people in the Mt </w:t>
      </w:r>
      <w:proofErr w:type="spellStart"/>
      <w:r>
        <w:t>Merapi</w:t>
      </w:r>
      <w:proofErr w:type="spellEnd"/>
      <w:r>
        <w:t xml:space="preserve"> area. In addition, </w:t>
      </w:r>
      <w:smartTag w:uri="urn:schemas-microsoft-com:office:smarttags" w:element="country-region">
        <w:r>
          <w:t>Australia</w:t>
        </w:r>
      </w:smartTag>
      <w:r>
        <w:t xml:space="preserve"> has provided early recovery assistance which has benefited over 1500 villagers in the </w:t>
      </w:r>
      <w:proofErr w:type="spellStart"/>
      <w:smartTag w:uri="urn:schemas-microsoft-com:office:smarttags" w:element="place">
        <w:smartTag w:uri="urn:schemas-microsoft-com:office:smarttags" w:element="PlaceName">
          <w:r>
            <w:t>Mentawai</w:t>
          </w:r>
        </w:smartTag>
        <w:proofErr w:type="spellEnd"/>
        <w:r>
          <w:t xml:space="preserve"> </w:t>
        </w:r>
        <w:smartTag w:uri="urn:schemas-microsoft-com:office:smarttags" w:element="PlaceType">
          <w:r>
            <w:t>Islands</w:t>
          </w:r>
        </w:smartTag>
      </w:smartTag>
      <w:r>
        <w:t xml:space="preserve"> to date. Further early recovery assistance is being implemented in 2011 and </w:t>
      </w:r>
      <w:r w:rsidR="001919CE">
        <w:t xml:space="preserve">it </w:t>
      </w:r>
      <w:r>
        <w:t>is anticipated this will reach at least 196 com</w:t>
      </w:r>
      <w:r w:rsidR="000B3BED">
        <w:t xml:space="preserve">munities in the Mt </w:t>
      </w:r>
      <w:proofErr w:type="spellStart"/>
      <w:r w:rsidR="000B3BED">
        <w:t>Merapi</w:t>
      </w:r>
      <w:proofErr w:type="spellEnd"/>
      <w:r w:rsidR="000B3BED">
        <w:t xml:space="preserve"> area.</w:t>
      </w:r>
    </w:p>
    <w:p w:rsidR="008A2783" w:rsidRPr="000B3BED" w:rsidRDefault="008A2783" w:rsidP="008A2783">
      <w:pPr>
        <w:pStyle w:val="BodyText"/>
        <w:rPr>
          <w:lang w:val="en-US" w:bidi="ar-SY"/>
        </w:rPr>
      </w:pPr>
      <w:r>
        <w:t xml:space="preserve">The Disaster Response Unit is committed to further improving </w:t>
      </w:r>
      <w:proofErr w:type="spellStart"/>
      <w:r>
        <w:t>AusAID’s</w:t>
      </w:r>
      <w:proofErr w:type="spellEnd"/>
      <w:r>
        <w:t xml:space="preserve"> capacity to respond to natural disasters in </w:t>
      </w:r>
      <w:smartTag w:uri="urn:schemas-microsoft-com:office:smarttags" w:element="place">
        <w:smartTag w:uri="urn:schemas-microsoft-com:office:smarttags" w:element="country-region">
          <w:r>
            <w:t>Indonesia</w:t>
          </w:r>
        </w:smartTag>
      </w:smartTag>
      <w:r>
        <w:t xml:space="preserve">. In 2010 the Unit, supported by </w:t>
      </w:r>
      <w:smartTag w:uri="urn:schemas-microsoft-com:office:smarttags" w:element="City">
        <w:r>
          <w:t>Canberra</w:t>
        </w:r>
      </w:smartTag>
      <w:r>
        <w:t xml:space="preserve">’s Humanitarian and Emergencies Section, trained 50 </w:t>
      </w:r>
      <w:proofErr w:type="spellStart"/>
      <w:r>
        <w:t>AusAID</w:t>
      </w:r>
      <w:proofErr w:type="spellEnd"/>
      <w:r>
        <w:t xml:space="preserve"> and whole-of-government staff to be members of </w:t>
      </w:r>
      <w:smartTag w:uri="urn:schemas-microsoft-com:office:smarttags" w:element="place">
        <w:smartTag w:uri="urn:schemas-microsoft-com:office:smarttags" w:element="City">
          <w:r>
            <w:t>Jakarta</w:t>
          </w:r>
        </w:smartTag>
      </w:smartTag>
      <w:r>
        <w:t>’s Emergency Response Team. This team can be deployed to respond to a natural disaster in Indonesia</w:t>
      </w:r>
      <w:r w:rsidR="000B3BED">
        <w:t xml:space="preserve"> at short notice.</w:t>
      </w:r>
    </w:p>
    <w:p w:rsidR="008A2783" w:rsidRPr="001F0E22" w:rsidRDefault="008A2783" w:rsidP="001F0E22">
      <w:pPr>
        <w:pStyle w:val="BodyText"/>
      </w:pPr>
      <w:r w:rsidRPr="00990F61">
        <w:t xml:space="preserve">The Disaster Response Unit is updating the Indonesia Program’s disaster response procedures. As this revision will take some time the Unit has developed interim guidelines which were used during the </w:t>
      </w:r>
      <w:proofErr w:type="spellStart"/>
      <w:r w:rsidRPr="00990F61">
        <w:t>Mentawai</w:t>
      </w:r>
      <w:proofErr w:type="spellEnd"/>
      <w:r w:rsidRPr="00990F61">
        <w:t xml:space="preserve"> and </w:t>
      </w:r>
      <w:proofErr w:type="spellStart"/>
      <w:r w:rsidRPr="00990F61">
        <w:t>Merapi</w:t>
      </w:r>
      <w:proofErr w:type="spellEnd"/>
      <w:r w:rsidRPr="00990F61">
        <w:t xml:space="preserve"> events. A flood contingency plan to prepare for </w:t>
      </w:r>
      <w:smartTag w:uri="urn:schemas-microsoft-com:office:smarttags" w:element="place">
        <w:smartTag w:uri="urn:schemas-microsoft-com:office:smarttags" w:element="country-region">
          <w:r w:rsidRPr="00990F61">
            <w:t>Indonesia</w:t>
          </w:r>
        </w:smartTag>
      </w:smartTag>
      <w:r w:rsidRPr="00990F61">
        <w:t xml:space="preserve">’s wet season (December – February), when the risk of flooding is high, was also </w:t>
      </w:r>
      <w:r w:rsidRPr="001F0E22">
        <w:t>produced. In addition, the Disaster Response Unit convened whole-of-Embassy ‘lessons learnt’ exercises after each disaster response to identify strengths and weaknesses in our response system.</w:t>
      </w:r>
    </w:p>
    <w:p w:rsidR="001F0E22" w:rsidRPr="001F0E22" w:rsidRDefault="001F0E22" w:rsidP="001F0E22">
      <w:pPr>
        <w:pStyle w:val="BodyText"/>
      </w:pPr>
      <w:r w:rsidRPr="001F0E22">
        <w:t xml:space="preserve">Looking towards the future, </w:t>
      </w:r>
      <w:proofErr w:type="spellStart"/>
      <w:r w:rsidR="00936D2A">
        <w:t>GoI</w:t>
      </w:r>
      <w:r w:rsidRPr="001F0E22">
        <w:t>’s</w:t>
      </w:r>
      <w:proofErr w:type="spellEnd"/>
      <w:r w:rsidRPr="001F0E22">
        <w:t xml:space="preserve"> capacity to plan for and respond to natural disasters continues to grow. At the same time, the number and impact of natural disasters in </w:t>
      </w:r>
      <w:smartTag w:uri="urn:schemas-microsoft-com:office:smarttags" w:element="place">
        <w:smartTag w:uri="urn:schemas-microsoft-com:office:smarttags" w:element="country-region">
          <w:r w:rsidRPr="001F0E22">
            <w:t>Indonesia</w:t>
          </w:r>
        </w:smartTag>
      </w:smartTag>
      <w:r w:rsidRPr="001F0E22">
        <w:t xml:space="preserve"> is set to increase due to urbanisation and climate change. This situation will see </w:t>
      </w:r>
      <w:smartTag w:uri="urn:schemas-microsoft-com:office:smarttags" w:element="place">
        <w:smartTag w:uri="urn:schemas-microsoft-com:office:smarttags" w:element="country-region">
          <w:r w:rsidRPr="001F0E22">
            <w:t>Indonesia</w:t>
          </w:r>
        </w:smartTag>
      </w:smartTag>
      <w:r w:rsidRPr="001F0E22">
        <w:t xml:space="preserve"> enhance its capacity against an ever-changing and increasingly complex response environment. As such, if </w:t>
      </w:r>
      <w:smartTag w:uri="urn:schemas-microsoft-com:office:smarttags" w:element="country-region">
        <w:r w:rsidRPr="001F0E22">
          <w:t>Australia</w:t>
        </w:r>
      </w:smartTag>
      <w:r w:rsidRPr="001F0E22">
        <w:t xml:space="preserve"> is able to adapt its humanitarian assistance to </w:t>
      </w:r>
      <w:smartTag w:uri="urn:schemas-microsoft-com:office:smarttags" w:element="country-region">
        <w:r w:rsidRPr="001F0E22">
          <w:t>Indonesia</w:t>
        </w:r>
      </w:smartTag>
      <w:r w:rsidRPr="001F0E22">
        <w:t xml:space="preserve"> and provide innovative partnership-based response support, it will continue to be a valued and important partner for </w:t>
      </w:r>
      <w:smartTag w:uri="urn:schemas-microsoft-com:office:smarttags" w:element="place">
        <w:smartTag w:uri="urn:schemas-microsoft-com:office:smarttags" w:element="country-region">
          <w:r w:rsidRPr="001F0E22">
            <w:t>Indonesia</w:t>
          </w:r>
        </w:smartTag>
      </w:smartTag>
      <w:r w:rsidRPr="001F0E22">
        <w:t xml:space="preserve"> during times of natural disasters</w:t>
      </w:r>
    </w:p>
    <w:p w:rsidR="003B117C" w:rsidRDefault="008A2783" w:rsidP="001F0E22">
      <w:pPr>
        <w:pStyle w:val="BodyText"/>
      </w:pPr>
      <w:r w:rsidRPr="001F0E22">
        <w:t xml:space="preserve">As a result it appears </w:t>
      </w:r>
      <w:smartTag w:uri="urn:schemas-microsoft-com:office:smarttags" w:element="place">
        <w:smartTag w:uri="urn:schemas-microsoft-com:office:smarttags" w:element="country-region">
          <w:r w:rsidRPr="001F0E22">
            <w:t>Australia</w:t>
          </w:r>
        </w:smartTag>
      </w:smartTag>
      <w:r w:rsidRPr="001F0E22">
        <w:t xml:space="preserve"> will be less likely to be called upon to provide humanitarian assistance durin</w:t>
      </w:r>
      <w:r w:rsidRPr="00990F61">
        <w:t xml:space="preserve">g small to medium scale natural disasters. The Disaster Response Unit will continue to focus on finalising new disaster response procedures, assisting the national disaster management agency BNPB to develop emergency response protocols and developing </w:t>
      </w:r>
      <w:r w:rsidRPr="00990F61">
        <w:lastRenderedPageBreak/>
        <w:t xml:space="preserve">innovative means to rapidly assist the </w:t>
      </w:r>
      <w:proofErr w:type="spellStart"/>
      <w:r w:rsidR="00936D2A">
        <w:t>GoI</w:t>
      </w:r>
      <w:proofErr w:type="spellEnd"/>
      <w:r w:rsidRPr="00990F61">
        <w:t xml:space="preserve"> in a way which respects their increased capacity in the sector.</w:t>
      </w:r>
    </w:p>
    <w:p w:rsidR="008556FB" w:rsidRDefault="008556FB" w:rsidP="00C354EE">
      <w:pPr>
        <w:pStyle w:val="H2A"/>
      </w:pPr>
      <w:r>
        <w:t>Quality of Aid Activities</w:t>
      </w:r>
    </w:p>
    <w:p w:rsidR="008556FB" w:rsidRPr="004D7D20" w:rsidRDefault="008556FB" w:rsidP="008556FB">
      <w:pPr>
        <w:pStyle w:val="BodyText"/>
        <w:rPr>
          <w:rFonts w:ascii="Calibri" w:hAnsi="Calibri"/>
        </w:rPr>
      </w:pPr>
      <w:r>
        <w:t xml:space="preserve">A mid-term review of the program was undertaken in 2010 and initially looked at the program’s progress in executing the 2008-13 Indonesia Country Strategy.  The review quickly determined that the program was on the right course and therefore looked at </w:t>
      </w:r>
      <w:proofErr w:type="spellStart"/>
      <w:r>
        <w:t>AusAID’s</w:t>
      </w:r>
      <w:proofErr w:type="spellEnd"/>
      <w:r>
        <w:t xml:space="preserve"> business processes for delivering the strategy and readiness for possible future program scale-up.  The review found that on balance the program was heading in the right direction in terms of the key areas of focus such as infrastructure, education, social protection, scholarships, disaster management and decentralisation.  However the review also identified a number of </w:t>
      </w:r>
      <w:r w:rsidRPr="007B1027">
        <w:t>constraints on staff effectiveness, morale and ability to deliver a high-quality program.  The</w:t>
      </w:r>
      <w:r>
        <w:t xml:space="preserve"> review made seven major recommendations, which were all agreed by the management team and formed the basis of the management consequences to be taken up in 2011 and beyond</w:t>
      </w:r>
      <w:r w:rsidR="00F32387">
        <w:t>.</w:t>
      </w:r>
    </w:p>
    <w:p w:rsidR="008556FB" w:rsidRDefault="008556FB" w:rsidP="008556FB">
      <w:pPr>
        <w:pStyle w:val="BodyText"/>
      </w:pPr>
      <w:r>
        <w:t>In 2010 the program conducted eight Independent Completion Reviews (ICRs).  In six of the reviews the findings were positive while in the remaining two some concerns were raised about performance.  In a majority of cases the recommendations in the ICRs have been taken up in the successor programs now being implemented.  Other broader observations included a need for the program to strengthen designs and have better monitoring and evaluation systems to facilitate stronger evidence</w:t>
      </w:r>
      <w:r w:rsidR="000C4341">
        <w:t>-</w:t>
      </w:r>
      <w:r>
        <w:t xml:space="preserve">based assessments.  </w:t>
      </w:r>
      <w:r w:rsidR="000C4341">
        <w:t xml:space="preserve">The ECB program for staff now underway aims to address this and </w:t>
      </w:r>
      <w:r w:rsidR="001919CE">
        <w:t xml:space="preserve">there are </w:t>
      </w:r>
      <w:r w:rsidR="000C4341">
        <w:t>plans to introduce in-house design expertise.</w:t>
      </w:r>
    </w:p>
    <w:p w:rsidR="008556FB" w:rsidRDefault="000C4341" w:rsidP="008556FB">
      <w:pPr>
        <w:pStyle w:val="BodyText"/>
      </w:pPr>
      <w:r>
        <w:t>P</w:t>
      </w:r>
      <w:r w:rsidR="008556FB">
        <w:t xml:space="preserve">rogress was made in consolidating the program and reducing fragmentation. The number of initiatives in the </w:t>
      </w:r>
      <w:proofErr w:type="spellStart"/>
      <w:r w:rsidR="008556FB">
        <w:t>AusAID</w:t>
      </w:r>
      <w:proofErr w:type="spellEnd"/>
      <w:r w:rsidR="008556FB">
        <w:t xml:space="preserve"> portfolio was reduced from 110 to 95, despite modest increases in expenditure.</w:t>
      </w:r>
    </w:p>
    <w:p w:rsidR="008556FB" w:rsidRDefault="008556FB" w:rsidP="008556FB">
      <w:pPr>
        <w:pStyle w:val="BodyText"/>
      </w:pPr>
      <w:smartTag w:uri="urn:schemas-microsoft-com:office:smarttags" w:element="place">
        <w:smartTag w:uri="urn:schemas-microsoft-com:office:smarttags" w:element="country-region">
          <w:r>
            <w:t>Australia</w:t>
          </w:r>
        </w:smartTag>
      </w:smartTag>
      <w:r>
        <w:t>’s aid program strengthened partnerships with other key donors in 2010, in particular with the World Bank and USAID.  A ‘model of cooperation’ was developed with the World Bank which provides for the two Jakarta based management teams to meet at least twice yearly and close collaborative engagement in those sectors where there is strong mutual interest.  For example</w:t>
      </w:r>
      <w:r w:rsidR="000C4341">
        <w:t>,</w:t>
      </w:r>
      <w:r>
        <w:t xml:space="preserve"> in Infrastructure </w:t>
      </w:r>
      <w:proofErr w:type="spellStart"/>
      <w:r>
        <w:t>AusAID</w:t>
      </w:r>
      <w:proofErr w:type="spellEnd"/>
      <w:r>
        <w:t xml:space="preserve"> </w:t>
      </w:r>
      <w:r w:rsidR="000C4341">
        <w:t>can</w:t>
      </w:r>
      <w:r>
        <w:t xml:space="preserve"> mobilise high level technical assistance which</w:t>
      </w:r>
      <w:r w:rsidR="000C4341">
        <w:t>, in</w:t>
      </w:r>
      <w:r>
        <w:t xml:space="preserve"> combin</w:t>
      </w:r>
      <w:r w:rsidR="000C4341">
        <w:t>ation</w:t>
      </w:r>
      <w:r>
        <w:t xml:space="preserve"> with the World Bank’s policy level leverage and potential loan financing</w:t>
      </w:r>
      <w:r w:rsidR="000C4341">
        <w:t xml:space="preserve">, </w:t>
      </w:r>
      <w:r>
        <w:t>engage</w:t>
      </w:r>
      <w:r w:rsidR="000C4341">
        <w:t>s</w:t>
      </w:r>
      <w:r>
        <w:t xml:space="preserve"> </w:t>
      </w:r>
      <w:proofErr w:type="spellStart"/>
      <w:r>
        <w:t>G</w:t>
      </w:r>
      <w:r w:rsidR="000C4341">
        <w:t>o</w:t>
      </w:r>
      <w:r>
        <w:t>I</w:t>
      </w:r>
      <w:proofErr w:type="spellEnd"/>
      <w:r>
        <w:t xml:space="preserve"> on reforms and investment in sectors such as transport, ports, and shipping.  USAID entered into its first delegated cooperation in </w:t>
      </w:r>
      <w:smartTag w:uri="urn:schemas-microsoft-com:office:smarttags" w:element="country-region">
        <w:r>
          <w:t>Indonesia</w:t>
        </w:r>
      </w:smartTag>
      <w:r>
        <w:t xml:space="preserve"> with $5 million dollars provided to </w:t>
      </w:r>
      <w:proofErr w:type="spellStart"/>
      <w:r>
        <w:t>AusAID</w:t>
      </w:r>
      <w:proofErr w:type="spellEnd"/>
      <w:r>
        <w:t xml:space="preserve"> to reconstruct schools damaged during the 2009 earthquakes in West Java and </w:t>
      </w:r>
      <w:smartTag w:uri="urn:schemas-microsoft-com:office:smarttags" w:element="place">
        <w:r>
          <w:t>West Sumatra</w:t>
        </w:r>
      </w:smartTag>
      <w:r>
        <w:t xml:space="preserve">.  </w:t>
      </w:r>
      <w:proofErr w:type="spellStart"/>
      <w:r>
        <w:t>AusAID</w:t>
      </w:r>
      <w:proofErr w:type="spellEnd"/>
      <w:r>
        <w:t xml:space="preserve"> took the lead in donor coordination in the Education Sector resurrecting the Education Sector Working Group which it co-chairs with the Vice Minister for Education.  Australia also chaired the informal donor worki</w:t>
      </w:r>
      <w:r w:rsidR="000B3BED">
        <w:t>ng group on Decentralisation.</w:t>
      </w:r>
    </w:p>
    <w:p w:rsidR="008556FB" w:rsidRDefault="008556FB" w:rsidP="008556FB">
      <w:pPr>
        <w:pStyle w:val="BodyText"/>
      </w:pPr>
      <w:r>
        <w:t xml:space="preserve">Other key challenges faced during the year included: </w:t>
      </w:r>
    </w:p>
    <w:p w:rsidR="008556FB" w:rsidRDefault="008556FB" w:rsidP="008556FB">
      <w:pPr>
        <w:pStyle w:val="BodyText"/>
        <w:numPr>
          <w:ilvl w:val="0"/>
          <w:numId w:val="20"/>
        </w:numPr>
      </w:pPr>
      <w:r>
        <w:t xml:space="preserve">Supporting the </w:t>
      </w:r>
      <w:proofErr w:type="spellStart"/>
      <w:r w:rsidR="00936D2A">
        <w:t>GoI</w:t>
      </w:r>
      <w:proofErr w:type="spellEnd"/>
      <w:r w:rsidR="001919CE">
        <w:t xml:space="preserve"> to</w:t>
      </w:r>
      <w:r>
        <w:t xml:space="preserve"> improve its contract supervision of national roads contracts to better manage poor performance by contractors </w:t>
      </w:r>
    </w:p>
    <w:p w:rsidR="008556FB" w:rsidRDefault="008556FB" w:rsidP="008556FB">
      <w:pPr>
        <w:pStyle w:val="BodyText"/>
        <w:numPr>
          <w:ilvl w:val="0"/>
          <w:numId w:val="20"/>
        </w:numPr>
      </w:pPr>
      <w:r>
        <w:t>Establishing strong relationships with senior people in the Ministry of Finance given substantial changes in leadership during 2010</w:t>
      </w:r>
    </w:p>
    <w:p w:rsidR="008556FB" w:rsidRDefault="008556FB" w:rsidP="008556FB">
      <w:pPr>
        <w:pStyle w:val="BodyText"/>
        <w:numPr>
          <w:ilvl w:val="0"/>
          <w:numId w:val="20"/>
        </w:numPr>
      </w:pPr>
      <w:r>
        <w:t xml:space="preserve">Expanding support for HIV/AIDS </w:t>
      </w:r>
      <w:r w:rsidR="000A2255">
        <w:t xml:space="preserve">prevention </w:t>
      </w:r>
      <w:r>
        <w:t>in the Papuan provinces including assisting the Clinton Health Access Initiative establish an effective presence in the region</w:t>
      </w:r>
    </w:p>
    <w:p w:rsidR="008556FB" w:rsidRDefault="008556FB" w:rsidP="008556FB">
      <w:pPr>
        <w:pStyle w:val="BodyText"/>
        <w:numPr>
          <w:ilvl w:val="0"/>
          <w:numId w:val="20"/>
        </w:numPr>
      </w:pPr>
      <w:r>
        <w:lastRenderedPageBreak/>
        <w:t xml:space="preserve">Situating Australian support for climate change in </w:t>
      </w:r>
      <w:smartTag w:uri="urn:schemas-microsoft-com:office:smarttags" w:element="country-region">
        <w:r>
          <w:t>Indonesia</w:t>
        </w:r>
      </w:smartTag>
      <w:r>
        <w:t xml:space="preserve"> in the context of a rapidly evolving domestic context including a new $1 billion program of support from </w:t>
      </w:r>
      <w:smartTag w:uri="urn:schemas-microsoft-com:office:smarttags" w:element="country-region">
        <w:smartTag w:uri="urn:schemas-microsoft-com:office:smarttags" w:element="place">
          <w:r>
            <w:t>Norway</w:t>
          </w:r>
        </w:smartTag>
      </w:smartTag>
      <w:r>
        <w:t xml:space="preserve">  </w:t>
      </w:r>
    </w:p>
    <w:p w:rsidR="008556FB" w:rsidRPr="00B14D34" w:rsidRDefault="008556FB" w:rsidP="008556FB">
      <w:pPr>
        <w:pStyle w:val="BodyText"/>
        <w:numPr>
          <w:ilvl w:val="0"/>
          <w:numId w:val="20"/>
        </w:numPr>
      </w:pPr>
      <w:r>
        <w:t>Dealing with the complexity of decentralisation and lack of capacity of districts in delive</w:t>
      </w:r>
      <w:r w:rsidR="00DF7BEA">
        <w:t xml:space="preserve">ring key services to the poor. </w:t>
      </w:r>
      <w:r>
        <w:t xml:space="preserve">Key lessons include the need to find better feedback loops between lessons learned on the ground and national policy reform and the need for stronger policy coherence between various </w:t>
      </w:r>
      <w:proofErr w:type="spellStart"/>
      <w:r>
        <w:t>AusAID</w:t>
      </w:r>
      <w:proofErr w:type="spellEnd"/>
      <w:r>
        <w:t xml:space="preserve"> programs operating at the district level, at least in priority provinces.</w:t>
      </w:r>
    </w:p>
    <w:p w:rsidR="008556FB" w:rsidRPr="003B213F" w:rsidRDefault="008556FB" w:rsidP="00C354EE">
      <w:pPr>
        <w:pStyle w:val="H3A"/>
      </w:pPr>
      <w:bookmarkStart w:id="201" w:name="_Toc360981911"/>
      <w:r w:rsidRPr="003B213F">
        <w:t>Management Consequences</w:t>
      </w:r>
      <w:bookmarkEnd w:id="201"/>
      <w:r w:rsidRPr="003B213F">
        <w:t xml:space="preserve"> </w:t>
      </w:r>
    </w:p>
    <w:p w:rsidR="008556FB" w:rsidRDefault="008556FB" w:rsidP="008556FB">
      <w:pPr>
        <w:pStyle w:val="BodyText"/>
      </w:pPr>
      <w:r>
        <w:t xml:space="preserve">Key priorities </w:t>
      </w:r>
      <w:r w:rsidR="00DF7BEA">
        <w:t>for management in 2011 include:</w:t>
      </w:r>
    </w:p>
    <w:p w:rsidR="008556FB" w:rsidRDefault="008556FB" w:rsidP="008556FB">
      <w:pPr>
        <w:pStyle w:val="BodyText"/>
        <w:numPr>
          <w:ilvl w:val="0"/>
          <w:numId w:val="20"/>
        </w:numPr>
      </w:pPr>
      <w:r>
        <w:t>Commencing new programs in education, elections, justice, decentralisation, and emerg</w:t>
      </w:r>
      <w:r w:rsidR="00DF7BEA">
        <w:t>ing infectious diseases.</w:t>
      </w:r>
    </w:p>
    <w:p w:rsidR="008556FB" w:rsidRDefault="008556FB" w:rsidP="008556FB">
      <w:pPr>
        <w:pStyle w:val="BodyText"/>
        <w:numPr>
          <w:ilvl w:val="0"/>
          <w:numId w:val="20"/>
        </w:numPr>
      </w:pPr>
      <w:r>
        <w:t>Finalising designs for health system support, women’s leadership, rural livelihoods and the knowledge sector.</w:t>
      </w:r>
    </w:p>
    <w:p w:rsidR="008556FB" w:rsidRDefault="008556FB" w:rsidP="008556FB">
      <w:pPr>
        <w:pStyle w:val="BodyText"/>
        <w:numPr>
          <w:ilvl w:val="0"/>
          <w:numId w:val="20"/>
        </w:numPr>
      </w:pPr>
      <w:r>
        <w:t>Commencing analytics and designs on disaster risk mitigation, infrastructure, a second climate change REDD pilot, support for the Fiscal Policy Office and scholarships.</w:t>
      </w:r>
    </w:p>
    <w:p w:rsidR="008556FB" w:rsidRDefault="008556FB" w:rsidP="008556FB">
      <w:pPr>
        <w:pStyle w:val="BodyText"/>
        <w:numPr>
          <w:ilvl w:val="0"/>
          <w:numId w:val="20"/>
        </w:numPr>
      </w:pPr>
      <w:r>
        <w:t xml:space="preserve">Commencing detailed planning on the potential expansion of the program including analysis of where further </w:t>
      </w:r>
      <w:proofErr w:type="spellStart"/>
      <w:r>
        <w:t>AusAID</w:t>
      </w:r>
      <w:proofErr w:type="spellEnd"/>
      <w:r>
        <w:t xml:space="preserve"> investments are likely to deliver the greatest returns in poverty alleviation and begin work on a new Country Situation Analysis.</w:t>
      </w:r>
    </w:p>
    <w:p w:rsidR="008556FB" w:rsidRDefault="008556FB" w:rsidP="008556FB">
      <w:pPr>
        <w:pStyle w:val="BodyText"/>
        <w:numPr>
          <w:ilvl w:val="0"/>
          <w:numId w:val="20"/>
        </w:numPr>
      </w:pPr>
      <w:r>
        <w:t xml:space="preserve">Establishing a Policy and Analytical Unit under the Lead Economist that will strengthen the program’s analytical and research capacity and ability to engage in high level policy dialogue with </w:t>
      </w:r>
      <w:proofErr w:type="spellStart"/>
      <w:r w:rsidR="00936D2A">
        <w:t>GoI</w:t>
      </w:r>
      <w:proofErr w:type="spellEnd"/>
      <w:r>
        <w:t xml:space="preserve"> on reform.</w:t>
      </w:r>
    </w:p>
    <w:p w:rsidR="008556FB" w:rsidRDefault="008556FB" w:rsidP="008556FB">
      <w:pPr>
        <w:pStyle w:val="BodyText"/>
        <w:numPr>
          <w:ilvl w:val="0"/>
          <w:numId w:val="20"/>
        </w:numPr>
      </w:pPr>
      <w:r>
        <w:t xml:space="preserve">Implementing Mid Term Review recommendations including in:  acquiring and using knowledge to engage in policy reform, including better understanding the gender impacts of our program; improving people management and leadership so </w:t>
      </w:r>
      <w:proofErr w:type="spellStart"/>
      <w:r>
        <w:t>AusAID</w:t>
      </w:r>
      <w:proofErr w:type="spellEnd"/>
      <w:r>
        <w:t xml:space="preserve"> can continue to attract and retain high calibre staff; and improving </w:t>
      </w:r>
      <w:proofErr w:type="spellStart"/>
      <w:r>
        <w:t>AusAID</w:t>
      </w:r>
      <w:proofErr w:type="spellEnd"/>
      <w:r>
        <w:t xml:space="preserve"> Jakarta’s capacity to monitor and review the quality of the portfolio to improve its effectiveness.</w:t>
      </w:r>
    </w:p>
    <w:p w:rsidR="00303DF9" w:rsidRDefault="008556FB" w:rsidP="008556FB">
      <w:pPr>
        <w:pStyle w:val="BodyText"/>
        <w:numPr>
          <w:ilvl w:val="0"/>
          <w:numId w:val="20"/>
        </w:numPr>
      </w:pPr>
      <w:r>
        <w:t xml:space="preserve">Strengthening portfolio risk management and fraud mitigation approaches; establishing more robust management information tools to drive program coherence, consolidation and growth; and restructuring part of the </w:t>
      </w:r>
      <w:smartTag w:uri="urn:schemas-microsoft-com:office:smarttags" w:element="City">
        <w:smartTag w:uri="urn:schemas-microsoft-com:office:smarttags" w:element="place">
          <w:r>
            <w:t>Jakarta</w:t>
          </w:r>
        </w:smartTag>
      </w:smartTag>
      <w:r>
        <w:t xml:space="preserve"> operation to strengthen our quality assurance and design capacity.</w:t>
      </w:r>
    </w:p>
    <w:p w:rsidR="00303DF9" w:rsidRDefault="00303DF9" w:rsidP="00303DF9">
      <w:pPr>
        <w:pStyle w:val="Subtitle"/>
        <w:rPr>
          <w:rFonts w:ascii="Georgia" w:hAnsi="Georgia"/>
          <w:sz w:val="19"/>
          <w:szCs w:val="19"/>
        </w:rPr>
      </w:pPr>
      <w:r>
        <w:br w:type="page"/>
      </w:r>
    </w:p>
    <w:p w:rsidR="00990F61" w:rsidRPr="00ED1244" w:rsidRDefault="00990F61" w:rsidP="00420467">
      <w:pPr>
        <w:pStyle w:val="Heading1"/>
        <w:numPr>
          <w:ilvl w:val="0"/>
          <w:numId w:val="0"/>
        </w:numPr>
      </w:pPr>
      <w:bookmarkStart w:id="202" w:name="_Toc261972350"/>
      <w:bookmarkStart w:id="203" w:name="_Toc293050034"/>
      <w:bookmarkStart w:id="204" w:name="_Toc300905116"/>
      <w:bookmarkStart w:id="205" w:name="_Toc360981912"/>
      <w:r>
        <w:lastRenderedPageBreak/>
        <w:t>Annex 1: Indonesia’s progress against the Millennium Development Goals in 20</w:t>
      </w:r>
      <w:bookmarkEnd w:id="202"/>
      <w:r>
        <w:t>10</w:t>
      </w:r>
      <w:bookmarkEnd w:id="203"/>
      <w:bookmarkEnd w:id="204"/>
      <w:bookmarkEnd w:id="205"/>
    </w:p>
    <w:p w:rsidR="00990F61" w:rsidRDefault="00990F61" w:rsidP="001E6579">
      <w:pPr>
        <w:pStyle w:val="H2C"/>
        <w:rPr>
          <w:rtl/>
        </w:rPr>
      </w:pPr>
      <w:bookmarkStart w:id="206" w:name="_Toc293050035"/>
      <w:r w:rsidRPr="00275BCA">
        <w:t xml:space="preserve">Goal 1: Eradicate extreme hunger and </w:t>
      </w:r>
      <w:r w:rsidRPr="001E6579">
        <w:t>poverty</w:t>
      </w:r>
      <w:bookmarkEnd w:id="206"/>
    </w:p>
    <w:p w:rsidR="00990F61" w:rsidRPr="00B779CF" w:rsidRDefault="00990F61" w:rsidP="00B779CF">
      <w:pPr>
        <w:pStyle w:val="BodyText"/>
      </w:pPr>
      <w:r w:rsidRPr="00B779CF">
        <w:t xml:space="preserve">At the national level Indonesia has reached the MDG 1 target of halving the proportion of people with an income of less than the international US$1 per day poverty line from 20.6 </w:t>
      </w:r>
      <w:proofErr w:type="spellStart"/>
      <w:r w:rsidRPr="00B779CF">
        <w:t>percent</w:t>
      </w:r>
      <w:proofErr w:type="spellEnd"/>
      <w:r w:rsidRPr="00B779CF">
        <w:t xml:space="preserve"> in 1990 to 5.9 </w:t>
      </w:r>
      <w:proofErr w:type="spellStart"/>
      <w:r w:rsidRPr="00B779CF">
        <w:t>percent</w:t>
      </w:r>
      <w:proofErr w:type="spellEnd"/>
      <w:r w:rsidRPr="00B779CF">
        <w:t xml:space="preserve"> in 2008. However, around 13.4 per cent of Indonesia’s 240 million people (approximately 31.0 million) live under the national poverty line of US$1.55 per day and </w:t>
      </w:r>
      <w:proofErr w:type="spellStart"/>
      <w:r w:rsidRPr="00B779CF">
        <w:t>approx</w:t>
      </w:r>
      <w:proofErr w:type="spellEnd"/>
      <w:r w:rsidRPr="00B779CF">
        <w:t xml:space="preserve"> 49 </w:t>
      </w:r>
      <w:proofErr w:type="spellStart"/>
      <w:r w:rsidRPr="00B779CF">
        <w:t>percent</w:t>
      </w:r>
      <w:proofErr w:type="spellEnd"/>
      <w:r w:rsidRPr="00B779CF">
        <w:t xml:space="preserve"> still live on less than US$2 per day</w:t>
      </w:r>
      <w:r w:rsidRPr="00DE4F0A">
        <w:rPr>
          <w:vertAlign w:val="superscript"/>
        </w:rPr>
        <w:footnoteReference w:id="25"/>
      </w:r>
      <w:r w:rsidR="00DF7BEA">
        <w:t>.</w:t>
      </w:r>
    </w:p>
    <w:p w:rsidR="00990F61" w:rsidRPr="00B779CF" w:rsidRDefault="00990F61" w:rsidP="00B779CF">
      <w:pPr>
        <w:pStyle w:val="BodyText"/>
      </w:pPr>
      <w:r w:rsidRPr="00B779CF">
        <w:t xml:space="preserve">The poverty rate in rural areas of </w:t>
      </w:r>
      <w:smartTag w:uri="urn:schemas-microsoft-com:office:smarttags" w:element="place">
        <w:smartTag w:uri="urn:schemas-microsoft-com:office:smarttags" w:element="country-region">
          <w:r w:rsidRPr="00B779CF">
            <w:t>Indonesia</w:t>
          </w:r>
        </w:smartTag>
      </w:smartTag>
      <w:r w:rsidRPr="00B779CF">
        <w:t xml:space="preserve"> was 16.6 </w:t>
      </w:r>
      <w:proofErr w:type="spellStart"/>
      <w:r w:rsidRPr="00B779CF">
        <w:t>percent</w:t>
      </w:r>
      <w:proofErr w:type="spellEnd"/>
      <w:r w:rsidRPr="00B779CF">
        <w:t xml:space="preserve"> in 2010 compared to only 9.9 </w:t>
      </w:r>
      <w:proofErr w:type="spellStart"/>
      <w:r w:rsidRPr="00B779CF">
        <w:t>percent</w:t>
      </w:r>
      <w:proofErr w:type="spellEnd"/>
      <w:r w:rsidRPr="00B779CF">
        <w:t xml:space="preserve"> in urban areas.</w:t>
      </w:r>
    </w:p>
    <w:p w:rsidR="00990F61" w:rsidRPr="00275BCA" w:rsidRDefault="00990F61" w:rsidP="001E6579">
      <w:pPr>
        <w:pStyle w:val="H2C"/>
      </w:pPr>
      <w:bookmarkStart w:id="207" w:name="_Toc293050036"/>
      <w:r w:rsidRPr="00275BCA">
        <w:t>Goal 2: Achieve universal primary education</w:t>
      </w:r>
      <w:bookmarkEnd w:id="207"/>
    </w:p>
    <w:p w:rsidR="00990F61" w:rsidRPr="001F0E22" w:rsidRDefault="00990F61" w:rsidP="001F0E22">
      <w:pPr>
        <w:pStyle w:val="BodyText"/>
      </w:pPr>
      <w:r w:rsidRPr="001F0E22">
        <w:t xml:space="preserve">At 98 per cent, </w:t>
      </w:r>
      <w:smartTag w:uri="urn:schemas-microsoft-com:office:smarttags" w:element="country-region">
        <w:r w:rsidRPr="001F0E22">
          <w:t>Indonesia</w:t>
        </w:r>
      </w:smartTag>
      <w:r w:rsidRPr="001F0E22">
        <w:t xml:space="preserve"> is close to enrolling almost all children in primary school, though this national rate varies from 98.5 per cent in </w:t>
      </w:r>
      <w:smartTag w:uri="urn:schemas-microsoft-com:office:smarttags" w:element="place">
        <w:r w:rsidRPr="001F0E22">
          <w:t>Central Kalimantan</w:t>
        </w:r>
      </w:smartTag>
      <w:r w:rsidRPr="001F0E22">
        <w:t xml:space="preserve"> to 76 per cent in Papua</w:t>
      </w:r>
      <w:r w:rsidRPr="00936401">
        <w:rPr>
          <w:rStyle w:val="FootnoteReference"/>
          <w:rFonts w:ascii="Georgia" w:hAnsi="Georgia"/>
          <w:position w:val="0"/>
          <w:sz w:val="19"/>
          <w:vertAlign w:val="superscript"/>
        </w:rPr>
        <w:footnoteReference w:id="26"/>
      </w:r>
      <w:r w:rsidRPr="001F0E22">
        <w:t xml:space="preserve">. Nationally, the number of students who go on to complete primary school increased from 88.7 </w:t>
      </w:r>
      <w:proofErr w:type="spellStart"/>
      <w:r w:rsidRPr="001F0E22">
        <w:t>percent</w:t>
      </w:r>
      <w:proofErr w:type="spellEnd"/>
      <w:r w:rsidRPr="001F0E22">
        <w:t xml:space="preserve"> in 1992 to 95.2 </w:t>
      </w:r>
      <w:proofErr w:type="spellStart"/>
      <w:r w:rsidRPr="001F0E22">
        <w:t>percent</w:t>
      </w:r>
      <w:proofErr w:type="spellEnd"/>
      <w:r w:rsidRPr="001F0E22">
        <w:t xml:space="preserve"> in 2009 and at the junior secondary level the percentage of students enrolled increased from 42 </w:t>
      </w:r>
      <w:proofErr w:type="spellStart"/>
      <w:r w:rsidRPr="001F0E22">
        <w:t>percent</w:t>
      </w:r>
      <w:proofErr w:type="spellEnd"/>
      <w:r w:rsidRPr="001F0E22">
        <w:t xml:space="preserve"> in 1992 to 74.5 </w:t>
      </w:r>
      <w:proofErr w:type="spellStart"/>
      <w:r w:rsidRPr="001F0E22">
        <w:t>percent</w:t>
      </w:r>
      <w:proofErr w:type="spellEnd"/>
      <w:r w:rsidRPr="001F0E22">
        <w:t xml:space="preserve"> in 2009</w:t>
      </w:r>
      <w:r w:rsidRPr="00936401">
        <w:rPr>
          <w:rStyle w:val="FootnoteReference"/>
          <w:rFonts w:ascii="Georgia" w:hAnsi="Georgia"/>
          <w:position w:val="0"/>
          <w:sz w:val="19"/>
          <w:vertAlign w:val="superscript"/>
        </w:rPr>
        <w:footnoteReference w:id="27"/>
      </w:r>
      <w:r w:rsidRPr="001F0E22">
        <w:t xml:space="preserve">.  </w:t>
      </w:r>
    </w:p>
    <w:p w:rsidR="00990F61" w:rsidRPr="00275BCA" w:rsidRDefault="00990F61" w:rsidP="001E6579">
      <w:pPr>
        <w:pStyle w:val="H2C"/>
      </w:pPr>
      <w:bookmarkStart w:id="208" w:name="_Toc293050037"/>
      <w:r w:rsidRPr="00275BCA">
        <w:t>Goal 3: Promote gender equality and empower women</w:t>
      </w:r>
      <w:bookmarkEnd w:id="208"/>
    </w:p>
    <w:p w:rsidR="00990F61" w:rsidRPr="001F0E22" w:rsidRDefault="00990F61" w:rsidP="001F0E22">
      <w:pPr>
        <w:pStyle w:val="BodyText"/>
      </w:pPr>
      <w:smartTag w:uri="urn:schemas-microsoft-com:office:smarttags" w:element="country-region">
        <w:smartTag w:uri="urn:schemas-microsoft-com:office:smarttags" w:element="place">
          <w:r w:rsidRPr="001F0E22">
            <w:t>Indonesia</w:t>
          </w:r>
        </w:smartTag>
      </w:smartTag>
      <w:r w:rsidRPr="001F0E22">
        <w:t xml:space="preserve"> has almost achieved this target, with ratios of 99.7 </w:t>
      </w:r>
      <w:proofErr w:type="spellStart"/>
      <w:r w:rsidRPr="001F0E22">
        <w:t>percent</w:t>
      </w:r>
      <w:proofErr w:type="spellEnd"/>
      <w:r w:rsidRPr="001F0E22">
        <w:t xml:space="preserve"> at primary school, 102 </w:t>
      </w:r>
      <w:proofErr w:type="spellStart"/>
      <w:r w:rsidRPr="001F0E22">
        <w:t>percent</w:t>
      </w:r>
      <w:proofErr w:type="spellEnd"/>
      <w:r w:rsidRPr="001F0E22">
        <w:t xml:space="preserve"> in junior secondary school, </w:t>
      </w:r>
      <w:r w:rsidR="00E5094A" w:rsidRPr="001F0E22">
        <w:t>96.2 per cen</w:t>
      </w:r>
      <w:r w:rsidR="00E5094A">
        <w:t>t</w:t>
      </w:r>
      <w:r w:rsidR="00E5094A" w:rsidRPr="001F0E22">
        <w:t xml:space="preserve"> </w:t>
      </w:r>
      <w:r w:rsidRPr="001F0E22">
        <w:t>at senior secondary school and</w:t>
      </w:r>
      <w:r w:rsidRPr="001F0E22">
        <w:br/>
        <w:t xml:space="preserve">103 </w:t>
      </w:r>
      <w:proofErr w:type="spellStart"/>
      <w:r w:rsidRPr="001F0E22">
        <w:t>percent</w:t>
      </w:r>
      <w:proofErr w:type="spellEnd"/>
      <w:r w:rsidRPr="001F0E22">
        <w:t xml:space="preserve"> in tertiary/higher education</w:t>
      </w:r>
      <w:r w:rsidRPr="00936401">
        <w:rPr>
          <w:rStyle w:val="FootnoteReference"/>
          <w:rFonts w:ascii="Georgia" w:hAnsi="Georgia"/>
          <w:position w:val="0"/>
          <w:sz w:val="19"/>
          <w:vertAlign w:val="superscript"/>
        </w:rPr>
        <w:footnoteReference w:id="28"/>
      </w:r>
      <w:r w:rsidRPr="001F0E22">
        <w:t xml:space="preserve">. However, much remains to be done to address gender stereotyping in school curricula and teacher training. </w:t>
      </w:r>
    </w:p>
    <w:p w:rsidR="00990F61" w:rsidRPr="001F0E22" w:rsidRDefault="00990F61" w:rsidP="001F0E22">
      <w:pPr>
        <w:pStyle w:val="BodyText"/>
      </w:pPr>
      <w:r w:rsidRPr="001F0E22">
        <w:t xml:space="preserve">The total share of women in wage employment in both agricultural and non-agricultural sectors also increased from 29.6 </w:t>
      </w:r>
      <w:proofErr w:type="spellStart"/>
      <w:r w:rsidRPr="001F0E22">
        <w:t>percent</w:t>
      </w:r>
      <w:proofErr w:type="spellEnd"/>
      <w:r w:rsidRPr="001F0E22">
        <w:t xml:space="preserve"> in 2004 to 33.5 </w:t>
      </w:r>
      <w:proofErr w:type="spellStart"/>
      <w:r w:rsidRPr="001F0E22">
        <w:t>percent</w:t>
      </w:r>
      <w:proofErr w:type="spellEnd"/>
      <w:r w:rsidRPr="001F0E22">
        <w:t xml:space="preserve"> in 2009. The total number of women employees increased from 7.8 million to 10.5 million from 2004 to 2009</w:t>
      </w:r>
      <w:r w:rsidRPr="00936401">
        <w:rPr>
          <w:rStyle w:val="FootnoteReference"/>
          <w:rFonts w:ascii="Georgia" w:hAnsi="Georgia"/>
          <w:position w:val="0"/>
          <w:sz w:val="19"/>
          <w:vertAlign w:val="superscript"/>
        </w:rPr>
        <w:footnoteReference w:id="29"/>
      </w:r>
      <w:r w:rsidRPr="001F0E22">
        <w:t>.</w:t>
      </w:r>
    </w:p>
    <w:p w:rsidR="00990F61" w:rsidRPr="001F0E22" w:rsidRDefault="00990F61" w:rsidP="001F0E22">
      <w:pPr>
        <w:pStyle w:val="BodyText"/>
      </w:pPr>
      <w:r w:rsidRPr="001F0E22">
        <w:t xml:space="preserve">The quota for women legislative candidates as mandated by law was met by all political parties in the 2009 general election. Eight parties nominated women to more than 40 </w:t>
      </w:r>
      <w:proofErr w:type="spellStart"/>
      <w:r w:rsidRPr="001F0E22">
        <w:t>percent</w:t>
      </w:r>
      <w:proofErr w:type="spellEnd"/>
      <w:r w:rsidRPr="001F0E22">
        <w:t xml:space="preserve"> of legislative </w:t>
      </w:r>
      <w:r w:rsidR="000F4EFD" w:rsidRPr="001F0E22">
        <w:t>candidate’s</w:t>
      </w:r>
      <w:r w:rsidRPr="001F0E22">
        <w:t xml:space="preserve"> positions</w:t>
      </w:r>
      <w:r w:rsidRPr="00936401">
        <w:rPr>
          <w:rStyle w:val="FootnoteReference"/>
          <w:rFonts w:ascii="Georgia" w:hAnsi="Georgia"/>
          <w:position w:val="0"/>
          <w:sz w:val="19"/>
          <w:vertAlign w:val="superscript"/>
        </w:rPr>
        <w:footnoteReference w:id="30"/>
      </w:r>
      <w:r w:rsidRPr="001F0E22">
        <w:t>.</w:t>
      </w:r>
    </w:p>
    <w:p w:rsidR="00990F61" w:rsidRPr="00275BCA" w:rsidRDefault="00990F61" w:rsidP="001E6579">
      <w:pPr>
        <w:pStyle w:val="H2C"/>
      </w:pPr>
      <w:bookmarkStart w:id="209" w:name="_Toc293050038"/>
      <w:r w:rsidRPr="00275BCA">
        <w:t>Goal 4: Reduce child mortality</w:t>
      </w:r>
      <w:bookmarkEnd w:id="209"/>
    </w:p>
    <w:p w:rsidR="00990F61" w:rsidRPr="001F0E22" w:rsidRDefault="00990F61" w:rsidP="001F0E22">
      <w:pPr>
        <w:pStyle w:val="BodyText"/>
      </w:pPr>
      <w:smartTag w:uri="urn:schemas-microsoft-com:office:smarttags" w:element="place">
        <w:smartTag w:uri="urn:schemas-microsoft-com:office:smarttags" w:element="country-region">
          <w:r w:rsidRPr="001F0E22">
            <w:t>Indonesia</w:t>
          </w:r>
        </w:smartTag>
      </w:smartTag>
      <w:r w:rsidRPr="001F0E22">
        <w:t xml:space="preserve"> is on track to reduce infant mortality to 19 deaths per thousand live births in 2015, having already reduced this figure from 68 in 1991 to 34 in 2007</w:t>
      </w:r>
      <w:r w:rsidRPr="00936401">
        <w:rPr>
          <w:rStyle w:val="FootnoteReference"/>
          <w:rFonts w:ascii="Georgia" w:hAnsi="Georgia"/>
          <w:position w:val="0"/>
          <w:sz w:val="19"/>
          <w:vertAlign w:val="superscript"/>
        </w:rPr>
        <w:footnoteReference w:id="31"/>
      </w:r>
      <w:r w:rsidRPr="001F0E22">
        <w:t xml:space="preserve">.  Similarly, good progress has been made to reduce the under-five mortality rate, with 44 deaths per thousand live </w:t>
      </w:r>
      <w:r w:rsidRPr="001F0E22">
        <w:lastRenderedPageBreak/>
        <w:t>births in 2007, compared to 97 in 1990. The main direct causes of childhood death relate to peri natal and neonatal problems, diarrhoea and pneumonia. In total, these four factors contribute to some 75 </w:t>
      </w:r>
      <w:proofErr w:type="spellStart"/>
      <w:r w:rsidRPr="001F0E22">
        <w:t>percent</w:t>
      </w:r>
      <w:proofErr w:type="spellEnd"/>
      <w:r w:rsidRPr="001F0E22">
        <w:t xml:space="preserve"> of infant mortality</w:t>
      </w:r>
      <w:r w:rsidRPr="00936401">
        <w:rPr>
          <w:rStyle w:val="FootnoteReference"/>
          <w:rFonts w:ascii="Georgia" w:hAnsi="Georgia"/>
          <w:position w:val="0"/>
          <w:sz w:val="19"/>
          <w:vertAlign w:val="superscript"/>
        </w:rPr>
        <w:footnoteReference w:id="32"/>
      </w:r>
      <w:r w:rsidRPr="001F0E22">
        <w:t xml:space="preserve">. Frequent illness is a major risk, especially among the poor population where prevalence of </w:t>
      </w:r>
      <w:r w:rsidR="00DF7BEA">
        <w:t>infectious diseases is highest.</w:t>
      </w:r>
    </w:p>
    <w:p w:rsidR="00990F61" w:rsidRPr="001F0E22" w:rsidRDefault="00990F61" w:rsidP="001F0E22">
      <w:pPr>
        <w:pStyle w:val="BodyText"/>
      </w:pPr>
      <w:r w:rsidRPr="001F0E22">
        <w:t xml:space="preserve">The proportion of one-year-old children immunised against measles increased from 44.5 </w:t>
      </w:r>
      <w:proofErr w:type="spellStart"/>
      <w:r w:rsidRPr="001F0E22">
        <w:t>percent</w:t>
      </w:r>
      <w:proofErr w:type="spellEnd"/>
      <w:r w:rsidR="00DF7BEA">
        <w:t xml:space="preserve"> in 1991 to 97 </w:t>
      </w:r>
      <w:proofErr w:type="spellStart"/>
      <w:r w:rsidR="00DF7BEA">
        <w:t>percent</w:t>
      </w:r>
      <w:proofErr w:type="spellEnd"/>
      <w:r w:rsidR="00DF7BEA">
        <w:t xml:space="preserve"> in 2007.</w:t>
      </w:r>
    </w:p>
    <w:p w:rsidR="00990F61" w:rsidRPr="00275BCA" w:rsidRDefault="00990F61" w:rsidP="001E6579">
      <w:pPr>
        <w:pStyle w:val="H2C"/>
      </w:pPr>
      <w:bookmarkStart w:id="210" w:name="_Toc293050039"/>
      <w:r w:rsidRPr="00275BCA">
        <w:t>Goal 5: Improve maternal health</w:t>
      </w:r>
      <w:bookmarkEnd w:id="210"/>
    </w:p>
    <w:p w:rsidR="00990F61" w:rsidRPr="001F0E22" w:rsidRDefault="00990F61" w:rsidP="001F0E22">
      <w:pPr>
        <w:pStyle w:val="BodyText"/>
      </w:pPr>
      <w:r w:rsidRPr="001F0E22">
        <w:t xml:space="preserve">Although at the national level Indonesia has reduced maternal mortality from 390 deaths </w:t>
      </w:r>
      <w:r w:rsidRPr="001F0E22">
        <w:br/>
        <w:t>per 100</w:t>
      </w:r>
      <w:r w:rsidR="00DE4F0A">
        <w:t> </w:t>
      </w:r>
      <w:r w:rsidRPr="001F0E22">
        <w:t>000 live births in 1995 to around 228 deaths</w:t>
      </w:r>
      <w:r w:rsidR="00DF7BEA">
        <w:t xml:space="preserve"> in 2007, progress is lagging.</w:t>
      </w:r>
    </w:p>
    <w:p w:rsidR="00990F61" w:rsidRPr="001F0E22" w:rsidRDefault="00990F61" w:rsidP="001F0E22">
      <w:pPr>
        <w:pStyle w:val="BodyText"/>
      </w:pPr>
      <w:r w:rsidRPr="001F0E22">
        <w:t xml:space="preserve">In </w:t>
      </w:r>
      <w:smartTag w:uri="urn:schemas-microsoft-com:office:smarttags" w:element="place">
        <w:smartTag w:uri="urn:schemas-microsoft-com:office:smarttags" w:element="country-region">
          <w:r w:rsidRPr="001F0E22">
            <w:t>Indonesia</w:t>
          </w:r>
        </w:smartTag>
      </w:smartTag>
      <w:r w:rsidRPr="001F0E22">
        <w:t xml:space="preserve">, about 80 </w:t>
      </w:r>
      <w:proofErr w:type="spellStart"/>
      <w:r w:rsidRPr="001F0E22">
        <w:t>percent</w:t>
      </w:r>
      <w:proofErr w:type="spellEnd"/>
      <w:r w:rsidRPr="001F0E22">
        <w:t xml:space="preserve"> of maternal deaths are caused by direct obstetric complications, primarily haemorrhage, </w:t>
      </w:r>
      <w:proofErr w:type="spellStart"/>
      <w:r w:rsidRPr="001F0E22">
        <w:t>sepis</w:t>
      </w:r>
      <w:proofErr w:type="spellEnd"/>
      <w:r w:rsidRPr="001F0E22">
        <w:t>, unsafe abortion, pre-</w:t>
      </w:r>
      <w:proofErr w:type="spellStart"/>
      <w:r w:rsidRPr="001F0E22">
        <w:t>eclampsia</w:t>
      </w:r>
      <w:proofErr w:type="spellEnd"/>
      <w:r w:rsidRPr="001F0E22">
        <w:t xml:space="preserve"> and </w:t>
      </w:r>
      <w:proofErr w:type="spellStart"/>
      <w:r w:rsidRPr="001F0E22">
        <w:t>eclampsia</w:t>
      </w:r>
      <w:proofErr w:type="spellEnd"/>
      <w:r w:rsidRPr="001F0E22">
        <w:t>, and prolonged or obstructed labour.</w:t>
      </w:r>
    </w:p>
    <w:p w:rsidR="00990F61" w:rsidRPr="001F0E22" w:rsidRDefault="00990F61" w:rsidP="001F0E22">
      <w:pPr>
        <w:pStyle w:val="BodyText"/>
      </w:pPr>
      <w:r w:rsidRPr="001F0E22">
        <w:t xml:space="preserve">Key areas of intervention that influence the </w:t>
      </w:r>
      <w:r w:rsidR="00B3668D">
        <w:t>m</w:t>
      </w:r>
      <w:r w:rsidRPr="001F0E22">
        <w:t xml:space="preserve">aternal </w:t>
      </w:r>
      <w:r w:rsidR="00B3668D">
        <w:t>m</w:t>
      </w:r>
      <w:r w:rsidRPr="001F0E22">
        <w:t xml:space="preserve">ortality </w:t>
      </w:r>
      <w:r w:rsidR="00B3668D">
        <w:t>r</w:t>
      </w:r>
      <w:r w:rsidRPr="001F0E22">
        <w:t xml:space="preserve">atio involve appropriate antenatal care, births attended by skilled health personnel and programs aimed at behaviour change (raising awareness) among women of reproductive age. The proportion of births assisted by skilled health personnel increased from 40.7 </w:t>
      </w:r>
      <w:proofErr w:type="spellStart"/>
      <w:r w:rsidRPr="001F0E22">
        <w:t>percent</w:t>
      </w:r>
      <w:proofErr w:type="spellEnd"/>
      <w:r w:rsidRPr="001F0E22">
        <w:t xml:space="preserve"> in 1992 to 77.3 </w:t>
      </w:r>
      <w:proofErr w:type="spellStart"/>
      <w:r w:rsidRPr="001F0E22">
        <w:t>percent</w:t>
      </w:r>
      <w:proofErr w:type="spellEnd"/>
      <w:r w:rsidRPr="001F0E22">
        <w:t xml:space="preserve"> in 2009.</w:t>
      </w:r>
    </w:p>
    <w:p w:rsidR="00990F61" w:rsidRPr="001F0E22" w:rsidRDefault="00990F61" w:rsidP="001F0E22">
      <w:pPr>
        <w:pStyle w:val="BodyText"/>
      </w:pPr>
      <w:r w:rsidRPr="001F0E22">
        <w:t xml:space="preserve">Nationally, the contraceptive prevalence rate for 2007 was 61.4 </w:t>
      </w:r>
      <w:proofErr w:type="spellStart"/>
      <w:r w:rsidRPr="001F0E22">
        <w:t>percent</w:t>
      </w:r>
      <w:proofErr w:type="spellEnd"/>
      <w:r w:rsidRPr="001F0E22">
        <w:t xml:space="preserve"> compared to 49.7 </w:t>
      </w:r>
      <w:proofErr w:type="spellStart"/>
      <w:r w:rsidRPr="001F0E22">
        <w:t>percent</w:t>
      </w:r>
      <w:proofErr w:type="spellEnd"/>
      <w:r w:rsidRPr="001F0E22">
        <w:t xml:space="preserve"> in 1991</w:t>
      </w:r>
      <w:r w:rsidRPr="00936401">
        <w:rPr>
          <w:rStyle w:val="FootnoteReference"/>
          <w:rFonts w:ascii="Georgia" w:hAnsi="Georgia"/>
          <w:position w:val="0"/>
          <w:sz w:val="19"/>
          <w:vertAlign w:val="superscript"/>
        </w:rPr>
        <w:footnoteReference w:id="33"/>
      </w:r>
      <w:r w:rsidRPr="001F0E22">
        <w:t>.</w:t>
      </w:r>
    </w:p>
    <w:p w:rsidR="00990F61" w:rsidRPr="00275BCA" w:rsidRDefault="00990F61" w:rsidP="001E6579">
      <w:pPr>
        <w:pStyle w:val="H2C"/>
      </w:pPr>
      <w:bookmarkStart w:id="211" w:name="_Toc293050040"/>
      <w:r w:rsidRPr="00275BCA">
        <w:t>Goal 6: Combat HIV/AIDS, malaria and other diseases</w:t>
      </w:r>
      <w:bookmarkEnd w:id="211"/>
      <w:r w:rsidRPr="00275BCA">
        <w:t xml:space="preserve"> </w:t>
      </w:r>
    </w:p>
    <w:p w:rsidR="00990F61" w:rsidRPr="00275BCA" w:rsidRDefault="00990F61" w:rsidP="001F0E22">
      <w:pPr>
        <w:pStyle w:val="BodyText"/>
      </w:pPr>
      <w:r w:rsidRPr="00275BCA">
        <w:t xml:space="preserve">The number of new HIV infections has been increasing in </w:t>
      </w:r>
      <w:smartTag w:uri="urn:schemas-microsoft-com:office:smarttags" w:element="place">
        <w:smartTag w:uri="urn:schemas-microsoft-com:office:smarttags" w:element="country-region">
          <w:r w:rsidRPr="00275BCA">
            <w:t>Indonesia</w:t>
          </w:r>
        </w:smartTag>
      </w:smartTag>
      <w:r w:rsidRPr="00275BCA">
        <w:t>. The total number of HIV</w:t>
      </w:r>
      <w:r w:rsidR="00BA0C63">
        <w:t>-</w:t>
      </w:r>
      <w:r w:rsidRPr="00275BCA">
        <w:t xml:space="preserve">infected individuals in </w:t>
      </w:r>
      <w:smartTag w:uri="urn:schemas-microsoft-com:office:smarttags" w:element="place">
        <w:smartTag w:uri="urn:schemas-microsoft-com:office:smarttags" w:element="country-region">
          <w:r w:rsidRPr="00275BCA">
            <w:t>Indonesia</w:t>
          </w:r>
        </w:smartTag>
      </w:smartTag>
      <w:r w:rsidRPr="00275BCA">
        <w:t xml:space="preserve"> is still relatively low at 0.2 </w:t>
      </w:r>
      <w:proofErr w:type="spellStart"/>
      <w:r w:rsidRPr="00275BCA">
        <w:t>percent</w:t>
      </w:r>
      <w:proofErr w:type="spellEnd"/>
      <w:r w:rsidRPr="00275BCA">
        <w:t xml:space="preserve"> of the population, but the rate of increase is relatively high.</w:t>
      </w:r>
    </w:p>
    <w:p w:rsidR="00990F61" w:rsidRPr="00275BCA" w:rsidRDefault="00990F61" w:rsidP="001F0E22">
      <w:pPr>
        <w:pStyle w:val="BodyText"/>
      </w:pPr>
      <w:r w:rsidRPr="00275BCA">
        <w:t xml:space="preserve">During the period 1996 to 2006, the number of HIV cases increased by 17.5 </w:t>
      </w:r>
      <w:proofErr w:type="spellStart"/>
      <w:r w:rsidRPr="00275BCA">
        <w:t>percent</w:t>
      </w:r>
      <w:proofErr w:type="spellEnd"/>
      <w:r w:rsidRPr="00275BCA">
        <w:t xml:space="preserve"> and it is estimated that 193</w:t>
      </w:r>
      <w:r w:rsidR="00B779CF">
        <w:t> </w:t>
      </w:r>
      <w:r w:rsidRPr="00275BCA">
        <w:t xml:space="preserve">000 people are currently living with HIV in </w:t>
      </w:r>
      <w:smartTag w:uri="urn:schemas-microsoft-com:office:smarttags" w:element="place">
        <w:smartTag w:uri="urn:schemas-microsoft-com:office:smarttags" w:element="country-region">
          <w:r w:rsidRPr="00275BCA">
            <w:t>Indonesia</w:t>
          </w:r>
        </w:smartTag>
      </w:smartTag>
      <w:r w:rsidRPr="00275BCA">
        <w:t>.</w:t>
      </w:r>
    </w:p>
    <w:p w:rsidR="00990F61" w:rsidRPr="00275BCA" w:rsidRDefault="00990F61" w:rsidP="001F0E22">
      <w:pPr>
        <w:pStyle w:val="BodyText"/>
      </w:pPr>
      <w:r w:rsidRPr="00275BCA">
        <w:t>Cumulatively, the number of AIDS cases is increasing, which in 2009 with 19</w:t>
      </w:r>
      <w:r w:rsidR="00B779CF">
        <w:t> </w:t>
      </w:r>
      <w:r w:rsidRPr="00275BCA">
        <w:t>973 cases, more than doubled compared with 8194 cases in 2006.</w:t>
      </w:r>
    </w:p>
    <w:p w:rsidR="00990F61" w:rsidRPr="00275BCA" w:rsidRDefault="00990F61" w:rsidP="001F0E22">
      <w:pPr>
        <w:pStyle w:val="BodyText"/>
      </w:pPr>
      <w:r w:rsidRPr="00275BCA">
        <w:t xml:space="preserve">Only 20 </w:t>
      </w:r>
      <w:proofErr w:type="spellStart"/>
      <w:r w:rsidRPr="00275BCA">
        <w:t>percent</w:t>
      </w:r>
      <w:proofErr w:type="spellEnd"/>
      <w:r w:rsidRPr="00275BCA">
        <w:t xml:space="preserve"> of patients with symptomatic malaria seek treatment at public health facilities, making it difficult to estimate the actual malaria incidence among the population.</w:t>
      </w:r>
    </w:p>
    <w:p w:rsidR="00990F61" w:rsidRPr="00275BCA" w:rsidRDefault="00990F61" w:rsidP="001F0E22">
      <w:pPr>
        <w:pStyle w:val="BodyText"/>
      </w:pPr>
      <w:r w:rsidRPr="00275BCA">
        <w:t xml:space="preserve">The highest prevalence malaria rates are in eastern </w:t>
      </w:r>
      <w:smartTag w:uri="urn:schemas-microsoft-com:office:smarttags" w:element="country-region">
        <w:r w:rsidRPr="00275BCA">
          <w:t>Indonesia</w:t>
        </w:r>
      </w:smartTag>
      <w:r w:rsidRPr="00275BCA">
        <w:t xml:space="preserve">, the highest being </w:t>
      </w:r>
      <w:smartTag w:uri="urn:schemas-microsoft-com:office:smarttags" w:element="place">
        <w:r w:rsidRPr="00275BCA">
          <w:t>West Papua</w:t>
        </w:r>
      </w:smartTag>
      <w:r w:rsidRPr="00275BCA">
        <w:t xml:space="preserve"> (26.1 </w:t>
      </w:r>
      <w:proofErr w:type="spellStart"/>
      <w:r w:rsidRPr="00275BCA">
        <w:t>percent</w:t>
      </w:r>
      <w:proofErr w:type="spellEnd"/>
      <w:r w:rsidRPr="00275BCA">
        <w:t xml:space="preserve">), Papua (18.4 </w:t>
      </w:r>
      <w:proofErr w:type="spellStart"/>
      <w:r w:rsidRPr="00275BCA">
        <w:t>percent</w:t>
      </w:r>
      <w:proofErr w:type="spellEnd"/>
      <w:r w:rsidRPr="00275BCA">
        <w:t xml:space="preserve">) and Nusa Tenggara </w:t>
      </w:r>
      <w:proofErr w:type="spellStart"/>
      <w:r w:rsidRPr="00275BCA">
        <w:t>Timur</w:t>
      </w:r>
      <w:proofErr w:type="spellEnd"/>
      <w:r w:rsidRPr="00275BCA">
        <w:t xml:space="preserve"> (12.0 </w:t>
      </w:r>
      <w:proofErr w:type="spellStart"/>
      <w:r w:rsidRPr="00275BCA">
        <w:t>percent</w:t>
      </w:r>
      <w:proofErr w:type="spellEnd"/>
      <w:r w:rsidRPr="00275BCA">
        <w:t xml:space="preserve">). Provinces in Java and </w:t>
      </w:r>
      <w:smartTag w:uri="urn:schemas-microsoft-com:office:smarttags" w:element="place">
        <w:r w:rsidRPr="00275BCA">
          <w:t>Bali</w:t>
        </w:r>
      </w:smartTag>
      <w:r w:rsidRPr="00275BCA">
        <w:t xml:space="preserve"> have the lowest (clinical) prevalence, at around 0.5 </w:t>
      </w:r>
      <w:proofErr w:type="spellStart"/>
      <w:r w:rsidRPr="00275BCA">
        <w:t>percent</w:t>
      </w:r>
      <w:proofErr w:type="spellEnd"/>
      <w:r w:rsidRPr="00275BCA">
        <w:rPr>
          <w:rStyle w:val="FootnoteReference"/>
          <w:rFonts w:ascii="Arial" w:hAnsi="Arial" w:cs="Arial"/>
        </w:rPr>
        <w:footnoteReference w:id="34"/>
      </w:r>
      <w:r w:rsidRPr="00275BCA">
        <w:t xml:space="preserve">. </w:t>
      </w:r>
    </w:p>
    <w:p w:rsidR="00990F61" w:rsidRPr="00275BCA" w:rsidRDefault="00990F61" w:rsidP="001F0E22">
      <w:pPr>
        <w:pStyle w:val="BodyText"/>
      </w:pPr>
      <w:r w:rsidRPr="00275BCA">
        <w:t>Tuberculosis prevalence in 2009 was approximately 212 per 100</w:t>
      </w:r>
      <w:r w:rsidR="00B779CF">
        <w:t> </w:t>
      </w:r>
      <w:r w:rsidRPr="00275BCA">
        <w:t>000</w:t>
      </w:r>
      <w:r w:rsidRPr="00275BCA">
        <w:rPr>
          <w:rStyle w:val="FootnoteReference"/>
          <w:rFonts w:ascii="Arial" w:hAnsi="Arial" w:cs="Arial"/>
        </w:rPr>
        <w:footnoteReference w:id="35"/>
      </w:r>
      <w:r w:rsidRPr="00275BCA">
        <w:t xml:space="preserve"> which decreased from 443 per 100</w:t>
      </w:r>
      <w:r w:rsidR="00B779CF">
        <w:t> </w:t>
      </w:r>
      <w:r w:rsidRPr="00275BCA">
        <w:t xml:space="preserve">000 in 1990. The proportion of Tuberculosis cases successfully treated under </w:t>
      </w:r>
      <w:r w:rsidRPr="00275BCA">
        <w:lastRenderedPageBreak/>
        <w:t xml:space="preserve">directly observed treatment short course (DOTS) increased from 87 </w:t>
      </w:r>
      <w:proofErr w:type="spellStart"/>
      <w:r w:rsidRPr="00275BCA">
        <w:t>percent</w:t>
      </w:r>
      <w:proofErr w:type="spellEnd"/>
      <w:r w:rsidRPr="00275BCA">
        <w:t xml:space="preserve"> in 2000 to 91 </w:t>
      </w:r>
      <w:proofErr w:type="spellStart"/>
      <w:r w:rsidRPr="00275BCA">
        <w:t>percent</w:t>
      </w:r>
      <w:proofErr w:type="spellEnd"/>
      <w:r w:rsidRPr="00275BCA">
        <w:t xml:space="preserve"> in 2008</w:t>
      </w:r>
      <w:r w:rsidRPr="00275BCA">
        <w:rPr>
          <w:rStyle w:val="FootnoteReference"/>
          <w:rFonts w:ascii="Arial" w:hAnsi="Arial" w:cs="Arial"/>
        </w:rPr>
        <w:footnoteReference w:id="36"/>
      </w:r>
      <w:r w:rsidRPr="00275BCA">
        <w:t>.</w:t>
      </w:r>
    </w:p>
    <w:p w:rsidR="00990F61" w:rsidRPr="00275BCA" w:rsidRDefault="00990F61" w:rsidP="001E6579">
      <w:pPr>
        <w:pStyle w:val="H2C"/>
      </w:pPr>
      <w:bookmarkStart w:id="212" w:name="_Toc293050041"/>
      <w:r w:rsidRPr="00275BCA">
        <w:t>Goal 7: Ensure environmental sustainability</w:t>
      </w:r>
      <w:bookmarkEnd w:id="212"/>
    </w:p>
    <w:p w:rsidR="00990F61" w:rsidRPr="00275BCA" w:rsidRDefault="00990F61" w:rsidP="001F0E22">
      <w:pPr>
        <w:pStyle w:val="BodyText"/>
      </w:pPr>
      <w:smartTag w:uri="urn:schemas-microsoft-com:office:smarttags" w:element="place">
        <w:smartTag w:uri="urn:schemas-microsoft-com:office:smarttags" w:element="country-region">
          <w:r w:rsidRPr="00275BCA">
            <w:t>Indonesia</w:t>
          </w:r>
        </w:smartTag>
      </w:smartTag>
      <w:r w:rsidRPr="00275BCA">
        <w:t xml:space="preserve"> faces significant barriers to achieving the MDG for environment and climate change.  This is demonstrated through decreases in forest cover (from 60 </w:t>
      </w:r>
      <w:proofErr w:type="spellStart"/>
      <w:r w:rsidRPr="00275BCA">
        <w:t>percent</w:t>
      </w:r>
      <w:proofErr w:type="spellEnd"/>
      <w:r w:rsidRPr="00275BCA">
        <w:t xml:space="preserve"> in 1990 to 52.5 </w:t>
      </w:r>
      <w:proofErr w:type="spellStart"/>
      <w:r w:rsidRPr="00275BCA">
        <w:t>percent</w:t>
      </w:r>
      <w:proofErr w:type="spellEnd"/>
      <w:r w:rsidRPr="00275BCA">
        <w:t xml:space="preserve"> in 2008) and slowly increasing carbon dioxide emissions (1.77 per capita in 2007)</w:t>
      </w:r>
      <w:r w:rsidRPr="00275BCA">
        <w:rPr>
          <w:rStyle w:val="FootnoteReference"/>
          <w:rFonts w:ascii="Arial" w:hAnsi="Arial" w:cs="Arial"/>
        </w:rPr>
        <w:footnoteReference w:id="37"/>
      </w:r>
      <w:r w:rsidRPr="00275BCA">
        <w:t xml:space="preserve">. Although 47.7 </w:t>
      </w:r>
      <w:proofErr w:type="spellStart"/>
      <w:r w:rsidRPr="00275BCA">
        <w:t>percent</w:t>
      </w:r>
      <w:proofErr w:type="spellEnd"/>
      <w:r w:rsidRPr="00275BCA">
        <w:t xml:space="preserve"> of the population had access to improved water sources (2009), variations range from 42.9 </w:t>
      </w:r>
      <w:proofErr w:type="spellStart"/>
      <w:r w:rsidRPr="00275BCA">
        <w:t>percent</w:t>
      </w:r>
      <w:proofErr w:type="spellEnd"/>
      <w:r w:rsidRPr="00275BCA">
        <w:t xml:space="preserve"> in West Sulawesi to 34.8 </w:t>
      </w:r>
      <w:proofErr w:type="spellStart"/>
      <w:r w:rsidRPr="00275BCA">
        <w:t>percent</w:t>
      </w:r>
      <w:proofErr w:type="spellEnd"/>
      <w:r w:rsidRPr="00275BCA">
        <w:t xml:space="preserve"> in </w:t>
      </w:r>
      <w:smartTag w:uri="urn:schemas-microsoft-com:office:smarttags" w:element="place">
        <w:smartTag w:uri="urn:schemas-microsoft-com:office:smarttags" w:element="City">
          <w:r w:rsidRPr="00275BCA">
            <w:t>Jakarta</w:t>
          </w:r>
        </w:smartTag>
      </w:smartTag>
      <w:r w:rsidRPr="00275BCA">
        <w:t xml:space="preserve">. The percentage of households with access to improved sanitation facilities has doubled since 1993, but in 2009 only 51.2 </w:t>
      </w:r>
      <w:proofErr w:type="spellStart"/>
      <w:r w:rsidRPr="00275BCA">
        <w:t>percent</w:t>
      </w:r>
      <w:proofErr w:type="spellEnd"/>
      <w:r w:rsidRPr="00275BCA">
        <w:t xml:space="preserve"> of the national population had access to improved sanitation, while the MDG target for access to basic sanitation is 62.4 </w:t>
      </w:r>
      <w:proofErr w:type="spellStart"/>
      <w:r w:rsidRPr="00275BCA">
        <w:t>percent</w:t>
      </w:r>
      <w:proofErr w:type="spellEnd"/>
      <w:r w:rsidRPr="00275BCA">
        <w:t xml:space="preserve"> of the population by 2015</w:t>
      </w:r>
      <w:r w:rsidRPr="00275BCA">
        <w:rPr>
          <w:rStyle w:val="FootnoteReference"/>
          <w:rFonts w:ascii="Arial" w:hAnsi="Arial" w:cs="Arial"/>
        </w:rPr>
        <w:footnoteReference w:id="38"/>
      </w:r>
      <w:r w:rsidRPr="00275BCA">
        <w:t>.</w:t>
      </w:r>
    </w:p>
    <w:p w:rsidR="00990F61" w:rsidRPr="00275BCA" w:rsidRDefault="00990F61" w:rsidP="001E6579">
      <w:pPr>
        <w:pStyle w:val="H2C"/>
      </w:pPr>
      <w:bookmarkStart w:id="213" w:name="_Toc293050042"/>
      <w:r w:rsidRPr="00275BCA">
        <w:t>Goal 8: Develop a global partnership for development</w:t>
      </w:r>
      <w:bookmarkEnd w:id="213"/>
    </w:p>
    <w:p w:rsidR="00990F61" w:rsidRPr="0010649D" w:rsidRDefault="00990F61" w:rsidP="0010649D">
      <w:pPr>
        <w:pStyle w:val="BodyText"/>
      </w:pPr>
      <w:r w:rsidRPr="0010649D">
        <w:t xml:space="preserve">Development funding, in the form of foreign loans and grants, has been available to </w:t>
      </w:r>
      <w:smartTag w:uri="urn:schemas-microsoft-com:office:smarttags" w:element="place">
        <w:smartTag w:uri="urn:schemas-microsoft-com:office:smarttags" w:element="country-region">
          <w:r w:rsidRPr="0010649D">
            <w:t>Indonesia</w:t>
          </w:r>
        </w:smartTag>
      </w:smartTag>
      <w:r w:rsidRPr="0010649D">
        <w:t xml:space="preserve"> since the 1960s.  The Indonesian economy recovered from the economic crisis of 1997-98 and dependence on external funding has declined significantly since then, demonstrated by the decreasing rate of international debt to GDP (at 39.5 </w:t>
      </w:r>
      <w:proofErr w:type="spellStart"/>
      <w:r w:rsidRPr="0010649D">
        <w:t>percent</w:t>
      </w:r>
      <w:proofErr w:type="spellEnd"/>
      <w:r w:rsidRPr="0010649D">
        <w:t xml:space="preserve"> in 2009 from 41.6 </w:t>
      </w:r>
      <w:proofErr w:type="spellStart"/>
      <w:r w:rsidRPr="0010649D">
        <w:t>percent</w:t>
      </w:r>
      <w:proofErr w:type="spellEnd"/>
      <w:r w:rsidRPr="0010649D">
        <w:t xml:space="preserve"> in 1990).  Management of foreign debt could be significantly improved, including through the development of a strategy and regulations on borrowing.  On trade, </w:t>
      </w:r>
      <w:smartTag w:uri="urn:schemas-microsoft-com:office:smarttags" w:element="place">
        <w:smartTag w:uri="urn:schemas-microsoft-com:office:smarttags" w:element="country-region">
          <w:r w:rsidRPr="0010649D">
            <w:t>Indonesia</w:t>
          </w:r>
        </w:smartTag>
      </w:smartTag>
      <w:r w:rsidRPr="0010649D">
        <w:t xml:space="preserve"> has implemented a number of internal bureaucratic reforms and adopted several new policies aimed at promoting a more open, rules based trading system. </w:t>
      </w:r>
    </w:p>
    <w:p w:rsidR="00990F61" w:rsidRPr="001F0E22" w:rsidRDefault="00990F61" w:rsidP="001F0E22">
      <w:pPr>
        <w:pStyle w:val="BodyText"/>
      </w:pPr>
      <w:r w:rsidRPr="001F0E22">
        <w:t xml:space="preserve">On 2 November 2010, President of the </w:t>
      </w:r>
      <w:smartTag w:uri="urn:schemas-microsoft-com:office:smarttags" w:element="place">
        <w:smartTag w:uri="urn:schemas-microsoft-com:office:smarttags" w:element="PlaceType">
          <w:r w:rsidRPr="001F0E22">
            <w:t>Republic</w:t>
          </w:r>
        </w:smartTag>
        <w:r w:rsidRPr="001F0E22">
          <w:t xml:space="preserve"> of </w:t>
        </w:r>
        <w:smartTag w:uri="urn:schemas-microsoft-com:office:smarttags" w:element="PlaceName">
          <w:r w:rsidRPr="001F0E22">
            <w:t xml:space="preserve">Indonesia </w:t>
          </w:r>
          <w:proofErr w:type="spellStart"/>
          <w:r w:rsidRPr="001F0E22">
            <w:t>Susilo</w:t>
          </w:r>
          <w:proofErr w:type="spellEnd"/>
          <w:r w:rsidRPr="001F0E22">
            <w:t xml:space="preserve"> </w:t>
          </w:r>
          <w:proofErr w:type="spellStart"/>
          <w:r w:rsidRPr="001F0E22">
            <w:t>Bambang</w:t>
          </w:r>
          <w:proofErr w:type="spellEnd"/>
          <w:r w:rsidRPr="001F0E22">
            <w:t xml:space="preserve"> </w:t>
          </w:r>
          <w:proofErr w:type="spellStart"/>
          <w:r w:rsidRPr="001F0E22">
            <w:t>Yudhoyono</w:t>
          </w:r>
        </w:smartTag>
      </w:smartTag>
      <w:proofErr w:type="spellEnd"/>
      <w:r w:rsidRPr="001F0E22">
        <w:t xml:space="preserve"> and the Prime Minister of Australia Julia Gillard agreed to commence negotiation of an Indonesia-Australia Comprehensive Economic Partnership Agreement (IA-CEPA). A comprehensive economic partnership covering economic cooperation, trade and investment issues would contribute to building a higher-level and mutually beneficial economic partnership between </w:t>
      </w:r>
      <w:smartTag w:uri="urn:schemas-microsoft-com:office:smarttags" w:element="country-region">
        <w:r w:rsidRPr="001F0E22">
          <w:t>Indonesia</w:t>
        </w:r>
      </w:smartTag>
      <w:r w:rsidRPr="001F0E22">
        <w:t xml:space="preserve"> and </w:t>
      </w:r>
      <w:smartTag w:uri="urn:schemas-microsoft-com:office:smarttags" w:element="place">
        <w:smartTag w:uri="urn:schemas-microsoft-com:office:smarttags" w:element="country-region">
          <w:r w:rsidRPr="001F0E22">
            <w:t>Australia</w:t>
          </w:r>
        </w:smartTag>
      </w:smartTag>
      <w:r w:rsidRPr="001F0E22">
        <w:t xml:space="preserve">. </w:t>
      </w:r>
    </w:p>
    <w:p w:rsidR="00990F61" w:rsidRDefault="00990F61" w:rsidP="00990F61">
      <w:pPr>
        <w:pStyle w:val="Heading1"/>
        <w:numPr>
          <w:ilvl w:val="0"/>
          <w:numId w:val="0"/>
        </w:numPr>
      </w:pPr>
      <w:r>
        <w:br w:type="page"/>
      </w:r>
      <w:bookmarkStart w:id="214" w:name="_Toc293050043"/>
      <w:bookmarkStart w:id="215" w:name="_Toc300905117"/>
      <w:bookmarkStart w:id="216" w:name="_Toc360981913"/>
      <w:r>
        <w:lastRenderedPageBreak/>
        <w:t>Annex 2: Basis for ratings against sub-sector outcomes</w:t>
      </w:r>
      <w:bookmarkEnd w:id="214"/>
      <w:bookmarkEnd w:id="215"/>
      <w:bookmarkEnd w:id="216"/>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20"/>
        <w:gridCol w:w="5080"/>
      </w:tblGrid>
      <w:tr w:rsidR="004E4E1D" w:rsidRPr="00145685" w:rsidTr="001E6579">
        <w:trPr>
          <w:cantSplit/>
          <w:trHeight w:val="867"/>
        </w:trPr>
        <w:tc>
          <w:tcPr>
            <w:tcW w:w="2700" w:type="dxa"/>
            <w:vAlign w:val="center"/>
          </w:tcPr>
          <w:p w:rsidR="004E4E1D" w:rsidRPr="007D0C80" w:rsidRDefault="004E4E1D" w:rsidP="00AD6134">
            <w:pPr>
              <w:pStyle w:val="TableDataColumnHeading"/>
            </w:pPr>
            <w:r w:rsidRPr="007D0C80">
              <w:t xml:space="preserve">Progress towards </w:t>
            </w:r>
            <w:r>
              <w:t>sub-sector outcomes</w:t>
            </w:r>
          </w:p>
        </w:tc>
        <w:tc>
          <w:tcPr>
            <w:tcW w:w="720" w:type="dxa"/>
            <w:vAlign w:val="center"/>
          </w:tcPr>
          <w:p w:rsidR="004E4E1D" w:rsidRPr="00145685" w:rsidRDefault="004E4E1D" w:rsidP="00145685">
            <w:pPr>
              <w:jc w:val="center"/>
              <w:rPr>
                <w:rFonts w:ascii="Arial" w:hAnsi="Arial" w:cs="Arial"/>
                <w:b/>
                <w:szCs w:val="20"/>
              </w:rPr>
            </w:pPr>
            <w:r w:rsidRPr="00145685">
              <w:rPr>
                <w:rFonts w:ascii="Calibri" w:hAnsi="Calibri"/>
                <w:b/>
                <w:bCs/>
                <w:noProof/>
                <w:sz w:val="22"/>
                <w:szCs w:val="22"/>
                <w:lang w:val="en-US" w:eastAsia="en-US"/>
              </w:rPr>
              <w:drawing>
                <wp:inline distT="0" distB="0" distL="0" distR="0" wp14:anchorId="1088C27F" wp14:editId="699A2A4C">
                  <wp:extent cx="333375" cy="457200"/>
                  <wp:effectExtent l="0" t="0" r="9525" b="0"/>
                  <wp:docPr id="4" name="Picture 4" descr="MCTN0070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TN00704_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p>
        </w:tc>
        <w:tc>
          <w:tcPr>
            <w:tcW w:w="5080" w:type="dxa"/>
            <w:vAlign w:val="center"/>
          </w:tcPr>
          <w:p w:rsidR="004E4E1D" w:rsidRPr="007D0C80" w:rsidRDefault="004E4E1D" w:rsidP="00635368">
            <w:pPr>
              <w:pStyle w:val="TableDataColumnHeading"/>
            </w:pPr>
            <w:r w:rsidRPr="007D0C80">
              <w:t xml:space="preserve">The extent to which </w:t>
            </w:r>
            <w:r>
              <w:t>sub-sector</w:t>
            </w:r>
            <w:r w:rsidRPr="007D0C80">
              <w:t xml:space="preserve"> outcomes are likely to be achieved by the end of the </w:t>
            </w:r>
            <w:r>
              <w:t>Australia Indonesia Partnership Country Strategy</w:t>
            </w:r>
            <w:r w:rsidRPr="007D0C80">
              <w:t xml:space="preserve"> 2008-13 (in reference to indicators)</w:t>
            </w:r>
          </w:p>
        </w:tc>
      </w:tr>
      <w:tr w:rsidR="004E4E1D" w:rsidRPr="00145685" w:rsidTr="001E6579">
        <w:trPr>
          <w:cantSplit/>
          <w:trHeight w:val="795"/>
        </w:trPr>
        <w:tc>
          <w:tcPr>
            <w:tcW w:w="2700" w:type="dxa"/>
            <w:vAlign w:val="center"/>
          </w:tcPr>
          <w:p w:rsidR="004E4E1D" w:rsidRPr="00EF1CE1" w:rsidRDefault="004E4E1D" w:rsidP="00635368">
            <w:pPr>
              <w:pStyle w:val="TableDataEntries"/>
            </w:pPr>
            <w:r w:rsidRPr="00EF1CE1">
              <w:t>On track</w:t>
            </w:r>
          </w:p>
        </w:tc>
        <w:tc>
          <w:tcPr>
            <w:tcW w:w="720" w:type="dxa"/>
            <w:shd w:val="clear" w:color="auto" w:fill="00FF00"/>
            <w:vAlign w:val="center"/>
          </w:tcPr>
          <w:p w:rsidR="004E4E1D" w:rsidRPr="00145685" w:rsidRDefault="004E4E1D" w:rsidP="00145685">
            <w:pPr>
              <w:jc w:val="center"/>
              <w:rPr>
                <w:rFonts w:ascii="Arial" w:hAnsi="Arial" w:cs="Arial"/>
                <w:szCs w:val="20"/>
              </w:rPr>
            </w:pPr>
            <w:bookmarkStart w:id="217" w:name="_GoBack"/>
            <w:bookmarkEnd w:id="217"/>
          </w:p>
        </w:tc>
        <w:tc>
          <w:tcPr>
            <w:tcW w:w="5080" w:type="dxa"/>
            <w:vAlign w:val="center"/>
          </w:tcPr>
          <w:p w:rsidR="004E4E1D" w:rsidRPr="007D0C80" w:rsidRDefault="004E4E1D" w:rsidP="00635368">
            <w:pPr>
              <w:pStyle w:val="TableDataEntries"/>
            </w:pPr>
            <w:r w:rsidRPr="007D0C80">
              <w:t xml:space="preserve">A high proportion of the </w:t>
            </w:r>
            <w:r>
              <w:t xml:space="preserve">sub-sector </w:t>
            </w:r>
            <w:r w:rsidRPr="007D0C80">
              <w:t>outcome indicators have been achieved or are judged as likely to be achieved (based on current trajectory) by the end of the Strategy period</w:t>
            </w:r>
          </w:p>
        </w:tc>
      </w:tr>
      <w:tr w:rsidR="004E4E1D" w:rsidRPr="00145685" w:rsidTr="001E6579">
        <w:trPr>
          <w:cantSplit/>
          <w:trHeight w:val="626"/>
        </w:trPr>
        <w:tc>
          <w:tcPr>
            <w:tcW w:w="2700" w:type="dxa"/>
            <w:vAlign w:val="center"/>
          </w:tcPr>
          <w:p w:rsidR="004E4E1D" w:rsidRPr="00EF1CE1" w:rsidRDefault="004E4E1D" w:rsidP="00635368">
            <w:pPr>
              <w:pStyle w:val="TableDataEntries"/>
            </w:pPr>
            <w:r w:rsidRPr="00EF1CE1">
              <w:t>Partially off track</w:t>
            </w:r>
          </w:p>
        </w:tc>
        <w:tc>
          <w:tcPr>
            <w:tcW w:w="720" w:type="dxa"/>
            <w:shd w:val="clear" w:color="auto" w:fill="FFCC00"/>
            <w:vAlign w:val="center"/>
          </w:tcPr>
          <w:p w:rsidR="004E4E1D" w:rsidRPr="00145685" w:rsidRDefault="004E4E1D" w:rsidP="00145685">
            <w:pPr>
              <w:jc w:val="center"/>
              <w:rPr>
                <w:rFonts w:ascii="Arial" w:hAnsi="Arial" w:cs="Arial"/>
                <w:szCs w:val="20"/>
              </w:rPr>
            </w:pPr>
          </w:p>
        </w:tc>
        <w:tc>
          <w:tcPr>
            <w:tcW w:w="5080" w:type="dxa"/>
            <w:vAlign w:val="center"/>
          </w:tcPr>
          <w:p w:rsidR="004E4E1D" w:rsidRPr="007D0C80" w:rsidRDefault="004E4E1D" w:rsidP="00635368">
            <w:pPr>
              <w:pStyle w:val="TableDataEntries"/>
            </w:pPr>
            <w:r w:rsidRPr="007D0C80">
              <w:t xml:space="preserve">At least half of the </w:t>
            </w:r>
            <w:r>
              <w:t xml:space="preserve">sub-sector </w:t>
            </w:r>
            <w:r w:rsidRPr="007D0C80">
              <w:t>outcome indicators have been achieved or are likely to be achieved by the end of the Strategy period</w:t>
            </w:r>
          </w:p>
        </w:tc>
      </w:tr>
      <w:tr w:rsidR="004E4E1D" w:rsidRPr="00145685" w:rsidTr="001E6579">
        <w:trPr>
          <w:cantSplit/>
          <w:trHeight w:val="795"/>
        </w:trPr>
        <w:tc>
          <w:tcPr>
            <w:tcW w:w="2700" w:type="dxa"/>
            <w:vAlign w:val="center"/>
          </w:tcPr>
          <w:p w:rsidR="004E4E1D" w:rsidRPr="00EF1CE1" w:rsidRDefault="004E4E1D" w:rsidP="00635368">
            <w:pPr>
              <w:pStyle w:val="TableDataEntries"/>
            </w:pPr>
            <w:r w:rsidRPr="00EF1CE1">
              <w:t>Significantly off track</w:t>
            </w:r>
          </w:p>
        </w:tc>
        <w:tc>
          <w:tcPr>
            <w:tcW w:w="720" w:type="dxa"/>
            <w:shd w:val="clear" w:color="auto" w:fill="FF0000"/>
            <w:vAlign w:val="center"/>
          </w:tcPr>
          <w:p w:rsidR="004E4E1D" w:rsidRPr="00145685" w:rsidRDefault="004E4E1D" w:rsidP="00145685">
            <w:pPr>
              <w:jc w:val="center"/>
              <w:rPr>
                <w:rFonts w:ascii="Arial" w:hAnsi="Arial" w:cs="Arial"/>
                <w:szCs w:val="20"/>
                <w:rtl/>
                <w:lang w:bidi="ar-SY"/>
              </w:rPr>
            </w:pPr>
          </w:p>
        </w:tc>
        <w:tc>
          <w:tcPr>
            <w:tcW w:w="5080" w:type="dxa"/>
            <w:vAlign w:val="center"/>
          </w:tcPr>
          <w:p w:rsidR="004E4E1D" w:rsidRPr="007D0C80" w:rsidRDefault="004E4E1D" w:rsidP="00635368">
            <w:pPr>
              <w:pStyle w:val="TableDataEntries"/>
            </w:pPr>
            <w:r w:rsidRPr="007D0C80">
              <w:t xml:space="preserve">A small proportion of the </w:t>
            </w:r>
            <w:r>
              <w:t xml:space="preserve">sub-sector </w:t>
            </w:r>
            <w:r w:rsidRPr="007D0C80">
              <w:t>outcome indicators have been achieved or are likely to be achieved by the end of the Strategy period</w:t>
            </w:r>
          </w:p>
        </w:tc>
      </w:tr>
      <w:tr w:rsidR="004E4E1D" w:rsidRPr="00145685" w:rsidTr="001E6579">
        <w:trPr>
          <w:cantSplit/>
          <w:trHeight w:val="625"/>
        </w:trPr>
        <w:tc>
          <w:tcPr>
            <w:tcW w:w="2700" w:type="dxa"/>
            <w:vAlign w:val="center"/>
          </w:tcPr>
          <w:p w:rsidR="004E4E1D" w:rsidRPr="00EF1CE1" w:rsidRDefault="004E4E1D" w:rsidP="00635368">
            <w:pPr>
              <w:pStyle w:val="TableDataEntries"/>
            </w:pPr>
            <w:r w:rsidRPr="00EF1CE1">
              <w:t>Unable to make a judgement</w:t>
            </w:r>
          </w:p>
        </w:tc>
        <w:tc>
          <w:tcPr>
            <w:tcW w:w="720" w:type="dxa"/>
            <w:vAlign w:val="center"/>
          </w:tcPr>
          <w:p w:rsidR="004E4E1D" w:rsidRPr="00145685" w:rsidRDefault="004E4E1D" w:rsidP="00145685">
            <w:pPr>
              <w:jc w:val="center"/>
              <w:rPr>
                <w:rFonts w:ascii="Arial" w:hAnsi="Arial" w:cs="Arial"/>
                <w:szCs w:val="20"/>
              </w:rPr>
            </w:pPr>
            <w:r w:rsidRPr="00145685">
              <w:rPr>
                <w:rFonts w:ascii="Arial" w:hAnsi="Arial" w:cs="Arial"/>
                <w:szCs w:val="20"/>
              </w:rPr>
              <w:t>-</w:t>
            </w:r>
          </w:p>
        </w:tc>
        <w:tc>
          <w:tcPr>
            <w:tcW w:w="5080" w:type="dxa"/>
            <w:vAlign w:val="center"/>
          </w:tcPr>
          <w:p w:rsidR="004E4E1D" w:rsidRPr="007D0C80" w:rsidRDefault="004E4E1D" w:rsidP="00635368">
            <w:pPr>
              <w:pStyle w:val="TableDataEntries"/>
            </w:pPr>
            <w:r w:rsidRPr="007D0C80">
              <w:t>There are inadequate data and/ or no firm indicators available.</w:t>
            </w:r>
          </w:p>
        </w:tc>
      </w:tr>
    </w:tbl>
    <w:p w:rsidR="00187525" w:rsidRPr="00187525" w:rsidRDefault="00990F61" w:rsidP="00303DF9">
      <w:pPr>
        <w:pStyle w:val="Heading1"/>
        <w:numPr>
          <w:ilvl w:val="0"/>
          <w:numId w:val="0"/>
        </w:numPr>
      </w:pPr>
      <w:bookmarkStart w:id="218" w:name="_Toc293050044"/>
      <w:bookmarkStart w:id="219" w:name="_Toc300905118"/>
      <w:bookmarkStart w:id="220" w:name="_Toc360981914"/>
      <w:r>
        <w:t>Annex 3: Quality at Implementation – Indonesia (2010-11)</w:t>
      </w:r>
      <w:bookmarkEnd w:id="218"/>
      <w:bookmarkEnd w:id="219"/>
      <w:bookmarkEnd w:id="220"/>
    </w:p>
    <w:tbl>
      <w:tblPr>
        <w:tblW w:w="9614" w:type="dxa"/>
        <w:tblInd w:w="93" w:type="dxa"/>
        <w:tblLayout w:type="fixed"/>
        <w:tblCellMar>
          <w:top w:w="28" w:type="dxa"/>
          <w:left w:w="28" w:type="dxa"/>
          <w:bottom w:w="28" w:type="dxa"/>
          <w:right w:w="57" w:type="dxa"/>
        </w:tblCellMar>
        <w:tblLook w:val="0000" w:firstRow="0" w:lastRow="0" w:firstColumn="0" w:lastColumn="0" w:noHBand="0" w:noVBand="0"/>
      </w:tblPr>
      <w:tblGrid>
        <w:gridCol w:w="302"/>
        <w:gridCol w:w="649"/>
        <w:gridCol w:w="3418"/>
        <w:gridCol w:w="1445"/>
        <w:gridCol w:w="624"/>
        <w:gridCol w:w="9"/>
        <w:gridCol w:w="615"/>
        <w:gridCol w:w="18"/>
        <w:gridCol w:w="606"/>
        <w:gridCol w:w="28"/>
        <w:gridCol w:w="596"/>
        <w:gridCol w:w="37"/>
        <w:gridCol w:w="587"/>
        <w:gridCol w:w="46"/>
        <w:gridCol w:w="634"/>
      </w:tblGrid>
      <w:tr w:rsidR="00187525" w:rsidRPr="00D541CE" w:rsidTr="001E6579">
        <w:trPr>
          <w:trHeight w:val="1106"/>
          <w:tblHeader/>
        </w:trPr>
        <w:tc>
          <w:tcPr>
            <w:tcW w:w="302" w:type="dxa"/>
            <w:tcBorders>
              <w:top w:val="single" w:sz="4" w:space="0" w:color="auto"/>
              <w:left w:val="single" w:sz="4" w:space="0" w:color="auto"/>
              <w:bottom w:val="single" w:sz="4" w:space="0" w:color="auto"/>
              <w:right w:val="single" w:sz="4" w:space="0" w:color="auto"/>
            </w:tcBorders>
            <w:shd w:val="clear" w:color="auto" w:fill="F5F1CC"/>
            <w:vAlign w:val="center"/>
          </w:tcPr>
          <w:p w:rsidR="00187525" w:rsidRPr="00811D56" w:rsidRDefault="00187525" w:rsidP="00187525">
            <w:pPr>
              <w:pStyle w:val="TableDataColumnHeading"/>
              <w:jc w:val="center"/>
              <w:rPr>
                <w:rFonts w:ascii="Franklin Gothic Book" w:hAnsi="Franklin Gothic Book"/>
                <w:b/>
              </w:rPr>
            </w:pPr>
            <w:r w:rsidRPr="00811D56">
              <w:rPr>
                <w:rFonts w:ascii="Franklin Gothic Book" w:hAnsi="Franklin Gothic Book"/>
                <w:b/>
              </w:rPr>
              <w:t>No</w:t>
            </w:r>
          </w:p>
        </w:tc>
        <w:tc>
          <w:tcPr>
            <w:tcW w:w="4067" w:type="dxa"/>
            <w:gridSpan w:val="2"/>
            <w:tcBorders>
              <w:top w:val="single" w:sz="4" w:space="0" w:color="auto"/>
              <w:left w:val="single" w:sz="4" w:space="0" w:color="auto"/>
              <w:bottom w:val="single" w:sz="4" w:space="0" w:color="auto"/>
              <w:right w:val="single" w:sz="4" w:space="0" w:color="auto"/>
            </w:tcBorders>
            <w:shd w:val="clear" w:color="auto" w:fill="F5F1CC"/>
            <w:vAlign w:val="center"/>
          </w:tcPr>
          <w:p w:rsidR="00187525" w:rsidRPr="00811D56" w:rsidRDefault="00187525" w:rsidP="00187525">
            <w:pPr>
              <w:pStyle w:val="TableDataColumnHeading"/>
              <w:jc w:val="center"/>
              <w:rPr>
                <w:rFonts w:ascii="Franklin Gothic Book" w:hAnsi="Franklin Gothic Book"/>
                <w:b/>
              </w:rPr>
            </w:pPr>
            <w:r w:rsidRPr="00811D56">
              <w:rPr>
                <w:rFonts w:ascii="Franklin Gothic Book" w:hAnsi="Franklin Gothic Book"/>
                <w:b/>
              </w:rPr>
              <w:t>Initiative</w:t>
            </w:r>
          </w:p>
        </w:tc>
        <w:tc>
          <w:tcPr>
            <w:tcW w:w="1445" w:type="dxa"/>
            <w:tcBorders>
              <w:top w:val="single" w:sz="4" w:space="0" w:color="auto"/>
              <w:left w:val="single" w:sz="4" w:space="0" w:color="auto"/>
              <w:bottom w:val="single" w:sz="4" w:space="0" w:color="auto"/>
              <w:right w:val="single" w:sz="4" w:space="0" w:color="auto"/>
            </w:tcBorders>
            <w:shd w:val="clear" w:color="auto" w:fill="F5F1CC"/>
            <w:vAlign w:val="center"/>
          </w:tcPr>
          <w:p w:rsidR="00187525" w:rsidRPr="00811D56" w:rsidRDefault="00187525" w:rsidP="00187525">
            <w:pPr>
              <w:pStyle w:val="TableDataColumnHeading"/>
              <w:jc w:val="center"/>
              <w:rPr>
                <w:rFonts w:ascii="Franklin Gothic Book" w:hAnsi="Franklin Gothic Book"/>
                <w:b/>
              </w:rPr>
            </w:pPr>
            <w:r w:rsidRPr="00811D56">
              <w:rPr>
                <w:rFonts w:ascii="Franklin Gothic Book" w:hAnsi="Franklin Gothic Book"/>
                <w:b/>
              </w:rPr>
              <w:t>Approved</w:t>
            </w:r>
          </w:p>
          <w:p w:rsidR="00187525" w:rsidRPr="00811D56" w:rsidRDefault="00187525" w:rsidP="00187525">
            <w:pPr>
              <w:pStyle w:val="TableDataColumnHeading"/>
              <w:jc w:val="center"/>
              <w:rPr>
                <w:rFonts w:ascii="Franklin Gothic Book" w:hAnsi="Franklin Gothic Book"/>
                <w:b/>
              </w:rPr>
            </w:pPr>
            <w:r w:rsidRPr="00811D56">
              <w:rPr>
                <w:rFonts w:ascii="Franklin Gothic Book" w:hAnsi="Franklin Gothic Book"/>
                <w:b/>
              </w:rPr>
              <w:t>FMA Reg.9</w:t>
            </w:r>
          </w:p>
          <w:p w:rsidR="00187525" w:rsidRPr="00811D56" w:rsidRDefault="00187525" w:rsidP="00187525">
            <w:pPr>
              <w:pStyle w:val="TableDataColumnHeading"/>
              <w:jc w:val="center"/>
              <w:rPr>
                <w:rFonts w:ascii="Franklin Gothic Book" w:hAnsi="Franklin Gothic Book"/>
                <w:b/>
              </w:rPr>
            </w:pPr>
            <w:r w:rsidRPr="00811D56">
              <w:rPr>
                <w:rFonts w:ascii="Franklin Gothic Book" w:hAnsi="Franklin Gothic Book"/>
                <w:b/>
              </w:rPr>
              <w:t>All Time</w:t>
            </w:r>
          </w:p>
        </w:tc>
        <w:tc>
          <w:tcPr>
            <w:tcW w:w="624" w:type="dxa"/>
            <w:tcBorders>
              <w:top w:val="single" w:sz="4" w:space="0" w:color="auto"/>
              <w:left w:val="single" w:sz="4" w:space="0" w:color="auto"/>
              <w:bottom w:val="single" w:sz="4" w:space="0" w:color="auto"/>
              <w:right w:val="single" w:sz="4" w:space="0" w:color="auto"/>
            </w:tcBorders>
            <w:shd w:val="clear" w:color="auto" w:fill="F5F1CC"/>
            <w:textDirection w:val="btLr"/>
            <w:vAlign w:val="center"/>
          </w:tcPr>
          <w:p w:rsidR="00187525" w:rsidRPr="00811D56" w:rsidRDefault="00187525" w:rsidP="00187525">
            <w:pPr>
              <w:pStyle w:val="TableDataColumnHeading"/>
              <w:jc w:val="center"/>
              <w:rPr>
                <w:rFonts w:ascii="Franklin Gothic Book" w:hAnsi="Franklin Gothic Book"/>
                <w:b/>
              </w:rPr>
            </w:pPr>
            <w:r w:rsidRPr="00811D56">
              <w:rPr>
                <w:rFonts w:ascii="Franklin Gothic Book" w:hAnsi="Franklin Gothic Book"/>
                <w:b/>
              </w:rPr>
              <w:t>Relevance</w:t>
            </w:r>
          </w:p>
        </w:tc>
        <w:tc>
          <w:tcPr>
            <w:tcW w:w="624" w:type="dxa"/>
            <w:gridSpan w:val="2"/>
            <w:tcBorders>
              <w:top w:val="single" w:sz="4" w:space="0" w:color="auto"/>
              <w:left w:val="single" w:sz="4" w:space="0" w:color="auto"/>
              <w:bottom w:val="single" w:sz="4" w:space="0" w:color="auto"/>
              <w:right w:val="single" w:sz="4" w:space="0" w:color="auto"/>
            </w:tcBorders>
            <w:shd w:val="clear" w:color="auto" w:fill="F5F1CC"/>
            <w:textDirection w:val="btLr"/>
            <w:vAlign w:val="center"/>
          </w:tcPr>
          <w:p w:rsidR="00187525" w:rsidRPr="00811D56" w:rsidRDefault="00187525" w:rsidP="00187525">
            <w:pPr>
              <w:pStyle w:val="TableDataColumnHeading"/>
              <w:spacing w:before="69" w:after="69"/>
              <w:jc w:val="center"/>
              <w:rPr>
                <w:rFonts w:ascii="Franklin Gothic Book" w:hAnsi="Franklin Gothic Book"/>
                <w:b/>
              </w:rPr>
            </w:pPr>
            <w:r w:rsidRPr="00811D56">
              <w:rPr>
                <w:rFonts w:ascii="Franklin Gothic Book" w:hAnsi="Franklin Gothic Book"/>
                <w:b/>
              </w:rPr>
              <w:t>Effectiveness</w:t>
            </w:r>
          </w:p>
        </w:tc>
        <w:tc>
          <w:tcPr>
            <w:tcW w:w="624" w:type="dxa"/>
            <w:gridSpan w:val="2"/>
            <w:tcBorders>
              <w:top w:val="single" w:sz="4" w:space="0" w:color="auto"/>
              <w:left w:val="single" w:sz="4" w:space="0" w:color="auto"/>
              <w:bottom w:val="single" w:sz="4" w:space="0" w:color="auto"/>
              <w:right w:val="single" w:sz="4" w:space="0" w:color="auto"/>
            </w:tcBorders>
            <w:shd w:val="clear" w:color="auto" w:fill="F5F1CC"/>
            <w:textDirection w:val="btLr"/>
            <w:vAlign w:val="center"/>
          </w:tcPr>
          <w:p w:rsidR="00187525" w:rsidRPr="00811D56" w:rsidRDefault="00187525" w:rsidP="00187525">
            <w:pPr>
              <w:pStyle w:val="TableDataColumnHeading"/>
              <w:spacing w:before="69" w:after="69"/>
              <w:jc w:val="center"/>
              <w:rPr>
                <w:rFonts w:ascii="Franklin Gothic Book" w:hAnsi="Franklin Gothic Book"/>
                <w:b/>
              </w:rPr>
            </w:pPr>
            <w:r w:rsidRPr="00811D56">
              <w:rPr>
                <w:rFonts w:ascii="Franklin Gothic Book" w:hAnsi="Franklin Gothic Book"/>
                <w:b/>
              </w:rPr>
              <w:t>Efficiency</w:t>
            </w:r>
          </w:p>
        </w:tc>
        <w:tc>
          <w:tcPr>
            <w:tcW w:w="624" w:type="dxa"/>
            <w:gridSpan w:val="2"/>
            <w:tcBorders>
              <w:top w:val="single" w:sz="4" w:space="0" w:color="auto"/>
              <w:left w:val="single" w:sz="4" w:space="0" w:color="auto"/>
              <w:bottom w:val="single" w:sz="4" w:space="0" w:color="auto"/>
              <w:right w:val="single" w:sz="4" w:space="0" w:color="auto"/>
            </w:tcBorders>
            <w:shd w:val="clear" w:color="auto" w:fill="F5F1CC"/>
            <w:textDirection w:val="btLr"/>
            <w:vAlign w:val="center"/>
          </w:tcPr>
          <w:p w:rsidR="00187525" w:rsidRPr="00811D56" w:rsidRDefault="00187525" w:rsidP="00187525">
            <w:pPr>
              <w:pStyle w:val="TableDataColumnHeading"/>
              <w:spacing w:before="69" w:after="69"/>
              <w:jc w:val="center"/>
              <w:rPr>
                <w:rFonts w:ascii="Franklin Gothic Book" w:hAnsi="Franklin Gothic Book"/>
                <w:b/>
              </w:rPr>
            </w:pPr>
            <w:r w:rsidRPr="00811D56">
              <w:rPr>
                <w:rFonts w:ascii="Franklin Gothic Book" w:hAnsi="Franklin Gothic Book"/>
                <w:b/>
              </w:rPr>
              <w:t>Monitoring &amp; Evaluation</w:t>
            </w:r>
          </w:p>
        </w:tc>
        <w:tc>
          <w:tcPr>
            <w:tcW w:w="624" w:type="dxa"/>
            <w:gridSpan w:val="2"/>
            <w:tcBorders>
              <w:top w:val="single" w:sz="4" w:space="0" w:color="auto"/>
              <w:left w:val="single" w:sz="4" w:space="0" w:color="auto"/>
              <w:bottom w:val="single" w:sz="4" w:space="0" w:color="auto"/>
              <w:right w:val="single" w:sz="4" w:space="0" w:color="auto"/>
            </w:tcBorders>
            <w:shd w:val="clear" w:color="auto" w:fill="F5F1CC"/>
            <w:textDirection w:val="btLr"/>
            <w:vAlign w:val="center"/>
          </w:tcPr>
          <w:p w:rsidR="00187525" w:rsidRPr="00811D56" w:rsidRDefault="00187525" w:rsidP="00187525">
            <w:pPr>
              <w:pStyle w:val="TableDataColumnHeading"/>
              <w:spacing w:before="69" w:after="69"/>
              <w:jc w:val="center"/>
              <w:rPr>
                <w:rFonts w:ascii="Franklin Gothic Book" w:hAnsi="Franklin Gothic Book"/>
                <w:b/>
              </w:rPr>
            </w:pPr>
            <w:r w:rsidRPr="00811D56">
              <w:rPr>
                <w:rFonts w:ascii="Franklin Gothic Book" w:hAnsi="Franklin Gothic Book"/>
                <w:b/>
              </w:rPr>
              <w:t>Sustainability</w:t>
            </w:r>
          </w:p>
        </w:tc>
        <w:tc>
          <w:tcPr>
            <w:tcW w:w="680" w:type="dxa"/>
            <w:gridSpan w:val="2"/>
            <w:tcBorders>
              <w:top w:val="single" w:sz="4" w:space="0" w:color="auto"/>
              <w:left w:val="single" w:sz="4" w:space="0" w:color="auto"/>
              <w:bottom w:val="single" w:sz="4" w:space="0" w:color="auto"/>
              <w:right w:val="single" w:sz="4" w:space="0" w:color="auto"/>
            </w:tcBorders>
            <w:shd w:val="clear" w:color="auto" w:fill="F5F1CC"/>
            <w:textDirection w:val="btLr"/>
            <w:vAlign w:val="center"/>
          </w:tcPr>
          <w:p w:rsidR="00187525" w:rsidRPr="00811D56" w:rsidRDefault="00187525" w:rsidP="00187525">
            <w:pPr>
              <w:pStyle w:val="TableDataColumnHeading"/>
              <w:spacing w:before="69" w:after="69"/>
              <w:jc w:val="center"/>
              <w:rPr>
                <w:rFonts w:ascii="Franklin Gothic Book" w:hAnsi="Franklin Gothic Book"/>
                <w:b/>
              </w:rPr>
            </w:pPr>
            <w:r w:rsidRPr="00811D56">
              <w:rPr>
                <w:rFonts w:ascii="Franklin Gothic Book" w:hAnsi="Franklin Gothic Book"/>
                <w:b/>
              </w:rPr>
              <w:t>Gender      Equality</w:t>
            </w:r>
          </w:p>
        </w:tc>
      </w:tr>
      <w:tr w:rsidR="00187525" w:rsidRPr="00D541CE" w:rsidTr="001E6579">
        <w:trPr>
          <w:cantSplit/>
          <w:trHeight w:val="70"/>
        </w:trPr>
        <w:tc>
          <w:tcPr>
            <w:tcW w:w="9614" w:type="dxa"/>
            <w:gridSpan w:val="15"/>
            <w:tcBorders>
              <w:top w:val="single" w:sz="4" w:space="0" w:color="auto"/>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Education, Scholarships, and Knowledge Sector</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ING529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Basic Education Program</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$90,568,089.68</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INJ648</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Australia</w:t>
                </w:r>
              </w:smartTag>
            </w:smartTag>
            <w:r w:rsidRPr="00D541CE">
              <w:rPr>
                <w:rFonts w:ascii="Franklin Gothic Book" w:hAnsi="Franklin Gothic Book" w:cs="Arial"/>
                <w:color w:val="003366"/>
                <w:sz w:val="17"/>
                <w:szCs w:val="17"/>
              </w:rPr>
              <w:t>'s Education Partnership</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$500,000,000.00</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E64AE9" w:rsidP="00187525">
            <w:pPr>
              <w:jc w:val="center"/>
              <w:rPr>
                <w:rFonts w:ascii="Franklin Gothic Book" w:hAnsi="Franklin Gothic Book" w:cs="Arial"/>
                <w:sz w:val="17"/>
                <w:szCs w:val="17"/>
              </w:rPr>
            </w:pPr>
            <w:r>
              <w:rPr>
                <w:rFonts w:ascii="Franklin Gothic Book" w:hAnsi="Franklin Gothic Book" w:cs="Arial"/>
                <w:sz w:val="17"/>
                <w:szCs w:val="17"/>
              </w:rPr>
              <w:t xml:space="preserve">Not yet requiring a </w:t>
            </w:r>
            <w:r w:rsidR="00187525" w:rsidRPr="00D541CE">
              <w:rPr>
                <w:rFonts w:ascii="Franklin Gothic Book" w:hAnsi="Franklin Gothic Book" w:cs="Arial"/>
                <w:sz w:val="17"/>
                <w:szCs w:val="17"/>
              </w:rPr>
              <w:t>QAI</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INF817</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LAPIS</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$35,632,998.97</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tabs>
                <w:tab w:val="num" w:pos="626"/>
              </w:tabs>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INH436</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Papua Education Sector Development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$6,939,760.86</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169"/>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5</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INH361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Aceh Education Sector Development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$8,465,541.40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93"/>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6</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INJ121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School Reconstruction in W. Sumatra and </w:t>
            </w:r>
            <w:smartTag w:uri="urn:schemas-microsoft-com:office:smarttags" w:element="place">
              <w:r w:rsidRPr="00D541CE">
                <w:rPr>
                  <w:rFonts w:ascii="Franklin Gothic Book" w:hAnsi="Franklin Gothic Book" w:cs="Arial"/>
                  <w:color w:val="003366"/>
                  <w:sz w:val="17"/>
                  <w:szCs w:val="17"/>
                </w:rPr>
                <w:t>W. Java</w:t>
              </w:r>
            </w:smartTag>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$16,360,438.66</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7</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INF867</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Kang Guru Indonesia (formerly known as KGRE)</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$4,385,565.01</w:t>
            </w:r>
          </w:p>
        </w:tc>
        <w:tc>
          <w:tcPr>
            <w:tcW w:w="624" w:type="dxa"/>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176"/>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8</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INH899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ADS In-Indonesia Management Program Phase III</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$19,937,633.52</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115"/>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9</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INI157</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ADS (In-Australia Cost)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$109,515,697.79</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bookmarkStart w:id="221" w:name="OLE_LINK3"/>
            <w:bookmarkStart w:id="222" w:name="OLE_LINK4"/>
            <w:r w:rsidRPr="00D541CE">
              <w:rPr>
                <w:rFonts w:ascii="Franklin Gothic Book" w:hAnsi="Franklin Gothic Book" w:cs="Arial"/>
                <w:color w:val="003366"/>
                <w:sz w:val="17"/>
                <w:szCs w:val="17"/>
              </w:rPr>
              <w:t>INJ247</w:t>
            </w:r>
            <w:bookmarkEnd w:id="221"/>
            <w:bookmarkEnd w:id="222"/>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Scholarships </w:t>
            </w:r>
            <w:smartTag w:uri="urn:schemas-microsoft-com:office:smarttags" w:element="place">
              <w:smartTag w:uri="urn:schemas-microsoft-com:office:smarttags" w:element="City">
                <w:r w:rsidRPr="00D541CE">
                  <w:rPr>
                    <w:rFonts w:ascii="Franklin Gothic Book" w:hAnsi="Franklin Gothic Book" w:cs="Arial"/>
                    <w:color w:val="003366"/>
                    <w:sz w:val="17"/>
                    <w:szCs w:val="17"/>
                  </w:rPr>
                  <w:t>Jakarta</w:t>
                </w:r>
              </w:smartTag>
            </w:smartTag>
            <w:r w:rsidRPr="00D541CE">
              <w:rPr>
                <w:rFonts w:ascii="Franklin Gothic Book" w:hAnsi="Franklin Gothic Book" w:cs="Arial"/>
                <w:color w:val="003366"/>
                <w:sz w:val="17"/>
                <w:szCs w:val="17"/>
              </w:rPr>
              <w:t xml:space="preserve"> ADS - Intake 2011</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$80,000,000.00</w:t>
            </w:r>
          </w:p>
        </w:tc>
        <w:tc>
          <w:tcPr>
            <w:tcW w:w="624" w:type="dxa"/>
            <w:tcBorders>
              <w:top w:val="single" w:sz="4" w:space="0" w:color="auto"/>
              <w:left w:val="single" w:sz="4" w:space="0" w:color="auto"/>
              <w:bottom w:val="single" w:sz="4" w:space="0" w:color="C0C0C0"/>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C0C0C0"/>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C0C0C0"/>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C0C0C0"/>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C0C0C0"/>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C0C0C0"/>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194"/>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INE114</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SMERU</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$8,609,558.39</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13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12</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INI787</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Revitalising </w:t>
            </w: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Indonesia</w:t>
                </w:r>
              </w:smartTag>
            </w:smartTag>
            <w:r w:rsidRPr="00D541CE">
              <w:rPr>
                <w:rFonts w:ascii="Franklin Gothic Book" w:hAnsi="Franklin Gothic Book" w:cs="Arial"/>
                <w:color w:val="003366"/>
                <w:sz w:val="17"/>
                <w:szCs w:val="17"/>
              </w:rPr>
              <w:t>’s Knowledge Sector</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$4,611,451.60</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E64AE9" w:rsidP="00187525">
            <w:pPr>
              <w:jc w:val="center"/>
              <w:rPr>
                <w:rFonts w:ascii="Franklin Gothic Book" w:hAnsi="Franklin Gothic Book" w:cs="Arial"/>
                <w:sz w:val="17"/>
                <w:szCs w:val="17"/>
              </w:rPr>
            </w:pPr>
            <w:r>
              <w:rPr>
                <w:rFonts w:ascii="Franklin Gothic Book" w:hAnsi="Franklin Gothic Book" w:cs="Arial"/>
                <w:sz w:val="17"/>
                <w:szCs w:val="17"/>
              </w:rPr>
              <w:t xml:space="preserve">Not yet requiring a </w:t>
            </w:r>
            <w:r w:rsidRPr="00D541CE">
              <w:rPr>
                <w:rFonts w:ascii="Franklin Gothic Book" w:hAnsi="Franklin Gothic Book" w:cs="Arial"/>
                <w:sz w:val="17"/>
                <w:szCs w:val="17"/>
              </w:rPr>
              <w:t>QAI</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Health</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13</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INH469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 for Health Systems Strengthening (AIP HSS)</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$10,385,202.57</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ING821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 MNH Program</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$48,595,435.45</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229"/>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15</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INH251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Australia-Indonesia Partnership for HIV</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$100,000,000.00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213"/>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16</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INH024</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Pandemic Influenza &amp; EID Prevention &amp; Preparedness</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$19,132,241.66</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17</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INJ509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 for Emerging Infectious Diseases Program</w:t>
            </w:r>
          </w:p>
        </w:tc>
        <w:tc>
          <w:tcPr>
            <w:tcW w:w="1445" w:type="dxa"/>
            <w:tcBorders>
              <w:top w:val="single" w:sz="4" w:space="0" w:color="auto"/>
              <w:left w:val="single" w:sz="4" w:space="0" w:color="auto"/>
              <w:bottom w:val="single" w:sz="4" w:space="0" w:color="auto"/>
              <w:right w:val="nil"/>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$22,000,000.00</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E64AE9" w:rsidP="00187525">
            <w:pPr>
              <w:jc w:val="center"/>
              <w:rPr>
                <w:rFonts w:ascii="Franklin Gothic Book" w:hAnsi="Franklin Gothic Book" w:cs="Arial"/>
                <w:sz w:val="17"/>
                <w:szCs w:val="17"/>
              </w:rPr>
            </w:pPr>
            <w:r>
              <w:rPr>
                <w:rFonts w:ascii="Franklin Gothic Book" w:hAnsi="Franklin Gothic Book" w:cs="Arial"/>
                <w:sz w:val="17"/>
                <w:szCs w:val="17"/>
              </w:rPr>
              <w:t xml:space="preserve">Not yet requiring a </w:t>
            </w:r>
            <w:r w:rsidRPr="00D541CE">
              <w:rPr>
                <w:rFonts w:ascii="Franklin Gothic Book" w:hAnsi="Franklin Gothic Book" w:cs="Arial"/>
                <w:sz w:val="17"/>
                <w:szCs w:val="17"/>
              </w:rPr>
              <w:t>QAI</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18</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INJ124</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Health Facilities Reconstruction in </w:t>
            </w:r>
            <w:smartTag w:uri="urn:schemas-microsoft-com:office:smarttags" w:element="place">
              <w:r w:rsidRPr="00D541CE">
                <w:rPr>
                  <w:rFonts w:ascii="Franklin Gothic Book" w:hAnsi="Franklin Gothic Book" w:cs="Arial"/>
                  <w:color w:val="003366"/>
                  <w:sz w:val="17"/>
                  <w:szCs w:val="17"/>
                </w:rPr>
                <w:t>West Sumatra</w:t>
              </w:r>
            </w:smartTag>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$5,000,000.00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Water and Sanitation</w:t>
            </w:r>
          </w:p>
        </w:tc>
      </w:tr>
      <w:tr w:rsidR="00187525" w:rsidRPr="00D541CE" w:rsidTr="001E6579">
        <w:trPr>
          <w:cantSplit/>
          <w:trHeight w:val="256"/>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lastRenderedPageBreak/>
              <w:t>19</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INE608</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WB WS&amp;S for Low Income Communit</w:t>
            </w:r>
            <w:r w:rsidR="005E1AC7">
              <w:rPr>
                <w:rFonts w:ascii="Franklin Gothic Book" w:hAnsi="Franklin Gothic Book" w:cs="Arial"/>
                <w:color w:val="003366"/>
                <w:sz w:val="17"/>
                <w:szCs w:val="17"/>
              </w:rPr>
              <w:t>i</w:t>
            </w:r>
            <w:r w:rsidRPr="00D541CE">
              <w:rPr>
                <w:rFonts w:ascii="Franklin Gothic Book" w:hAnsi="Franklin Gothic Book" w:cs="Arial"/>
                <w:color w:val="003366"/>
                <w:sz w:val="17"/>
                <w:szCs w:val="17"/>
              </w:rPr>
              <w:t xml:space="preserve">es </w:t>
            </w:r>
            <w:proofErr w:type="spellStart"/>
            <w:r w:rsidRPr="00D541CE">
              <w:rPr>
                <w:rFonts w:ascii="Franklin Gothic Book" w:hAnsi="Franklin Gothic Book" w:cs="Arial"/>
                <w:color w:val="003366"/>
                <w:sz w:val="17"/>
                <w:szCs w:val="17"/>
              </w:rPr>
              <w:t>Ph</w:t>
            </w:r>
            <w:proofErr w:type="spellEnd"/>
            <w:r w:rsidRPr="00D541CE">
              <w:rPr>
                <w:rFonts w:ascii="Franklin Gothic Book" w:hAnsi="Franklin Gothic Book" w:cs="Arial"/>
                <w:color w:val="003366"/>
                <w:sz w:val="17"/>
                <w:szCs w:val="17"/>
              </w:rPr>
              <w:t xml:space="preserve"> II</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$11,159,787.33</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227"/>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INI390</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WASPOLA Facility</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$10,100,078.20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271"/>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INI391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PAMSIMAS</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$32,513,068.74</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22</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INJ149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Water </w:t>
            </w:r>
            <w:proofErr w:type="spellStart"/>
            <w:r w:rsidRPr="00D541CE">
              <w:rPr>
                <w:rFonts w:ascii="Franklin Gothic Book" w:hAnsi="Franklin Gothic Book" w:cs="Arial"/>
                <w:color w:val="003366"/>
                <w:sz w:val="17"/>
                <w:szCs w:val="17"/>
              </w:rPr>
              <w:t>Hibah</w:t>
            </w:r>
            <w:proofErr w:type="spellEnd"/>
            <w:r w:rsidRPr="00D541CE">
              <w:rPr>
                <w:rFonts w:ascii="Franklin Gothic Book" w:hAnsi="Franklin Gothic Book" w:cs="Arial"/>
                <w:color w:val="003366"/>
                <w:sz w:val="17"/>
                <w:szCs w:val="17"/>
              </w:rPr>
              <w:t xml:space="preserve"> and Urban Sanitation Support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$25,500,000.00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235"/>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23</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INJ150</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Support for Sewerage Investment Plan</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$9,030,848.43</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Transport and Connectivity</w:t>
            </w:r>
          </w:p>
        </w:tc>
      </w:tr>
      <w:tr w:rsidR="00187525" w:rsidRPr="00D541CE" w:rsidTr="001E6579">
        <w:trPr>
          <w:cantSplit/>
          <w:trHeight w:val="115"/>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INH582</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Indonesia</w:t>
                </w:r>
              </w:smartTag>
            </w:smartTag>
            <w:r w:rsidRPr="00D541CE">
              <w:rPr>
                <w:rFonts w:ascii="Franklin Gothic Book" w:hAnsi="Franklin Gothic Book" w:cs="Arial"/>
                <w:color w:val="003366"/>
                <w:sz w:val="17"/>
                <w:szCs w:val="17"/>
              </w:rPr>
              <w:t xml:space="preserve"> Infrastructure Initiative (</w:t>
            </w:r>
            <w:proofErr w:type="spellStart"/>
            <w:r w:rsidRPr="00D541CE">
              <w:rPr>
                <w:rFonts w:ascii="Franklin Gothic Book" w:hAnsi="Franklin Gothic Book" w:cs="Arial"/>
                <w:color w:val="003366"/>
                <w:sz w:val="17"/>
                <w:szCs w:val="17"/>
              </w:rPr>
              <w:t>IndII</w:t>
            </w:r>
            <w:proofErr w:type="spellEnd"/>
            <w:r w:rsidRPr="00D541CE">
              <w:rPr>
                <w:rFonts w:ascii="Franklin Gothic Book" w:hAnsi="Franklin Gothic Book" w:cs="Arial"/>
                <w:color w:val="003366"/>
                <w:sz w:val="17"/>
                <w:szCs w:val="17"/>
              </w:rPr>
              <w: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$73,857,364.00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25</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ING406</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AIPRD: EINRIP - </w:t>
            </w:r>
            <w:proofErr w:type="spellStart"/>
            <w:r w:rsidRPr="00D541CE">
              <w:rPr>
                <w:rFonts w:ascii="Franklin Gothic Book" w:hAnsi="Franklin Gothic Book" w:cs="Arial"/>
                <w:color w:val="003366"/>
                <w:sz w:val="17"/>
                <w:szCs w:val="17"/>
              </w:rPr>
              <w:t>Impl</w:t>
            </w:r>
            <w:proofErr w:type="spellEnd"/>
            <w:r w:rsidRPr="00D541CE">
              <w:rPr>
                <w:rFonts w:ascii="Franklin Gothic Book" w:hAnsi="Franklin Gothic Book" w:cs="Arial"/>
                <w:color w:val="003366"/>
                <w:sz w:val="17"/>
                <w:szCs w:val="17"/>
              </w:rPr>
              <w:t>,</w:t>
            </w:r>
            <w:r w:rsidR="005E1AC7">
              <w:rPr>
                <w:rFonts w:ascii="Franklin Gothic Book" w:hAnsi="Franklin Gothic Book" w:cs="Arial"/>
                <w:color w:val="003366"/>
                <w:sz w:val="17"/>
                <w:szCs w:val="17"/>
              </w:rPr>
              <w:t xml:space="preserve"> </w:t>
            </w:r>
            <w:r w:rsidRPr="00D541CE">
              <w:rPr>
                <w:rFonts w:ascii="Franklin Gothic Book" w:hAnsi="Franklin Gothic Book" w:cs="Arial"/>
                <w:color w:val="003366"/>
                <w:sz w:val="17"/>
                <w:szCs w:val="17"/>
              </w:rPr>
              <w:t>Planning</w:t>
            </w:r>
            <w:r w:rsidR="005E1AC7">
              <w:rPr>
                <w:rFonts w:ascii="Franklin Gothic Book" w:hAnsi="Franklin Gothic Book" w:cs="Arial"/>
                <w:color w:val="003366"/>
                <w:sz w:val="17"/>
                <w:szCs w:val="17"/>
              </w:rPr>
              <w:t xml:space="preserve"> </w:t>
            </w:r>
            <w:r w:rsidRPr="00D541CE">
              <w:rPr>
                <w:rFonts w:ascii="Franklin Gothic Book" w:hAnsi="Franklin Gothic Book" w:cs="Arial"/>
                <w:color w:val="003366"/>
                <w:sz w:val="17"/>
                <w:szCs w:val="17"/>
              </w:rPr>
              <w:t>&amp;</w:t>
            </w:r>
            <w:r w:rsidR="005E1AC7">
              <w:rPr>
                <w:rFonts w:ascii="Franklin Gothic Book" w:hAnsi="Franklin Gothic Book" w:cs="Arial"/>
                <w:color w:val="003366"/>
                <w:sz w:val="17"/>
                <w:szCs w:val="17"/>
              </w:rPr>
              <w:t xml:space="preserve"> </w:t>
            </w:r>
            <w:r w:rsidRPr="00D541CE">
              <w:rPr>
                <w:rFonts w:ascii="Franklin Gothic Book" w:hAnsi="Franklin Gothic Book" w:cs="Arial"/>
                <w:color w:val="003366"/>
                <w:sz w:val="17"/>
                <w:szCs w:val="17"/>
              </w:rPr>
              <w:t>Support Facility</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$30,988,706.84</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26</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ING633</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EINRIP (AIPRD Loans)</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$291,822,071.00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Decentralisation</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27</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INJ122</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country-region">
              <w:r w:rsidRPr="00D541CE">
                <w:rPr>
                  <w:rFonts w:ascii="Franklin Gothic Book" w:hAnsi="Franklin Gothic Book" w:cs="Arial"/>
                  <w:color w:val="003366"/>
                  <w:sz w:val="17"/>
                  <w:szCs w:val="17"/>
                </w:rPr>
                <w:t>Australia</w:t>
              </w:r>
            </w:smartTag>
            <w:r w:rsidRPr="00D541CE">
              <w:rPr>
                <w:rFonts w:ascii="Franklin Gothic Book" w:hAnsi="Franklin Gothic Book" w:cs="Arial"/>
                <w:color w:val="003366"/>
                <w:sz w:val="17"/>
                <w:szCs w:val="17"/>
              </w:rPr>
              <w:t xml:space="preserve"> </w:t>
            </w: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Indonesia</w:t>
                </w:r>
              </w:smartTag>
            </w:smartTag>
            <w:r w:rsidRPr="00D541CE">
              <w:rPr>
                <w:rFonts w:ascii="Franklin Gothic Book" w:hAnsi="Franklin Gothic Book" w:cs="Arial"/>
                <w:color w:val="003366"/>
                <w:sz w:val="17"/>
                <w:szCs w:val="17"/>
              </w:rPr>
              <w:t xml:space="preserve"> Partnership Decentralization</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$70,000,000.00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168"/>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28</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INF548</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ANTARA</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$30,908,000.00</w:t>
            </w:r>
          </w:p>
        </w:tc>
        <w:tc>
          <w:tcPr>
            <w:tcW w:w="624" w:type="dxa"/>
            <w:tcBorders>
              <w:top w:val="single" w:sz="4" w:space="0" w:color="auto"/>
              <w:left w:val="single" w:sz="4" w:space="0" w:color="auto"/>
              <w:bottom w:val="single" w:sz="4" w:space="0" w:color="auto"/>
              <w:right w:val="single" w:sz="4" w:space="0" w:color="auto"/>
            </w:tcBorders>
            <w:shd w:val="clear" w:color="auto" w:fill="99CC00"/>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29</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ING429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ACCESS Phase 2</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$26,925,000.48</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144"/>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INI355</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LOGICA 2</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$18,000,000.00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36"/>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INI472</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Public Expenditure Analysis Capacity Harmonisation</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$3,999,111.38</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32</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ING811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place">
              <w:r w:rsidRPr="00D541CE">
                <w:rPr>
                  <w:rFonts w:ascii="Franklin Gothic Book" w:hAnsi="Franklin Gothic Book" w:cs="Arial"/>
                  <w:color w:val="003366"/>
                  <w:sz w:val="17"/>
                  <w:szCs w:val="17"/>
                </w:rPr>
                <w:t>Eastern Indonesia</w:t>
              </w:r>
            </w:smartTag>
            <w:r w:rsidRPr="00D541CE">
              <w:rPr>
                <w:rFonts w:ascii="Franklin Gothic Book" w:hAnsi="Franklin Gothic Book" w:cs="Arial"/>
                <w:color w:val="003366"/>
                <w:sz w:val="17"/>
                <w:szCs w:val="17"/>
              </w:rPr>
              <w:t xml:space="preserve"> Programming</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color w:val="003366"/>
                <w:sz w:val="17"/>
                <w:szCs w:val="17"/>
              </w:rPr>
            </w:pPr>
            <w:r w:rsidRPr="00D541CE">
              <w:rPr>
                <w:rFonts w:ascii="Franklin Gothic Book" w:hAnsi="Franklin Gothic Book" w:cs="Arial"/>
                <w:color w:val="003366"/>
                <w:sz w:val="17"/>
                <w:szCs w:val="17"/>
              </w:rPr>
              <w:t>$8,000,000.00</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Completed. Final QAI </w:t>
            </w:r>
            <w:r w:rsidR="00E64AE9">
              <w:rPr>
                <w:rFonts w:ascii="Franklin Gothic Book" w:hAnsi="Franklin Gothic Book" w:cs="Arial"/>
                <w:color w:val="003366"/>
                <w:sz w:val="17"/>
                <w:szCs w:val="17"/>
              </w:rPr>
              <w:t>produced in 2009/</w:t>
            </w:r>
            <w:r w:rsidRPr="00D541CE">
              <w:rPr>
                <w:rFonts w:ascii="Franklin Gothic Book" w:hAnsi="Franklin Gothic Book" w:cs="Arial"/>
                <w:color w:val="003366"/>
                <w:sz w:val="17"/>
                <w:szCs w:val="17"/>
              </w:rPr>
              <w:t>2010</w:t>
            </w:r>
          </w:p>
        </w:tc>
      </w:tr>
      <w:tr w:rsidR="00187525" w:rsidRPr="00D541CE" w:rsidTr="001E6579">
        <w:trPr>
          <w:cantSplit/>
          <w:trHeight w:val="86"/>
        </w:trPr>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33</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INI021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Papua and </w:t>
            </w:r>
            <w:smartTag w:uri="urn:schemas-microsoft-com:office:smarttags" w:element="place">
              <w:r w:rsidRPr="00D541CE">
                <w:rPr>
                  <w:rFonts w:ascii="Franklin Gothic Book" w:hAnsi="Franklin Gothic Book" w:cs="Arial"/>
                  <w:color w:val="003366"/>
                  <w:sz w:val="17"/>
                  <w:szCs w:val="17"/>
                </w:rPr>
                <w:t>West Papua</w:t>
              </w:r>
            </w:smartTag>
            <w:r w:rsidRPr="00D541CE">
              <w:rPr>
                <w:rFonts w:ascii="Franklin Gothic Book" w:hAnsi="Franklin Gothic Book" w:cs="Arial"/>
                <w:color w:val="003366"/>
                <w:sz w:val="17"/>
                <w:szCs w:val="17"/>
              </w:rPr>
              <w:t xml:space="preserve"> Development Support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color w:val="003366"/>
                <w:sz w:val="17"/>
                <w:szCs w:val="17"/>
              </w:rPr>
            </w:pPr>
            <w:r w:rsidRPr="00D541CE">
              <w:rPr>
                <w:rFonts w:ascii="Franklin Gothic Book" w:hAnsi="Franklin Gothic Book" w:cs="Arial"/>
                <w:color w:val="003366"/>
                <w:sz w:val="17"/>
                <w:szCs w:val="17"/>
              </w:rPr>
              <w:t>$4,000,000.00</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E64AE9"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Completed. Final QAI </w:t>
            </w:r>
            <w:r>
              <w:rPr>
                <w:rFonts w:ascii="Franklin Gothic Book" w:hAnsi="Franklin Gothic Book" w:cs="Arial"/>
                <w:color w:val="003366"/>
                <w:sz w:val="17"/>
                <w:szCs w:val="17"/>
              </w:rPr>
              <w:t>produced in 2009/</w:t>
            </w:r>
            <w:r w:rsidRPr="00D541CE">
              <w:rPr>
                <w:rFonts w:ascii="Franklin Gothic Book" w:hAnsi="Franklin Gothic Book" w:cs="Arial"/>
                <w:color w:val="003366"/>
                <w:sz w:val="17"/>
                <w:szCs w:val="17"/>
              </w:rPr>
              <w:t>2010</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ING646</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AIPRD </w:t>
            </w:r>
            <w:proofErr w:type="spellStart"/>
            <w:r w:rsidRPr="00D541CE">
              <w:rPr>
                <w:rFonts w:ascii="Franklin Gothic Book" w:hAnsi="Franklin Gothic Book" w:cs="Arial"/>
                <w:color w:val="003366"/>
                <w:sz w:val="17"/>
                <w:szCs w:val="17"/>
              </w:rPr>
              <w:t>Yogya</w:t>
            </w:r>
            <w:proofErr w:type="spellEnd"/>
            <w:r w:rsidRPr="00D541CE">
              <w:rPr>
                <w:rFonts w:ascii="Franklin Gothic Book" w:hAnsi="Franklin Gothic Book" w:cs="Arial"/>
                <w:color w:val="003366"/>
                <w:sz w:val="17"/>
                <w:szCs w:val="17"/>
              </w:rPr>
              <w:t xml:space="preserve"> Reconstruction Program</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color w:val="003366"/>
                <w:sz w:val="17"/>
                <w:szCs w:val="17"/>
              </w:rPr>
            </w:pPr>
            <w:r w:rsidRPr="00D541CE">
              <w:rPr>
                <w:rFonts w:ascii="Franklin Gothic Book" w:hAnsi="Franklin Gothic Book" w:cs="Arial"/>
                <w:color w:val="003366"/>
                <w:sz w:val="17"/>
                <w:szCs w:val="17"/>
              </w:rPr>
              <w:t>$30,579,601.59</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E64AE9"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Completed. Final QAI </w:t>
            </w:r>
            <w:r>
              <w:rPr>
                <w:rFonts w:ascii="Franklin Gothic Book" w:hAnsi="Franklin Gothic Book" w:cs="Arial"/>
                <w:color w:val="003366"/>
                <w:sz w:val="17"/>
                <w:szCs w:val="17"/>
              </w:rPr>
              <w:t>produced in 2009/</w:t>
            </w:r>
            <w:r w:rsidRPr="00D541CE">
              <w:rPr>
                <w:rFonts w:ascii="Franklin Gothic Book" w:hAnsi="Franklin Gothic Book" w:cs="Arial"/>
                <w:color w:val="003366"/>
                <w:sz w:val="17"/>
                <w:szCs w:val="17"/>
              </w:rPr>
              <w:t>2010</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Poverty Reduction</w:t>
            </w:r>
          </w:p>
        </w:tc>
      </w:tr>
      <w:tr w:rsidR="00187525" w:rsidRPr="00D541CE" w:rsidTr="001E6579">
        <w:trPr>
          <w:cantSplit/>
          <w:trHeight w:val="265"/>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35</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INI506</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Australia</w:t>
                </w:r>
              </w:smartTag>
            </w:smartTag>
            <w:r w:rsidRPr="00D541CE">
              <w:rPr>
                <w:rFonts w:ascii="Franklin Gothic Book" w:hAnsi="Franklin Gothic Book" w:cs="Arial"/>
                <w:color w:val="003366"/>
                <w:sz w:val="17"/>
                <w:szCs w:val="17"/>
              </w:rPr>
              <w:t xml:space="preserve"> Support to PNPM</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$215,000,000.00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119"/>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36</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INJ244</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Poverty Reduction and Social Protection Support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$57,000,000.00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Economic Governance</w:t>
            </w:r>
          </w:p>
        </w:tc>
      </w:tr>
      <w:tr w:rsidR="00187525" w:rsidRPr="00D541CE" w:rsidTr="001E6579">
        <w:trPr>
          <w:cantSplit/>
          <w:trHeight w:val="235"/>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37</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INH848</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 for Economic Governance (AIPEG)</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$31,328,480.49</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4" w:type="dxa"/>
            <w:tcBorders>
              <w:top w:val="single" w:sz="4" w:space="0" w:color="auto"/>
              <w:left w:val="single" w:sz="4" w:space="0" w:color="auto"/>
              <w:bottom w:val="single" w:sz="4" w:space="0" w:color="auto"/>
              <w:right w:val="single" w:sz="4" w:space="0" w:color="auto"/>
            </w:tcBorders>
            <w:shd w:val="clear" w:color="auto" w:fill="FF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r>
      <w:tr w:rsidR="00D371CF"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D371CF" w:rsidRPr="00D541CE" w:rsidRDefault="00D371CF"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38</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371CF" w:rsidRPr="00D541CE" w:rsidRDefault="00D371CF"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ING126</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D371CF" w:rsidRPr="00D541CE" w:rsidRDefault="00D371CF"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AIPRD Government Partnerships Fund</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1CF" w:rsidRPr="00D541CE" w:rsidRDefault="00D371CF" w:rsidP="00187525">
            <w:pPr>
              <w:jc w:val="right"/>
              <w:rPr>
                <w:rFonts w:ascii="Franklin Gothic Book" w:hAnsi="Franklin Gothic Book" w:cs="Arial"/>
                <w:sz w:val="17"/>
                <w:szCs w:val="17"/>
              </w:rPr>
            </w:pPr>
            <w:r w:rsidRPr="00D541CE">
              <w:rPr>
                <w:rFonts w:ascii="Franklin Gothic Book" w:hAnsi="Franklin Gothic Book" w:cs="Arial"/>
                <w:sz w:val="17"/>
                <w:szCs w:val="17"/>
              </w:rPr>
              <w:t>$49,324,385.36</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tcPr>
          <w:p w:rsidR="00D371CF" w:rsidRPr="00D541CE" w:rsidRDefault="00D371CF"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CC00"/>
          </w:tcPr>
          <w:p w:rsidR="00D371CF" w:rsidRPr="00D541CE" w:rsidRDefault="00D371CF" w:rsidP="00187525">
            <w:pPr>
              <w:jc w:val="center"/>
              <w:rPr>
                <w:rFonts w:ascii="Franklin Gothic Book" w:hAnsi="Franklin Gothic Book" w:cs="Arial"/>
                <w:sz w:val="17"/>
                <w:szCs w:val="17"/>
              </w:rPr>
            </w:pPr>
            <w:r>
              <w:rPr>
                <w:rFonts w:ascii="Franklin Gothic Book" w:hAnsi="Franklin Gothic Book" w:cs="Arial"/>
                <w:sz w:val="17"/>
                <w:szCs w:val="17"/>
              </w:rPr>
              <w:t>3</w:t>
            </w:r>
          </w:p>
        </w:tc>
        <w:tc>
          <w:tcPr>
            <w:tcW w:w="634" w:type="dxa"/>
            <w:gridSpan w:val="2"/>
            <w:tcBorders>
              <w:top w:val="single" w:sz="4" w:space="0" w:color="auto"/>
              <w:left w:val="single" w:sz="4" w:space="0" w:color="auto"/>
              <w:bottom w:val="single" w:sz="4" w:space="0" w:color="auto"/>
              <w:right w:val="single" w:sz="4" w:space="0" w:color="auto"/>
            </w:tcBorders>
            <w:shd w:val="clear" w:color="auto" w:fill="FFFF00"/>
          </w:tcPr>
          <w:p w:rsidR="00D371CF" w:rsidRPr="00D541CE" w:rsidRDefault="00D371CF" w:rsidP="00187525">
            <w:pPr>
              <w:jc w:val="center"/>
              <w:rPr>
                <w:rFonts w:ascii="Franklin Gothic Book" w:hAnsi="Franklin Gothic Book" w:cs="Arial"/>
                <w:sz w:val="17"/>
                <w:szCs w:val="17"/>
              </w:rPr>
            </w:pPr>
            <w:r>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CC00"/>
          </w:tcPr>
          <w:p w:rsidR="00D371CF" w:rsidRPr="00D541CE" w:rsidRDefault="00D371CF" w:rsidP="00187525">
            <w:pPr>
              <w:jc w:val="center"/>
              <w:rPr>
                <w:rFonts w:ascii="Franklin Gothic Book" w:hAnsi="Franklin Gothic Book" w:cs="Arial"/>
                <w:sz w:val="17"/>
                <w:szCs w:val="17"/>
              </w:rPr>
            </w:pPr>
            <w:r>
              <w:rPr>
                <w:rFonts w:ascii="Franklin Gothic Book" w:hAnsi="Franklin Gothic Book" w:cs="Arial"/>
                <w:sz w:val="17"/>
                <w:szCs w:val="17"/>
              </w:rPr>
              <w:t>3</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CC00"/>
          </w:tcPr>
          <w:p w:rsidR="00D371CF" w:rsidRPr="00D541CE" w:rsidRDefault="00D371CF" w:rsidP="00187525">
            <w:pPr>
              <w:jc w:val="center"/>
              <w:rPr>
                <w:rFonts w:ascii="Franklin Gothic Book" w:hAnsi="Franklin Gothic Book" w:cs="Arial"/>
                <w:sz w:val="17"/>
                <w:szCs w:val="17"/>
              </w:rPr>
            </w:pPr>
            <w:r>
              <w:rPr>
                <w:rFonts w:ascii="Franklin Gothic Book" w:hAnsi="Franklin Gothic Book" w:cs="Arial"/>
                <w:sz w:val="17"/>
                <w:szCs w:val="17"/>
              </w:rPr>
              <w:t>3</w:t>
            </w:r>
          </w:p>
        </w:tc>
        <w:tc>
          <w:tcPr>
            <w:tcW w:w="634" w:type="dxa"/>
            <w:tcBorders>
              <w:top w:val="single" w:sz="4" w:space="0" w:color="auto"/>
              <w:left w:val="single" w:sz="4" w:space="0" w:color="auto"/>
              <w:bottom w:val="single" w:sz="4" w:space="0" w:color="auto"/>
              <w:right w:val="single" w:sz="4" w:space="0" w:color="auto"/>
            </w:tcBorders>
            <w:shd w:val="clear" w:color="auto" w:fill="FFCC00"/>
          </w:tcPr>
          <w:p w:rsidR="00D371CF" w:rsidRPr="00D541CE" w:rsidRDefault="00D371CF" w:rsidP="00187525">
            <w:pPr>
              <w:jc w:val="center"/>
              <w:rPr>
                <w:rFonts w:ascii="Franklin Gothic Book" w:hAnsi="Franklin Gothic Book" w:cs="Arial"/>
                <w:sz w:val="17"/>
                <w:szCs w:val="17"/>
              </w:rPr>
            </w:pPr>
            <w:r>
              <w:rPr>
                <w:rFonts w:ascii="Franklin Gothic Book" w:hAnsi="Franklin Gothic Book" w:cs="Arial"/>
                <w:sz w:val="17"/>
                <w:szCs w:val="17"/>
              </w:rPr>
              <w:t>3</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39</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INJ689</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Government Partnership Fund Phase (GPF) II</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$50,000,000.00</w:t>
            </w:r>
          </w:p>
        </w:tc>
        <w:tc>
          <w:tcPr>
            <w:tcW w:w="633" w:type="dxa"/>
            <w:gridSpan w:val="2"/>
            <w:tcBorders>
              <w:top w:val="single" w:sz="4" w:space="0" w:color="auto"/>
              <w:left w:val="single" w:sz="4" w:space="0" w:color="auto"/>
              <w:bottom w:val="single" w:sz="4" w:space="0" w:color="C0C0C0"/>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C0C0C0"/>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34" w:type="dxa"/>
            <w:gridSpan w:val="2"/>
            <w:tcBorders>
              <w:top w:val="single" w:sz="4" w:space="0" w:color="auto"/>
              <w:left w:val="single" w:sz="4" w:space="0" w:color="auto"/>
              <w:bottom w:val="single" w:sz="4" w:space="0" w:color="C0C0C0"/>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C0C0C0"/>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33" w:type="dxa"/>
            <w:gridSpan w:val="2"/>
            <w:tcBorders>
              <w:top w:val="single" w:sz="4" w:space="0" w:color="auto"/>
              <w:left w:val="single" w:sz="4" w:space="0" w:color="auto"/>
              <w:bottom w:val="single" w:sz="4" w:space="0" w:color="C0C0C0"/>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34" w:type="dxa"/>
            <w:tcBorders>
              <w:top w:val="single" w:sz="4" w:space="0" w:color="auto"/>
              <w:left w:val="single" w:sz="4" w:space="0" w:color="auto"/>
              <w:bottom w:val="single" w:sz="4" w:space="0" w:color="C0C0C0"/>
              <w:right w:val="single" w:sz="4" w:space="0" w:color="auto"/>
            </w:tcBorders>
            <w:shd w:val="clear" w:color="auto" w:fill="FF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r>
      <w:tr w:rsidR="00187525" w:rsidRPr="00D541CE" w:rsidTr="001E6579">
        <w:trPr>
          <w:cantSplit/>
          <w:trHeight w:val="57"/>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INH521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Indonesia</w:t>
                </w:r>
              </w:smartTag>
            </w:smartTag>
            <w:r w:rsidRPr="00D541CE">
              <w:rPr>
                <w:rFonts w:ascii="Franklin Gothic Book" w:hAnsi="Franklin Gothic Book" w:cs="Arial"/>
                <w:color w:val="003366"/>
                <w:sz w:val="17"/>
                <w:szCs w:val="17"/>
              </w:rPr>
              <w:t xml:space="preserve"> Strengthening Public Procurement Program</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$10,459,375.01</w:t>
            </w:r>
          </w:p>
        </w:tc>
        <w:tc>
          <w:tcPr>
            <w:tcW w:w="633"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33"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3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Disaster Risk Management</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INI422</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AUST-INDON FACILITY FOR DISASTER REDUCTION</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$60,600,000.00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2</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Climate Change</w:t>
            </w:r>
          </w:p>
        </w:tc>
      </w:tr>
      <w:tr w:rsidR="00187525" w:rsidRPr="00D541CE" w:rsidTr="001E6579">
        <w:trPr>
          <w:cantSplit/>
          <w:trHeight w:val="19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42</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INH445</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place">
              <w:smartTag w:uri="urn:schemas-microsoft-com:office:smarttags" w:element="PlaceName">
                <w:r w:rsidRPr="00D541CE">
                  <w:rPr>
                    <w:rFonts w:ascii="Franklin Gothic Book" w:hAnsi="Franklin Gothic Book" w:cs="Arial"/>
                    <w:color w:val="003366"/>
                    <w:sz w:val="17"/>
                    <w:szCs w:val="17"/>
                  </w:rPr>
                  <w:t>Indonesia</w:t>
                </w:r>
              </w:smartTag>
              <w:r w:rsidRPr="00D541CE">
                <w:rPr>
                  <w:rFonts w:ascii="Franklin Gothic Book" w:hAnsi="Franklin Gothic Book" w:cs="Arial"/>
                  <w:color w:val="003366"/>
                  <w:sz w:val="17"/>
                  <w:szCs w:val="17"/>
                </w:rPr>
                <w:t xml:space="preserve"> </w:t>
              </w:r>
              <w:smartTag w:uri="urn:schemas-microsoft-com:office:smarttags" w:element="PlaceType">
                <w:r w:rsidRPr="00D541CE">
                  <w:rPr>
                    <w:rFonts w:ascii="Franklin Gothic Book" w:hAnsi="Franklin Gothic Book" w:cs="Arial"/>
                    <w:color w:val="003366"/>
                    <w:sz w:val="17"/>
                    <w:szCs w:val="17"/>
                  </w:rPr>
                  <w:t>Forests</w:t>
                </w:r>
              </w:smartTag>
            </w:smartTag>
            <w:r w:rsidRPr="00D541CE">
              <w:rPr>
                <w:rFonts w:ascii="Franklin Gothic Book" w:hAnsi="Franklin Gothic Book" w:cs="Arial"/>
                <w:color w:val="003366"/>
                <w:sz w:val="17"/>
                <w:szCs w:val="17"/>
              </w:rPr>
              <w:t xml:space="preserve"> &amp; Climate</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$41,405,442.34</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sz w:val="17"/>
                <w:szCs w:val="17"/>
              </w:rPr>
            </w:pPr>
            <w:r w:rsidRPr="00D541CE">
              <w:rPr>
                <w:rFonts w:ascii="Franklin Gothic Book" w:hAnsi="Franklin Gothic Book" w:cs="Arial"/>
                <w:b/>
                <w:i/>
                <w:color w:val="003366"/>
                <w:sz w:val="17"/>
                <w:szCs w:val="17"/>
              </w:rPr>
              <w:t>Rural Livelihoods and Agribusiness</w:t>
            </w:r>
          </w:p>
        </w:tc>
      </w:tr>
      <w:tr w:rsidR="00187525" w:rsidRPr="00D541CE" w:rsidTr="001E6579">
        <w:trPr>
          <w:cantSplit/>
          <w:trHeight w:val="42"/>
        </w:trPr>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43</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ING234</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AIPRD Smallholder Agribusiness (SADI)</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color w:val="003366"/>
                <w:sz w:val="17"/>
                <w:szCs w:val="17"/>
              </w:rPr>
            </w:pPr>
            <w:r w:rsidRPr="00D541CE">
              <w:rPr>
                <w:rFonts w:ascii="Franklin Gothic Book" w:hAnsi="Franklin Gothic Book" w:cs="Arial"/>
                <w:color w:val="003366"/>
                <w:sz w:val="17"/>
                <w:szCs w:val="17"/>
              </w:rPr>
              <w:t>$38,000,000.00</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Completed. Final QAI recorded in </w:t>
            </w:r>
            <w:r w:rsidR="00C31290">
              <w:rPr>
                <w:rFonts w:ascii="Franklin Gothic Book" w:hAnsi="Franklin Gothic Book" w:cs="Arial"/>
                <w:color w:val="003366"/>
                <w:sz w:val="17"/>
                <w:szCs w:val="17"/>
              </w:rPr>
              <w:t>2009/</w:t>
            </w:r>
            <w:r w:rsidRPr="00D541CE">
              <w:rPr>
                <w:rFonts w:ascii="Franklin Gothic Book" w:hAnsi="Franklin Gothic Book" w:cs="Arial"/>
                <w:color w:val="003366"/>
                <w:sz w:val="17"/>
                <w:szCs w:val="17"/>
              </w:rPr>
              <w:t>2010</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ING363</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AIPRD: Aceh PEP (Aceh/</w:t>
            </w:r>
            <w:proofErr w:type="spellStart"/>
            <w:r w:rsidRPr="00D541CE">
              <w:rPr>
                <w:rFonts w:ascii="Franklin Gothic Book" w:hAnsi="Franklin Gothic Book" w:cs="Arial"/>
                <w:color w:val="003366"/>
                <w:sz w:val="17"/>
                <w:szCs w:val="17"/>
              </w:rPr>
              <w:t>Nias</w:t>
            </w:r>
            <w:proofErr w:type="spellEnd"/>
            <w:r w:rsidRPr="00D541CE">
              <w:rPr>
                <w:rFonts w:ascii="Franklin Gothic Book" w:hAnsi="Franklin Gothic Book" w:cs="Arial"/>
                <w:color w:val="003366"/>
                <w:sz w:val="17"/>
                <w:szCs w:val="17"/>
              </w:rPr>
              <w:t>)</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$6,520,000.00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9614" w:type="dxa"/>
            <w:gridSpan w:val="15"/>
            <w:tcBorders>
              <w:top w:val="single" w:sz="4" w:space="0" w:color="C0C0C0"/>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Law and Justice</w:t>
            </w:r>
          </w:p>
        </w:tc>
      </w:tr>
      <w:tr w:rsidR="00187525" w:rsidRPr="00D541CE" w:rsidTr="001E6579">
        <w:trPr>
          <w:cantSplit/>
          <w:trHeight w:val="94"/>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45</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INJ137</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country-region">
              <w:r w:rsidRPr="00D541CE">
                <w:rPr>
                  <w:rFonts w:ascii="Franklin Gothic Book" w:hAnsi="Franklin Gothic Book" w:cs="Arial"/>
                  <w:color w:val="003366"/>
                  <w:sz w:val="17"/>
                  <w:szCs w:val="17"/>
                </w:rPr>
                <w:t>Australia</w:t>
              </w:r>
            </w:smartTag>
            <w:r w:rsidRPr="00D541CE">
              <w:rPr>
                <w:rFonts w:ascii="Franklin Gothic Book" w:hAnsi="Franklin Gothic Book" w:cs="Arial"/>
                <w:color w:val="003366"/>
                <w:sz w:val="17"/>
                <w:szCs w:val="17"/>
              </w:rPr>
              <w:t xml:space="preserve"> </w:t>
            </w: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Indonesia</w:t>
                </w:r>
              </w:smartTag>
            </w:smartTag>
            <w:r w:rsidRPr="00D541CE">
              <w:rPr>
                <w:rFonts w:ascii="Franklin Gothic Book" w:hAnsi="Franklin Gothic Book" w:cs="Arial"/>
                <w:color w:val="003366"/>
                <w:sz w:val="17"/>
                <w:szCs w:val="17"/>
              </w:rPr>
              <w:t xml:space="preserve"> Partnership for Justice</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$50,000,000.00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70"/>
        </w:trPr>
        <w:tc>
          <w:tcPr>
            <w:tcW w:w="9614" w:type="dxa"/>
            <w:gridSpan w:val="15"/>
            <w:tcBorders>
              <w:top w:val="single" w:sz="4" w:space="0" w:color="C0C0C0"/>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Election</w:t>
            </w:r>
          </w:p>
        </w:tc>
      </w:tr>
      <w:tr w:rsidR="00187525" w:rsidRPr="00D541CE" w:rsidTr="001E6579">
        <w:trPr>
          <w:cantSplit/>
          <w:trHeight w:val="251"/>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46</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INI231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AIP for Electoral Support 2010</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$4,987,117.25</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80" w:type="dxa"/>
            <w:gridSpan w:val="2"/>
            <w:tcBorders>
              <w:top w:val="single" w:sz="4" w:space="0" w:color="auto"/>
              <w:left w:val="single" w:sz="4" w:space="0" w:color="auto"/>
              <w:bottom w:val="single" w:sz="4" w:space="0" w:color="auto"/>
              <w:right w:val="single" w:sz="4" w:space="0" w:color="auto"/>
            </w:tcBorders>
            <w:shd w:val="clear" w:color="auto" w:fill="99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Humanitarian</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lastRenderedPageBreak/>
              <w:t>47</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INI576</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Building Resilience in </w:t>
            </w:r>
            <w:smartTag w:uri="urn:schemas-microsoft-com:office:smarttags" w:element="place">
              <w:r w:rsidRPr="00D541CE">
                <w:rPr>
                  <w:rFonts w:ascii="Franklin Gothic Book" w:hAnsi="Franklin Gothic Book" w:cs="Arial"/>
                  <w:color w:val="003366"/>
                  <w:sz w:val="17"/>
                  <w:szCs w:val="17"/>
                </w:rPr>
                <w:t>Eastern Indonesia</w:t>
              </w:r>
            </w:smartTag>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$4,085,368.00</w:t>
            </w:r>
          </w:p>
        </w:tc>
        <w:tc>
          <w:tcPr>
            <w:tcW w:w="624" w:type="dxa"/>
            <w:tcBorders>
              <w:top w:val="single" w:sz="4" w:space="0" w:color="auto"/>
              <w:left w:val="single" w:sz="4" w:space="0" w:color="auto"/>
              <w:bottom w:val="single" w:sz="4" w:space="0" w:color="auto"/>
              <w:right w:val="single" w:sz="4" w:space="0" w:color="auto"/>
            </w:tcBorders>
            <w:shd w:val="clear" w:color="auto" w:fill="99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48</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INH545</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Enhanced Australian Response</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$1,068,268.40</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color w:val="003366"/>
                <w:sz w:val="17"/>
                <w:szCs w:val="17"/>
              </w:rPr>
              <w:t>No QAI</w:t>
            </w:r>
          </w:p>
        </w:tc>
      </w:tr>
      <w:tr w:rsidR="00187525" w:rsidRPr="00D541CE" w:rsidTr="001E6579">
        <w:trPr>
          <w:cantSplit/>
          <w:trHeight w:val="213"/>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49</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INI975</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smartTag w:uri="urn:schemas-microsoft-com:office:smarttags" w:element="place">
              <w:r w:rsidRPr="00D541CE">
                <w:rPr>
                  <w:rFonts w:ascii="Franklin Gothic Book" w:hAnsi="Franklin Gothic Book" w:cs="Arial"/>
                  <w:color w:val="003366"/>
                  <w:sz w:val="17"/>
                  <w:szCs w:val="17"/>
                </w:rPr>
                <w:t>West Sumatra</w:t>
              </w:r>
            </w:smartTag>
            <w:r w:rsidRPr="00D541CE">
              <w:rPr>
                <w:rFonts w:ascii="Franklin Gothic Book" w:hAnsi="Franklin Gothic Book" w:cs="Arial"/>
                <w:color w:val="003366"/>
                <w:sz w:val="17"/>
                <w:szCs w:val="17"/>
              </w:rPr>
              <w:t xml:space="preserve"> Emergency Response</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$3,318,283.38</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color w:val="003366"/>
                <w:sz w:val="17"/>
                <w:szCs w:val="17"/>
              </w:rPr>
              <w:t>Completed. No QAI</w:t>
            </w:r>
          </w:p>
        </w:tc>
      </w:tr>
      <w:tr w:rsidR="00C31290"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C31290" w:rsidRPr="00D541CE" w:rsidRDefault="00C31290"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50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C31290" w:rsidRPr="00D541CE" w:rsidRDefault="00C31290"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INJ001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C31290" w:rsidRPr="00D541CE" w:rsidRDefault="00C31290"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Australia-Bali Memorial Eye Centre</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290" w:rsidRPr="00D541CE" w:rsidRDefault="00C31290" w:rsidP="00187525">
            <w:pPr>
              <w:jc w:val="right"/>
              <w:rPr>
                <w:rFonts w:ascii="Franklin Gothic Book" w:hAnsi="Franklin Gothic Book" w:cs="Arial"/>
                <w:sz w:val="17"/>
                <w:szCs w:val="17"/>
              </w:rPr>
            </w:pPr>
            <w:r w:rsidRPr="00D541CE">
              <w:rPr>
                <w:rFonts w:ascii="Franklin Gothic Book" w:hAnsi="Franklin Gothic Book" w:cs="Arial"/>
                <w:sz w:val="17"/>
                <w:szCs w:val="17"/>
              </w:rPr>
              <w:t>$3,000,000.00</w:t>
            </w:r>
          </w:p>
        </w:tc>
        <w:tc>
          <w:tcPr>
            <w:tcW w:w="633" w:type="dxa"/>
            <w:gridSpan w:val="2"/>
            <w:tcBorders>
              <w:top w:val="single" w:sz="4" w:space="0" w:color="auto"/>
              <w:left w:val="single" w:sz="4" w:space="0" w:color="auto"/>
              <w:bottom w:val="single" w:sz="4" w:space="0" w:color="auto"/>
              <w:right w:val="single" w:sz="4" w:space="0" w:color="auto"/>
            </w:tcBorders>
            <w:shd w:val="clear" w:color="auto" w:fill="99CC00"/>
          </w:tcPr>
          <w:p w:rsidR="00C31290" w:rsidRPr="00D541CE" w:rsidRDefault="00E93764" w:rsidP="00187525">
            <w:pPr>
              <w:jc w:val="center"/>
              <w:rPr>
                <w:rFonts w:ascii="Franklin Gothic Book" w:hAnsi="Franklin Gothic Book" w:cs="Arial"/>
                <w:sz w:val="17"/>
                <w:szCs w:val="17"/>
              </w:rPr>
            </w:pPr>
            <w:r>
              <w:rPr>
                <w:rFonts w:ascii="Franklin Gothic Book" w:hAnsi="Franklin Gothic Book" w:cs="Arial"/>
                <w:sz w:val="17"/>
                <w:szCs w:val="17"/>
              </w:rPr>
              <w:t>5</w:t>
            </w:r>
          </w:p>
        </w:tc>
        <w:tc>
          <w:tcPr>
            <w:tcW w:w="633" w:type="dxa"/>
            <w:gridSpan w:val="2"/>
            <w:tcBorders>
              <w:top w:val="single" w:sz="4" w:space="0" w:color="auto"/>
              <w:left w:val="single" w:sz="4" w:space="0" w:color="auto"/>
              <w:bottom w:val="single" w:sz="4" w:space="0" w:color="auto"/>
              <w:right w:val="single" w:sz="4" w:space="0" w:color="auto"/>
            </w:tcBorders>
            <w:shd w:val="clear" w:color="auto" w:fill="99CC00"/>
          </w:tcPr>
          <w:p w:rsidR="00C31290" w:rsidRPr="00D541CE" w:rsidRDefault="00E93764" w:rsidP="00187525">
            <w:pPr>
              <w:jc w:val="center"/>
              <w:rPr>
                <w:rFonts w:ascii="Franklin Gothic Book" w:hAnsi="Franklin Gothic Book" w:cs="Arial"/>
                <w:sz w:val="17"/>
                <w:szCs w:val="17"/>
              </w:rPr>
            </w:pPr>
            <w:r>
              <w:rPr>
                <w:rFonts w:ascii="Franklin Gothic Book" w:hAnsi="Franklin Gothic Book" w:cs="Arial"/>
                <w:sz w:val="17"/>
                <w:szCs w:val="17"/>
              </w:rPr>
              <w:t>5</w:t>
            </w:r>
          </w:p>
        </w:tc>
        <w:tc>
          <w:tcPr>
            <w:tcW w:w="634" w:type="dxa"/>
            <w:gridSpan w:val="2"/>
            <w:tcBorders>
              <w:top w:val="single" w:sz="4" w:space="0" w:color="auto"/>
              <w:left w:val="single" w:sz="4" w:space="0" w:color="auto"/>
              <w:bottom w:val="single" w:sz="4" w:space="0" w:color="auto"/>
              <w:right w:val="single" w:sz="4" w:space="0" w:color="auto"/>
            </w:tcBorders>
            <w:shd w:val="clear" w:color="auto" w:fill="FFFF00"/>
          </w:tcPr>
          <w:p w:rsidR="00C31290" w:rsidRPr="00D541CE" w:rsidRDefault="00E93764" w:rsidP="00187525">
            <w:pPr>
              <w:jc w:val="center"/>
              <w:rPr>
                <w:rFonts w:ascii="Franklin Gothic Book" w:hAnsi="Franklin Gothic Book" w:cs="Arial"/>
                <w:sz w:val="17"/>
                <w:szCs w:val="17"/>
              </w:rPr>
            </w:pPr>
            <w:r>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00"/>
          </w:tcPr>
          <w:p w:rsidR="00C31290" w:rsidRPr="00D541CE" w:rsidRDefault="00E93764" w:rsidP="00187525">
            <w:pPr>
              <w:jc w:val="center"/>
              <w:rPr>
                <w:rFonts w:ascii="Franklin Gothic Book" w:hAnsi="Franklin Gothic Book" w:cs="Arial"/>
                <w:sz w:val="17"/>
                <w:szCs w:val="17"/>
              </w:rPr>
            </w:pPr>
            <w:r>
              <w:rPr>
                <w:rFonts w:ascii="Franklin Gothic Book" w:hAnsi="Franklin Gothic Book" w:cs="Arial"/>
                <w:sz w:val="17"/>
                <w:szCs w:val="17"/>
              </w:rPr>
              <w:t>4</w:t>
            </w:r>
          </w:p>
        </w:tc>
        <w:tc>
          <w:tcPr>
            <w:tcW w:w="633" w:type="dxa"/>
            <w:gridSpan w:val="2"/>
            <w:tcBorders>
              <w:top w:val="single" w:sz="4" w:space="0" w:color="auto"/>
              <w:left w:val="single" w:sz="4" w:space="0" w:color="auto"/>
              <w:bottom w:val="single" w:sz="4" w:space="0" w:color="auto"/>
              <w:right w:val="single" w:sz="4" w:space="0" w:color="auto"/>
            </w:tcBorders>
            <w:shd w:val="clear" w:color="auto" w:fill="99CC00"/>
          </w:tcPr>
          <w:p w:rsidR="00C31290" w:rsidRPr="00D541CE" w:rsidRDefault="00E93764" w:rsidP="00187525">
            <w:pPr>
              <w:jc w:val="center"/>
              <w:rPr>
                <w:rFonts w:ascii="Franklin Gothic Book" w:hAnsi="Franklin Gothic Book" w:cs="Arial"/>
                <w:sz w:val="17"/>
                <w:szCs w:val="17"/>
              </w:rPr>
            </w:pPr>
            <w:r>
              <w:rPr>
                <w:rFonts w:ascii="Franklin Gothic Book" w:hAnsi="Franklin Gothic Book" w:cs="Arial"/>
                <w:sz w:val="17"/>
                <w:szCs w:val="17"/>
              </w:rPr>
              <w:t>5</w:t>
            </w:r>
          </w:p>
        </w:tc>
        <w:tc>
          <w:tcPr>
            <w:tcW w:w="634" w:type="dxa"/>
            <w:tcBorders>
              <w:top w:val="single" w:sz="4" w:space="0" w:color="auto"/>
              <w:left w:val="single" w:sz="4" w:space="0" w:color="auto"/>
              <w:bottom w:val="single" w:sz="4" w:space="0" w:color="auto"/>
              <w:right w:val="single" w:sz="4" w:space="0" w:color="auto"/>
            </w:tcBorders>
            <w:shd w:val="clear" w:color="auto" w:fill="FFFF00"/>
          </w:tcPr>
          <w:p w:rsidR="00C31290" w:rsidRPr="00D541CE" w:rsidRDefault="00E93764" w:rsidP="00187525">
            <w:pPr>
              <w:jc w:val="center"/>
              <w:rPr>
                <w:rFonts w:ascii="Franklin Gothic Book" w:hAnsi="Franklin Gothic Book" w:cs="Arial"/>
                <w:sz w:val="17"/>
                <w:szCs w:val="17"/>
              </w:rPr>
            </w:pPr>
            <w:r>
              <w:rPr>
                <w:rFonts w:ascii="Franklin Gothic Book" w:hAnsi="Franklin Gothic Book" w:cs="Arial"/>
                <w:sz w:val="17"/>
                <w:szCs w:val="17"/>
              </w:rPr>
              <w:t>4</w:t>
            </w:r>
          </w:p>
        </w:tc>
      </w:tr>
      <w:tr w:rsidR="00187525" w:rsidRPr="00D541CE" w:rsidTr="001E6579">
        <w:trPr>
          <w:cantSplit/>
          <w:trHeight w:val="70"/>
        </w:trPr>
        <w:tc>
          <w:tcPr>
            <w:tcW w:w="9614" w:type="dxa"/>
            <w:gridSpan w:val="15"/>
            <w:tcBorders>
              <w:top w:val="nil"/>
              <w:left w:val="single" w:sz="4" w:space="0" w:color="auto"/>
              <w:bottom w:val="single" w:sz="4" w:space="0" w:color="C0C0C0"/>
              <w:right w:val="single" w:sz="4" w:space="0" w:color="auto"/>
            </w:tcBorders>
            <w:vAlign w:val="center"/>
          </w:tcPr>
          <w:p w:rsidR="00187525" w:rsidRPr="00D541CE" w:rsidRDefault="00187525" w:rsidP="00187525">
            <w:pPr>
              <w:spacing w:before="104"/>
              <w:rPr>
                <w:rFonts w:ascii="Franklin Gothic Book" w:hAnsi="Franklin Gothic Book" w:cs="Arial"/>
                <w:b/>
                <w:i/>
                <w:color w:val="003366"/>
                <w:sz w:val="17"/>
                <w:szCs w:val="17"/>
              </w:rPr>
            </w:pPr>
            <w:r w:rsidRPr="00D541CE">
              <w:rPr>
                <w:rFonts w:ascii="Franklin Gothic Book" w:hAnsi="Franklin Gothic Book" w:cs="Arial"/>
                <w:b/>
                <w:i/>
                <w:color w:val="003366"/>
                <w:sz w:val="17"/>
                <w:szCs w:val="17"/>
              </w:rPr>
              <w:t>Other</w:t>
            </w:r>
          </w:p>
        </w:tc>
      </w:tr>
      <w:tr w:rsidR="00187525" w:rsidRPr="00D541CE" w:rsidTr="001E6579">
        <w:trPr>
          <w:cantSplit/>
          <w:trHeight w:val="70"/>
        </w:trPr>
        <w:tc>
          <w:tcPr>
            <w:tcW w:w="302" w:type="dxa"/>
            <w:tcBorders>
              <w:top w:val="single" w:sz="4" w:space="0" w:color="auto"/>
              <w:left w:val="single" w:sz="4" w:space="0" w:color="auto"/>
              <w:bottom w:val="single" w:sz="4" w:space="0" w:color="auto"/>
              <w:right w:val="single" w:sz="4" w:space="0" w:color="auto"/>
            </w:tcBorders>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51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INJ274</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Counter-Terrorism Cooperation </w:t>
            </w: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Indonesia</w:t>
                </w:r>
              </w:smartTag>
            </w:smartTag>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$7,100,000.00</w:t>
            </w:r>
          </w:p>
        </w:tc>
        <w:tc>
          <w:tcPr>
            <w:tcW w:w="624" w:type="dxa"/>
            <w:tcBorders>
              <w:top w:val="single" w:sz="4" w:space="0" w:color="auto"/>
              <w:left w:val="single" w:sz="4" w:space="0" w:color="auto"/>
              <w:bottom w:val="single" w:sz="4" w:space="0" w:color="auto"/>
              <w:right w:val="single" w:sz="4" w:space="0" w:color="auto"/>
            </w:tcBorders>
            <w:shd w:val="clear" w:color="auto" w:fill="FFFF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CC00"/>
            <w:noWrap/>
            <w:vAlign w:val="center"/>
          </w:tcPr>
          <w:p w:rsidR="00187525" w:rsidRPr="00D541CE" w:rsidRDefault="00187525" w:rsidP="00187525">
            <w:pPr>
              <w:jc w:val="center"/>
              <w:rPr>
                <w:rFonts w:ascii="Franklin Gothic Book" w:hAnsi="Franklin Gothic Book" w:cs="Arial"/>
                <w:sz w:val="17"/>
                <w:szCs w:val="17"/>
              </w:rPr>
            </w:pPr>
            <w:r w:rsidRPr="00D541CE">
              <w:rPr>
                <w:rFonts w:ascii="Franklin Gothic Book" w:hAnsi="Franklin Gothic Book" w:cs="Arial"/>
                <w:sz w:val="17"/>
                <w:szCs w:val="17"/>
              </w:rPr>
              <w:t>3</w:t>
            </w:r>
          </w:p>
        </w:tc>
      </w:tr>
      <w:tr w:rsidR="00187525" w:rsidRPr="00D541CE" w:rsidTr="001E6579">
        <w:trPr>
          <w:cantSplit/>
          <w:trHeight w:val="94"/>
        </w:trPr>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52</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INC791</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tcPr>
          <w:p w:rsidR="00187525" w:rsidRPr="00D541CE" w:rsidRDefault="00187525" w:rsidP="00187525">
            <w:pP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Public Sector Linkages Program (PSLP) - </w:t>
            </w:r>
            <w:smartTag w:uri="urn:schemas-microsoft-com:office:smarttags" w:element="place">
              <w:smartTag w:uri="urn:schemas-microsoft-com:office:smarttags" w:element="country-region">
                <w:r w:rsidRPr="00D541CE">
                  <w:rPr>
                    <w:rFonts w:ascii="Franklin Gothic Book" w:hAnsi="Franklin Gothic Book" w:cs="Arial"/>
                    <w:color w:val="003366"/>
                    <w:sz w:val="17"/>
                    <w:szCs w:val="17"/>
                  </w:rPr>
                  <w:t>Indonesia</w:t>
                </w:r>
              </w:smartTag>
            </w:smartTag>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525" w:rsidRPr="00D541CE" w:rsidRDefault="00187525" w:rsidP="00187525">
            <w:pPr>
              <w:jc w:val="right"/>
              <w:rPr>
                <w:rFonts w:ascii="Franklin Gothic Book" w:hAnsi="Franklin Gothic Book" w:cs="Arial"/>
                <w:sz w:val="17"/>
                <w:szCs w:val="17"/>
              </w:rPr>
            </w:pPr>
            <w:r w:rsidRPr="00D541CE">
              <w:rPr>
                <w:rFonts w:ascii="Franklin Gothic Book" w:hAnsi="Franklin Gothic Book" w:cs="Arial"/>
                <w:sz w:val="17"/>
                <w:szCs w:val="17"/>
              </w:rPr>
              <w:t>$28,229,452.63</w:t>
            </w:r>
          </w:p>
        </w:tc>
        <w:tc>
          <w:tcPr>
            <w:tcW w:w="3800"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rsidR="00187525" w:rsidRPr="00D541CE" w:rsidRDefault="00E64AE9" w:rsidP="00187525">
            <w:pPr>
              <w:jc w:val="center"/>
              <w:rPr>
                <w:rFonts w:ascii="Franklin Gothic Book" w:hAnsi="Franklin Gothic Book" w:cs="Arial"/>
                <w:color w:val="003366"/>
                <w:sz w:val="17"/>
                <w:szCs w:val="17"/>
              </w:rPr>
            </w:pPr>
            <w:r w:rsidRPr="00D541CE">
              <w:rPr>
                <w:rFonts w:ascii="Franklin Gothic Book" w:hAnsi="Franklin Gothic Book" w:cs="Arial"/>
                <w:color w:val="003366"/>
                <w:sz w:val="17"/>
                <w:szCs w:val="17"/>
              </w:rPr>
              <w:t xml:space="preserve">Completed. Final QAI </w:t>
            </w:r>
            <w:r>
              <w:rPr>
                <w:rFonts w:ascii="Franklin Gothic Book" w:hAnsi="Franklin Gothic Book" w:cs="Arial"/>
                <w:color w:val="003366"/>
                <w:sz w:val="17"/>
                <w:szCs w:val="17"/>
              </w:rPr>
              <w:t>produced in 2009/</w:t>
            </w:r>
            <w:r w:rsidRPr="00D541CE">
              <w:rPr>
                <w:rFonts w:ascii="Franklin Gothic Book" w:hAnsi="Franklin Gothic Book" w:cs="Arial"/>
                <w:color w:val="003366"/>
                <w:sz w:val="17"/>
                <w:szCs w:val="17"/>
              </w:rPr>
              <w:t>2010</w:t>
            </w:r>
          </w:p>
        </w:tc>
      </w:tr>
    </w:tbl>
    <w:p w:rsidR="00635368" w:rsidRPr="00635368" w:rsidRDefault="00990F61" w:rsidP="00303DF9">
      <w:pPr>
        <w:pStyle w:val="Heading1"/>
      </w:pPr>
      <w:bookmarkStart w:id="223" w:name="_Toc293050045"/>
      <w:bookmarkStart w:id="224" w:name="_Toc300905119"/>
      <w:bookmarkStart w:id="225" w:name="_Toc360981915"/>
      <w:r>
        <w:t>Annex 4: Actions taken to address 2009 APPR management consequence</w:t>
      </w:r>
      <w:bookmarkEnd w:id="223"/>
      <w:bookmarkEnd w:id="224"/>
      <w:bookmarkEnd w:id="225"/>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433"/>
        <w:gridCol w:w="992"/>
        <w:gridCol w:w="4376"/>
      </w:tblGrid>
      <w:tr w:rsidR="004C4AB6" w:rsidRPr="00145685" w:rsidTr="001E6579">
        <w:trPr>
          <w:cantSplit/>
          <w:tblHeader/>
        </w:trPr>
        <w:tc>
          <w:tcPr>
            <w:tcW w:w="1279" w:type="dxa"/>
          </w:tcPr>
          <w:p w:rsidR="00E42844" w:rsidRPr="00145685" w:rsidRDefault="00E42844" w:rsidP="00145685">
            <w:pPr>
              <w:jc w:val="center"/>
              <w:rPr>
                <w:rFonts w:ascii="Franklin Gothic Book" w:hAnsi="Franklin Gothic Book" w:cs="Arial"/>
                <w:b/>
                <w:sz w:val="17"/>
                <w:szCs w:val="17"/>
              </w:rPr>
            </w:pPr>
            <w:r w:rsidRPr="00145685">
              <w:rPr>
                <w:rFonts w:ascii="Franklin Gothic Book" w:hAnsi="Franklin Gothic Book" w:cs="Arial"/>
                <w:b/>
                <w:sz w:val="17"/>
                <w:szCs w:val="17"/>
              </w:rPr>
              <w:t>2009 APPR recommendations</w:t>
            </w:r>
          </w:p>
        </w:tc>
        <w:tc>
          <w:tcPr>
            <w:tcW w:w="3535" w:type="dxa"/>
          </w:tcPr>
          <w:p w:rsidR="00E42844" w:rsidRPr="00145685" w:rsidRDefault="00E42844" w:rsidP="00145685">
            <w:pPr>
              <w:jc w:val="center"/>
              <w:rPr>
                <w:rFonts w:ascii="Franklin Gothic Book" w:hAnsi="Franklin Gothic Book" w:cs="Arial"/>
                <w:b/>
                <w:sz w:val="17"/>
                <w:szCs w:val="17"/>
              </w:rPr>
            </w:pPr>
            <w:r w:rsidRPr="00145685">
              <w:rPr>
                <w:rFonts w:ascii="Franklin Gothic Book" w:hAnsi="Franklin Gothic Book" w:cs="Arial"/>
                <w:b/>
                <w:sz w:val="17"/>
                <w:szCs w:val="17"/>
              </w:rPr>
              <w:t>Action to be taken in 2010</w:t>
            </w:r>
          </w:p>
        </w:tc>
        <w:tc>
          <w:tcPr>
            <w:tcW w:w="992" w:type="dxa"/>
          </w:tcPr>
          <w:p w:rsidR="00E42844" w:rsidRPr="00145685" w:rsidRDefault="00E42844" w:rsidP="00145685">
            <w:pPr>
              <w:jc w:val="center"/>
              <w:rPr>
                <w:rFonts w:ascii="Franklin Gothic Book" w:hAnsi="Franklin Gothic Book" w:cs="Arial"/>
                <w:b/>
                <w:sz w:val="17"/>
                <w:szCs w:val="17"/>
              </w:rPr>
            </w:pPr>
            <w:r w:rsidRPr="00145685">
              <w:rPr>
                <w:rFonts w:ascii="Franklin Gothic Book" w:hAnsi="Franklin Gothic Book" w:cs="Arial"/>
                <w:b/>
                <w:sz w:val="17"/>
                <w:szCs w:val="17"/>
              </w:rPr>
              <w:t>Status</w:t>
            </w:r>
          </w:p>
        </w:tc>
        <w:tc>
          <w:tcPr>
            <w:tcW w:w="4514" w:type="dxa"/>
          </w:tcPr>
          <w:p w:rsidR="00E42844" w:rsidRPr="00145685" w:rsidRDefault="00E42844" w:rsidP="00145685">
            <w:pPr>
              <w:jc w:val="center"/>
              <w:rPr>
                <w:rFonts w:ascii="Franklin Gothic Book" w:hAnsi="Franklin Gothic Book" w:cs="Arial"/>
                <w:b/>
                <w:sz w:val="17"/>
                <w:szCs w:val="17"/>
              </w:rPr>
            </w:pPr>
            <w:r w:rsidRPr="00145685">
              <w:rPr>
                <w:rFonts w:ascii="Franklin Gothic Book" w:hAnsi="Franklin Gothic Book" w:cs="Arial"/>
                <w:b/>
                <w:sz w:val="17"/>
                <w:szCs w:val="17"/>
              </w:rPr>
              <w:t>Status/ Timeframe</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Strategy for up scaling the Indonesia Program </w:t>
            </w:r>
          </w:p>
        </w:tc>
        <w:tc>
          <w:tcPr>
            <w:tcW w:w="3535" w:type="dxa"/>
          </w:tcPr>
          <w:p w:rsidR="00E42844" w:rsidRPr="00297E71" w:rsidRDefault="00E42844" w:rsidP="00635368">
            <w:pPr>
              <w:rPr>
                <w:rFonts w:ascii="Franklin Gothic Book" w:hAnsi="Franklin Gothic Book" w:cs="Arial"/>
                <w:sz w:val="17"/>
                <w:szCs w:val="17"/>
              </w:rPr>
            </w:pPr>
            <w:r w:rsidRPr="00297E71">
              <w:rPr>
                <w:rFonts w:ascii="Franklin Gothic Book" w:hAnsi="Franklin Gothic Book" w:cs="Arial"/>
                <w:sz w:val="17"/>
                <w:szCs w:val="17"/>
              </w:rPr>
              <w:t xml:space="preserve">Developing a manageable portfolio of initiatives. </w:t>
            </w:r>
          </w:p>
        </w:tc>
        <w:tc>
          <w:tcPr>
            <w:tcW w:w="992" w:type="dxa"/>
          </w:tcPr>
          <w:p w:rsidR="00E42844" w:rsidRPr="00145685" w:rsidRDefault="00473CEA" w:rsidP="00635368">
            <w:pPr>
              <w:rPr>
                <w:rFonts w:ascii="Franklin Gothic Book" w:hAnsi="Franklin Gothic Book" w:cs="Arial"/>
                <w:sz w:val="17"/>
                <w:szCs w:val="17"/>
              </w:rPr>
            </w:pPr>
            <w:r>
              <w:rPr>
                <w:rFonts w:ascii="Franklin Gothic Book" w:hAnsi="Franklin Gothic Book" w:cs="Arial"/>
                <w:sz w:val="17"/>
                <w:szCs w:val="17"/>
              </w:rPr>
              <w:t>Ongoing</w:t>
            </w:r>
          </w:p>
        </w:tc>
        <w:tc>
          <w:tcPr>
            <w:tcW w:w="4514" w:type="dxa"/>
          </w:tcPr>
          <w:p w:rsidR="00E42844" w:rsidRPr="00145685" w:rsidRDefault="00473CEA" w:rsidP="00635368">
            <w:pPr>
              <w:rPr>
                <w:rFonts w:ascii="Franklin Gothic Book" w:hAnsi="Franklin Gothic Book" w:cs="Arial"/>
                <w:sz w:val="17"/>
                <w:szCs w:val="17"/>
              </w:rPr>
            </w:pPr>
            <w:r>
              <w:rPr>
                <w:rFonts w:ascii="Franklin Gothic Book" w:hAnsi="Franklin Gothic Book" w:cs="Arial"/>
                <w:sz w:val="17"/>
                <w:szCs w:val="17"/>
              </w:rPr>
              <w:t>The total number of initiatives was reduced as shown in the Indonesia Program health check data</w:t>
            </w:r>
            <w:r w:rsidR="00E21A30">
              <w:rPr>
                <w:rFonts w:ascii="Franklin Gothic Book" w:hAnsi="Franklin Gothic Book" w:cs="Arial"/>
                <w:sz w:val="17"/>
                <w:szCs w:val="17"/>
              </w:rPr>
              <w:t xml:space="preserve"> and remains a priority for 2011</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297E71" w:rsidRDefault="00E42844" w:rsidP="00145685">
            <w:pPr>
              <w:pStyle w:val="ListBullet"/>
              <w:numPr>
                <w:ilvl w:val="0"/>
                <w:numId w:val="0"/>
              </w:numPr>
              <w:spacing w:before="0" w:after="0" w:line="240" w:lineRule="auto"/>
              <w:rPr>
                <w:rFonts w:ascii="Franklin Gothic Book" w:hAnsi="Franklin Gothic Book" w:cs="Arial"/>
                <w:sz w:val="17"/>
                <w:szCs w:val="17"/>
              </w:rPr>
            </w:pPr>
            <w:r w:rsidRPr="00297E71">
              <w:rPr>
                <w:rFonts w:ascii="Franklin Gothic Book" w:hAnsi="Franklin Gothic Book" w:cs="Arial"/>
                <w:sz w:val="17"/>
                <w:szCs w:val="17"/>
              </w:rPr>
              <w:t xml:space="preserve">Maximising its impact on poverty, by ensuring its benefits reach the poorest people in </w:t>
            </w:r>
            <w:smartTag w:uri="urn:schemas-microsoft-com:office:smarttags" w:element="place">
              <w:smartTag w:uri="urn:schemas-microsoft-com:office:smarttags" w:element="country-region">
                <w:r w:rsidRPr="00297E71">
                  <w:rPr>
                    <w:rFonts w:ascii="Franklin Gothic Book" w:hAnsi="Franklin Gothic Book" w:cs="Arial"/>
                    <w:sz w:val="17"/>
                    <w:szCs w:val="17"/>
                  </w:rPr>
                  <w:t>Indonesia</w:t>
                </w:r>
              </w:smartTag>
            </w:smartTag>
            <w:r w:rsidRPr="00297E71">
              <w:rPr>
                <w:rFonts w:ascii="Franklin Gothic Book" w:hAnsi="Franklin Gothic Book" w:cs="Arial"/>
                <w:sz w:val="17"/>
                <w:szCs w:val="17"/>
              </w:rPr>
              <w:t>.</w:t>
            </w:r>
          </w:p>
        </w:tc>
        <w:tc>
          <w:tcPr>
            <w:tcW w:w="992" w:type="dxa"/>
          </w:tcPr>
          <w:p w:rsidR="00E42844" w:rsidRPr="00145685" w:rsidRDefault="00473CEA" w:rsidP="00635368">
            <w:pPr>
              <w:rPr>
                <w:rFonts w:ascii="Franklin Gothic Book" w:hAnsi="Franklin Gothic Book" w:cs="Arial"/>
                <w:sz w:val="17"/>
                <w:szCs w:val="17"/>
              </w:rPr>
            </w:pPr>
            <w:r>
              <w:rPr>
                <w:rFonts w:ascii="Franklin Gothic Book" w:hAnsi="Franklin Gothic Book" w:cs="Arial"/>
                <w:sz w:val="17"/>
                <w:szCs w:val="17"/>
              </w:rPr>
              <w:t>Ongoing</w:t>
            </w:r>
          </w:p>
        </w:tc>
        <w:tc>
          <w:tcPr>
            <w:tcW w:w="4514" w:type="dxa"/>
          </w:tcPr>
          <w:p w:rsidR="00E42844" w:rsidRPr="00145685" w:rsidRDefault="00E21A30" w:rsidP="00635368">
            <w:pPr>
              <w:rPr>
                <w:rFonts w:ascii="Franklin Gothic Book" w:hAnsi="Franklin Gothic Book" w:cs="Arial"/>
                <w:sz w:val="17"/>
                <w:szCs w:val="17"/>
              </w:rPr>
            </w:pPr>
            <w:r>
              <w:rPr>
                <w:rFonts w:ascii="Franklin Gothic Book" w:hAnsi="Franklin Gothic Book" w:cs="Arial"/>
                <w:sz w:val="17"/>
                <w:szCs w:val="17"/>
              </w:rPr>
              <w:t xml:space="preserve">Tested during concept and design reviews processes and quality assurance processes applied through the life of an initiative.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Strengthening our engagement with civil society.</w:t>
            </w:r>
          </w:p>
        </w:tc>
        <w:tc>
          <w:tcPr>
            <w:tcW w:w="992" w:type="dxa"/>
          </w:tcPr>
          <w:p w:rsidR="00E42844" w:rsidRPr="00145685" w:rsidRDefault="00E42844" w:rsidP="00635368">
            <w:pPr>
              <w:rPr>
                <w:rFonts w:ascii="Franklin Gothic Book" w:hAnsi="Franklin Gothic Book" w:cs="Arial"/>
                <w:sz w:val="17"/>
                <w:szCs w:val="17"/>
                <w:lang w:val="en-US"/>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lang w:val="en-US"/>
              </w:rPr>
            </w:pPr>
            <w:r w:rsidRPr="00145685">
              <w:rPr>
                <w:rFonts w:ascii="Franklin Gothic Book" w:hAnsi="Franklin Gothic Book" w:cs="Arial"/>
                <w:sz w:val="17"/>
                <w:szCs w:val="17"/>
                <w:lang w:val="en-US"/>
              </w:rPr>
              <w:t xml:space="preserve">A Civil Society Engagement Working Group was established in February 2011 and is drafting a set of principles/guidelines that addresses why and how we should engage with civil society organizations more consistently across the program.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highlight w:val="yellow"/>
              </w:rPr>
            </w:pPr>
            <w:r w:rsidRPr="00297E71">
              <w:rPr>
                <w:rFonts w:ascii="Franklin Gothic Book" w:hAnsi="Franklin Gothic Book" w:cs="Arial"/>
                <w:sz w:val="17"/>
                <w:szCs w:val="17"/>
              </w:rPr>
              <w:t xml:space="preserve">Clarifying what value the Australian aid program adds to development in </w:t>
            </w:r>
            <w:smartTag w:uri="urn:schemas-microsoft-com:office:smarttags" w:element="place">
              <w:smartTag w:uri="urn:schemas-microsoft-com:office:smarttags" w:element="country-region">
                <w:r w:rsidRPr="00297E71">
                  <w:rPr>
                    <w:rFonts w:ascii="Franklin Gothic Book" w:hAnsi="Franklin Gothic Book" w:cs="Arial"/>
                    <w:sz w:val="17"/>
                    <w:szCs w:val="17"/>
                  </w:rPr>
                  <w:t>Indonesia</w:t>
                </w:r>
              </w:smartTag>
            </w:smartTag>
            <w:r w:rsidRPr="00297E71">
              <w:rPr>
                <w:rFonts w:ascii="Franklin Gothic Book" w:hAnsi="Franklin Gothic Book" w:cs="Arial"/>
                <w:sz w:val="17"/>
                <w:szCs w:val="17"/>
              </w:rPr>
              <w:t>.</w:t>
            </w:r>
          </w:p>
        </w:tc>
        <w:tc>
          <w:tcPr>
            <w:tcW w:w="992" w:type="dxa"/>
          </w:tcPr>
          <w:p w:rsidR="00E42844" w:rsidRPr="00145685" w:rsidRDefault="00473CEA" w:rsidP="00635368">
            <w:pPr>
              <w:rPr>
                <w:rFonts w:ascii="Franklin Gothic Book" w:hAnsi="Franklin Gothic Book" w:cs="Arial"/>
                <w:sz w:val="17"/>
                <w:szCs w:val="17"/>
              </w:rPr>
            </w:pPr>
            <w:r>
              <w:rPr>
                <w:rFonts w:ascii="Franklin Gothic Book" w:hAnsi="Franklin Gothic Book" w:cs="Arial"/>
                <w:sz w:val="17"/>
                <w:szCs w:val="17"/>
              </w:rPr>
              <w:t>Ongoing</w:t>
            </w:r>
          </w:p>
        </w:tc>
        <w:tc>
          <w:tcPr>
            <w:tcW w:w="4514" w:type="dxa"/>
          </w:tcPr>
          <w:p w:rsidR="00E42844" w:rsidRPr="00145685" w:rsidRDefault="00E21A30" w:rsidP="00635368">
            <w:pPr>
              <w:rPr>
                <w:rFonts w:ascii="Franklin Gothic Book" w:hAnsi="Franklin Gothic Book" w:cs="Arial"/>
                <w:sz w:val="17"/>
                <w:szCs w:val="17"/>
              </w:rPr>
            </w:pPr>
            <w:r>
              <w:rPr>
                <w:rFonts w:ascii="Franklin Gothic Book" w:hAnsi="Franklin Gothic Book" w:cs="Arial"/>
                <w:sz w:val="17"/>
                <w:szCs w:val="17"/>
              </w:rPr>
              <w:t>Articulated in new delivery strategies and sectoral performance assessment frameworks.</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Strengthening the evidence base for decision making </w:t>
            </w: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Improving the quality of evaluations and using a forward evaluation plan to ensure timeliness of evaluations for feeding into design processes.</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Evaluation baseline assessment completed and evaluation plan applied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 xml:space="preserve">Improving the use of program monitoring and QAIs as a performance management tool </w:t>
            </w:r>
          </w:p>
        </w:tc>
        <w:tc>
          <w:tcPr>
            <w:tcW w:w="992" w:type="dxa"/>
          </w:tcPr>
          <w:p w:rsidR="00E42844" w:rsidRPr="00145685" w:rsidRDefault="00E42844" w:rsidP="00145685">
            <w:pPr>
              <w:ind w:right="-80"/>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145685">
            <w:pPr>
              <w:ind w:right="-80"/>
              <w:rPr>
                <w:rFonts w:ascii="Franklin Gothic Book" w:hAnsi="Franklin Gothic Book" w:cs="Arial"/>
                <w:sz w:val="17"/>
                <w:szCs w:val="17"/>
              </w:rPr>
            </w:pPr>
            <w:r w:rsidRPr="00145685">
              <w:rPr>
                <w:rFonts w:ascii="Franklin Gothic Book" w:hAnsi="Franklin Gothic Book" w:cs="Arial"/>
                <w:sz w:val="17"/>
                <w:szCs w:val="17"/>
              </w:rPr>
              <w:t xml:space="preserve">Staff capacity building delivered and applied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 xml:space="preserve">Improving the quality of designs, the efficiency of design processes and the analysis underpinning the decision to move forward to design. </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Design plan in place, a panel of experts to oversee design process is considered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 xml:space="preserve">Ensuring performance assessment frameworks are finalised and used as the basis for strategic discussions on sector performance and to inform decision-making. </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Sector Performance Review conducted regularly and informs APPR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 xml:space="preserve">Building a performance-based culture, including by building staff capacity in performance management, providing space for strategic thinking, developing supporting systems and tools and improving cross-program learning.   </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smartTag w:uri="urn:schemas-microsoft-com:office:smarttags" w:element="place">
              <w:smartTag w:uri="urn:schemas-microsoft-com:office:smarttags" w:element="PlaceName">
                <w:r w:rsidRPr="00145685">
                  <w:rPr>
                    <w:rFonts w:ascii="Franklin Gothic Book" w:hAnsi="Franklin Gothic Book" w:cs="Arial"/>
                    <w:sz w:val="17"/>
                    <w:szCs w:val="17"/>
                  </w:rPr>
                  <w:t>Evaluation</w:t>
                </w:r>
              </w:smartTag>
              <w:r w:rsidRPr="00145685">
                <w:rPr>
                  <w:rFonts w:ascii="Franklin Gothic Book" w:hAnsi="Franklin Gothic Book" w:cs="Arial"/>
                  <w:sz w:val="17"/>
                  <w:szCs w:val="17"/>
                </w:rPr>
                <w:t xml:space="preserve"> </w:t>
              </w:r>
              <w:smartTag w:uri="urn:schemas-microsoft-com:office:smarttags" w:element="PlaceName">
                <w:r w:rsidRPr="00145685">
                  <w:rPr>
                    <w:rFonts w:ascii="Franklin Gothic Book" w:hAnsi="Franklin Gothic Book" w:cs="Arial"/>
                    <w:sz w:val="17"/>
                    <w:szCs w:val="17"/>
                  </w:rPr>
                  <w:t>Capacity</w:t>
                </w:r>
              </w:smartTag>
              <w:r w:rsidRPr="00145685">
                <w:rPr>
                  <w:rFonts w:ascii="Franklin Gothic Book" w:hAnsi="Franklin Gothic Book" w:cs="Arial"/>
                  <w:sz w:val="17"/>
                  <w:szCs w:val="17"/>
                </w:rPr>
                <w:t xml:space="preserve"> </w:t>
              </w:r>
              <w:smartTag w:uri="urn:schemas-microsoft-com:office:smarttags" w:element="PlaceType">
                <w:r w:rsidRPr="00145685">
                  <w:rPr>
                    <w:rFonts w:ascii="Franklin Gothic Book" w:hAnsi="Franklin Gothic Book" w:cs="Arial"/>
                    <w:sz w:val="17"/>
                    <w:szCs w:val="17"/>
                  </w:rPr>
                  <w:t>Building</w:t>
                </w:r>
              </w:smartTag>
            </w:smartTag>
            <w:r w:rsidRPr="00145685">
              <w:rPr>
                <w:rFonts w:ascii="Franklin Gothic Book" w:hAnsi="Franklin Gothic Book" w:cs="Arial"/>
                <w:sz w:val="17"/>
                <w:szCs w:val="17"/>
              </w:rPr>
              <w:t xml:space="preserve"> Program delivered M&amp;E baselines, standards, and capacity buildings.     </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Retaining and attracting high quality staff </w:t>
            </w: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Creating a work-friendly environment and manageable workloads for staff, including more time for analytical and strategic work, and less time spent on administrative and management tasks.</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Borders>
              <w:bottom w:val="single" w:sz="4" w:space="0" w:color="auto"/>
            </w:tcBorders>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There is increased engagement by staff on analytics and greater involvement in field visits and M and E processes. Management and leadership have been a major focus for staff over 2010. Centralisation of some components of travel and increased procurement support will reduce time spent by staff on admin tasks.</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“Talent management”, by ensuring a strong pipe-line of experienced and well-informed staff.</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Identification of high potential staff and their development Mapping of performance by level and by section to be completed in June 2011.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Matching people’s skills to their positions.</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Ongoing </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Skill mapping process to be completed by June 2011 and to be followed up and recorded in real time.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Ensuring sufficient resources to do what is expected of us.</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Recruitment exercises continue to attract skills and expertise we require. Volume of applications highlight the interest nationally and internationally of working with </w:t>
            </w:r>
            <w:proofErr w:type="spellStart"/>
            <w:r w:rsidRPr="00145685">
              <w:rPr>
                <w:rFonts w:ascii="Franklin Gothic Book" w:hAnsi="Franklin Gothic Book" w:cs="Arial"/>
                <w:sz w:val="17"/>
                <w:szCs w:val="17"/>
              </w:rPr>
              <w:t>AusAID</w:t>
            </w:r>
            <w:proofErr w:type="spellEnd"/>
            <w:r w:rsidRPr="00145685">
              <w:rPr>
                <w:rFonts w:ascii="Franklin Gothic Book" w:hAnsi="Franklin Gothic Book" w:cs="Arial"/>
                <w:sz w:val="17"/>
                <w:szCs w:val="17"/>
              </w:rPr>
              <w:t>.</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145685">
            <w:pPr>
              <w:pStyle w:val="ListBullet"/>
              <w:numPr>
                <w:ilvl w:val="0"/>
                <w:numId w:val="0"/>
              </w:numPr>
              <w:spacing w:before="0" w:after="0" w:line="240" w:lineRule="auto"/>
              <w:rPr>
                <w:rFonts w:ascii="Franklin Gothic Book" w:hAnsi="Franklin Gothic Book" w:cs="Arial"/>
                <w:sz w:val="17"/>
                <w:szCs w:val="17"/>
              </w:rPr>
            </w:pPr>
            <w:r w:rsidRPr="00145685">
              <w:rPr>
                <w:rFonts w:ascii="Franklin Gothic Book" w:hAnsi="Franklin Gothic Book" w:cs="Arial"/>
                <w:sz w:val="17"/>
                <w:szCs w:val="17"/>
              </w:rPr>
              <w:t xml:space="preserve">Maximising the use of Post and Desk resources, by continuing to ensure these work as one team. </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Post/Desk continue to work as one team with the evidence of this being in the well informed briefs and program reputation with partners and </w:t>
            </w:r>
            <w:proofErr w:type="spellStart"/>
            <w:r w:rsidRPr="00145685">
              <w:rPr>
                <w:rFonts w:ascii="Franklin Gothic Book" w:hAnsi="Franklin Gothic Book" w:cs="Arial"/>
                <w:sz w:val="17"/>
                <w:szCs w:val="17"/>
              </w:rPr>
              <w:t>AusAID</w:t>
            </w:r>
            <w:proofErr w:type="spellEnd"/>
            <w:r w:rsidRPr="00145685">
              <w:rPr>
                <w:rFonts w:ascii="Franklin Gothic Book" w:hAnsi="Franklin Gothic Book" w:cs="Arial"/>
                <w:sz w:val="17"/>
                <w:szCs w:val="17"/>
              </w:rPr>
              <w:t xml:space="preserve"> Executive.</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Education </w:t>
            </w:r>
          </w:p>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(including Knowledge sector)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Improve monitoring and evaluation system to track and communicate results in education sector.  </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On track for completion once the Education Partnership is fully mobilised.</w:t>
            </w:r>
          </w:p>
          <w:p w:rsidR="00E42844" w:rsidRPr="00145685" w:rsidRDefault="00E42844" w:rsidP="00635368">
            <w:pPr>
              <w:rPr>
                <w:rFonts w:ascii="Franklin Gothic Book" w:hAnsi="Franklin Gothic Book" w:cs="Arial"/>
                <w:sz w:val="17"/>
                <w:szCs w:val="17"/>
              </w:rPr>
            </w:pP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Increase use of Government of Indonesia’s system, including through up-scaling of staff capacity.   </w:t>
            </w:r>
          </w:p>
        </w:tc>
        <w:tc>
          <w:tcPr>
            <w:tcW w:w="992" w:type="dxa"/>
          </w:tcPr>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In progress:  The Education Partnership will increase the use of government systems and staff capacity is being increased through on-the-job training, targeted formal training, and recruitment.  This will require ongoing attention throughout the implementation of the Partnership.</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Increase program management resources, improve knowledge sector inter-sectoral linkages, and use new program governance to strengthen dialogues with Government of Indonesia.</w:t>
            </w:r>
          </w:p>
        </w:tc>
        <w:tc>
          <w:tcPr>
            <w:tcW w:w="992" w:type="dxa"/>
          </w:tcPr>
          <w:p w:rsidR="00E42844" w:rsidRPr="00145685" w:rsidRDefault="00E42844" w:rsidP="00635368">
            <w:pPr>
              <w:rPr>
                <w:rFonts w:ascii="Franklin Gothic Book" w:hAnsi="Franklin Gothic Book" w:cs="Arial"/>
                <w:sz w:val="17"/>
                <w:szCs w:val="17"/>
                <w:lang w:val="en-US"/>
              </w:rPr>
            </w:pPr>
            <w:r w:rsidRPr="00145685">
              <w:rPr>
                <w:rFonts w:ascii="Franklin Gothic Book" w:hAnsi="Franklin Gothic Book" w:cs="Arial"/>
                <w:sz w:val="17"/>
                <w:szCs w:val="17"/>
                <w:lang w:val="en-US"/>
              </w:rPr>
              <w:t>Ongoing/</w:t>
            </w:r>
          </w:p>
          <w:p w:rsidR="00E42844" w:rsidRPr="00145685" w:rsidRDefault="00E42844" w:rsidP="00635368">
            <w:pPr>
              <w:rPr>
                <w:rFonts w:ascii="Franklin Gothic Book" w:hAnsi="Franklin Gothic Book" w:cs="Arial"/>
                <w:b/>
                <w:sz w:val="17"/>
                <w:szCs w:val="17"/>
              </w:rPr>
            </w:pPr>
            <w:r w:rsidRPr="00145685">
              <w:rPr>
                <w:rFonts w:ascii="Franklin Gothic Book" w:hAnsi="Franklin Gothic Book" w:cs="Arial"/>
                <w:sz w:val="17"/>
                <w:szCs w:val="17"/>
                <w:lang w:val="en-US"/>
              </w:rPr>
              <w:t>completed</w:t>
            </w:r>
          </w:p>
        </w:tc>
        <w:tc>
          <w:tcPr>
            <w:tcW w:w="4514" w:type="dxa"/>
          </w:tcPr>
          <w:p w:rsidR="00E42844" w:rsidRPr="00145685" w:rsidRDefault="00E42844" w:rsidP="00EC2B41">
            <w:pPr>
              <w:rPr>
                <w:rFonts w:ascii="Franklin Gothic Book" w:hAnsi="Franklin Gothic Book" w:cs="Arial"/>
                <w:sz w:val="17"/>
                <w:szCs w:val="17"/>
              </w:rPr>
            </w:pPr>
            <w:proofErr w:type="spellStart"/>
            <w:r w:rsidRPr="00145685">
              <w:rPr>
                <w:rFonts w:ascii="Franklin Gothic Book" w:hAnsi="Franklin Gothic Book" w:cs="Arial"/>
                <w:sz w:val="17"/>
                <w:szCs w:val="17"/>
              </w:rPr>
              <w:t>On going</w:t>
            </w:r>
            <w:proofErr w:type="spellEnd"/>
            <w:r w:rsidRPr="00145685">
              <w:rPr>
                <w:rFonts w:ascii="Franklin Gothic Book" w:hAnsi="Franklin Gothic Book" w:cs="Arial"/>
                <w:sz w:val="17"/>
                <w:szCs w:val="17"/>
              </w:rPr>
              <w:t xml:space="preserve">:  Improve knowledge sector inter-sectoral linkages; Use program governance to strengthen dialogue with </w:t>
            </w:r>
            <w:proofErr w:type="spellStart"/>
            <w:r w:rsidRPr="00145685">
              <w:rPr>
                <w:rFonts w:ascii="Franklin Gothic Book" w:hAnsi="Franklin Gothic Book" w:cs="Arial"/>
                <w:sz w:val="17"/>
                <w:szCs w:val="17"/>
              </w:rPr>
              <w:t>GoI</w:t>
            </w:r>
            <w:proofErr w:type="spellEnd"/>
            <w:r w:rsidRPr="00145685">
              <w:rPr>
                <w:rFonts w:ascii="Franklin Gothic Book" w:hAnsi="Franklin Gothic Book" w:cs="Arial"/>
                <w:sz w:val="17"/>
                <w:szCs w:val="17"/>
              </w:rPr>
              <w:t>.</w:t>
            </w:r>
          </w:p>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Increase in program management resources. </w:t>
            </w:r>
          </w:p>
          <w:p w:rsidR="00E42844" w:rsidRPr="00145685" w:rsidRDefault="00E42844" w:rsidP="00EC2B41">
            <w:pPr>
              <w:rPr>
                <w:rFonts w:ascii="Franklin Gothic Book" w:hAnsi="Franklin Gothic Book" w:cs="Arial"/>
                <w:sz w:val="17"/>
                <w:szCs w:val="17"/>
              </w:rPr>
            </w:pP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Health </w:t>
            </w:r>
          </w:p>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(including gender)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Development of a health delivery strategy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Completed by 30 June 2010</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Draft agreed by reference group finalisation by 30 June 2010 following HSS design completion.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More concerted efforts to address gender equality in health and HIV implementation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sz w:val="17"/>
                <w:szCs w:val="17"/>
              </w:rPr>
            </w:pP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Maternal and neonatal health (MNH) evaluation (note: availability of quality data will receive attention)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Actively involve Ministry of  Health in design of new health system strengthening program (note: availability of quality data will receive attention)</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Ongoing </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Ministry of Health actively involved and program </w:t>
            </w:r>
            <w:proofErr w:type="spellStart"/>
            <w:r w:rsidRPr="00145685">
              <w:rPr>
                <w:rFonts w:ascii="Franklin Gothic Book" w:hAnsi="Franklin Gothic Book" w:cs="Arial"/>
                <w:sz w:val="17"/>
                <w:szCs w:val="17"/>
              </w:rPr>
              <w:t>logframe</w:t>
            </w:r>
            <w:proofErr w:type="spellEnd"/>
            <w:r w:rsidRPr="00145685">
              <w:rPr>
                <w:rFonts w:ascii="Franklin Gothic Book" w:hAnsi="Franklin Gothic Book" w:cs="Arial"/>
                <w:sz w:val="17"/>
                <w:szCs w:val="17"/>
              </w:rPr>
              <w:t xml:space="preserve"> will identify potential data sources for monitoring implementation</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Strengthen links with Health and HIV thematic group to contribute to MNH policy development and sharpen </w:t>
            </w:r>
            <w:proofErr w:type="spellStart"/>
            <w:r w:rsidRPr="00145685">
              <w:rPr>
                <w:rFonts w:ascii="Franklin Gothic Book" w:hAnsi="Franklin Gothic Book" w:cs="Arial"/>
                <w:sz w:val="17"/>
                <w:szCs w:val="17"/>
              </w:rPr>
              <w:t>AusAID’s</w:t>
            </w:r>
            <w:proofErr w:type="spellEnd"/>
            <w:r w:rsidRPr="00145685">
              <w:rPr>
                <w:rFonts w:ascii="Franklin Gothic Book" w:hAnsi="Franklin Gothic Book" w:cs="Arial"/>
                <w:sz w:val="17"/>
                <w:szCs w:val="17"/>
              </w:rPr>
              <w:t xml:space="preserve"> engagement strategy with the Global Fund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Participation in quarterly </w:t>
            </w:r>
            <w:smartTag w:uri="urn:schemas-microsoft-com:office:smarttags" w:element="place">
              <w:r w:rsidRPr="00145685">
                <w:rPr>
                  <w:rFonts w:ascii="Franklin Gothic Book" w:hAnsi="Franklin Gothic Book" w:cs="Arial"/>
                  <w:sz w:val="17"/>
                  <w:szCs w:val="17"/>
                </w:rPr>
                <w:t>Asia</w:t>
              </w:r>
            </w:smartTag>
            <w:r w:rsidRPr="00145685">
              <w:rPr>
                <w:rFonts w:ascii="Franklin Gothic Book" w:hAnsi="Franklin Gothic Book" w:cs="Arial"/>
                <w:sz w:val="17"/>
                <w:szCs w:val="17"/>
              </w:rPr>
              <w:t xml:space="preserve"> regional health leads meeting. Close involvement of Principal Health Adviser in MNH review and HSS design.  </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Water and Sanitation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Ascertain future source of funding and resources for the program to ensure smooth implementation of </w:t>
            </w:r>
            <w:proofErr w:type="spellStart"/>
            <w:r w:rsidRPr="00145685">
              <w:rPr>
                <w:rFonts w:ascii="Franklin Gothic Book" w:hAnsi="Franklin Gothic Book" w:cs="Arial"/>
                <w:sz w:val="17"/>
                <w:szCs w:val="17"/>
              </w:rPr>
              <w:t>InDII</w:t>
            </w:r>
            <w:proofErr w:type="spellEnd"/>
            <w:r w:rsidRPr="00145685">
              <w:rPr>
                <w:rFonts w:ascii="Franklin Gothic Book" w:hAnsi="Franklin Gothic Book" w:cs="Arial"/>
                <w:sz w:val="17"/>
                <w:szCs w:val="17"/>
              </w:rPr>
              <w:t xml:space="preserve">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Lesson learned from </w:t>
            </w:r>
            <w:proofErr w:type="spellStart"/>
            <w:r w:rsidRPr="00145685">
              <w:rPr>
                <w:rFonts w:ascii="Franklin Gothic Book" w:hAnsi="Franklin Gothic Book" w:cs="Arial"/>
                <w:sz w:val="17"/>
                <w:szCs w:val="17"/>
              </w:rPr>
              <w:t>Hibah</w:t>
            </w:r>
            <w:proofErr w:type="spellEnd"/>
            <w:r w:rsidRPr="00145685">
              <w:rPr>
                <w:rFonts w:ascii="Franklin Gothic Book" w:hAnsi="Franklin Gothic Book" w:cs="Arial"/>
                <w:sz w:val="17"/>
                <w:szCs w:val="17"/>
              </w:rPr>
              <w:t xml:space="preserve"> documented and disseminated.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Completed by April 2011</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A review of the Water and Sanitation Initiative, including the </w:t>
            </w:r>
            <w:proofErr w:type="spellStart"/>
            <w:r w:rsidRPr="00145685">
              <w:rPr>
                <w:rFonts w:ascii="Franklin Gothic Book" w:hAnsi="Franklin Gothic Book" w:cs="Arial"/>
                <w:sz w:val="17"/>
                <w:szCs w:val="17"/>
              </w:rPr>
              <w:t>hibah</w:t>
            </w:r>
            <w:proofErr w:type="spellEnd"/>
            <w:r w:rsidRPr="00145685">
              <w:rPr>
                <w:rFonts w:ascii="Franklin Gothic Book" w:hAnsi="Franklin Gothic Book" w:cs="Arial"/>
                <w:sz w:val="17"/>
                <w:szCs w:val="17"/>
              </w:rPr>
              <w:t>, will be underway in April 2011.</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Transport and Connectivity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Significant staff time will continue to be dedicated for EINRIP and its follow up pipeline.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Completed by April 2011</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Additional staff resources to be mobilised for the Infrastructure Unit, commencing April 2011.</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proofErr w:type="spellStart"/>
            <w:r w:rsidRPr="00145685">
              <w:rPr>
                <w:rFonts w:ascii="Franklin Gothic Book" w:hAnsi="Franklin Gothic Book" w:cs="Arial"/>
                <w:sz w:val="17"/>
                <w:szCs w:val="17"/>
              </w:rPr>
              <w:t>InDII</w:t>
            </w:r>
            <w:proofErr w:type="spellEnd"/>
            <w:r w:rsidRPr="00145685">
              <w:rPr>
                <w:rFonts w:ascii="Franklin Gothic Book" w:hAnsi="Franklin Gothic Book" w:cs="Arial"/>
                <w:sz w:val="17"/>
                <w:szCs w:val="17"/>
              </w:rPr>
              <w:t xml:space="preserve"> prepares to engage more meaningfully in pursuing contributions to the sub-sector outcome of “Coherence and integration of connectivity policy”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Completed by June 2011</w:t>
            </w:r>
          </w:p>
        </w:tc>
        <w:tc>
          <w:tcPr>
            <w:tcW w:w="4514" w:type="dxa"/>
          </w:tcPr>
          <w:p w:rsidR="00E42844" w:rsidRPr="00145685" w:rsidRDefault="00E42844" w:rsidP="00635368">
            <w:pPr>
              <w:rPr>
                <w:rFonts w:ascii="Franklin Gothic Book" w:hAnsi="Franklin Gothic Book" w:cs="Arial"/>
                <w:sz w:val="17"/>
                <w:szCs w:val="17"/>
              </w:rPr>
            </w:pPr>
            <w:proofErr w:type="spellStart"/>
            <w:r w:rsidRPr="00145685">
              <w:rPr>
                <w:rFonts w:ascii="Franklin Gothic Book" w:hAnsi="Franklin Gothic Book" w:cs="Arial"/>
                <w:sz w:val="17"/>
                <w:szCs w:val="17"/>
              </w:rPr>
              <w:t>IndII</w:t>
            </w:r>
            <w:proofErr w:type="spellEnd"/>
            <w:r w:rsidRPr="00145685">
              <w:rPr>
                <w:rFonts w:ascii="Franklin Gothic Book" w:hAnsi="Franklin Gothic Book" w:cs="Arial"/>
                <w:sz w:val="17"/>
                <w:szCs w:val="17"/>
              </w:rPr>
              <w:t xml:space="preserve"> extension into Phase II following interventions will be rolled out by June 2011</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Decentralisation</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Recruit new Director for Decentralisation and Poverty Reduction Section </w:t>
            </w:r>
          </w:p>
        </w:tc>
        <w:tc>
          <w:tcPr>
            <w:tcW w:w="992"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b/>
                <w:sz w:val="17"/>
                <w:szCs w:val="17"/>
              </w:rPr>
            </w:pP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Development of common results frameworks for all decentralised projects </w:t>
            </w:r>
          </w:p>
        </w:tc>
        <w:tc>
          <w:tcPr>
            <w:tcW w:w="992" w:type="dxa"/>
          </w:tcPr>
          <w:p w:rsidR="00E42844" w:rsidRPr="00145685" w:rsidRDefault="00543D1D" w:rsidP="00635368">
            <w:pPr>
              <w:rPr>
                <w:rFonts w:ascii="Franklin Gothic Book" w:hAnsi="Franklin Gothic Book" w:cs="Arial"/>
                <w:bCs/>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Common Results Framework is drafted and now being tested in the regions. First regional workshop to produce Implementation Plan has been organised in NTT. The second workshop will be held in Aceh at the end of March. Other regions will follow.</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An incentive system needs to be designed and aligned to AIPD in order to maintain traction towards PFM reform.</w:t>
            </w:r>
          </w:p>
        </w:tc>
        <w:tc>
          <w:tcPr>
            <w:tcW w:w="992" w:type="dxa"/>
          </w:tcPr>
          <w:p w:rsidR="00E42844" w:rsidRPr="00145685" w:rsidRDefault="00543D1D" w:rsidP="00635368">
            <w:pPr>
              <w:rPr>
                <w:rFonts w:ascii="Franklin Gothic Book" w:hAnsi="Franklin Gothic Book" w:cs="Arial"/>
                <w:bCs/>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Decentralisation Unit is working with partners to explore effective methods for financial incentive mechanisms for highly-performing sub-national governments, with </w:t>
            </w:r>
            <w:proofErr w:type="spellStart"/>
            <w:r w:rsidRPr="00145685">
              <w:rPr>
                <w:rFonts w:ascii="Franklin Gothic Book" w:hAnsi="Franklin Gothic Book" w:cs="Arial"/>
                <w:sz w:val="17"/>
                <w:szCs w:val="17"/>
              </w:rPr>
              <w:t>Gorontalo</w:t>
            </w:r>
            <w:proofErr w:type="spellEnd"/>
            <w:r w:rsidRPr="00145685">
              <w:rPr>
                <w:rFonts w:ascii="Franklin Gothic Book" w:hAnsi="Franklin Gothic Book" w:cs="Arial"/>
                <w:sz w:val="17"/>
                <w:szCs w:val="17"/>
              </w:rPr>
              <w:t xml:space="preserve"> as pilot area. This will be further explored when AIPD is operational, particularly in Papua, utilizing the Special </w:t>
            </w:r>
            <w:r w:rsidR="004C4AB6" w:rsidRPr="00145685">
              <w:rPr>
                <w:rFonts w:ascii="Franklin Gothic Book" w:hAnsi="Franklin Gothic Book" w:cs="Arial"/>
                <w:sz w:val="17"/>
                <w:szCs w:val="17"/>
              </w:rPr>
              <w:t>Autonomy</w:t>
            </w:r>
            <w:r w:rsidRPr="00145685">
              <w:rPr>
                <w:rFonts w:ascii="Franklin Gothic Book" w:hAnsi="Franklin Gothic Book" w:cs="Arial"/>
                <w:sz w:val="17"/>
                <w:szCs w:val="17"/>
              </w:rPr>
              <w:t xml:space="preserve"> Funds.</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Poverty Reduction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Assess PNPM Support Facility implementation arrangement </w:t>
            </w:r>
          </w:p>
        </w:tc>
        <w:tc>
          <w:tcPr>
            <w:tcW w:w="992"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sz w:val="17"/>
                <w:szCs w:val="17"/>
              </w:rPr>
            </w:pPr>
          </w:p>
        </w:tc>
      </w:tr>
      <w:tr w:rsidR="004C4AB6" w:rsidRPr="00145685" w:rsidTr="001E6579">
        <w:trPr>
          <w:cantSplit/>
          <w:trHeight w:val="840"/>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PNPM Support Facility to provide comprehensive staffing plan to ensure effective program planning and implementation </w:t>
            </w:r>
          </w:p>
        </w:tc>
        <w:tc>
          <w:tcPr>
            <w:tcW w:w="992" w:type="dxa"/>
          </w:tcPr>
          <w:p w:rsidR="00E42844" w:rsidRPr="00145685" w:rsidRDefault="00543D1D" w:rsidP="00635368">
            <w:pPr>
              <w:rPr>
                <w:rFonts w:ascii="Franklin Gothic Book" w:hAnsi="Franklin Gothic Book" w:cs="Arial"/>
                <w:b/>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PSF will organise a workshop with GOI/donors to present their staffing plan.</w:t>
            </w:r>
          </w:p>
          <w:p w:rsidR="00E42844" w:rsidRPr="00145685" w:rsidRDefault="00E42844" w:rsidP="00635368">
            <w:pPr>
              <w:rPr>
                <w:rFonts w:ascii="Franklin Gothic Book" w:hAnsi="Franklin Gothic Book" w:cs="Arial"/>
                <w:sz w:val="17"/>
                <w:szCs w:val="17"/>
              </w:rPr>
            </w:pP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Minister Counsellor to engage with B</w:t>
            </w:r>
            <w:r w:rsidR="00B13595">
              <w:rPr>
                <w:rFonts w:ascii="Franklin Gothic Book" w:hAnsi="Franklin Gothic Book" w:cs="Arial"/>
                <w:sz w:val="17"/>
                <w:szCs w:val="17"/>
              </w:rPr>
              <w:t>APPENAS</w:t>
            </w:r>
            <w:r w:rsidRPr="00145685">
              <w:rPr>
                <w:rFonts w:ascii="Franklin Gothic Book" w:hAnsi="Franklin Gothic Book" w:cs="Arial"/>
                <w:sz w:val="17"/>
                <w:szCs w:val="17"/>
              </w:rPr>
              <w:t xml:space="preserve"> and Vice President Office regarding National Team’s linkages and coordination.   </w:t>
            </w:r>
          </w:p>
        </w:tc>
        <w:tc>
          <w:tcPr>
            <w:tcW w:w="992"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No longer required</w:t>
            </w:r>
          </w:p>
        </w:tc>
        <w:tc>
          <w:tcPr>
            <w:tcW w:w="4514" w:type="dxa"/>
          </w:tcPr>
          <w:p w:rsidR="00E42844" w:rsidRPr="00145685" w:rsidRDefault="00E42844" w:rsidP="00635368">
            <w:pPr>
              <w:rPr>
                <w:rFonts w:ascii="Franklin Gothic Book" w:hAnsi="Franklin Gothic Book" w:cs="Arial"/>
                <w:b/>
                <w:sz w:val="17"/>
                <w:szCs w:val="17"/>
              </w:rPr>
            </w:pP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Economic Governance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Second Phase of GPF – concentrate on supporting Government’s reform priorities and other donors will be approached to contribute </w:t>
            </w:r>
          </w:p>
        </w:tc>
        <w:tc>
          <w:tcPr>
            <w:tcW w:w="992"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b/>
                <w:sz w:val="17"/>
                <w:szCs w:val="17"/>
              </w:rPr>
            </w:pP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AIPEG – links to sub-national activities, particularly in the area of public financing.</w:t>
            </w:r>
          </w:p>
        </w:tc>
        <w:tc>
          <w:tcPr>
            <w:tcW w:w="992" w:type="dxa"/>
          </w:tcPr>
          <w:p w:rsidR="00E42844" w:rsidRPr="00145685" w:rsidRDefault="00543D1D" w:rsidP="00635368">
            <w:pPr>
              <w:rPr>
                <w:rFonts w:ascii="Franklin Gothic Book" w:hAnsi="Franklin Gothic Book" w:cs="Arial"/>
                <w:b/>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The focus of AIPEG’s future work on public financing will initially be on rolling out Medium Term Expenditure Framework and Performance Based Budgeting models to Min. of Health, Education and Works which involves extensive financing to sub-national governments.</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Disaster Management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Clarify the roles and responsibilities between the Facility and the Disaster Management Unit </w:t>
            </w:r>
          </w:p>
        </w:tc>
        <w:tc>
          <w:tcPr>
            <w:tcW w:w="992" w:type="dxa"/>
          </w:tcPr>
          <w:p w:rsidR="00E42844" w:rsidRPr="00145685" w:rsidRDefault="00E42844" w:rsidP="00635368">
            <w:pPr>
              <w:rPr>
                <w:rFonts w:ascii="Franklin Gothic Book" w:hAnsi="Franklin Gothic Book" w:cs="Arial"/>
                <w:b/>
                <w:sz w:val="17"/>
                <w:szCs w:val="17"/>
              </w:rPr>
            </w:pPr>
          </w:p>
        </w:tc>
        <w:tc>
          <w:tcPr>
            <w:tcW w:w="4514" w:type="dxa"/>
          </w:tcPr>
          <w:p w:rsidR="00E42844" w:rsidRPr="00145685" w:rsidRDefault="00E42844" w:rsidP="00635368">
            <w:pPr>
              <w:rPr>
                <w:rFonts w:ascii="Franklin Gothic Book" w:hAnsi="Franklin Gothic Book" w:cs="Arial"/>
                <w:sz w:val="17"/>
                <w:szCs w:val="17"/>
              </w:rPr>
            </w:pPr>
            <w:r w:rsidRPr="00DE4F0A">
              <w:rPr>
                <w:rFonts w:ascii="Franklin Gothic Book" w:hAnsi="Franklin Gothic Book" w:cs="Arial"/>
                <w:sz w:val="17"/>
                <w:szCs w:val="17"/>
              </w:rPr>
              <w:t>Completed:</w:t>
            </w:r>
            <w:r w:rsidRPr="00145685">
              <w:rPr>
                <w:rFonts w:ascii="Franklin Gothic Book" w:hAnsi="Franklin Gothic Book" w:cs="Arial"/>
                <w:sz w:val="17"/>
                <w:szCs w:val="17"/>
              </w:rPr>
              <w:t xml:space="preserve"> Community based programs have been transferred from the Disaster Response Unit to the AIFDR</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Additional human resources are needed to capitalise on opportunities and minimise risks around emergency response </w:t>
            </w:r>
          </w:p>
        </w:tc>
        <w:tc>
          <w:tcPr>
            <w:tcW w:w="992"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sz w:val="17"/>
                <w:szCs w:val="17"/>
              </w:rPr>
            </w:pP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Climate Change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Scoping mission to formulate the support to the Government around adaptation, mitigation and low carbon growth. </w:t>
            </w:r>
          </w:p>
        </w:tc>
        <w:tc>
          <w:tcPr>
            <w:tcW w:w="992"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Completed by March 2011</w:t>
            </w:r>
          </w:p>
        </w:tc>
        <w:tc>
          <w:tcPr>
            <w:tcW w:w="4514" w:type="dxa"/>
          </w:tcPr>
          <w:p w:rsidR="00E42844" w:rsidRPr="00145685" w:rsidRDefault="00E42844" w:rsidP="00635368">
            <w:pPr>
              <w:rPr>
                <w:rFonts w:ascii="Franklin Gothic Book" w:hAnsi="Franklin Gothic Book" w:cs="Arial"/>
                <w:sz w:val="17"/>
                <w:szCs w:val="17"/>
              </w:rPr>
            </w:pPr>
            <w:smartTag w:uri="urn:schemas-microsoft-com:office:smarttags" w:element="place">
              <w:smartTag w:uri="urn:schemas-microsoft-com:office:smarttags" w:element="City">
                <w:r w:rsidRPr="00145685">
                  <w:rPr>
                    <w:rFonts w:ascii="Franklin Gothic Book" w:hAnsi="Franklin Gothic Book" w:cs="Arial"/>
                    <w:sz w:val="17"/>
                    <w:szCs w:val="17"/>
                  </w:rPr>
                  <w:t>Mission</w:t>
                </w:r>
              </w:smartTag>
            </w:smartTag>
            <w:r w:rsidRPr="00145685">
              <w:rPr>
                <w:rFonts w:ascii="Franklin Gothic Book" w:hAnsi="Franklin Gothic Book" w:cs="Arial"/>
                <w:sz w:val="17"/>
                <w:szCs w:val="17"/>
              </w:rPr>
              <w:t xml:space="preserve"> will take place in the context of a Delivery Strategy preparation process that is kicking off in March 2011.</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Review the approach to the roadmap for Forest Carbon Market</w:t>
            </w:r>
          </w:p>
        </w:tc>
        <w:tc>
          <w:tcPr>
            <w:tcW w:w="992"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 xml:space="preserve">No longer a priority </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Dropped in priority as other processes such as the Norway-Indo partnership on REDD+ have come to the fore.</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Strengthen policy dialogue</w:t>
            </w:r>
          </w:p>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  </w:t>
            </w:r>
          </w:p>
        </w:tc>
        <w:tc>
          <w:tcPr>
            <w:tcW w:w="992" w:type="dxa"/>
          </w:tcPr>
          <w:p w:rsidR="00E42844" w:rsidRPr="00145685" w:rsidRDefault="00543D1D" w:rsidP="00635368">
            <w:pPr>
              <w:rPr>
                <w:rFonts w:ascii="Franklin Gothic Book" w:hAnsi="Franklin Gothic Book" w:cs="Arial"/>
                <w:b/>
                <w:sz w:val="17"/>
                <w:szCs w:val="17"/>
              </w:rPr>
            </w:pPr>
            <w:r w:rsidRPr="00145685">
              <w:rPr>
                <w:rFonts w:ascii="Franklin Gothic Book" w:hAnsi="Franklin Gothic Book" w:cs="Arial"/>
                <w:bCs/>
                <w:sz w:val="17"/>
                <w:szCs w:val="17"/>
              </w:rPr>
              <w:t>Ongoing</w:t>
            </w:r>
          </w:p>
        </w:tc>
        <w:tc>
          <w:tcPr>
            <w:tcW w:w="4514"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T</w:t>
            </w:r>
            <w:r w:rsidR="00E42844" w:rsidRPr="00145685">
              <w:rPr>
                <w:rFonts w:ascii="Franklin Gothic Book" w:hAnsi="Franklin Gothic Book" w:cs="Arial"/>
                <w:sz w:val="17"/>
                <w:szCs w:val="17"/>
              </w:rPr>
              <w:t>hrough REDD+; ICCTF steering committee, and soon B</w:t>
            </w:r>
            <w:r w:rsidR="00B13595">
              <w:rPr>
                <w:rFonts w:ascii="Franklin Gothic Book" w:hAnsi="Franklin Gothic Book" w:cs="Arial"/>
                <w:sz w:val="17"/>
                <w:szCs w:val="17"/>
              </w:rPr>
              <w:t>APPENAS</w:t>
            </w:r>
            <w:r w:rsidR="00E42844" w:rsidRPr="00145685">
              <w:rPr>
                <w:rFonts w:ascii="Franklin Gothic Book" w:hAnsi="Franklin Gothic Book" w:cs="Arial"/>
                <w:sz w:val="17"/>
                <w:szCs w:val="17"/>
              </w:rPr>
              <w:t>’ climate change consultative forum</w:t>
            </w:r>
          </w:p>
        </w:tc>
      </w:tr>
      <w:tr w:rsidR="004C4AB6" w:rsidRPr="00145685" w:rsidTr="001E6579">
        <w:trPr>
          <w:cantSplit/>
        </w:trPr>
        <w:tc>
          <w:tcPr>
            <w:tcW w:w="1279" w:type="dxa"/>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Recruit climate change advisor;</w:t>
            </w:r>
          </w:p>
        </w:tc>
        <w:tc>
          <w:tcPr>
            <w:tcW w:w="992" w:type="dxa"/>
          </w:tcPr>
          <w:p w:rsidR="00E42844" w:rsidRPr="00145685" w:rsidRDefault="00543D1D" w:rsidP="00635368">
            <w:pPr>
              <w:rPr>
                <w:rFonts w:ascii="Franklin Gothic Book" w:hAnsi="Franklin Gothic Book" w:cs="Arial"/>
                <w:sz w:val="17"/>
                <w:szCs w:val="17"/>
              </w:rPr>
            </w:pPr>
            <w:r w:rsidRPr="00145685">
              <w:rPr>
                <w:rFonts w:ascii="Franklin Gothic Book" w:hAnsi="Franklin Gothic Book" w:cs="Arial"/>
                <w:sz w:val="17"/>
                <w:szCs w:val="17"/>
              </w:rPr>
              <w:t>No</w:t>
            </w:r>
            <w:r w:rsidR="00E21A30">
              <w:rPr>
                <w:rFonts w:ascii="Franklin Gothic Book" w:hAnsi="Franklin Gothic Book" w:cs="Arial"/>
                <w:sz w:val="17"/>
                <w:szCs w:val="17"/>
              </w:rPr>
              <w:t xml:space="preserve">t actioned </w:t>
            </w:r>
            <w:r w:rsidRPr="00145685">
              <w:rPr>
                <w:rFonts w:ascii="Franklin Gothic Book" w:hAnsi="Franklin Gothic Book" w:cs="Arial"/>
                <w:sz w:val="17"/>
                <w:szCs w:val="17"/>
              </w:rPr>
              <w:t xml:space="preserve"> </w:t>
            </w:r>
          </w:p>
        </w:tc>
        <w:tc>
          <w:tcPr>
            <w:tcW w:w="4514" w:type="dxa"/>
          </w:tcPr>
          <w:p w:rsidR="00E42844" w:rsidRPr="00145685" w:rsidRDefault="004C4AB6" w:rsidP="00635368">
            <w:pPr>
              <w:rPr>
                <w:rFonts w:ascii="Franklin Gothic Book" w:hAnsi="Franklin Gothic Book" w:cs="Arial"/>
                <w:sz w:val="17"/>
                <w:szCs w:val="17"/>
              </w:rPr>
            </w:pPr>
            <w:r w:rsidRPr="00145685">
              <w:rPr>
                <w:rFonts w:ascii="Franklin Gothic Book" w:hAnsi="Franklin Gothic Book" w:cs="Arial"/>
                <w:sz w:val="17"/>
                <w:szCs w:val="17"/>
              </w:rPr>
              <w:t xml:space="preserve">A </w:t>
            </w:r>
            <w:r w:rsidR="00E42844" w:rsidRPr="00145685">
              <w:rPr>
                <w:rFonts w:ascii="Franklin Gothic Book" w:hAnsi="Franklin Gothic Book" w:cs="Arial"/>
                <w:sz w:val="17"/>
                <w:szCs w:val="17"/>
              </w:rPr>
              <w:t xml:space="preserve">dedicated Counsellor </w:t>
            </w:r>
            <w:r w:rsidR="00E21A30">
              <w:rPr>
                <w:rFonts w:ascii="Franklin Gothic Book" w:hAnsi="Franklin Gothic Book" w:cs="Arial"/>
                <w:sz w:val="17"/>
                <w:szCs w:val="17"/>
              </w:rPr>
              <w:t>appointed to lead the climate change and environment team</w:t>
            </w:r>
            <w:r w:rsidR="00E42844" w:rsidRPr="00145685">
              <w:rPr>
                <w:rFonts w:ascii="Franklin Gothic Book" w:hAnsi="Franklin Gothic Book" w:cs="Arial"/>
                <w:sz w:val="17"/>
                <w:szCs w:val="17"/>
              </w:rPr>
              <w:t xml:space="preserve"> </w:t>
            </w:r>
          </w:p>
        </w:tc>
      </w:tr>
      <w:tr w:rsidR="004C4AB6" w:rsidRPr="00145685" w:rsidTr="001E6579">
        <w:trPr>
          <w:cantSplit/>
        </w:trPr>
        <w:tc>
          <w:tcPr>
            <w:tcW w:w="1279" w:type="dxa"/>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Contribute to donor coordination</w:t>
            </w:r>
          </w:p>
        </w:tc>
        <w:tc>
          <w:tcPr>
            <w:tcW w:w="992" w:type="dxa"/>
          </w:tcPr>
          <w:p w:rsidR="00E42844" w:rsidRPr="00145685" w:rsidRDefault="004C4AB6" w:rsidP="00635368">
            <w:pPr>
              <w:rPr>
                <w:rFonts w:ascii="Franklin Gothic Book" w:hAnsi="Franklin Gothic Book" w:cs="Arial"/>
                <w:b/>
                <w:sz w:val="17"/>
                <w:szCs w:val="17"/>
              </w:rPr>
            </w:pPr>
            <w:r w:rsidRPr="00145685">
              <w:rPr>
                <w:rFonts w:ascii="Franklin Gothic Book" w:hAnsi="Franklin Gothic Book" w:cs="Arial"/>
                <w:bCs/>
                <w:sz w:val="17"/>
                <w:szCs w:val="17"/>
              </w:rPr>
              <w:t>On going</w:t>
            </w:r>
          </w:p>
        </w:tc>
        <w:tc>
          <w:tcPr>
            <w:tcW w:w="4514" w:type="dxa"/>
          </w:tcPr>
          <w:p w:rsidR="00E42844" w:rsidRPr="00145685" w:rsidRDefault="004C4AB6" w:rsidP="00635368">
            <w:pPr>
              <w:rPr>
                <w:rFonts w:ascii="Franklin Gothic Book" w:hAnsi="Franklin Gothic Book" w:cs="Arial"/>
                <w:sz w:val="17"/>
                <w:szCs w:val="17"/>
              </w:rPr>
            </w:pPr>
            <w:r w:rsidRPr="00145685">
              <w:rPr>
                <w:rFonts w:ascii="Franklin Gothic Book" w:hAnsi="Franklin Gothic Book" w:cs="Arial"/>
                <w:sz w:val="17"/>
                <w:szCs w:val="17"/>
              </w:rPr>
              <w:t>F</w:t>
            </w:r>
            <w:r w:rsidR="00E42844" w:rsidRPr="00145685">
              <w:rPr>
                <w:rFonts w:ascii="Franklin Gothic Book" w:hAnsi="Franklin Gothic Book" w:cs="Arial"/>
                <w:sz w:val="17"/>
                <w:szCs w:val="17"/>
              </w:rPr>
              <w:t xml:space="preserve">ormally and informally  </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Rural Livelihood and Agribusiness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Independent Completion Review of SADI and ANTARA (note: it among others addresses </w:t>
            </w:r>
            <w:proofErr w:type="spellStart"/>
            <w:r w:rsidRPr="00145685">
              <w:rPr>
                <w:rFonts w:ascii="Franklin Gothic Book" w:hAnsi="Franklin Gothic Book" w:cs="Arial"/>
                <w:sz w:val="17"/>
                <w:szCs w:val="17"/>
              </w:rPr>
              <w:t>AusAID’s</w:t>
            </w:r>
            <w:proofErr w:type="spellEnd"/>
            <w:r w:rsidRPr="00145685">
              <w:rPr>
                <w:rFonts w:ascii="Franklin Gothic Book" w:hAnsi="Franklin Gothic Book" w:cs="Arial"/>
                <w:sz w:val="17"/>
                <w:szCs w:val="17"/>
              </w:rPr>
              <w:t xml:space="preserve"> continuing role) </w:t>
            </w:r>
          </w:p>
        </w:tc>
        <w:tc>
          <w:tcPr>
            <w:tcW w:w="992" w:type="dxa"/>
          </w:tcPr>
          <w:p w:rsidR="00E42844" w:rsidRPr="00145685" w:rsidRDefault="004C4AB6" w:rsidP="00635368">
            <w:pPr>
              <w:rPr>
                <w:rFonts w:ascii="Franklin Gothic Book" w:hAnsi="Franklin Gothic Book" w:cs="Arial"/>
                <w:bCs/>
                <w:sz w:val="17"/>
                <w:szCs w:val="17"/>
              </w:rPr>
            </w:pPr>
            <w:r w:rsidRPr="00145685">
              <w:rPr>
                <w:rFonts w:ascii="Franklin Gothic Book" w:hAnsi="Franklin Gothic Book" w:cs="Arial"/>
                <w:bCs/>
                <w:sz w:val="17"/>
                <w:szCs w:val="17"/>
              </w:rPr>
              <w:t xml:space="preserve">Completed </w:t>
            </w:r>
          </w:p>
        </w:tc>
        <w:tc>
          <w:tcPr>
            <w:tcW w:w="4514" w:type="dxa"/>
          </w:tcPr>
          <w:p w:rsidR="00E42844" w:rsidRPr="00145685" w:rsidRDefault="00E42844" w:rsidP="00635368">
            <w:pPr>
              <w:rPr>
                <w:rFonts w:ascii="Franklin Gothic Book" w:hAnsi="Franklin Gothic Book" w:cs="Arial"/>
                <w:sz w:val="17"/>
                <w:szCs w:val="17"/>
              </w:rPr>
            </w:pP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SADI’s review recommendation: intensive intervention in the area of value chain approach in marginalised community should be done under Australia Indonesia Partnership for Decentralisation (AIPD) that recognises sub-national policy instruments   </w:t>
            </w:r>
          </w:p>
        </w:tc>
        <w:tc>
          <w:tcPr>
            <w:tcW w:w="992" w:type="dxa"/>
          </w:tcPr>
          <w:p w:rsidR="00E42844" w:rsidRPr="00145685" w:rsidRDefault="004C4AB6" w:rsidP="00635368">
            <w:pPr>
              <w:rPr>
                <w:rFonts w:ascii="Franklin Gothic Book" w:hAnsi="Franklin Gothic Book" w:cs="Arial"/>
                <w:b/>
                <w:bCs/>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b/>
                <w:bCs/>
                <w:color w:val="000080"/>
                <w:sz w:val="17"/>
                <w:szCs w:val="17"/>
              </w:rPr>
            </w:pPr>
            <w:r w:rsidRPr="00145685">
              <w:rPr>
                <w:rFonts w:ascii="Franklin Gothic Book" w:hAnsi="Franklin Gothic Book" w:cs="Arial"/>
                <w:sz w:val="17"/>
                <w:szCs w:val="17"/>
              </w:rPr>
              <w:t>A major new rural economic development program has been designed. Delivery arrangements are integrated into the AIPD, and the new program will be called AIPD-Rural. Implementation will begin in 2012</w:t>
            </w:r>
            <w:r w:rsidRPr="00145685">
              <w:rPr>
                <w:rFonts w:ascii="Franklin Gothic Book" w:hAnsi="Franklin Gothic Book" w:cs="Arial"/>
                <w:color w:val="000080"/>
                <w:sz w:val="17"/>
                <w:szCs w:val="17"/>
              </w:rPr>
              <w:t xml:space="preserve">.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Ensure program links with AIP decentralisation and infrastructure to support one another’s objectives.  </w:t>
            </w:r>
          </w:p>
        </w:tc>
        <w:tc>
          <w:tcPr>
            <w:tcW w:w="992" w:type="dxa"/>
          </w:tcPr>
          <w:p w:rsidR="00E42844" w:rsidRPr="00145685" w:rsidRDefault="004C4AB6" w:rsidP="00635368">
            <w:pPr>
              <w:rPr>
                <w:rFonts w:ascii="Franklin Gothic Book" w:hAnsi="Franklin Gothic Book" w:cs="Arial"/>
                <w:b/>
                <w:bCs/>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b/>
                <w:bCs/>
                <w:sz w:val="17"/>
                <w:szCs w:val="17"/>
              </w:rPr>
            </w:pPr>
            <w:r w:rsidRPr="00145685">
              <w:rPr>
                <w:rFonts w:ascii="Franklin Gothic Book" w:hAnsi="Franklin Gothic Book" w:cs="Arial"/>
                <w:sz w:val="17"/>
                <w:szCs w:val="17"/>
              </w:rPr>
              <w:t xml:space="preserve">AIPD-Rural will be delivered under the supervision of an AIPD Deputy Program Director for Rural Development, reporting to the AIPD Program Director. </w:t>
            </w:r>
          </w:p>
          <w:p w:rsidR="00E42844" w:rsidRPr="00145685" w:rsidRDefault="00E42844" w:rsidP="00635368">
            <w:pPr>
              <w:rPr>
                <w:rFonts w:ascii="Franklin Gothic Book" w:hAnsi="Franklin Gothic Book" w:cs="Arial"/>
                <w:b/>
                <w:bCs/>
                <w:sz w:val="17"/>
                <w:szCs w:val="17"/>
              </w:rPr>
            </w:pPr>
            <w:r w:rsidRPr="00145685">
              <w:rPr>
                <w:rFonts w:ascii="Franklin Gothic Book" w:hAnsi="Franklin Gothic Book" w:cs="Arial"/>
                <w:sz w:val="17"/>
                <w:szCs w:val="17"/>
              </w:rPr>
              <w:t xml:space="preserve">The activities will be implemented using </w:t>
            </w:r>
            <w:proofErr w:type="spellStart"/>
            <w:r w:rsidRPr="00145685">
              <w:rPr>
                <w:rFonts w:ascii="Franklin Gothic Book" w:hAnsi="Franklin Gothic Book" w:cs="Arial"/>
                <w:sz w:val="17"/>
                <w:szCs w:val="17"/>
              </w:rPr>
              <w:t>AusAID’s</w:t>
            </w:r>
            <w:proofErr w:type="spellEnd"/>
            <w:r w:rsidRPr="00145685">
              <w:rPr>
                <w:rFonts w:ascii="Franklin Gothic Book" w:hAnsi="Franklin Gothic Book" w:cs="Arial"/>
                <w:sz w:val="17"/>
                <w:szCs w:val="17"/>
              </w:rPr>
              <w:t xml:space="preserve"> ‘one program approach’. </w:t>
            </w:r>
          </w:p>
          <w:p w:rsidR="00E42844" w:rsidRPr="00145685" w:rsidRDefault="00E42844" w:rsidP="00635368">
            <w:pPr>
              <w:rPr>
                <w:rFonts w:ascii="Franklin Gothic Book" w:hAnsi="Franklin Gothic Book" w:cs="Arial"/>
                <w:sz w:val="17"/>
                <w:szCs w:val="17"/>
              </w:rPr>
            </w:pP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Law and Justice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Further analysis is needed prior to further interventions particularly in the area of </w:t>
            </w:r>
            <w:r w:rsidR="00852DEC" w:rsidRPr="00145685">
              <w:rPr>
                <w:rFonts w:ascii="Franklin Gothic Book" w:hAnsi="Franklin Gothic Book" w:cs="Arial"/>
                <w:sz w:val="17"/>
                <w:szCs w:val="17"/>
              </w:rPr>
              <w:t>anti-corruption</w:t>
            </w:r>
            <w:r w:rsidRPr="00145685">
              <w:rPr>
                <w:rFonts w:ascii="Franklin Gothic Book" w:hAnsi="Franklin Gothic Book" w:cs="Arial"/>
                <w:sz w:val="17"/>
                <w:szCs w:val="17"/>
              </w:rPr>
              <w:t xml:space="preserve">  </w:t>
            </w:r>
          </w:p>
        </w:tc>
        <w:tc>
          <w:tcPr>
            <w:tcW w:w="992" w:type="dxa"/>
          </w:tcPr>
          <w:p w:rsidR="00E42844" w:rsidRPr="00145685" w:rsidRDefault="004C4AB6" w:rsidP="00635368">
            <w:pPr>
              <w:rPr>
                <w:rFonts w:ascii="Franklin Gothic Book" w:hAnsi="Franklin Gothic Book" w:cs="Arial"/>
                <w:sz w:val="17"/>
                <w:szCs w:val="17"/>
              </w:rPr>
            </w:pPr>
            <w:r w:rsidRPr="00145685">
              <w:rPr>
                <w:rFonts w:ascii="Franklin Gothic Book" w:hAnsi="Franklin Gothic Book" w:cs="Arial"/>
                <w:sz w:val="17"/>
                <w:szCs w:val="17"/>
              </w:rPr>
              <w:t>Completed by April 2011</w:t>
            </w:r>
          </w:p>
        </w:tc>
        <w:tc>
          <w:tcPr>
            <w:tcW w:w="4514" w:type="dxa"/>
          </w:tcPr>
          <w:p w:rsidR="00E42844" w:rsidRPr="00145685" w:rsidRDefault="00E42844" w:rsidP="00635368">
            <w:pPr>
              <w:rPr>
                <w:rFonts w:ascii="Franklin Gothic Book" w:hAnsi="Franklin Gothic Book" w:cs="Arial"/>
                <w:color w:val="000080"/>
                <w:sz w:val="17"/>
                <w:szCs w:val="17"/>
              </w:rPr>
            </w:pPr>
            <w:r w:rsidRPr="00145685">
              <w:rPr>
                <w:rFonts w:ascii="Franklin Gothic Book" w:hAnsi="Franklin Gothic Book" w:cs="Arial"/>
                <w:sz w:val="17"/>
                <w:szCs w:val="17"/>
              </w:rPr>
              <w:t>Completed: Two pieces of analytical work in the area of disability and anti-corruption. Completed by April 2011: Two pieces in juvenile justice and the harmonisation of local laws and regulations. These analyses will inform initial programming decisions for AIPJ.</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Strengthen partnership with civil society organisations and national commissions  </w:t>
            </w:r>
          </w:p>
        </w:tc>
        <w:tc>
          <w:tcPr>
            <w:tcW w:w="992" w:type="dxa"/>
          </w:tcPr>
          <w:p w:rsidR="00E42844" w:rsidRPr="00145685" w:rsidRDefault="004C4AB6" w:rsidP="00635368">
            <w:pPr>
              <w:rPr>
                <w:rFonts w:ascii="Franklin Gothic Book" w:hAnsi="Franklin Gothic Book" w:cs="Arial"/>
                <w:b/>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Some key partnerships have been strengthened under the transition program (e.g., </w:t>
            </w:r>
            <w:proofErr w:type="spellStart"/>
            <w:r w:rsidRPr="00B13595">
              <w:rPr>
                <w:rFonts w:ascii="Franklin Gothic Book" w:hAnsi="Franklin Gothic Book" w:cs="Arial"/>
                <w:i/>
                <w:sz w:val="17"/>
                <w:szCs w:val="17"/>
              </w:rPr>
              <w:t>Komnas</w:t>
            </w:r>
            <w:proofErr w:type="spellEnd"/>
            <w:r w:rsidRPr="00B13595">
              <w:rPr>
                <w:rFonts w:ascii="Franklin Gothic Book" w:hAnsi="Franklin Gothic Book" w:cs="Arial"/>
                <w:i/>
                <w:sz w:val="17"/>
                <w:szCs w:val="17"/>
              </w:rPr>
              <w:t xml:space="preserve"> </w:t>
            </w:r>
            <w:proofErr w:type="spellStart"/>
            <w:r w:rsidRPr="00B13595">
              <w:rPr>
                <w:rFonts w:ascii="Franklin Gothic Book" w:hAnsi="Franklin Gothic Book" w:cs="Arial"/>
                <w:i/>
                <w:sz w:val="17"/>
                <w:szCs w:val="17"/>
              </w:rPr>
              <w:t>Perempuan</w:t>
            </w:r>
            <w:proofErr w:type="spellEnd"/>
            <w:r w:rsidRPr="00145685">
              <w:rPr>
                <w:rFonts w:ascii="Franklin Gothic Book" w:hAnsi="Franklin Gothic Book" w:cs="Arial"/>
                <w:sz w:val="17"/>
                <w:szCs w:val="17"/>
              </w:rPr>
              <w:t xml:space="preserve"> and the reform teams in the Supreme Court and Attorney-General’s Office comprised of civil society members). Partnerships will be broadened and deepened once the new program mobilises.</w:t>
            </w:r>
          </w:p>
        </w:tc>
      </w:tr>
      <w:tr w:rsidR="004C4AB6" w:rsidRPr="00145685" w:rsidTr="001E6579">
        <w:trPr>
          <w:cantSplit/>
        </w:trPr>
        <w:tc>
          <w:tcPr>
            <w:tcW w:w="1279" w:type="dxa"/>
            <w:vMerge w:val="restart"/>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Elections and Parliament </w:t>
            </w: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Develop a democratic governance strategy which involve staffing, planning and partnership </w:t>
            </w:r>
          </w:p>
        </w:tc>
        <w:tc>
          <w:tcPr>
            <w:tcW w:w="992" w:type="dxa"/>
          </w:tcPr>
          <w:p w:rsidR="00E42844" w:rsidRPr="00145685" w:rsidRDefault="004C4AB6" w:rsidP="00635368">
            <w:pPr>
              <w:rPr>
                <w:rFonts w:ascii="Franklin Gothic Book" w:hAnsi="Franklin Gothic Book" w:cs="Arial"/>
                <w:b/>
                <w:sz w:val="17"/>
                <w:szCs w:val="17"/>
              </w:rPr>
            </w:pPr>
            <w:r w:rsidRPr="00145685">
              <w:rPr>
                <w:rFonts w:ascii="Franklin Gothic Book" w:hAnsi="Franklin Gothic Book" w:cs="Arial"/>
                <w:bCs/>
                <w:sz w:val="17"/>
                <w:szCs w:val="17"/>
              </w:rPr>
              <w:t>Ongoing</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A situational analysis is being finalised following cross-program consultations in February and the proposed approach for the operational part of the delivery strategy. The next reference group meeting will be held before June 2011. </w:t>
            </w:r>
          </w:p>
        </w:tc>
      </w:tr>
      <w:tr w:rsidR="004C4AB6" w:rsidRPr="00145685" w:rsidTr="001E6579">
        <w:trPr>
          <w:cantSplit/>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Develop elections program</w:t>
            </w:r>
          </w:p>
        </w:tc>
        <w:tc>
          <w:tcPr>
            <w:tcW w:w="992" w:type="dxa"/>
          </w:tcPr>
          <w:p w:rsidR="00E42844" w:rsidRPr="00145685" w:rsidRDefault="004C4AB6" w:rsidP="00635368">
            <w:pPr>
              <w:rPr>
                <w:rFonts w:ascii="Franklin Gothic Book" w:hAnsi="Franklin Gothic Book" w:cs="Arial"/>
                <w:sz w:val="17"/>
                <w:szCs w:val="17"/>
              </w:rPr>
            </w:pPr>
            <w:r w:rsidRPr="00145685">
              <w:rPr>
                <w:rFonts w:ascii="Franklin Gothic Book" w:hAnsi="Franklin Gothic Book" w:cs="Arial"/>
                <w:sz w:val="17"/>
                <w:szCs w:val="17"/>
              </w:rPr>
              <w:t>Completed by end of March 2011</w:t>
            </w:r>
          </w:p>
        </w:tc>
        <w:tc>
          <w:tcPr>
            <w:tcW w:w="4514"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The elections design has been approved by ADG and pending implementation arrangement. Discussions between post, desk with PAS and </w:t>
            </w:r>
            <w:smartTag w:uri="urn:schemas-microsoft-com:office:smarttags" w:element="PersonName">
              <w:r w:rsidRPr="00145685">
                <w:rPr>
                  <w:rFonts w:ascii="Franklin Gothic Book" w:hAnsi="Franklin Gothic Book" w:cs="Arial"/>
                  <w:sz w:val="17"/>
                  <w:szCs w:val="17"/>
                </w:rPr>
                <w:t>ASPP</w:t>
              </w:r>
            </w:smartTag>
            <w:r w:rsidRPr="00145685">
              <w:rPr>
                <w:rFonts w:ascii="Franklin Gothic Book" w:hAnsi="Franklin Gothic Book" w:cs="Arial"/>
                <w:sz w:val="17"/>
                <w:szCs w:val="17"/>
              </w:rPr>
              <w:t xml:space="preserve"> have been held to find a solution. Proposed FMA9/10 and procurement minute for DG approval is in progress – intended completion is end of March</w:t>
            </w:r>
          </w:p>
        </w:tc>
      </w:tr>
      <w:tr w:rsidR="004C4AB6" w:rsidRPr="00145685" w:rsidTr="00852DEC">
        <w:trPr>
          <w:cantSplit/>
          <w:trHeight w:val="381"/>
        </w:trPr>
        <w:tc>
          <w:tcPr>
            <w:tcW w:w="1279" w:type="dxa"/>
            <w:vMerge/>
          </w:tcPr>
          <w:p w:rsidR="00E42844" w:rsidRPr="00145685" w:rsidRDefault="00E42844" w:rsidP="00635368">
            <w:pPr>
              <w:rPr>
                <w:rFonts w:ascii="Franklin Gothic Book" w:hAnsi="Franklin Gothic Book" w:cs="Arial"/>
                <w:sz w:val="17"/>
                <w:szCs w:val="17"/>
              </w:rPr>
            </w:pPr>
          </w:p>
        </w:tc>
        <w:tc>
          <w:tcPr>
            <w:tcW w:w="3535" w:type="dxa"/>
          </w:tcPr>
          <w:p w:rsidR="00E42844" w:rsidRPr="00145685" w:rsidRDefault="00E42844" w:rsidP="00635368">
            <w:pPr>
              <w:rPr>
                <w:rFonts w:ascii="Franklin Gothic Book" w:hAnsi="Franklin Gothic Book" w:cs="Arial"/>
                <w:sz w:val="17"/>
                <w:szCs w:val="17"/>
              </w:rPr>
            </w:pPr>
            <w:r w:rsidRPr="00145685">
              <w:rPr>
                <w:rFonts w:ascii="Franklin Gothic Book" w:hAnsi="Franklin Gothic Book" w:cs="Arial"/>
                <w:sz w:val="17"/>
                <w:szCs w:val="17"/>
              </w:rPr>
              <w:t xml:space="preserve">Engage more local staff with strong analytical background.  </w:t>
            </w:r>
          </w:p>
        </w:tc>
        <w:tc>
          <w:tcPr>
            <w:tcW w:w="992" w:type="dxa"/>
          </w:tcPr>
          <w:p w:rsidR="00E42844" w:rsidRPr="00145685" w:rsidRDefault="004C4AB6" w:rsidP="00635368">
            <w:pPr>
              <w:rPr>
                <w:rFonts w:ascii="Franklin Gothic Book" w:hAnsi="Franklin Gothic Book" w:cs="Arial"/>
                <w:sz w:val="17"/>
                <w:szCs w:val="17"/>
              </w:rPr>
            </w:pPr>
            <w:r w:rsidRPr="00145685">
              <w:rPr>
                <w:rFonts w:ascii="Franklin Gothic Book" w:hAnsi="Franklin Gothic Book" w:cs="Arial"/>
                <w:sz w:val="17"/>
                <w:szCs w:val="17"/>
              </w:rPr>
              <w:t xml:space="preserve">Completed </w:t>
            </w:r>
          </w:p>
        </w:tc>
        <w:tc>
          <w:tcPr>
            <w:tcW w:w="4514" w:type="dxa"/>
          </w:tcPr>
          <w:p w:rsidR="00E42844" w:rsidRPr="00145685" w:rsidRDefault="00E42844" w:rsidP="00635368">
            <w:pPr>
              <w:rPr>
                <w:rFonts w:ascii="Franklin Gothic Book" w:hAnsi="Franklin Gothic Book" w:cs="Arial"/>
                <w:sz w:val="17"/>
                <w:szCs w:val="17"/>
              </w:rPr>
            </w:pPr>
          </w:p>
        </w:tc>
      </w:tr>
    </w:tbl>
    <w:p w:rsidR="007F2DAB" w:rsidRDefault="007F2DAB" w:rsidP="002B67D3">
      <w:pPr>
        <w:pStyle w:val="Heading2"/>
        <w:spacing w:before="300" w:line="260" w:lineRule="atLeast"/>
      </w:pPr>
      <w:bookmarkStart w:id="226" w:name="_Toc300905120"/>
      <w:bookmarkStart w:id="227" w:name="_Toc360981916"/>
      <w:r>
        <w:t xml:space="preserve">Rural livelihoods and </w:t>
      </w:r>
      <w:proofErr w:type="spellStart"/>
      <w:r>
        <w:t>agribu</w:t>
      </w:r>
      <w:bookmarkEnd w:id="226"/>
      <w:bookmarkEnd w:id="227"/>
      <w:proofErr w:type="spellEnd"/>
    </w:p>
    <w:sectPr w:rsidR="007F2DAB" w:rsidSect="00420467">
      <w:headerReference w:type="even" r:id="rId20"/>
      <w:footerReference w:type="even" r:id="rId21"/>
      <w:footerReference w:type="default" r:id="rId22"/>
      <w:footerReference w:type="first" r:id="rId23"/>
      <w:pgSz w:w="11907" w:h="16840" w:code="9"/>
      <w:pgMar w:top="2381" w:right="2155" w:bottom="851" w:left="1890"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D3" w:rsidRDefault="002B67D3">
      <w:r>
        <w:separator/>
      </w:r>
    </w:p>
    <w:p w:rsidR="002B67D3" w:rsidRDefault="002B67D3"/>
  </w:endnote>
  <w:endnote w:type="continuationSeparator" w:id="0">
    <w:p w:rsidR="002B67D3" w:rsidRDefault="002B67D3">
      <w:r>
        <w:continuationSeparator/>
      </w:r>
    </w:p>
    <w:p w:rsidR="002B67D3" w:rsidRDefault="002B6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auto"/>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D3" w:rsidRPr="00AD612A" w:rsidRDefault="002B67D3">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120" name="Picture 120"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D3" w:rsidRPr="004A4B6B" w:rsidRDefault="002B67D3"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121" name="Picture 121"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STYLEREF  Title </w:instrText>
    </w:r>
    <w:r>
      <w:fldChar w:fldCharType="separate"/>
    </w:r>
    <w:r w:rsidR="004E4E1D">
      <w:rPr>
        <w:noProof/>
      </w:rPr>
      <w:t>Annual program performance report 2010: Indonesia</w:t>
    </w:r>
    <w:r>
      <w:fldChar w:fldCharType="end"/>
    </w:r>
    <w:bookmarkStart w:id="228" w:name="_Toc293049937"/>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4E4E1D">
      <w:rPr>
        <w:rStyle w:val="PageNumber"/>
        <w:noProof/>
      </w:rPr>
      <w:t>61</w:t>
    </w:r>
    <w:r w:rsidRPr="004A26C9">
      <w:rPr>
        <w:rStyle w:val="PageNumber"/>
      </w:rPr>
      <w:fldChar w:fldCharType="end"/>
    </w:r>
    <w:bookmarkEnd w:id="2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D3" w:rsidRDefault="002B67D3">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4E4E1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D3" w:rsidRDefault="002B67D3" w:rsidP="00D62AA4">
      <w:pPr>
        <w:spacing w:before="60" w:after="40" w:line="180" w:lineRule="exact"/>
      </w:pPr>
      <w:r>
        <w:continuationSeparator/>
      </w:r>
    </w:p>
  </w:footnote>
  <w:footnote w:type="continuationSeparator" w:id="0">
    <w:p w:rsidR="002B67D3" w:rsidRDefault="002B67D3">
      <w:r>
        <w:continuationSeparator/>
      </w:r>
    </w:p>
    <w:p w:rsidR="002B67D3" w:rsidRDefault="002B67D3"/>
  </w:footnote>
  <w:footnote w:type="continuationNotice" w:id="1">
    <w:p w:rsidR="002B67D3" w:rsidRDefault="002B67D3"/>
    <w:p w:rsidR="002B67D3" w:rsidRDefault="002B67D3"/>
  </w:footnote>
  <w:footnote w:id="2">
    <w:p w:rsidR="002B67D3" w:rsidRPr="000C7EC0" w:rsidRDefault="002B67D3" w:rsidP="00AD4169">
      <w:pPr>
        <w:pStyle w:val="FootnoteText"/>
        <w:rPr>
          <w:sz w:val="16"/>
          <w:szCs w:val="16"/>
        </w:rPr>
      </w:pPr>
      <w:r w:rsidRPr="000C7EC0">
        <w:rPr>
          <w:rStyle w:val="FootnoteReference"/>
          <w:sz w:val="16"/>
          <w:szCs w:val="16"/>
        </w:rPr>
        <w:footnoteRef/>
      </w:r>
      <w:r w:rsidRPr="000C7EC0">
        <w:rPr>
          <w:sz w:val="16"/>
          <w:szCs w:val="16"/>
        </w:rPr>
        <w:t xml:space="preserve"> Economist Intelligence Unit </w:t>
      </w:r>
      <w:hyperlink r:id="rId1" w:history="1">
        <w:r w:rsidRPr="000C7EC0">
          <w:rPr>
            <w:rStyle w:val="Hyperlink"/>
            <w:sz w:val="16"/>
            <w:szCs w:val="16"/>
          </w:rPr>
          <w:t>http://country.eiu.com/article.aspx?articleid=647793649&amp;Country=Indonesia</w:t>
        </w:r>
      </w:hyperlink>
      <w:r w:rsidRPr="000C7EC0">
        <w:rPr>
          <w:sz w:val="16"/>
          <w:szCs w:val="16"/>
        </w:rPr>
        <w:t xml:space="preserve"> </w:t>
      </w:r>
    </w:p>
  </w:footnote>
  <w:footnote w:id="3">
    <w:p w:rsidR="002B67D3" w:rsidRPr="00DE24D8" w:rsidRDefault="002B67D3">
      <w:pPr>
        <w:pStyle w:val="FootnoteText"/>
      </w:pPr>
      <w:r>
        <w:rPr>
          <w:rStyle w:val="FootnoteReference"/>
        </w:rPr>
        <w:footnoteRef/>
      </w:r>
      <w:r>
        <w:t xml:space="preserve"> </w:t>
      </w:r>
      <w:hyperlink r:id="rId2" w:history="1">
        <w:r w:rsidRPr="00DE24D8">
          <w:rPr>
            <w:rStyle w:val="Hyperlink"/>
            <w:sz w:val="16"/>
            <w:szCs w:val="16"/>
          </w:rPr>
          <w:t>http://www.tradingeconomics.com/indonesia/net-oda-received-percent-of-gni-wb-data.html</w:t>
        </w:r>
      </w:hyperlink>
      <w:r>
        <w:t>.</w:t>
      </w:r>
    </w:p>
  </w:footnote>
  <w:footnote w:id="4">
    <w:p w:rsidR="002B67D3" w:rsidRPr="00A52279" w:rsidRDefault="002B67D3" w:rsidP="00A52279">
      <w:pPr>
        <w:pStyle w:val="FootnoteText"/>
        <w:ind w:left="240" w:hanging="240"/>
        <w:rPr>
          <w:sz w:val="16"/>
          <w:szCs w:val="16"/>
        </w:rPr>
      </w:pPr>
      <w:r w:rsidRPr="003B117C">
        <w:rPr>
          <w:rStyle w:val="FootnoteReference"/>
          <w:sz w:val="14"/>
          <w:szCs w:val="14"/>
        </w:rPr>
        <w:footnoteRef/>
      </w:r>
      <w:r w:rsidRPr="00A52279">
        <w:rPr>
          <w:sz w:val="16"/>
          <w:szCs w:val="16"/>
        </w:rPr>
        <w:t xml:space="preserve"> </w:t>
      </w:r>
      <w:r>
        <w:rPr>
          <w:sz w:val="16"/>
          <w:szCs w:val="16"/>
        </w:rPr>
        <w:t xml:space="preserve"> </w:t>
      </w:r>
      <w:r>
        <w:rPr>
          <w:sz w:val="16"/>
          <w:szCs w:val="16"/>
        </w:rPr>
        <w:tab/>
      </w:r>
      <w:r w:rsidRPr="00A52279">
        <w:rPr>
          <w:sz w:val="16"/>
          <w:szCs w:val="16"/>
        </w:rPr>
        <w:t xml:space="preserve">Stephen Sherlock, “Knowledge for policy: Regulatory obstacles to the growth of a knowledge market in </w:t>
      </w:r>
      <w:smartTag w:uri="urn:schemas-microsoft-com:office:smarttags" w:element="place">
        <w:smartTag w:uri="urn:schemas-microsoft-com:office:smarttags" w:element="country-region">
          <w:r w:rsidRPr="00A52279">
            <w:rPr>
              <w:sz w:val="16"/>
              <w:szCs w:val="16"/>
            </w:rPr>
            <w:t>Indonesia</w:t>
          </w:r>
        </w:smartTag>
      </w:smartTag>
      <w:r w:rsidRPr="00A52279">
        <w:rPr>
          <w:sz w:val="16"/>
          <w:szCs w:val="16"/>
        </w:rPr>
        <w:t xml:space="preserve">”, </w:t>
      </w:r>
      <w:proofErr w:type="spellStart"/>
      <w:r w:rsidRPr="00A52279">
        <w:rPr>
          <w:sz w:val="16"/>
          <w:szCs w:val="16"/>
        </w:rPr>
        <w:t>AusAID</w:t>
      </w:r>
      <w:proofErr w:type="spellEnd"/>
      <w:r w:rsidRPr="00A52279">
        <w:rPr>
          <w:sz w:val="16"/>
          <w:szCs w:val="16"/>
        </w:rPr>
        <w:t>, June 2010, pp. 27-29.</w:t>
      </w:r>
    </w:p>
  </w:footnote>
  <w:footnote w:id="5">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r>
        <w:rPr>
          <w:sz w:val="16"/>
          <w:szCs w:val="16"/>
        </w:rPr>
        <w:tab/>
      </w:r>
      <w:r w:rsidRPr="00A52279">
        <w:rPr>
          <w:sz w:val="16"/>
          <w:szCs w:val="16"/>
        </w:rPr>
        <w:t>Ibid., pp.10-12</w:t>
      </w:r>
    </w:p>
  </w:footnote>
  <w:footnote w:id="6">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r>
        <w:rPr>
          <w:sz w:val="16"/>
          <w:szCs w:val="16"/>
        </w:rPr>
        <w:tab/>
      </w:r>
      <w:r w:rsidRPr="00A52279">
        <w:rPr>
          <w:sz w:val="16"/>
          <w:szCs w:val="16"/>
        </w:rPr>
        <w:t>Ibid., p. 12</w:t>
      </w:r>
    </w:p>
  </w:footnote>
  <w:footnote w:id="7">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r>
        <w:rPr>
          <w:sz w:val="16"/>
          <w:szCs w:val="16"/>
        </w:rPr>
        <w:tab/>
      </w:r>
      <w:r w:rsidRPr="00A52279">
        <w:rPr>
          <w:sz w:val="16"/>
          <w:szCs w:val="16"/>
        </w:rPr>
        <w:t xml:space="preserve">John McCarthy and </w:t>
      </w:r>
      <w:proofErr w:type="spellStart"/>
      <w:r w:rsidRPr="00A52279">
        <w:rPr>
          <w:sz w:val="16"/>
          <w:szCs w:val="16"/>
        </w:rPr>
        <w:t>Rustam</w:t>
      </w:r>
      <w:proofErr w:type="spellEnd"/>
      <w:r w:rsidRPr="00A52279">
        <w:rPr>
          <w:sz w:val="16"/>
          <w:szCs w:val="16"/>
        </w:rPr>
        <w:t xml:space="preserve"> Ibrahim, “Review of </w:t>
      </w:r>
      <w:smartTag w:uri="urn:schemas-microsoft-com:office:smarttags" w:element="PlaceName">
        <w:r w:rsidRPr="00A52279">
          <w:rPr>
            <w:sz w:val="16"/>
            <w:szCs w:val="16"/>
          </w:rPr>
          <w:t>Social</w:t>
        </w:r>
      </w:smartTag>
      <w:r w:rsidRPr="00A52279">
        <w:rPr>
          <w:sz w:val="16"/>
          <w:szCs w:val="16"/>
        </w:rPr>
        <w:t xml:space="preserve"> </w:t>
      </w:r>
      <w:smartTag w:uri="urn:schemas-microsoft-com:office:smarttags" w:element="PlaceName">
        <w:r w:rsidRPr="00A52279">
          <w:rPr>
            <w:sz w:val="16"/>
            <w:szCs w:val="16"/>
          </w:rPr>
          <w:t>Science</w:t>
        </w:r>
      </w:smartTag>
      <w:r w:rsidRPr="00A52279">
        <w:rPr>
          <w:sz w:val="16"/>
          <w:szCs w:val="16"/>
        </w:rPr>
        <w:t xml:space="preserve"> </w:t>
      </w:r>
      <w:smartTag w:uri="urn:schemas-microsoft-com:office:smarttags" w:element="PlaceName">
        <w:r w:rsidRPr="00A52279">
          <w:rPr>
            <w:sz w:val="16"/>
            <w:szCs w:val="16"/>
          </w:rPr>
          <w:t>Capacity</w:t>
        </w:r>
      </w:smartTag>
      <w:r w:rsidRPr="00A52279">
        <w:rPr>
          <w:sz w:val="16"/>
          <w:szCs w:val="16"/>
        </w:rPr>
        <w:t xml:space="preserve"> </w:t>
      </w:r>
      <w:smartTag w:uri="urn:schemas-microsoft-com:office:smarttags" w:element="PlaceType">
        <w:r w:rsidRPr="00A52279">
          <w:rPr>
            <w:sz w:val="16"/>
            <w:szCs w:val="16"/>
          </w:rPr>
          <w:t>Building</w:t>
        </w:r>
      </w:smartTag>
      <w:r w:rsidRPr="00A52279">
        <w:rPr>
          <w:sz w:val="16"/>
          <w:szCs w:val="16"/>
        </w:rPr>
        <w:t xml:space="preserve"> Support to </w:t>
      </w:r>
      <w:smartTag w:uri="urn:schemas-microsoft-com:office:smarttags" w:element="country-region">
        <w:smartTag w:uri="urn:schemas-microsoft-com:office:smarttags" w:element="place">
          <w:r w:rsidRPr="00A52279">
            <w:rPr>
              <w:sz w:val="16"/>
              <w:szCs w:val="16"/>
            </w:rPr>
            <w:t>Indonesia</w:t>
          </w:r>
        </w:smartTag>
      </w:smartTag>
      <w:r w:rsidRPr="00A52279">
        <w:rPr>
          <w:sz w:val="16"/>
          <w:szCs w:val="16"/>
        </w:rPr>
        <w:t xml:space="preserve">'s Knowledge Sector”, </w:t>
      </w:r>
      <w:proofErr w:type="spellStart"/>
      <w:r w:rsidRPr="00A52279">
        <w:rPr>
          <w:sz w:val="16"/>
          <w:szCs w:val="16"/>
        </w:rPr>
        <w:t>AusAID</w:t>
      </w:r>
      <w:proofErr w:type="spellEnd"/>
      <w:r w:rsidRPr="00A52279">
        <w:rPr>
          <w:sz w:val="16"/>
          <w:szCs w:val="16"/>
        </w:rPr>
        <w:t>, 8 March 2010, pp. 5-6.</w:t>
      </w:r>
    </w:p>
  </w:footnote>
  <w:footnote w:id="8">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r>
        <w:rPr>
          <w:sz w:val="16"/>
          <w:szCs w:val="16"/>
        </w:rPr>
        <w:tab/>
      </w:r>
      <w:proofErr w:type="spellStart"/>
      <w:r w:rsidRPr="00A52279">
        <w:rPr>
          <w:sz w:val="16"/>
          <w:szCs w:val="16"/>
        </w:rPr>
        <w:t>Petrarca</w:t>
      </w:r>
      <w:proofErr w:type="spellEnd"/>
      <w:r w:rsidRPr="00A52279">
        <w:rPr>
          <w:sz w:val="16"/>
          <w:szCs w:val="16"/>
        </w:rPr>
        <w:t xml:space="preserve"> </w:t>
      </w:r>
      <w:proofErr w:type="spellStart"/>
      <w:r w:rsidRPr="00A52279">
        <w:rPr>
          <w:sz w:val="16"/>
          <w:szCs w:val="16"/>
        </w:rPr>
        <w:t>Karetji</w:t>
      </w:r>
      <w:proofErr w:type="spellEnd"/>
      <w:r w:rsidRPr="00A52279">
        <w:rPr>
          <w:sz w:val="16"/>
          <w:szCs w:val="16"/>
        </w:rPr>
        <w:t xml:space="preserve">, “Milestone 8: Draft Final Report”, </w:t>
      </w:r>
      <w:proofErr w:type="spellStart"/>
      <w:r w:rsidRPr="00A52279">
        <w:rPr>
          <w:sz w:val="16"/>
          <w:szCs w:val="16"/>
        </w:rPr>
        <w:t>AusAID</w:t>
      </w:r>
      <w:proofErr w:type="spellEnd"/>
      <w:r w:rsidRPr="00A52279">
        <w:rPr>
          <w:sz w:val="16"/>
          <w:szCs w:val="16"/>
        </w:rPr>
        <w:t>, 30 September 2010, p. 11.</w:t>
      </w:r>
    </w:p>
  </w:footnote>
  <w:footnote w:id="9">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r>
        <w:rPr>
          <w:sz w:val="16"/>
          <w:szCs w:val="16"/>
        </w:rPr>
        <w:tab/>
      </w:r>
      <w:r w:rsidRPr="00A52279">
        <w:rPr>
          <w:sz w:val="16"/>
          <w:szCs w:val="16"/>
        </w:rPr>
        <w:t>McCarthy &amp; Ibrahim, “Review of Social Science Capacity Building”, pp. 5-6.</w:t>
      </w:r>
    </w:p>
  </w:footnote>
  <w:footnote w:id="10">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Sandra Hamid, “Progress Update: Knowledge Sector for Development Policies”, PowerPoint presentation to the Knowledge Sector Management Group Meeting, 10 February 2011, The Asia Foundation.</w:t>
      </w:r>
    </w:p>
  </w:footnote>
  <w:footnote w:id="11">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r>
        <w:rPr>
          <w:sz w:val="16"/>
          <w:szCs w:val="16"/>
        </w:rPr>
        <w:tab/>
      </w:r>
      <w:r w:rsidRPr="00A52279">
        <w:rPr>
          <w:sz w:val="16"/>
          <w:szCs w:val="16"/>
        </w:rPr>
        <w:t>Ibid.</w:t>
      </w:r>
    </w:p>
  </w:footnote>
  <w:footnote w:id="12">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proofErr w:type="gramStart"/>
      <w:r w:rsidRPr="00A52279">
        <w:rPr>
          <w:sz w:val="16"/>
          <w:szCs w:val="16"/>
        </w:rPr>
        <w:t>Workshop Discussions, "</w:t>
      </w:r>
      <w:proofErr w:type="spellStart"/>
      <w:r w:rsidRPr="00A52279">
        <w:rPr>
          <w:sz w:val="16"/>
          <w:szCs w:val="16"/>
        </w:rPr>
        <w:t>Pembahasan</w:t>
      </w:r>
      <w:proofErr w:type="spellEnd"/>
      <w:r w:rsidRPr="00A52279">
        <w:rPr>
          <w:sz w:val="16"/>
          <w:szCs w:val="16"/>
        </w:rPr>
        <w:t xml:space="preserve"> </w:t>
      </w:r>
      <w:proofErr w:type="spellStart"/>
      <w:r w:rsidRPr="00A52279">
        <w:rPr>
          <w:sz w:val="16"/>
          <w:szCs w:val="16"/>
        </w:rPr>
        <w:t>Temuan</w:t>
      </w:r>
      <w:proofErr w:type="spellEnd"/>
      <w:r w:rsidRPr="00A52279">
        <w:rPr>
          <w:sz w:val="16"/>
          <w:szCs w:val="16"/>
        </w:rPr>
        <w:t xml:space="preserve"> </w:t>
      </w:r>
      <w:proofErr w:type="spellStart"/>
      <w:r w:rsidRPr="00A52279">
        <w:rPr>
          <w:sz w:val="16"/>
          <w:szCs w:val="16"/>
        </w:rPr>
        <w:t>Awal</w:t>
      </w:r>
      <w:proofErr w:type="spellEnd"/>
      <w:r w:rsidRPr="00A52279">
        <w:rPr>
          <w:sz w:val="16"/>
          <w:szCs w:val="16"/>
        </w:rPr>
        <w:t xml:space="preserve"> </w:t>
      </w:r>
      <w:proofErr w:type="spellStart"/>
      <w:r w:rsidRPr="00A52279">
        <w:rPr>
          <w:sz w:val="16"/>
          <w:szCs w:val="16"/>
        </w:rPr>
        <w:t>Studi</w:t>
      </w:r>
      <w:proofErr w:type="spellEnd"/>
      <w:r w:rsidRPr="00A52279">
        <w:rPr>
          <w:sz w:val="16"/>
          <w:szCs w:val="16"/>
        </w:rPr>
        <w:t xml:space="preserve"> </w:t>
      </w:r>
      <w:proofErr w:type="spellStart"/>
      <w:r w:rsidRPr="00A52279">
        <w:rPr>
          <w:sz w:val="16"/>
          <w:szCs w:val="16"/>
        </w:rPr>
        <w:t>Strategi</w:t>
      </w:r>
      <w:proofErr w:type="spellEnd"/>
      <w:r w:rsidRPr="00A52279">
        <w:rPr>
          <w:sz w:val="16"/>
          <w:szCs w:val="16"/>
        </w:rPr>
        <w:t xml:space="preserve"> </w:t>
      </w:r>
      <w:proofErr w:type="spellStart"/>
      <w:r w:rsidRPr="00A52279">
        <w:rPr>
          <w:sz w:val="16"/>
          <w:szCs w:val="16"/>
        </w:rPr>
        <w:t>dan</w:t>
      </w:r>
      <w:proofErr w:type="spellEnd"/>
      <w:r w:rsidRPr="00A52279">
        <w:rPr>
          <w:sz w:val="16"/>
          <w:szCs w:val="16"/>
        </w:rPr>
        <w:t xml:space="preserve"> </w:t>
      </w:r>
      <w:proofErr w:type="spellStart"/>
      <w:r w:rsidRPr="00A52279">
        <w:rPr>
          <w:sz w:val="16"/>
          <w:szCs w:val="16"/>
        </w:rPr>
        <w:t>Kapasitas</w:t>
      </w:r>
      <w:proofErr w:type="spellEnd"/>
      <w:r w:rsidRPr="00A52279">
        <w:rPr>
          <w:sz w:val="16"/>
          <w:szCs w:val="16"/>
        </w:rPr>
        <w:t xml:space="preserve"> CSO/NGO </w:t>
      </w:r>
      <w:proofErr w:type="spellStart"/>
      <w:r w:rsidRPr="00A52279">
        <w:rPr>
          <w:sz w:val="16"/>
          <w:szCs w:val="16"/>
        </w:rPr>
        <w:t>dalam</w:t>
      </w:r>
      <w:proofErr w:type="spellEnd"/>
      <w:r w:rsidRPr="00A52279">
        <w:rPr>
          <w:sz w:val="16"/>
          <w:szCs w:val="16"/>
        </w:rPr>
        <w:t xml:space="preserve"> </w:t>
      </w:r>
      <w:proofErr w:type="spellStart"/>
      <w:r w:rsidRPr="00A52279">
        <w:rPr>
          <w:sz w:val="16"/>
          <w:szCs w:val="16"/>
        </w:rPr>
        <w:t>Advokasi</w:t>
      </w:r>
      <w:proofErr w:type="spellEnd"/>
      <w:r w:rsidRPr="00A52279">
        <w:rPr>
          <w:sz w:val="16"/>
          <w:szCs w:val="16"/>
        </w:rPr>
        <w:t xml:space="preserve"> </w:t>
      </w:r>
      <w:proofErr w:type="spellStart"/>
      <w:r w:rsidRPr="00A52279">
        <w:rPr>
          <w:sz w:val="16"/>
          <w:szCs w:val="16"/>
        </w:rPr>
        <w:t>Kebijakan</w:t>
      </w:r>
      <w:proofErr w:type="spellEnd"/>
      <w:r w:rsidRPr="00A52279">
        <w:rPr>
          <w:sz w:val="16"/>
          <w:szCs w:val="16"/>
        </w:rPr>
        <w:t>", convened by the SMERU Research Institute and the Evidence-Based Policy Development Network (</w:t>
      </w:r>
      <w:proofErr w:type="spellStart"/>
      <w:r w:rsidRPr="00A52279">
        <w:rPr>
          <w:sz w:val="16"/>
          <w:szCs w:val="16"/>
        </w:rPr>
        <w:t>ebpdn</w:t>
      </w:r>
      <w:proofErr w:type="spellEnd"/>
      <w:r w:rsidRPr="00A52279">
        <w:rPr>
          <w:sz w:val="16"/>
          <w:szCs w:val="16"/>
        </w:rPr>
        <w:t>), 1-2 February 2010.</w:t>
      </w:r>
      <w:proofErr w:type="gramEnd"/>
    </w:p>
  </w:footnote>
  <w:footnote w:id="13">
    <w:p w:rsidR="002B67D3" w:rsidRPr="00A52279" w:rsidRDefault="002B67D3" w:rsidP="00A52279">
      <w:pPr>
        <w:pStyle w:val="FootnoteText"/>
        <w:ind w:left="240" w:hanging="240"/>
        <w:rPr>
          <w:sz w:val="16"/>
          <w:szCs w:val="16"/>
        </w:rPr>
      </w:pPr>
      <w:r w:rsidRPr="00A52279">
        <w:rPr>
          <w:rStyle w:val="FootnoteReference"/>
          <w:sz w:val="16"/>
          <w:szCs w:val="16"/>
        </w:rPr>
        <w:footnoteRef/>
      </w:r>
      <w:r w:rsidRPr="00A52279">
        <w:rPr>
          <w:sz w:val="16"/>
          <w:szCs w:val="16"/>
        </w:rPr>
        <w:t xml:space="preserve"> </w:t>
      </w:r>
      <w:proofErr w:type="spellStart"/>
      <w:smartTag w:uri="urn:schemas-microsoft-com:office:smarttags" w:element="PersonName">
        <w:r w:rsidRPr="00A52279">
          <w:rPr>
            <w:sz w:val="16"/>
            <w:szCs w:val="16"/>
          </w:rPr>
          <w:t>Piter</w:t>
        </w:r>
        <w:proofErr w:type="spellEnd"/>
        <w:r w:rsidRPr="00A52279">
          <w:rPr>
            <w:sz w:val="16"/>
            <w:szCs w:val="16"/>
          </w:rPr>
          <w:t xml:space="preserve"> Edward</w:t>
        </w:r>
      </w:smartTag>
      <w:r w:rsidRPr="00A52279">
        <w:rPr>
          <w:sz w:val="16"/>
          <w:szCs w:val="16"/>
        </w:rPr>
        <w:t>, “</w:t>
      </w:r>
      <w:proofErr w:type="spellStart"/>
      <w:r w:rsidRPr="00A52279">
        <w:rPr>
          <w:sz w:val="16"/>
          <w:szCs w:val="16"/>
        </w:rPr>
        <w:t>Peran</w:t>
      </w:r>
      <w:proofErr w:type="spellEnd"/>
      <w:r w:rsidRPr="00A52279">
        <w:rPr>
          <w:sz w:val="16"/>
          <w:szCs w:val="16"/>
        </w:rPr>
        <w:t xml:space="preserve"> </w:t>
      </w:r>
      <w:proofErr w:type="spellStart"/>
      <w:r w:rsidRPr="00A52279">
        <w:rPr>
          <w:sz w:val="16"/>
          <w:szCs w:val="16"/>
        </w:rPr>
        <w:t>Organisasi</w:t>
      </w:r>
      <w:proofErr w:type="spellEnd"/>
      <w:r w:rsidRPr="00A52279">
        <w:rPr>
          <w:sz w:val="16"/>
          <w:szCs w:val="16"/>
        </w:rPr>
        <w:t xml:space="preserve"> </w:t>
      </w:r>
      <w:proofErr w:type="spellStart"/>
      <w:r w:rsidRPr="00A52279">
        <w:rPr>
          <w:sz w:val="16"/>
          <w:szCs w:val="16"/>
        </w:rPr>
        <w:t>Masyarakat</w:t>
      </w:r>
      <w:proofErr w:type="spellEnd"/>
      <w:r w:rsidRPr="00A52279">
        <w:rPr>
          <w:sz w:val="16"/>
          <w:szCs w:val="16"/>
        </w:rPr>
        <w:t xml:space="preserve"> </w:t>
      </w:r>
      <w:proofErr w:type="spellStart"/>
      <w:r w:rsidRPr="00A52279">
        <w:rPr>
          <w:sz w:val="16"/>
          <w:szCs w:val="16"/>
        </w:rPr>
        <w:t>Sipil</w:t>
      </w:r>
      <w:proofErr w:type="spellEnd"/>
      <w:r w:rsidRPr="00A52279">
        <w:rPr>
          <w:sz w:val="16"/>
          <w:szCs w:val="16"/>
        </w:rPr>
        <w:t xml:space="preserve"> </w:t>
      </w:r>
      <w:proofErr w:type="spellStart"/>
      <w:r w:rsidRPr="00A52279">
        <w:rPr>
          <w:sz w:val="16"/>
          <w:szCs w:val="16"/>
        </w:rPr>
        <w:t>dalam</w:t>
      </w:r>
      <w:proofErr w:type="spellEnd"/>
      <w:r w:rsidRPr="00A52279">
        <w:rPr>
          <w:sz w:val="16"/>
          <w:szCs w:val="16"/>
        </w:rPr>
        <w:t xml:space="preserve"> Proses </w:t>
      </w:r>
      <w:proofErr w:type="spellStart"/>
      <w:r w:rsidRPr="00A52279">
        <w:rPr>
          <w:sz w:val="16"/>
          <w:szCs w:val="16"/>
        </w:rPr>
        <w:t>Pembuatan</w:t>
      </w:r>
      <w:proofErr w:type="spellEnd"/>
      <w:r w:rsidRPr="00A52279">
        <w:rPr>
          <w:sz w:val="16"/>
          <w:szCs w:val="16"/>
        </w:rPr>
        <w:t xml:space="preserve"> </w:t>
      </w:r>
      <w:proofErr w:type="spellStart"/>
      <w:r w:rsidRPr="00A52279">
        <w:rPr>
          <w:sz w:val="16"/>
          <w:szCs w:val="16"/>
        </w:rPr>
        <w:t>Kebijakan</w:t>
      </w:r>
      <w:proofErr w:type="spellEnd"/>
      <w:r w:rsidRPr="00A52279">
        <w:rPr>
          <w:sz w:val="16"/>
          <w:szCs w:val="16"/>
        </w:rPr>
        <w:t xml:space="preserve"> di Indonesia </w:t>
      </w:r>
      <w:proofErr w:type="spellStart"/>
      <w:r w:rsidRPr="00A52279">
        <w:rPr>
          <w:sz w:val="16"/>
          <w:szCs w:val="16"/>
        </w:rPr>
        <w:t>pada</w:t>
      </w:r>
      <w:proofErr w:type="spellEnd"/>
      <w:r w:rsidRPr="00A52279">
        <w:rPr>
          <w:sz w:val="16"/>
          <w:szCs w:val="16"/>
        </w:rPr>
        <w:t xml:space="preserve"> Era </w:t>
      </w:r>
      <w:proofErr w:type="spellStart"/>
      <w:r w:rsidRPr="00A52279">
        <w:rPr>
          <w:sz w:val="16"/>
          <w:szCs w:val="16"/>
        </w:rPr>
        <w:t>Reformasi</w:t>
      </w:r>
      <w:proofErr w:type="spellEnd"/>
      <w:r w:rsidRPr="00A52279">
        <w:rPr>
          <w:sz w:val="16"/>
          <w:szCs w:val="16"/>
        </w:rPr>
        <w:t xml:space="preserve">”, unpublished </w:t>
      </w:r>
      <w:proofErr w:type="spellStart"/>
      <w:r w:rsidRPr="00A52279">
        <w:rPr>
          <w:sz w:val="16"/>
          <w:szCs w:val="16"/>
        </w:rPr>
        <w:t>Masters</w:t>
      </w:r>
      <w:proofErr w:type="spellEnd"/>
      <w:r w:rsidRPr="00A52279">
        <w:rPr>
          <w:sz w:val="16"/>
          <w:szCs w:val="16"/>
        </w:rPr>
        <w:t xml:space="preserve"> Thesis, </w:t>
      </w:r>
      <w:smartTag w:uri="urn:schemas-microsoft-com:office:smarttags" w:element="place">
        <w:smartTag w:uri="urn:schemas-microsoft-com:office:smarttags" w:element="PlaceType">
          <w:r w:rsidRPr="00A52279">
            <w:rPr>
              <w:sz w:val="16"/>
              <w:szCs w:val="16"/>
            </w:rPr>
            <w:t>University</w:t>
          </w:r>
        </w:smartTag>
        <w:r w:rsidRPr="00A52279">
          <w:rPr>
            <w:sz w:val="16"/>
            <w:szCs w:val="16"/>
          </w:rPr>
          <w:t xml:space="preserve"> of </w:t>
        </w:r>
        <w:smartTag w:uri="urn:schemas-microsoft-com:office:smarttags" w:element="PlaceName">
          <w:r w:rsidRPr="00A52279">
            <w:rPr>
              <w:sz w:val="16"/>
              <w:szCs w:val="16"/>
            </w:rPr>
            <w:t>Indonesia</w:t>
          </w:r>
        </w:smartTag>
      </w:smartTag>
      <w:r w:rsidRPr="00A52279">
        <w:rPr>
          <w:sz w:val="16"/>
          <w:szCs w:val="16"/>
        </w:rPr>
        <w:t xml:space="preserve">, </w:t>
      </w:r>
      <w:proofErr w:type="gramStart"/>
      <w:r w:rsidRPr="00A52279">
        <w:rPr>
          <w:sz w:val="16"/>
          <w:szCs w:val="16"/>
        </w:rPr>
        <w:t>December</w:t>
      </w:r>
      <w:proofErr w:type="gramEnd"/>
      <w:r w:rsidRPr="00A52279">
        <w:rPr>
          <w:sz w:val="16"/>
          <w:szCs w:val="16"/>
        </w:rPr>
        <w:t xml:space="preserve"> 2010.</w:t>
      </w:r>
    </w:p>
  </w:footnote>
  <w:footnote w:id="14">
    <w:p w:rsidR="002B67D3" w:rsidRPr="00E65A35" w:rsidRDefault="002B67D3" w:rsidP="00E65A35">
      <w:pPr>
        <w:pStyle w:val="FootnoteText"/>
        <w:ind w:left="120" w:hanging="120"/>
        <w:rPr>
          <w:sz w:val="16"/>
          <w:szCs w:val="16"/>
        </w:rPr>
      </w:pPr>
      <w:r w:rsidRPr="00FE7589">
        <w:rPr>
          <w:rStyle w:val="FootnoteReference"/>
          <w:sz w:val="16"/>
        </w:rPr>
        <w:footnoteRef/>
      </w:r>
      <w:r w:rsidRPr="00E65A35">
        <w:rPr>
          <w:sz w:val="16"/>
          <w:szCs w:val="16"/>
        </w:rPr>
        <w:t xml:space="preserve"> The portfolio is comprised of a number of programs that have a historical basis.  Programs are aligned to areas of </w:t>
      </w:r>
      <w:proofErr w:type="spellStart"/>
      <w:r w:rsidRPr="00E65A35">
        <w:rPr>
          <w:sz w:val="16"/>
          <w:szCs w:val="16"/>
        </w:rPr>
        <w:t>GoI</w:t>
      </w:r>
      <w:proofErr w:type="spellEnd"/>
      <w:r w:rsidRPr="00E65A35">
        <w:rPr>
          <w:sz w:val="16"/>
          <w:szCs w:val="16"/>
        </w:rPr>
        <w:t xml:space="preserve"> priority for health in advancing the MDGs, and </w:t>
      </w:r>
      <w:smartTag w:uri="urn:schemas-microsoft-com:office:smarttags" w:element="country-region">
        <w:smartTag w:uri="urn:schemas-microsoft-com:office:smarttags" w:element="place">
          <w:r w:rsidRPr="00E65A35">
            <w:rPr>
              <w:sz w:val="16"/>
              <w:szCs w:val="16"/>
            </w:rPr>
            <w:t>Australia</w:t>
          </w:r>
        </w:smartTag>
      </w:smartTag>
      <w:r w:rsidRPr="00E65A35">
        <w:rPr>
          <w:sz w:val="16"/>
          <w:szCs w:val="16"/>
        </w:rPr>
        <w:t xml:space="preserve">’s national interests.   </w:t>
      </w:r>
    </w:p>
  </w:footnote>
  <w:footnote w:id="15">
    <w:p w:rsidR="002B67D3" w:rsidRPr="00E65A35" w:rsidRDefault="002B67D3" w:rsidP="00E65A35">
      <w:pPr>
        <w:pStyle w:val="FootnoteText"/>
        <w:ind w:left="120" w:hanging="120"/>
        <w:rPr>
          <w:sz w:val="16"/>
          <w:szCs w:val="16"/>
        </w:rPr>
      </w:pPr>
      <w:r w:rsidRPr="00E65A35">
        <w:rPr>
          <w:rStyle w:val="FootnoteReference"/>
          <w:sz w:val="16"/>
          <w:szCs w:val="16"/>
        </w:rPr>
        <w:footnoteRef/>
      </w:r>
      <w:r w:rsidRPr="00E65A35">
        <w:rPr>
          <w:sz w:val="16"/>
          <w:szCs w:val="16"/>
        </w:rPr>
        <w:t xml:space="preserve"> WHO 2008 as reported in Indonesia Health Sector Review: Financing Universal coverage: Assessing fiscal space for health.  </w:t>
      </w:r>
      <w:proofErr w:type="gramStart"/>
      <w:r w:rsidRPr="00E65A35">
        <w:rPr>
          <w:sz w:val="16"/>
          <w:szCs w:val="16"/>
        </w:rPr>
        <w:t>Policy and discussion notes September 2010.</w:t>
      </w:r>
      <w:proofErr w:type="gramEnd"/>
      <w:r w:rsidRPr="00E65A35">
        <w:rPr>
          <w:sz w:val="16"/>
          <w:szCs w:val="16"/>
        </w:rPr>
        <w:t xml:space="preserve"> </w:t>
      </w:r>
    </w:p>
  </w:footnote>
  <w:footnote w:id="16">
    <w:p w:rsidR="002B67D3" w:rsidRDefault="002B67D3" w:rsidP="00486DC0">
      <w:pPr>
        <w:pStyle w:val="FootnoteText"/>
        <w:ind w:left="120" w:hanging="120"/>
      </w:pPr>
      <w:r>
        <w:rPr>
          <w:rStyle w:val="FootnoteReference"/>
        </w:rPr>
        <w:footnoteRef/>
      </w:r>
      <w:r>
        <w:t xml:space="preserve"> </w:t>
      </w:r>
      <w:proofErr w:type="gramStart"/>
      <w:r>
        <w:rPr>
          <w:sz w:val="16"/>
          <w:szCs w:val="16"/>
        </w:rPr>
        <w:t>A $25 million pilot for output-based incentive grant</w:t>
      </w:r>
      <w:proofErr w:type="gramEnd"/>
      <w:r>
        <w:rPr>
          <w:sz w:val="16"/>
          <w:szCs w:val="16"/>
        </w:rPr>
        <w:t xml:space="preserve"> mechanism to stimulate increased investment for local governments in piped water supply and to improve coverage and services delivery to the poor communities.</w:t>
      </w:r>
    </w:p>
  </w:footnote>
  <w:footnote w:id="17">
    <w:p w:rsidR="002B67D3" w:rsidRPr="00E32D22" w:rsidRDefault="002B67D3" w:rsidP="00E32D22">
      <w:pPr>
        <w:pStyle w:val="FootnoteText"/>
        <w:ind w:left="240" w:hanging="240"/>
        <w:rPr>
          <w:sz w:val="16"/>
          <w:szCs w:val="16"/>
        </w:rPr>
      </w:pPr>
      <w:r w:rsidRPr="00E32D22">
        <w:rPr>
          <w:rStyle w:val="FootnoteReference"/>
          <w:sz w:val="16"/>
          <w:szCs w:val="16"/>
        </w:rPr>
        <w:footnoteRef/>
      </w:r>
      <w:r w:rsidRPr="00E32D22">
        <w:rPr>
          <w:sz w:val="16"/>
          <w:szCs w:val="16"/>
        </w:rPr>
        <w:t xml:space="preserve"> MKPP+: </w:t>
      </w:r>
      <w:proofErr w:type="spellStart"/>
      <w:r w:rsidRPr="00E32D22">
        <w:rPr>
          <w:sz w:val="16"/>
          <w:szCs w:val="16"/>
        </w:rPr>
        <w:t>Matriks</w:t>
      </w:r>
      <w:proofErr w:type="spellEnd"/>
      <w:r w:rsidRPr="00E32D22">
        <w:rPr>
          <w:sz w:val="16"/>
          <w:szCs w:val="16"/>
        </w:rPr>
        <w:t xml:space="preserve"> </w:t>
      </w:r>
      <w:proofErr w:type="spellStart"/>
      <w:r w:rsidRPr="00E32D22">
        <w:rPr>
          <w:sz w:val="16"/>
          <w:szCs w:val="16"/>
        </w:rPr>
        <w:t>Konsolidasi</w:t>
      </w:r>
      <w:proofErr w:type="spellEnd"/>
      <w:r w:rsidRPr="00E32D22">
        <w:rPr>
          <w:sz w:val="16"/>
          <w:szCs w:val="16"/>
        </w:rPr>
        <w:t xml:space="preserve"> </w:t>
      </w:r>
      <w:proofErr w:type="spellStart"/>
      <w:r w:rsidRPr="00E32D22">
        <w:rPr>
          <w:sz w:val="16"/>
          <w:szCs w:val="16"/>
        </w:rPr>
        <w:t>Perencanaan</w:t>
      </w:r>
      <w:proofErr w:type="spellEnd"/>
      <w:r w:rsidRPr="00E32D22">
        <w:rPr>
          <w:sz w:val="16"/>
          <w:szCs w:val="16"/>
        </w:rPr>
        <w:t xml:space="preserve"> </w:t>
      </w:r>
      <w:proofErr w:type="spellStart"/>
      <w:r w:rsidRPr="00E32D22">
        <w:rPr>
          <w:sz w:val="16"/>
          <w:szCs w:val="16"/>
        </w:rPr>
        <w:t>dan</w:t>
      </w:r>
      <w:proofErr w:type="spellEnd"/>
      <w:r w:rsidRPr="00E32D22">
        <w:rPr>
          <w:sz w:val="16"/>
          <w:szCs w:val="16"/>
        </w:rPr>
        <w:t xml:space="preserve"> </w:t>
      </w:r>
      <w:proofErr w:type="spellStart"/>
      <w:r w:rsidRPr="00E32D22">
        <w:rPr>
          <w:sz w:val="16"/>
          <w:szCs w:val="16"/>
        </w:rPr>
        <w:t>Penganggaran</w:t>
      </w:r>
      <w:proofErr w:type="spellEnd"/>
      <w:r w:rsidRPr="00E32D22">
        <w:rPr>
          <w:sz w:val="16"/>
          <w:szCs w:val="16"/>
        </w:rPr>
        <w:t xml:space="preserve">, is a tool to consolidate all documents related to planning and budgeting, i.e. medium-term strategic plans, and annual plans. The MKPP+ is an elaborated version of MKPP to include international key performance indicators, such as the Millennium Development Goals and Human Development Indices. </w:t>
      </w:r>
    </w:p>
  </w:footnote>
  <w:footnote w:id="18">
    <w:p w:rsidR="002B67D3" w:rsidRPr="00E32D22" w:rsidRDefault="002B67D3" w:rsidP="00E32D22">
      <w:pPr>
        <w:pStyle w:val="FootnoteText"/>
        <w:ind w:left="240" w:hanging="240"/>
        <w:rPr>
          <w:sz w:val="16"/>
          <w:szCs w:val="16"/>
        </w:rPr>
      </w:pPr>
      <w:r w:rsidRPr="00E32D22">
        <w:rPr>
          <w:rStyle w:val="FootnoteReference"/>
          <w:sz w:val="16"/>
          <w:szCs w:val="16"/>
        </w:rPr>
        <w:footnoteRef/>
      </w:r>
      <w:r w:rsidRPr="00E32D22">
        <w:rPr>
          <w:sz w:val="16"/>
          <w:szCs w:val="16"/>
        </w:rPr>
        <w:t xml:space="preserve"> The Government Regulations (PP No. 58/2005) stipulates that the maximum deficit of revenue from its expenditure estimates should be less than 5%. </w:t>
      </w:r>
    </w:p>
  </w:footnote>
  <w:footnote w:id="19">
    <w:p w:rsidR="002B67D3" w:rsidRPr="000C7EC0" w:rsidRDefault="002B67D3" w:rsidP="000C7EC0">
      <w:pPr>
        <w:pStyle w:val="FootnoteText"/>
        <w:ind w:left="120" w:hanging="120"/>
        <w:rPr>
          <w:rStyle w:val="BoxNoteSourceChar"/>
          <w:sz w:val="16"/>
          <w:szCs w:val="16"/>
        </w:rPr>
      </w:pPr>
      <w:r>
        <w:rPr>
          <w:rStyle w:val="FootnoteReference"/>
        </w:rPr>
        <w:footnoteRef/>
      </w:r>
      <w:r>
        <w:t xml:space="preserve"> </w:t>
      </w:r>
      <w:r w:rsidRPr="000C7EC0">
        <w:rPr>
          <w:rStyle w:val="BoxNoteSourceChar"/>
          <w:sz w:val="16"/>
          <w:szCs w:val="16"/>
        </w:rPr>
        <w:t xml:space="preserve">The majority of Indonesia’s poor live in rural areas and over 40 </w:t>
      </w:r>
      <w:proofErr w:type="spellStart"/>
      <w:r w:rsidRPr="000C7EC0">
        <w:rPr>
          <w:rStyle w:val="BoxNoteSourceChar"/>
          <w:sz w:val="16"/>
          <w:szCs w:val="16"/>
        </w:rPr>
        <w:t>percent</w:t>
      </w:r>
      <w:proofErr w:type="spellEnd"/>
      <w:r w:rsidRPr="000C7EC0">
        <w:rPr>
          <w:rStyle w:val="BoxNoteSourceChar"/>
          <w:sz w:val="16"/>
          <w:szCs w:val="16"/>
        </w:rPr>
        <w:t xml:space="preserve"> of Indonesia’s labour force rely on low-productivity activities in agriculture for their livelihoods (source: World Bank, Indonesia Development Policy Review – Enhancing government effectiveness in a democratic and decentralised Indonesia, November 2009, page v)</w:t>
      </w:r>
    </w:p>
  </w:footnote>
  <w:footnote w:id="20">
    <w:p w:rsidR="002B67D3" w:rsidRPr="00BC34CE" w:rsidRDefault="002B67D3" w:rsidP="00BC34CE">
      <w:pPr>
        <w:pStyle w:val="FootnoteText"/>
        <w:rPr>
          <w:sz w:val="16"/>
          <w:szCs w:val="16"/>
        </w:rPr>
      </w:pPr>
      <w:r w:rsidRPr="00BC34CE">
        <w:rPr>
          <w:rStyle w:val="FootnoteReference"/>
          <w:sz w:val="16"/>
          <w:szCs w:val="16"/>
        </w:rPr>
        <w:footnoteRef/>
      </w:r>
      <w:r w:rsidRPr="00BC34CE">
        <w:rPr>
          <w:sz w:val="16"/>
          <w:szCs w:val="16"/>
        </w:rPr>
        <w:t xml:space="preserve"> Surveys and studies conducted by the Regional Watch Committee (KPPOD) and the Asia Foundation, and by LPEM, </w:t>
      </w:r>
      <w:smartTag w:uri="urn:schemas-microsoft-com:office:smarttags" w:element="place">
        <w:smartTag w:uri="urn:schemas-microsoft-com:office:smarttags" w:element="PlaceType">
          <w:r w:rsidRPr="00BC34CE">
            <w:rPr>
              <w:sz w:val="16"/>
              <w:szCs w:val="16"/>
            </w:rPr>
            <w:t>University</w:t>
          </w:r>
        </w:smartTag>
        <w:r w:rsidRPr="00BC34CE">
          <w:rPr>
            <w:sz w:val="16"/>
            <w:szCs w:val="16"/>
          </w:rPr>
          <w:t xml:space="preserve"> of </w:t>
        </w:r>
        <w:smartTag w:uri="urn:schemas-microsoft-com:office:smarttags" w:element="PlaceName">
          <w:r w:rsidRPr="00BC34CE">
            <w:rPr>
              <w:sz w:val="16"/>
              <w:szCs w:val="16"/>
            </w:rPr>
            <w:t>Indonesia</w:t>
          </w:r>
        </w:smartTag>
      </w:smartTag>
    </w:p>
  </w:footnote>
  <w:footnote w:id="21">
    <w:p w:rsidR="002B67D3" w:rsidRPr="001F1DAB" w:rsidRDefault="002B67D3" w:rsidP="001F1DAB">
      <w:pPr>
        <w:pStyle w:val="FootnoteText"/>
        <w:ind w:left="120" w:hanging="120"/>
        <w:rPr>
          <w:sz w:val="16"/>
          <w:szCs w:val="16"/>
        </w:rPr>
      </w:pPr>
      <w:r w:rsidRPr="001F1DAB">
        <w:rPr>
          <w:rStyle w:val="FootnoteReference"/>
          <w:sz w:val="16"/>
          <w:szCs w:val="16"/>
        </w:rPr>
        <w:footnoteRef/>
      </w:r>
      <w:r w:rsidRPr="001F1DAB">
        <w:rPr>
          <w:sz w:val="16"/>
          <w:szCs w:val="16"/>
        </w:rPr>
        <w:t xml:space="preserve"> Note that this figure is approximate owing to the difficulty in reconciling figures from nation</w:t>
      </w:r>
      <w:r>
        <w:rPr>
          <w:sz w:val="16"/>
          <w:szCs w:val="16"/>
        </w:rPr>
        <w:t>al and sub-national parliament</w:t>
      </w:r>
    </w:p>
  </w:footnote>
  <w:footnote w:id="22">
    <w:p w:rsidR="002B67D3" w:rsidRDefault="002B67D3"/>
  </w:footnote>
  <w:footnote w:id="23">
    <w:p w:rsidR="002B67D3" w:rsidRPr="001F1DAB" w:rsidRDefault="002B67D3" w:rsidP="001F1DAB">
      <w:pPr>
        <w:pStyle w:val="FootnoteText"/>
        <w:ind w:left="120" w:hanging="120"/>
        <w:rPr>
          <w:sz w:val="16"/>
          <w:szCs w:val="16"/>
        </w:rPr>
      </w:pPr>
      <w:r w:rsidRPr="001F1DAB">
        <w:rPr>
          <w:rStyle w:val="FootnoteReference"/>
          <w:sz w:val="16"/>
          <w:szCs w:val="16"/>
        </w:rPr>
        <w:footnoteRef/>
      </w:r>
      <w:r w:rsidRPr="001F1DAB">
        <w:rPr>
          <w:sz w:val="16"/>
          <w:szCs w:val="16"/>
        </w:rPr>
        <w:t xml:space="preserve"> Note that this figure is approximate owing to the difficulty in reconciling figures from nation</w:t>
      </w:r>
      <w:r>
        <w:rPr>
          <w:sz w:val="16"/>
          <w:szCs w:val="16"/>
        </w:rPr>
        <w:t>al and sub-national parliament</w:t>
      </w:r>
    </w:p>
    <w:p w:rsidR="002B67D3" w:rsidRDefault="002B67D3">
      <w:r>
        <w:rPr>
          <w:vanish/>
          <w:sz w:val="16"/>
          <w:szCs w:val="16"/>
        </w:rPr>
        <w:t>l and sub-national parliaments.with this. Mat Kimberley is also on the outcome of the Tranparency Task Force minute (i.e. if on</w:t>
      </w:r>
    </w:p>
  </w:footnote>
  <w:footnote w:id="24">
    <w:p w:rsidR="002B67D3" w:rsidRDefault="002B67D3"/>
  </w:footnote>
  <w:footnote w:id="25">
    <w:p w:rsidR="002B67D3" w:rsidRDefault="002B67D3"/>
  </w:footnote>
  <w:footnote w:id="26">
    <w:p w:rsidR="002B67D3" w:rsidRDefault="002B67D3" w:rsidP="00303DF9">
      <w:pPr>
        <w:tabs>
          <w:tab w:val="left" w:pos="495"/>
        </w:tabs>
      </w:pPr>
    </w:p>
  </w:footnote>
  <w:footnote w:id="27">
    <w:p w:rsidR="002B67D3" w:rsidRDefault="002B67D3"/>
  </w:footnote>
  <w:footnote w:id="28">
    <w:p w:rsidR="002B67D3" w:rsidRDefault="002B67D3"/>
  </w:footnote>
  <w:footnote w:id="29">
    <w:p w:rsidR="002B67D3" w:rsidRDefault="002B67D3"/>
  </w:footnote>
  <w:footnote w:id="30">
    <w:p w:rsidR="002B67D3" w:rsidRDefault="002B67D3"/>
  </w:footnote>
  <w:footnote w:id="31">
    <w:p w:rsidR="002B67D3" w:rsidRDefault="002B67D3"/>
  </w:footnote>
  <w:footnote w:id="32">
    <w:p w:rsidR="002B67D3" w:rsidRDefault="002B67D3"/>
  </w:footnote>
  <w:footnote w:id="33">
    <w:p w:rsidR="002B67D3" w:rsidRDefault="002B67D3"/>
  </w:footnote>
  <w:footnote w:id="34">
    <w:p w:rsidR="002B67D3" w:rsidRDefault="002B67D3"/>
  </w:footnote>
  <w:footnote w:id="35">
    <w:p w:rsidR="002B67D3" w:rsidRDefault="002B67D3"/>
  </w:footnote>
  <w:footnote w:id="36">
    <w:p w:rsidR="002B67D3" w:rsidRDefault="002B67D3"/>
  </w:footnote>
  <w:footnote w:id="37">
    <w:p w:rsidR="002B67D3" w:rsidRDefault="002B67D3"/>
  </w:footnote>
  <w:footnote w:id="38">
    <w:p w:rsidR="002B67D3" w:rsidRDefault="002B67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D3" w:rsidRDefault="002B67D3"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119" name="Picture 119"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B7DD8"/>
    <w:multiLevelType w:val="hybridMultilevel"/>
    <w:tmpl w:val="3EA6F6DE"/>
    <w:lvl w:ilvl="0" w:tplc="0592073A">
      <w:start w:val="1"/>
      <w:numFmt w:val="lowerLetter"/>
      <w:pStyle w:val="TableListNumber2"/>
      <w:lvlText w:val="%1."/>
      <w:lvlJc w:val="left"/>
      <w:pPr>
        <w:tabs>
          <w:tab w:val="num" w:pos="454"/>
        </w:tabs>
        <w:ind w:left="454" w:hanging="227"/>
      </w:pPr>
      <w:rPr>
        <w:rFonts w:hint="default"/>
      </w:rPr>
    </w:lvl>
    <w:lvl w:ilvl="1" w:tplc="A334ACF0" w:tentative="1">
      <w:start w:val="1"/>
      <w:numFmt w:val="lowerLetter"/>
      <w:lvlText w:val="%2."/>
      <w:lvlJc w:val="left"/>
      <w:pPr>
        <w:tabs>
          <w:tab w:val="num" w:pos="1440"/>
        </w:tabs>
        <w:ind w:left="1440" w:hanging="360"/>
      </w:pPr>
    </w:lvl>
    <w:lvl w:ilvl="2" w:tplc="FDB21CC0" w:tentative="1">
      <w:start w:val="1"/>
      <w:numFmt w:val="lowerRoman"/>
      <w:lvlText w:val="%3."/>
      <w:lvlJc w:val="right"/>
      <w:pPr>
        <w:tabs>
          <w:tab w:val="num" w:pos="2160"/>
        </w:tabs>
        <w:ind w:left="2160" w:hanging="180"/>
      </w:pPr>
    </w:lvl>
    <w:lvl w:ilvl="3" w:tplc="6BF29582" w:tentative="1">
      <w:start w:val="1"/>
      <w:numFmt w:val="decimal"/>
      <w:lvlText w:val="%4."/>
      <w:lvlJc w:val="left"/>
      <w:pPr>
        <w:tabs>
          <w:tab w:val="num" w:pos="2880"/>
        </w:tabs>
        <w:ind w:left="2880" w:hanging="360"/>
      </w:pPr>
    </w:lvl>
    <w:lvl w:ilvl="4" w:tplc="1D44233A" w:tentative="1">
      <w:start w:val="1"/>
      <w:numFmt w:val="lowerLetter"/>
      <w:lvlText w:val="%5."/>
      <w:lvlJc w:val="left"/>
      <w:pPr>
        <w:tabs>
          <w:tab w:val="num" w:pos="3600"/>
        </w:tabs>
        <w:ind w:left="3600" w:hanging="360"/>
      </w:pPr>
    </w:lvl>
    <w:lvl w:ilvl="5" w:tplc="E7BCB390" w:tentative="1">
      <w:start w:val="1"/>
      <w:numFmt w:val="lowerRoman"/>
      <w:lvlText w:val="%6."/>
      <w:lvlJc w:val="right"/>
      <w:pPr>
        <w:tabs>
          <w:tab w:val="num" w:pos="4320"/>
        </w:tabs>
        <w:ind w:left="4320" w:hanging="180"/>
      </w:pPr>
    </w:lvl>
    <w:lvl w:ilvl="6" w:tplc="386AC380" w:tentative="1">
      <w:start w:val="1"/>
      <w:numFmt w:val="decimal"/>
      <w:lvlText w:val="%7."/>
      <w:lvlJc w:val="left"/>
      <w:pPr>
        <w:tabs>
          <w:tab w:val="num" w:pos="5040"/>
        </w:tabs>
        <w:ind w:left="5040" w:hanging="360"/>
      </w:pPr>
    </w:lvl>
    <w:lvl w:ilvl="7" w:tplc="C0003EEA" w:tentative="1">
      <w:start w:val="1"/>
      <w:numFmt w:val="lowerLetter"/>
      <w:lvlText w:val="%8."/>
      <w:lvlJc w:val="left"/>
      <w:pPr>
        <w:tabs>
          <w:tab w:val="num" w:pos="5760"/>
        </w:tabs>
        <w:ind w:left="5760" w:hanging="360"/>
      </w:pPr>
    </w:lvl>
    <w:lvl w:ilvl="8" w:tplc="091E3C18" w:tentative="1">
      <w:start w:val="1"/>
      <w:numFmt w:val="lowerRoman"/>
      <w:lvlText w:val="%9."/>
      <w:lvlJc w:val="right"/>
      <w:pPr>
        <w:tabs>
          <w:tab w:val="num" w:pos="6480"/>
        </w:tabs>
        <w:ind w:left="6480" w:hanging="180"/>
      </w:pPr>
    </w:lvl>
  </w:abstractNum>
  <w:abstractNum w:abstractNumId="2">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4">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33F6B"/>
    <w:multiLevelType w:val="hybridMultilevel"/>
    <w:tmpl w:val="53929CB2"/>
    <w:lvl w:ilvl="0" w:tplc="0D8E6C98">
      <w:start w:val="1"/>
      <w:numFmt w:val="lowerLetter"/>
      <w:pStyle w:val="BoxListNumber2"/>
      <w:lvlText w:val="%1."/>
      <w:lvlJc w:val="left"/>
      <w:pPr>
        <w:tabs>
          <w:tab w:val="num" w:pos="567"/>
        </w:tabs>
        <w:ind w:left="567" w:hanging="283"/>
      </w:pPr>
      <w:rPr>
        <w:rFonts w:hint="default"/>
      </w:rPr>
    </w:lvl>
    <w:lvl w:ilvl="1" w:tplc="68BA1B54" w:tentative="1">
      <w:start w:val="1"/>
      <w:numFmt w:val="lowerLetter"/>
      <w:lvlText w:val="%2."/>
      <w:lvlJc w:val="left"/>
      <w:pPr>
        <w:tabs>
          <w:tab w:val="num" w:pos="1440"/>
        </w:tabs>
        <w:ind w:left="1440" w:hanging="360"/>
      </w:pPr>
    </w:lvl>
    <w:lvl w:ilvl="2" w:tplc="CC6CE7BC" w:tentative="1">
      <w:start w:val="1"/>
      <w:numFmt w:val="lowerRoman"/>
      <w:lvlText w:val="%3."/>
      <w:lvlJc w:val="right"/>
      <w:pPr>
        <w:tabs>
          <w:tab w:val="num" w:pos="2160"/>
        </w:tabs>
        <w:ind w:left="2160" w:hanging="180"/>
      </w:pPr>
    </w:lvl>
    <w:lvl w:ilvl="3" w:tplc="C1BCF27A" w:tentative="1">
      <w:start w:val="1"/>
      <w:numFmt w:val="decimal"/>
      <w:lvlText w:val="%4."/>
      <w:lvlJc w:val="left"/>
      <w:pPr>
        <w:tabs>
          <w:tab w:val="num" w:pos="2880"/>
        </w:tabs>
        <w:ind w:left="2880" w:hanging="360"/>
      </w:pPr>
    </w:lvl>
    <w:lvl w:ilvl="4" w:tplc="D9D07BC8" w:tentative="1">
      <w:start w:val="1"/>
      <w:numFmt w:val="lowerLetter"/>
      <w:lvlText w:val="%5."/>
      <w:lvlJc w:val="left"/>
      <w:pPr>
        <w:tabs>
          <w:tab w:val="num" w:pos="3600"/>
        </w:tabs>
        <w:ind w:left="3600" w:hanging="360"/>
      </w:pPr>
    </w:lvl>
    <w:lvl w:ilvl="5" w:tplc="44527AE0" w:tentative="1">
      <w:start w:val="1"/>
      <w:numFmt w:val="lowerRoman"/>
      <w:lvlText w:val="%6."/>
      <w:lvlJc w:val="right"/>
      <w:pPr>
        <w:tabs>
          <w:tab w:val="num" w:pos="4320"/>
        </w:tabs>
        <w:ind w:left="4320" w:hanging="180"/>
      </w:pPr>
    </w:lvl>
    <w:lvl w:ilvl="6" w:tplc="71A8B228" w:tentative="1">
      <w:start w:val="1"/>
      <w:numFmt w:val="decimal"/>
      <w:lvlText w:val="%7."/>
      <w:lvlJc w:val="left"/>
      <w:pPr>
        <w:tabs>
          <w:tab w:val="num" w:pos="5040"/>
        </w:tabs>
        <w:ind w:left="5040" w:hanging="360"/>
      </w:pPr>
    </w:lvl>
    <w:lvl w:ilvl="7" w:tplc="56F44962" w:tentative="1">
      <w:start w:val="1"/>
      <w:numFmt w:val="lowerLetter"/>
      <w:lvlText w:val="%8."/>
      <w:lvlJc w:val="left"/>
      <w:pPr>
        <w:tabs>
          <w:tab w:val="num" w:pos="5760"/>
        </w:tabs>
        <w:ind w:left="5760" w:hanging="360"/>
      </w:pPr>
    </w:lvl>
    <w:lvl w:ilvl="8" w:tplc="92321E82" w:tentative="1">
      <w:start w:val="1"/>
      <w:numFmt w:val="lowerRoman"/>
      <w:lvlText w:val="%9."/>
      <w:lvlJc w:val="right"/>
      <w:pPr>
        <w:tabs>
          <w:tab w:val="num" w:pos="6480"/>
        </w:tabs>
        <w:ind w:left="6480" w:hanging="180"/>
      </w:pPr>
    </w:lvl>
  </w:abstractNum>
  <w:abstractNum w:abstractNumId="7">
    <w:nsid w:val="3A145188"/>
    <w:multiLevelType w:val="hybridMultilevel"/>
    <w:tmpl w:val="0DD8559C"/>
    <w:lvl w:ilvl="0" w:tplc="1CE0FCF2">
      <w:start w:val="1"/>
      <w:numFmt w:val="bullet"/>
      <w:lvlText w:val=""/>
      <w:lvlJc w:val="left"/>
      <w:pPr>
        <w:tabs>
          <w:tab w:val="num" w:pos="720"/>
        </w:tabs>
        <w:ind w:left="72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6CD579B"/>
    <w:multiLevelType w:val="hybridMultilevel"/>
    <w:tmpl w:val="36F2514A"/>
    <w:lvl w:ilvl="0" w:tplc="0C48700C">
      <w:start w:val="1"/>
      <w:numFmt w:val="bullet"/>
      <w:pStyle w:val="BoxListBullet"/>
      <w:lvlText w:val="&gt;"/>
      <w:lvlJc w:val="left"/>
      <w:pPr>
        <w:tabs>
          <w:tab w:val="num" w:pos="284"/>
        </w:tabs>
        <w:ind w:left="284" w:hanging="284"/>
      </w:pPr>
      <w:rPr>
        <w:rFonts w:hint="default"/>
        <w:color w:val="auto"/>
      </w:rPr>
    </w:lvl>
    <w:lvl w:ilvl="1" w:tplc="D570C9A4" w:tentative="1">
      <w:start w:val="1"/>
      <w:numFmt w:val="bullet"/>
      <w:lvlText w:val="o"/>
      <w:lvlJc w:val="left"/>
      <w:pPr>
        <w:tabs>
          <w:tab w:val="num" w:pos="1440"/>
        </w:tabs>
        <w:ind w:left="1440" w:hanging="360"/>
      </w:pPr>
      <w:rPr>
        <w:rFonts w:ascii="Courier New" w:hAnsi="Courier New" w:cs="Courier New" w:hint="default"/>
      </w:rPr>
    </w:lvl>
    <w:lvl w:ilvl="2" w:tplc="2132D750" w:tentative="1">
      <w:start w:val="1"/>
      <w:numFmt w:val="bullet"/>
      <w:lvlText w:val=""/>
      <w:lvlJc w:val="left"/>
      <w:pPr>
        <w:tabs>
          <w:tab w:val="num" w:pos="2160"/>
        </w:tabs>
        <w:ind w:left="2160" w:hanging="360"/>
      </w:pPr>
      <w:rPr>
        <w:rFonts w:ascii="Wingdings" w:hAnsi="Wingdings" w:hint="default"/>
      </w:rPr>
    </w:lvl>
    <w:lvl w:ilvl="3" w:tplc="CE3A143A" w:tentative="1">
      <w:start w:val="1"/>
      <w:numFmt w:val="bullet"/>
      <w:lvlText w:val=""/>
      <w:lvlJc w:val="left"/>
      <w:pPr>
        <w:tabs>
          <w:tab w:val="num" w:pos="2880"/>
        </w:tabs>
        <w:ind w:left="2880" w:hanging="360"/>
      </w:pPr>
      <w:rPr>
        <w:rFonts w:ascii="Symbol" w:hAnsi="Symbol" w:hint="default"/>
      </w:rPr>
    </w:lvl>
    <w:lvl w:ilvl="4" w:tplc="65D8945E" w:tentative="1">
      <w:start w:val="1"/>
      <w:numFmt w:val="bullet"/>
      <w:lvlText w:val="o"/>
      <w:lvlJc w:val="left"/>
      <w:pPr>
        <w:tabs>
          <w:tab w:val="num" w:pos="3600"/>
        </w:tabs>
        <w:ind w:left="3600" w:hanging="360"/>
      </w:pPr>
      <w:rPr>
        <w:rFonts w:ascii="Courier New" w:hAnsi="Courier New" w:cs="Courier New" w:hint="default"/>
      </w:rPr>
    </w:lvl>
    <w:lvl w:ilvl="5" w:tplc="490CE33C" w:tentative="1">
      <w:start w:val="1"/>
      <w:numFmt w:val="bullet"/>
      <w:lvlText w:val=""/>
      <w:lvlJc w:val="left"/>
      <w:pPr>
        <w:tabs>
          <w:tab w:val="num" w:pos="4320"/>
        </w:tabs>
        <w:ind w:left="4320" w:hanging="360"/>
      </w:pPr>
      <w:rPr>
        <w:rFonts w:ascii="Wingdings" w:hAnsi="Wingdings" w:hint="default"/>
      </w:rPr>
    </w:lvl>
    <w:lvl w:ilvl="6" w:tplc="192AD8BE" w:tentative="1">
      <w:start w:val="1"/>
      <w:numFmt w:val="bullet"/>
      <w:lvlText w:val=""/>
      <w:lvlJc w:val="left"/>
      <w:pPr>
        <w:tabs>
          <w:tab w:val="num" w:pos="5040"/>
        </w:tabs>
        <w:ind w:left="5040" w:hanging="360"/>
      </w:pPr>
      <w:rPr>
        <w:rFonts w:ascii="Symbol" w:hAnsi="Symbol" w:hint="default"/>
      </w:rPr>
    </w:lvl>
    <w:lvl w:ilvl="7" w:tplc="77764820" w:tentative="1">
      <w:start w:val="1"/>
      <w:numFmt w:val="bullet"/>
      <w:lvlText w:val="o"/>
      <w:lvlJc w:val="left"/>
      <w:pPr>
        <w:tabs>
          <w:tab w:val="num" w:pos="5760"/>
        </w:tabs>
        <w:ind w:left="5760" w:hanging="360"/>
      </w:pPr>
      <w:rPr>
        <w:rFonts w:ascii="Courier New" w:hAnsi="Courier New" w:cs="Courier New" w:hint="default"/>
      </w:rPr>
    </w:lvl>
    <w:lvl w:ilvl="8" w:tplc="4A58A8F8" w:tentative="1">
      <w:start w:val="1"/>
      <w:numFmt w:val="bullet"/>
      <w:lvlText w:val=""/>
      <w:lvlJc w:val="left"/>
      <w:pPr>
        <w:tabs>
          <w:tab w:val="num" w:pos="6480"/>
        </w:tabs>
        <w:ind w:left="6480" w:hanging="360"/>
      </w:pPr>
      <w:rPr>
        <w:rFonts w:ascii="Wingdings" w:hAnsi="Wingdings" w:hint="default"/>
      </w:rPr>
    </w:lvl>
  </w:abstractNum>
  <w:abstractNum w:abstractNumId="9">
    <w:nsid w:val="4FAF25B1"/>
    <w:multiLevelType w:val="hybridMultilevel"/>
    <w:tmpl w:val="5D666C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98A5214"/>
    <w:multiLevelType w:val="hybridMultilevel"/>
    <w:tmpl w:val="0B5AC610"/>
    <w:lvl w:ilvl="0" w:tplc="A1604EB4">
      <w:start w:val="1"/>
      <w:numFmt w:val="decimal"/>
      <w:pStyle w:val="TableListNumber"/>
      <w:lvlText w:val="%1."/>
      <w:lvlJc w:val="left"/>
      <w:pPr>
        <w:tabs>
          <w:tab w:val="num" w:pos="227"/>
        </w:tabs>
        <w:ind w:left="227" w:hanging="227"/>
      </w:pPr>
      <w:rPr>
        <w:rFonts w:hint="default"/>
      </w:rPr>
    </w:lvl>
    <w:lvl w:ilvl="1" w:tplc="B28C1636" w:tentative="1">
      <w:start w:val="1"/>
      <w:numFmt w:val="lowerLetter"/>
      <w:lvlText w:val="%2."/>
      <w:lvlJc w:val="left"/>
      <w:pPr>
        <w:tabs>
          <w:tab w:val="num" w:pos="1440"/>
        </w:tabs>
        <w:ind w:left="1440" w:hanging="360"/>
      </w:pPr>
    </w:lvl>
    <w:lvl w:ilvl="2" w:tplc="5C36ECFC" w:tentative="1">
      <w:start w:val="1"/>
      <w:numFmt w:val="lowerRoman"/>
      <w:lvlText w:val="%3."/>
      <w:lvlJc w:val="right"/>
      <w:pPr>
        <w:tabs>
          <w:tab w:val="num" w:pos="2160"/>
        </w:tabs>
        <w:ind w:left="2160" w:hanging="180"/>
      </w:pPr>
    </w:lvl>
    <w:lvl w:ilvl="3" w:tplc="1FC88E12" w:tentative="1">
      <w:start w:val="1"/>
      <w:numFmt w:val="decimal"/>
      <w:lvlText w:val="%4."/>
      <w:lvlJc w:val="left"/>
      <w:pPr>
        <w:tabs>
          <w:tab w:val="num" w:pos="2880"/>
        </w:tabs>
        <w:ind w:left="2880" w:hanging="360"/>
      </w:pPr>
    </w:lvl>
    <w:lvl w:ilvl="4" w:tplc="AB1E3BF8" w:tentative="1">
      <w:start w:val="1"/>
      <w:numFmt w:val="lowerLetter"/>
      <w:lvlText w:val="%5."/>
      <w:lvlJc w:val="left"/>
      <w:pPr>
        <w:tabs>
          <w:tab w:val="num" w:pos="3600"/>
        </w:tabs>
        <w:ind w:left="3600" w:hanging="360"/>
      </w:pPr>
    </w:lvl>
    <w:lvl w:ilvl="5" w:tplc="F9F85050" w:tentative="1">
      <w:start w:val="1"/>
      <w:numFmt w:val="lowerRoman"/>
      <w:lvlText w:val="%6."/>
      <w:lvlJc w:val="right"/>
      <w:pPr>
        <w:tabs>
          <w:tab w:val="num" w:pos="4320"/>
        </w:tabs>
        <w:ind w:left="4320" w:hanging="180"/>
      </w:pPr>
    </w:lvl>
    <w:lvl w:ilvl="6" w:tplc="9AEA805E" w:tentative="1">
      <w:start w:val="1"/>
      <w:numFmt w:val="decimal"/>
      <w:lvlText w:val="%7."/>
      <w:lvlJc w:val="left"/>
      <w:pPr>
        <w:tabs>
          <w:tab w:val="num" w:pos="5040"/>
        </w:tabs>
        <w:ind w:left="5040" w:hanging="360"/>
      </w:pPr>
    </w:lvl>
    <w:lvl w:ilvl="7" w:tplc="3626C374" w:tentative="1">
      <w:start w:val="1"/>
      <w:numFmt w:val="lowerLetter"/>
      <w:lvlText w:val="%8."/>
      <w:lvlJc w:val="left"/>
      <w:pPr>
        <w:tabs>
          <w:tab w:val="num" w:pos="5760"/>
        </w:tabs>
        <w:ind w:left="5760" w:hanging="360"/>
      </w:pPr>
    </w:lvl>
    <w:lvl w:ilvl="8" w:tplc="B15A41BC" w:tentative="1">
      <w:start w:val="1"/>
      <w:numFmt w:val="lowerRoman"/>
      <w:lvlText w:val="%9."/>
      <w:lvlJc w:val="right"/>
      <w:pPr>
        <w:tabs>
          <w:tab w:val="num" w:pos="6480"/>
        </w:tabs>
        <w:ind w:left="6480" w:hanging="180"/>
      </w:pPr>
    </w:lvl>
  </w:abstractNum>
  <w:abstractNum w:abstractNumId="13">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F264CF"/>
    <w:multiLevelType w:val="multilevel"/>
    <w:tmpl w:val="181EB538"/>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87B79FD"/>
    <w:multiLevelType w:val="hybridMultilevel"/>
    <w:tmpl w:val="87BA795C"/>
    <w:lvl w:ilvl="0" w:tplc="0C090001">
      <w:start w:val="1"/>
      <w:numFmt w:val="bullet"/>
      <w:lvlText w:val=""/>
      <w:lvlJc w:val="left"/>
      <w:pPr>
        <w:tabs>
          <w:tab w:val="num" w:pos="766"/>
        </w:tabs>
        <w:ind w:left="766" w:hanging="360"/>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abstractNum w:abstractNumId="17">
    <w:nsid w:val="6CA95AF5"/>
    <w:multiLevelType w:val="multilevel"/>
    <w:tmpl w:val="873CA51E"/>
    <w:lvl w:ilvl="0">
      <w:start w:val="1"/>
      <w:numFmt w:val="lowerLetter"/>
      <w:lvlRestart w:val="0"/>
      <w:pStyle w:val="NoteNumber"/>
      <w:lvlText w:val="%1"/>
      <w:lvlJc w:val="left"/>
      <w:pPr>
        <w:tabs>
          <w:tab w:val="num" w:pos="290"/>
        </w:tabs>
        <w:ind w:left="1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560"/>
        </w:tabs>
        <w:ind w:left="1560" w:hanging="363"/>
      </w:pPr>
      <w:rPr>
        <w:rFonts w:hint="default"/>
      </w:rPr>
    </w:lvl>
    <w:lvl w:ilvl="2">
      <w:start w:val="1"/>
      <w:numFmt w:val="lowerRoman"/>
      <w:lvlText w:val="%3."/>
      <w:lvlJc w:val="right"/>
      <w:pPr>
        <w:tabs>
          <w:tab w:val="num" w:pos="2280"/>
        </w:tabs>
        <w:ind w:left="2280" w:hanging="181"/>
      </w:pPr>
      <w:rPr>
        <w:rFonts w:hint="default"/>
      </w:rPr>
    </w:lvl>
    <w:lvl w:ilvl="3">
      <w:start w:val="1"/>
      <w:numFmt w:val="decimal"/>
      <w:lvlText w:val="%4."/>
      <w:lvlJc w:val="left"/>
      <w:pPr>
        <w:tabs>
          <w:tab w:val="num" w:pos="3000"/>
        </w:tabs>
        <w:ind w:left="3000" w:hanging="363"/>
      </w:pPr>
      <w:rPr>
        <w:rFonts w:hint="default"/>
      </w:rPr>
    </w:lvl>
    <w:lvl w:ilvl="4">
      <w:start w:val="1"/>
      <w:numFmt w:val="lowerLetter"/>
      <w:lvlText w:val="%5."/>
      <w:lvlJc w:val="left"/>
      <w:pPr>
        <w:tabs>
          <w:tab w:val="num" w:pos="3720"/>
        </w:tabs>
        <w:ind w:left="3720" w:hanging="363"/>
      </w:pPr>
      <w:rPr>
        <w:rFonts w:hint="default"/>
      </w:rPr>
    </w:lvl>
    <w:lvl w:ilvl="5">
      <w:start w:val="1"/>
      <w:numFmt w:val="lowerRoman"/>
      <w:lvlText w:val="%6."/>
      <w:lvlJc w:val="right"/>
      <w:pPr>
        <w:tabs>
          <w:tab w:val="num" w:pos="4440"/>
        </w:tabs>
        <w:ind w:left="4440" w:hanging="181"/>
      </w:pPr>
      <w:rPr>
        <w:rFonts w:hint="default"/>
      </w:rPr>
    </w:lvl>
    <w:lvl w:ilvl="6">
      <w:start w:val="1"/>
      <w:numFmt w:val="decimal"/>
      <w:lvlText w:val="%7."/>
      <w:lvlJc w:val="left"/>
      <w:pPr>
        <w:tabs>
          <w:tab w:val="num" w:pos="5160"/>
        </w:tabs>
        <w:ind w:left="5160" w:hanging="363"/>
      </w:pPr>
      <w:rPr>
        <w:rFonts w:hint="default"/>
      </w:rPr>
    </w:lvl>
    <w:lvl w:ilvl="7">
      <w:start w:val="1"/>
      <w:numFmt w:val="lowerLetter"/>
      <w:lvlText w:val="%8."/>
      <w:lvlJc w:val="left"/>
      <w:pPr>
        <w:tabs>
          <w:tab w:val="num" w:pos="5880"/>
        </w:tabs>
        <w:ind w:left="5880" w:hanging="363"/>
      </w:pPr>
      <w:rPr>
        <w:rFonts w:hint="default"/>
      </w:rPr>
    </w:lvl>
    <w:lvl w:ilvl="8">
      <w:start w:val="1"/>
      <w:numFmt w:val="lowerRoman"/>
      <w:lvlText w:val="%9."/>
      <w:lvlJc w:val="right"/>
      <w:pPr>
        <w:tabs>
          <w:tab w:val="num" w:pos="6600"/>
        </w:tabs>
        <w:ind w:left="6600" w:hanging="181"/>
      </w:pPr>
      <w:rPr>
        <w:rFonts w:hint="default"/>
      </w:rPr>
    </w:lvl>
  </w:abstractNum>
  <w:abstractNum w:abstractNumId="18">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E1124E"/>
    <w:multiLevelType w:val="hybridMultilevel"/>
    <w:tmpl w:val="6D42E656"/>
    <w:lvl w:ilvl="0" w:tplc="5F84ACB4">
      <w:start w:val="1"/>
      <w:numFmt w:val="lowerLetter"/>
      <w:pStyle w:val="ListNumber2"/>
      <w:lvlText w:val="%1."/>
      <w:lvlJc w:val="left"/>
      <w:pPr>
        <w:tabs>
          <w:tab w:val="num" w:pos="567"/>
        </w:tabs>
        <w:ind w:left="567" w:hanging="283"/>
      </w:pPr>
      <w:rPr>
        <w:rFonts w:hint="default"/>
      </w:rPr>
    </w:lvl>
    <w:lvl w:ilvl="1" w:tplc="F10ACBDA" w:tentative="1">
      <w:start w:val="1"/>
      <w:numFmt w:val="lowerLetter"/>
      <w:lvlText w:val="%2."/>
      <w:lvlJc w:val="left"/>
      <w:pPr>
        <w:tabs>
          <w:tab w:val="num" w:pos="1440"/>
        </w:tabs>
        <w:ind w:left="1440" w:hanging="360"/>
      </w:pPr>
    </w:lvl>
    <w:lvl w:ilvl="2" w:tplc="2418FC1E" w:tentative="1">
      <w:start w:val="1"/>
      <w:numFmt w:val="lowerRoman"/>
      <w:lvlText w:val="%3."/>
      <w:lvlJc w:val="right"/>
      <w:pPr>
        <w:tabs>
          <w:tab w:val="num" w:pos="2160"/>
        </w:tabs>
        <w:ind w:left="2160" w:hanging="180"/>
      </w:pPr>
    </w:lvl>
    <w:lvl w:ilvl="3" w:tplc="8DEC2B8C" w:tentative="1">
      <w:start w:val="1"/>
      <w:numFmt w:val="decimal"/>
      <w:lvlText w:val="%4."/>
      <w:lvlJc w:val="left"/>
      <w:pPr>
        <w:tabs>
          <w:tab w:val="num" w:pos="2880"/>
        </w:tabs>
        <w:ind w:left="2880" w:hanging="360"/>
      </w:pPr>
    </w:lvl>
    <w:lvl w:ilvl="4" w:tplc="FCA844C2" w:tentative="1">
      <w:start w:val="1"/>
      <w:numFmt w:val="lowerLetter"/>
      <w:lvlText w:val="%5."/>
      <w:lvlJc w:val="left"/>
      <w:pPr>
        <w:tabs>
          <w:tab w:val="num" w:pos="3600"/>
        </w:tabs>
        <w:ind w:left="3600" w:hanging="360"/>
      </w:pPr>
    </w:lvl>
    <w:lvl w:ilvl="5" w:tplc="2DDCDB16" w:tentative="1">
      <w:start w:val="1"/>
      <w:numFmt w:val="lowerRoman"/>
      <w:lvlText w:val="%6."/>
      <w:lvlJc w:val="right"/>
      <w:pPr>
        <w:tabs>
          <w:tab w:val="num" w:pos="4320"/>
        </w:tabs>
        <w:ind w:left="4320" w:hanging="180"/>
      </w:pPr>
    </w:lvl>
    <w:lvl w:ilvl="6" w:tplc="68CE0786" w:tentative="1">
      <w:start w:val="1"/>
      <w:numFmt w:val="decimal"/>
      <w:lvlText w:val="%7."/>
      <w:lvlJc w:val="left"/>
      <w:pPr>
        <w:tabs>
          <w:tab w:val="num" w:pos="5040"/>
        </w:tabs>
        <w:ind w:left="5040" w:hanging="360"/>
      </w:pPr>
    </w:lvl>
    <w:lvl w:ilvl="7" w:tplc="08168376" w:tentative="1">
      <w:start w:val="1"/>
      <w:numFmt w:val="lowerLetter"/>
      <w:lvlText w:val="%8."/>
      <w:lvlJc w:val="left"/>
      <w:pPr>
        <w:tabs>
          <w:tab w:val="num" w:pos="5760"/>
        </w:tabs>
        <w:ind w:left="5760" w:hanging="360"/>
      </w:pPr>
    </w:lvl>
    <w:lvl w:ilvl="8" w:tplc="DA94F036" w:tentative="1">
      <w:start w:val="1"/>
      <w:numFmt w:val="lowerRoman"/>
      <w:lvlText w:val="%9."/>
      <w:lvlJc w:val="right"/>
      <w:pPr>
        <w:tabs>
          <w:tab w:val="num" w:pos="6480"/>
        </w:tabs>
        <w:ind w:left="6480" w:hanging="180"/>
      </w:pPr>
    </w:lvl>
  </w:abstractNum>
  <w:abstractNum w:abstractNumId="20">
    <w:nsid w:val="7F7A528B"/>
    <w:multiLevelType w:val="hybridMultilevel"/>
    <w:tmpl w:val="4ADC517C"/>
    <w:lvl w:ilvl="0" w:tplc="A314D566">
      <w:start w:val="1"/>
      <w:numFmt w:val="bullet"/>
      <w:pStyle w:val="ListBullet"/>
      <w:lvlText w:val="&gt;"/>
      <w:lvlJc w:val="left"/>
      <w:pPr>
        <w:tabs>
          <w:tab w:val="num" w:pos="284"/>
        </w:tabs>
        <w:ind w:left="284" w:hanging="284"/>
      </w:pPr>
      <w:rPr>
        <w:rFonts w:hint="default"/>
        <w:color w:val="auto"/>
        <w:position w:val="3"/>
      </w:rPr>
    </w:lvl>
    <w:lvl w:ilvl="1" w:tplc="6AC46AD2" w:tentative="1">
      <w:start w:val="1"/>
      <w:numFmt w:val="bullet"/>
      <w:lvlText w:val="o"/>
      <w:lvlJc w:val="left"/>
      <w:pPr>
        <w:tabs>
          <w:tab w:val="num" w:pos="1440"/>
        </w:tabs>
        <w:ind w:left="1440" w:hanging="360"/>
      </w:pPr>
      <w:rPr>
        <w:rFonts w:ascii="Courier New" w:hAnsi="Courier New" w:cs="Courier New" w:hint="default"/>
      </w:rPr>
    </w:lvl>
    <w:lvl w:ilvl="2" w:tplc="86B4495E" w:tentative="1">
      <w:start w:val="1"/>
      <w:numFmt w:val="bullet"/>
      <w:lvlText w:val=""/>
      <w:lvlJc w:val="left"/>
      <w:pPr>
        <w:tabs>
          <w:tab w:val="num" w:pos="2160"/>
        </w:tabs>
        <w:ind w:left="2160" w:hanging="360"/>
      </w:pPr>
      <w:rPr>
        <w:rFonts w:ascii="Wingdings" w:hAnsi="Wingdings" w:hint="default"/>
      </w:rPr>
    </w:lvl>
    <w:lvl w:ilvl="3" w:tplc="28B28F62" w:tentative="1">
      <w:start w:val="1"/>
      <w:numFmt w:val="bullet"/>
      <w:lvlText w:val=""/>
      <w:lvlJc w:val="left"/>
      <w:pPr>
        <w:tabs>
          <w:tab w:val="num" w:pos="2880"/>
        </w:tabs>
        <w:ind w:left="2880" w:hanging="360"/>
      </w:pPr>
      <w:rPr>
        <w:rFonts w:ascii="Symbol" w:hAnsi="Symbol" w:hint="default"/>
      </w:rPr>
    </w:lvl>
    <w:lvl w:ilvl="4" w:tplc="3690AC68" w:tentative="1">
      <w:start w:val="1"/>
      <w:numFmt w:val="bullet"/>
      <w:lvlText w:val="o"/>
      <w:lvlJc w:val="left"/>
      <w:pPr>
        <w:tabs>
          <w:tab w:val="num" w:pos="3600"/>
        </w:tabs>
        <w:ind w:left="3600" w:hanging="360"/>
      </w:pPr>
      <w:rPr>
        <w:rFonts w:ascii="Courier New" w:hAnsi="Courier New" w:cs="Courier New" w:hint="default"/>
      </w:rPr>
    </w:lvl>
    <w:lvl w:ilvl="5" w:tplc="A5E6EE1A" w:tentative="1">
      <w:start w:val="1"/>
      <w:numFmt w:val="bullet"/>
      <w:lvlText w:val=""/>
      <w:lvlJc w:val="left"/>
      <w:pPr>
        <w:tabs>
          <w:tab w:val="num" w:pos="4320"/>
        </w:tabs>
        <w:ind w:left="4320" w:hanging="360"/>
      </w:pPr>
      <w:rPr>
        <w:rFonts w:ascii="Wingdings" w:hAnsi="Wingdings" w:hint="default"/>
      </w:rPr>
    </w:lvl>
    <w:lvl w:ilvl="6" w:tplc="ED72D970" w:tentative="1">
      <w:start w:val="1"/>
      <w:numFmt w:val="bullet"/>
      <w:lvlText w:val=""/>
      <w:lvlJc w:val="left"/>
      <w:pPr>
        <w:tabs>
          <w:tab w:val="num" w:pos="5040"/>
        </w:tabs>
        <w:ind w:left="5040" w:hanging="360"/>
      </w:pPr>
      <w:rPr>
        <w:rFonts w:ascii="Symbol" w:hAnsi="Symbol" w:hint="default"/>
      </w:rPr>
    </w:lvl>
    <w:lvl w:ilvl="7" w:tplc="1500E2A0" w:tentative="1">
      <w:start w:val="1"/>
      <w:numFmt w:val="bullet"/>
      <w:lvlText w:val="o"/>
      <w:lvlJc w:val="left"/>
      <w:pPr>
        <w:tabs>
          <w:tab w:val="num" w:pos="5760"/>
        </w:tabs>
        <w:ind w:left="5760" w:hanging="360"/>
      </w:pPr>
      <w:rPr>
        <w:rFonts w:ascii="Courier New" w:hAnsi="Courier New" w:cs="Courier New" w:hint="default"/>
      </w:rPr>
    </w:lvl>
    <w:lvl w:ilvl="8" w:tplc="A7E451F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6"/>
  </w:num>
  <w:num w:numId="4">
    <w:abstractNumId w:val="11"/>
  </w:num>
  <w:num w:numId="5">
    <w:abstractNumId w:val="8"/>
  </w:num>
  <w:num w:numId="6">
    <w:abstractNumId w:val="5"/>
  </w:num>
  <w:num w:numId="7">
    <w:abstractNumId w:val="14"/>
  </w:num>
  <w:num w:numId="8">
    <w:abstractNumId w:val="15"/>
  </w:num>
  <w:num w:numId="9">
    <w:abstractNumId w:val="0"/>
  </w:num>
  <w:num w:numId="10">
    <w:abstractNumId w:val="10"/>
  </w:num>
  <w:num w:numId="11">
    <w:abstractNumId w:val="18"/>
  </w:num>
  <w:num w:numId="12">
    <w:abstractNumId w:val="3"/>
  </w:num>
  <w:num w:numId="13">
    <w:abstractNumId w:val="2"/>
  </w:num>
  <w:num w:numId="14">
    <w:abstractNumId w:val="19"/>
  </w:num>
  <w:num w:numId="15">
    <w:abstractNumId w:val="20"/>
  </w:num>
  <w:num w:numId="16">
    <w:abstractNumId w:val="13"/>
  </w:num>
  <w:num w:numId="17">
    <w:abstractNumId w:val="17"/>
  </w:num>
  <w:num w:numId="18">
    <w:abstractNumId w:val="4"/>
  </w:num>
  <w:num w:numId="19">
    <w:abstractNumId w:val="16"/>
  </w:num>
  <w:num w:numId="20">
    <w:abstractNumId w:val="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6145">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3"/>
    <w:rsid w:val="00002939"/>
    <w:rsid w:val="00003287"/>
    <w:rsid w:val="00004368"/>
    <w:rsid w:val="00006841"/>
    <w:rsid w:val="00011550"/>
    <w:rsid w:val="0001170C"/>
    <w:rsid w:val="000129D7"/>
    <w:rsid w:val="00012CC9"/>
    <w:rsid w:val="0001356A"/>
    <w:rsid w:val="0001375B"/>
    <w:rsid w:val="00014038"/>
    <w:rsid w:val="0001508D"/>
    <w:rsid w:val="00015DBC"/>
    <w:rsid w:val="0001625D"/>
    <w:rsid w:val="00016771"/>
    <w:rsid w:val="00016CBA"/>
    <w:rsid w:val="00017D33"/>
    <w:rsid w:val="00017E33"/>
    <w:rsid w:val="000211DA"/>
    <w:rsid w:val="0002165B"/>
    <w:rsid w:val="0002235F"/>
    <w:rsid w:val="00022D41"/>
    <w:rsid w:val="000239AA"/>
    <w:rsid w:val="00025235"/>
    <w:rsid w:val="000257E7"/>
    <w:rsid w:val="00027A09"/>
    <w:rsid w:val="00027E7C"/>
    <w:rsid w:val="00030588"/>
    <w:rsid w:val="000332AD"/>
    <w:rsid w:val="0003385B"/>
    <w:rsid w:val="00033DBC"/>
    <w:rsid w:val="000349E7"/>
    <w:rsid w:val="00034B41"/>
    <w:rsid w:val="00034E45"/>
    <w:rsid w:val="00035E2A"/>
    <w:rsid w:val="00037673"/>
    <w:rsid w:val="000433AB"/>
    <w:rsid w:val="00044215"/>
    <w:rsid w:val="00044EDD"/>
    <w:rsid w:val="000452A6"/>
    <w:rsid w:val="0004636D"/>
    <w:rsid w:val="00046974"/>
    <w:rsid w:val="000513B2"/>
    <w:rsid w:val="000515D5"/>
    <w:rsid w:val="0005192D"/>
    <w:rsid w:val="00053BB3"/>
    <w:rsid w:val="00053D8A"/>
    <w:rsid w:val="00055EBA"/>
    <w:rsid w:val="0005643F"/>
    <w:rsid w:val="000571E8"/>
    <w:rsid w:val="00060490"/>
    <w:rsid w:val="00060A32"/>
    <w:rsid w:val="00061389"/>
    <w:rsid w:val="00063C90"/>
    <w:rsid w:val="000655EB"/>
    <w:rsid w:val="00065C12"/>
    <w:rsid w:val="00065EF2"/>
    <w:rsid w:val="00067F6E"/>
    <w:rsid w:val="00070BAE"/>
    <w:rsid w:val="00070F05"/>
    <w:rsid w:val="000722A1"/>
    <w:rsid w:val="00074225"/>
    <w:rsid w:val="00074C9B"/>
    <w:rsid w:val="00075BC8"/>
    <w:rsid w:val="00075C1B"/>
    <w:rsid w:val="00075E37"/>
    <w:rsid w:val="00075F52"/>
    <w:rsid w:val="000765D3"/>
    <w:rsid w:val="000766F0"/>
    <w:rsid w:val="00076703"/>
    <w:rsid w:val="00077B8E"/>
    <w:rsid w:val="000805B2"/>
    <w:rsid w:val="00082E97"/>
    <w:rsid w:val="000833A0"/>
    <w:rsid w:val="00085585"/>
    <w:rsid w:val="00085E50"/>
    <w:rsid w:val="00086164"/>
    <w:rsid w:val="000863C3"/>
    <w:rsid w:val="00090C8C"/>
    <w:rsid w:val="0009109C"/>
    <w:rsid w:val="00092F37"/>
    <w:rsid w:val="00093767"/>
    <w:rsid w:val="0009431F"/>
    <w:rsid w:val="00095669"/>
    <w:rsid w:val="0009654F"/>
    <w:rsid w:val="00096ABD"/>
    <w:rsid w:val="00097A76"/>
    <w:rsid w:val="000A0794"/>
    <w:rsid w:val="000A2255"/>
    <w:rsid w:val="000A3437"/>
    <w:rsid w:val="000A4433"/>
    <w:rsid w:val="000A5BCC"/>
    <w:rsid w:val="000A7400"/>
    <w:rsid w:val="000A7708"/>
    <w:rsid w:val="000A7AD4"/>
    <w:rsid w:val="000B0232"/>
    <w:rsid w:val="000B108C"/>
    <w:rsid w:val="000B13AB"/>
    <w:rsid w:val="000B146D"/>
    <w:rsid w:val="000B3BED"/>
    <w:rsid w:val="000B4054"/>
    <w:rsid w:val="000B56CF"/>
    <w:rsid w:val="000B5B55"/>
    <w:rsid w:val="000B6330"/>
    <w:rsid w:val="000B7FF7"/>
    <w:rsid w:val="000C0125"/>
    <w:rsid w:val="000C0807"/>
    <w:rsid w:val="000C0D83"/>
    <w:rsid w:val="000C320F"/>
    <w:rsid w:val="000C4341"/>
    <w:rsid w:val="000C45A2"/>
    <w:rsid w:val="000C576A"/>
    <w:rsid w:val="000C6046"/>
    <w:rsid w:val="000C64A9"/>
    <w:rsid w:val="000C7EC0"/>
    <w:rsid w:val="000C7EF5"/>
    <w:rsid w:val="000D074E"/>
    <w:rsid w:val="000D2568"/>
    <w:rsid w:val="000D32D5"/>
    <w:rsid w:val="000D444F"/>
    <w:rsid w:val="000D47A5"/>
    <w:rsid w:val="000D506B"/>
    <w:rsid w:val="000D7ABF"/>
    <w:rsid w:val="000E0333"/>
    <w:rsid w:val="000E2E8A"/>
    <w:rsid w:val="000E3F26"/>
    <w:rsid w:val="000E4C0C"/>
    <w:rsid w:val="000E5494"/>
    <w:rsid w:val="000E595E"/>
    <w:rsid w:val="000E5C21"/>
    <w:rsid w:val="000F209B"/>
    <w:rsid w:val="000F4EFD"/>
    <w:rsid w:val="000F554A"/>
    <w:rsid w:val="000F675B"/>
    <w:rsid w:val="000F706A"/>
    <w:rsid w:val="000F7B53"/>
    <w:rsid w:val="000F7DB9"/>
    <w:rsid w:val="000F7EBB"/>
    <w:rsid w:val="0010001A"/>
    <w:rsid w:val="001012B2"/>
    <w:rsid w:val="001020A5"/>
    <w:rsid w:val="001031A8"/>
    <w:rsid w:val="00104CCC"/>
    <w:rsid w:val="00105C18"/>
    <w:rsid w:val="0010649D"/>
    <w:rsid w:val="001104EF"/>
    <w:rsid w:val="00111084"/>
    <w:rsid w:val="00111EEE"/>
    <w:rsid w:val="0011370E"/>
    <w:rsid w:val="00114D04"/>
    <w:rsid w:val="00115A8C"/>
    <w:rsid w:val="00115D91"/>
    <w:rsid w:val="001204E2"/>
    <w:rsid w:val="00122FB8"/>
    <w:rsid w:val="001230DD"/>
    <w:rsid w:val="001250BF"/>
    <w:rsid w:val="001260C2"/>
    <w:rsid w:val="00127B7F"/>
    <w:rsid w:val="0013055B"/>
    <w:rsid w:val="00130AF1"/>
    <w:rsid w:val="00132611"/>
    <w:rsid w:val="00132E41"/>
    <w:rsid w:val="00135070"/>
    <w:rsid w:val="0013580C"/>
    <w:rsid w:val="00135A4C"/>
    <w:rsid w:val="001360A4"/>
    <w:rsid w:val="001363C4"/>
    <w:rsid w:val="00136E47"/>
    <w:rsid w:val="00136FF9"/>
    <w:rsid w:val="00137BA1"/>
    <w:rsid w:val="0014049B"/>
    <w:rsid w:val="00141818"/>
    <w:rsid w:val="0014252B"/>
    <w:rsid w:val="0014282B"/>
    <w:rsid w:val="00142A4D"/>
    <w:rsid w:val="00142E47"/>
    <w:rsid w:val="00143525"/>
    <w:rsid w:val="001436A7"/>
    <w:rsid w:val="00144611"/>
    <w:rsid w:val="00144B1B"/>
    <w:rsid w:val="00145685"/>
    <w:rsid w:val="00145E8E"/>
    <w:rsid w:val="0014787F"/>
    <w:rsid w:val="00147F8B"/>
    <w:rsid w:val="00150486"/>
    <w:rsid w:val="00152D98"/>
    <w:rsid w:val="0015346D"/>
    <w:rsid w:val="00154B8C"/>
    <w:rsid w:val="001550D1"/>
    <w:rsid w:val="00155178"/>
    <w:rsid w:val="001564B4"/>
    <w:rsid w:val="00156521"/>
    <w:rsid w:val="00156A18"/>
    <w:rsid w:val="001610A1"/>
    <w:rsid w:val="0016217F"/>
    <w:rsid w:val="001644AA"/>
    <w:rsid w:val="00165652"/>
    <w:rsid w:val="00165C4D"/>
    <w:rsid w:val="0016693B"/>
    <w:rsid w:val="00166BE1"/>
    <w:rsid w:val="001702D7"/>
    <w:rsid w:val="001707ED"/>
    <w:rsid w:val="00170B04"/>
    <w:rsid w:val="00172093"/>
    <w:rsid w:val="0017313D"/>
    <w:rsid w:val="001747BA"/>
    <w:rsid w:val="001747FF"/>
    <w:rsid w:val="001756DD"/>
    <w:rsid w:val="00175CFE"/>
    <w:rsid w:val="00176846"/>
    <w:rsid w:val="001772C7"/>
    <w:rsid w:val="00177AE1"/>
    <w:rsid w:val="00177D3F"/>
    <w:rsid w:val="0018061A"/>
    <w:rsid w:val="00180E63"/>
    <w:rsid w:val="00180EC6"/>
    <w:rsid w:val="00181000"/>
    <w:rsid w:val="00182E7D"/>
    <w:rsid w:val="00182FAF"/>
    <w:rsid w:val="001840DC"/>
    <w:rsid w:val="00184C6E"/>
    <w:rsid w:val="00187525"/>
    <w:rsid w:val="00187748"/>
    <w:rsid w:val="00187D56"/>
    <w:rsid w:val="00190A25"/>
    <w:rsid w:val="00190E29"/>
    <w:rsid w:val="00191074"/>
    <w:rsid w:val="001919CE"/>
    <w:rsid w:val="00193384"/>
    <w:rsid w:val="00193FDC"/>
    <w:rsid w:val="001957F2"/>
    <w:rsid w:val="0019627A"/>
    <w:rsid w:val="00197485"/>
    <w:rsid w:val="001A0653"/>
    <w:rsid w:val="001A157D"/>
    <w:rsid w:val="001A4314"/>
    <w:rsid w:val="001A448A"/>
    <w:rsid w:val="001A4CB0"/>
    <w:rsid w:val="001A4F3D"/>
    <w:rsid w:val="001A5012"/>
    <w:rsid w:val="001A64D6"/>
    <w:rsid w:val="001A676A"/>
    <w:rsid w:val="001A76CD"/>
    <w:rsid w:val="001A7A00"/>
    <w:rsid w:val="001B0BC3"/>
    <w:rsid w:val="001B11EB"/>
    <w:rsid w:val="001B1559"/>
    <w:rsid w:val="001B3A25"/>
    <w:rsid w:val="001B40B6"/>
    <w:rsid w:val="001B503E"/>
    <w:rsid w:val="001B7441"/>
    <w:rsid w:val="001B7D36"/>
    <w:rsid w:val="001C1650"/>
    <w:rsid w:val="001C18A5"/>
    <w:rsid w:val="001C27DD"/>
    <w:rsid w:val="001C54D5"/>
    <w:rsid w:val="001C557B"/>
    <w:rsid w:val="001C5B02"/>
    <w:rsid w:val="001C68A6"/>
    <w:rsid w:val="001C6E03"/>
    <w:rsid w:val="001C6E25"/>
    <w:rsid w:val="001C7FAB"/>
    <w:rsid w:val="001D041D"/>
    <w:rsid w:val="001D0D54"/>
    <w:rsid w:val="001D0D75"/>
    <w:rsid w:val="001D21D0"/>
    <w:rsid w:val="001D24A9"/>
    <w:rsid w:val="001D24B1"/>
    <w:rsid w:val="001D296A"/>
    <w:rsid w:val="001D2D04"/>
    <w:rsid w:val="001D380B"/>
    <w:rsid w:val="001D5233"/>
    <w:rsid w:val="001D65A4"/>
    <w:rsid w:val="001D7B70"/>
    <w:rsid w:val="001E521E"/>
    <w:rsid w:val="001E5458"/>
    <w:rsid w:val="001E61C0"/>
    <w:rsid w:val="001E6372"/>
    <w:rsid w:val="001E6579"/>
    <w:rsid w:val="001E77A7"/>
    <w:rsid w:val="001E7C2A"/>
    <w:rsid w:val="001F008B"/>
    <w:rsid w:val="001F0E22"/>
    <w:rsid w:val="001F0E53"/>
    <w:rsid w:val="001F0E62"/>
    <w:rsid w:val="001F133C"/>
    <w:rsid w:val="001F1365"/>
    <w:rsid w:val="001F1DAB"/>
    <w:rsid w:val="001F353B"/>
    <w:rsid w:val="001F39C9"/>
    <w:rsid w:val="001F4BC2"/>
    <w:rsid w:val="001F4CD3"/>
    <w:rsid w:val="001F4E51"/>
    <w:rsid w:val="001F5AA9"/>
    <w:rsid w:val="001F5D63"/>
    <w:rsid w:val="001F6A88"/>
    <w:rsid w:val="00201930"/>
    <w:rsid w:val="0020245F"/>
    <w:rsid w:val="002028B6"/>
    <w:rsid w:val="00203160"/>
    <w:rsid w:val="00203174"/>
    <w:rsid w:val="00203B55"/>
    <w:rsid w:val="0020410B"/>
    <w:rsid w:val="00204550"/>
    <w:rsid w:val="002050D2"/>
    <w:rsid w:val="00205AA6"/>
    <w:rsid w:val="0021017E"/>
    <w:rsid w:val="00212975"/>
    <w:rsid w:val="00213176"/>
    <w:rsid w:val="00214C9D"/>
    <w:rsid w:val="00214E7F"/>
    <w:rsid w:val="002178C9"/>
    <w:rsid w:val="002214B7"/>
    <w:rsid w:val="00221C93"/>
    <w:rsid w:val="00222F3B"/>
    <w:rsid w:val="00223563"/>
    <w:rsid w:val="00224684"/>
    <w:rsid w:val="00226029"/>
    <w:rsid w:val="00226880"/>
    <w:rsid w:val="0022688E"/>
    <w:rsid w:val="002274D0"/>
    <w:rsid w:val="00227783"/>
    <w:rsid w:val="00227D6B"/>
    <w:rsid w:val="00230B0D"/>
    <w:rsid w:val="00230BD1"/>
    <w:rsid w:val="00230F10"/>
    <w:rsid w:val="00231CB6"/>
    <w:rsid w:val="00231F80"/>
    <w:rsid w:val="00232097"/>
    <w:rsid w:val="0023355D"/>
    <w:rsid w:val="00233570"/>
    <w:rsid w:val="00233D7A"/>
    <w:rsid w:val="00234583"/>
    <w:rsid w:val="00234D37"/>
    <w:rsid w:val="00235A15"/>
    <w:rsid w:val="00235EF9"/>
    <w:rsid w:val="00236C53"/>
    <w:rsid w:val="0023724C"/>
    <w:rsid w:val="00237451"/>
    <w:rsid w:val="0024071E"/>
    <w:rsid w:val="00240A07"/>
    <w:rsid w:val="00241A9E"/>
    <w:rsid w:val="00241E64"/>
    <w:rsid w:val="002420CE"/>
    <w:rsid w:val="00243468"/>
    <w:rsid w:val="0024348E"/>
    <w:rsid w:val="00244F96"/>
    <w:rsid w:val="002452D0"/>
    <w:rsid w:val="0024542D"/>
    <w:rsid w:val="002455FA"/>
    <w:rsid w:val="002457F2"/>
    <w:rsid w:val="0024630C"/>
    <w:rsid w:val="00247D70"/>
    <w:rsid w:val="00247F6A"/>
    <w:rsid w:val="002505BE"/>
    <w:rsid w:val="00250D70"/>
    <w:rsid w:val="002515F6"/>
    <w:rsid w:val="0025173D"/>
    <w:rsid w:val="00253146"/>
    <w:rsid w:val="00253B3E"/>
    <w:rsid w:val="00254E43"/>
    <w:rsid w:val="00254E51"/>
    <w:rsid w:val="00255E92"/>
    <w:rsid w:val="00256B70"/>
    <w:rsid w:val="00257199"/>
    <w:rsid w:val="002600C7"/>
    <w:rsid w:val="002609AA"/>
    <w:rsid w:val="00260CE2"/>
    <w:rsid w:val="00261A78"/>
    <w:rsid w:val="00262D55"/>
    <w:rsid w:val="0026347A"/>
    <w:rsid w:val="00263498"/>
    <w:rsid w:val="002636E5"/>
    <w:rsid w:val="00263972"/>
    <w:rsid w:val="00263B78"/>
    <w:rsid w:val="0026481D"/>
    <w:rsid w:val="0026507A"/>
    <w:rsid w:val="00266A89"/>
    <w:rsid w:val="00266B56"/>
    <w:rsid w:val="00266C05"/>
    <w:rsid w:val="00270083"/>
    <w:rsid w:val="002702DD"/>
    <w:rsid w:val="00272699"/>
    <w:rsid w:val="0027351E"/>
    <w:rsid w:val="0027441E"/>
    <w:rsid w:val="0027483C"/>
    <w:rsid w:val="00277EFE"/>
    <w:rsid w:val="00280133"/>
    <w:rsid w:val="00281B7F"/>
    <w:rsid w:val="00281D52"/>
    <w:rsid w:val="002820D7"/>
    <w:rsid w:val="00283A6C"/>
    <w:rsid w:val="00286E03"/>
    <w:rsid w:val="00287F57"/>
    <w:rsid w:val="00291B3A"/>
    <w:rsid w:val="00291D66"/>
    <w:rsid w:val="00292656"/>
    <w:rsid w:val="00292C3C"/>
    <w:rsid w:val="00294AA6"/>
    <w:rsid w:val="00294D4C"/>
    <w:rsid w:val="00296270"/>
    <w:rsid w:val="00297B6E"/>
    <w:rsid w:val="00297DF9"/>
    <w:rsid w:val="00297E71"/>
    <w:rsid w:val="002A1D2F"/>
    <w:rsid w:val="002A1DE3"/>
    <w:rsid w:val="002A2305"/>
    <w:rsid w:val="002A477C"/>
    <w:rsid w:val="002A4BB1"/>
    <w:rsid w:val="002A561C"/>
    <w:rsid w:val="002A6CE4"/>
    <w:rsid w:val="002B02EA"/>
    <w:rsid w:val="002B0BC6"/>
    <w:rsid w:val="002B1624"/>
    <w:rsid w:val="002B1C3F"/>
    <w:rsid w:val="002B1D0E"/>
    <w:rsid w:val="002B2514"/>
    <w:rsid w:val="002B3053"/>
    <w:rsid w:val="002B33AD"/>
    <w:rsid w:val="002B3E15"/>
    <w:rsid w:val="002B4651"/>
    <w:rsid w:val="002B67D3"/>
    <w:rsid w:val="002B7D13"/>
    <w:rsid w:val="002B7D4C"/>
    <w:rsid w:val="002C018F"/>
    <w:rsid w:val="002C03D2"/>
    <w:rsid w:val="002C0B3E"/>
    <w:rsid w:val="002C0F44"/>
    <w:rsid w:val="002C134A"/>
    <w:rsid w:val="002C159E"/>
    <w:rsid w:val="002C23D1"/>
    <w:rsid w:val="002C257C"/>
    <w:rsid w:val="002C2D4D"/>
    <w:rsid w:val="002C5AF0"/>
    <w:rsid w:val="002C7822"/>
    <w:rsid w:val="002C79E4"/>
    <w:rsid w:val="002D468F"/>
    <w:rsid w:val="002D51D6"/>
    <w:rsid w:val="002D5DED"/>
    <w:rsid w:val="002D657C"/>
    <w:rsid w:val="002D6E19"/>
    <w:rsid w:val="002D7A0A"/>
    <w:rsid w:val="002E000E"/>
    <w:rsid w:val="002E0115"/>
    <w:rsid w:val="002E027F"/>
    <w:rsid w:val="002E1AC2"/>
    <w:rsid w:val="002E2325"/>
    <w:rsid w:val="002E2CDD"/>
    <w:rsid w:val="002E4578"/>
    <w:rsid w:val="002E499B"/>
    <w:rsid w:val="002E4D83"/>
    <w:rsid w:val="002E59F3"/>
    <w:rsid w:val="002E626C"/>
    <w:rsid w:val="002E7F6A"/>
    <w:rsid w:val="002F056E"/>
    <w:rsid w:val="002F1AB4"/>
    <w:rsid w:val="002F3393"/>
    <w:rsid w:val="002F36D2"/>
    <w:rsid w:val="002F3C1A"/>
    <w:rsid w:val="002F3E97"/>
    <w:rsid w:val="002F4300"/>
    <w:rsid w:val="002F489A"/>
    <w:rsid w:val="002F5586"/>
    <w:rsid w:val="00300F46"/>
    <w:rsid w:val="00301A7B"/>
    <w:rsid w:val="00301CB4"/>
    <w:rsid w:val="003023FD"/>
    <w:rsid w:val="00303DF9"/>
    <w:rsid w:val="00303E57"/>
    <w:rsid w:val="0030414F"/>
    <w:rsid w:val="00305213"/>
    <w:rsid w:val="00305565"/>
    <w:rsid w:val="00306E07"/>
    <w:rsid w:val="00310C02"/>
    <w:rsid w:val="003112FF"/>
    <w:rsid w:val="0031131B"/>
    <w:rsid w:val="00312A11"/>
    <w:rsid w:val="00312B95"/>
    <w:rsid w:val="00312E50"/>
    <w:rsid w:val="003147DD"/>
    <w:rsid w:val="00315D84"/>
    <w:rsid w:val="00316528"/>
    <w:rsid w:val="00316AAC"/>
    <w:rsid w:val="00317307"/>
    <w:rsid w:val="00320816"/>
    <w:rsid w:val="00320E26"/>
    <w:rsid w:val="00321C81"/>
    <w:rsid w:val="00322444"/>
    <w:rsid w:val="003225AB"/>
    <w:rsid w:val="00322883"/>
    <w:rsid w:val="00323965"/>
    <w:rsid w:val="00327837"/>
    <w:rsid w:val="00327D2C"/>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269"/>
    <w:rsid w:val="00342A5A"/>
    <w:rsid w:val="00343456"/>
    <w:rsid w:val="00345362"/>
    <w:rsid w:val="00345C2F"/>
    <w:rsid w:val="0034794C"/>
    <w:rsid w:val="00347D10"/>
    <w:rsid w:val="00347E04"/>
    <w:rsid w:val="0035098F"/>
    <w:rsid w:val="0035158D"/>
    <w:rsid w:val="003522B0"/>
    <w:rsid w:val="00352A66"/>
    <w:rsid w:val="003538BF"/>
    <w:rsid w:val="00354CF6"/>
    <w:rsid w:val="00354D46"/>
    <w:rsid w:val="003557A9"/>
    <w:rsid w:val="0035655A"/>
    <w:rsid w:val="00357879"/>
    <w:rsid w:val="00360B40"/>
    <w:rsid w:val="00360C27"/>
    <w:rsid w:val="0036152B"/>
    <w:rsid w:val="00361A07"/>
    <w:rsid w:val="00362054"/>
    <w:rsid w:val="00362300"/>
    <w:rsid w:val="00362945"/>
    <w:rsid w:val="00363BD5"/>
    <w:rsid w:val="00363DA6"/>
    <w:rsid w:val="003643A3"/>
    <w:rsid w:val="00364555"/>
    <w:rsid w:val="003645AA"/>
    <w:rsid w:val="0036493C"/>
    <w:rsid w:val="00365BED"/>
    <w:rsid w:val="00365ECE"/>
    <w:rsid w:val="00366135"/>
    <w:rsid w:val="00366EAE"/>
    <w:rsid w:val="00367801"/>
    <w:rsid w:val="0037000D"/>
    <w:rsid w:val="00370B1E"/>
    <w:rsid w:val="00372980"/>
    <w:rsid w:val="00372C90"/>
    <w:rsid w:val="00373509"/>
    <w:rsid w:val="00373545"/>
    <w:rsid w:val="003736D8"/>
    <w:rsid w:val="00373D61"/>
    <w:rsid w:val="00375091"/>
    <w:rsid w:val="0037661E"/>
    <w:rsid w:val="00377391"/>
    <w:rsid w:val="003813B0"/>
    <w:rsid w:val="00381894"/>
    <w:rsid w:val="0038216A"/>
    <w:rsid w:val="00382508"/>
    <w:rsid w:val="00382951"/>
    <w:rsid w:val="00382BC2"/>
    <w:rsid w:val="003845D0"/>
    <w:rsid w:val="003852FD"/>
    <w:rsid w:val="00385719"/>
    <w:rsid w:val="003864C0"/>
    <w:rsid w:val="00386714"/>
    <w:rsid w:val="00386A5E"/>
    <w:rsid w:val="00386BBA"/>
    <w:rsid w:val="00386D59"/>
    <w:rsid w:val="003870E2"/>
    <w:rsid w:val="003903E8"/>
    <w:rsid w:val="003908F2"/>
    <w:rsid w:val="0039171C"/>
    <w:rsid w:val="00392F88"/>
    <w:rsid w:val="00393600"/>
    <w:rsid w:val="00393C49"/>
    <w:rsid w:val="00395037"/>
    <w:rsid w:val="003950F3"/>
    <w:rsid w:val="00396AAB"/>
    <w:rsid w:val="00396B6A"/>
    <w:rsid w:val="00396E51"/>
    <w:rsid w:val="00396FEE"/>
    <w:rsid w:val="00397842"/>
    <w:rsid w:val="003A12E4"/>
    <w:rsid w:val="003A1A4E"/>
    <w:rsid w:val="003A23B5"/>
    <w:rsid w:val="003A2A55"/>
    <w:rsid w:val="003A2AFB"/>
    <w:rsid w:val="003A2D23"/>
    <w:rsid w:val="003A3E3B"/>
    <w:rsid w:val="003A437D"/>
    <w:rsid w:val="003A538E"/>
    <w:rsid w:val="003A5F6E"/>
    <w:rsid w:val="003B01D4"/>
    <w:rsid w:val="003B0573"/>
    <w:rsid w:val="003B0602"/>
    <w:rsid w:val="003B086E"/>
    <w:rsid w:val="003B100C"/>
    <w:rsid w:val="003B117C"/>
    <w:rsid w:val="003B213F"/>
    <w:rsid w:val="003B3833"/>
    <w:rsid w:val="003B5B3A"/>
    <w:rsid w:val="003B5DC8"/>
    <w:rsid w:val="003B63FB"/>
    <w:rsid w:val="003B669E"/>
    <w:rsid w:val="003B6AF8"/>
    <w:rsid w:val="003C4418"/>
    <w:rsid w:val="003C5BD0"/>
    <w:rsid w:val="003D277A"/>
    <w:rsid w:val="003D3401"/>
    <w:rsid w:val="003D41D9"/>
    <w:rsid w:val="003D46E7"/>
    <w:rsid w:val="003D7C66"/>
    <w:rsid w:val="003E0C85"/>
    <w:rsid w:val="003E15BE"/>
    <w:rsid w:val="003E1ADA"/>
    <w:rsid w:val="003E1C57"/>
    <w:rsid w:val="003E2422"/>
    <w:rsid w:val="003E2D47"/>
    <w:rsid w:val="003E4703"/>
    <w:rsid w:val="003E4C57"/>
    <w:rsid w:val="003E4E42"/>
    <w:rsid w:val="003E6A24"/>
    <w:rsid w:val="003E74A4"/>
    <w:rsid w:val="003F032C"/>
    <w:rsid w:val="003F0518"/>
    <w:rsid w:val="003F0648"/>
    <w:rsid w:val="003F159A"/>
    <w:rsid w:val="003F23B0"/>
    <w:rsid w:val="003F291D"/>
    <w:rsid w:val="003F2F80"/>
    <w:rsid w:val="003F3C02"/>
    <w:rsid w:val="003F4406"/>
    <w:rsid w:val="003F4998"/>
    <w:rsid w:val="003F6535"/>
    <w:rsid w:val="003F7DFD"/>
    <w:rsid w:val="004013C7"/>
    <w:rsid w:val="00403EC1"/>
    <w:rsid w:val="00404981"/>
    <w:rsid w:val="00404EA8"/>
    <w:rsid w:val="004069E3"/>
    <w:rsid w:val="0040791F"/>
    <w:rsid w:val="00407CFC"/>
    <w:rsid w:val="00410D4E"/>
    <w:rsid w:val="00411191"/>
    <w:rsid w:val="00412989"/>
    <w:rsid w:val="0041318A"/>
    <w:rsid w:val="004131F2"/>
    <w:rsid w:val="00414418"/>
    <w:rsid w:val="004146C9"/>
    <w:rsid w:val="00414B41"/>
    <w:rsid w:val="00416765"/>
    <w:rsid w:val="004174E5"/>
    <w:rsid w:val="00420072"/>
    <w:rsid w:val="004202ED"/>
    <w:rsid w:val="00420467"/>
    <w:rsid w:val="00420F01"/>
    <w:rsid w:val="0042107B"/>
    <w:rsid w:val="0042222F"/>
    <w:rsid w:val="00422524"/>
    <w:rsid w:val="00422662"/>
    <w:rsid w:val="004226D0"/>
    <w:rsid w:val="004229B0"/>
    <w:rsid w:val="0042323B"/>
    <w:rsid w:val="00423412"/>
    <w:rsid w:val="00423A6A"/>
    <w:rsid w:val="004247B0"/>
    <w:rsid w:val="00425388"/>
    <w:rsid w:val="00427BB8"/>
    <w:rsid w:val="00427DB3"/>
    <w:rsid w:val="0043018B"/>
    <w:rsid w:val="004301B9"/>
    <w:rsid w:val="00430B62"/>
    <w:rsid w:val="00432DEE"/>
    <w:rsid w:val="00433FEB"/>
    <w:rsid w:val="0043570C"/>
    <w:rsid w:val="0043622D"/>
    <w:rsid w:val="00442BE6"/>
    <w:rsid w:val="0044452B"/>
    <w:rsid w:val="0044505C"/>
    <w:rsid w:val="00445908"/>
    <w:rsid w:val="004464D5"/>
    <w:rsid w:val="004465EF"/>
    <w:rsid w:val="00446BFE"/>
    <w:rsid w:val="00447F42"/>
    <w:rsid w:val="0045116A"/>
    <w:rsid w:val="00451A18"/>
    <w:rsid w:val="00451E60"/>
    <w:rsid w:val="00452887"/>
    <w:rsid w:val="00452C48"/>
    <w:rsid w:val="00452E06"/>
    <w:rsid w:val="00452E9D"/>
    <w:rsid w:val="0045304C"/>
    <w:rsid w:val="004530AC"/>
    <w:rsid w:val="00453EB3"/>
    <w:rsid w:val="00454368"/>
    <w:rsid w:val="004547C0"/>
    <w:rsid w:val="00454AE8"/>
    <w:rsid w:val="004559D3"/>
    <w:rsid w:val="00456AEF"/>
    <w:rsid w:val="00456D32"/>
    <w:rsid w:val="0045720E"/>
    <w:rsid w:val="00457853"/>
    <w:rsid w:val="00457902"/>
    <w:rsid w:val="00460A9A"/>
    <w:rsid w:val="00460B25"/>
    <w:rsid w:val="00461AD2"/>
    <w:rsid w:val="00462797"/>
    <w:rsid w:val="00463603"/>
    <w:rsid w:val="00464228"/>
    <w:rsid w:val="004646E7"/>
    <w:rsid w:val="00466E12"/>
    <w:rsid w:val="00467537"/>
    <w:rsid w:val="0047058E"/>
    <w:rsid w:val="00471026"/>
    <w:rsid w:val="00473013"/>
    <w:rsid w:val="004732C0"/>
    <w:rsid w:val="00473A93"/>
    <w:rsid w:val="00473CEA"/>
    <w:rsid w:val="0047437B"/>
    <w:rsid w:val="00474394"/>
    <w:rsid w:val="004744D3"/>
    <w:rsid w:val="00475C32"/>
    <w:rsid w:val="00475EFF"/>
    <w:rsid w:val="00476144"/>
    <w:rsid w:val="004762C9"/>
    <w:rsid w:val="00476406"/>
    <w:rsid w:val="0047786B"/>
    <w:rsid w:val="004822A1"/>
    <w:rsid w:val="00482EF4"/>
    <w:rsid w:val="0048343C"/>
    <w:rsid w:val="00483A17"/>
    <w:rsid w:val="00483DD5"/>
    <w:rsid w:val="004845F1"/>
    <w:rsid w:val="00484BC2"/>
    <w:rsid w:val="00486DC0"/>
    <w:rsid w:val="00486E8C"/>
    <w:rsid w:val="004872E3"/>
    <w:rsid w:val="00487630"/>
    <w:rsid w:val="004900C1"/>
    <w:rsid w:val="00490743"/>
    <w:rsid w:val="00490A55"/>
    <w:rsid w:val="00491178"/>
    <w:rsid w:val="004914D1"/>
    <w:rsid w:val="004927CB"/>
    <w:rsid w:val="00492FC4"/>
    <w:rsid w:val="00493037"/>
    <w:rsid w:val="00494CD3"/>
    <w:rsid w:val="00494FB3"/>
    <w:rsid w:val="004955A5"/>
    <w:rsid w:val="00495EF4"/>
    <w:rsid w:val="00496D19"/>
    <w:rsid w:val="00496DF9"/>
    <w:rsid w:val="00496E13"/>
    <w:rsid w:val="00497240"/>
    <w:rsid w:val="004A03C6"/>
    <w:rsid w:val="004A154E"/>
    <w:rsid w:val="004A15DE"/>
    <w:rsid w:val="004A1A24"/>
    <w:rsid w:val="004A2EFC"/>
    <w:rsid w:val="004A33BB"/>
    <w:rsid w:val="004A3B9F"/>
    <w:rsid w:val="004A472E"/>
    <w:rsid w:val="004A4B6B"/>
    <w:rsid w:val="004A5312"/>
    <w:rsid w:val="004A5F6D"/>
    <w:rsid w:val="004B0361"/>
    <w:rsid w:val="004B3904"/>
    <w:rsid w:val="004B42F1"/>
    <w:rsid w:val="004B6157"/>
    <w:rsid w:val="004B7492"/>
    <w:rsid w:val="004B7C61"/>
    <w:rsid w:val="004C02D7"/>
    <w:rsid w:val="004C0E63"/>
    <w:rsid w:val="004C1446"/>
    <w:rsid w:val="004C226E"/>
    <w:rsid w:val="004C3546"/>
    <w:rsid w:val="004C3568"/>
    <w:rsid w:val="004C4638"/>
    <w:rsid w:val="004C4884"/>
    <w:rsid w:val="004C4AB6"/>
    <w:rsid w:val="004C60B8"/>
    <w:rsid w:val="004C6952"/>
    <w:rsid w:val="004C7DD7"/>
    <w:rsid w:val="004D18D0"/>
    <w:rsid w:val="004D27D6"/>
    <w:rsid w:val="004D2AC6"/>
    <w:rsid w:val="004D2F5D"/>
    <w:rsid w:val="004D3376"/>
    <w:rsid w:val="004D41CF"/>
    <w:rsid w:val="004D526E"/>
    <w:rsid w:val="004D5771"/>
    <w:rsid w:val="004D62DB"/>
    <w:rsid w:val="004D7525"/>
    <w:rsid w:val="004D79AD"/>
    <w:rsid w:val="004E0277"/>
    <w:rsid w:val="004E0943"/>
    <w:rsid w:val="004E0C22"/>
    <w:rsid w:val="004E493E"/>
    <w:rsid w:val="004E4E1D"/>
    <w:rsid w:val="004E5FA7"/>
    <w:rsid w:val="004E6274"/>
    <w:rsid w:val="004E63CC"/>
    <w:rsid w:val="004E6D6E"/>
    <w:rsid w:val="004F03E9"/>
    <w:rsid w:val="004F096E"/>
    <w:rsid w:val="004F0BE2"/>
    <w:rsid w:val="004F201B"/>
    <w:rsid w:val="004F256B"/>
    <w:rsid w:val="004F2EC5"/>
    <w:rsid w:val="004F30A3"/>
    <w:rsid w:val="004F3408"/>
    <w:rsid w:val="004F3FAC"/>
    <w:rsid w:val="004F72C7"/>
    <w:rsid w:val="004F75A1"/>
    <w:rsid w:val="004F79BD"/>
    <w:rsid w:val="00501057"/>
    <w:rsid w:val="005029E7"/>
    <w:rsid w:val="00502E98"/>
    <w:rsid w:val="005031B6"/>
    <w:rsid w:val="00503F39"/>
    <w:rsid w:val="00504816"/>
    <w:rsid w:val="00504B6F"/>
    <w:rsid w:val="00506BC4"/>
    <w:rsid w:val="00506E7D"/>
    <w:rsid w:val="005079E1"/>
    <w:rsid w:val="00507A63"/>
    <w:rsid w:val="00507D05"/>
    <w:rsid w:val="00510FCB"/>
    <w:rsid w:val="00513602"/>
    <w:rsid w:val="00514377"/>
    <w:rsid w:val="00514B6A"/>
    <w:rsid w:val="005157A6"/>
    <w:rsid w:val="005166D8"/>
    <w:rsid w:val="0052067C"/>
    <w:rsid w:val="00522F30"/>
    <w:rsid w:val="00522F8C"/>
    <w:rsid w:val="005248BF"/>
    <w:rsid w:val="00525489"/>
    <w:rsid w:val="00525937"/>
    <w:rsid w:val="0052754F"/>
    <w:rsid w:val="00531479"/>
    <w:rsid w:val="005335EE"/>
    <w:rsid w:val="005343DE"/>
    <w:rsid w:val="005348EF"/>
    <w:rsid w:val="00534C0F"/>
    <w:rsid w:val="005351E9"/>
    <w:rsid w:val="005353FE"/>
    <w:rsid w:val="00536141"/>
    <w:rsid w:val="005363D4"/>
    <w:rsid w:val="005374AC"/>
    <w:rsid w:val="00542CA5"/>
    <w:rsid w:val="0054374E"/>
    <w:rsid w:val="00543D1D"/>
    <w:rsid w:val="005445D6"/>
    <w:rsid w:val="00544D6C"/>
    <w:rsid w:val="00544DCA"/>
    <w:rsid w:val="00545090"/>
    <w:rsid w:val="005465C0"/>
    <w:rsid w:val="00546A89"/>
    <w:rsid w:val="00546C44"/>
    <w:rsid w:val="00550C8A"/>
    <w:rsid w:val="005510FE"/>
    <w:rsid w:val="00551D52"/>
    <w:rsid w:val="0055628B"/>
    <w:rsid w:val="00556B35"/>
    <w:rsid w:val="00561EE2"/>
    <w:rsid w:val="00561F63"/>
    <w:rsid w:val="005631AD"/>
    <w:rsid w:val="005639EA"/>
    <w:rsid w:val="00564BCE"/>
    <w:rsid w:val="005667D5"/>
    <w:rsid w:val="0057016D"/>
    <w:rsid w:val="00570C9E"/>
    <w:rsid w:val="005720A7"/>
    <w:rsid w:val="005722A1"/>
    <w:rsid w:val="00572319"/>
    <w:rsid w:val="00572841"/>
    <w:rsid w:val="005737F6"/>
    <w:rsid w:val="00573B43"/>
    <w:rsid w:val="00575350"/>
    <w:rsid w:val="00580DC4"/>
    <w:rsid w:val="00580F90"/>
    <w:rsid w:val="00582651"/>
    <w:rsid w:val="00584EC7"/>
    <w:rsid w:val="0058536F"/>
    <w:rsid w:val="00585433"/>
    <w:rsid w:val="005854AE"/>
    <w:rsid w:val="00586411"/>
    <w:rsid w:val="0058729F"/>
    <w:rsid w:val="005879C7"/>
    <w:rsid w:val="0059048F"/>
    <w:rsid w:val="0059107D"/>
    <w:rsid w:val="005910A3"/>
    <w:rsid w:val="005917AB"/>
    <w:rsid w:val="00591DD6"/>
    <w:rsid w:val="005925E4"/>
    <w:rsid w:val="00592A83"/>
    <w:rsid w:val="00593B07"/>
    <w:rsid w:val="00593E3E"/>
    <w:rsid w:val="005942EA"/>
    <w:rsid w:val="005943A7"/>
    <w:rsid w:val="00596688"/>
    <w:rsid w:val="00596832"/>
    <w:rsid w:val="00597148"/>
    <w:rsid w:val="00597EF7"/>
    <w:rsid w:val="005A038B"/>
    <w:rsid w:val="005A1052"/>
    <w:rsid w:val="005A2107"/>
    <w:rsid w:val="005A341D"/>
    <w:rsid w:val="005A3AA3"/>
    <w:rsid w:val="005A3FE0"/>
    <w:rsid w:val="005A604E"/>
    <w:rsid w:val="005A61F3"/>
    <w:rsid w:val="005B1986"/>
    <w:rsid w:val="005B2981"/>
    <w:rsid w:val="005B30CB"/>
    <w:rsid w:val="005B4235"/>
    <w:rsid w:val="005B522F"/>
    <w:rsid w:val="005B562A"/>
    <w:rsid w:val="005B7710"/>
    <w:rsid w:val="005C03E3"/>
    <w:rsid w:val="005C06FE"/>
    <w:rsid w:val="005C0778"/>
    <w:rsid w:val="005C10C7"/>
    <w:rsid w:val="005C13E3"/>
    <w:rsid w:val="005C17FF"/>
    <w:rsid w:val="005C206D"/>
    <w:rsid w:val="005C220C"/>
    <w:rsid w:val="005C2C17"/>
    <w:rsid w:val="005C349D"/>
    <w:rsid w:val="005C4005"/>
    <w:rsid w:val="005C4B7E"/>
    <w:rsid w:val="005C4BD3"/>
    <w:rsid w:val="005C5056"/>
    <w:rsid w:val="005C50F8"/>
    <w:rsid w:val="005C6E63"/>
    <w:rsid w:val="005C6FD6"/>
    <w:rsid w:val="005C7A9F"/>
    <w:rsid w:val="005D0AF9"/>
    <w:rsid w:val="005D1E18"/>
    <w:rsid w:val="005D244B"/>
    <w:rsid w:val="005D2B37"/>
    <w:rsid w:val="005D2E46"/>
    <w:rsid w:val="005D3855"/>
    <w:rsid w:val="005D4715"/>
    <w:rsid w:val="005D5B13"/>
    <w:rsid w:val="005D67FA"/>
    <w:rsid w:val="005D6E34"/>
    <w:rsid w:val="005D6F2C"/>
    <w:rsid w:val="005D795D"/>
    <w:rsid w:val="005D7DD3"/>
    <w:rsid w:val="005E00FE"/>
    <w:rsid w:val="005E076C"/>
    <w:rsid w:val="005E0A0B"/>
    <w:rsid w:val="005E0A22"/>
    <w:rsid w:val="005E1812"/>
    <w:rsid w:val="005E1AC7"/>
    <w:rsid w:val="005E1AF2"/>
    <w:rsid w:val="005E1D7A"/>
    <w:rsid w:val="005E2411"/>
    <w:rsid w:val="005E31D8"/>
    <w:rsid w:val="005E344F"/>
    <w:rsid w:val="005E3CEF"/>
    <w:rsid w:val="005E4E7C"/>
    <w:rsid w:val="005E51D2"/>
    <w:rsid w:val="005E533D"/>
    <w:rsid w:val="005E6A91"/>
    <w:rsid w:val="005E6D29"/>
    <w:rsid w:val="005E725C"/>
    <w:rsid w:val="005F0F6B"/>
    <w:rsid w:val="005F1423"/>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2DD7"/>
    <w:rsid w:val="00604147"/>
    <w:rsid w:val="00605815"/>
    <w:rsid w:val="00605C82"/>
    <w:rsid w:val="0060617B"/>
    <w:rsid w:val="00607E92"/>
    <w:rsid w:val="00610417"/>
    <w:rsid w:val="00612B0D"/>
    <w:rsid w:val="00612FF9"/>
    <w:rsid w:val="00614A27"/>
    <w:rsid w:val="00615247"/>
    <w:rsid w:val="006155FC"/>
    <w:rsid w:val="00615695"/>
    <w:rsid w:val="0061714E"/>
    <w:rsid w:val="006203BD"/>
    <w:rsid w:val="0062059B"/>
    <w:rsid w:val="006247BA"/>
    <w:rsid w:val="00624C5C"/>
    <w:rsid w:val="00627E76"/>
    <w:rsid w:val="006323A6"/>
    <w:rsid w:val="00632B1F"/>
    <w:rsid w:val="00635368"/>
    <w:rsid w:val="00635A99"/>
    <w:rsid w:val="00636A86"/>
    <w:rsid w:val="00636DEE"/>
    <w:rsid w:val="00637FE2"/>
    <w:rsid w:val="006404A3"/>
    <w:rsid w:val="006447BC"/>
    <w:rsid w:val="00644CFA"/>
    <w:rsid w:val="00645987"/>
    <w:rsid w:val="0065046E"/>
    <w:rsid w:val="006504EE"/>
    <w:rsid w:val="00650B00"/>
    <w:rsid w:val="00650F54"/>
    <w:rsid w:val="0065259E"/>
    <w:rsid w:val="0065282A"/>
    <w:rsid w:val="00652F48"/>
    <w:rsid w:val="006536A9"/>
    <w:rsid w:val="00654126"/>
    <w:rsid w:val="0065764E"/>
    <w:rsid w:val="00657C61"/>
    <w:rsid w:val="00657CB6"/>
    <w:rsid w:val="00657D43"/>
    <w:rsid w:val="00657E00"/>
    <w:rsid w:val="006613A9"/>
    <w:rsid w:val="006625B4"/>
    <w:rsid w:val="00663408"/>
    <w:rsid w:val="006640FE"/>
    <w:rsid w:val="00667F43"/>
    <w:rsid w:val="00667F4C"/>
    <w:rsid w:val="00671255"/>
    <w:rsid w:val="006729CE"/>
    <w:rsid w:val="00672BEE"/>
    <w:rsid w:val="00674467"/>
    <w:rsid w:val="0067448D"/>
    <w:rsid w:val="006762E5"/>
    <w:rsid w:val="006764C8"/>
    <w:rsid w:val="006777A0"/>
    <w:rsid w:val="006813C8"/>
    <w:rsid w:val="00681A3E"/>
    <w:rsid w:val="006828ED"/>
    <w:rsid w:val="00682A07"/>
    <w:rsid w:val="00683977"/>
    <w:rsid w:val="00683A9D"/>
    <w:rsid w:val="00683B97"/>
    <w:rsid w:val="00683CCF"/>
    <w:rsid w:val="00683DC7"/>
    <w:rsid w:val="00683E06"/>
    <w:rsid w:val="006846ED"/>
    <w:rsid w:val="0068568E"/>
    <w:rsid w:val="0068589F"/>
    <w:rsid w:val="00685B51"/>
    <w:rsid w:val="00685E07"/>
    <w:rsid w:val="00687C5B"/>
    <w:rsid w:val="0069068B"/>
    <w:rsid w:val="00690870"/>
    <w:rsid w:val="006931D5"/>
    <w:rsid w:val="00694103"/>
    <w:rsid w:val="0069660A"/>
    <w:rsid w:val="006974FC"/>
    <w:rsid w:val="006A0482"/>
    <w:rsid w:val="006A13BF"/>
    <w:rsid w:val="006A3E57"/>
    <w:rsid w:val="006A4046"/>
    <w:rsid w:val="006A434B"/>
    <w:rsid w:val="006A53F6"/>
    <w:rsid w:val="006A78A6"/>
    <w:rsid w:val="006B17DE"/>
    <w:rsid w:val="006B2F3C"/>
    <w:rsid w:val="006B432F"/>
    <w:rsid w:val="006B4689"/>
    <w:rsid w:val="006B7C24"/>
    <w:rsid w:val="006B7CF9"/>
    <w:rsid w:val="006C0139"/>
    <w:rsid w:val="006C111C"/>
    <w:rsid w:val="006C1AEE"/>
    <w:rsid w:val="006C1E1B"/>
    <w:rsid w:val="006C1F04"/>
    <w:rsid w:val="006C20CD"/>
    <w:rsid w:val="006C27E2"/>
    <w:rsid w:val="006C3927"/>
    <w:rsid w:val="006C4BF2"/>
    <w:rsid w:val="006C51F7"/>
    <w:rsid w:val="006C6452"/>
    <w:rsid w:val="006C6761"/>
    <w:rsid w:val="006D0368"/>
    <w:rsid w:val="006D117D"/>
    <w:rsid w:val="006D1F09"/>
    <w:rsid w:val="006D2333"/>
    <w:rsid w:val="006D2DEC"/>
    <w:rsid w:val="006D3DBE"/>
    <w:rsid w:val="006D571E"/>
    <w:rsid w:val="006D5D56"/>
    <w:rsid w:val="006D6CC7"/>
    <w:rsid w:val="006D70CD"/>
    <w:rsid w:val="006D7C85"/>
    <w:rsid w:val="006E0045"/>
    <w:rsid w:val="006E1886"/>
    <w:rsid w:val="006E1CA2"/>
    <w:rsid w:val="006E2C81"/>
    <w:rsid w:val="006E2DEF"/>
    <w:rsid w:val="006E343F"/>
    <w:rsid w:val="006E42F5"/>
    <w:rsid w:val="006E4AA9"/>
    <w:rsid w:val="006E53D1"/>
    <w:rsid w:val="006E6A54"/>
    <w:rsid w:val="006E6DB3"/>
    <w:rsid w:val="006E7CC1"/>
    <w:rsid w:val="006F0920"/>
    <w:rsid w:val="006F0B6B"/>
    <w:rsid w:val="006F0E7B"/>
    <w:rsid w:val="006F1E01"/>
    <w:rsid w:val="006F1F34"/>
    <w:rsid w:val="006F47C8"/>
    <w:rsid w:val="006F4AF5"/>
    <w:rsid w:val="006F51F9"/>
    <w:rsid w:val="006F6584"/>
    <w:rsid w:val="006F6FC1"/>
    <w:rsid w:val="006F715C"/>
    <w:rsid w:val="006F7A23"/>
    <w:rsid w:val="0070010D"/>
    <w:rsid w:val="007004DA"/>
    <w:rsid w:val="00701726"/>
    <w:rsid w:val="007031E2"/>
    <w:rsid w:val="00703733"/>
    <w:rsid w:val="00704257"/>
    <w:rsid w:val="007042D0"/>
    <w:rsid w:val="0070578E"/>
    <w:rsid w:val="00707AE7"/>
    <w:rsid w:val="00711B43"/>
    <w:rsid w:val="007121B3"/>
    <w:rsid w:val="007122CC"/>
    <w:rsid w:val="0071302F"/>
    <w:rsid w:val="007138D8"/>
    <w:rsid w:val="00715F7B"/>
    <w:rsid w:val="00716799"/>
    <w:rsid w:val="0071790F"/>
    <w:rsid w:val="0072229D"/>
    <w:rsid w:val="00724311"/>
    <w:rsid w:val="00730D2E"/>
    <w:rsid w:val="0073198F"/>
    <w:rsid w:val="00731A0C"/>
    <w:rsid w:val="00731AE9"/>
    <w:rsid w:val="00732B88"/>
    <w:rsid w:val="007339FC"/>
    <w:rsid w:val="00733A81"/>
    <w:rsid w:val="0073548A"/>
    <w:rsid w:val="007375CF"/>
    <w:rsid w:val="00737BA0"/>
    <w:rsid w:val="00737F14"/>
    <w:rsid w:val="00740BD4"/>
    <w:rsid w:val="00742F5B"/>
    <w:rsid w:val="0074328B"/>
    <w:rsid w:val="00743E2D"/>
    <w:rsid w:val="007449AF"/>
    <w:rsid w:val="00746F2B"/>
    <w:rsid w:val="0074786A"/>
    <w:rsid w:val="00747B16"/>
    <w:rsid w:val="007500A2"/>
    <w:rsid w:val="00751A18"/>
    <w:rsid w:val="007520A4"/>
    <w:rsid w:val="00752236"/>
    <w:rsid w:val="0075324F"/>
    <w:rsid w:val="00754162"/>
    <w:rsid w:val="007541FA"/>
    <w:rsid w:val="0075426C"/>
    <w:rsid w:val="00754A53"/>
    <w:rsid w:val="00754B6C"/>
    <w:rsid w:val="007557E1"/>
    <w:rsid w:val="007577FC"/>
    <w:rsid w:val="007609DE"/>
    <w:rsid w:val="00760D7B"/>
    <w:rsid w:val="00762176"/>
    <w:rsid w:val="0076478B"/>
    <w:rsid w:val="0076664B"/>
    <w:rsid w:val="00766D48"/>
    <w:rsid w:val="00767E7E"/>
    <w:rsid w:val="00773ADD"/>
    <w:rsid w:val="00774FA0"/>
    <w:rsid w:val="00777A11"/>
    <w:rsid w:val="0078013B"/>
    <w:rsid w:val="00780E9B"/>
    <w:rsid w:val="00781DFE"/>
    <w:rsid w:val="00783CAA"/>
    <w:rsid w:val="00784027"/>
    <w:rsid w:val="007848F3"/>
    <w:rsid w:val="00784C7B"/>
    <w:rsid w:val="007857B4"/>
    <w:rsid w:val="007864C1"/>
    <w:rsid w:val="00786718"/>
    <w:rsid w:val="0079192D"/>
    <w:rsid w:val="00791CD7"/>
    <w:rsid w:val="00791CE4"/>
    <w:rsid w:val="0079359A"/>
    <w:rsid w:val="00794312"/>
    <w:rsid w:val="00794CDF"/>
    <w:rsid w:val="0079518B"/>
    <w:rsid w:val="00797D46"/>
    <w:rsid w:val="007A01CC"/>
    <w:rsid w:val="007A0524"/>
    <w:rsid w:val="007A2597"/>
    <w:rsid w:val="007A25C9"/>
    <w:rsid w:val="007A2832"/>
    <w:rsid w:val="007A2D4A"/>
    <w:rsid w:val="007A32BB"/>
    <w:rsid w:val="007A4679"/>
    <w:rsid w:val="007A4C9D"/>
    <w:rsid w:val="007A5DFF"/>
    <w:rsid w:val="007A7CCF"/>
    <w:rsid w:val="007B1027"/>
    <w:rsid w:val="007B149E"/>
    <w:rsid w:val="007B19B1"/>
    <w:rsid w:val="007B1D16"/>
    <w:rsid w:val="007B2DB4"/>
    <w:rsid w:val="007B307C"/>
    <w:rsid w:val="007B3922"/>
    <w:rsid w:val="007B3B56"/>
    <w:rsid w:val="007B403A"/>
    <w:rsid w:val="007B4213"/>
    <w:rsid w:val="007B4677"/>
    <w:rsid w:val="007B497F"/>
    <w:rsid w:val="007B4ED1"/>
    <w:rsid w:val="007B7582"/>
    <w:rsid w:val="007B794B"/>
    <w:rsid w:val="007C0DEC"/>
    <w:rsid w:val="007C1527"/>
    <w:rsid w:val="007C1ECE"/>
    <w:rsid w:val="007C2BA8"/>
    <w:rsid w:val="007C3820"/>
    <w:rsid w:val="007C4C18"/>
    <w:rsid w:val="007D1A32"/>
    <w:rsid w:val="007D3340"/>
    <w:rsid w:val="007D3645"/>
    <w:rsid w:val="007D3FA4"/>
    <w:rsid w:val="007D5153"/>
    <w:rsid w:val="007D5EED"/>
    <w:rsid w:val="007D620F"/>
    <w:rsid w:val="007D7F78"/>
    <w:rsid w:val="007E14BD"/>
    <w:rsid w:val="007E31EA"/>
    <w:rsid w:val="007E3B25"/>
    <w:rsid w:val="007E3B7D"/>
    <w:rsid w:val="007E5A22"/>
    <w:rsid w:val="007E7710"/>
    <w:rsid w:val="007E7DB7"/>
    <w:rsid w:val="007F2008"/>
    <w:rsid w:val="007F2117"/>
    <w:rsid w:val="007F22AC"/>
    <w:rsid w:val="007F29E1"/>
    <w:rsid w:val="007F2DAB"/>
    <w:rsid w:val="007F4185"/>
    <w:rsid w:val="007F42E3"/>
    <w:rsid w:val="007F4388"/>
    <w:rsid w:val="007F4788"/>
    <w:rsid w:val="007F618A"/>
    <w:rsid w:val="00801104"/>
    <w:rsid w:val="00801432"/>
    <w:rsid w:val="00802112"/>
    <w:rsid w:val="00802290"/>
    <w:rsid w:val="00803305"/>
    <w:rsid w:val="0080375B"/>
    <w:rsid w:val="00803FCC"/>
    <w:rsid w:val="008041F5"/>
    <w:rsid w:val="00804F53"/>
    <w:rsid w:val="00807D37"/>
    <w:rsid w:val="0081042F"/>
    <w:rsid w:val="00811D56"/>
    <w:rsid w:val="008120AF"/>
    <w:rsid w:val="008125B6"/>
    <w:rsid w:val="00812625"/>
    <w:rsid w:val="0081485A"/>
    <w:rsid w:val="00814DBF"/>
    <w:rsid w:val="00815812"/>
    <w:rsid w:val="00815FFB"/>
    <w:rsid w:val="0081617D"/>
    <w:rsid w:val="00817697"/>
    <w:rsid w:val="00817759"/>
    <w:rsid w:val="00817C8F"/>
    <w:rsid w:val="0082013A"/>
    <w:rsid w:val="008206D4"/>
    <w:rsid w:val="00820982"/>
    <w:rsid w:val="008213C2"/>
    <w:rsid w:val="0082170D"/>
    <w:rsid w:val="0082187A"/>
    <w:rsid w:val="00822097"/>
    <w:rsid w:val="00822223"/>
    <w:rsid w:val="0082228E"/>
    <w:rsid w:val="00822802"/>
    <w:rsid w:val="00823B31"/>
    <w:rsid w:val="00825521"/>
    <w:rsid w:val="00825F2E"/>
    <w:rsid w:val="00831097"/>
    <w:rsid w:val="0083144C"/>
    <w:rsid w:val="00831989"/>
    <w:rsid w:val="00831EBD"/>
    <w:rsid w:val="00832986"/>
    <w:rsid w:val="008340DA"/>
    <w:rsid w:val="00836001"/>
    <w:rsid w:val="00836BE4"/>
    <w:rsid w:val="008378B4"/>
    <w:rsid w:val="00840092"/>
    <w:rsid w:val="00840A1A"/>
    <w:rsid w:val="00840D02"/>
    <w:rsid w:val="008431E0"/>
    <w:rsid w:val="00843A16"/>
    <w:rsid w:val="00844665"/>
    <w:rsid w:val="00844A94"/>
    <w:rsid w:val="00845E4B"/>
    <w:rsid w:val="00846081"/>
    <w:rsid w:val="00846735"/>
    <w:rsid w:val="00846837"/>
    <w:rsid w:val="00846E42"/>
    <w:rsid w:val="00847D7D"/>
    <w:rsid w:val="00850601"/>
    <w:rsid w:val="00852698"/>
    <w:rsid w:val="008527C1"/>
    <w:rsid w:val="00852948"/>
    <w:rsid w:val="00852DEC"/>
    <w:rsid w:val="00853065"/>
    <w:rsid w:val="00854598"/>
    <w:rsid w:val="008549CC"/>
    <w:rsid w:val="008556FB"/>
    <w:rsid w:val="00856BDC"/>
    <w:rsid w:val="00857CBA"/>
    <w:rsid w:val="00861AA2"/>
    <w:rsid w:val="00861C4F"/>
    <w:rsid w:val="00862D0B"/>
    <w:rsid w:val="00863B0E"/>
    <w:rsid w:val="00863D30"/>
    <w:rsid w:val="008642DF"/>
    <w:rsid w:val="0086434F"/>
    <w:rsid w:val="008645D5"/>
    <w:rsid w:val="00864635"/>
    <w:rsid w:val="00864FC3"/>
    <w:rsid w:val="00865AD8"/>
    <w:rsid w:val="00865C74"/>
    <w:rsid w:val="008667FE"/>
    <w:rsid w:val="00866CE0"/>
    <w:rsid w:val="008721CC"/>
    <w:rsid w:val="00872226"/>
    <w:rsid w:val="0087239F"/>
    <w:rsid w:val="00872439"/>
    <w:rsid w:val="00872695"/>
    <w:rsid w:val="00872B47"/>
    <w:rsid w:val="00874730"/>
    <w:rsid w:val="008751CE"/>
    <w:rsid w:val="00875F84"/>
    <w:rsid w:val="00876804"/>
    <w:rsid w:val="008773C3"/>
    <w:rsid w:val="00877623"/>
    <w:rsid w:val="0088034A"/>
    <w:rsid w:val="008824EE"/>
    <w:rsid w:val="00882B7E"/>
    <w:rsid w:val="00882D96"/>
    <w:rsid w:val="00883EFA"/>
    <w:rsid w:val="00883FE5"/>
    <w:rsid w:val="008842A3"/>
    <w:rsid w:val="0088543F"/>
    <w:rsid w:val="008855DC"/>
    <w:rsid w:val="00885A80"/>
    <w:rsid w:val="008867F6"/>
    <w:rsid w:val="00887818"/>
    <w:rsid w:val="00891E4A"/>
    <w:rsid w:val="008920F5"/>
    <w:rsid w:val="00892230"/>
    <w:rsid w:val="00892C54"/>
    <w:rsid w:val="00893260"/>
    <w:rsid w:val="008952E6"/>
    <w:rsid w:val="0089533A"/>
    <w:rsid w:val="00895B69"/>
    <w:rsid w:val="00896227"/>
    <w:rsid w:val="008976F2"/>
    <w:rsid w:val="008A02AA"/>
    <w:rsid w:val="008A063A"/>
    <w:rsid w:val="008A0CAF"/>
    <w:rsid w:val="008A146D"/>
    <w:rsid w:val="008A1DEE"/>
    <w:rsid w:val="008A2783"/>
    <w:rsid w:val="008A3557"/>
    <w:rsid w:val="008A37E3"/>
    <w:rsid w:val="008A5294"/>
    <w:rsid w:val="008A546A"/>
    <w:rsid w:val="008A5815"/>
    <w:rsid w:val="008A6398"/>
    <w:rsid w:val="008A73CB"/>
    <w:rsid w:val="008A79AF"/>
    <w:rsid w:val="008A7FE6"/>
    <w:rsid w:val="008B02D1"/>
    <w:rsid w:val="008B096F"/>
    <w:rsid w:val="008B12EC"/>
    <w:rsid w:val="008B14A2"/>
    <w:rsid w:val="008B1A8D"/>
    <w:rsid w:val="008B1C28"/>
    <w:rsid w:val="008B31F8"/>
    <w:rsid w:val="008B4596"/>
    <w:rsid w:val="008B7A52"/>
    <w:rsid w:val="008B7F12"/>
    <w:rsid w:val="008C00EC"/>
    <w:rsid w:val="008C0773"/>
    <w:rsid w:val="008C0CE5"/>
    <w:rsid w:val="008C1F78"/>
    <w:rsid w:val="008C2371"/>
    <w:rsid w:val="008C5ABC"/>
    <w:rsid w:val="008C5C88"/>
    <w:rsid w:val="008C5DC3"/>
    <w:rsid w:val="008C6803"/>
    <w:rsid w:val="008D0902"/>
    <w:rsid w:val="008D095A"/>
    <w:rsid w:val="008D1713"/>
    <w:rsid w:val="008D1FCD"/>
    <w:rsid w:val="008D61C6"/>
    <w:rsid w:val="008D7359"/>
    <w:rsid w:val="008D75EB"/>
    <w:rsid w:val="008E0A3D"/>
    <w:rsid w:val="008E0A75"/>
    <w:rsid w:val="008E0EAF"/>
    <w:rsid w:val="008E1805"/>
    <w:rsid w:val="008E4154"/>
    <w:rsid w:val="008E6453"/>
    <w:rsid w:val="008E7087"/>
    <w:rsid w:val="008E7EF4"/>
    <w:rsid w:val="008F083A"/>
    <w:rsid w:val="008F08C1"/>
    <w:rsid w:val="008F27BB"/>
    <w:rsid w:val="008F629A"/>
    <w:rsid w:val="008F7188"/>
    <w:rsid w:val="008F799E"/>
    <w:rsid w:val="00901673"/>
    <w:rsid w:val="009027ED"/>
    <w:rsid w:val="00903404"/>
    <w:rsid w:val="00903409"/>
    <w:rsid w:val="00903846"/>
    <w:rsid w:val="0090525F"/>
    <w:rsid w:val="00907727"/>
    <w:rsid w:val="00907A26"/>
    <w:rsid w:val="00911093"/>
    <w:rsid w:val="00911B9C"/>
    <w:rsid w:val="0091289F"/>
    <w:rsid w:val="00912D59"/>
    <w:rsid w:val="00913FFB"/>
    <w:rsid w:val="00914C6C"/>
    <w:rsid w:val="00915D0C"/>
    <w:rsid w:val="00916551"/>
    <w:rsid w:val="00916EB7"/>
    <w:rsid w:val="00917927"/>
    <w:rsid w:val="009201BE"/>
    <w:rsid w:val="00920B05"/>
    <w:rsid w:val="009233C4"/>
    <w:rsid w:val="00924453"/>
    <w:rsid w:val="00924F5F"/>
    <w:rsid w:val="009254FA"/>
    <w:rsid w:val="00925BAC"/>
    <w:rsid w:val="00927A4E"/>
    <w:rsid w:val="00932EB4"/>
    <w:rsid w:val="009340B2"/>
    <w:rsid w:val="00934C7F"/>
    <w:rsid w:val="00936401"/>
    <w:rsid w:val="009369AB"/>
    <w:rsid w:val="00936BC3"/>
    <w:rsid w:val="00936D2A"/>
    <w:rsid w:val="009374CE"/>
    <w:rsid w:val="00940371"/>
    <w:rsid w:val="00940671"/>
    <w:rsid w:val="0094076F"/>
    <w:rsid w:val="00940ECD"/>
    <w:rsid w:val="00941A6A"/>
    <w:rsid w:val="00941C25"/>
    <w:rsid w:val="009425A8"/>
    <w:rsid w:val="00942B42"/>
    <w:rsid w:val="0094326B"/>
    <w:rsid w:val="0094415E"/>
    <w:rsid w:val="0094416B"/>
    <w:rsid w:val="00946625"/>
    <w:rsid w:val="00951733"/>
    <w:rsid w:val="009519FC"/>
    <w:rsid w:val="00952317"/>
    <w:rsid w:val="0095369A"/>
    <w:rsid w:val="00953A8D"/>
    <w:rsid w:val="0095692A"/>
    <w:rsid w:val="0095701D"/>
    <w:rsid w:val="00957331"/>
    <w:rsid w:val="00957D8E"/>
    <w:rsid w:val="0096040D"/>
    <w:rsid w:val="00960647"/>
    <w:rsid w:val="009606C6"/>
    <w:rsid w:val="00960AA9"/>
    <w:rsid w:val="00960D9D"/>
    <w:rsid w:val="009622C7"/>
    <w:rsid w:val="00965BA4"/>
    <w:rsid w:val="009663D4"/>
    <w:rsid w:val="00970F6A"/>
    <w:rsid w:val="009712C8"/>
    <w:rsid w:val="0097190C"/>
    <w:rsid w:val="00974F78"/>
    <w:rsid w:val="00976395"/>
    <w:rsid w:val="009765DD"/>
    <w:rsid w:val="009775E7"/>
    <w:rsid w:val="0098097B"/>
    <w:rsid w:val="00980BC5"/>
    <w:rsid w:val="00981832"/>
    <w:rsid w:val="00981906"/>
    <w:rsid w:val="00982DCC"/>
    <w:rsid w:val="00982E10"/>
    <w:rsid w:val="00983370"/>
    <w:rsid w:val="00985129"/>
    <w:rsid w:val="00985BC6"/>
    <w:rsid w:val="0098798F"/>
    <w:rsid w:val="0099016F"/>
    <w:rsid w:val="00990CCF"/>
    <w:rsid w:val="00990F61"/>
    <w:rsid w:val="009914C1"/>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5FEB"/>
    <w:rsid w:val="009A7A34"/>
    <w:rsid w:val="009B0288"/>
    <w:rsid w:val="009B077D"/>
    <w:rsid w:val="009B0FA0"/>
    <w:rsid w:val="009B3448"/>
    <w:rsid w:val="009B4CBF"/>
    <w:rsid w:val="009B5261"/>
    <w:rsid w:val="009B5599"/>
    <w:rsid w:val="009B5A8D"/>
    <w:rsid w:val="009B5BD8"/>
    <w:rsid w:val="009C00AC"/>
    <w:rsid w:val="009C0FD7"/>
    <w:rsid w:val="009C1832"/>
    <w:rsid w:val="009C27AC"/>
    <w:rsid w:val="009C3AC7"/>
    <w:rsid w:val="009C3C8C"/>
    <w:rsid w:val="009C4B4C"/>
    <w:rsid w:val="009C4C54"/>
    <w:rsid w:val="009C4FD2"/>
    <w:rsid w:val="009C6CC1"/>
    <w:rsid w:val="009C6D3A"/>
    <w:rsid w:val="009C7161"/>
    <w:rsid w:val="009C7397"/>
    <w:rsid w:val="009C73E3"/>
    <w:rsid w:val="009C760E"/>
    <w:rsid w:val="009C76C1"/>
    <w:rsid w:val="009D05EC"/>
    <w:rsid w:val="009D11D6"/>
    <w:rsid w:val="009D3AF6"/>
    <w:rsid w:val="009D4019"/>
    <w:rsid w:val="009D5DEC"/>
    <w:rsid w:val="009D628C"/>
    <w:rsid w:val="009D70F5"/>
    <w:rsid w:val="009E11BA"/>
    <w:rsid w:val="009E141B"/>
    <w:rsid w:val="009E2D6C"/>
    <w:rsid w:val="009E660D"/>
    <w:rsid w:val="009E7EEC"/>
    <w:rsid w:val="009F0E17"/>
    <w:rsid w:val="009F2F10"/>
    <w:rsid w:val="009F50D8"/>
    <w:rsid w:val="009F7E80"/>
    <w:rsid w:val="00A02F80"/>
    <w:rsid w:val="00A03224"/>
    <w:rsid w:val="00A03535"/>
    <w:rsid w:val="00A045A2"/>
    <w:rsid w:val="00A047FE"/>
    <w:rsid w:val="00A04B6D"/>
    <w:rsid w:val="00A06691"/>
    <w:rsid w:val="00A06DD7"/>
    <w:rsid w:val="00A12BCC"/>
    <w:rsid w:val="00A12FD2"/>
    <w:rsid w:val="00A14318"/>
    <w:rsid w:val="00A14E35"/>
    <w:rsid w:val="00A14F4E"/>
    <w:rsid w:val="00A167FB"/>
    <w:rsid w:val="00A174F5"/>
    <w:rsid w:val="00A203A7"/>
    <w:rsid w:val="00A20E1D"/>
    <w:rsid w:val="00A222DA"/>
    <w:rsid w:val="00A241E3"/>
    <w:rsid w:val="00A27658"/>
    <w:rsid w:val="00A31267"/>
    <w:rsid w:val="00A31AA3"/>
    <w:rsid w:val="00A32095"/>
    <w:rsid w:val="00A32C7A"/>
    <w:rsid w:val="00A32E70"/>
    <w:rsid w:val="00A33E33"/>
    <w:rsid w:val="00A34D08"/>
    <w:rsid w:val="00A35BA4"/>
    <w:rsid w:val="00A36DAD"/>
    <w:rsid w:val="00A40598"/>
    <w:rsid w:val="00A405B9"/>
    <w:rsid w:val="00A42A3E"/>
    <w:rsid w:val="00A43557"/>
    <w:rsid w:val="00A44D85"/>
    <w:rsid w:val="00A45025"/>
    <w:rsid w:val="00A45844"/>
    <w:rsid w:val="00A45FB5"/>
    <w:rsid w:val="00A46B9C"/>
    <w:rsid w:val="00A51077"/>
    <w:rsid w:val="00A51152"/>
    <w:rsid w:val="00A51224"/>
    <w:rsid w:val="00A51930"/>
    <w:rsid w:val="00A52279"/>
    <w:rsid w:val="00A52661"/>
    <w:rsid w:val="00A52CED"/>
    <w:rsid w:val="00A534B8"/>
    <w:rsid w:val="00A53A6B"/>
    <w:rsid w:val="00A5433B"/>
    <w:rsid w:val="00A54966"/>
    <w:rsid w:val="00A54C60"/>
    <w:rsid w:val="00A54E1A"/>
    <w:rsid w:val="00A55441"/>
    <w:rsid w:val="00A56A48"/>
    <w:rsid w:val="00A56DEC"/>
    <w:rsid w:val="00A606BF"/>
    <w:rsid w:val="00A60B48"/>
    <w:rsid w:val="00A612FF"/>
    <w:rsid w:val="00A614D0"/>
    <w:rsid w:val="00A615A1"/>
    <w:rsid w:val="00A62BFB"/>
    <w:rsid w:val="00A6462A"/>
    <w:rsid w:val="00A65FDE"/>
    <w:rsid w:val="00A6602B"/>
    <w:rsid w:val="00A66E8A"/>
    <w:rsid w:val="00A70F17"/>
    <w:rsid w:val="00A71800"/>
    <w:rsid w:val="00A71943"/>
    <w:rsid w:val="00A727E9"/>
    <w:rsid w:val="00A730EF"/>
    <w:rsid w:val="00A7361D"/>
    <w:rsid w:val="00A7456C"/>
    <w:rsid w:val="00A751D0"/>
    <w:rsid w:val="00A75588"/>
    <w:rsid w:val="00A772B5"/>
    <w:rsid w:val="00A778FF"/>
    <w:rsid w:val="00A77D5D"/>
    <w:rsid w:val="00A80635"/>
    <w:rsid w:val="00A81687"/>
    <w:rsid w:val="00A81EDA"/>
    <w:rsid w:val="00A82118"/>
    <w:rsid w:val="00A82EA9"/>
    <w:rsid w:val="00A87BD4"/>
    <w:rsid w:val="00A91E7F"/>
    <w:rsid w:val="00A9484F"/>
    <w:rsid w:val="00A95C14"/>
    <w:rsid w:val="00A95FAA"/>
    <w:rsid w:val="00A961DA"/>
    <w:rsid w:val="00A9666F"/>
    <w:rsid w:val="00A97BA6"/>
    <w:rsid w:val="00A97C92"/>
    <w:rsid w:val="00AA0797"/>
    <w:rsid w:val="00AA0903"/>
    <w:rsid w:val="00AA2B2D"/>
    <w:rsid w:val="00AA2F4F"/>
    <w:rsid w:val="00AA39BC"/>
    <w:rsid w:val="00AA4BFF"/>
    <w:rsid w:val="00AB0069"/>
    <w:rsid w:val="00AB18A3"/>
    <w:rsid w:val="00AB2425"/>
    <w:rsid w:val="00AB24E1"/>
    <w:rsid w:val="00AB2505"/>
    <w:rsid w:val="00AB2AB3"/>
    <w:rsid w:val="00AB3D71"/>
    <w:rsid w:val="00AB510E"/>
    <w:rsid w:val="00AB6EAC"/>
    <w:rsid w:val="00AC07A4"/>
    <w:rsid w:val="00AC190A"/>
    <w:rsid w:val="00AC271E"/>
    <w:rsid w:val="00AC29A3"/>
    <w:rsid w:val="00AC3751"/>
    <w:rsid w:val="00AC67A5"/>
    <w:rsid w:val="00AD0EF9"/>
    <w:rsid w:val="00AD1F3F"/>
    <w:rsid w:val="00AD2944"/>
    <w:rsid w:val="00AD35EF"/>
    <w:rsid w:val="00AD4169"/>
    <w:rsid w:val="00AD44EE"/>
    <w:rsid w:val="00AD4A4D"/>
    <w:rsid w:val="00AD5010"/>
    <w:rsid w:val="00AD57B1"/>
    <w:rsid w:val="00AD591F"/>
    <w:rsid w:val="00AD612A"/>
    <w:rsid w:val="00AD7A2D"/>
    <w:rsid w:val="00AD7FA9"/>
    <w:rsid w:val="00AE14B9"/>
    <w:rsid w:val="00AE1BBD"/>
    <w:rsid w:val="00AE2F42"/>
    <w:rsid w:val="00AE33A9"/>
    <w:rsid w:val="00AE3D89"/>
    <w:rsid w:val="00AE4666"/>
    <w:rsid w:val="00AE5255"/>
    <w:rsid w:val="00AE758A"/>
    <w:rsid w:val="00AF0985"/>
    <w:rsid w:val="00AF120F"/>
    <w:rsid w:val="00AF140A"/>
    <w:rsid w:val="00AF1F7E"/>
    <w:rsid w:val="00AF287A"/>
    <w:rsid w:val="00AF2CDB"/>
    <w:rsid w:val="00AF4251"/>
    <w:rsid w:val="00AF4AEB"/>
    <w:rsid w:val="00AF539D"/>
    <w:rsid w:val="00AF59B9"/>
    <w:rsid w:val="00AF5A5E"/>
    <w:rsid w:val="00AF7241"/>
    <w:rsid w:val="00B00064"/>
    <w:rsid w:val="00B001E4"/>
    <w:rsid w:val="00B0153A"/>
    <w:rsid w:val="00B03C10"/>
    <w:rsid w:val="00B03CE1"/>
    <w:rsid w:val="00B045F0"/>
    <w:rsid w:val="00B04889"/>
    <w:rsid w:val="00B04DC4"/>
    <w:rsid w:val="00B05CA8"/>
    <w:rsid w:val="00B06013"/>
    <w:rsid w:val="00B06CAC"/>
    <w:rsid w:val="00B07049"/>
    <w:rsid w:val="00B10A17"/>
    <w:rsid w:val="00B1121C"/>
    <w:rsid w:val="00B13595"/>
    <w:rsid w:val="00B1380A"/>
    <w:rsid w:val="00B13902"/>
    <w:rsid w:val="00B13DD8"/>
    <w:rsid w:val="00B13FA7"/>
    <w:rsid w:val="00B14244"/>
    <w:rsid w:val="00B14D34"/>
    <w:rsid w:val="00B1506B"/>
    <w:rsid w:val="00B170D3"/>
    <w:rsid w:val="00B20F20"/>
    <w:rsid w:val="00B21449"/>
    <w:rsid w:val="00B238AA"/>
    <w:rsid w:val="00B24B2E"/>
    <w:rsid w:val="00B24DB2"/>
    <w:rsid w:val="00B251E2"/>
    <w:rsid w:val="00B25570"/>
    <w:rsid w:val="00B2579E"/>
    <w:rsid w:val="00B25DA5"/>
    <w:rsid w:val="00B260DF"/>
    <w:rsid w:val="00B31636"/>
    <w:rsid w:val="00B31660"/>
    <w:rsid w:val="00B32365"/>
    <w:rsid w:val="00B3394C"/>
    <w:rsid w:val="00B33AC0"/>
    <w:rsid w:val="00B34081"/>
    <w:rsid w:val="00B350F9"/>
    <w:rsid w:val="00B35386"/>
    <w:rsid w:val="00B355BA"/>
    <w:rsid w:val="00B356C3"/>
    <w:rsid w:val="00B35BF4"/>
    <w:rsid w:val="00B36229"/>
    <w:rsid w:val="00B362C6"/>
    <w:rsid w:val="00B3668D"/>
    <w:rsid w:val="00B37E3B"/>
    <w:rsid w:val="00B40BE8"/>
    <w:rsid w:val="00B41114"/>
    <w:rsid w:val="00B41994"/>
    <w:rsid w:val="00B42655"/>
    <w:rsid w:val="00B44BDA"/>
    <w:rsid w:val="00B4503B"/>
    <w:rsid w:val="00B453F2"/>
    <w:rsid w:val="00B462E6"/>
    <w:rsid w:val="00B46EBD"/>
    <w:rsid w:val="00B47767"/>
    <w:rsid w:val="00B51489"/>
    <w:rsid w:val="00B5163B"/>
    <w:rsid w:val="00B51651"/>
    <w:rsid w:val="00B525EE"/>
    <w:rsid w:val="00B55021"/>
    <w:rsid w:val="00B562C4"/>
    <w:rsid w:val="00B56C05"/>
    <w:rsid w:val="00B571D5"/>
    <w:rsid w:val="00B57273"/>
    <w:rsid w:val="00B57C15"/>
    <w:rsid w:val="00B6012E"/>
    <w:rsid w:val="00B6112C"/>
    <w:rsid w:val="00B61C6C"/>
    <w:rsid w:val="00B622E7"/>
    <w:rsid w:val="00B62C96"/>
    <w:rsid w:val="00B6380C"/>
    <w:rsid w:val="00B63F64"/>
    <w:rsid w:val="00B641A3"/>
    <w:rsid w:val="00B64467"/>
    <w:rsid w:val="00B648D1"/>
    <w:rsid w:val="00B6545B"/>
    <w:rsid w:val="00B6556C"/>
    <w:rsid w:val="00B6734D"/>
    <w:rsid w:val="00B6759C"/>
    <w:rsid w:val="00B67916"/>
    <w:rsid w:val="00B67AA9"/>
    <w:rsid w:val="00B72B76"/>
    <w:rsid w:val="00B72F4B"/>
    <w:rsid w:val="00B732AA"/>
    <w:rsid w:val="00B73DAC"/>
    <w:rsid w:val="00B744B2"/>
    <w:rsid w:val="00B7597A"/>
    <w:rsid w:val="00B75E8C"/>
    <w:rsid w:val="00B7603F"/>
    <w:rsid w:val="00B76E5E"/>
    <w:rsid w:val="00B77293"/>
    <w:rsid w:val="00B775CB"/>
    <w:rsid w:val="00B779CF"/>
    <w:rsid w:val="00B77A4F"/>
    <w:rsid w:val="00B77EF4"/>
    <w:rsid w:val="00B8023F"/>
    <w:rsid w:val="00B815E2"/>
    <w:rsid w:val="00B8222F"/>
    <w:rsid w:val="00B846D4"/>
    <w:rsid w:val="00B84A71"/>
    <w:rsid w:val="00B8544D"/>
    <w:rsid w:val="00B871A9"/>
    <w:rsid w:val="00B877DF"/>
    <w:rsid w:val="00B878CE"/>
    <w:rsid w:val="00B87B22"/>
    <w:rsid w:val="00B87F9C"/>
    <w:rsid w:val="00B9026A"/>
    <w:rsid w:val="00B90290"/>
    <w:rsid w:val="00B906FF"/>
    <w:rsid w:val="00B90EF5"/>
    <w:rsid w:val="00B9211C"/>
    <w:rsid w:val="00B92EEC"/>
    <w:rsid w:val="00B94091"/>
    <w:rsid w:val="00B950A5"/>
    <w:rsid w:val="00B9584B"/>
    <w:rsid w:val="00B97541"/>
    <w:rsid w:val="00BA0C63"/>
    <w:rsid w:val="00BA1CA0"/>
    <w:rsid w:val="00BA455A"/>
    <w:rsid w:val="00BA5159"/>
    <w:rsid w:val="00BA5528"/>
    <w:rsid w:val="00BA5F33"/>
    <w:rsid w:val="00BA688E"/>
    <w:rsid w:val="00BA6F6E"/>
    <w:rsid w:val="00BB0742"/>
    <w:rsid w:val="00BB099A"/>
    <w:rsid w:val="00BB1850"/>
    <w:rsid w:val="00BB1B0D"/>
    <w:rsid w:val="00BB6818"/>
    <w:rsid w:val="00BC013C"/>
    <w:rsid w:val="00BC0541"/>
    <w:rsid w:val="00BC0C96"/>
    <w:rsid w:val="00BC217D"/>
    <w:rsid w:val="00BC21D2"/>
    <w:rsid w:val="00BC2C27"/>
    <w:rsid w:val="00BC328D"/>
    <w:rsid w:val="00BC34CE"/>
    <w:rsid w:val="00BC395B"/>
    <w:rsid w:val="00BC3F67"/>
    <w:rsid w:val="00BC45BA"/>
    <w:rsid w:val="00BC5F4E"/>
    <w:rsid w:val="00BC5FDE"/>
    <w:rsid w:val="00BC7297"/>
    <w:rsid w:val="00BC72EA"/>
    <w:rsid w:val="00BC7F19"/>
    <w:rsid w:val="00BD0240"/>
    <w:rsid w:val="00BD0740"/>
    <w:rsid w:val="00BD0822"/>
    <w:rsid w:val="00BD1E79"/>
    <w:rsid w:val="00BD2C19"/>
    <w:rsid w:val="00BD2D5D"/>
    <w:rsid w:val="00BD3317"/>
    <w:rsid w:val="00BD496E"/>
    <w:rsid w:val="00BD5E01"/>
    <w:rsid w:val="00BD5FE9"/>
    <w:rsid w:val="00BD6114"/>
    <w:rsid w:val="00BD73A6"/>
    <w:rsid w:val="00BD799F"/>
    <w:rsid w:val="00BE0125"/>
    <w:rsid w:val="00BE0A98"/>
    <w:rsid w:val="00BE0BE3"/>
    <w:rsid w:val="00BE1539"/>
    <w:rsid w:val="00BE1867"/>
    <w:rsid w:val="00BE1C45"/>
    <w:rsid w:val="00BE354B"/>
    <w:rsid w:val="00BE37B1"/>
    <w:rsid w:val="00BE3EEB"/>
    <w:rsid w:val="00BE5FB6"/>
    <w:rsid w:val="00BE66A9"/>
    <w:rsid w:val="00BE79DB"/>
    <w:rsid w:val="00BF11D7"/>
    <w:rsid w:val="00BF1C41"/>
    <w:rsid w:val="00BF467C"/>
    <w:rsid w:val="00BF4EB6"/>
    <w:rsid w:val="00BF560F"/>
    <w:rsid w:val="00BF59B0"/>
    <w:rsid w:val="00BF7D62"/>
    <w:rsid w:val="00C0130E"/>
    <w:rsid w:val="00C0272E"/>
    <w:rsid w:val="00C02B41"/>
    <w:rsid w:val="00C0312A"/>
    <w:rsid w:val="00C0314B"/>
    <w:rsid w:val="00C04D36"/>
    <w:rsid w:val="00C04DB4"/>
    <w:rsid w:val="00C05968"/>
    <w:rsid w:val="00C05EB3"/>
    <w:rsid w:val="00C06527"/>
    <w:rsid w:val="00C06FCE"/>
    <w:rsid w:val="00C0713E"/>
    <w:rsid w:val="00C07C03"/>
    <w:rsid w:val="00C101A2"/>
    <w:rsid w:val="00C105B7"/>
    <w:rsid w:val="00C10747"/>
    <w:rsid w:val="00C10EB5"/>
    <w:rsid w:val="00C12025"/>
    <w:rsid w:val="00C133C8"/>
    <w:rsid w:val="00C13643"/>
    <w:rsid w:val="00C1447E"/>
    <w:rsid w:val="00C14DFC"/>
    <w:rsid w:val="00C15F7E"/>
    <w:rsid w:val="00C16A1E"/>
    <w:rsid w:val="00C21159"/>
    <w:rsid w:val="00C21650"/>
    <w:rsid w:val="00C254E1"/>
    <w:rsid w:val="00C265C0"/>
    <w:rsid w:val="00C268D9"/>
    <w:rsid w:val="00C27482"/>
    <w:rsid w:val="00C27872"/>
    <w:rsid w:val="00C30303"/>
    <w:rsid w:val="00C30595"/>
    <w:rsid w:val="00C30AAD"/>
    <w:rsid w:val="00C311B3"/>
    <w:rsid w:val="00C31290"/>
    <w:rsid w:val="00C329DD"/>
    <w:rsid w:val="00C33813"/>
    <w:rsid w:val="00C33D9D"/>
    <w:rsid w:val="00C354EE"/>
    <w:rsid w:val="00C35637"/>
    <w:rsid w:val="00C36AC4"/>
    <w:rsid w:val="00C411B2"/>
    <w:rsid w:val="00C418FA"/>
    <w:rsid w:val="00C425A5"/>
    <w:rsid w:val="00C44424"/>
    <w:rsid w:val="00C445CF"/>
    <w:rsid w:val="00C44FA7"/>
    <w:rsid w:val="00C472A4"/>
    <w:rsid w:val="00C537EB"/>
    <w:rsid w:val="00C6009E"/>
    <w:rsid w:val="00C61A21"/>
    <w:rsid w:val="00C62EDF"/>
    <w:rsid w:val="00C630B4"/>
    <w:rsid w:val="00C64239"/>
    <w:rsid w:val="00C654F4"/>
    <w:rsid w:val="00C66654"/>
    <w:rsid w:val="00C67C1D"/>
    <w:rsid w:val="00C706EC"/>
    <w:rsid w:val="00C71F95"/>
    <w:rsid w:val="00C72C64"/>
    <w:rsid w:val="00C73585"/>
    <w:rsid w:val="00C73C0D"/>
    <w:rsid w:val="00C7436B"/>
    <w:rsid w:val="00C7586A"/>
    <w:rsid w:val="00C76480"/>
    <w:rsid w:val="00C77547"/>
    <w:rsid w:val="00C778E6"/>
    <w:rsid w:val="00C81E07"/>
    <w:rsid w:val="00C81FA9"/>
    <w:rsid w:val="00C8388D"/>
    <w:rsid w:val="00C839A9"/>
    <w:rsid w:val="00C83FB4"/>
    <w:rsid w:val="00C849C6"/>
    <w:rsid w:val="00C85D6A"/>
    <w:rsid w:val="00C86FDC"/>
    <w:rsid w:val="00C874E9"/>
    <w:rsid w:val="00C9040A"/>
    <w:rsid w:val="00C90AFC"/>
    <w:rsid w:val="00C933D7"/>
    <w:rsid w:val="00C94693"/>
    <w:rsid w:val="00C94898"/>
    <w:rsid w:val="00C9490B"/>
    <w:rsid w:val="00CA0D6A"/>
    <w:rsid w:val="00CA2D32"/>
    <w:rsid w:val="00CA345C"/>
    <w:rsid w:val="00CA3C75"/>
    <w:rsid w:val="00CA3FE6"/>
    <w:rsid w:val="00CA5E81"/>
    <w:rsid w:val="00CA6414"/>
    <w:rsid w:val="00CA6617"/>
    <w:rsid w:val="00CA73AA"/>
    <w:rsid w:val="00CA74DC"/>
    <w:rsid w:val="00CA77B2"/>
    <w:rsid w:val="00CB0FD3"/>
    <w:rsid w:val="00CB1489"/>
    <w:rsid w:val="00CB2AB7"/>
    <w:rsid w:val="00CB5DB0"/>
    <w:rsid w:val="00CB7EAA"/>
    <w:rsid w:val="00CC0083"/>
    <w:rsid w:val="00CC27F3"/>
    <w:rsid w:val="00CC302D"/>
    <w:rsid w:val="00CC3194"/>
    <w:rsid w:val="00CC3562"/>
    <w:rsid w:val="00CC4D63"/>
    <w:rsid w:val="00CC524A"/>
    <w:rsid w:val="00CC5E5B"/>
    <w:rsid w:val="00CC61A5"/>
    <w:rsid w:val="00CC772A"/>
    <w:rsid w:val="00CC7E08"/>
    <w:rsid w:val="00CD0B81"/>
    <w:rsid w:val="00CD14DB"/>
    <w:rsid w:val="00CD6783"/>
    <w:rsid w:val="00CD6D72"/>
    <w:rsid w:val="00CD7B93"/>
    <w:rsid w:val="00CE0348"/>
    <w:rsid w:val="00CE03FB"/>
    <w:rsid w:val="00CE1376"/>
    <w:rsid w:val="00CE21E6"/>
    <w:rsid w:val="00CE2659"/>
    <w:rsid w:val="00CE2E0F"/>
    <w:rsid w:val="00CE5324"/>
    <w:rsid w:val="00CE5FE4"/>
    <w:rsid w:val="00CE6283"/>
    <w:rsid w:val="00CE67AA"/>
    <w:rsid w:val="00CE6F33"/>
    <w:rsid w:val="00CE73B5"/>
    <w:rsid w:val="00CE791D"/>
    <w:rsid w:val="00CE79D7"/>
    <w:rsid w:val="00CE7CE3"/>
    <w:rsid w:val="00CF10BE"/>
    <w:rsid w:val="00CF2071"/>
    <w:rsid w:val="00CF244E"/>
    <w:rsid w:val="00CF278D"/>
    <w:rsid w:val="00CF2FE9"/>
    <w:rsid w:val="00CF33B9"/>
    <w:rsid w:val="00CF37C7"/>
    <w:rsid w:val="00CF3CF8"/>
    <w:rsid w:val="00CF474D"/>
    <w:rsid w:val="00CF5A64"/>
    <w:rsid w:val="00CF6622"/>
    <w:rsid w:val="00CF749A"/>
    <w:rsid w:val="00D0089A"/>
    <w:rsid w:val="00D014C7"/>
    <w:rsid w:val="00D01548"/>
    <w:rsid w:val="00D02122"/>
    <w:rsid w:val="00D04D5F"/>
    <w:rsid w:val="00D04DD6"/>
    <w:rsid w:val="00D04DFA"/>
    <w:rsid w:val="00D0597F"/>
    <w:rsid w:val="00D05F35"/>
    <w:rsid w:val="00D06393"/>
    <w:rsid w:val="00D06E5E"/>
    <w:rsid w:val="00D06F79"/>
    <w:rsid w:val="00D10597"/>
    <w:rsid w:val="00D120A3"/>
    <w:rsid w:val="00D12709"/>
    <w:rsid w:val="00D13288"/>
    <w:rsid w:val="00D13AF8"/>
    <w:rsid w:val="00D1584B"/>
    <w:rsid w:val="00D1774A"/>
    <w:rsid w:val="00D20601"/>
    <w:rsid w:val="00D219E9"/>
    <w:rsid w:val="00D2205B"/>
    <w:rsid w:val="00D23418"/>
    <w:rsid w:val="00D24606"/>
    <w:rsid w:val="00D2620A"/>
    <w:rsid w:val="00D27C4B"/>
    <w:rsid w:val="00D3056A"/>
    <w:rsid w:val="00D3064D"/>
    <w:rsid w:val="00D30AED"/>
    <w:rsid w:val="00D30F84"/>
    <w:rsid w:val="00D31091"/>
    <w:rsid w:val="00D31CF2"/>
    <w:rsid w:val="00D33147"/>
    <w:rsid w:val="00D33CFE"/>
    <w:rsid w:val="00D33DDE"/>
    <w:rsid w:val="00D33EA3"/>
    <w:rsid w:val="00D34B08"/>
    <w:rsid w:val="00D34DA4"/>
    <w:rsid w:val="00D35C1D"/>
    <w:rsid w:val="00D371CF"/>
    <w:rsid w:val="00D3752F"/>
    <w:rsid w:val="00D375AC"/>
    <w:rsid w:val="00D40DDE"/>
    <w:rsid w:val="00D42D78"/>
    <w:rsid w:val="00D43970"/>
    <w:rsid w:val="00D43CA5"/>
    <w:rsid w:val="00D44CA5"/>
    <w:rsid w:val="00D44E87"/>
    <w:rsid w:val="00D45BA2"/>
    <w:rsid w:val="00D45D84"/>
    <w:rsid w:val="00D46E12"/>
    <w:rsid w:val="00D50734"/>
    <w:rsid w:val="00D50739"/>
    <w:rsid w:val="00D507C0"/>
    <w:rsid w:val="00D50B31"/>
    <w:rsid w:val="00D513CC"/>
    <w:rsid w:val="00D5172A"/>
    <w:rsid w:val="00D56435"/>
    <w:rsid w:val="00D61211"/>
    <w:rsid w:val="00D62755"/>
    <w:rsid w:val="00D629CC"/>
    <w:rsid w:val="00D62AA4"/>
    <w:rsid w:val="00D6318F"/>
    <w:rsid w:val="00D63D6E"/>
    <w:rsid w:val="00D650BB"/>
    <w:rsid w:val="00D6540A"/>
    <w:rsid w:val="00D66B74"/>
    <w:rsid w:val="00D674AF"/>
    <w:rsid w:val="00D70107"/>
    <w:rsid w:val="00D70438"/>
    <w:rsid w:val="00D717AD"/>
    <w:rsid w:val="00D720AD"/>
    <w:rsid w:val="00D72D1D"/>
    <w:rsid w:val="00D74278"/>
    <w:rsid w:val="00D74A18"/>
    <w:rsid w:val="00D74D3E"/>
    <w:rsid w:val="00D757C6"/>
    <w:rsid w:val="00D75C41"/>
    <w:rsid w:val="00D76041"/>
    <w:rsid w:val="00D772E0"/>
    <w:rsid w:val="00D80529"/>
    <w:rsid w:val="00D80F78"/>
    <w:rsid w:val="00D81AC3"/>
    <w:rsid w:val="00D81C59"/>
    <w:rsid w:val="00D82A5B"/>
    <w:rsid w:val="00D8434B"/>
    <w:rsid w:val="00D84531"/>
    <w:rsid w:val="00D84637"/>
    <w:rsid w:val="00D8473B"/>
    <w:rsid w:val="00D85780"/>
    <w:rsid w:val="00D879FC"/>
    <w:rsid w:val="00D90F24"/>
    <w:rsid w:val="00D9250F"/>
    <w:rsid w:val="00D925AA"/>
    <w:rsid w:val="00D9283D"/>
    <w:rsid w:val="00D930DD"/>
    <w:rsid w:val="00D9341C"/>
    <w:rsid w:val="00D948D2"/>
    <w:rsid w:val="00D94B7D"/>
    <w:rsid w:val="00D95B4C"/>
    <w:rsid w:val="00D974D9"/>
    <w:rsid w:val="00D975F2"/>
    <w:rsid w:val="00DA0454"/>
    <w:rsid w:val="00DA0B1A"/>
    <w:rsid w:val="00DA1560"/>
    <w:rsid w:val="00DA3176"/>
    <w:rsid w:val="00DA38DC"/>
    <w:rsid w:val="00DA4C44"/>
    <w:rsid w:val="00DA4C48"/>
    <w:rsid w:val="00DA4E21"/>
    <w:rsid w:val="00DA71EF"/>
    <w:rsid w:val="00DA7613"/>
    <w:rsid w:val="00DA7A18"/>
    <w:rsid w:val="00DB1347"/>
    <w:rsid w:val="00DB28CE"/>
    <w:rsid w:val="00DB29BC"/>
    <w:rsid w:val="00DB2A2A"/>
    <w:rsid w:val="00DB2AC7"/>
    <w:rsid w:val="00DB479F"/>
    <w:rsid w:val="00DB55B6"/>
    <w:rsid w:val="00DB5EA7"/>
    <w:rsid w:val="00DB5F21"/>
    <w:rsid w:val="00DB6D7C"/>
    <w:rsid w:val="00DB7183"/>
    <w:rsid w:val="00DC090A"/>
    <w:rsid w:val="00DC0E7E"/>
    <w:rsid w:val="00DC2D72"/>
    <w:rsid w:val="00DC30EA"/>
    <w:rsid w:val="00DC33EB"/>
    <w:rsid w:val="00DC463E"/>
    <w:rsid w:val="00DC4FE9"/>
    <w:rsid w:val="00DC5918"/>
    <w:rsid w:val="00DC5F1D"/>
    <w:rsid w:val="00DC6436"/>
    <w:rsid w:val="00DC677D"/>
    <w:rsid w:val="00DC6C8D"/>
    <w:rsid w:val="00DC73A5"/>
    <w:rsid w:val="00DD0236"/>
    <w:rsid w:val="00DD1098"/>
    <w:rsid w:val="00DD4100"/>
    <w:rsid w:val="00DD6D7C"/>
    <w:rsid w:val="00DD76A4"/>
    <w:rsid w:val="00DD7C65"/>
    <w:rsid w:val="00DE03E4"/>
    <w:rsid w:val="00DE1134"/>
    <w:rsid w:val="00DE1AEB"/>
    <w:rsid w:val="00DE2247"/>
    <w:rsid w:val="00DE24D8"/>
    <w:rsid w:val="00DE2A34"/>
    <w:rsid w:val="00DE32E6"/>
    <w:rsid w:val="00DE37AE"/>
    <w:rsid w:val="00DE44D3"/>
    <w:rsid w:val="00DE4732"/>
    <w:rsid w:val="00DE4F0A"/>
    <w:rsid w:val="00DE6668"/>
    <w:rsid w:val="00DE6987"/>
    <w:rsid w:val="00DE7339"/>
    <w:rsid w:val="00DE73C2"/>
    <w:rsid w:val="00DE7406"/>
    <w:rsid w:val="00DF0DF3"/>
    <w:rsid w:val="00DF1246"/>
    <w:rsid w:val="00DF30C0"/>
    <w:rsid w:val="00DF4CEF"/>
    <w:rsid w:val="00DF7BDA"/>
    <w:rsid w:val="00DF7BEA"/>
    <w:rsid w:val="00E0080A"/>
    <w:rsid w:val="00E00DFF"/>
    <w:rsid w:val="00E00F31"/>
    <w:rsid w:val="00E02242"/>
    <w:rsid w:val="00E0300E"/>
    <w:rsid w:val="00E035C9"/>
    <w:rsid w:val="00E03843"/>
    <w:rsid w:val="00E03E5F"/>
    <w:rsid w:val="00E04AE0"/>
    <w:rsid w:val="00E070D0"/>
    <w:rsid w:val="00E11517"/>
    <w:rsid w:val="00E12834"/>
    <w:rsid w:val="00E136B4"/>
    <w:rsid w:val="00E13727"/>
    <w:rsid w:val="00E15630"/>
    <w:rsid w:val="00E17AB3"/>
    <w:rsid w:val="00E17EDD"/>
    <w:rsid w:val="00E20254"/>
    <w:rsid w:val="00E209F0"/>
    <w:rsid w:val="00E219EB"/>
    <w:rsid w:val="00E21A30"/>
    <w:rsid w:val="00E22C13"/>
    <w:rsid w:val="00E23129"/>
    <w:rsid w:val="00E25045"/>
    <w:rsid w:val="00E25D31"/>
    <w:rsid w:val="00E2677C"/>
    <w:rsid w:val="00E26D83"/>
    <w:rsid w:val="00E271CD"/>
    <w:rsid w:val="00E27A1E"/>
    <w:rsid w:val="00E27ADE"/>
    <w:rsid w:val="00E306E9"/>
    <w:rsid w:val="00E307DC"/>
    <w:rsid w:val="00E3083F"/>
    <w:rsid w:val="00E31659"/>
    <w:rsid w:val="00E323CF"/>
    <w:rsid w:val="00E32D22"/>
    <w:rsid w:val="00E334B9"/>
    <w:rsid w:val="00E33905"/>
    <w:rsid w:val="00E33C24"/>
    <w:rsid w:val="00E342D1"/>
    <w:rsid w:val="00E34B96"/>
    <w:rsid w:val="00E35AA7"/>
    <w:rsid w:val="00E362E1"/>
    <w:rsid w:val="00E37502"/>
    <w:rsid w:val="00E40127"/>
    <w:rsid w:val="00E4234C"/>
    <w:rsid w:val="00E42844"/>
    <w:rsid w:val="00E43074"/>
    <w:rsid w:val="00E431C8"/>
    <w:rsid w:val="00E44926"/>
    <w:rsid w:val="00E44E09"/>
    <w:rsid w:val="00E45D53"/>
    <w:rsid w:val="00E46DBD"/>
    <w:rsid w:val="00E5094A"/>
    <w:rsid w:val="00E51708"/>
    <w:rsid w:val="00E51729"/>
    <w:rsid w:val="00E51D0A"/>
    <w:rsid w:val="00E52132"/>
    <w:rsid w:val="00E52566"/>
    <w:rsid w:val="00E53139"/>
    <w:rsid w:val="00E53699"/>
    <w:rsid w:val="00E53A89"/>
    <w:rsid w:val="00E53A8F"/>
    <w:rsid w:val="00E5435E"/>
    <w:rsid w:val="00E55A81"/>
    <w:rsid w:val="00E56450"/>
    <w:rsid w:val="00E56DA8"/>
    <w:rsid w:val="00E57418"/>
    <w:rsid w:val="00E60ACC"/>
    <w:rsid w:val="00E60C4B"/>
    <w:rsid w:val="00E60E21"/>
    <w:rsid w:val="00E61E65"/>
    <w:rsid w:val="00E6251F"/>
    <w:rsid w:val="00E63D5E"/>
    <w:rsid w:val="00E64AE9"/>
    <w:rsid w:val="00E6547D"/>
    <w:rsid w:val="00E6570E"/>
    <w:rsid w:val="00E65A35"/>
    <w:rsid w:val="00E66638"/>
    <w:rsid w:val="00E6706E"/>
    <w:rsid w:val="00E7211D"/>
    <w:rsid w:val="00E72DBE"/>
    <w:rsid w:val="00E752BB"/>
    <w:rsid w:val="00E754C2"/>
    <w:rsid w:val="00E757CA"/>
    <w:rsid w:val="00E75D48"/>
    <w:rsid w:val="00E76750"/>
    <w:rsid w:val="00E76C4C"/>
    <w:rsid w:val="00E773CD"/>
    <w:rsid w:val="00E774C9"/>
    <w:rsid w:val="00E77521"/>
    <w:rsid w:val="00E77D0C"/>
    <w:rsid w:val="00E80623"/>
    <w:rsid w:val="00E80964"/>
    <w:rsid w:val="00E825E3"/>
    <w:rsid w:val="00E830DB"/>
    <w:rsid w:val="00E83714"/>
    <w:rsid w:val="00E83D43"/>
    <w:rsid w:val="00E841A6"/>
    <w:rsid w:val="00E84BCB"/>
    <w:rsid w:val="00E84C82"/>
    <w:rsid w:val="00E85905"/>
    <w:rsid w:val="00E85D20"/>
    <w:rsid w:val="00E87C0D"/>
    <w:rsid w:val="00E90DC4"/>
    <w:rsid w:val="00E9163F"/>
    <w:rsid w:val="00E91CB7"/>
    <w:rsid w:val="00E93764"/>
    <w:rsid w:val="00E955B0"/>
    <w:rsid w:val="00E956E8"/>
    <w:rsid w:val="00E97E18"/>
    <w:rsid w:val="00EA022D"/>
    <w:rsid w:val="00EA03AC"/>
    <w:rsid w:val="00EA0D10"/>
    <w:rsid w:val="00EA0F2C"/>
    <w:rsid w:val="00EA19CB"/>
    <w:rsid w:val="00EA2C8F"/>
    <w:rsid w:val="00EA5045"/>
    <w:rsid w:val="00EA5D64"/>
    <w:rsid w:val="00EA613A"/>
    <w:rsid w:val="00EA6A8C"/>
    <w:rsid w:val="00EB0238"/>
    <w:rsid w:val="00EB1EB7"/>
    <w:rsid w:val="00EB2AD1"/>
    <w:rsid w:val="00EB2F9F"/>
    <w:rsid w:val="00EB3067"/>
    <w:rsid w:val="00EB353E"/>
    <w:rsid w:val="00EB3AA1"/>
    <w:rsid w:val="00EB3EEE"/>
    <w:rsid w:val="00EB56E0"/>
    <w:rsid w:val="00EB5DDF"/>
    <w:rsid w:val="00EB6E66"/>
    <w:rsid w:val="00EC0129"/>
    <w:rsid w:val="00EC27F5"/>
    <w:rsid w:val="00EC2B41"/>
    <w:rsid w:val="00EC3CEC"/>
    <w:rsid w:val="00EC4625"/>
    <w:rsid w:val="00ED139E"/>
    <w:rsid w:val="00ED1625"/>
    <w:rsid w:val="00ED1759"/>
    <w:rsid w:val="00ED1FA4"/>
    <w:rsid w:val="00ED27A5"/>
    <w:rsid w:val="00ED3ECB"/>
    <w:rsid w:val="00ED445D"/>
    <w:rsid w:val="00ED461C"/>
    <w:rsid w:val="00ED4C93"/>
    <w:rsid w:val="00ED5E2B"/>
    <w:rsid w:val="00EE01C2"/>
    <w:rsid w:val="00EE0AD0"/>
    <w:rsid w:val="00EE150A"/>
    <w:rsid w:val="00EE2FEA"/>
    <w:rsid w:val="00EE37A2"/>
    <w:rsid w:val="00EE3B12"/>
    <w:rsid w:val="00EE5AF3"/>
    <w:rsid w:val="00EE5E4B"/>
    <w:rsid w:val="00EE5E91"/>
    <w:rsid w:val="00EE5F8C"/>
    <w:rsid w:val="00EE73BC"/>
    <w:rsid w:val="00EE7AC8"/>
    <w:rsid w:val="00EF00AA"/>
    <w:rsid w:val="00EF3996"/>
    <w:rsid w:val="00EF4C72"/>
    <w:rsid w:val="00EF7491"/>
    <w:rsid w:val="00F0026A"/>
    <w:rsid w:val="00F01442"/>
    <w:rsid w:val="00F01E84"/>
    <w:rsid w:val="00F021E7"/>
    <w:rsid w:val="00F026C1"/>
    <w:rsid w:val="00F0305A"/>
    <w:rsid w:val="00F039D1"/>
    <w:rsid w:val="00F05BEC"/>
    <w:rsid w:val="00F05D0F"/>
    <w:rsid w:val="00F05DB4"/>
    <w:rsid w:val="00F13358"/>
    <w:rsid w:val="00F14442"/>
    <w:rsid w:val="00F1456D"/>
    <w:rsid w:val="00F14DA0"/>
    <w:rsid w:val="00F15387"/>
    <w:rsid w:val="00F15D8B"/>
    <w:rsid w:val="00F15F46"/>
    <w:rsid w:val="00F17469"/>
    <w:rsid w:val="00F17D58"/>
    <w:rsid w:val="00F2055F"/>
    <w:rsid w:val="00F2085A"/>
    <w:rsid w:val="00F21BEC"/>
    <w:rsid w:val="00F228F5"/>
    <w:rsid w:val="00F23FD4"/>
    <w:rsid w:val="00F24143"/>
    <w:rsid w:val="00F241BE"/>
    <w:rsid w:val="00F24962"/>
    <w:rsid w:val="00F25038"/>
    <w:rsid w:val="00F2735C"/>
    <w:rsid w:val="00F3081D"/>
    <w:rsid w:val="00F3124A"/>
    <w:rsid w:val="00F31532"/>
    <w:rsid w:val="00F31C4E"/>
    <w:rsid w:val="00F31D41"/>
    <w:rsid w:val="00F32387"/>
    <w:rsid w:val="00F33499"/>
    <w:rsid w:val="00F34539"/>
    <w:rsid w:val="00F35005"/>
    <w:rsid w:val="00F358B7"/>
    <w:rsid w:val="00F359FB"/>
    <w:rsid w:val="00F364CB"/>
    <w:rsid w:val="00F36B22"/>
    <w:rsid w:val="00F36E13"/>
    <w:rsid w:val="00F37601"/>
    <w:rsid w:val="00F37984"/>
    <w:rsid w:val="00F4058E"/>
    <w:rsid w:val="00F41D01"/>
    <w:rsid w:val="00F4220F"/>
    <w:rsid w:val="00F423B8"/>
    <w:rsid w:val="00F43CCC"/>
    <w:rsid w:val="00F43F58"/>
    <w:rsid w:val="00F45507"/>
    <w:rsid w:val="00F46014"/>
    <w:rsid w:val="00F47670"/>
    <w:rsid w:val="00F51371"/>
    <w:rsid w:val="00F51AF6"/>
    <w:rsid w:val="00F529DC"/>
    <w:rsid w:val="00F551E9"/>
    <w:rsid w:val="00F55A95"/>
    <w:rsid w:val="00F55FD4"/>
    <w:rsid w:val="00F5610C"/>
    <w:rsid w:val="00F56113"/>
    <w:rsid w:val="00F5640F"/>
    <w:rsid w:val="00F56735"/>
    <w:rsid w:val="00F56B3A"/>
    <w:rsid w:val="00F60F94"/>
    <w:rsid w:val="00F615F9"/>
    <w:rsid w:val="00F62055"/>
    <w:rsid w:val="00F620BE"/>
    <w:rsid w:val="00F64DC5"/>
    <w:rsid w:val="00F65017"/>
    <w:rsid w:val="00F654DA"/>
    <w:rsid w:val="00F65CAC"/>
    <w:rsid w:val="00F70AB6"/>
    <w:rsid w:val="00F73938"/>
    <w:rsid w:val="00F73E87"/>
    <w:rsid w:val="00F73E9C"/>
    <w:rsid w:val="00F74224"/>
    <w:rsid w:val="00F747A9"/>
    <w:rsid w:val="00F758DC"/>
    <w:rsid w:val="00F76696"/>
    <w:rsid w:val="00F77295"/>
    <w:rsid w:val="00F77A84"/>
    <w:rsid w:val="00F80438"/>
    <w:rsid w:val="00F8414C"/>
    <w:rsid w:val="00F87905"/>
    <w:rsid w:val="00F90F81"/>
    <w:rsid w:val="00F91A0D"/>
    <w:rsid w:val="00F9229E"/>
    <w:rsid w:val="00F92724"/>
    <w:rsid w:val="00F92A12"/>
    <w:rsid w:val="00F942E2"/>
    <w:rsid w:val="00F9485F"/>
    <w:rsid w:val="00F9523B"/>
    <w:rsid w:val="00F9546E"/>
    <w:rsid w:val="00F9558D"/>
    <w:rsid w:val="00F9560B"/>
    <w:rsid w:val="00F95755"/>
    <w:rsid w:val="00F96E67"/>
    <w:rsid w:val="00F96E92"/>
    <w:rsid w:val="00FA04BD"/>
    <w:rsid w:val="00FA0700"/>
    <w:rsid w:val="00FA13CB"/>
    <w:rsid w:val="00FA2BE9"/>
    <w:rsid w:val="00FA31AE"/>
    <w:rsid w:val="00FA4FCD"/>
    <w:rsid w:val="00FB1DA4"/>
    <w:rsid w:val="00FB2973"/>
    <w:rsid w:val="00FB42CF"/>
    <w:rsid w:val="00FB511E"/>
    <w:rsid w:val="00FB59DD"/>
    <w:rsid w:val="00FB7B5E"/>
    <w:rsid w:val="00FC07DD"/>
    <w:rsid w:val="00FC2B86"/>
    <w:rsid w:val="00FC48B5"/>
    <w:rsid w:val="00FC4A2E"/>
    <w:rsid w:val="00FC4CA2"/>
    <w:rsid w:val="00FC6FF3"/>
    <w:rsid w:val="00FC7629"/>
    <w:rsid w:val="00FC7B2A"/>
    <w:rsid w:val="00FD3D67"/>
    <w:rsid w:val="00FD4333"/>
    <w:rsid w:val="00FD536A"/>
    <w:rsid w:val="00FD6D35"/>
    <w:rsid w:val="00FD74FF"/>
    <w:rsid w:val="00FE1004"/>
    <w:rsid w:val="00FE2AC4"/>
    <w:rsid w:val="00FE3006"/>
    <w:rsid w:val="00FE3CEC"/>
    <w:rsid w:val="00FE4145"/>
    <w:rsid w:val="00FE5F2D"/>
    <w:rsid w:val="00FE607C"/>
    <w:rsid w:val="00FE6A1F"/>
    <w:rsid w:val="00FE743E"/>
    <w:rsid w:val="00FF04FB"/>
    <w:rsid w:val="00FF0810"/>
    <w:rsid w:val="00FF11E6"/>
    <w:rsid w:val="00FF126B"/>
    <w:rsid w:val="00FF30E1"/>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1"/>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683977"/>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Heading1Char1">
    <w:name w:val="Heading 1 Char1"/>
    <w:link w:val="Heading1"/>
    <w:rsid w:val="00990F61"/>
    <w:rPr>
      <w:rFonts w:ascii="Franklin Gothic Demi" w:hAnsi="Franklin Gothic Demi"/>
      <w:color w:val="AD495D"/>
      <w:kern w:val="28"/>
      <w:sz w:val="28"/>
      <w:szCs w:val="28"/>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6"/>
      </w:numPr>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Abbreviation">
    <w:name w:val="Abbreviation"/>
    <w:basedOn w:val="BodyText"/>
    <w:link w:val="AbbreviationChar"/>
    <w:rsid w:val="000E3F26"/>
  </w:style>
  <w:style w:type="character" w:customStyle="1" w:styleId="AbbreviationChar">
    <w:name w:val="Abbreviation Char"/>
    <w:basedOn w:val="BodyTextChar"/>
    <w:link w:val="Abbreviation"/>
    <w:rsid w:val="000E3F26"/>
    <w:rPr>
      <w:rFonts w:ascii="Georgia" w:hAnsi="Georgia"/>
      <w:sz w:val="19"/>
      <w:szCs w:val="19"/>
      <w:lang w:val="en-AU" w:eastAsia="en-AU" w:bidi="ar-SA"/>
    </w:r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Ratinggreen">
    <w:name w:val="Rating green"/>
    <w:basedOn w:val="Ratingamber"/>
    <w:semiHidden/>
    <w:rsid w:val="001C6E03"/>
    <w:pPr>
      <w:numPr>
        <w:numId w:val="11"/>
      </w:numPr>
      <w:tabs>
        <w:tab w:val="clear" w:pos="567"/>
        <w:tab w:val="num" w:pos="360"/>
      </w:tabs>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styleId="Date">
    <w:name w:val="Date"/>
    <w:basedOn w:val="Subtitle"/>
    <w:next w:val="Author"/>
    <w:link w:val="DateChar"/>
    <w:semiHidden/>
    <w:rsid w:val="00A53A6B"/>
    <w:pPr>
      <w:spacing w:after="1000"/>
    </w:pPr>
    <w:rPr>
      <w:sz w:val="24"/>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uiPriority w:val="39"/>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semiHidden/>
    <w:rsid w:val="00FB1DA4"/>
    <w:rPr>
      <w:rFonts w:ascii="Franklin Gothic Book" w:hAnsi="Franklin Gothic Book"/>
      <w:w w:val="100"/>
      <w:position w:val="6"/>
      <w:sz w:val="12"/>
      <w:szCs w:val="12"/>
      <w:vertAlign w:val="baseline"/>
    </w:rPr>
  </w:style>
  <w:style w:type="paragraph" w:styleId="FootnoteText">
    <w:name w:val="footnote text"/>
    <w:aliases w:val="LM Footnote,LM Note de bas de page,Note de bas de page LM,LM footnote,Footnote Text Char,Footnote Text LM,single space,ft,Footnote Text Char Char Char Char,Footnote Text Char Char,Footnote Text Char Char Char Char Char Char"/>
    <w:basedOn w:val="BodyText"/>
    <w:link w:val="FootnoteTextChar1"/>
    <w:semiHidden/>
    <w:rsid w:val="00281D52"/>
    <w:pPr>
      <w:spacing w:before="0" w:after="0" w:line="180" w:lineRule="atLeast"/>
      <w:ind w:left="284" w:hanging="284"/>
    </w:pPr>
    <w:rPr>
      <w:rFonts w:ascii="Franklin Gothic Book" w:hAnsi="Franklin Gothic Book"/>
      <w:sz w:val="14"/>
      <w:szCs w:val="14"/>
    </w:rPr>
  </w:style>
  <w:style w:type="character" w:customStyle="1" w:styleId="FootnoteTextChar1">
    <w:name w:val="Footnote Text Char1"/>
    <w:aliases w:val="LM Footnote Char,LM Note de bas de page Char,Note de bas de page LM Char,LM footnote Char,Footnote Text Char Char1,Footnote Text LM Char,single space Char,ft Char,Footnote Text Char Char Char Char Char,Footnote Text Char Char Char"/>
    <w:link w:val="FootnoteText"/>
    <w:locked/>
    <w:rsid w:val="00AD4169"/>
    <w:rPr>
      <w:rFonts w:ascii="Franklin Gothic Book" w:hAnsi="Franklin Gothic Book"/>
      <w:sz w:val="14"/>
      <w:szCs w:val="14"/>
      <w:lang w:val="en-AU" w:eastAsia="en-AU" w:bidi="ar-SA"/>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uiPriority w:val="39"/>
    <w:rsid w:val="0097190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7"/>
      </w:numPr>
      <w:spacing w:after="0" w:line="180" w:lineRule="atLeast"/>
    </w:pPr>
    <w:rPr>
      <w:sz w:val="14"/>
      <w:szCs w:val="14"/>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link w:val="BoxNoteSourceChar"/>
    <w:rsid w:val="006C6761"/>
    <w:pPr>
      <w:spacing w:before="100" w:after="100" w:line="180" w:lineRule="atLeast"/>
    </w:pPr>
    <w:rPr>
      <w:sz w:val="14"/>
      <w:szCs w:val="14"/>
    </w:rPr>
  </w:style>
  <w:style w:type="character" w:customStyle="1" w:styleId="BoxNoteSourceChar">
    <w:name w:val="Box Note/Source Char"/>
    <w:link w:val="BoxNoteSource"/>
    <w:rsid w:val="004C4884"/>
    <w:rPr>
      <w:rFonts w:ascii="Franklin Gothic Book" w:hAnsi="Franklin Gothic Book"/>
      <w:sz w:val="14"/>
      <w:szCs w:val="14"/>
      <w:lang w:val="en-AU" w:eastAsia="en-AU" w:bidi="ar-SA"/>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MPS">
    <w:name w:val="MPS"/>
    <w:basedOn w:val="Normal"/>
    <w:rsid w:val="005854AE"/>
    <w:rPr>
      <w:sz w:val="24"/>
      <w:lang w:val="en-US" w:eastAsia="en-US"/>
    </w:rPr>
  </w:style>
  <w:style w:type="paragraph" w:customStyle="1" w:styleId="Bullet">
    <w:name w:val="Bullet"/>
    <w:basedOn w:val="Normal"/>
    <w:rsid w:val="00AF0985"/>
    <w:pPr>
      <w:numPr>
        <w:numId w:val="18"/>
      </w:numPr>
      <w:spacing w:after="240" w:line="320" w:lineRule="exact"/>
    </w:pPr>
    <w:rPr>
      <w:rFonts w:ascii="Palatino" w:hAnsi="Palatino"/>
      <w:color w:val="000000"/>
      <w:sz w:val="22"/>
      <w:szCs w:val="22"/>
    </w:rPr>
  </w:style>
  <w:style w:type="paragraph" w:customStyle="1" w:styleId="Dash">
    <w:name w:val="Dash"/>
    <w:basedOn w:val="Normal"/>
    <w:rsid w:val="00AF0985"/>
    <w:pPr>
      <w:numPr>
        <w:ilvl w:val="1"/>
        <w:numId w:val="18"/>
      </w:numPr>
      <w:spacing w:after="240" w:line="320" w:lineRule="exact"/>
    </w:pPr>
    <w:rPr>
      <w:rFonts w:ascii="Palatino" w:hAnsi="Palatino"/>
      <w:color w:val="000000"/>
      <w:sz w:val="22"/>
      <w:szCs w:val="22"/>
    </w:rPr>
  </w:style>
  <w:style w:type="paragraph" w:customStyle="1" w:styleId="DoubleDot">
    <w:name w:val="Double Dot"/>
    <w:basedOn w:val="Normal"/>
    <w:rsid w:val="00AF0985"/>
    <w:pPr>
      <w:numPr>
        <w:ilvl w:val="2"/>
        <w:numId w:val="18"/>
      </w:numPr>
      <w:spacing w:after="240" w:line="320" w:lineRule="exact"/>
    </w:pPr>
    <w:rPr>
      <w:rFonts w:ascii="Palatino" w:hAnsi="Palatino"/>
      <w:color w:val="000000"/>
      <w:sz w:val="22"/>
      <w:szCs w:val="22"/>
    </w:rPr>
  </w:style>
  <w:style w:type="character" w:customStyle="1" w:styleId="style131">
    <w:name w:val="style131"/>
    <w:rsid w:val="00AF0985"/>
    <w:rPr>
      <w:color w:val="000000"/>
      <w:sz w:val="18"/>
      <w:szCs w:val="18"/>
    </w:rPr>
  </w:style>
  <w:style w:type="character" w:customStyle="1" w:styleId="CharChar4">
    <w:name w:val="Char Char4"/>
    <w:rsid w:val="00AF0985"/>
    <w:rPr>
      <w:rFonts w:ascii="Georgia" w:hAnsi="Georgia"/>
      <w:sz w:val="19"/>
      <w:szCs w:val="19"/>
      <w:lang w:val="en-AU" w:eastAsia="en-AU" w:bidi="ar-SA"/>
    </w:rPr>
  </w:style>
  <w:style w:type="character" w:customStyle="1" w:styleId="ShannonRooney">
    <w:name w:val="Shannon Rooney"/>
    <w:semiHidden/>
    <w:rsid w:val="00990F61"/>
    <w:rPr>
      <w:rFonts w:ascii="Calibri" w:hAnsi="Calibri"/>
      <w:b w:val="0"/>
      <w:bCs w:val="0"/>
      <w:i w:val="0"/>
      <w:iCs w:val="0"/>
      <w:strike w:val="0"/>
      <w:color w:val="auto"/>
      <w:sz w:val="22"/>
      <w:szCs w:val="22"/>
      <w:u w:val="none"/>
    </w:rPr>
  </w:style>
  <w:style w:type="table" w:customStyle="1" w:styleId="Tablewithnoheader">
    <w:name w:val="Table with no header"/>
    <w:basedOn w:val="TableNormal"/>
    <w:rsid w:val="00147F8B"/>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paragraph" w:styleId="DocumentMap">
    <w:name w:val="Document Map"/>
    <w:basedOn w:val="Normal"/>
    <w:semiHidden/>
    <w:rsid w:val="000E3F26"/>
    <w:pPr>
      <w:shd w:val="clear" w:color="auto" w:fill="000080"/>
    </w:pPr>
    <w:rPr>
      <w:rFonts w:ascii="Tahoma" w:hAnsi="Tahoma" w:cs="Tahoma"/>
      <w:szCs w:val="20"/>
    </w:rPr>
  </w:style>
  <w:style w:type="character" w:customStyle="1" w:styleId="Heading1Char">
    <w:name w:val="Heading 1 Char"/>
    <w:rsid w:val="00561F63"/>
    <w:rPr>
      <w:rFonts w:ascii="Franklin Gothic Demi" w:hAnsi="Franklin Gothic Demi"/>
      <w:color w:val="AD495D"/>
      <w:kern w:val="28"/>
      <w:sz w:val="28"/>
      <w:szCs w:val="28"/>
      <w:lang w:val="en-AU" w:eastAsia="en-AU" w:bidi="ar-SA"/>
    </w:rPr>
  </w:style>
  <w:style w:type="paragraph" w:styleId="Index1">
    <w:name w:val="index 1"/>
    <w:basedOn w:val="Normal"/>
    <w:next w:val="Normal"/>
    <w:autoRedefine/>
    <w:semiHidden/>
    <w:rsid w:val="000C7EC0"/>
    <w:pPr>
      <w:ind w:left="200" w:hanging="200"/>
    </w:pPr>
  </w:style>
  <w:style w:type="paragraph" w:styleId="z-TopofForm">
    <w:name w:val="HTML Top of Form"/>
    <w:basedOn w:val="Normal"/>
    <w:next w:val="Normal"/>
    <w:hidden/>
    <w:rsid w:val="002B0BC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B0BC6"/>
    <w:pPr>
      <w:pBdr>
        <w:top w:val="single" w:sz="6" w:space="1" w:color="auto"/>
      </w:pBdr>
      <w:jc w:val="center"/>
    </w:pPr>
    <w:rPr>
      <w:rFonts w:ascii="Arial" w:hAnsi="Arial" w:cs="Arial"/>
      <w:vanish/>
      <w:sz w:val="16"/>
      <w:szCs w:val="16"/>
    </w:rPr>
  </w:style>
  <w:style w:type="paragraph" w:customStyle="1" w:styleId="Default">
    <w:name w:val="Default"/>
    <w:rsid w:val="00301A7B"/>
    <w:pPr>
      <w:autoSpaceDE w:val="0"/>
      <w:autoSpaceDN w:val="0"/>
      <w:adjustRightInd w:val="0"/>
    </w:pPr>
    <w:rPr>
      <w:rFonts w:ascii="Verdana" w:hAnsi="Verdana" w:cs="Verdana"/>
      <w:color w:val="000000"/>
      <w:sz w:val="24"/>
      <w:szCs w:val="24"/>
      <w:lang w:val="en-AU" w:eastAsia="en-AU"/>
    </w:rPr>
  </w:style>
  <w:style w:type="paragraph" w:styleId="ListParagraph">
    <w:name w:val="List Paragraph"/>
    <w:basedOn w:val="Normal"/>
    <w:qFormat/>
    <w:rsid w:val="00CC524A"/>
    <w:pPr>
      <w:spacing w:after="240"/>
      <w:ind w:left="720"/>
    </w:pPr>
    <w:rPr>
      <w:sz w:val="24"/>
      <w:lang w:eastAsia="en-US"/>
    </w:rPr>
  </w:style>
  <w:style w:type="paragraph" w:styleId="TOCHeading">
    <w:name w:val="TOC Heading"/>
    <w:basedOn w:val="Heading1"/>
    <w:next w:val="Normal"/>
    <w:uiPriority w:val="39"/>
    <w:unhideWhenUsed/>
    <w:qFormat/>
    <w:rsid w:val="005A038B"/>
    <w:pPr>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customStyle="1" w:styleId="H1A">
    <w:name w:val="H1A"/>
    <w:basedOn w:val="Normal"/>
    <w:qFormat/>
    <w:rsid w:val="00AD591F"/>
    <w:pPr>
      <w:spacing w:after="240"/>
    </w:pPr>
    <w:rPr>
      <w:rFonts w:ascii="Georgia" w:hAnsi="Georgia"/>
      <w:b/>
      <w:sz w:val="22"/>
      <w:szCs w:val="22"/>
    </w:rPr>
  </w:style>
  <w:style w:type="paragraph" w:customStyle="1" w:styleId="H2A">
    <w:name w:val="H2A"/>
    <w:basedOn w:val="BodyText"/>
    <w:qFormat/>
    <w:rsid w:val="00AD591F"/>
    <w:rPr>
      <w:b/>
      <w:sz w:val="24"/>
      <w:szCs w:val="24"/>
    </w:rPr>
  </w:style>
  <w:style w:type="paragraph" w:customStyle="1" w:styleId="H3A">
    <w:name w:val="H3A"/>
    <w:basedOn w:val="Heading3"/>
    <w:qFormat/>
    <w:rsid w:val="00AD591F"/>
    <w:rPr>
      <w:b/>
      <w:sz w:val="24"/>
      <w:szCs w:val="24"/>
    </w:rPr>
  </w:style>
  <w:style w:type="paragraph" w:customStyle="1" w:styleId="NO">
    <w:name w:val="NO"/>
    <w:basedOn w:val="Normal"/>
    <w:qFormat/>
    <w:rsid w:val="00AD591F"/>
  </w:style>
  <w:style w:type="paragraph" w:customStyle="1" w:styleId="NO1">
    <w:name w:val="NO1"/>
    <w:basedOn w:val="Normal"/>
    <w:qFormat/>
    <w:rsid w:val="00AD591F"/>
  </w:style>
  <w:style w:type="paragraph" w:customStyle="1" w:styleId="H2B">
    <w:name w:val="H2B"/>
    <w:basedOn w:val="Heading3"/>
    <w:qFormat/>
    <w:rsid w:val="00027A09"/>
  </w:style>
  <w:style w:type="paragraph" w:customStyle="1" w:styleId="H3B">
    <w:name w:val="H3B"/>
    <w:basedOn w:val="Heading4"/>
    <w:qFormat/>
    <w:rsid w:val="00027A09"/>
    <w:rPr>
      <w:rFonts w:ascii="Franklin Gothic Book" w:hAnsi="Franklin Gothic Book"/>
      <w:sz w:val="19"/>
      <w:szCs w:val="19"/>
    </w:rPr>
  </w:style>
  <w:style w:type="paragraph" w:customStyle="1" w:styleId="H2C">
    <w:name w:val="H2C"/>
    <w:basedOn w:val="Heading7"/>
    <w:qFormat/>
    <w:rsid w:val="001E6579"/>
  </w:style>
  <w:style w:type="paragraph" w:styleId="TOC4">
    <w:name w:val="toc 4"/>
    <w:basedOn w:val="Normal"/>
    <w:next w:val="Normal"/>
    <w:autoRedefine/>
    <w:uiPriority w:val="39"/>
    <w:unhideWhenUsed/>
    <w:rsid w:val="00FE3006"/>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FE3006"/>
    <w:pPr>
      <w:spacing w:after="100" w:line="259" w:lineRule="auto"/>
      <w:ind w:left="88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FE3006"/>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FE3006"/>
    <w:pPr>
      <w:spacing w:after="100" w:line="259" w:lineRule="auto"/>
      <w:ind w:left="1760"/>
    </w:pPr>
    <w:rPr>
      <w:rFonts w:asciiTheme="minorHAnsi" w:eastAsiaTheme="minorEastAsia" w:hAnsiTheme="minorHAnsi" w:cstheme="minorBidi"/>
      <w:sz w:val="22"/>
      <w:szCs w:val="22"/>
      <w:lang w:val="en-US" w:eastAsia="en-US"/>
    </w:rPr>
  </w:style>
  <w:style w:type="paragraph" w:customStyle="1" w:styleId="H2F">
    <w:name w:val="H2F"/>
    <w:basedOn w:val="Normal"/>
    <w:qFormat/>
    <w:rsid w:val="00612FF9"/>
    <w:pPr>
      <w:spacing w:before="240" w:after="120"/>
    </w:pPr>
    <w:rPr>
      <w:rFonts w:ascii="Franklin Gothic Medium" w:hAnsi="Franklin Gothic Medium"/>
      <w:color w:val="54534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1"/>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683977"/>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Heading1Char1">
    <w:name w:val="Heading 1 Char1"/>
    <w:link w:val="Heading1"/>
    <w:rsid w:val="00990F61"/>
    <w:rPr>
      <w:rFonts w:ascii="Franklin Gothic Demi" w:hAnsi="Franklin Gothic Demi"/>
      <w:color w:val="AD495D"/>
      <w:kern w:val="28"/>
      <w:sz w:val="28"/>
      <w:szCs w:val="28"/>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6"/>
      </w:numPr>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Abbreviation">
    <w:name w:val="Abbreviation"/>
    <w:basedOn w:val="BodyText"/>
    <w:link w:val="AbbreviationChar"/>
    <w:rsid w:val="000E3F26"/>
  </w:style>
  <w:style w:type="character" w:customStyle="1" w:styleId="AbbreviationChar">
    <w:name w:val="Abbreviation Char"/>
    <w:basedOn w:val="BodyTextChar"/>
    <w:link w:val="Abbreviation"/>
    <w:rsid w:val="000E3F26"/>
    <w:rPr>
      <w:rFonts w:ascii="Georgia" w:hAnsi="Georgia"/>
      <w:sz w:val="19"/>
      <w:szCs w:val="19"/>
      <w:lang w:val="en-AU" w:eastAsia="en-AU" w:bidi="ar-SA"/>
    </w:r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customStyle="1" w:styleId="Ratinggreen">
    <w:name w:val="Rating green"/>
    <w:basedOn w:val="Ratingamber"/>
    <w:semiHidden/>
    <w:rsid w:val="001C6E03"/>
    <w:pPr>
      <w:numPr>
        <w:numId w:val="11"/>
      </w:numPr>
      <w:tabs>
        <w:tab w:val="clear" w:pos="567"/>
        <w:tab w:val="num" w:pos="360"/>
      </w:tabs>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styleId="Date">
    <w:name w:val="Date"/>
    <w:basedOn w:val="Subtitle"/>
    <w:next w:val="Author"/>
    <w:link w:val="DateChar"/>
    <w:semiHidden/>
    <w:rsid w:val="00A53A6B"/>
    <w:pPr>
      <w:spacing w:after="1000"/>
    </w:pPr>
    <w:rPr>
      <w:sz w:val="24"/>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uiPriority w:val="39"/>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semiHidden/>
    <w:rsid w:val="00FB1DA4"/>
    <w:rPr>
      <w:rFonts w:ascii="Franklin Gothic Book" w:hAnsi="Franklin Gothic Book"/>
      <w:w w:val="100"/>
      <w:position w:val="6"/>
      <w:sz w:val="12"/>
      <w:szCs w:val="12"/>
      <w:vertAlign w:val="baseline"/>
    </w:rPr>
  </w:style>
  <w:style w:type="paragraph" w:styleId="FootnoteText">
    <w:name w:val="footnote text"/>
    <w:aliases w:val="LM Footnote,LM Note de bas de page,Note de bas de page LM,LM footnote,Footnote Text Char,Footnote Text LM,single space,ft,Footnote Text Char Char Char Char,Footnote Text Char Char,Footnote Text Char Char Char Char Char Char"/>
    <w:basedOn w:val="BodyText"/>
    <w:link w:val="FootnoteTextChar1"/>
    <w:semiHidden/>
    <w:rsid w:val="00281D52"/>
    <w:pPr>
      <w:spacing w:before="0" w:after="0" w:line="180" w:lineRule="atLeast"/>
      <w:ind w:left="284" w:hanging="284"/>
    </w:pPr>
    <w:rPr>
      <w:rFonts w:ascii="Franklin Gothic Book" w:hAnsi="Franklin Gothic Book"/>
      <w:sz w:val="14"/>
      <w:szCs w:val="14"/>
    </w:rPr>
  </w:style>
  <w:style w:type="character" w:customStyle="1" w:styleId="FootnoteTextChar1">
    <w:name w:val="Footnote Text Char1"/>
    <w:aliases w:val="LM Footnote Char,LM Note de bas de page Char,Note de bas de page LM Char,LM footnote Char,Footnote Text Char Char1,Footnote Text LM Char,single space Char,ft Char,Footnote Text Char Char Char Char Char,Footnote Text Char Char Char"/>
    <w:link w:val="FootnoteText"/>
    <w:locked/>
    <w:rsid w:val="00AD4169"/>
    <w:rPr>
      <w:rFonts w:ascii="Franklin Gothic Book" w:hAnsi="Franklin Gothic Book"/>
      <w:sz w:val="14"/>
      <w:szCs w:val="14"/>
      <w:lang w:val="en-AU" w:eastAsia="en-AU" w:bidi="ar-SA"/>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uiPriority w:val="39"/>
    <w:rsid w:val="0097190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7"/>
      </w:numPr>
      <w:spacing w:after="0" w:line="180" w:lineRule="atLeast"/>
    </w:pPr>
    <w:rPr>
      <w:sz w:val="14"/>
      <w:szCs w:val="14"/>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link w:val="BoxNoteSourceChar"/>
    <w:rsid w:val="006C6761"/>
    <w:pPr>
      <w:spacing w:before="100" w:after="100" w:line="180" w:lineRule="atLeast"/>
    </w:pPr>
    <w:rPr>
      <w:sz w:val="14"/>
      <w:szCs w:val="14"/>
    </w:rPr>
  </w:style>
  <w:style w:type="character" w:customStyle="1" w:styleId="BoxNoteSourceChar">
    <w:name w:val="Box Note/Source Char"/>
    <w:link w:val="BoxNoteSource"/>
    <w:rsid w:val="004C4884"/>
    <w:rPr>
      <w:rFonts w:ascii="Franklin Gothic Book" w:hAnsi="Franklin Gothic Book"/>
      <w:sz w:val="14"/>
      <w:szCs w:val="14"/>
      <w:lang w:val="en-AU" w:eastAsia="en-AU" w:bidi="ar-SA"/>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MPS">
    <w:name w:val="MPS"/>
    <w:basedOn w:val="Normal"/>
    <w:rsid w:val="005854AE"/>
    <w:rPr>
      <w:sz w:val="24"/>
      <w:lang w:val="en-US" w:eastAsia="en-US"/>
    </w:rPr>
  </w:style>
  <w:style w:type="paragraph" w:customStyle="1" w:styleId="Bullet">
    <w:name w:val="Bullet"/>
    <w:basedOn w:val="Normal"/>
    <w:rsid w:val="00AF0985"/>
    <w:pPr>
      <w:numPr>
        <w:numId w:val="18"/>
      </w:numPr>
      <w:spacing w:after="240" w:line="320" w:lineRule="exact"/>
    </w:pPr>
    <w:rPr>
      <w:rFonts w:ascii="Palatino" w:hAnsi="Palatino"/>
      <w:color w:val="000000"/>
      <w:sz w:val="22"/>
      <w:szCs w:val="22"/>
    </w:rPr>
  </w:style>
  <w:style w:type="paragraph" w:customStyle="1" w:styleId="Dash">
    <w:name w:val="Dash"/>
    <w:basedOn w:val="Normal"/>
    <w:rsid w:val="00AF0985"/>
    <w:pPr>
      <w:numPr>
        <w:ilvl w:val="1"/>
        <w:numId w:val="18"/>
      </w:numPr>
      <w:spacing w:after="240" w:line="320" w:lineRule="exact"/>
    </w:pPr>
    <w:rPr>
      <w:rFonts w:ascii="Palatino" w:hAnsi="Palatino"/>
      <w:color w:val="000000"/>
      <w:sz w:val="22"/>
      <w:szCs w:val="22"/>
    </w:rPr>
  </w:style>
  <w:style w:type="paragraph" w:customStyle="1" w:styleId="DoubleDot">
    <w:name w:val="Double Dot"/>
    <w:basedOn w:val="Normal"/>
    <w:rsid w:val="00AF0985"/>
    <w:pPr>
      <w:numPr>
        <w:ilvl w:val="2"/>
        <w:numId w:val="18"/>
      </w:numPr>
      <w:spacing w:after="240" w:line="320" w:lineRule="exact"/>
    </w:pPr>
    <w:rPr>
      <w:rFonts w:ascii="Palatino" w:hAnsi="Palatino"/>
      <w:color w:val="000000"/>
      <w:sz w:val="22"/>
      <w:szCs w:val="22"/>
    </w:rPr>
  </w:style>
  <w:style w:type="character" w:customStyle="1" w:styleId="style131">
    <w:name w:val="style131"/>
    <w:rsid w:val="00AF0985"/>
    <w:rPr>
      <w:color w:val="000000"/>
      <w:sz w:val="18"/>
      <w:szCs w:val="18"/>
    </w:rPr>
  </w:style>
  <w:style w:type="character" w:customStyle="1" w:styleId="CharChar4">
    <w:name w:val="Char Char4"/>
    <w:rsid w:val="00AF0985"/>
    <w:rPr>
      <w:rFonts w:ascii="Georgia" w:hAnsi="Georgia"/>
      <w:sz w:val="19"/>
      <w:szCs w:val="19"/>
      <w:lang w:val="en-AU" w:eastAsia="en-AU" w:bidi="ar-SA"/>
    </w:rPr>
  </w:style>
  <w:style w:type="character" w:customStyle="1" w:styleId="ShannonRooney">
    <w:name w:val="Shannon Rooney"/>
    <w:semiHidden/>
    <w:rsid w:val="00990F61"/>
    <w:rPr>
      <w:rFonts w:ascii="Calibri" w:hAnsi="Calibri"/>
      <w:b w:val="0"/>
      <w:bCs w:val="0"/>
      <w:i w:val="0"/>
      <w:iCs w:val="0"/>
      <w:strike w:val="0"/>
      <w:color w:val="auto"/>
      <w:sz w:val="22"/>
      <w:szCs w:val="22"/>
      <w:u w:val="none"/>
    </w:rPr>
  </w:style>
  <w:style w:type="table" w:customStyle="1" w:styleId="Tablewithnoheader">
    <w:name w:val="Table with no header"/>
    <w:basedOn w:val="TableNormal"/>
    <w:rsid w:val="00147F8B"/>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paragraph" w:styleId="DocumentMap">
    <w:name w:val="Document Map"/>
    <w:basedOn w:val="Normal"/>
    <w:semiHidden/>
    <w:rsid w:val="000E3F26"/>
    <w:pPr>
      <w:shd w:val="clear" w:color="auto" w:fill="000080"/>
    </w:pPr>
    <w:rPr>
      <w:rFonts w:ascii="Tahoma" w:hAnsi="Tahoma" w:cs="Tahoma"/>
      <w:szCs w:val="20"/>
    </w:rPr>
  </w:style>
  <w:style w:type="character" w:customStyle="1" w:styleId="Heading1Char">
    <w:name w:val="Heading 1 Char"/>
    <w:rsid w:val="00561F63"/>
    <w:rPr>
      <w:rFonts w:ascii="Franklin Gothic Demi" w:hAnsi="Franklin Gothic Demi"/>
      <w:color w:val="AD495D"/>
      <w:kern w:val="28"/>
      <w:sz w:val="28"/>
      <w:szCs w:val="28"/>
      <w:lang w:val="en-AU" w:eastAsia="en-AU" w:bidi="ar-SA"/>
    </w:rPr>
  </w:style>
  <w:style w:type="paragraph" w:styleId="Index1">
    <w:name w:val="index 1"/>
    <w:basedOn w:val="Normal"/>
    <w:next w:val="Normal"/>
    <w:autoRedefine/>
    <w:semiHidden/>
    <w:rsid w:val="000C7EC0"/>
    <w:pPr>
      <w:ind w:left="200" w:hanging="200"/>
    </w:pPr>
  </w:style>
  <w:style w:type="paragraph" w:styleId="z-TopofForm">
    <w:name w:val="HTML Top of Form"/>
    <w:basedOn w:val="Normal"/>
    <w:next w:val="Normal"/>
    <w:hidden/>
    <w:rsid w:val="002B0BC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B0BC6"/>
    <w:pPr>
      <w:pBdr>
        <w:top w:val="single" w:sz="6" w:space="1" w:color="auto"/>
      </w:pBdr>
      <w:jc w:val="center"/>
    </w:pPr>
    <w:rPr>
      <w:rFonts w:ascii="Arial" w:hAnsi="Arial" w:cs="Arial"/>
      <w:vanish/>
      <w:sz w:val="16"/>
      <w:szCs w:val="16"/>
    </w:rPr>
  </w:style>
  <w:style w:type="paragraph" w:customStyle="1" w:styleId="Default">
    <w:name w:val="Default"/>
    <w:rsid w:val="00301A7B"/>
    <w:pPr>
      <w:autoSpaceDE w:val="0"/>
      <w:autoSpaceDN w:val="0"/>
      <w:adjustRightInd w:val="0"/>
    </w:pPr>
    <w:rPr>
      <w:rFonts w:ascii="Verdana" w:hAnsi="Verdana" w:cs="Verdana"/>
      <w:color w:val="000000"/>
      <w:sz w:val="24"/>
      <w:szCs w:val="24"/>
      <w:lang w:val="en-AU" w:eastAsia="en-AU"/>
    </w:rPr>
  </w:style>
  <w:style w:type="paragraph" w:styleId="ListParagraph">
    <w:name w:val="List Paragraph"/>
    <w:basedOn w:val="Normal"/>
    <w:qFormat/>
    <w:rsid w:val="00CC524A"/>
    <w:pPr>
      <w:spacing w:after="240"/>
      <w:ind w:left="720"/>
    </w:pPr>
    <w:rPr>
      <w:sz w:val="24"/>
      <w:lang w:eastAsia="en-US"/>
    </w:rPr>
  </w:style>
  <w:style w:type="paragraph" w:styleId="TOCHeading">
    <w:name w:val="TOC Heading"/>
    <w:basedOn w:val="Heading1"/>
    <w:next w:val="Normal"/>
    <w:uiPriority w:val="39"/>
    <w:unhideWhenUsed/>
    <w:qFormat/>
    <w:rsid w:val="005A038B"/>
    <w:pPr>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customStyle="1" w:styleId="H1A">
    <w:name w:val="H1A"/>
    <w:basedOn w:val="Normal"/>
    <w:qFormat/>
    <w:rsid w:val="00AD591F"/>
    <w:pPr>
      <w:spacing w:after="240"/>
    </w:pPr>
    <w:rPr>
      <w:rFonts w:ascii="Georgia" w:hAnsi="Georgia"/>
      <w:b/>
      <w:sz w:val="22"/>
      <w:szCs w:val="22"/>
    </w:rPr>
  </w:style>
  <w:style w:type="paragraph" w:customStyle="1" w:styleId="H2A">
    <w:name w:val="H2A"/>
    <w:basedOn w:val="BodyText"/>
    <w:qFormat/>
    <w:rsid w:val="00AD591F"/>
    <w:rPr>
      <w:b/>
      <w:sz w:val="24"/>
      <w:szCs w:val="24"/>
    </w:rPr>
  </w:style>
  <w:style w:type="paragraph" w:customStyle="1" w:styleId="H3A">
    <w:name w:val="H3A"/>
    <w:basedOn w:val="Heading3"/>
    <w:qFormat/>
    <w:rsid w:val="00AD591F"/>
    <w:rPr>
      <w:b/>
      <w:sz w:val="24"/>
      <w:szCs w:val="24"/>
    </w:rPr>
  </w:style>
  <w:style w:type="paragraph" w:customStyle="1" w:styleId="NO">
    <w:name w:val="NO"/>
    <w:basedOn w:val="Normal"/>
    <w:qFormat/>
    <w:rsid w:val="00AD591F"/>
  </w:style>
  <w:style w:type="paragraph" w:customStyle="1" w:styleId="NO1">
    <w:name w:val="NO1"/>
    <w:basedOn w:val="Normal"/>
    <w:qFormat/>
    <w:rsid w:val="00AD591F"/>
  </w:style>
  <w:style w:type="paragraph" w:customStyle="1" w:styleId="H2B">
    <w:name w:val="H2B"/>
    <w:basedOn w:val="Heading3"/>
    <w:qFormat/>
    <w:rsid w:val="00027A09"/>
  </w:style>
  <w:style w:type="paragraph" w:customStyle="1" w:styleId="H3B">
    <w:name w:val="H3B"/>
    <w:basedOn w:val="Heading4"/>
    <w:qFormat/>
    <w:rsid w:val="00027A09"/>
    <w:rPr>
      <w:rFonts w:ascii="Franklin Gothic Book" w:hAnsi="Franklin Gothic Book"/>
      <w:sz w:val="19"/>
      <w:szCs w:val="19"/>
    </w:rPr>
  </w:style>
  <w:style w:type="paragraph" w:customStyle="1" w:styleId="H2C">
    <w:name w:val="H2C"/>
    <w:basedOn w:val="Heading7"/>
    <w:qFormat/>
    <w:rsid w:val="001E6579"/>
  </w:style>
  <w:style w:type="paragraph" w:styleId="TOC4">
    <w:name w:val="toc 4"/>
    <w:basedOn w:val="Normal"/>
    <w:next w:val="Normal"/>
    <w:autoRedefine/>
    <w:uiPriority w:val="39"/>
    <w:unhideWhenUsed/>
    <w:rsid w:val="00FE3006"/>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FE3006"/>
    <w:pPr>
      <w:spacing w:after="100" w:line="259" w:lineRule="auto"/>
      <w:ind w:left="88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FE3006"/>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FE3006"/>
    <w:pPr>
      <w:spacing w:after="100" w:line="259" w:lineRule="auto"/>
      <w:ind w:left="1760"/>
    </w:pPr>
    <w:rPr>
      <w:rFonts w:asciiTheme="minorHAnsi" w:eastAsiaTheme="minorEastAsia" w:hAnsiTheme="minorHAnsi" w:cstheme="minorBidi"/>
      <w:sz w:val="22"/>
      <w:szCs w:val="22"/>
      <w:lang w:val="en-US" w:eastAsia="en-US"/>
    </w:rPr>
  </w:style>
  <w:style w:type="paragraph" w:customStyle="1" w:styleId="H2F">
    <w:name w:val="H2F"/>
    <w:basedOn w:val="Normal"/>
    <w:qFormat/>
    <w:rsid w:val="00612FF9"/>
    <w:pPr>
      <w:spacing w:before="240" w:after="120"/>
    </w:pPr>
    <w:rPr>
      <w:rFonts w:ascii="Franklin Gothic Medium" w:hAnsi="Franklin Gothic Medium"/>
      <w:color w:val="54534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9429">
      <w:marLeft w:val="0"/>
      <w:marRight w:val="0"/>
      <w:marTop w:val="0"/>
      <w:marBottom w:val="0"/>
      <w:divBdr>
        <w:top w:val="none" w:sz="0" w:space="0" w:color="auto"/>
        <w:left w:val="none" w:sz="0" w:space="0" w:color="auto"/>
        <w:bottom w:val="none" w:sz="0" w:space="0" w:color="auto"/>
        <w:right w:val="none" w:sz="0" w:space="0" w:color="auto"/>
      </w:divBdr>
    </w:div>
    <w:div w:id="190266463">
      <w:marLeft w:val="0"/>
      <w:marRight w:val="0"/>
      <w:marTop w:val="0"/>
      <w:marBottom w:val="0"/>
      <w:divBdr>
        <w:top w:val="none" w:sz="0" w:space="0" w:color="auto"/>
        <w:left w:val="none" w:sz="0" w:space="0" w:color="auto"/>
        <w:bottom w:val="none" w:sz="0" w:space="0" w:color="auto"/>
        <w:right w:val="none" w:sz="0" w:space="0" w:color="auto"/>
      </w:divBdr>
    </w:div>
    <w:div w:id="420807101">
      <w:bodyDiv w:val="1"/>
      <w:marLeft w:val="0"/>
      <w:marRight w:val="0"/>
      <w:marTop w:val="0"/>
      <w:marBottom w:val="0"/>
      <w:divBdr>
        <w:top w:val="none" w:sz="0" w:space="0" w:color="auto"/>
        <w:left w:val="none" w:sz="0" w:space="0" w:color="auto"/>
        <w:bottom w:val="none" w:sz="0" w:space="0" w:color="auto"/>
        <w:right w:val="none" w:sz="0" w:space="0" w:color="auto"/>
      </w:divBdr>
    </w:div>
    <w:div w:id="772669623">
      <w:marLeft w:val="0"/>
      <w:marRight w:val="0"/>
      <w:marTop w:val="0"/>
      <w:marBottom w:val="0"/>
      <w:divBdr>
        <w:top w:val="none" w:sz="0" w:space="0" w:color="auto"/>
        <w:left w:val="none" w:sz="0" w:space="0" w:color="auto"/>
        <w:bottom w:val="none" w:sz="0" w:space="0" w:color="auto"/>
        <w:right w:val="none" w:sz="0" w:space="0" w:color="auto"/>
      </w:divBdr>
    </w:div>
    <w:div w:id="817922005">
      <w:marLeft w:val="0"/>
      <w:marRight w:val="0"/>
      <w:marTop w:val="0"/>
      <w:marBottom w:val="0"/>
      <w:divBdr>
        <w:top w:val="none" w:sz="0" w:space="0" w:color="auto"/>
        <w:left w:val="none" w:sz="0" w:space="0" w:color="auto"/>
        <w:bottom w:val="none" w:sz="0" w:space="0" w:color="auto"/>
        <w:right w:val="none" w:sz="0" w:space="0" w:color="auto"/>
      </w:divBdr>
    </w:div>
    <w:div w:id="1139572439">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748309466">
      <w:marLeft w:val="0"/>
      <w:marRight w:val="0"/>
      <w:marTop w:val="0"/>
      <w:marBottom w:val="0"/>
      <w:divBdr>
        <w:top w:val="none" w:sz="0" w:space="0" w:color="auto"/>
        <w:left w:val="none" w:sz="0" w:space="0" w:color="auto"/>
        <w:bottom w:val="none" w:sz="0" w:space="0" w:color="auto"/>
        <w:right w:val="none" w:sz="0" w:space="0" w:color="auto"/>
      </w:divBdr>
    </w:div>
    <w:div w:id="1752658961">
      <w:marLeft w:val="0"/>
      <w:marRight w:val="0"/>
      <w:marTop w:val="0"/>
      <w:marBottom w:val="0"/>
      <w:divBdr>
        <w:top w:val="none" w:sz="0" w:space="0" w:color="auto"/>
        <w:left w:val="none" w:sz="0" w:space="0" w:color="auto"/>
        <w:bottom w:val="none" w:sz="0" w:space="0" w:color="auto"/>
        <w:right w:val="none" w:sz="0" w:space="0" w:color="auto"/>
      </w:divBdr>
    </w:div>
    <w:div w:id="1799831598">
      <w:bodyDiv w:val="1"/>
      <w:marLeft w:val="0"/>
      <w:marRight w:val="0"/>
      <w:marTop w:val="0"/>
      <w:marBottom w:val="0"/>
      <w:divBdr>
        <w:top w:val="none" w:sz="0" w:space="0" w:color="auto"/>
        <w:left w:val="none" w:sz="0" w:space="0" w:color="auto"/>
        <w:bottom w:val="none" w:sz="0" w:space="0" w:color="auto"/>
        <w:right w:val="none" w:sz="0" w:space="0" w:color="auto"/>
      </w:divBdr>
    </w:div>
    <w:div w:id="1968971464">
      <w:bodyDiv w:val="1"/>
      <w:marLeft w:val="0"/>
      <w:marRight w:val="0"/>
      <w:marTop w:val="0"/>
      <w:marBottom w:val="0"/>
      <w:divBdr>
        <w:top w:val="none" w:sz="0" w:space="0" w:color="auto"/>
        <w:left w:val="none" w:sz="0" w:space="0" w:color="auto"/>
        <w:bottom w:val="none" w:sz="0" w:space="0" w:color="auto"/>
        <w:right w:val="none" w:sz="0" w:space="0" w:color="auto"/>
      </w:divBdr>
    </w:div>
    <w:div w:id="1996176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2" Type="http://schemas.openxmlformats.org/officeDocument/2006/relationships/hyperlink" Target="http://www.tradingeconomics.com/indonesia/net-oda-received-percent-of-gni-wb-data.html" TargetMode="External"/><Relationship Id="rId1" Type="http://schemas.openxmlformats.org/officeDocument/2006/relationships/hyperlink" Target="http://country.eiu.com/article.aspx?articleid=647793649&amp;Country=Indone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ERFORMANCE%20AND%20QUALITY\APPR\2010%20APPR\APPR%20Process\T-AnnualProgramPerformance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9A911-CF19-4FAD-BEFA-0735971DC4DE}"/>
</file>

<file path=customXml/itemProps2.xml><?xml version="1.0" encoding="utf-8"?>
<ds:datastoreItem xmlns:ds="http://schemas.openxmlformats.org/officeDocument/2006/customXml" ds:itemID="{9944D043-FEC6-42E5-86A2-B8F7B6AD5F78}"/>
</file>

<file path=customXml/itemProps3.xml><?xml version="1.0" encoding="utf-8"?>
<ds:datastoreItem xmlns:ds="http://schemas.openxmlformats.org/officeDocument/2006/customXml" ds:itemID="{5428798A-BC3C-4274-A230-FB610AEA8B26}"/>
</file>

<file path=customXml/itemProps4.xml><?xml version="1.0" encoding="utf-8"?>
<ds:datastoreItem xmlns:ds="http://schemas.openxmlformats.org/officeDocument/2006/customXml" ds:itemID="{329D9DB1-E06D-4646-A4A3-1337B03EA252}"/>
</file>

<file path=customXml/itemProps5.xml><?xml version="1.0" encoding="utf-8"?>
<ds:datastoreItem xmlns:ds="http://schemas.openxmlformats.org/officeDocument/2006/customXml" ds:itemID="{E616AA03-307E-4A6C-B62D-0F9E3FCA2D15}"/>
</file>

<file path=docProps/app.xml><?xml version="1.0" encoding="utf-8"?>
<Properties xmlns="http://schemas.openxmlformats.org/officeDocument/2006/extended-properties" xmlns:vt="http://schemas.openxmlformats.org/officeDocument/2006/docPropsVTypes">
  <Template>T-AnnualProgramPerformanceTemplate-123.dot</Template>
  <TotalTime>26</TotalTime>
  <Pages>66</Pages>
  <Words>26712</Words>
  <Characters>171990</Characters>
  <Application>Microsoft Office Word</Application>
  <DocSecurity>0</DocSecurity>
  <Lines>1433</Lines>
  <Paragraphs>396</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198306</CharactersWithSpaces>
  <SharedDoc>false</SharedDoc>
  <HLinks>
    <vt:vector size="156" baseType="variant">
      <vt:variant>
        <vt:i4>1638450</vt:i4>
      </vt:variant>
      <vt:variant>
        <vt:i4>140</vt:i4>
      </vt:variant>
      <vt:variant>
        <vt:i4>0</vt:i4>
      </vt:variant>
      <vt:variant>
        <vt:i4>5</vt:i4>
      </vt:variant>
      <vt:variant>
        <vt:lpwstr/>
      </vt:variant>
      <vt:variant>
        <vt:lpwstr>_Toc300905120</vt:lpwstr>
      </vt:variant>
      <vt:variant>
        <vt:i4>1703986</vt:i4>
      </vt:variant>
      <vt:variant>
        <vt:i4>134</vt:i4>
      </vt:variant>
      <vt:variant>
        <vt:i4>0</vt:i4>
      </vt:variant>
      <vt:variant>
        <vt:i4>5</vt:i4>
      </vt:variant>
      <vt:variant>
        <vt:lpwstr/>
      </vt:variant>
      <vt:variant>
        <vt:lpwstr>_Toc300905119</vt:lpwstr>
      </vt:variant>
      <vt:variant>
        <vt:i4>1703986</vt:i4>
      </vt:variant>
      <vt:variant>
        <vt:i4>128</vt:i4>
      </vt:variant>
      <vt:variant>
        <vt:i4>0</vt:i4>
      </vt:variant>
      <vt:variant>
        <vt:i4>5</vt:i4>
      </vt:variant>
      <vt:variant>
        <vt:lpwstr/>
      </vt:variant>
      <vt:variant>
        <vt:lpwstr>_Toc300905118</vt:lpwstr>
      </vt:variant>
      <vt:variant>
        <vt:i4>1703986</vt:i4>
      </vt:variant>
      <vt:variant>
        <vt:i4>122</vt:i4>
      </vt:variant>
      <vt:variant>
        <vt:i4>0</vt:i4>
      </vt:variant>
      <vt:variant>
        <vt:i4>5</vt:i4>
      </vt:variant>
      <vt:variant>
        <vt:lpwstr/>
      </vt:variant>
      <vt:variant>
        <vt:lpwstr>_Toc300905117</vt:lpwstr>
      </vt:variant>
      <vt:variant>
        <vt:i4>1703986</vt:i4>
      </vt:variant>
      <vt:variant>
        <vt:i4>116</vt:i4>
      </vt:variant>
      <vt:variant>
        <vt:i4>0</vt:i4>
      </vt:variant>
      <vt:variant>
        <vt:i4>5</vt:i4>
      </vt:variant>
      <vt:variant>
        <vt:lpwstr/>
      </vt:variant>
      <vt:variant>
        <vt:lpwstr>_Toc300905116</vt:lpwstr>
      </vt:variant>
      <vt:variant>
        <vt:i4>1703986</vt:i4>
      </vt:variant>
      <vt:variant>
        <vt:i4>110</vt:i4>
      </vt:variant>
      <vt:variant>
        <vt:i4>0</vt:i4>
      </vt:variant>
      <vt:variant>
        <vt:i4>5</vt:i4>
      </vt:variant>
      <vt:variant>
        <vt:lpwstr/>
      </vt:variant>
      <vt:variant>
        <vt:lpwstr>_Toc300905115</vt:lpwstr>
      </vt:variant>
      <vt:variant>
        <vt:i4>1703986</vt:i4>
      </vt:variant>
      <vt:variant>
        <vt:i4>104</vt:i4>
      </vt:variant>
      <vt:variant>
        <vt:i4>0</vt:i4>
      </vt:variant>
      <vt:variant>
        <vt:i4>5</vt:i4>
      </vt:variant>
      <vt:variant>
        <vt:lpwstr/>
      </vt:variant>
      <vt:variant>
        <vt:lpwstr>_Toc300905114</vt:lpwstr>
      </vt:variant>
      <vt:variant>
        <vt:i4>1703986</vt:i4>
      </vt:variant>
      <vt:variant>
        <vt:i4>98</vt:i4>
      </vt:variant>
      <vt:variant>
        <vt:i4>0</vt:i4>
      </vt:variant>
      <vt:variant>
        <vt:i4>5</vt:i4>
      </vt:variant>
      <vt:variant>
        <vt:lpwstr/>
      </vt:variant>
      <vt:variant>
        <vt:lpwstr>_Toc300905113</vt:lpwstr>
      </vt:variant>
      <vt:variant>
        <vt:i4>1703986</vt:i4>
      </vt:variant>
      <vt:variant>
        <vt:i4>92</vt:i4>
      </vt:variant>
      <vt:variant>
        <vt:i4>0</vt:i4>
      </vt:variant>
      <vt:variant>
        <vt:i4>5</vt:i4>
      </vt:variant>
      <vt:variant>
        <vt:lpwstr/>
      </vt:variant>
      <vt:variant>
        <vt:lpwstr>_Toc300905112</vt:lpwstr>
      </vt:variant>
      <vt:variant>
        <vt:i4>1703986</vt:i4>
      </vt:variant>
      <vt:variant>
        <vt:i4>86</vt:i4>
      </vt:variant>
      <vt:variant>
        <vt:i4>0</vt:i4>
      </vt:variant>
      <vt:variant>
        <vt:i4>5</vt:i4>
      </vt:variant>
      <vt:variant>
        <vt:lpwstr/>
      </vt:variant>
      <vt:variant>
        <vt:lpwstr>_Toc300905111</vt:lpwstr>
      </vt:variant>
      <vt:variant>
        <vt:i4>1703986</vt:i4>
      </vt:variant>
      <vt:variant>
        <vt:i4>80</vt:i4>
      </vt:variant>
      <vt:variant>
        <vt:i4>0</vt:i4>
      </vt:variant>
      <vt:variant>
        <vt:i4>5</vt:i4>
      </vt:variant>
      <vt:variant>
        <vt:lpwstr/>
      </vt:variant>
      <vt:variant>
        <vt:lpwstr>_Toc300905110</vt:lpwstr>
      </vt:variant>
      <vt:variant>
        <vt:i4>1769522</vt:i4>
      </vt:variant>
      <vt:variant>
        <vt:i4>74</vt:i4>
      </vt:variant>
      <vt:variant>
        <vt:i4>0</vt:i4>
      </vt:variant>
      <vt:variant>
        <vt:i4>5</vt:i4>
      </vt:variant>
      <vt:variant>
        <vt:lpwstr/>
      </vt:variant>
      <vt:variant>
        <vt:lpwstr>_Toc300905109</vt:lpwstr>
      </vt:variant>
      <vt:variant>
        <vt:i4>1769522</vt:i4>
      </vt:variant>
      <vt:variant>
        <vt:i4>68</vt:i4>
      </vt:variant>
      <vt:variant>
        <vt:i4>0</vt:i4>
      </vt:variant>
      <vt:variant>
        <vt:i4>5</vt:i4>
      </vt:variant>
      <vt:variant>
        <vt:lpwstr/>
      </vt:variant>
      <vt:variant>
        <vt:lpwstr>_Toc300905108</vt:lpwstr>
      </vt:variant>
      <vt:variant>
        <vt:i4>1769522</vt:i4>
      </vt:variant>
      <vt:variant>
        <vt:i4>62</vt:i4>
      </vt:variant>
      <vt:variant>
        <vt:i4>0</vt:i4>
      </vt:variant>
      <vt:variant>
        <vt:i4>5</vt:i4>
      </vt:variant>
      <vt:variant>
        <vt:lpwstr/>
      </vt:variant>
      <vt:variant>
        <vt:lpwstr>_Toc300905107</vt:lpwstr>
      </vt:variant>
      <vt:variant>
        <vt:i4>1769522</vt:i4>
      </vt:variant>
      <vt:variant>
        <vt:i4>56</vt:i4>
      </vt:variant>
      <vt:variant>
        <vt:i4>0</vt:i4>
      </vt:variant>
      <vt:variant>
        <vt:i4>5</vt:i4>
      </vt:variant>
      <vt:variant>
        <vt:lpwstr/>
      </vt:variant>
      <vt:variant>
        <vt:lpwstr>_Toc300905106</vt:lpwstr>
      </vt:variant>
      <vt:variant>
        <vt:i4>1769522</vt:i4>
      </vt:variant>
      <vt:variant>
        <vt:i4>50</vt:i4>
      </vt:variant>
      <vt:variant>
        <vt:i4>0</vt:i4>
      </vt:variant>
      <vt:variant>
        <vt:i4>5</vt:i4>
      </vt:variant>
      <vt:variant>
        <vt:lpwstr/>
      </vt:variant>
      <vt:variant>
        <vt:lpwstr>_Toc300905105</vt:lpwstr>
      </vt:variant>
      <vt:variant>
        <vt:i4>1769522</vt:i4>
      </vt:variant>
      <vt:variant>
        <vt:i4>44</vt:i4>
      </vt:variant>
      <vt:variant>
        <vt:i4>0</vt:i4>
      </vt:variant>
      <vt:variant>
        <vt:i4>5</vt:i4>
      </vt:variant>
      <vt:variant>
        <vt:lpwstr/>
      </vt:variant>
      <vt:variant>
        <vt:lpwstr>_Toc300905104</vt:lpwstr>
      </vt:variant>
      <vt:variant>
        <vt:i4>1769522</vt:i4>
      </vt:variant>
      <vt:variant>
        <vt:i4>38</vt:i4>
      </vt:variant>
      <vt:variant>
        <vt:i4>0</vt:i4>
      </vt:variant>
      <vt:variant>
        <vt:i4>5</vt:i4>
      </vt:variant>
      <vt:variant>
        <vt:lpwstr/>
      </vt:variant>
      <vt:variant>
        <vt:lpwstr>_Toc300905103</vt:lpwstr>
      </vt:variant>
      <vt:variant>
        <vt:i4>1769522</vt:i4>
      </vt:variant>
      <vt:variant>
        <vt:i4>32</vt:i4>
      </vt:variant>
      <vt:variant>
        <vt:i4>0</vt:i4>
      </vt:variant>
      <vt:variant>
        <vt:i4>5</vt:i4>
      </vt:variant>
      <vt:variant>
        <vt:lpwstr/>
      </vt:variant>
      <vt:variant>
        <vt:lpwstr>_Toc300905102</vt:lpwstr>
      </vt:variant>
      <vt:variant>
        <vt:i4>1769522</vt:i4>
      </vt:variant>
      <vt:variant>
        <vt:i4>26</vt:i4>
      </vt:variant>
      <vt:variant>
        <vt:i4>0</vt:i4>
      </vt:variant>
      <vt:variant>
        <vt:i4>5</vt:i4>
      </vt:variant>
      <vt:variant>
        <vt:lpwstr/>
      </vt:variant>
      <vt:variant>
        <vt:lpwstr>_Toc300905101</vt:lpwstr>
      </vt:variant>
      <vt:variant>
        <vt:i4>1769522</vt:i4>
      </vt:variant>
      <vt:variant>
        <vt:i4>20</vt:i4>
      </vt:variant>
      <vt:variant>
        <vt:i4>0</vt:i4>
      </vt:variant>
      <vt:variant>
        <vt:i4>5</vt:i4>
      </vt:variant>
      <vt:variant>
        <vt:lpwstr/>
      </vt:variant>
      <vt:variant>
        <vt:lpwstr>_Toc300905100</vt:lpwstr>
      </vt:variant>
      <vt:variant>
        <vt:i4>1179699</vt:i4>
      </vt:variant>
      <vt:variant>
        <vt:i4>14</vt:i4>
      </vt:variant>
      <vt:variant>
        <vt:i4>0</vt:i4>
      </vt:variant>
      <vt:variant>
        <vt:i4>5</vt:i4>
      </vt:variant>
      <vt:variant>
        <vt:lpwstr/>
      </vt:variant>
      <vt:variant>
        <vt:lpwstr>_Toc300905099</vt:lpwstr>
      </vt:variant>
      <vt:variant>
        <vt:i4>1179699</vt:i4>
      </vt:variant>
      <vt:variant>
        <vt:i4>8</vt:i4>
      </vt:variant>
      <vt:variant>
        <vt:i4>0</vt:i4>
      </vt:variant>
      <vt:variant>
        <vt:i4>5</vt:i4>
      </vt:variant>
      <vt:variant>
        <vt:lpwstr/>
      </vt:variant>
      <vt:variant>
        <vt:lpwstr>_Toc300905098</vt:lpwstr>
      </vt:variant>
      <vt:variant>
        <vt:i4>1179699</vt:i4>
      </vt:variant>
      <vt:variant>
        <vt:i4>2</vt:i4>
      </vt:variant>
      <vt:variant>
        <vt:i4>0</vt:i4>
      </vt:variant>
      <vt:variant>
        <vt:i4>5</vt:i4>
      </vt:variant>
      <vt:variant>
        <vt:lpwstr/>
      </vt:variant>
      <vt:variant>
        <vt:lpwstr>_Toc300905097</vt:lpwstr>
      </vt:variant>
      <vt:variant>
        <vt:i4>3801214</vt:i4>
      </vt:variant>
      <vt:variant>
        <vt:i4>3</vt:i4>
      </vt:variant>
      <vt:variant>
        <vt:i4>0</vt:i4>
      </vt:variant>
      <vt:variant>
        <vt:i4>5</vt:i4>
      </vt:variant>
      <vt:variant>
        <vt:lpwstr>http://www.tradingeconomics.com/indonesia/net-oda-received-percent-of-gni-wb-data.html</vt:lpwstr>
      </vt:variant>
      <vt:variant>
        <vt:lpwstr/>
      </vt:variant>
      <vt:variant>
        <vt:i4>5308490</vt:i4>
      </vt:variant>
      <vt:variant>
        <vt:i4>0</vt:i4>
      </vt:variant>
      <vt:variant>
        <vt:i4>0</vt:i4>
      </vt:variant>
      <vt:variant>
        <vt:i4>5</vt:i4>
      </vt:variant>
      <vt:variant>
        <vt:lpwstr>http://country.eiu.com/article.aspx?articleid=647793649&amp;Country=Indonesia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subject/>
  <dc:creator>Lukas Adhyakso</dc:creator>
  <cp:keywords>APPR</cp:keywords>
  <dc:description>Current to January 2011</dc:description>
  <cp:lastModifiedBy>Muhammad Khattab</cp:lastModifiedBy>
  <cp:revision>6</cp:revision>
  <cp:lastPrinted>2011-09-29T15:10:00Z</cp:lastPrinted>
  <dcterms:created xsi:type="dcterms:W3CDTF">2013-07-07T15:34:00Z</dcterms:created>
  <dcterms:modified xsi:type="dcterms:W3CDTF">2013-07-11T09:04:00Z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133400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