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6E4C4" w14:textId="6191BF9F" w:rsidR="006D1346" w:rsidRDefault="006D6E6A" w:rsidP="002643DC">
      <w:pPr>
        <w:spacing w:after="0"/>
        <w:jc w:val="center"/>
        <w:rPr>
          <w:b/>
          <w:sz w:val="26"/>
          <w:szCs w:val="26"/>
        </w:rPr>
      </w:pPr>
      <w:bookmarkStart w:id="0" w:name="_GoBack"/>
      <w:bookmarkEnd w:id="0"/>
      <w:r>
        <w:rPr>
          <w:b/>
          <w:sz w:val="26"/>
          <w:szCs w:val="26"/>
        </w:rPr>
        <w:t xml:space="preserve">DFAT </w:t>
      </w:r>
      <w:r w:rsidR="00FF7B85" w:rsidRPr="009A2586">
        <w:rPr>
          <w:b/>
          <w:sz w:val="26"/>
          <w:szCs w:val="26"/>
        </w:rPr>
        <w:t>Management Response to</w:t>
      </w:r>
      <w:r>
        <w:rPr>
          <w:b/>
          <w:sz w:val="26"/>
          <w:szCs w:val="26"/>
        </w:rPr>
        <w:t xml:space="preserve"> the</w:t>
      </w:r>
      <w:r w:rsidR="002643DC" w:rsidRPr="009A2586">
        <w:rPr>
          <w:b/>
          <w:sz w:val="26"/>
          <w:szCs w:val="26"/>
        </w:rPr>
        <w:t xml:space="preserve"> </w:t>
      </w:r>
      <w:r w:rsidR="00FF7B85" w:rsidRPr="009A2586">
        <w:rPr>
          <w:b/>
          <w:sz w:val="26"/>
          <w:szCs w:val="26"/>
        </w:rPr>
        <w:t xml:space="preserve">Strategic Review of Australia’s </w:t>
      </w:r>
      <w:r>
        <w:rPr>
          <w:b/>
          <w:sz w:val="26"/>
          <w:szCs w:val="26"/>
        </w:rPr>
        <w:t>Investments in Basic E</w:t>
      </w:r>
      <w:r w:rsidR="00FF7B85" w:rsidRPr="009A2586">
        <w:rPr>
          <w:b/>
          <w:sz w:val="26"/>
          <w:szCs w:val="26"/>
        </w:rPr>
        <w:t xml:space="preserve">ducation in Indonesia </w:t>
      </w:r>
    </w:p>
    <w:p w14:paraId="02941D9C" w14:textId="0CE9733F" w:rsidR="00FF7B85" w:rsidRPr="009A2586" w:rsidRDefault="00FF7B85" w:rsidP="002643DC">
      <w:pPr>
        <w:spacing w:after="0"/>
        <w:jc w:val="center"/>
        <w:rPr>
          <w:b/>
          <w:sz w:val="26"/>
          <w:szCs w:val="26"/>
        </w:rPr>
      </w:pPr>
      <w:r w:rsidRPr="009A2586">
        <w:rPr>
          <w:b/>
          <w:sz w:val="26"/>
          <w:szCs w:val="26"/>
        </w:rPr>
        <w:t>(INOVASI, TASS and ID-TEMAN)</w:t>
      </w:r>
    </w:p>
    <w:p w14:paraId="0740A35F" w14:textId="4C51D325" w:rsidR="00FF7B85" w:rsidRPr="009A2586" w:rsidRDefault="00AD1224" w:rsidP="002643DC">
      <w:pPr>
        <w:spacing w:after="0"/>
        <w:jc w:val="center"/>
        <w:rPr>
          <w:b/>
          <w:sz w:val="26"/>
          <w:szCs w:val="26"/>
        </w:rPr>
      </w:pPr>
      <w:r>
        <w:rPr>
          <w:b/>
          <w:sz w:val="26"/>
          <w:szCs w:val="26"/>
        </w:rPr>
        <w:t>July</w:t>
      </w:r>
      <w:r w:rsidR="00E84C43">
        <w:rPr>
          <w:b/>
          <w:sz w:val="26"/>
          <w:szCs w:val="26"/>
        </w:rPr>
        <w:t xml:space="preserve"> </w:t>
      </w:r>
      <w:r w:rsidR="00FF7B85" w:rsidRPr="009A2586">
        <w:rPr>
          <w:b/>
          <w:sz w:val="26"/>
          <w:szCs w:val="26"/>
        </w:rPr>
        <w:t>2019</w:t>
      </w:r>
    </w:p>
    <w:p w14:paraId="55C821BE" w14:textId="77777777" w:rsidR="00FF7B85" w:rsidRDefault="00FF7B85" w:rsidP="00FF7B85">
      <w:pPr>
        <w:spacing w:after="0"/>
      </w:pPr>
    </w:p>
    <w:p w14:paraId="32A7EED8" w14:textId="7F777499" w:rsidR="00FF7B85" w:rsidRDefault="00483F85" w:rsidP="00526E1C">
      <w:pPr>
        <w:spacing w:after="0"/>
        <w:jc w:val="both"/>
      </w:pPr>
      <w:r>
        <w:t>In the final quarter of</w:t>
      </w:r>
      <w:r w:rsidR="00FF7B85">
        <w:t xml:space="preserve"> 2018</w:t>
      </w:r>
      <w:r w:rsidR="00086A15">
        <w:t>,</w:t>
      </w:r>
      <w:r>
        <w:t xml:space="preserve"> a </w:t>
      </w:r>
      <w:r w:rsidR="00526E1C">
        <w:t>s</w:t>
      </w:r>
      <w:r>
        <w:t xml:space="preserve">trategic </w:t>
      </w:r>
      <w:r w:rsidR="00526E1C">
        <w:t>r</w:t>
      </w:r>
      <w:r w:rsidR="00FF7B85">
        <w:t xml:space="preserve">eview </w:t>
      </w:r>
      <w:r>
        <w:t>assessed</w:t>
      </w:r>
      <w:r w:rsidR="00FF7B85">
        <w:t xml:space="preserve"> </w:t>
      </w:r>
      <w:r w:rsidR="00086A15">
        <w:t>three</w:t>
      </w:r>
      <w:r w:rsidR="00FF7B85">
        <w:t xml:space="preserve"> </w:t>
      </w:r>
      <w:r w:rsidR="00086A15">
        <w:t>of Australia’s</w:t>
      </w:r>
      <w:r w:rsidR="00FF7B85">
        <w:t xml:space="preserve"> education </w:t>
      </w:r>
      <w:r w:rsidR="00CD1863">
        <w:t>investments in Indonesia</w:t>
      </w:r>
      <w:r w:rsidR="00086A15">
        <w:t>:</w:t>
      </w:r>
      <w:r w:rsidR="00FF7B85">
        <w:t xml:space="preserve"> Innovation for Indonesia’s School Children (INOVASI)</w:t>
      </w:r>
      <w:r w:rsidR="00086A15">
        <w:t>,</w:t>
      </w:r>
      <w:r w:rsidR="00FF7B85">
        <w:t xml:space="preserve"> Technical Assistance for</w:t>
      </w:r>
      <w:r w:rsidR="008073E5">
        <w:t xml:space="preserve"> Education</w:t>
      </w:r>
      <w:r w:rsidR="00FF7B85">
        <w:t xml:space="preserve"> System Strengthening (TASS)</w:t>
      </w:r>
      <w:r w:rsidR="00086A15">
        <w:t>,</w:t>
      </w:r>
      <w:r w:rsidR="00FF7B85">
        <w:t xml:space="preserve"> </w:t>
      </w:r>
      <w:r w:rsidR="00086A15">
        <w:t>as well as</w:t>
      </w:r>
      <w:r w:rsidR="00FF7B85">
        <w:t xml:space="preserve"> </w:t>
      </w:r>
      <w:r w:rsidR="00526E1C">
        <w:t xml:space="preserve">the </w:t>
      </w:r>
      <w:r w:rsidR="00FF7B85">
        <w:t xml:space="preserve">World Bank Trust Fund for Improving Dimensions of Teaching, Education Management and Learning Environment (ID-TEMAN). The </w:t>
      </w:r>
      <w:r w:rsidR="00526E1C">
        <w:t xml:space="preserve">main </w:t>
      </w:r>
      <w:r w:rsidR="00FF7B85">
        <w:t xml:space="preserve">purpose of the review </w:t>
      </w:r>
      <w:r w:rsidR="00526E1C">
        <w:t>was</w:t>
      </w:r>
      <w:r w:rsidR="00FF7B85">
        <w:t xml:space="preserve"> to inform strategic and management decisions for Australia</w:t>
      </w:r>
      <w:r w:rsidR="00526E1C">
        <w:t>’s future support to the sector</w:t>
      </w:r>
      <w:r>
        <w:t>. The review focused on the</w:t>
      </w:r>
      <w:r w:rsidR="00FF7B85">
        <w:t xml:space="preserve"> relevance, effectiveness and efficiency of the current investments in the changing context, and identified lessons learnt </w:t>
      </w:r>
      <w:r w:rsidR="00526E1C">
        <w:t>as well as</w:t>
      </w:r>
      <w:r w:rsidR="00FF7B85">
        <w:t xml:space="preserve"> potential improvements in design, governance and management.</w:t>
      </w:r>
      <w:r w:rsidR="00526E1C">
        <w:t xml:space="preserve"> </w:t>
      </w:r>
      <w:r>
        <w:t xml:space="preserve">It also served as </w:t>
      </w:r>
      <w:r w:rsidR="00526E1C">
        <w:t xml:space="preserve">an assessment </w:t>
      </w:r>
      <w:r>
        <w:t>of the outcomes and impact of the programs to the date of the review.</w:t>
      </w:r>
      <w:r w:rsidR="00526E1C">
        <w:t xml:space="preserve"> </w:t>
      </w:r>
      <w:r w:rsidR="000B4F49">
        <w:t xml:space="preserve">DFAT’s response to the recommendations </w:t>
      </w:r>
      <w:r w:rsidR="00526E1C">
        <w:t>is</w:t>
      </w:r>
      <w:r w:rsidR="000B4F49">
        <w:t xml:space="preserve"> as follows:</w:t>
      </w:r>
    </w:p>
    <w:p w14:paraId="08315958" w14:textId="77777777" w:rsidR="00A749A8" w:rsidRDefault="00A749A8" w:rsidP="00FF7B85">
      <w:pPr>
        <w:spacing w:after="0"/>
      </w:pPr>
    </w:p>
    <w:tbl>
      <w:tblPr>
        <w:tblStyle w:val="TableGrid"/>
        <w:tblW w:w="14658" w:type="dxa"/>
        <w:tblLook w:val="04A0" w:firstRow="1" w:lastRow="0" w:firstColumn="1" w:lastColumn="0" w:noHBand="0" w:noVBand="1"/>
      </w:tblPr>
      <w:tblGrid>
        <w:gridCol w:w="2972"/>
        <w:gridCol w:w="1806"/>
        <w:gridCol w:w="4573"/>
        <w:gridCol w:w="3322"/>
        <w:gridCol w:w="1985"/>
      </w:tblGrid>
      <w:tr w:rsidR="006D1346" w14:paraId="64B47D1C" w14:textId="42E397AF" w:rsidTr="004900EB">
        <w:tc>
          <w:tcPr>
            <w:tcW w:w="2972" w:type="dxa"/>
            <w:shd w:val="clear" w:color="auto" w:fill="9CC2E5" w:themeFill="accent1" w:themeFillTint="99"/>
          </w:tcPr>
          <w:p w14:paraId="6F829FC5" w14:textId="77777777" w:rsidR="006D1346" w:rsidRPr="00AB30F6" w:rsidRDefault="006D1346" w:rsidP="00FF7B85">
            <w:pPr>
              <w:rPr>
                <w:b/>
              </w:rPr>
            </w:pPr>
            <w:r w:rsidRPr="00AB30F6">
              <w:rPr>
                <w:b/>
              </w:rPr>
              <w:t>Recommendations</w:t>
            </w:r>
          </w:p>
        </w:tc>
        <w:tc>
          <w:tcPr>
            <w:tcW w:w="1806" w:type="dxa"/>
            <w:shd w:val="clear" w:color="auto" w:fill="9CC2E5" w:themeFill="accent1" w:themeFillTint="99"/>
          </w:tcPr>
          <w:p w14:paraId="3E2B0A21" w14:textId="4353FF83" w:rsidR="006D1346" w:rsidRPr="00AB30F6" w:rsidRDefault="006D1346" w:rsidP="00FF7B85">
            <w:pPr>
              <w:rPr>
                <w:b/>
              </w:rPr>
            </w:pPr>
            <w:r>
              <w:rPr>
                <w:b/>
              </w:rPr>
              <w:t>Response</w:t>
            </w:r>
          </w:p>
        </w:tc>
        <w:tc>
          <w:tcPr>
            <w:tcW w:w="4573" w:type="dxa"/>
            <w:shd w:val="clear" w:color="auto" w:fill="9CC2E5" w:themeFill="accent1" w:themeFillTint="99"/>
          </w:tcPr>
          <w:p w14:paraId="01383777" w14:textId="1471A811" w:rsidR="006D1346" w:rsidRPr="00AB30F6" w:rsidRDefault="006D1346" w:rsidP="00FF7B85">
            <w:pPr>
              <w:rPr>
                <w:b/>
              </w:rPr>
            </w:pPr>
            <w:r>
              <w:rPr>
                <w:b/>
              </w:rPr>
              <w:t>Explanation</w:t>
            </w:r>
          </w:p>
        </w:tc>
        <w:tc>
          <w:tcPr>
            <w:tcW w:w="3322" w:type="dxa"/>
            <w:shd w:val="clear" w:color="auto" w:fill="9CC2E5" w:themeFill="accent1" w:themeFillTint="99"/>
          </w:tcPr>
          <w:p w14:paraId="2AB9361B" w14:textId="0EFDB77E" w:rsidR="006D1346" w:rsidRDefault="006D1346" w:rsidP="00FF7B85">
            <w:pPr>
              <w:rPr>
                <w:b/>
              </w:rPr>
            </w:pPr>
            <w:r>
              <w:rPr>
                <w:b/>
              </w:rPr>
              <w:t xml:space="preserve">Action Plan </w:t>
            </w:r>
          </w:p>
        </w:tc>
        <w:tc>
          <w:tcPr>
            <w:tcW w:w="1985" w:type="dxa"/>
            <w:shd w:val="clear" w:color="auto" w:fill="9CC2E5" w:themeFill="accent1" w:themeFillTint="99"/>
          </w:tcPr>
          <w:p w14:paraId="303EE679" w14:textId="5BA8BC34" w:rsidR="006D1346" w:rsidRDefault="006D1346" w:rsidP="00FF7B85">
            <w:pPr>
              <w:rPr>
                <w:b/>
              </w:rPr>
            </w:pPr>
            <w:r>
              <w:rPr>
                <w:b/>
              </w:rPr>
              <w:t>Time-frame</w:t>
            </w:r>
          </w:p>
        </w:tc>
      </w:tr>
      <w:tr w:rsidR="006D1346" w14:paraId="07E3B080" w14:textId="781C77E3" w:rsidTr="00AD1224">
        <w:tc>
          <w:tcPr>
            <w:tcW w:w="2972" w:type="dxa"/>
            <w:shd w:val="clear" w:color="auto" w:fill="DEEAF6" w:themeFill="accent1" w:themeFillTint="33"/>
          </w:tcPr>
          <w:p w14:paraId="7B3093CE" w14:textId="77777777" w:rsidR="006D1346" w:rsidRPr="00C71176" w:rsidRDefault="006D1346" w:rsidP="00FF7B85">
            <w:pPr>
              <w:rPr>
                <w:u w:val="single"/>
              </w:rPr>
            </w:pPr>
            <w:r w:rsidRPr="00C71176">
              <w:rPr>
                <w:u w:val="single"/>
              </w:rPr>
              <w:t>Recommendation 1</w:t>
            </w:r>
          </w:p>
          <w:p w14:paraId="11A33C13" w14:textId="0AD14F5D" w:rsidR="006D1346" w:rsidRDefault="006D1346" w:rsidP="00FF7B85">
            <w:r>
              <w:t>Australia should maintain a medium to long-term interest in basic education at current levels as core to Australia’s bilateral interests in Indonesia.</w:t>
            </w:r>
          </w:p>
        </w:tc>
        <w:tc>
          <w:tcPr>
            <w:tcW w:w="1806" w:type="dxa"/>
            <w:shd w:val="clear" w:color="auto" w:fill="ED7D31" w:themeFill="accent2"/>
          </w:tcPr>
          <w:p w14:paraId="1E90CB1B" w14:textId="6A93BA45" w:rsidR="006D1346" w:rsidRPr="00D35EC2" w:rsidRDefault="00AD1224" w:rsidP="00FF7B85">
            <w:pPr>
              <w:rPr>
                <w:u w:val="single"/>
              </w:rPr>
            </w:pPr>
            <w:r>
              <w:rPr>
                <w:u w:val="single"/>
              </w:rPr>
              <w:t xml:space="preserve">Partially </w:t>
            </w:r>
            <w:r w:rsidR="006D1346" w:rsidRPr="00D35EC2">
              <w:rPr>
                <w:u w:val="single"/>
              </w:rPr>
              <w:t>Agree</w:t>
            </w:r>
          </w:p>
        </w:tc>
        <w:tc>
          <w:tcPr>
            <w:tcW w:w="4573" w:type="dxa"/>
            <w:shd w:val="clear" w:color="auto" w:fill="DEEAF6" w:themeFill="accent1" w:themeFillTint="33"/>
          </w:tcPr>
          <w:p w14:paraId="2DE01072" w14:textId="7C3C498F" w:rsidR="006D1346" w:rsidRDefault="00AD1224" w:rsidP="00D021BD">
            <w:r>
              <w:t>DFAT notes that h</w:t>
            </w:r>
            <w:r w:rsidR="006D1346">
              <w:t xml:space="preserve">uman capital development </w:t>
            </w:r>
            <w:r w:rsidR="00D35EC2">
              <w:t>is a critical priority</w:t>
            </w:r>
            <w:r w:rsidR="006D1346">
              <w:t xml:space="preserve"> for </w:t>
            </w:r>
            <w:r w:rsidR="00D35EC2">
              <w:t>the Government of Indonesia</w:t>
            </w:r>
            <w:r w:rsidR="00A851E2">
              <w:t xml:space="preserve"> and a specific focus for President Jokowi’s second term</w:t>
            </w:r>
            <w:r w:rsidR="00D35EC2">
              <w:t xml:space="preserve">. </w:t>
            </w:r>
            <w:r w:rsidR="006D1346">
              <w:t xml:space="preserve">Basic education is a key contributor to this growth, and Australia is </w:t>
            </w:r>
            <w:r w:rsidR="00D35EC2">
              <w:t>well-</w:t>
            </w:r>
            <w:r w:rsidR="006D1346">
              <w:t>positioned as a trusted partner in the sector.</w:t>
            </w:r>
            <w:r w:rsidR="00D35EC2">
              <w:t xml:space="preserve"> </w:t>
            </w:r>
            <w:r w:rsidR="00CB132D">
              <w:t>Medium-term</w:t>
            </w:r>
            <w:r w:rsidR="00D35EC2">
              <w:t xml:space="preserve"> priorities for Australia’s development cooperation program will be </w:t>
            </w:r>
            <w:r>
              <w:t>articulated and agreed with the Government of Indonesia</w:t>
            </w:r>
            <w:r w:rsidR="00D35EC2">
              <w:t xml:space="preserve"> in an updated Aid Investment Plan </w:t>
            </w:r>
            <w:r w:rsidR="00CB132D">
              <w:t>for Indonesia</w:t>
            </w:r>
            <w:r w:rsidR="00D35EC2">
              <w:t>.</w:t>
            </w:r>
          </w:p>
        </w:tc>
        <w:tc>
          <w:tcPr>
            <w:tcW w:w="3322" w:type="dxa"/>
            <w:shd w:val="clear" w:color="auto" w:fill="DEEAF6" w:themeFill="accent1" w:themeFillTint="33"/>
          </w:tcPr>
          <w:p w14:paraId="033478A1" w14:textId="72168962" w:rsidR="006D1346" w:rsidRPr="00AB30F6" w:rsidRDefault="00CB132D" w:rsidP="00AD1224">
            <w:pPr>
              <w:rPr>
                <w:u w:val="single"/>
              </w:rPr>
            </w:pPr>
            <w:r>
              <w:t xml:space="preserve">DFAT </w:t>
            </w:r>
            <w:r w:rsidR="00AD1224">
              <w:t>to ensure findings from this strategic review and other relevant analysis informs DFAT’s updated Aid Investment Plan for Indonesia and related strategy documents for the sector.</w:t>
            </w:r>
          </w:p>
        </w:tc>
        <w:tc>
          <w:tcPr>
            <w:tcW w:w="1985" w:type="dxa"/>
            <w:shd w:val="clear" w:color="auto" w:fill="DEEAF6" w:themeFill="accent1" w:themeFillTint="33"/>
          </w:tcPr>
          <w:p w14:paraId="773027B0" w14:textId="3FC9715D" w:rsidR="006D1346" w:rsidRPr="00EA44A5" w:rsidRDefault="00D021BD" w:rsidP="008501E8">
            <w:r>
              <w:t xml:space="preserve">July 2019 – </w:t>
            </w:r>
            <w:r w:rsidR="008501E8">
              <w:t>June</w:t>
            </w:r>
            <w:r>
              <w:t xml:space="preserve"> 2020</w:t>
            </w:r>
          </w:p>
        </w:tc>
      </w:tr>
      <w:tr w:rsidR="006D1346" w14:paraId="27F64A4E" w14:textId="0D6F7E41" w:rsidTr="00AD1224">
        <w:tc>
          <w:tcPr>
            <w:tcW w:w="2972" w:type="dxa"/>
            <w:shd w:val="clear" w:color="auto" w:fill="BDD6EE" w:themeFill="accent1" w:themeFillTint="66"/>
          </w:tcPr>
          <w:p w14:paraId="44F6C2C4" w14:textId="77777777" w:rsidR="006D1346" w:rsidRPr="00AB30F6" w:rsidRDefault="006D1346" w:rsidP="00FF7B85">
            <w:pPr>
              <w:rPr>
                <w:u w:val="single"/>
              </w:rPr>
            </w:pPr>
            <w:r w:rsidRPr="00AB30F6">
              <w:rPr>
                <w:u w:val="single"/>
              </w:rPr>
              <w:t>Recommendation 2</w:t>
            </w:r>
          </w:p>
          <w:p w14:paraId="499AAFBF" w14:textId="1ADE5D28" w:rsidR="006D1346" w:rsidRDefault="006D1346" w:rsidP="000B4F49">
            <w:r>
              <w:t xml:space="preserve">DFAT should exercise its options to extend TASS and INOVASI within the current contract and management arrangements, and continue its partnership with the World Bank in education. Caution should be taken in bringing </w:t>
            </w:r>
            <w:r>
              <w:lastRenderedPageBreak/>
              <w:t>the approach together under one program design at the end of the extension period (June 2020).</w:t>
            </w:r>
          </w:p>
        </w:tc>
        <w:tc>
          <w:tcPr>
            <w:tcW w:w="1806" w:type="dxa"/>
            <w:shd w:val="clear" w:color="auto" w:fill="ED7D31" w:themeFill="accent2"/>
          </w:tcPr>
          <w:p w14:paraId="22444383" w14:textId="709B238B" w:rsidR="00EA44A5" w:rsidRPr="00AB30F6" w:rsidRDefault="00AD1224" w:rsidP="00EA44A5">
            <w:pPr>
              <w:rPr>
                <w:u w:val="single"/>
              </w:rPr>
            </w:pPr>
            <w:r>
              <w:rPr>
                <w:u w:val="single"/>
              </w:rPr>
              <w:lastRenderedPageBreak/>
              <w:t xml:space="preserve">Partially </w:t>
            </w:r>
            <w:r w:rsidR="00EA44A5" w:rsidRPr="00AB30F6">
              <w:rPr>
                <w:u w:val="single"/>
              </w:rPr>
              <w:t>Agree</w:t>
            </w:r>
          </w:p>
          <w:p w14:paraId="4B7695C1" w14:textId="77777777" w:rsidR="006D1346" w:rsidRPr="00AB30F6" w:rsidRDefault="006D1346" w:rsidP="00FF7B85">
            <w:pPr>
              <w:rPr>
                <w:u w:val="single"/>
              </w:rPr>
            </w:pPr>
          </w:p>
        </w:tc>
        <w:tc>
          <w:tcPr>
            <w:tcW w:w="4573" w:type="dxa"/>
            <w:shd w:val="clear" w:color="auto" w:fill="BDD6EE" w:themeFill="accent1" w:themeFillTint="66"/>
          </w:tcPr>
          <w:p w14:paraId="3D143982" w14:textId="3D4B5C84" w:rsidR="006D1346" w:rsidRDefault="00C71176" w:rsidP="00797577">
            <w:r>
              <w:t>Subject to delegate approvals</w:t>
            </w:r>
            <w:r w:rsidR="00797577">
              <w:t xml:space="preserve"> and a more detailed analysis of the costs, benefits and risks</w:t>
            </w:r>
            <w:r>
              <w:t xml:space="preserve">, </w:t>
            </w:r>
            <w:r w:rsidR="006D1346">
              <w:t>DFAT will consider enacting the extensio</w:t>
            </w:r>
            <w:r>
              <w:t>n clauses for TASS and INOVASI and bringing the programs</w:t>
            </w:r>
            <w:r w:rsidR="00797577">
              <w:t xml:space="preserve"> together</w:t>
            </w:r>
            <w:r w:rsidR="00BE2334">
              <w:t xml:space="preserve"> under one design</w:t>
            </w:r>
            <w:r w:rsidR="00797577">
              <w:t xml:space="preserve"> for Phase 2</w:t>
            </w:r>
            <w:r>
              <w:t xml:space="preserve">. </w:t>
            </w:r>
          </w:p>
          <w:p w14:paraId="40E4E371" w14:textId="0C7C85EE" w:rsidR="00797577" w:rsidRDefault="00797577" w:rsidP="00797577">
            <w:r>
              <w:t xml:space="preserve">DFAT will continue its partnership with the World Bank in the education sector as part of a new country-level strategic partnership and </w:t>
            </w:r>
            <w:r>
              <w:lastRenderedPageBreak/>
              <w:t>trust fund, currently in design. The scale and scope of DFAT support will be determined on an annual basis as part of new DFAT-World Bank partnership government arrangements.</w:t>
            </w:r>
          </w:p>
        </w:tc>
        <w:tc>
          <w:tcPr>
            <w:tcW w:w="3322" w:type="dxa"/>
            <w:shd w:val="clear" w:color="auto" w:fill="BDD6EE" w:themeFill="accent1" w:themeFillTint="66"/>
          </w:tcPr>
          <w:p w14:paraId="266665CD" w14:textId="77777777" w:rsidR="00797577" w:rsidRDefault="00E779AE" w:rsidP="00797577">
            <w:r>
              <w:lastRenderedPageBreak/>
              <w:t xml:space="preserve">DFAT </w:t>
            </w:r>
            <w:r w:rsidR="00797577">
              <w:t xml:space="preserve">to undertake a design update for TASS and INOVASI programs, including options for a unified Phase 2 of INOVASI and TASS. </w:t>
            </w:r>
          </w:p>
          <w:p w14:paraId="0A86B1A3" w14:textId="77777777" w:rsidR="00797577" w:rsidRDefault="00797577" w:rsidP="00797577"/>
          <w:p w14:paraId="379A9550" w14:textId="415C3C6B" w:rsidR="004900EB" w:rsidRPr="00797577" w:rsidRDefault="008D6959" w:rsidP="00797577">
            <w:r>
              <w:t xml:space="preserve">DFAT to </w:t>
            </w:r>
            <w:r w:rsidR="00797577">
              <w:t xml:space="preserve">ensure findings from this strategic review and other relevant analysis informs the </w:t>
            </w:r>
            <w:r w:rsidR="00797577">
              <w:lastRenderedPageBreak/>
              <w:t>design of the new Australia – World Bank partnership and related trust fund.</w:t>
            </w:r>
          </w:p>
        </w:tc>
        <w:tc>
          <w:tcPr>
            <w:tcW w:w="1985" w:type="dxa"/>
            <w:shd w:val="clear" w:color="auto" w:fill="BDD6EE" w:themeFill="accent1" w:themeFillTint="66"/>
          </w:tcPr>
          <w:p w14:paraId="6E370E91" w14:textId="77777777" w:rsidR="006D1346" w:rsidRDefault="00061A49" w:rsidP="00FF7B85">
            <w:r w:rsidRPr="003B0BC1">
              <w:lastRenderedPageBreak/>
              <w:t>July 2019 – December 2019</w:t>
            </w:r>
          </w:p>
          <w:p w14:paraId="3E7C7EF9" w14:textId="77777777" w:rsidR="003B0BC1" w:rsidRDefault="003B0BC1" w:rsidP="00FF7B85"/>
          <w:p w14:paraId="67109F46" w14:textId="77777777" w:rsidR="003B0BC1" w:rsidRDefault="003B0BC1" w:rsidP="00FF7B85"/>
          <w:p w14:paraId="3F415454" w14:textId="77777777" w:rsidR="003B0BC1" w:rsidRDefault="003B0BC1" w:rsidP="00FF7B85"/>
          <w:p w14:paraId="4BC2B32B" w14:textId="77777777" w:rsidR="003B0BC1" w:rsidRDefault="003B0BC1" w:rsidP="00FF7B85"/>
          <w:p w14:paraId="094B4C13" w14:textId="4EBD90FA" w:rsidR="003B0BC1" w:rsidRPr="003B0BC1" w:rsidRDefault="003B0BC1" w:rsidP="00FF7B85">
            <w:r>
              <w:t>July 2019 – June 2020</w:t>
            </w:r>
          </w:p>
        </w:tc>
      </w:tr>
      <w:tr w:rsidR="006D1346" w14:paraId="3BE82422" w14:textId="28B21AD1" w:rsidTr="00EA44A5">
        <w:tc>
          <w:tcPr>
            <w:tcW w:w="2972" w:type="dxa"/>
            <w:shd w:val="clear" w:color="auto" w:fill="DEEAF6" w:themeFill="accent1" w:themeFillTint="33"/>
          </w:tcPr>
          <w:p w14:paraId="2E8D6D86" w14:textId="77777777" w:rsidR="006D1346" w:rsidRPr="00AB30F6" w:rsidRDefault="006D1346" w:rsidP="00FF7B85">
            <w:pPr>
              <w:rPr>
                <w:u w:val="single"/>
              </w:rPr>
            </w:pPr>
            <w:r w:rsidRPr="00AB30F6">
              <w:rPr>
                <w:u w:val="single"/>
              </w:rPr>
              <w:t>Recommendation 3</w:t>
            </w:r>
          </w:p>
          <w:p w14:paraId="02AF89B2" w14:textId="77777777" w:rsidR="006D1346" w:rsidRDefault="006D1346" w:rsidP="00FF7B85">
            <w:r>
              <w:t>Australia (through DFAT education team at Post) should extend the scope and strategic intent of its engagement in the sector, working with a broader group of stakeholders and developing a stronger analytic and policy agenda.</w:t>
            </w:r>
          </w:p>
        </w:tc>
        <w:tc>
          <w:tcPr>
            <w:tcW w:w="1806" w:type="dxa"/>
            <w:shd w:val="clear" w:color="auto" w:fill="ED7D31" w:themeFill="accent2"/>
          </w:tcPr>
          <w:p w14:paraId="56A1C7D4" w14:textId="77777777" w:rsidR="00EA44A5" w:rsidRDefault="00EA44A5" w:rsidP="00EA44A5">
            <w:pPr>
              <w:rPr>
                <w:u w:val="single"/>
              </w:rPr>
            </w:pPr>
            <w:r w:rsidRPr="00AB30F6">
              <w:rPr>
                <w:u w:val="single"/>
              </w:rPr>
              <w:t>Partially agree</w:t>
            </w:r>
          </w:p>
          <w:p w14:paraId="2441EA1B" w14:textId="77777777" w:rsidR="006D1346" w:rsidRPr="00AB30F6" w:rsidRDefault="006D1346" w:rsidP="00FF7B85">
            <w:pPr>
              <w:rPr>
                <w:u w:val="single"/>
              </w:rPr>
            </w:pPr>
          </w:p>
        </w:tc>
        <w:tc>
          <w:tcPr>
            <w:tcW w:w="4573" w:type="dxa"/>
            <w:shd w:val="clear" w:color="auto" w:fill="DEEAF6" w:themeFill="accent1" w:themeFillTint="33"/>
          </w:tcPr>
          <w:p w14:paraId="2342273D" w14:textId="34325B9A" w:rsidR="006D1346" w:rsidRPr="00F83007" w:rsidRDefault="003B0BC1" w:rsidP="00987B4F">
            <w:r>
              <w:t>DFAT’s</w:t>
            </w:r>
            <w:r w:rsidR="00987B4F">
              <w:t xml:space="preserve"> future</w:t>
            </w:r>
            <w:r>
              <w:t xml:space="preserve"> stakeholder and policy engagement will be shaped by the priority sector outcomes articulated </w:t>
            </w:r>
            <w:r w:rsidR="00987B4F">
              <w:t>and agreed with Government of Indonesia through the updated Aid Investment Plan and related strategic and program documents.</w:t>
            </w:r>
          </w:p>
        </w:tc>
        <w:tc>
          <w:tcPr>
            <w:tcW w:w="3322" w:type="dxa"/>
            <w:shd w:val="clear" w:color="auto" w:fill="DEEAF6" w:themeFill="accent1" w:themeFillTint="33"/>
          </w:tcPr>
          <w:p w14:paraId="128D964E" w14:textId="341C69EE" w:rsidR="003B0BC1" w:rsidRPr="00AB30F6" w:rsidRDefault="00E86E9F" w:rsidP="00987B4F">
            <w:pPr>
              <w:rPr>
                <w:u w:val="single"/>
              </w:rPr>
            </w:pPr>
            <w:r>
              <w:t>DFAT</w:t>
            </w:r>
            <w:r w:rsidR="00987B4F">
              <w:t xml:space="preserve"> to ensure that the findings of this strategic review and other relevant analysis informs the development cooperation </w:t>
            </w:r>
            <w:r>
              <w:t xml:space="preserve">strategy and </w:t>
            </w:r>
            <w:r w:rsidR="003B0BC1">
              <w:t>design documents</w:t>
            </w:r>
            <w:r w:rsidR="00987B4F">
              <w:t xml:space="preserve"> for the education sector, including the proposed scale and scope of DFAT engagement and strategic intent.</w:t>
            </w:r>
          </w:p>
        </w:tc>
        <w:tc>
          <w:tcPr>
            <w:tcW w:w="1985" w:type="dxa"/>
            <w:shd w:val="clear" w:color="auto" w:fill="DEEAF6" w:themeFill="accent1" w:themeFillTint="33"/>
          </w:tcPr>
          <w:p w14:paraId="53BB9A51" w14:textId="68EF2816" w:rsidR="006D1346" w:rsidRPr="003B0BC1" w:rsidRDefault="00EA44A5" w:rsidP="00FF7B85">
            <w:r w:rsidRPr="003B0BC1">
              <w:t>July 2019</w:t>
            </w:r>
            <w:r w:rsidR="003B0BC1">
              <w:t xml:space="preserve"> </w:t>
            </w:r>
            <w:r w:rsidR="00BE2334">
              <w:t>–</w:t>
            </w:r>
            <w:r w:rsidR="003B0BC1">
              <w:t xml:space="preserve"> </w:t>
            </w:r>
            <w:r w:rsidR="00BE2334">
              <w:t xml:space="preserve">June </w:t>
            </w:r>
            <w:r w:rsidRPr="003B0BC1">
              <w:t>2020</w:t>
            </w:r>
          </w:p>
        </w:tc>
      </w:tr>
      <w:tr w:rsidR="006D1346" w14:paraId="570A46F6" w14:textId="5F1BFFD3" w:rsidTr="006554E6">
        <w:tc>
          <w:tcPr>
            <w:tcW w:w="2972" w:type="dxa"/>
            <w:shd w:val="clear" w:color="auto" w:fill="BDD6EE" w:themeFill="accent1" w:themeFillTint="66"/>
          </w:tcPr>
          <w:p w14:paraId="53BEF615" w14:textId="77777777" w:rsidR="006D1346" w:rsidRPr="00AB30F6" w:rsidRDefault="006D1346" w:rsidP="00FF7B85">
            <w:pPr>
              <w:rPr>
                <w:u w:val="single"/>
              </w:rPr>
            </w:pPr>
            <w:r w:rsidRPr="00AB30F6">
              <w:rPr>
                <w:u w:val="single"/>
              </w:rPr>
              <w:t>Recommendation 4</w:t>
            </w:r>
          </w:p>
          <w:p w14:paraId="5FF35347" w14:textId="17098475" w:rsidR="006D1346" w:rsidRDefault="006D1346" w:rsidP="00FF7B85">
            <w:r>
              <w:t>Post should consider adopting a more strategic partnership approach to program management and oversight in the next phase, and streamline its design, monitoring and evaluation, reporting and funding procedures.</w:t>
            </w:r>
          </w:p>
        </w:tc>
        <w:tc>
          <w:tcPr>
            <w:tcW w:w="1806" w:type="dxa"/>
            <w:shd w:val="clear" w:color="auto" w:fill="ED7D31" w:themeFill="accent2"/>
          </w:tcPr>
          <w:p w14:paraId="288EE512" w14:textId="77777777" w:rsidR="006554E6" w:rsidRDefault="006554E6" w:rsidP="006554E6">
            <w:pPr>
              <w:rPr>
                <w:u w:val="single"/>
              </w:rPr>
            </w:pPr>
            <w:r w:rsidRPr="00AB30F6">
              <w:rPr>
                <w:u w:val="single"/>
              </w:rPr>
              <w:t>Partially agree</w:t>
            </w:r>
          </w:p>
          <w:p w14:paraId="28D2681A" w14:textId="77777777" w:rsidR="006D1346" w:rsidRPr="00AB30F6" w:rsidRDefault="006D1346" w:rsidP="00FF7B85">
            <w:pPr>
              <w:rPr>
                <w:u w:val="single"/>
              </w:rPr>
            </w:pPr>
          </w:p>
        </w:tc>
        <w:tc>
          <w:tcPr>
            <w:tcW w:w="4573" w:type="dxa"/>
            <w:shd w:val="clear" w:color="auto" w:fill="BDD6EE" w:themeFill="accent1" w:themeFillTint="66"/>
          </w:tcPr>
          <w:p w14:paraId="14CEA7DB" w14:textId="4E25245D" w:rsidR="006D1346" w:rsidRPr="005A6FC5" w:rsidRDefault="00987B4F" w:rsidP="005A6FC5">
            <w:r>
              <w:t>Subject to delegate approvals and taking account of more detailed analysis of associated costs, benefits and risks, DFAT will consider options for more streamlined approaches to program management and oversight for Phase 2 (refer above) as part of the design update process.</w:t>
            </w:r>
          </w:p>
        </w:tc>
        <w:tc>
          <w:tcPr>
            <w:tcW w:w="3322" w:type="dxa"/>
            <w:shd w:val="clear" w:color="auto" w:fill="BDD6EE" w:themeFill="accent1" w:themeFillTint="66"/>
          </w:tcPr>
          <w:p w14:paraId="1657A694" w14:textId="5F5677A4" w:rsidR="006D1346" w:rsidRPr="00EA44A5" w:rsidRDefault="00BE2334" w:rsidP="00987B4F">
            <w:r>
              <w:t xml:space="preserve">As above, </w:t>
            </w:r>
            <w:r w:rsidR="00987B4F">
              <w:t>DFAT to ensure that the findings of this strategic review and other relevant analysis informs the development cooperation strategy and design documents for the education sector, including options for more strategic and streamlined approaches to program management and oversight.</w:t>
            </w:r>
          </w:p>
        </w:tc>
        <w:tc>
          <w:tcPr>
            <w:tcW w:w="1985" w:type="dxa"/>
            <w:shd w:val="clear" w:color="auto" w:fill="BDD6EE" w:themeFill="accent1" w:themeFillTint="66"/>
          </w:tcPr>
          <w:p w14:paraId="503218CB" w14:textId="6E46BD59" w:rsidR="006D1346" w:rsidRPr="00B20BDA" w:rsidRDefault="00A32FA4" w:rsidP="00B20BDA">
            <w:r w:rsidRPr="003B0BC1">
              <w:t>July 2019</w:t>
            </w:r>
            <w:r>
              <w:t xml:space="preserve"> </w:t>
            </w:r>
            <w:r w:rsidR="00BE2334">
              <w:t>–</w:t>
            </w:r>
            <w:r>
              <w:t xml:space="preserve"> </w:t>
            </w:r>
            <w:r w:rsidRPr="003B0BC1">
              <w:t>June</w:t>
            </w:r>
            <w:r w:rsidR="00BE2334">
              <w:t xml:space="preserve"> </w:t>
            </w:r>
            <w:r w:rsidRPr="003B0BC1">
              <w:t xml:space="preserve"> 2020</w:t>
            </w:r>
          </w:p>
        </w:tc>
      </w:tr>
    </w:tbl>
    <w:p w14:paraId="4051335E" w14:textId="77777777" w:rsidR="000B4F49" w:rsidRDefault="000B4F49" w:rsidP="00FF7B85">
      <w:pPr>
        <w:spacing w:after="0"/>
      </w:pPr>
    </w:p>
    <w:sectPr w:rsidR="000B4F49" w:rsidSect="006D1346">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0518D" w14:textId="77777777" w:rsidR="00DE1FA5" w:rsidRDefault="00DE1FA5" w:rsidP="00DE1FA5">
      <w:pPr>
        <w:spacing w:after="0" w:line="240" w:lineRule="auto"/>
      </w:pPr>
      <w:r>
        <w:separator/>
      </w:r>
    </w:p>
  </w:endnote>
  <w:endnote w:type="continuationSeparator" w:id="0">
    <w:p w14:paraId="274B990F" w14:textId="77777777" w:rsidR="00DE1FA5" w:rsidRDefault="00DE1FA5" w:rsidP="00DE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40ED5" w14:textId="77777777" w:rsidR="0058414F" w:rsidRDefault="00584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FB274" w14:textId="77777777" w:rsidR="0058414F" w:rsidRDefault="00584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58878" w14:textId="77777777" w:rsidR="0058414F" w:rsidRDefault="00584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CA225" w14:textId="77777777" w:rsidR="00DE1FA5" w:rsidRDefault="00DE1FA5" w:rsidP="00DE1FA5">
      <w:pPr>
        <w:spacing w:after="0" w:line="240" w:lineRule="auto"/>
      </w:pPr>
      <w:r>
        <w:separator/>
      </w:r>
    </w:p>
  </w:footnote>
  <w:footnote w:type="continuationSeparator" w:id="0">
    <w:p w14:paraId="750BEE22" w14:textId="77777777" w:rsidR="00DE1FA5" w:rsidRDefault="00DE1FA5" w:rsidP="00DE1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843DA" w14:textId="77777777" w:rsidR="0058414F" w:rsidRDefault="00584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FEFA" w14:textId="77777777" w:rsidR="0058414F" w:rsidRDefault="00584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A2D9" w14:textId="77777777" w:rsidR="0058414F" w:rsidRDefault="00584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7296"/>
    <w:multiLevelType w:val="hybridMultilevel"/>
    <w:tmpl w:val="8FFC1E8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85"/>
    <w:rsid w:val="00061A49"/>
    <w:rsid w:val="00086A15"/>
    <w:rsid w:val="000B4F49"/>
    <w:rsid w:val="00112440"/>
    <w:rsid w:val="001F08D0"/>
    <w:rsid w:val="00206691"/>
    <w:rsid w:val="00251B13"/>
    <w:rsid w:val="002643DC"/>
    <w:rsid w:val="002E1F53"/>
    <w:rsid w:val="002E6D11"/>
    <w:rsid w:val="0036225E"/>
    <w:rsid w:val="003A4498"/>
    <w:rsid w:val="003B0BC1"/>
    <w:rsid w:val="003B2004"/>
    <w:rsid w:val="004001AB"/>
    <w:rsid w:val="00402B26"/>
    <w:rsid w:val="00470E77"/>
    <w:rsid w:val="00483F85"/>
    <w:rsid w:val="004900EB"/>
    <w:rsid w:val="00510EF8"/>
    <w:rsid w:val="00526E1C"/>
    <w:rsid w:val="00542B6B"/>
    <w:rsid w:val="0058414F"/>
    <w:rsid w:val="005A6FC5"/>
    <w:rsid w:val="005F2DEE"/>
    <w:rsid w:val="00620CDB"/>
    <w:rsid w:val="0063156F"/>
    <w:rsid w:val="006554E6"/>
    <w:rsid w:val="006D1346"/>
    <w:rsid w:val="006D6E6A"/>
    <w:rsid w:val="00797577"/>
    <w:rsid w:val="007C7BFD"/>
    <w:rsid w:val="008073E5"/>
    <w:rsid w:val="008501E8"/>
    <w:rsid w:val="008636EF"/>
    <w:rsid w:val="00895547"/>
    <w:rsid w:val="008A6599"/>
    <w:rsid w:val="008B1255"/>
    <w:rsid w:val="008D6959"/>
    <w:rsid w:val="00987B4F"/>
    <w:rsid w:val="009A2586"/>
    <w:rsid w:val="009B771F"/>
    <w:rsid w:val="009D07FF"/>
    <w:rsid w:val="009F2009"/>
    <w:rsid w:val="00A05FB6"/>
    <w:rsid w:val="00A164A7"/>
    <w:rsid w:val="00A32FA4"/>
    <w:rsid w:val="00A637FC"/>
    <w:rsid w:val="00A749A8"/>
    <w:rsid w:val="00A851E2"/>
    <w:rsid w:val="00AB30F6"/>
    <w:rsid w:val="00AD1224"/>
    <w:rsid w:val="00B13973"/>
    <w:rsid w:val="00B2023C"/>
    <w:rsid w:val="00B20BDA"/>
    <w:rsid w:val="00B735A9"/>
    <w:rsid w:val="00BC265C"/>
    <w:rsid w:val="00BE2334"/>
    <w:rsid w:val="00C4570D"/>
    <w:rsid w:val="00C65568"/>
    <w:rsid w:val="00C71176"/>
    <w:rsid w:val="00CB132D"/>
    <w:rsid w:val="00CD1863"/>
    <w:rsid w:val="00D021BD"/>
    <w:rsid w:val="00D06991"/>
    <w:rsid w:val="00D06DE2"/>
    <w:rsid w:val="00D35EC2"/>
    <w:rsid w:val="00D93B89"/>
    <w:rsid w:val="00DA6D87"/>
    <w:rsid w:val="00DB04F7"/>
    <w:rsid w:val="00DE1FA5"/>
    <w:rsid w:val="00E00138"/>
    <w:rsid w:val="00E3038A"/>
    <w:rsid w:val="00E45955"/>
    <w:rsid w:val="00E557EC"/>
    <w:rsid w:val="00E602BC"/>
    <w:rsid w:val="00E779AE"/>
    <w:rsid w:val="00E84C43"/>
    <w:rsid w:val="00E86E9F"/>
    <w:rsid w:val="00E87001"/>
    <w:rsid w:val="00EA44A5"/>
    <w:rsid w:val="00EE31DD"/>
    <w:rsid w:val="00EF7AB4"/>
    <w:rsid w:val="00F11967"/>
    <w:rsid w:val="00F83007"/>
    <w:rsid w:val="00F954A5"/>
    <w:rsid w:val="00FA3AC2"/>
    <w:rsid w:val="00FD3A80"/>
    <w:rsid w:val="00FF6029"/>
    <w:rsid w:val="00FF7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542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4A7"/>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470E77"/>
    <w:rPr>
      <w:color w:val="0563C1"/>
      <w:u w:val="single"/>
    </w:rPr>
  </w:style>
  <w:style w:type="character" w:styleId="CommentReference">
    <w:name w:val="annotation reference"/>
    <w:basedOn w:val="DefaultParagraphFont"/>
    <w:uiPriority w:val="99"/>
    <w:semiHidden/>
    <w:unhideWhenUsed/>
    <w:rsid w:val="00AB30F6"/>
    <w:rPr>
      <w:sz w:val="16"/>
      <w:szCs w:val="16"/>
    </w:rPr>
  </w:style>
  <w:style w:type="paragraph" w:styleId="CommentText">
    <w:name w:val="annotation text"/>
    <w:basedOn w:val="Normal"/>
    <w:link w:val="CommentTextChar"/>
    <w:uiPriority w:val="99"/>
    <w:semiHidden/>
    <w:unhideWhenUsed/>
    <w:rsid w:val="00AB30F6"/>
    <w:pPr>
      <w:spacing w:line="240" w:lineRule="auto"/>
    </w:pPr>
    <w:rPr>
      <w:sz w:val="20"/>
      <w:szCs w:val="20"/>
    </w:rPr>
  </w:style>
  <w:style w:type="character" w:customStyle="1" w:styleId="CommentTextChar">
    <w:name w:val="Comment Text Char"/>
    <w:basedOn w:val="DefaultParagraphFont"/>
    <w:link w:val="CommentText"/>
    <w:uiPriority w:val="99"/>
    <w:semiHidden/>
    <w:rsid w:val="00AB30F6"/>
    <w:rPr>
      <w:sz w:val="20"/>
      <w:szCs w:val="20"/>
    </w:rPr>
  </w:style>
  <w:style w:type="paragraph" w:styleId="CommentSubject">
    <w:name w:val="annotation subject"/>
    <w:basedOn w:val="CommentText"/>
    <w:next w:val="CommentText"/>
    <w:link w:val="CommentSubjectChar"/>
    <w:uiPriority w:val="99"/>
    <w:semiHidden/>
    <w:unhideWhenUsed/>
    <w:rsid w:val="00AB30F6"/>
    <w:rPr>
      <w:b/>
      <w:bCs/>
    </w:rPr>
  </w:style>
  <w:style w:type="character" w:customStyle="1" w:styleId="CommentSubjectChar">
    <w:name w:val="Comment Subject Char"/>
    <w:basedOn w:val="CommentTextChar"/>
    <w:link w:val="CommentSubject"/>
    <w:uiPriority w:val="99"/>
    <w:semiHidden/>
    <w:rsid w:val="00AB30F6"/>
    <w:rPr>
      <w:b/>
      <w:bCs/>
      <w:sz w:val="20"/>
      <w:szCs w:val="20"/>
    </w:rPr>
  </w:style>
  <w:style w:type="paragraph" w:styleId="BalloonText">
    <w:name w:val="Balloon Text"/>
    <w:basedOn w:val="Normal"/>
    <w:link w:val="BalloonTextChar"/>
    <w:uiPriority w:val="99"/>
    <w:semiHidden/>
    <w:unhideWhenUsed/>
    <w:rsid w:val="00AB3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0F6"/>
    <w:rPr>
      <w:rFonts w:ascii="Segoe UI" w:hAnsi="Segoe UI" w:cs="Segoe UI"/>
      <w:sz w:val="18"/>
      <w:szCs w:val="18"/>
    </w:rPr>
  </w:style>
  <w:style w:type="paragraph" w:styleId="FootnoteText">
    <w:name w:val="footnote text"/>
    <w:basedOn w:val="Normal"/>
    <w:link w:val="FootnoteTextChar"/>
    <w:uiPriority w:val="99"/>
    <w:semiHidden/>
    <w:unhideWhenUsed/>
    <w:rsid w:val="00DE1FA5"/>
    <w:pPr>
      <w:suppressAutoHyphens/>
      <w:spacing w:before="60" w:after="0" w:line="140" w:lineRule="atLeast"/>
      <w:ind w:left="170" w:hanging="170"/>
    </w:pPr>
    <w:rPr>
      <w:color w:val="44546A" w:themeColor="text2"/>
      <w:sz w:val="12"/>
      <w:szCs w:val="20"/>
      <w:lang w:val="en-GB"/>
    </w:rPr>
  </w:style>
  <w:style w:type="character" w:customStyle="1" w:styleId="FootnoteTextChar">
    <w:name w:val="Footnote Text Char"/>
    <w:basedOn w:val="DefaultParagraphFont"/>
    <w:link w:val="FootnoteText"/>
    <w:uiPriority w:val="99"/>
    <w:semiHidden/>
    <w:rsid w:val="00DE1FA5"/>
    <w:rPr>
      <w:color w:val="44546A" w:themeColor="text2"/>
      <w:sz w:val="12"/>
      <w:szCs w:val="20"/>
      <w:lang w:val="en-GB"/>
    </w:rPr>
  </w:style>
  <w:style w:type="character" w:styleId="FootnoteReference">
    <w:name w:val="footnote reference"/>
    <w:basedOn w:val="DefaultParagraphFont"/>
    <w:uiPriority w:val="99"/>
    <w:semiHidden/>
    <w:unhideWhenUsed/>
    <w:rsid w:val="00DE1FA5"/>
    <w:rPr>
      <w:vertAlign w:val="superscript"/>
    </w:rPr>
  </w:style>
  <w:style w:type="paragraph" w:styleId="Header">
    <w:name w:val="header"/>
    <w:basedOn w:val="Normal"/>
    <w:link w:val="HeaderChar"/>
    <w:uiPriority w:val="99"/>
    <w:unhideWhenUsed/>
    <w:rsid w:val="00584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14F"/>
  </w:style>
  <w:style w:type="paragraph" w:styleId="Footer">
    <w:name w:val="footer"/>
    <w:basedOn w:val="Normal"/>
    <w:link w:val="FooterChar"/>
    <w:uiPriority w:val="99"/>
    <w:unhideWhenUsed/>
    <w:rsid w:val="00584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79286">
      <w:bodyDiv w:val="1"/>
      <w:marLeft w:val="0"/>
      <w:marRight w:val="0"/>
      <w:marTop w:val="0"/>
      <w:marBottom w:val="0"/>
      <w:divBdr>
        <w:top w:val="none" w:sz="0" w:space="0" w:color="auto"/>
        <w:left w:val="none" w:sz="0" w:space="0" w:color="auto"/>
        <w:bottom w:val="none" w:sz="0" w:space="0" w:color="auto"/>
        <w:right w:val="none" w:sz="0" w:space="0" w:color="auto"/>
      </w:divBdr>
    </w:div>
    <w:div w:id="1331517976">
      <w:bodyDiv w:val="1"/>
      <w:marLeft w:val="0"/>
      <w:marRight w:val="0"/>
      <w:marTop w:val="0"/>
      <w:marBottom w:val="0"/>
      <w:divBdr>
        <w:top w:val="none" w:sz="0" w:space="0" w:color="auto"/>
        <w:left w:val="none" w:sz="0" w:space="0" w:color="auto"/>
        <w:bottom w:val="none" w:sz="0" w:space="0" w:color="auto"/>
        <w:right w:val="none" w:sz="0" w:space="0" w:color="auto"/>
      </w:divBdr>
    </w:div>
    <w:div w:id="1635286283">
      <w:bodyDiv w:val="1"/>
      <w:marLeft w:val="0"/>
      <w:marRight w:val="0"/>
      <w:marTop w:val="0"/>
      <w:marBottom w:val="0"/>
      <w:divBdr>
        <w:top w:val="none" w:sz="0" w:space="0" w:color="auto"/>
        <w:left w:val="none" w:sz="0" w:space="0" w:color="auto"/>
        <w:bottom w:val="none" w:sz="0" w:space="0" w:color="auto"/>
        <w:right w:val="none" w:sz="0" w:space="0" w:color="auto"/>
      </w:divBdr>
    </w:div>
    <w:div w:id="1685593532">
      <w:bodyDiv w:val="1"/>
      <w:marLeft w:val="0"/>
      <w:marRight w:val="0"/>
      <w:marTop w:val="0"/>
      <w:marBottom w:val="0"/>
      <w:divBdr>
        <w:top w:val="none" w:sz="0" w:space="0" w:color="auto"/>
        <w:left w:val="none" w:sz="0" w:space="0" w:color="auto"/>
        <w:bottom w:val="none" w:sz="0" w:space="0" w:color="auto"/>
        <w:right w:val="none" w:sz="0" w:space="0" w:color="auto"/>
      </w:divBdr>
    </w:div>
    <w:div w:id="2042433628">
      <w:bodyDiv w:val="1"/>
      <w:marLeft w:val="0"/>
      <w:marRight w:val="0"/>
      <w:marTop w:val="0"/>
      <w:marBottom w:val="0"/>
      <w:divBdr>
        <w:top w:val="none" w:sz="0" w:space="0" w:color="auto"/>
        <w:left w:val="none" w:sz="0" w:space="0" w:color="auto"/>
        <w:bottom w:val="none" w:sz="0" w:space="0" w:color="auto"/>
        <w:right w:val="none" w:sz="0" w:space="0" w:color="auto"/>
      </w:divBdr>
    </w:div>
    <w:div w:id="20515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3BE79E-E46C-49B1-9E37-1BBCC6748614}"/>
</file>

<file path=customXml/itemProps2.xml><?xml version="1.0" encoding="utf-8"?>
<ds:datastoreItem xmlns:ds="http://schemas.openxmlformats.org/officeDocument/2006/customXml" ds:itemID="{A9F5F65C-FB5D-4834-9FE4-4EFE74F51F48}"/>
</file>

<file path=customXml/itemProps3.xml><?xml version="1.0" encoding="utf-8"?>
<ds:datastoreItem xmlns:ds="http://schemas.openxmlformats.org/officeDocument/2006/customXml" ds:itemID="{EC42ECE5-6DE4-40A4-B0E0-5CEE94E4A6C1}"/>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2019-09-06T01:01:00Z</dcterms:created>
  <dcterms:modified xsi:type="dcterms:W3CDTF">2019-09-06T01:01:00Z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689e50d6-c983-458d-9d78-a914daae69ea</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1260900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