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9596B" w14:textId="22B3BB64" w:rsidR="00D038A5" w:rsidRDefault="00D038A5" w:rsidP="004F6232">
      <w:pPr>
        <w:pStyle w:val="BodyText"/>
        <w:rPr>
          <w:b/>
          <w:bCs/>
          <w:sz w:val="28"/>
          <w:szCs w:val="28"/>
        </w:rPr>
      </w:pPr>
      <w:r>
        <w:rPr>
          <w:b/>
          <w:bCs/>
          <w:sz w:val="28"/>
          <w:szCs w:val="28"/>
        </w:rPr>
        <w:t>Indonesia Australia Partnership for Infrastructure</w:t>
      </w:r>
    </w:p>
    <w:p w14:paraId="486DA10F" w14:textId="4E9DCDB4" w:rsidR="004F6232" w:rsidRPr="004F6232" w:rsidRDefault="004F6232" w:rsidP="004F6232">
      <w:pPr>
        <w:pStyle w:val="BodyText"/>
        <w:rPr>
          <w:b/>
          <w:bCs/>
          <w:sz w:val="28"/>
          <w:szCs w:val="28"/>
        </w:rPr>
      </w:pPr>
      <w:r w:rsidRPr="004F6232">
        <w:rPr>
          <w:b/>
          <w:bCs/>
          <w:sz w:val="28"/>
          <w:szCs w:val="28"/>
        </w:rPr>
        <w:t>Management Response to the Mid-Term Review (March – August 2021)</w:t>
      </w:r>
    </w:p>
    <w:p w14:paraId="63F93A07" w14:textId="64BC0B61" w:rsidR="00271AF2" w:rsidRPr="000A4A5A" w:rsidRDefault="00271AF2" w:rsidP="00271AF2">
      <w:pPr>
        <w:pStyle w:val="Heading3"/>
        <w:rPr>
          <w:b/>
          <w:bCs w:val="0"/>
        </w:rPr>
      </w:pPr>
      <w:r w:rsidRPr="000A4A5A">
        <w:rPr>
          <w:b/>
          <w:bCs w:val="0"/>
        </w:rPr>
        <w:t xml:space="preserve">Summary of </w:t>
      </w:r>
      <w:r w:rsidR="000A4A5A" w:rsidRPr="000A4A5A">
        <w:rPr>
          <w:b/>
          <w:bCs w:val="0"/>
        </w:rPr>
        <w:t>M</w:t>
      </w:r>
      <w:r w:rsidRPr="000A4A5A">
        <w:rPr>
          <w:b/>
          <w:bCs w:val="0"/>
        </w:rPr>
        <w:t xml:space="preserve">anagement </w:t>
      </w:r>
      <w:r w:rsidR="000A4A5A" w:rsidRPr="000A4A5A">
        <w:rPr>
          <w:b/>
          <w:bCs w:val="0"/>
        </w:rPr>
        <w:t>R</w:t>
      </w:r>
      <w:r w:rsidRPr="000A4A5A">
        <w:rPr>
          <w:b/>
          <w:bCs w:val="0"/>
        </w:rPr>
        <w:t xml:space="preserve">esponse </w:t>
      </w:r>
    </w:p>
    <w:p w14:paraId="19165AC3" w14:textId="257B8649" w:rsidR="001109F7" w:rsidRDefault="001109F7" w:rsidP="001109F7">
      <w:pPr>
        <w:pStyle w:val="BodyText"/>
      </w:pPr>
      <w:r>
        <w:t xml:space="preserve">An independent Mid-Term Review (MTR) of KIAT was undertaken from March to August 2021 to assess KIAT’s performance and progress against its End-of-Facility Outcomes (EOFOs) and to identify areas of improvement including how best to respond to emerging infrastructure priorities. The review concluded that the KIAT Facility remains highly relevant to Australia’s engagement in Indonesia and has delivered substantial achievements against all three EOFOs. </w:t>
      </w:r>
    </w:p>
    <w:p w14:paraId="6B34118E" w14:textId="3DCF7D0D" w:rsidR="00271AF2" w:rsidRDefault="00E67986" w:rsidP="001109F7">
      <w:pPr>
        <w:pStyle w:val="BodyText"/>
      </w:pPr>
      <w:r>
        <w:t xml:space="preserve">DFAT </w:t>
      </w:r>
      <w:r w:rsidR="00847EFE">
        <w:t xml:space="preserve">has agreed, in part or in full, to all the recommendations as detailed in the table below including to exercise the </w:t>
      </w:r>
      <w:r w:rsidR="00847EFE" w:rsidRPr="00847EFE">
        <w:t>four-year extension option for the KIAT Facility from 1 July 2022, based on its performance to date.</w:t>
      </w:r>
      <w:r w:rsidR="001109F7">
        <w:t xml:space="preserve"> </w:t>
      </w:r>
    </w:p>
    <w:p w14:paraId="47926DD2" w14:textId="460C605C" w:rsidR="00271AF2" w:rsidRDefault="00D038A5" w:rsidP="00271AF2">
      <w:pPr>
        <w:pStyle w:val="Heading3"/>
        <w:rPr>
          <w:b/>
          <w:bCs w:val="0"/>
        </w:rPr>
      </w:pPr>
      <w:r>
        <w:rPr>
          <w:b/>
          <w:bCs w:val="0"/>
        </w:rPr>
        <w:t xml:space="preserve">Individual </w:t>
      </w:r>
      <w:r w:rsidR="00271AF2" w:rsidRPr="00CF2825">
        <w:rPr>
          <w:b/>
          <w:bCs w:val="0"/>
        </w:rPr>
        <w:t xml:space="preserve">Management Response to the Recommendations </w:t>
      </w:r>
    </w:p>
    <w:tbl>
      <w:tblPr>
        <w:tblStyle w:val="DFATTable1"/>
        <w:tblW w:w="0" w:type="auto"/>
        <w:tblBorders>
          <w:top w:val="single" w:sz="4" w:space="0" w:color="4472C4" w:themeColor="accent1"/>
          <w:left w:val="single" w:sz="4" w:space="0" w:color="4472C4" w:themeColor="accent1"/>
          <w:right w:val="single" w:sz="4" w:space="0" w:color="4472C4" w:themeColor="accent1"/>
          <w:insideV w:val="single" w:sz="4" w:space="0" w:color="4472C4" w:themeColor="accent1"/>
        </w:tblBorders>
        <w:tblLook w:val="04A0" w:firstRow="1" w:lastRow="0" w:firstColumn="1" w:lastColumn="0" w:noHBand="0" w:noVBand="1"/>
      </w:tblPr>
      <w:tblGrid>
        <w:gridCol w:w="3430"/>
        <w:gridCol w:w="1092"/>
        <w:gridCol w:w="3684"/>
        <w:gridCol w:w="3410"/>
        <w:gridCol w:w="1526"/>
      </w:tblGrid>
      <w:tr w:rsidR="004F798E" w:rsidRPr="004F798E" w14:paraId="65DA7409" w14:textId="77777777" w:rsidTr="004F7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76F9A3F5" w14:textId="096E6AF5" w:rsidR="00E90F39" w:rsidRPr="004F798E" w:rsidRDefault="00E90F39" w:rsidP="00811264">
            <w:pPr>
              <w:jc w:val="center"/>
              <w:rPr>
                <w:b/>
                <w:bCs/>
                <w:color w:val="auto"/>
                <w:lang w:val="en-AU"/>
              </w:rPr>
            </w:pPr>
            <w:r w:rsidRPr="004F798E">
              <w:rPr>
                <w:b/>
                <w:bCs/>
                <w:color w:val="auto"/>
              </w:rPr>
              <w:t>Recommendation</w:t>
            </w:r>
          </w:p>
        </w:tc>
        <w:tc>
          <w:tcPr>
            <w:tcW w:w="286" w:type="dxa"/>
            <w:shd w:val="clear" w:color="auto" w:fill="auto"/>
          </w:tcPr>
          <w:p w14:paraId="6213E67D" w14:textId="4D24A593" w:rsidR="00E90F39" w:rsidRPr="004F798E" w:rsidRDefault="00E90F39" w:rsidP="00811264">
            <w:pPr>
              <w:jc w:val="center"/>
              <w:cnfStyle w:val="100000000000" w:firstRow="1" w:lastRow="0" w:firstColumn="0" w:lastColumn="0" w:oddVBand="0" w:evenVBand="0" w:oddHBand="0" w:evenHBand="0" w:firstRowFirstColumn="0" w:firstRowLastColumn="0" w:lastRowFirstColumn="0" w:lastRowLastColumn="0"/>
              <w:rPr>
                <w:b/>
                <w:bCs/>
                <w:color w:val="auto"/>
                <w:lang w:val="en-AU"/>
              </w:rPr>
            </w:pPr>
            <w:r w:rsidRPr="004F798E">
              <w:rPr>
                <w:b/>
                <w:bCs/>
                <w:color w:val="auto"/>
              </w:rPr>
              <w:t>Response</w:t>
            </w:r>
          </w:p>
        </w:tc>
        <w:tc>
          <w:tcPr>
            <w:tcW w:w="3965" w:type="dxa"/>
            <w:shd w:val="clear" w:color="auto" w:fill="auto"/>
          </w:tcPr>
          <w:p w14:paraId="728E1ABF" w14:textId="79F35279" w:rsidR="00E90F39" w:rsidRPr="004F798E" w:rsidRDefault="00E90F39" w:rsidP="00811264">
            <w:pPr>
              <w:jc w:val="center"/>
              <w:cnfStyle w:val="100000000000" w:firstRow="1" w:lastRow="0" w:firstColumn="0" w:lastColumn="0" w:oddVBand="0" w:evenVBand="0" w:oddHBand="0" w:evenHBand="0" w:firstRowFirstColumn="0" w:firstRowLastColumn="0" w:lastRowFirstColumn="0" w:lastRowLastColumn="0"/>
              <w:rPr>
                <w:b/>
                <w:bCs/>
                <w:color w:val="auto"/>
                <w:lang w:val="en-AU"/>
              </w:rPr>
            </w:pPr>
            <w:r w:rsidRPr="004F798E">
              <w:rPr>
                <w:b/>
                <w:bCs/>
                <w:color w:val="auto"/>
              </w:rPr>
              <w:t xml:space="preserve">Explanation </w:t>
            </w:r>
          </w:p>
        </w:tc>
        <w:tc>
          <w:tcPr>
            <w:tcW w:w="3662" w:type="dxa"/>
            <w:shd w:val="clear" w:color="auto" w:fill="auto"/>
          </w:tcPr>
          <w:p w14:paraId="3266399C" w14:textId="2AED7ADF" w:rsidR="00E90F39" w:rsidRPr="004F798E" w:rsidRDefault="00E90F39" w:rsidP="00811264">
            <w:pPr>
              <w:jc w:val="center"/>
              <w:cnfStyle w:val="100000000000" w:firstRow="1" w:lastRow="0" w:firstColumn="0" w:lastColumn="0" w:oddVBand="0" w:evenVBand="0" w:oddHBand="0" w:evenHBand="0" w:firstRowFirstColumn="0" w:firstRowLastColumn="0" w:lastRowFirstColumn="0" w:lastRowLastColumn="0"/>
              <w:rPr>
                <w:b/>
                <w:bCs/>
                <w:color w:val="auto"/>
              </w:rPr>
            </w:pPr>
            <w:r w:rsidRPr="004F798E">
              <w:rPr>
                <w:b/>
                <w:bCs/>
                <w:color w:val="auto"/>
              </w:rPr>
              <w:t>Action Plan</w:t>
            </w:r>
          </w:p>
        </w:tc>
        <w:tc>
          <w:tcPr>
            <w:tcW w:w="1548" w:type="dxa"/>
            <w:shd w:val="clear" w:color="auto" w:fill="auto"/>
          </w:tcPr>
          <w:p w14:paraId="50A505C0" w14:textId="720B3110" w:rsidR="00E90F39" w:rsidRPr="004F798E" w:rsidRDefault="00E90F39" w:rsidP="00811264">
            <w:pPr>
              <w:jc w:val="center"/>
              <w:cnfStyle w:val="100000000000" w:firstRow="1" w:lastRow="0" w:firstColumn="0" w:lastColumn="0" w:oddVBand="0" w:evenVBand="0" w:oddHBand="0" w:evenHBand="0" w:firstRowFirstColumn="0" w:firstRowLastColumn="0" w:lastRowFirstColumn="0" w:lastRowLastColumn="0"/>
              <w:rPr>
                <w:b/>
                <w:bCs/>
                <w:color w:val="auto"/>
                <w:lang w:val="en-AU"/>
              </w:rPr>
            </w:pPr>
            <w:r w:rsidRPr="004F798E">
              <w:rPr>
                <w:b/>
                <w:bCs/>
                <w:color w:val="auto"/>
              </w:rPr>
              <w:t>Timeframe</w:t>
            </w:r>
          </w:p>
        </w:tc>
      </w:tr>
      <w:tr w:rsidR="004F798E" w:rsidRPr="004F798E" w14:paraId="09D31DF9" w14:textId="77777777" w:rsidTr="004F7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603AAE4C" w14:textId="77777777" w:rsidR="00E90F39" w:rsidRPr="004F798E" w:rsidRDefault="00E90F39" w:rsidP="00811264">
            <w:pPr>
              <w:rPr>
                <w:b/>
                <w:bCs/>
                <w:color w:val="auto"/>
                <w:lang w:val="en-AU"/>
              </w:rPr>
            </w:pPr>
            <w:r w:rsidRPr="004F798E">
              <w:rPr>
                <w:b/>
                <w:bCs/>
                <w:color w:val="auto"/>
                <w:lang w:val="en-AU"/>
              </w:rPr>
              <w:t>Recommendation 1</w:t>
            </w:r>
          </w:p>
          <w:p w14:paraId="08A25C95" w14:textId="3EECD28F" w:rsidR="00E90F39" w:rsidRPr="004F798E" w:rsidRDefault="00847EFE" w:rsidP="00811264">
            <w:pPr>
              <w:rPr>
                <w:color w:val="auto"/>
                <w:lang w:val="en-AU"/>
              </w:rPr>
            </w:pPr>
            <w:r w:rsidRPr="00847EFE">
              <w:rPr>
                <w:color w:val="auto"/>
                <w:lang w:val="en-AU"/>
              </w:rPr>
              <w:t>KIAT should be extended for the remaining four years. This will allow time for the End of Facility Outcomes (EOFOs) to be fully realised and evidence of achievements to be collated.</w:t>
            </w:r>
          </w:p>
        </w:tc>
        <w:tc>
          <w:tcPr>
            <w:tcW w:w="286" w:type="dxa"/>
            <w:shd w:val="clear" w:color="auto" w:fill="auto"/>
          </w:tcPr>
          <w:p w14:paraId="57C67567" w14:textId="6707E322" w:rsidR="00E90F39" w:rsidRPr="004F798E" w:rsidRDefault="00E90F39" w:rsidP="00811264">
            <w:pPr>
              <w:jc w:val="center"/>
              <w:cnfStyle w:val="000000100000" w:firstRow="0" w:lastRow="0" w:firstColumn="0" w:lastColumn="0" w:oddVBand="0" w:evenVBand="0" w:oddHBand="1" w:evenHBand="0" w:firstRowFirstColumn="0" w:firstRowLastColumn="0" w:lastRowFirstColumn="0" w:lastRowLastColumn="0"/>
              <w:rPr>
                <w:b/>
                <w:bCs/>
                <w:color w:val="auto"/>
                <w:lang w:val="en-AU"/>
              </w:rPr>
            </w:pPr>
            <w:r w:rsidRPr="004F798E">
              <w:rPr>
                <w:b/>
                <w:bCs/>
                <w:color w:val="auto"/>
                <w:lang w:val="en-AU"/>
              </w:rPr>
              <w:t>Agree</w:t>
            </w:r>
          </w:p>
        </w:tc>
        <w:tc>
          <w:tcPr>
            <w:tcW w:w="3965" w:type="dxa"/>
            <w:shd w:val="clear" w:color="auto" w:fill="auto"/>
          </w:tcPr>
          <w:p w14:paraId="623DADF2" w14:textId="22A63CD1" w:rsidR="00E90F39" w:rsidRPr="004F798E" w:rsidRDefault="00E90F39" w:rsidP="00811264">
            <w:pPr>
              <w:cnfStyle w:val="000000100000" w:firstRow="0" w:lastRow="0" w:firstColumn="0" w:lastColumn="0" w:oddVBand="0" w:evenVBand="0" w:oddHBand="1" w:evenHBand="0" w:firstRowFirstColumn="0" w:firstRowLastColumn="0" w:lastRowFirstColumn="0" w:lastRowLastColumn="0"/>
              <w:rPr>
                <w:color w:val="auto"/>
                <w:lang w:val="en-AU"/>
              </w:rPr>
            </w:pPr>
            <w:r w:rsidRPr="004F798E">
              <w:rPr>
                <w:color w:val="auto"/>
                <w:lang w:val="en-AU"/>
              </w:rPr>
              <w:t>Extending the Facility aligns with DFAT’s value for money principles in aid delivery. It would allow DFAT to consolidate the effectiveness and efficiency of a well performing program, provide certainty to KIAT partners and staff and ensure continuity/stability through the pandemic. The extension is supported by GOI partners and is aligned with the policy and development priorities of both countries.</w:t>
            </w:r>
          </w:p>
        </w:tc>
        <w:tc>
          <w:tcPr>
            <w:tcW w:w="3662" w:type="dxa"/>
            <w:shd w:val="clear" w:color="auto" w:fill="auto"/>
          </w:tcPr>
          <w:p w14:paraId="67EFD543" w14:textId="54CBC185" w:rsidR="00E90F39" w:rsidRPr="004F798E" w:rsidRDefault="00E90F39" w:rsidP="00811264">
            <w:pPr>
              <w:cnfStyle w:val="000000100000" w:firstRow="0" w:lastRow="0" w:firstColumn="0" w:lastColumn="0" w:oddVBand="0" w:evenVBand="0" w:oddHBand="1" w:evenHBand="0" w:firstRowFirstColumn="0" w:firstRowLastColumn="0" w:lastRowFirstColumn="0" w:lastRowLastColumn="0"/>
              <w:rPr>
                <w:color w:val="auto"/>
                <w:lang w:val="en-AU"/>
              </w:rPr>
            </w:pPr>
            <w:r w:rsidRPr="004F798E">
              <w:rPr>
                <w:color w:val="auto"/>
                <w:lang w:val="en-AU"/>
              </w:rPr>
              <w:t xml:space="preserve">DFAT </w:t>
            </w:r>
            <w:r w:rsidR="00D75BF3">
              <w:rPr>
                <w:color w:val="auto"/>
                <w:lang w:val="en-AU"/>
              </w:rPr>
              <w:t xml:space="preserve">will </w:t>
            </w:r>
            <w:r w:rsidRPr="004F798E">
              <w:rPr>
                <w:color w:val="auto"/>
                <w:lang w:val="en-AU"/>
              </w:rPr>
              <w:t>work closely with KIAT on the contractual changes to reflect the recommendation. DFAT will also review the Subsidiary Arrangement with GOI to cover the extension.</w:t>
            </w:r>
          </w:p>
        </w:tc>
        <w:tc>
          <w:tcPr>
            <w:tcW w:w="1548" w:type="dxa"/>
            <w:shd w:val="clear" w:color="auto" w:fill="auto"/>
          </w:tcPr>
          <w:p w14:paraId="549AEAA4" w14:textId="0F469BFA" w:rsidR="00E90F39" w:rsidRPr="004F798E" w:rsidRDefault="000D7C9D" w:rsidP="00811264">
            <w:pPr>
              <w:cnfStyle w:val="000000100000" w:firstRow="0" w:lastRow="0" w:firstColumn="0" w:lastColumn="0" w:oddVBand="0" w:evenVBand="0" w:oddHBand="1" w:evenHBand="0" w:firstRowFirstColumn="0" w:firstRowLastColumn="0" w:lastRowFirstColumn="0" w:lastRowLastColumn="0"/>
              <w:rPr>
                <w:color w:val="auto"/>
                <w:lang w:val="en-AU"/>
              </w:rPr>
            </w:pPr>
            <w:r w:rsidRPr="004F798E">
              <w:rPr>
                <w:color w:val="auto"/>
                <w:lang w:val="en-AU"/>
              </w:rPr>
              <w:t>Contract signed by March 2022</w:t>
            </w:r>
          </w:p>
          <w:p w14:paraId="73471A91" w14:textId="20A2ADA7" w:rsidR="00E90F39" w:rsidRPr="004F798E" w:rsidRDefault="000D7C9D" w:rsidP="00811264">
            <w:pPr>
              <w:cnfStyle w:val="000000100000" w:firstRow="0" w:lastRow="0" w:firstColumn="0" w:lastColumn="0" w:oddVBand="0" w:evenVBand="0" w:oddHBand="1" w:evenHBand="0" w:firstRowFirstColumn="0" w:firstRowLastColumn="0" w:lastRowFirstColumn="0" w:lastRowLastColumn="0"/>
              <w:rPr>
                <w:color w:val="auto"/>
                <w:lang w:val="en-AU"/>
              </w:rPr>
            </w:pPr>
            <w:r w:rsidRPr="004F798E">
              <w:rPr>
                <w:color w:val="auto"/>
                <w:lang w:val="en-AU"/>
              </w:rPr>
              <w:t>Subsidiary arrangement signed by February 2022</w:t>
            </w:r>
          </w:p>
        </w:tc>
      </w:tr>
      <w:tr w:rsidR="004F798E" w:rsidRPr="004F798E" w14:paraId="3BBC64D7" w14:textId="77777777" w:rsidTr="004F79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329ADEB0" w14:textId="77777777" w:rsidR="00E90F39" w:rsidRPr="004F798E" w:rsidRDefault="00E90F39" w:rsidP="00811264">
            <w:pPr>
              <w:rPr>
                <w:b/>
                <w:bCs/>
                <w:color w:val="auto"/>
                <w:lang w:val="en-AU"/>
              </w:rPr>
            </w:pPr>
            <w:r w:rsidRPr="004F798E">
              <w:rPr>
                <w:b/>
                <w:bCs/>
                <w:color w:val="auto"/>
                <w:lang w:val="en-AU"/>
              </w:rPr>
              <w:t>Recommendation 2</w:t>
            </w:r>
          </w:p>
          <w:p w14:paraId="76E46923" w14:textId="1DAFF270" w:rsidR="00E90F39" w:rsidRPr="004F798E" w:rsidRDefault="00847EFE" w:rsidP="00811264">
            <w:pPr>
              <w:rPr>
                <w:color w:val="auto"/>
                <w:lang w:val="en-AU"/>
              </w:rPr>
            </w:pPr>
            <w:r w:rsidRPr="00847EFE">
              <w:rPr>
                <w:color w:val="auto"/>
                <w:lang w:val="en-AU"/>
              </w:rPr>
              <w:lastRenderedPageBreak/>
              <w:t>If resources are available, KIAT and DFAT should collaborate with GOI to identify and assess new themes, partners, and sectors where KIAT can use its resources to create meaningful impact and ensure KIAT’s ongoing relevance and strategic value (see Recommendation 7).</w:t>
            </w:r>
          </w:p>
        </w:tc>
        <w:tc>
          <w:tcPr>
            <w:tcW w:w="286" w:type="dxa"/>
            <w:shd w:val="clear" w:color="auto" w:fill="auto"/>
          </w:tcPr>
          <w:p w14:paraId="33A25E73" w14:textId="5D07CCD4" w:rsidR="00E90F39" w:rsidRPr="004F798E" w:rsidRDefault="00E90F39" w:rsidP="00811264">
            <w:pPr>
              <w:jc w:val="center"/>
              <w:cnfStyle w:val="000000010000" w:firstRow="0" w:lastRow="0" w:firstColumn="0" w:lastColumn="0" w:oddVBand="0" w:evenVBand="0" w:oddHBand="0" w:evenHBand="1" w:firstRowFirstColumn="0" w:firstRowLastColumn="0" w:lastRowFirstColumn="0" w:lastRowLastColumn="0"/>
              <w:rPr>
                <w:b/>
                <w:bCs/>
                <w:color w:val="auto"/>
                <w:lang w:val="en-AU"/>
              </w:rPr>
            </w:pPr>
            <w:r w:rsidRPr="004F798E">
              <w:rPr>
                <w:b/>
                <w:bCs/>
                <w:color w:val="auto"/>
                <w:lang w:val="en-AU"/>
              </w:rPr>
              <w:lastRenderedPageBreak/>
              <w:t>Agree in Principle</w:t>
            </w:r>
          </w:p>
        </w:tc>
        <w:tc>
          <w:tcPr>
            <w:tcW w:w="3965" w:type="dxa"/>
            <w:shd w:val="clear" w:color="auto" w:fill="auto"/>
          </w:tcPr>
          <w:p w14:paraId="22626C41" w14:textId="77777777" w:rsidR="00E90F39" w:rsidRPr="004F798E" w:rsidRDefault="00E90F39" w:rsidP="00811264">
            <w:pPr>
              <w:cnfStyle w:val="000000010000" w:firstRow="0" w:lastRow="0" w:firstColumn="0" w:lastColumn="0" w:oddVBand="0" w:evenVBand="0" w:oddHBand="0" w:evenHBand="1" w:firstRowFirstColumn="0" w:firstRowLastColumn="0" w:lastRowFirstColumn="0" w:lastRowLastColumn="0"/>
              <w:rPr>
                <w:color w:val="auto"/>
                <w:lang w:val="en-AU"/>
              </w:rPr>
            </w:pPr>
            <w:r w:rsidRPr="004F798E">
              <w:rPr>
                <w:color w:val="auto"/>
                <w:lang w:val="en-AU"/>
              </w:rPr>
              <w:t xml:space="preserve">DFAT notes that implementation of this recommendation will take into </w:t>
            </w:r>
            <w:r w:rsidRPr="004F798E">
              <w:rPr>
                <w:color w:val="auto"/>
                <w:lang w:val="en-AU"/>
              </w:rPr>
              <w:lastRenderedPageBreak/>
              <w:t xml:space="preserve">consideration any resources that become available as existing pilot programs come to an end in the coming months. </w:t>
            </w:r>
          </w:p>
          <w:p w14:paraId="75600D1B" w14:textId="37C875A6" w:rsidR="00E90F39" w:rsidRPr="004F798E" w:rsidRDefault="00E90F39" w:rsidP="00811264">
            <w:pPr>
              <w:cnfStyle w:val="000000010000" w:firstRow="0" w:lastRow="0" w:firstColumn="0" w:lastColumn="0" w:oddVBand="0" w:evenVBand="0" w:oddHBand="0" w:evenHBand="1" w:firstRowFirstColumn="0" w:firstRowLastColumn="0" w:lastRowFirstColumn="0" w:lastRowLastColumn="0"/>
              <w:rPr>
                <w:color w:val="auto"/>
                <w:lang w:val="en-AU"/>
              </w:rPr>
            </w:pPr>
          </w:p>
        </w:tc>
        <w:tc>
          <w:tcPr>
            <w:tcW w:w="3662" w:type="dxa"/>
            <w:shd w:val="clear" w:color="auto" w:fill="auto"/>
          </w:tcPr>
          <w:p w14:paraId="4F509A33" w14:textId="5C5B5441" w:rsidR="000D7C9D" w:rsidRPr="006670E5" w:rsidRDefault="000D7C9D" w:rsidP="00811264">
            <w:pPr>
              <w:cnfStyle w:val="000000010000" w:firstRow="0" w:lastRow="0" w:firstColumn="0" w:lastColumn="0" w:oddVBand="0" w:evenVBand="0" w:oddHBand="0" w:evenHBand="1" w:firstRowFirstColumn="0" w:firstRowLastColumn="0" w:lastRowFirstColumn="0" w:lastRowLastColumn="0"/>
              <w:rPr>
                <w:color w:val="auto"/>
                <w:lang w:val="en-AU"/>
              </w:rPr>
            </w:pPr>
            <w:r w:rsidRPr="006670E5">
              <w:rPr>
                <w:color w:val="auto"/>
                <w:lang w:val="en-AU"/>
              </w:rPr>
              <w:lastRenderedPageBreak/>
              <w:t xml:space="preserve">KIAT </w:t>
            </w:r>
            <w:r w:rsidR="009929FD" w:rsidRPr="006670E5">
              <w:rPr>
                <w:color w:val="auto"/>
                <w:lang w:val="en-AU"/>
              </w:rPr>
              <w:t xml:space="preserve">will </w:t>
            </w:r>
            <w:r w:rsidR="00F54312" w:rsidRPr="006670E5">
              <w:rPr>
                <w:color w:val="auto"/>
                <w:lang w:val="en-AU"/>
              </w:rPr>
              <w:t xml:space="preserve">prepare strategic plans for each theme/sector for Phase 2 </w:t>
            </w:r>
            <w:r w:rsidR="00F54312" w:rsidRPr="006670E5">
              <w:rPr>
                <w:color w:val="auto"/>
                <w:lang w:val="en-AU"/>
              </w:rPr>
              <w:lastRenderedPageBreak/>
              <w:t>including resourcing implications. D</w:t>
            </w:r>
            <w:r w:rsidRPr="006670E5">
              <w:rPr>
                <w:color w:val="auto"/>
                <w:lang w:val="en-AU"/>
              </w:rPr>
              <w:t xml:space="preserve">etailed analysis </w:t>
            </w:r>
            <w:r w:rsidR="00F54312" w:rsidRPr="006670E5">
              <w:rPr>
                <w:color w:val="auto"/>
                <w:lang w:val="en-AU"/>
              </w:rPr>
              <w:t>will be prepared for</w:t>
            </w:r>
            <w:r w:rsidRPr="006670E5">
              <w:rPr>
                <w:color w:val="auto"/>
                <w:lang w:val="en-AU"/>
              </w:rPr>
              <w:t xml:space="preserve"> any new </w:t>
            </w:r>
            <w:r w:rsidR="004463C8" w:rsidRPr="006670E5">
              <w:rPr>
                <w:color w:val="auto"/>
                <w:lang w:val="en-AU"/>
              </w:rPr>
              <w:t>thematic or sectoral</w:t>
            </w:r>
            <w:r w:rsidRPr="006670E5">
              <w:rPr>
                <w:color w:val="auto"/>
                <w:lang w:val="en-AU"/>
              </w:rPr>
              <w:t xml:space="preserve"> proposals. </w:t>
            </w:r>
            <w:r w:rsidR="00D75BF3" w:rsidRPr="006670E5">
              <w:rPr>
                <w:color w:val="auto"/>
                <w:lang w:val="en-AU"/>
              </w:rPr>
              <w:t>Any new areas of work should obtain the support of both GOI and DFAT before they can be implemented.</w:t>
            </w:r>
          </w:p>
          <w:p w14:paraId="7160E9A3" w14:textId="6ABDB411" w:rsidR="00E90F39" w:rsidRPr="006670E5" w:rsidRDefault="000D7C9D" w:rsidP="00811264">
            <w:pPr>
              <w:cnfStyle w:val="000000010000" w:firstRow="0" w:lastRow="0" w:firstColumn="0" w:lastColumn="0" w:oddVBand="0" w:evenVBand="0" w:oddHBand="0" w:evenHBand="1" w:firstRowFirstColumn="0" w:firstRowLastColumn="0" w:lastRowFirstColumn="0" w:lastRowLastColumn="0"/>
              <w:rPr>
                <w:color w:val="auto"/>
                <w:lang w:val="en-AU"/>
              </w:rPr>
            </w:pPr>
            <w:r w:rsidRPr="006670E5">
              <w:rPr>
                <w:color w:val="auto"/>
                <w:lang w:val="en-AU"/>
              </w:rPr>
              <w:t xml:space="preserve">DFAT </w:t>
            </w:r>
            <w:r w:rsidR="009929FD" w:rsidRPr="006670E5">
              <w:rPr>
                <w:color w:val="auto"/>
                <w:lang w:val="en-AU"/>
              </w:rPr>
              <w:t xml:space="preserve">will </w:t>
            </w:r>
            <w:r w:rsidRPr="006670E5">
              <w:rPr>
                <w:color w:val="auto"/>
                <w:lang w:val="en-AU"/>
              </w:rPr>
              <w:t>establish an infrastructure Technical Advisory Group (</w:t>
            </w:r>
            <w:proofErr w:type="spellStart"/>
            <w:r w:rsidR="004463C8" w:rsidRPr="006670E5">
              <w:rPr>
                <w:color w:val="auto"/>
                <w:lang w:val="en-AU"/>
              </w:rPr>
              <w:t>iTAG</w:t>
            </w:r>
            <w:proofErr w:type="spellEnd"/>
            <w:r w:rsidRPr="006670E5">
              <w:rPr>
                <w:color w:val="auto"/>
                <w:lang w:val="en-AU"/>
              </w:rPr>
              <w:t xml:space="preserve">) to provide strategic advice </w:t>
            </w:r>
            <w:r w:rsidR="00F54F57" w:rsidRPr="006670E5">
              <w:rPr>
                <w:color w:val="auto"/>
                <w:lang w:val="en-AU"/>
              </w:rPr>
              <w:t xml:space="preserve">to DFAT </w:t>
            </w:r>
            <w:r w:rsidRPr="006670E5">
              <w:rPr>
                <w:color w:val="auto"/>
                <w:lang w:val="en-AU"/>
              </w:rPr>
              <w:t xml:space="preserve">on </w:t>
            </w:r>
            <w:r w:rsidR="00F54F57" w:rsidRPr="006670E5">
              <w:rPr>
                <w:color w:val="auto"/>
                <w:lang w:val="en-AU"/>
              </w:rPr>
              <w:t xml:space="preserve">Post’s infrastructure programs including </w:t>
            </w:r>
            <w:r w:rsidRPr="006670E5">
              <w:rPr>
                <w:color w:val="auto"/>
                <w:lang w:val="en-AU"/>
              </w:rPr>
              <w:t xml:space="preserve">KIAT. </w:t>
            </w:r>
          </w:p>
        </w:tc>
        <w:tc>
          <w:tcPr>
            <w:tcW w:w="1548" w:type="dxa"/>
            <w:shd w:val="clear" w:color="auto" w:fill="auto"/>
          </w:tcPr>
          <w:p w14:paraId="13C9F0CA" w14:textId="45E84F20" w:rsidR="00E90F39" w:rsidRPr="006670E5" w:rsidRDefault="00F54312" w:rsidP="00811264">
            <w:pPr>
              <w:cnfStyle w:val="000000010000" w:firstRow="0" w:lastRow="0" w:firstColumn="0" w:lastColumn="0" w:oddVBand="0" w:evenVBand="0" w:oddHBand="0" w:evenHBand="1" w:firstRowFirstColumn="0" w:firstRowLastColumn="0" w:lastRowFirstColumn="0" w:lastRowLastColumn="0"/>
              <w:rPr>
                <w:color w:val="auto"/>
                <w:lang w:val="en-AU"/>
              </w:rPr>
            </w:pPr>
            <w:r w:rsidRPr="006670E5">
              <w:rPr>
                <w:color w:val="auto"/>
                <w:lang w:val="en-AU"/>
              </w:rPr>
              <w:lastRenderedPageBreak/>
              <w:t xml:space="preserve">Strategic plans for each </w:t>
            </w:r>
            <w:r w:rsidRPr="006670E5">
              <w:rPr>
                <w:color w:val="auto"/>
                <w:lang w:val="en-AU"/>
              </w:rPr>
              <w:lastRenderedPageBreak/>
              <w:t xml:space="preserve">theme to be finalised </w:t>
            </w:r>
            <w:r w:rsidR="006D2290" w:rsidRPr="006670E5">
              <w:rPr>
                <w:color w:val="auto"/>
                <w:lang w:val="en-AU"/>
              </w:rPr>
              <w:t xml:space="preserve">in </w:t>
            </w:r>
            <w:r w:rsidR="00CF4B79" w:rsidRPr="006670E5">
              <w:rPr>
                <w:color w:val="auto"/>
                <w:lang w:val="en-AU"/>
              </w:rPr>
              <w:t>March</w:t>
            </w:r>
            <w:r w:rsidR="00E90F39" w:rsidRPr="006670E5">
              <w:rPr>
                <w:color w:val="auto"/>
                <w:lang w:val="en-AU"/>
              </w:rPr>
              <w:t xml:space="preserve"> 2022 and review</w:t>
            </w:r>
            <w:r w:rsidR="006D2290" w:rsidRPr="006670E5">
              <w:rPr>
                <w:color w:val="auto"/>
                <w:lang w:val="en-AU"/>
              </w:rPr>
              <w:t>ed as necessary</w:t>
            </w:r>
            <w:r w:rsidR="00E90F39" w:rsidRPr="006670E5">
              <w:rPr>
                <w:color w:val="auto"/>
                <w:lang w:val="en-AU"/>
              </w:rPr>
              <w:t xml:space="preserve"> to reflect </w:t>
            </w:r>
            <w:proofErr w:type="gramStart"/>
            <w:r w:rsidR="00E90F39" w:rsidRPr="006670E5">
              <w:rPr>
                <w:color w:val="auto"/>
                <w:lang w:val="en-AU"/>
              </w:rPr>
              <w:t>any  emerging</w:t>
            </w:r>
            <w:proofErr w:type="gramEnd"/>
            <w:r w:rsidR="00E90F39" w:rsidRPr="006670E5">
              <w:rPr>
                <w:color w:val="auto"/>
                <w:lang w:val="en-AU"/>
              </w:rPr>
              <w:t xml:space="preserve"> priorities and resourcing</w:t>
            </w:r>
          </w:p>
          <w:p w14:paraId="09A9696C" w14:textId="77777777" w:rsidR="000D7C9D" w:rsidRPr="006670E5" w:rsidRDefault="000D7C9D" w:rsidP="00811264">
            <w:pPr>
              <w:cnfStyle w:val="000000010000" w:firstRow="0" w:lastRow="0" w:firstColumn="0" w:lastColumn="0" w:oddVBand="0" w:evenVBand="0" w:oddHBand="0" w:evenHBand="1" w:firstRowFirstColumn="0" w:firstRowLastColumn="0" w:lastRowFirstColumn="0" w:lastRowLastColumn="0"/>
              <w:rPr>
                <w:color w:val="auto"/>
                <w:lang w:val="en-AU"/>
              </w:rPr>
            </w:pPr>
          </w:p>
          <w:p w14:paraId="00E3BC53" w14:textId="5E6999EE" w:rsidR="000D7C9D" w:rsidRPr="006670E5" w:rsidRDefault="000D7C9D" w:rsidP="00811264">
            <w:pPr>
              <w:cnfStyle w:val="000000010000" w:firstRow="0" w:lastRow="0" w:firstColumn="0" w:lastColumn="0" w:oddVBand="0" w:evenVBand="0" w:oddHBand="0" w:evenHBand="1" w:firstRowFirstColumn="0" w:firstRowLastColumn="0" w:lastRowFirstColumn="0" w:lastRowLastColumn="0"/>
              <w:rPr>
                <w:color w:val="auto"/>
                <w:lang w:val="en-AU"/>
              </w:rPr>
            </w:pPr>
            <w:r w:rsidRPr="006670E5">
              <w:rPr>
                <w:color w:val="auto"/>
                <w:lang w:val="en-AU"/>
              </w:rPr>
              <w:t xml:space="preserve">Set up </w:t>
            </w:r>
            <w:proofErr w:type="spellStart"/>
            <w:r w:rsidRPr="006670E5">
              <w:rPr>
                <w:color w:val="auto"/>
                <w:lang w:val="en-AU"/>
              </w:rPr>
              <w:t>iTAG</w:t>
            </w:r>
            <w:proofErr w:type="spellEnd"/>
            <w:r w:rsidRPr="006670E5">
              <w:rPr>
                <w:color w:val="auto"/>
                <w:lang w:val="en-AU"/>
              </w:rPr>
              <w:t xml:space="preserve"> by March 2022</w:t>
            </w:r>
          </w:p>
        </w:tc>
      </w:tr>
      <w:tr w:rsidR="004F798E" w:rsidRPr="004F798E" w14:paraId="4D4B7216" w14:textId="77777777" w:rsidTr="004F7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53D62B16" w14:textId="77777777" w:rsidR="00E90F39" w:rsidRPr="004F798E" w:rsidRDefault="00E90F39" w:rsidP="00811264">
            <w:pPr>
              <w:rPr>
                <w:b/>
                <w:bCs/>
                <w:color w:val="auto"/>
                <w:lang w:val="en-AU"/>
              </w:rPr>
            </w:pPr>
            <w:r w:rsidRPr="004F798E">
              <w:rPr>
                <w:b/>
                <w:bCs/>
                <w:color w:val="auto"/>
                <w:lang w:val="en-AU"/>
              </w:rPr>
              <w:lastRenderedPageBreak/>
              <w:t>Recommendation 3</w:t>
            </w:r>
          </w:p>
          <w:p w14:paraId="0CFBF885" w14:textId="082FF3A4" w:rsidR="00E90F39" w:rsidRPr="004F798E" w:rsidRDefault="00847EFE" w:rsidP="00811264">
            <w:pPr>
              <w:rPr>
                <w:color w:val="auto"/>
                <w:lang w:val="en-AU"/>
              </w:rPr>
            </w:pPr>
            <w:r w:rsidRPr="00847EFE">
              <w:rPr>
                <w:color w:val="auto"/>
                <w:lang w:val="en-AU"/>
              </w:rPr>
              <w:t xml:space="preserve">KIAT should seek to identify opportunities to increase capacity building among GOI officials, such as through more formalised skills transfer by advisers, </w:t>
            </w:r>
            <w:proofErr w:type="gramStart"/>
            <w:r w:rsidRPr="00847EFE">
              <w:rPr>
                <w:color w:val="auto"/>
                <w:lang w:val="en-AU"/>
              </w:rPr>
              <w:t>training</w:t>
            </w:r>
            <w:proofErr w:type="gramEnd"/>
            <w:r w:rsidRPr="00847EFE">
              <w:rPr>
                <w:color w:val="auto"/>
                <w:lang w:val="en-AU"/>
              </w:rPr>
              <w:t xml:space="preserve"> or exposure visits, particularly if strongly linked to policy and/or project activities. Cross learning between activities or in new locations could also be beneficial, especially if pilot and demonstration activities show promise of being replicated.</w:t>
            </w:r>
          </w:p>
        </w:tc>
        <w:tc>
          <w:tcPr>
            <w:tcW w:w="286" w:type="dxa"/>
            <w:shd w:val="clear" w:color="auto" w:fill="auto"/>
          </w:tcPr>
          <w:p w14:paraId="3979C448" w14:textId="6396EC5C" w:rsidR="00E90F39" w:rsidRPr="004F798E" w:rsidRDefault="00E90F39" w:rsidP="00811264">
            <w:pPr>
              <w:jc w:val="center"/>
              <w:cnfStyle w:val="000000100000" w:firstRow="0" w:lastRow="0" w:firstColumn="0" w:lastColumn="0" w:oddVBand="0" w:evenVBand="0" w:oddHBand="1" w:evenHBand="0" w:firstRowFirstColumn="0" w:firstRowLastColumn="0" w:lastRowFirstColumn="0" w:lastRowLastColumn="0"/>
              <w:rPr>
                <w:b/>
                <w:bCs/>
                <w:color w:val="auto"/>
                <w:lang w:val="en-AU"/>
              </w:rPr>
            </w:pPr>
            <w:r w:rsidRPr="004F798E">
              <w:rPr>
                <w:b/>
                <w:bCs/>
                <w:color w:val="auto"/>
                <w:lang w:val="en-AU"/>
              </w:rPr>
              <w:t>Agree</w:t>
            </w:r>
          </w:p>
        </w:tc>
        <w:tc>
          <w:tcPr>
            <w:tcW w:w="3965" w:type="dxa"/>
            <w:shd w:val="clear" w:color="auto" w:fill="auto"/>
          </w:tcPr>
          <w:p w14:paraId="388934F4" w14:textId="5D01882E" w:rsidR="00E90F39" w:rsidRPr="004F798E" w:rsidRDefault="00E90F39" w:rsidP="00811264">
            <w:pPr>
              <w:cnfStyle w:val="000000100000" w:firstRow="0" w:lastRow="0" w:firstColumn="0" w:lastColumn="0" w:oddVBand="0" w:evenVBand="0" w:oddHBand="1" w:evenHBand="0" w:firstRowFirstColumn="0" w:firstRowLastColumn="0" w:lastRowFirstColumn="0" w:lastRowLastColumn="0"/>
              <w:rPr>
                <w:color w:val="auto"/>
                <w:lang w:val="en-AU"/>
              </w:rPr>
            </w:pPr>
            <w:r w:rsidRPr="004F798E">
              <w:rPr>
                <w:color w:val="auto"/>
                <w:lang w:val="en-AU"/>
              </w:rPr>
              <w:t xml:space="preserve">KIAT will explore opportunities </w:t>
            </w:r>
            <w:r w:rsidR="00F54F57" w:rsidRPr="004F798E">
              <w:rPr>
                <w:color w:val="auto"/>
                <w:lang w:val="en-AU"/>
              </w:rPr>
              <w:t xml:space="preserve">for capacity building </w:t>
            </w:r>
            <w:r w:rsidRPr="004F798E">
              <w:rPr>
                <w:color w:val="auto"/>
                <w:lang w:val="en-AU"/>
              </w:rPr>
              <w:t xml:space="preserve">including through existing DFAT mechanisms </w:t>
            </w:r>
            <w:r w:rsidR="00F54F57" w:rsidRPr="004F798E">
              <w:rPr>
                <w:color w:val="auto"/>
                <w:lang w:val="en-AU"/>
              </w:rPr>
              <w:t>such as</w:t>
            </w:r>
            <w:r w:rsidRPr="004F798E">
              <w:rPr>
                <w:color w:val="auto"/>
                <w:lang w:val="en-AU"/>
              </w:rPr>
              <w:t xml:space="preserve"> Long and Short-Term Australia Awards and Partnerships for Infrastructure (P4I). </w:t>
            </w:r>
            <w:r w:rsidR="00BC141F">
              <w:rPr>
                <w:color w:val="auto"/>
                <w:lang w:val="en-AU"/>
              </w:rPr>
              <w:t>It</w:t>
            </w:r>
            <w:r w:rsidR="00BC141F" w:rsidRPr="004F798E">
              <w:rPr>
                <w:color w:val="auto"/>
                <w:lang w:val="en-AU"/>
              </w:rPr>
              <w:t xml:space="preserve"> </w:t>
            </w:r>
            <w:r w:rsidRPr="004F798E">
              <w:rPr>
                <w:color w:val="auto"/>
                <w:lang w:val="en-AU"/>
              </w:rPr>
              <w:t>will also consider impacts of COVID-19 in the implementation of this recommendation.</w:t>
            </w:r>
          </w:p>
        </w:tc>
        <w:tc>
          <w:tcPr>
            <w:tcW w:w="3662" w:type="dxa"/>
            <w:shd w:val="clear" w:color="auto" w:fill="auto"/>
          </w:tcPr>
          <w:p w14:paraId="680EB203" w14:textId="77777777" w:rsidR="002F1030" w:rsidRPr="004F798E" w:rsidRDefault="002F1030" w:rsidP="00811264">
            <w:pPr>
              <w:cnfStyle w:val="000000100000" w:firstRow="0" w:lastRow="0" w:firstColumn="0" w:lastColumn="0" w:oddVBand="0" w:evenVBand="0" w:oddHBand="1" w:evenHBand="0" w:firstRowFirstColumn="0" w:firstRowLastColumn="0" w:lastRowFirstColumn="0" w:lastRowLastColumn="0"/>
              <w:rPr>
                <w:color w:val="auto"/>
                <w:lang w:val="en-AU"/>
              </w:rPr>
            </w:pPr>
            <w:r w:rsidRPr="004F798E">
              <w:rPr>
                <w:color w:val="auto"/>
                <w:lang w:val="en-AU"/>
              </w:rPr>
              <w:t>KIAT will liaise closely with DFAT on existing and new capacity building opportunities.</w:t>
            </w:r>
          </w:p>
          <w:p w14:paraId="69DD9435" w14:textId="42F0410C" w:rsidR="00E90F39" w:rsidRPr="004F798E" w:rsidRDefault="002F1030" w:rsidP="00811264">
            <w:pPr>
              <w:cnfStyle w:val="000000100000" w:firstRow="0" w:lastRow="0" w:firstColumn="0" w:lastColumn="0" w:oddVBand="0" w:evenVBand="0" w:oddHBand="1" w:evenHBand="0" w:firstRowFirstColumn="0" w:firstRowLastColumn="0" w:lastRowFirstColumn="0" w:lastRowLastColumn="0"/>
              <w:rPr>
                <w:color w:val="auto"/>
                <w:lang w:val="en-AU"/>
              </w:rPr>
            </w:pPr>
            <w:r w:rsidRPr="004F798E">
              <w:rPr>
                <w:color w:val="auto"/>
                <w:lang w:val="en-AU"/>
              </w:rPr>
              <w:t xml:space="preserve">Quality of entry criteria for KIAT activities should assess capacity building opportunities and delivery of capacity building activities where relevant. </w:t>
            </w:r>
          </w:p>
        </w:tc>
        <w:tc>
          <w:tcPr>
            <w:tcW w:w="1548" w:type="dxa"/>
            <w:shd w:val="clear" w:color="auto" w:fill="auto"/>
          </w:tcPr>
          <w:p w14:paraId="094F703D" w14:textId="77777777" w:rsidR="00E90F39" w:rsidRPr="004F798E" w:rsidRDefault="00E90F39" w:rsidP="00811264">
            <w:pPr>
              <w:cnfStyle w:val="000000100000" w:firstRow="0" w:lastRow="0" w:firstColumn="0" w:lastColumn="0" w:oddVBand="0" w:evenVBand="0" w:oddHBand="1" w:evenHBand="0" w:firstRowFirstColumn="0" w:firstRowLastColumn="0" w:lastRowFirstColumn="0" w:lastRowLastColumn="0"/>
              <w:rPr>
                <w:color w:val="auto"/>
                <w:lang w:val="en-AU"/>
              </w:rPr>
            </w:pPr>
            <w:r w:rsidRPr="004F798E">
              <w:rPr>
                <w:color w:val="auto"/>
                <w:lang w:val="en-AU"/>
              </w:rPr>
              <w:t>From March 2022 to end of KIAT program</w:t>
            </w:r>
          </w:p>
          <w:p w14:paraId="02C150F5" w14:textId="2EC4ABA3" w:rsidR="002F1030" w:rsidRPr="004F798E" w:rsidRDefault="002F1030" w:rsidP="00811264">
            <w:pPr>
              <w:cnfStyle w:val="000000100000" w:firstRow="0" w:lastRow="0" w:firstColumn="0" w:lastColumn="0" w:oddVBand="0" w:evenVBand="0" w:oddHBand="1" w:evenHBand="0" w:firstRowFirstColumn="0" w:firstRowLastColumn="0" w:lastRowFirstColumn="0" w:lastRowLastColumn="0"/>
              <w:rPr>
                <w:color w:val="auto"/>
                <w:lang w:val="en-AU"/>
              </w:rPr>
            </w:pPr>
            <w:r w:rsidRPr="004F798E">
              <w:rPr>
                <w:color w:val="auto"/>
                <w:lang w:val="en-AU"/>
              </w:rPr>
              <w:t>March 2022 for any new activity proposals</w:t>
            </w:r>
          </w:p>
        </w:tc>
      </w:tr>
      <w:tr w:rsidR="004F798E" w:rsidRPr="004F798E" w14:paraId="335278BA" w14:textId="77777777" w:rsidTr="004F79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2EDBD971" w14:textId="77777777" w:rsidR="00E90F39" w:rsidRPr="004F798E" w:rsidRDefault="00E90F39" w:rsidP="00811264">
            <w:pPr>
              <w:rPr>
                <w:b/>
                <w:bCs/>
                <w:color w:val="auto"/>
                <w:lang w:val="en-AU"/>
              </w:rPr>
            </w:pPr>
            <w:r w:rsidRPr="004F798E">
              <w:rPr>
                <w:b/>
                <w:bCs/>
                <w:color w:val="auto"/>
                <w:lang w:val="en-AU"/>
              </w:rPr>
              <w:t>Recommendation 4</w:t>
            </w:r>
          </w:p>
          <w:p w14:paraId="6A998182" w14:textId="487EE225" w:rsidR="00E90F39" w:rsidRPr="004F798E" w:rsidRDefault="00847EFE" w:rsidP="00811264">
            <w:pPr>
              <w:rPr>
                <w:color w:val="auto"/>
                <w:lang w:val="en-AU"/>
              </w:rPr>
            </w:pPr>
            <w:r w:rsidRPr="00847EFE">
              <w:rPr>
                <w:color w:val="auto"/>
                <w:lang w:val="en-AU"/>
              </w:rPr>
              <w:lastRenderedPageBreak/>
              <w:t>KIAT should develop a new GESI-CSE strategy. As part of this process, GESI considerations should be incorporated more explicitly into the Logic Model, EOFOs and M&amp;E Framework. This should help maintain or increase GESI ratings.</w:t>
            </w:r>
          </w:p>
        </w:tc>
        <w:tc>
          <w:tcPr>
            <w:tcW w:w="286" w:type="dxa"/>
            <w:shd w:val="clear" w:color="auto" w:fill="auto"/>
          </w:tcPr>
          <w:p w14:paraId="1E0A4C4B" w14:textId="50128193" w:rsidR="00E90F39" w:rsidRPr="004F798E" w:rsidRDefault="00E90F39" w:rsidP="00811264">
            <w:pPr>
              <w:jc w:val="center"/>
              <w:cnfStyle w:val="000000010000" w:firstRow="0" w:lastRow="0" w:firstColumn="0" w:lastColumn="0" w:oddVBand="0" w:evenVBand="0" w:oddHBand="0" w:evenHBand="1" w:firstRowFirstColumn="0" w:firstRowLastColumn="0" w:lastRowFirstColumn="0" w:lastRowLastColumn="0"/>
              <w:rPr>
                <w:b/>
                <w:bCs/>
                <w:color w:val="auto"/>
                <w:lang w:val="en-AU"/>
              </w:rPr>
            </w:pPr>
            <w:r w:rsidRPr="004F798E">
              <w:rPr>
                <w:b/>
                <w:bCs/>
                <w:color w:val="auto"/>
                <w:lang w:val="en-AU"/>
              </w:rPr>
              <w:lastRenderedPageBreak/>
              <w:t>Agree</w:t>
            </w:r>
          </w:p>
        </w:tc>
        <w:tc>
          <w:tcPr>
            <w:tcW w:w="3965" w:type="dxa"/>
            <w:shd w:val="clear" w:color="auto" w:fill="auto"/>
          </w:tcPr>
          <w:p w14:paraId="66C02EF4" w14:textId="49F95F89" w:rsidR="00E90F39" w:rsidRPr="004F798E" w:rsidRDefault="00E90F39" w:rsidP="00811264">
            <w:pPr>
              <w:cnfStyle w:val="000000010000" w:firstRow="0" w:lastRow="0" w:firstColumn="0" w:lastColumn="0" w:oddVBand="0" w:evenVBand="0" w:oddHBand="0" w:evenHBand="1" w:firstRowFirstColumn="0" w:firstRowLastColumn="0" w:lastRowFirstColumn="0" w:lastRowLastColumn="0"/>
              <w:rPr>
                <w:color w:val="auto"/>
                <w:lang w:val="en-AU"/>
              </w:rPr>
            </w:pPr>
            <w:r w:rsidRPr="004F798E">
              <w:rPr>
                <w:color w:val="auto"/>
                <w:lang w:val="en-AU"/>
              </w:rPr>
              <w:t xml:space="preserve">KIAT will prepare a GESI-CSE strategy to inform delivery under Phase 2. DFAT GESI (and disability) experts will </w:t>
            </w:r>
            <w:r w:rsidRPr="004F798E">
              <w:rPr>
                <w:color w:val="auto"/>
                <w:lang w:val="en-AU"/>
              </w:rPr>
              <w:lastRenderedPageBreak/>
              <w:t>be consulted in the process. Implementation will require a dedicated GESI expert in KIAT and has resource implications.</w:t>
            </w:r>
          </w:p>
        </w:tc>
        <w:tc>
          <w:tcPr>
            <w:tcW w:w="3662" w:type="dxa"/>
            <w:shd w:val="clear" w:color="auto" w:fill="auto"/>
          </w:tcPr>
          <w:p w14:paraId="2D054EF7" w14:textId="31DF334C" w:rsidR="00E90F39" w:rsidRPr="004F798E" w:rsidRDefault="002F1030" w:rsidP="00811264">
            <w:pPr>
              <w:cnfStyle w:val="000000010000" w:firstRow="0" w:lastRow="0" w:firstColumn="0" w:lastColumn="0" w:oddVBand="0" w:evenVBand="0" w:oddHBand="0" w:evenHBand="1" w:firstRowFirstColumn="0" w:firstRowLastColumn="0" w:lastRowFirstColumn="0" w:lastRowLastColumn="0"/>
              <w:rPr>
                <w:color w:val="auto"/>
                <w:lang w:val="en-AU"/>
              </w:rPr>
            </w:pPr>
            <w:r w:rsidRPr="004F798E">
              <w:rPr>
                <w:color w:val="auto"/>
                <w:lang w:val="en-AU"/>
              </w:rPr>
              <w:lastRenderedPageBreak/>
              <w:t xml:space="preserve">KIAT to prepare a new GESI action plan </w:t>
            </w:r>
            <w:r w:rsidR="003311ED" w:rsidRPr="004F798E">
              <w:rPr>
                <w:color w:val="auto"/>
                <w:lang w:val="en-AU"/>
              </w:rPr>
              <w:t>that</w:t>
            </w:r>
            <w:r w:rsidRPr="004F798E">
              <w:rPr>
                <w:color w:val="auto"/>
                <w:lang w:val="en-AU"/>
              </w:rPr>
              <w:t xml:space="preserve"> </w:t>
            </w:r>
            <w:r w:rsidR="009C4B14" w:rsidRPr="004F798E">
              <w:rPr>
                <w:color w:val="auto"/>
                <w:lang w:val="en-AU"/>
              </w:rPr>
              <w:t>is linked to KIAT’s</w:t>
            </w:r>
            <w:r w:rsidRPr="004F798E">
              <w:rPr>
                <w:color w:val="auto"/>
                <w:lang w:val="en-AU"/>
              </w:rPr>
              <w:t xml:space="preserve"> logic model, program outcomes and </w:t>
            </w:r>
            <w:r w:rsidRPr="004F798E">
              <w:rPr>
                <w:color w:val="auto"/>
                <w:lang w:val="en-AU"/>
              </w:rPr>
              <w:lastRenderedPageBreak/>
              <w:t xml:space="preserve">M&amp;E framework. </w:t>
            </w:r>
            <w:r w:rsidR="009C4B14" w:rsidRPr="004F798E">
              <w:rPr>
                <w:color w:val="auto"/>
                <w:lang w:val="en-AU"/>
              </w:rPr>
              <w:t>It will also set out the resourcing requirements for implementation.</w:t>
            </w:r>
          </w:p>
        </w:tc>
        <w:tc>
          <w:tcPr>
            <w:tcW w:w="1548" w:type="dxa"/>
            <w:shd w:val="clear" w:color="auto" w:fill="auto"/>
          </w:tcPr>
          <w:p w14:paraId="75D624E6" w14:textId="7595CE28" w:rsidR="00E90F39" w:rsidRPr="004F798E" w:rsidRDefault="002F1030" w:rsidP="00811264">
            <w:pPr>
              <w:cnfStyle w:val="000000010000" w:firstRow="0" w:lastRow="0" w:firstColumn="0" w:lastColumn="0" w:oddVBand="0" w:evenVBand="0" w:oddHBand="0" w:evenHBand="1" w:firstRowFirstColumn="0" w:firstRowLastColumn="0" w:lastRowFirstColumn="0" w:lastRowLastColumn="0"/>
              <w:rPr>
                <w:color w:val="auto"/>
                <w:lang w:val="en-AU"/>
              </w:rPr>
            </w:pPr>
            <w:r w:rsidRPr="004F798E">
              <w:rPr>
                <w:color w:val="auto"/>
                <w:lang w:val="en-AU"/>
              </w:rPr>
              <w:lastRenderedPageBreak/>
              <w:t xml:space="preserve">New GESI Strategy </w:t>
            </w:r>
            <w:r w:rsidRPr="004F798E">
              <w:rPr>
                <w:color w:val="auto"/>
                <w:lang w:val="en-AU"/>
              </w:rPr>
              <w:lastRenderedPageBreak/>
              <w:t xml:space="preserve">finalised by </w:t>
            </w:r>
            <w:r w:rsidR="006B57DC" w:rsidRPr="004F798E">
              <w:rPr>
                <w:color w:val="auto"/>
                <w:lang w:val="en-AU"/>
              </w:rPr>
              <w:t>February</w:t>
            </w:r>
            <w:r w:rsidRPr="004F798E">
              <w:rPr>
                <w:color w:val="auto"/>
                <w:lang w:val="en-AU"/>
              </w:rPr>
              <w:t xml:space="preserve"> </w:t>
            </w:r>
            <w:r w:rsidR="00E90F39" w:rsidRPr="004F798E">
              <w:rPr>
                <w:color w:val="auto"/>
                <w:lang w:val="en-AU"/>
              </w:rPr>
              <w:t>2022</w:t>
            </w:r>
          </w:p>
        </w:tc>
      </w:tr>
      <w:tr w:rsidR="004F798E" w:rsidRPr="004F798E" w14:paraId="57F98921" w14:textId="77777777" w:rsidTr="004F7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71674A17" w14:textId="77777777" w:rsidR="00E90F39" w:rsidRPr="004F798E" w:rsidRDefault="00E90F39" w:rsidP="00811264">
            <w:pPr>
              <w:rPr>
                <w:b/>
                <w:bCs/>
                <w:color w:val="auto"/>
                <w:lang w:val="en-AU"/>
              </w:rPr>
            </w:pPr>
            <w:r w:rsidRPr="004F798E">
              <w:rPr>
                <w:b/>
                <w:bCs/>
                <w:color w:val="auto"/>
                <w:lang w:val="en-AU"/>
              </w:rPr>
              <w:lastRenderedPageBreak/>
              <w:t>Recommendation 5</w:t>
            </w:r>
          </w:p>
          <w:p w14:paraId="7FF0A672" w14:textId="39D46D18" w:rsidR="00E90F39" w:rsidRPr="004F798E" w:rsidRDefault="00E90F39" w:rsidP="00811264">
            <w:pPr>
              <w:rPr>
                <w:color w:val="auto"/>
                <w:lang w:val="en-AU"/>
              </w:rPr>
            </w:pPr>
            <w:r w:rsidRPr="004F798E">
              <w:rPr>
                <w:color w:val="auto"/>
                <w:lang w:val="en-AU"/>
              </w:rPr>
              <w:t xml:space="preserve">KIAT and DFAT should ensure adequate attention and resourcing is provided to investigate, </w:t>
            </w:r>
            <w:proofErr w:type="gramStart"/>
            <w:r w:rsidRPr="004F798E">
              <w:rPr>
                <w:color w:val="auto"/>
                <w:lang w:val="en-AU"/>
              </w:rPr>
              <w:t>demonstrate</w:t>
            </w:r>
            <w:proofErr w:type="gramEnd"/>
            <w:r w:rsidRPr="004F798E">
              <w:rPr>
                <w:color w:val="auto"/>
                <w:lang w:val="en-AU"/>
              </w:rPr>
              <w:t xml:space="preserve"> and communicate impact from KIAT activities. This should help maintain or increase effectiveness ratings in the years as the Facility nears completion</w:t>
            </w:r>
          </w:p>
        </w:tc>
        <w:tc>
          <w:tcPr>
            <w:tcW w:w="286" w:type="dxa"/>
            <w:shd w:val="clear" w:color="auto" w:fill="auto"/>
          </w:tcPr>
          <w:p w14:paraId="4E2E66EA" w14:textId="4AD6DAA2" w:rsidR="00E90F39" w:rsidRPr="004F798E" w:rsidRDefault="00E90F39" w:rsidP="00811264">
            <w:pPr>
              <w:jc w:val="center"/>
              <w:cnfStyle w:val="000000100000" w:firstRow="0" w:lastRow="0" w:firstColumn="0" w:lastColumn="0" w:oddVBand="0" w:evenVBand="0" w:oddHBand="1" w:evenHBand="0" w:firstRowFirstColumn="0" w:firstRowLastColumn="0" w:lastRowFirstColumn="0" w:lastRowLastColumn="0"/>
              <w:rPr>
                <w:b/>
                <w:bCs/>
                <w:color w:val="auto"/>
                <w:lang w:val="en-AU"/>
              </w:rPr>
            </w:pPr>
            <w:r w:rsidRPr="004F798E">
              <w:rPr>
                <w:b/>
                <w:bCs/>
                <w:color w:val="auto"/>
                <w:lang w:val="en-AU"/>
              </w:rPr>
              <w:t>Agree</w:t>
            </w:r>
          </w:p>
        </w:tc>
        <w:tc>
          <w:tcPr>
            <w:tcW w:w="3965" w:type="dxa"/>
            <w:shd w:val="clear" w:color="auto" w:fill="auto"/>
          </w:tcPr>
          <w:p w14:paraId="54CB7CFD" w14:textId="5EB6BA19" w:rsidR="00E90F39" w:rsidRPr="004F798E" w:rsidRDefault="00E90F39" w:rsidP="00811264">
            <w:pPr>
              <w:cnfStyle w:val="000000100000" w:firstRow="0" w:lastRow="0" w:firstColumn="0" w:lastColumn="0" w:oddVBand="0" w:evenVBand="0" w:oddHBand="1" w:evenHBand="0" w:firstRowFirstColumn="0" w:firstRowLastColumn="0" w:lastRowFirstColumn="0" w:lastRowLastColumn="0"/>
              <w:rPr>
                <w:color w:val="auto"/>
                <w:lang w:val="en-AU"/>
              </w:rPr>
            </w:pPr>
            <w:r w:rsidRPr="004F798E">
              <w:rPr>
                <w:color w:val="auto"/>
                <w:lang w:val="en-AU"/>
              </w:rPr>
              <w:t>As KIAT matures as a program, harvesting lessons will be beneficial in improving program outcomes but also extending the reach of the program across the DFAT infrastructure network and maximising DFAT’s public diplomacy opportunities. Note that implementation may have additional resource implications.</w:t>
            </w:r>
          </w:p>
        </w:tc>
        <w:tc>
          <w:tcPr>
            <w:tcW w:w="3662" w:type="dxa"/>
            <w:shd w:val="clear" w:color="auto" w:fill="auto"/>
          </w:tcPr>
          <w:p w14:paraId="55811FBB" w14:textId="02343D55" w:rsidR="00E90F39" w:rsidRPr="004F798E" w:rsidRDefault="009C4B14" w:rsidP="00811264">
            <w:pPr>
              <w:cnfStyle w:val="000000100000" w:firstRow="0" w:lastRow="0" w:firstColumn="0" w:lastColumn="0" w:oddVBand="0" w:evenVBand="0" w:oddHBand="1" w:evenHBand="0" w:firstRowFirstColumn="0" w:firstRowLastColumn="0" w:lastRowFirstColumn="0" w:lastRowLastColumn="0"/>
              <w:rPr>
                <w:color w:val="auto"/>
                <w:lang w:val="en-AU"/>
              </w:rPr>
            </w:pPr>
            <w:r w:rsidRPr="004F798E">
              <w:rPr>
                <w:color w:val="auto"/>
                <w:lang w:val="en-AU"/>
              </w:rPr>
              <w:t xml:space="preserve">KIAT will review and </w:t>
            </w:r>
            <w:r w:rsidR="00BC141F" w:rsidRPr="004F798E">
              <w:rPr>
                <w:color w:val="auto"/>
                <w:lang w:val="en-AU"/>
              </w:rPr>
              <w:t>re</w:t>
            </w:r>
            <w:r w:rsidR="00BC141F">
              <w:rPr>
                <w:color w:val="auto"/>
                <w:lang w:val="en-AU"/>
              </w:rPr>
              <w:t>vise as necessary</w:t>
            </w:r>
            <w:r w:rsidR="00BC141F" w:rsidRPr="004F798E">
              <w:rPr>
                <w:color w:val="auto"/>
                <w:lang w:val="en-AU"/>
              </w:rPr>
              <w:t xml:space="preserve"> </w:t>
            </w:r>
            <w:r w:rsidRPr="004F798E">
              <w:rPr>
                <w:color w:val="auto"/>
                <w:lang w:val="en-AU"/>
              </w:rPr>
              <w:t xml:space="preserve">its existing Communications Strategy to consider ways </w:t>
            </w:r>
            <w:r w:rsidR="00BC141F">
              <w:rPr>
                <w:color w:val="auto"/>
                <w:lang w:val="en-AU"/>
              </w:rPr>
              <w:t xml:space="preserve">to </w:t>
            </w:r>
            <w:r w:rsidRPr="004F798E">
              <w:rPr>
                <w:color w:val="auto"/>
                <w:lang w:val="en-AU"/>
              </w:rPr>
              <w:t>increase the effectiveness and reach of KIAT’s activities as recommended</w:t>
            </w:r>
            <w:r w:rsidR="00BC141F">
              <w:rPr>
                <w:color w:val="auto"/>
                <w:lang w:val="en-AU"/>
              </w:rPr>
              <w:t>.</w:t>
            </w:r>
            <w:r w:rsidRPr="004F798E">
              <w:rPr>
                <w:color w:val="auto"/>
                <w:lang w:val="en-AU"/>
              </w:rPr>
              <w:t xml:space="preserve"> </w:t>
            </w:r>
          </w:p>
        </w:tc>
        <w:tc>
          <w:tcPr>
            <w:tcW w:w="1548" w:type="dxa"/>
            <w:shd w:val="clear" w:color="auto" w:fill="auto"/>
          </w:tcPr>
          <w:p w14:paraId="1D86D080" w14:textId="015D8A6F" w:rsidR="00E90F39" w:rsidRPr="004F798E" w:rsidRDefault="00F54312" w:rsidP="00811264">
            <w:pPr>
              <w:cnfStyle w:val="000000100000" w:firstRow="0" w:lastRow="0" w:firstColumn="0" w:lastColumn="0" w:oddVBand="0" w:evenVBand="0" w:oddHBand="1" w:evenHBand="0" w:firstRowFirstColumn="0" w:firstRowLastColumn="0" w:lastRowFirstColumn="0" w:lastRowLastColumn="0"/>
              <w:rPr>
                <w:color w:val="auto"/>
                <w:lang w:val="en-AU"/>
              </w:rPr>
            </w:pPr>
            <w:r w:rsidRPr="004F798E">
              <w:rPr>
                <w:color w:val="auto"/>
                <w:lang w:val="en-AU"/>
              </w:rPr>
              <w:t xml:space="preserve">June </w:t>
            </w:r>
            <w:r w:rsidR="00E90F39" w:rsidRPr="004F798E">
              <w:rPr>
                <w:color w:val="auto"/>
                <w:lang w:val="en-AU"/>
              </w:rPr>
              <w:t>2022</w:t>
            </w:r>
          </w:p>
        </w:tc>
      </w:tr>
      <w:tr w:rsidR="004F798E" w:rsidRPr="004F798E" w14:paraId="533387EB" w14:textId="77777777" w:rsidTr="004F79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2A918CD5" w14:textId="77777777" w:rsidR="00E90F39" w:rsidRPr="004F798E" w:rsidRDefault="00E90F39" w:rsidP="003F2BFE">
            <w:pPr>
              <w:rPr>
                <w:b/>
                <w:bCs/>
                <w:color w:val="auto"/>
                <w:lang w:val="en-AU"/>
              </w:rPr>
            </w:pPr>
            <w:r w:rsidRPr="004F798E">
              <w:rPr>
                <w:b/>
                <w:bCs/>
                <w:color w:val="auto"/>
                <w:lang w:val="en-AU"/>
              </w:rPr>
              <w:t>Recommendation 6</w:t>
            </w:r>
          </w:p>
          <w:p w14:paraId="179421A3" w14:textId="2921AA84" w:rsidR="00E90F39" w:rsidRPr="004F798E" w:rsidRDefault="00E90F39" w:rsidP="003F2BFE">
            <w:pPr>
              <w:rPr>
                <w:color w:val="auto"/>
                <w:lang w:val="en-AU"/>
              </w:rPr>
            </w:pPr>
            <w:r w:rsidRPr="004F798E">
              <w:rPr>
                <w:color w:val="auto"/>
                <w:lang w:val="en-AU"/>
              </w:rPr>
              <w:t xml:space="preserve">KIAT should proceed with existing plans to implement new COVID-19-specific activities while continuing to look for opportunities through established programming to contribute to </w:t>
            </w:r>
            <w:r w:rsidR="00BC141F">
              <w:rPr>
                <w:color w:val="auto"/>
                <w:lang w:val="en-AU"/>
              </w:rPr>
              <w:t xml:space="preserve">the </w:t>
            </w:r>
            <w:r w:rsidRPr="004F798E">
              <w:rPr>
                <w:color w:val="auto"/>
                <w:lang w:val="en-AU"/>
              </w:rPr>
              <w:t>COVID-19 response and recovery in Indonesia, as has been done effectively so far.</w:t>
            </w:r>
          </w:p>
        </w:tc>
        <w:tc>
          <w:tcPr>
            <w:tcW w:w="286" w:type="dxa"/>
            <w:shd w:val="clear" w:color="auto" w:fill="auto"/>
          </w:tcPr>
          <w:p w14:paraId="28DB2F27" w14:textId="565D0B76" w:rsidR="00E90F39" w:rsidRPr="004F798E" w:rsidRDefault="00E90F39" w:rsidP="003F2BFE">
            <w:pPr>
              <w:jc w:val="center"/>
              <w:cnfStyle w:val="000000010000" w:firstRow="0" w:lastRow="0" w:firstColumn="0" w:lastColumn="0" w:oddVBand="0" w:evenVBand="0" w:oddHBand="0" w:evenHBand="1" w:firstRowFirstColumn="0" w:firstRowLastColumn="0" w:lastRowFirstColumn="0" w:lastRowLastColumn="0"/>
              <w:rPr>
                <w:b/>
                <w:bCs/>
                <w:color w:val="auto"/>
                <w:lang w:val="en-AU"/>
              </w:rPr>
            </w:pPr>
            <w:r w:rsidRPr="004F798E">
              <w:rPr>
                <w:b/>
                <w:bCs/>
                <w:color w:val="auto"/>
                <w:lang w:val="en-AU"/>
              </w:rPr>
              <w:t>Agree</w:t>
            </w:r>
          </w:p>
        </w:tc>
        <w:tc>
          <w:tcPr>
            <w:tcW w:w="3965" w:type="dxa"/>
            <w:shd w:val="clear" w:color="auto" w:fill="auto"/>
          </w:tcPr>
          <w:p w14:paraId="28EFEA5F" w14:textId="4F6AECF7" w:rsidR="00E90F39" w:rsidRPr="004F798E" w:rsidRDefault="00E90F39" w:rsidP="003F2BFE">
            <w:pPr>
              <w:cnfStyle w:val="000000010000" w:firstRow="0" w:lastRow="0" w:firstColumn="0" w:lastColumn="0" w:oddVBand="0" w:evenVBand="0" w:oddHBand="0" w:evenHBand="1" w:firstRowFirstColumn="0" w:firstRowLastColumn="0" w:lastRowFirstColumn="0" w:lastRowLastColumn="0"/>
              <w:rPr>
                <w:color w:val="auto"/>
                <w:lang w:val="en-AU"/>
              </w:rPr>
            </w:pPr>
            <w:r w:rsidRPr="004F798E">
              <w:rPr>
                <w:color w:val="auto"/>
                <w:lang w:val="en-AU"/>
              </w:rPr>
              <w:t>DFAT agrees with the proposal to continue existing plans and to consider supporting new pandemic recovery activities where appropriate. Any new activities should meet KIAT criteria and obtain the support of both GOI and DFAT before they can be implemented.</w:t>
            </w:r>
          </w:p>
        </w:tc>
        <w:tc>
          <w:tcPr>
            <w:tcW w:w="3662" w:type="dxa"/>
            <w:shd w:val="clear" w:color="auto" w:fill="auto"/>
          </w:tcPr>
          <w:p w14:paraId="04281D72" w14:textId="464FF44A" w:rsidR="00036759" w:rsidRPr="004F798E" w:rsidRDefault="00036759" w:rsidP="003F2BFE">
            <w:pPr>
              <w:cnfStyle w:val="000000010000" w:firstRow="0" w:lastRow="0" w:firstColumn="0" w:lastColumn="0" w:oddVBand="0" w:evenVBand="0" w:oddHBand="0" w:evenHBand="1" w:firstRowFirstColumn="0" w:firstRowLastColumn="0" w:lastRowFirstColumn="0" w:lastRowLastColumn="0"/>
              <w:rPr>
                <w:color w:val="auto"/>
                <w:lang w:val="en-AU"/>
              </w:rPr>
            </w:pPr>
            <w:r w:rsidRPr="004F798E">
              <w:rPr>
                <w:color w:val="auto"/>
                <w:lang w:val="en-AU"/>
              </w:rPr>
              <w:t xml:space="preserve">DFAT to continue to assess and report progress of existing plans as set out in the Indonesia COVID-19 </w:t>
            </w:r>
            <w:r w:rsidR="00BC141F">
              <w:rPr>
                <w:color w:val="auto"/>
                <w:lang w:val="en-AU"/>
              </w:rPr>
              <w:t>Development R</w:t>
            </w:r>
            <w:r w:rsidRPr="004F798E">
              <w:rPr>
                <w:color w:val="auto"/>
                <w:lang w:val="en-AU"/>
              </w:rPr>
              <w:t xml:space="preserve">esponse </w:t>
            </w:r>
            <w:r w:rsidR="00BC141F">
              <w:rPr>
                <w:color w:val="auto"/>
                <w:lang w:val="en-AU"/>
              </w:rPr>
              <w:t>P</w:t>
            </w:r>
            <w:r w:rsidRPr="004F798E">
              <w:rPr>
                <w:color w:val="auto"/>
                <w:lang w:val="en-AU"/>
              </w:rPr>
              <w:t>lan (2020-2022).</w:t>
            </w:r>
          </w:p>
          <w:p w14:paraId="24A931D7" w14:textId="52904807" w:rsidR="00E90F39" w:rsidRPr="004F798E" w:rsidRDefault="00036759" w:rsidP="003F2BFE">
            <w:pPr>
              <w:cnfStyle w:val="000000010000" w:firstRow="0" w:lastRow="0" w:firstColumn="0" w:lastColumn="0" w:oddVBand="0" w:evenVBand="0" w:oddHBand="0" w:evenHBand="1" w:firstRowFirstColumn="0" w:firstRowLastColumn="0" w:lastRowFirstColumn="0" w:lastRowLastColumn="0"/>
              <w:rPr>
                <w:color w:val="auto"/>
                <w:lang w:val="en-AU"/>
              </w:rPr>
            </w:pPr>
            <w:r w:rsidRPr="004F798E">
              <w:rPr>
                <w:color w:val="auto"/>
                <w:lang w:val="en-AU"/>
              </w:rPr>
              <w:t xml:space="preserve">KIAT and DFAT to coordinate with GOI on additional opportunities to respond to COVID-19 needs. </w:t>
            </w:r>
          </w:p>
        </w:tc>
        <w:tc>
          <w:tcPr>
            <w:tcW w:w="1548" w:type="dxa"/>
            <w:shd w:val="clear" w:color="auto" w:fill="auto"/>
          </w:tcPr>
          <w:p w14:paraId="16FF1774" w14:textId="186974A9" w:rsidR="00E90F39" w:rsidRPr="004F798E" w:rsidRDefault="00036759" w:rsidP="003F2BFE">
            <w:pPr>
              <w:cnfStyle w:val="000000010000" w:firstRow="0" w:lastRow="0" w:firstColumn="0" w:lastColumn="0" w:oddVBand="0" w:evenVBand="0" w:oddHBand="0" w:evenHBand="1" w:firstRowFirstColumn="0" w:firstRowLastColumn="0" w:lastRowFirstColumn="0" w:lastRowLastColumn="0"/>
              <w:rPr>
                <w:color w:val="auto"/>
                <w:lang w:val="en-AU"/>
              </w:rPr>
            </w:pPr>
            <w:r w:rsidRPr="004F798E">
              <w:rPr>
                <w:color w:val="auto"/>
                <w:lang w:val="en-AU"/>
              </w:rPr>
              <w:t xml:space="preserve">Ongoing </w:t>
            </w:r>
            <w:r w:rsidR="00E90F39" w:rsidRPr="004F798E">
              <w:rPr>
                <w:color w:val="auto"/>
                <w:lang w:val="en-AU"/>
              </w:rPr>
              <w:t xml:space="preserve"> </w:t>
            </w:r>
          </w:p>
        </w:tc>
      </w:tr>
      <w:tr w:rsidR="004F798E" w:rsidRPr="004F798E" w14:paraId="35777CFF" w14:textId="77777777" w:rsidTr="004F7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527D30A5" w14:textId="77777777" w:rsidR="00E90F39" w:rsidRPr="004F798E" w:rsidRDefault="00E90F39" w:rsidP="003F2BFE">
            <w:pPr>
              <w:rPr>
                <w:b/>
                <w:bCs/>
                <w:color w:val="auto"/>
                <w:lang w:val="en-AU"/>
              </w:rPr>
            </w:pPr>
            <w:r w:rsidRPr="004F798E">
              <w:rPr>
                <w:b/>
                <w:bCs/>
                <w:color w:val="auto"/>
                <w:lang w:val="en-AU"/>
              </w:rPr>
              <w:lastRenderedPageBreak/>
              <w:t>Recommendation 7</w:t>
            </w:r>
          </w:p>
          <w:p w14:paraId="585F68B9" w14:textId="045B891D" w:rsidR="00E90F39" w:rsidRPr="004F798E" w:rsidRDefault="00E90F39" w:rsidP="003F2BFE">
            <w:pPr>
              <w:rPr>
                <w:color w:val="auto"/>
                <w:lang w:val="en-AU"/>
              </w:rPr>
            </w:pPr>
            <w:r w:rsidRPr="004F798E">
              <w:rPr>
                <w:color w:val="auto"/>
                <w:lang w:val="en-AU"/>
              </w:rPr>
              <w:t xml:space="preserve">KIAT should make more explicit its commitment and existing contributions to climate change responsiveness while also looking for opportunities to </w:t>
            </w:r>
            <w:r w:rsidR="007B7DED">
              <w:rPr>
                <w:color w:val="auto"/>
                <w:lang w:val="en-AU"/>
              </w:rPr>
              <w:t>increase the number of</w:t>
            </w:r>
            <w:r w:rsidRPr="004F798E">
              <w:rPr>
                <w:color w:val="auto"/>
                <w:lang w:val="en-AU"/>
              </w:rPr>
              <w:t xml:space="preserve"> direct activities to address climate change and related issues. This could look like initial funding through the re-established Emerging issues and priorities workstream with the intention to translate into a climate change activity stream, which in turn drives mainstreaming across other activity streams and is guided by its own strategy.</w:t>
            </w:r>
          </w:p>
        </w:tc>
        <w:tc>
          <w:tcPr>
            <w:tcW w:w="286" w:type="dxa"/>
            <w:shd w:val="clear" w:color="auto" w:fill="auto"/>
          </w:tcPr>
          <w:p w14:paraId="5F416F46" w14:textId="69F3B330" w:rsidR="00E90F39" w:rsidRPr="004F798E" w:rsidRDefault="00E90F39" w:rsidP="003F2BFE">
            <w:pPr>
              <w:jc w:val="center"/>
              <w:cnfStyle w:val="000000100000" w:firstRow="0" w:lastRow="0" w:firstColumn="0" w:lastColumn="0" w:oddVBand="0" w:evenVBand="0" w:oddHBand="1" w:evenHBand="0" w:firstRowFirstColumn="0" w:firstRowLastColumn="0" w:lastRowFirstColumn="0" w:lastRowLastColumn="0"/>
              <w:rPr>
                <w:b/>
                <w:bCs/>
                <w:color w:val="auto"/>
                <w:lang w:val="en-AU"/>
              </w:rPr>
            </w:pPr>
            <w:r w:rsidRPr="004F798E">
              <w:rPr>
                <w:b/>
                <w:bCs/>
                <w:color w:val="auto"/>
                <w:lang w:val="en-AU"/>
              </w:rPr>
              <w:t>Agree</w:t>
            </w:r>
          </w:p>
        </w:tc>
        <w:tc>
          <w:tcPr>
            <w:tcW w:w="3965" w:type="dxa"/>
            <w:shd w:val="clear" w:color="auto" w:fill="auto"/>
          </w:tcPr>
          <w:p w14:paraId="589493C6" w14:textId="2CEDCA14" w:rsidR="00E90F39" w:rsidRPr="004F798E" w:rsidRDefault="00E90F39" w:rsidP="003F2BFE">
            <w:pPr>
              <w:cnfStyle w:val="000000100000" w:firstRow="0" w:lastRow="0" w:firstColumn="0" w:lastColumn="0" w:oddVBand="0" w:evenVBand="0" w:oddHBand="1" w:evenHBand="0" w:firstRowFirstColumn="0" w:firstRowLastColumn="0" w:lastRowFirstColumn="0" w:lastRowLastColumn="0"/>
              <w:rPr>
                <w:color w:val="auto"/>
                <w:lang w:val="en-AU"/>
              </w:rPr>
            </w:pPr>
            <w:r w:rsidRPr="004F798E">
              <w:rPr>
                <w:color w:val="auto"/>
                <w:lang w:val="en-AU"/>
              </w:rPr>
              <w:t>KIAT will work closely with GOI to identify suitable activities to deliver on climate change priorities.</w:t>
            </w:r>
          </w:p>
        </w:tc>
        <w:tc>
          <w:tcPr>
            <w:tcW w:w="3662" w:type="dxa"/>
            <w:shd w:val="clear" w:color="auto" w:fill="auto"/>
          </w:tcPr>
          <w:p w14:paraId="249B2130" w14:textId="3141B58B" w:rsidR="00E90F39" w:rsidRPr="004F798E" w:rsidRDefault="007B7DED" w:rsidP="003F2BFE">
            <w:pPr>
              <w:cnfStyle w:val="000000100000" w:firstRow="0" w:lastRow="0" w:firstColumn="0" w:lastColumn="0" w:oddVBand="0" w:evenVBand="0" w:oddHBand="1" w:evenHBand="0" w:firstRowFirstColumn="0" w:firstRowLastColumn="0" w:lastRowFirstColumn="0" w:lastRowLastColumn="0"/>
              <w:rPr>
                <w:color w:val="auto"/>
                <w:lang w:val="en-AU"/>
              </w:rPr>
            </w:pPr>
            <w:r>
              <w:rPr>
                <w:color w:val="auto"/>
                <w:lang w:val="en-AU"/>
              </w:rPr>
              <w:t xml:space="preserve">In consultation with DFAT and </w:t>
            </w:r>
            <w:proofErr w:type="spellStart"/>
            <w:r>
              <w:rPr>
                <w:color w:val="auto"/>
                <w:lang w:val="en-AU"/>
              </w:rPr>
              <w:t>GoI</w:t>
            </w:r>
            <w:proofErr w:type="spellEnd"/>
            <w:r>
              <w:rPr>
                <w:color w:val="auto"/>
                <w:lang w:val="en-AU"/>
              </w:rPr>
              <w:t xml:space="preserve">, </w:t>
            </w:r>
            <w:r w:rsidR="00F54312" w:rsidRPr="004F798E">
              <w:rPr>
                <w:color w:val="auto"/>
                <w:lang w:val="en-AU"/>
              </w:rPr>
              <w:t>KIAT will prepare an overarching climate change strategy for its work program in Phase 2. This will be informed by</w:t>
            </w:r>
            <w:r w:rsidR="00CF4B79" w:rsidRPr="004F798E">
              <w:rPr>
                <w:color w:val="auto"/>
                <w:lang w:val="en-AU"/>
              </w:rPr>
              <w:t xml:space="preserve"> analy</w:t>
            </w:r>
            <w:r w:rsidR="00F54312" w:rsidRPr="004F798E">
              <w:rPr>
                <w:color w:val="auto"/>
                <w:lang w:val="en-AU"/>
              </w:rPr>
              <w:t xml:space="preserve">tical work and </w:t>
            </w:r>
            <w:r w:rsidR="006D2290" w:rsidRPr="004F798E">
              <w:rPr>
                <w:color w:val="auto"/>
                <w:lang w:val="en-AU"/>
              </w:rPr>
              <w:t xml:space="preserve">include </w:t>
            </w:r>
            <w:r w:rsidR="00CF4B79" w:rsidRPr="004F798E">
              <w:rPr>
                <w:color w:val="auto"/>
                <w:lang w:val="en-AU"/>
              </w:rPr>
              <w:t xml:space="preserve">resourcing implications. </w:t>
            </w:r>
          </w:p>
          <w:p w14:paraId="69ED14AC" w14:textId="443114F9" w:rsidR="00CF4B79" w:rsidRPr="004F798E" w:rsidRDefault="00CF4B79" w:rsidP="006D2290">
            <w:pPr>
              <w:cnfStyle w:val="000000100000" w:firstRow="0" w:lastRow="0" w:firstColumn="0" w:lastColumn="0" w:oddVBand="0" w:evenVBand="0" w:oddHBand="1" w:evenHBand="0" w:firstRowFirstColumn="0" w:firstRowLastColumn="0" w:lastRowFirstColumn="0" w:lastRowLastColumn="0"/>
              <w:rPr>
                <w:color w:val="auto"/>
                <w:lang w:val="en-AU"/>
              </w:rPr>
            </w:pPr>
          </w:p>
        </w:tc>
        <w:tc>
          <w:tcPr>
            <w:tcW w:w="1548" w:type="dxa"/>
            <w:shd w:val="clear" w:color="auto" w:fill="auto"/>
          </w:tcPr>
          <w:p w14:paraId="56F5F9A8" w14:textId="4E30E0E8" w:rsidR="00E90F39" w:rsidRPr="004F798E" w:rsidRDefault="00CF4B79" w:rsidP="003F2BFE">
            <w:pPr>
              <w:cnfStyle w:val="000000100000" w:firstRow="0" w:lastRow="0" w:firstColumn="0" w:lastColumn="0" w:oddVBand="0" w:evenVBand="0" w:oddHBand="1" w:evenHBand="0" w:firstRowFirstColumn="0" w:firstRowLastColumn="0" w:lastRowFirstColumn="0" w:lastRowLastColumn="0"/>
              <w:rPr>
                <w:color w:val="auto"/>
                <w:lang w:val="en-AU"/>
              </w:rPr>
            </w:pPr>
            <w:r w:rsidRPr="004F798E">
              <w:rPr>
                <w:color w:val="auto"/>
                <w:lang w:val="en-AU"/>
              </w:rPr>
              <w:t>March</w:t>
            </w:r>
            <w:r w:rsidR="00E90F39" w:rsidRPr="004F798E">
              <w:rPr>
                <w:color w:val="auto"/>
                <w:lang w:val="en-AU"/>
              </w:rPr>
              <w:t xml:space="preserve"> 2022 </w:t>
            </w:r>
          </w:p>
        </w:tc>
      </w:tr>
    </w:tbl>
    <w:p w14:paraId="22FB1D29" w14:textId="77777777" w:rsidR="00271AF2" w:rsidRPr="00C10415" w:rsidRDefault="00271AF2" w:rsidP="00271AF2">
      <w:pPr>
        <w:rPr>
          <w:lang w:val="en-AU"/>
        </w:rPr>
      </w:pPr>
    </w:p>
    <w:p w14:paraId="5B1A6164" w14:textId="77777777" w:rsidR="00271AF2" w:rsidRDefault="00271AF2" w:rsidP="00271AF2"/>
    <w:sectPr w:rsidR="00271AF2" w:rsidSect="00271AF2">
      <w:pgSz w:w="16838" w:h="11906" w:orient="landscape" w:code="9"/>
      <w:pgMar w:top="1134" w:right="1701" w:bottom="1134" w:left="1985"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38F30" w14:textId="77777777" w:rsidR="00271AF2" w:rsidRDefault="00271AF2" w:rsidP="00271AF2">
      <w:pPr>
        <w:spacing w:before="0" w:after="0" w:line="240" w:lineRule="auto"/>
      </w:pPr>
      <w:r>
        <w:separator/>
      </w:r>
    </w:p>
  </w:endnote>
  <w:endnote w:type="continuationSeparator" w:id="0">
    <w:p w14:paraId="53D5F4A0" w14:textId="77777777" w:rsidR="00271AF2" w:rsidRDefault="00271AF2" w:rsidP="00271A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9C014" w14:textId="77777777" w:rsidR="00271AF2" w:rsidRDefault="00271AF2" w:rsidP="00271AF2">
      <w:pPr>
        <w:spacing w:before="0" w:after="0" w:line="240" w:lineRule="auto"/>
      </w:pPr>
      <w:r>
        <w:separator/>
      </w:r>
    </w:p>
  </w:footnote>
  <w:footnote w:type="continuationSeparator" w:id="0">
    <w:p w14:paraId="5807D83C" w14:textId="77777777" w:rsidR="00271AF2" w:rsidRDefault="00271AF2" w:rsidP="00271AF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56043A"/>
    <w:multiLevelType w:val="multilevel"/>
    <w:tmpl w:val="69AEB596"/>
    <w:numStyleLink w:val="BulletsList"/>
  </w:abstractNum>
  <w:abstractNum w:abstractNumId="1"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4472C4" w:themeColor="accent1"/>
      </w:rPr>
    </w:lvl>
    <w:lvl w:ilvl="1">
      <w:start w:val="1"/>
      <w:numFmt w:val="bullet"/>
      <w:pStyle w:val="Bullet2"/>
      <w:lvlText w:val="–"/>
      <w:lvlJc w:val="left"/>
      <w:pPr>
        <w:tabs>
          <w:tab w:val="num" w:pos="568"/>
        </w:tabs>
        <w:ind w:left="568" w:hanging="284"/>
      </w:pPr>
      <w:rPr>
        <w:rFonts w:ascii="Arial" w:hAnsi="Arial" w:hint="default"/>
        <w:color w:val="4472C4" w:themeColor="accent1"/>
      </w:rPr>
    </w:lvl>
    <w:lvl w:ilvl="2">
      <w:start w:val="1"/>
      <w:numFmt w:val="bullet"/>
      <w:pStyle w:val="Bullet3"/>
      <w:lvlText w:val="»"/>
      <w:lvlJc w:val="left"/>
      <w:pPr>
        <w:tabs>
          <w:tab w:val="num" w:pos="852"/>
        </w:tabs>
        <w:ind w:left="852" w:hanging="285"/>
      </w:pPr>
      <w:rPr>
        <w:rFonts w:ascii="Arial" w:hAnsi="Arial" w:hint="default"/>
        <w:color w:val="4472C4"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AF2"/>
    <w:rsid w:val="000204ED"/>
    <w:rsid w:val="00036759"/>
    <w:rsid w:val="000A4A5A"/>
    <w:rsid w:val="000D7C9D"/>
    <w:rsid w:val="000F4987"/>
    <w:rsid w:val="001109F7"/>
    <w:rsid w:val="001333C8"/>
    <w:rsid w:val="001A216E"/>
    <w:rsid w:val="00215206"/>
    <w:rsid w:val="00257CCC"/>
    <w:rsid w:val="00271AF2"/>
    <w:rsid w:val="002D4B28"/>
    <w:rsid w:val="002F1030"/>
    <w:rsid w:val="00311EDA"/>
    <w:rsid w:val="003311ED"/>
    <w:rsid w:val="00350FBC"/>
    <w:rsid w:val="00375801"/>
    <w:rsid w:val="003F2BFE"/>
    <w:rsid w:val="00403C42"/>
    <w:rsid w:val="004463C8"/>
    <w:rsid w:val="004F6232"/>
    <w:rsid w:val="004F798E"/>
    <w:rsid w:val="00560C1D"/>
    <w:rsid w:val="0059042E"/>
    <w:rsid w:val="005C0AE1"/>
    <w:rsid w:val="006670E5"/>
    <w:rsid w:val="00692BEB"/>
    <w:rsid w:val="006A3645"/>
    <w:rsid w:val="006B57DC"/>
    <w:rsid w:val="006B6E92"/>
    <w:rsid w:val="006D2290"/>
    <w:rsid w:val="006E3C5D"/>
    <w:rsid w:val="007233A0"/>
    <w:rsid w:val="00750B46"/>
    <w:rsid w:val="007532E6"/>
    <w:rsid w:val="007B7DED"/>
    <w:rsid w:val="007D3334"/>
    <w:rsid w:val="007E5732"/>
    <w:rsid w:val="00811264"/>
    <w:rsid w:val="00847EFE"/>
    <w:rsid w:val="008545D7"/>
    <w:rsid w:val="008574D1"/>
    <w:rsid w:val="00912204"/>
    <w:rsid w:val="00961B03"/>
    <w:rsid w:val="00991607"/>
    <w:rsid w:val="009929FD"/>
    <w:rsid w:val="009C4B14"/>
    <w:rsid w:val="00BC141F"/>
    <w:rsid w:val="00C81361"/>
    <w:rsid w:val="00C961B5"/>
    <w:rsid w:val="00CB413D"/>
    <w:rsid w:val="00CF11C3"/>
    <w:rsid w:val="00CF2825"/>
    <w:rsid w:val="00CF4B79"/>
    <w:rsid w:val="00CF665C"/>
    <w:rsid w:val="00D038A5"/>
    <w:rsid w:val="00D16D4B"/>
    <w:rsid w:val="00D57AFD"/>
    <w:rsid w:val="00D75BF3"/>
    <w:rsid w:val="00E54553"/>
    <w:rsid w:val="00E67986"/>
    <w:rsid w:val="00E90F39"/>
    <w:rsid w:val="00EE6AF6"/>
    <w:rsid w:val="00F201CA"/>
    <w:rsid w:val="00F41CA6"/>
    <w:rsid w:val="00F54312"/>
    <w:rsid w:val="00F54F57"/>
    <w:rsid w:val="00F94932"/>
    <w:rsid w:val="00FF60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454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AF2"/>
    <w:pPr>
      <w:suppressAutoHyphens/>
      <w:spacing w:before="120" w:after="60" w:line="260" w:lineRule="atLeast"/>
    </w:pPr>
    <w:rPr>
      <w:color w:val="44546A" w:themeColor="text2"/>
      <w:lang w:val="en-GB"/>
    </w:rPr>
  </w:style>
  <w:style w:type="paragraph" w:styleId="Heading2">
    <w:name w:val="heading 2"/>
    <w:basedOn w:val="Normal"/>
    <w:next w:val="Normal"/>
    <w:link w:val="Heading2Char"/>
    <w:uiPriority w:val="9"/>
    <w:semiHidden/>
    <w:unhideWhenUsed/>
    <w:qFormat/>
    <w:rsid w:val="00271A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nhideWhenUsed/>
    <w:qFormat/>
    <w:rsid w:val="00271AF2"/>
    <w:pPr>
      <w:spacing w:before="480" w:after="120" w:line="360" w:lineRule="atLeast"/>
      <w:contextualSpacing/>
      <w:outlineLvl w:val="2"/>
    </w:pPr>
    <w:rPr>
      <w:bCs/>
      <w:color w:val="44546A" w:themeColor="text2"/>
      <w:sz w:val="3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71AF2"/>
    <w:rPr>
      <w:rFonts w:asciiTheme="majorHAnsi" w:eastAsiaTheme="majorEastAsia" w:hAnsiTheme="majorHAnsi" w:cstheme="majorBidi"/>
      <w:bCs/>
      <w:color w:val="44546A" w:themeColor="text2"/>
      <w:sz w:val="30"/>
      <w:szCs w:val="26"/>
    </w:rPr>
  </w:style>
  <w:style w:type="paragraph" w:customStyle="1" w:styleId="Bullet1">
    <w:name w:val="Bullet 1"/>
    <w:basedOn w:val="Normal"/>
    <w:qFormat/>
    <w:rsid w:val="00271AF2"/>
    <w:pPr>
      <w:numPr>
        <w:numId w:val="2"/>
      </w:numPr>
      <w:tabs>
        <w:tab w:val="left" w:pos="567"/>
      </w:tabs>
      <w:spacing w:before="60"/>
    </w:pPr>
  </w:style>
  <w:style w:type="paragraph" w:customStyle="1" w:styleId="Bullet2">
    <w:name w:val="Bullet 2"/>
    <w:basedOn w:val="Bullet1"/>
    <w:qFormat/>
    <w:rsid w:val="00271AF2"/>
    <w:pPr>
      <w:numPr>
        <w:ilvl w:val="1"/>
      </w:numPr>
      <w:tabs>
        <w:tab w:val="clear" w:pos="568"/>
        <w:tab w:val="left" w:pos="851"/>
      </w:tabs>
    </w:pPr>
  </w:style>
  <w:style w:type="paragraph" w:customStyle="1" w:styleId="Bullet3">
    <w:name w:val="Bullet 3"/>
    <w:basedOn w:val="Bullet2"/>
    <w:qFormat/>
    <w:rsid w:val="00271AF2"/>
    <w:pPr>
      <w:numPr>
        <w:ilvl w:val="2"/>
      </w:numPr>
      <w:tabs>
        <w:tab w:val="clear" w:pos="852"/>
        <w:tab w:val="left" w:pos="1134"/>
      </w:tabs>
    </w:pPr>
  </w:style>
  <w:style w:type="numbering" w:customStyle="1" w:styleId="BulletsList">
    <w:name w:val="Bullets List"/>
    <w:uiPriority w:val="99"/>
    <w:rsid w:val="00271AF2"/>
    <w:pPr>
      <w:numPr>
        <w:numId w:val="1"/>
      </w:numPr>
    </w:pPr>
  </w:style>
  <w:style w:type="paragraph" w:customStyle="1" w:styleId="TableHeaderRow">
    <w:name w:val="Table Header Row"/>
    <w:basedOn w:val="Normal"/>
    <w:qFormat/>
    <w:rsid w:val="00271AF2"/>
    <w:pPr>
      <w:spacing w:before="60"/>
    </w:pPr>
    <w:rPr>
      <w:rFonts w:ascii="Calibri" w:hAnsi="Calibri"/>
      <w:b/>
      <w:color w:val="FFFFFF" w:themeColor="background1"/>
      <w:szCs w:val="21"/>
    </w:rPr>
  </w:style>
  <w:style w:type="table" w:customStyle="1" w:styleId="DFATTable1">
    <w:name w:val="DFAT Table 1"/>
    <w:basedOn w:val="TableNormal"/>
    <w:uiPriority w:val="99"/>
    <w:rsid w:val="00271AF2"/>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4472C4" w:themeColor="accent1"/>
          <w:bottom w:val="single" w:sz="4" w:space="0" w:color="4472C4" w:themeColor="accent1"/>
          <w:insideH w:val="single" w:sz="4" w:space="0" w:color="4472C4" w:themeColor="accent1"/>
        </w:tcBorders>
        <w:shd w:val="clear" w:color="auto" w:fill="4472C4"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9E2F3" w:themeFill="accent1" w:themeFillTint="33"/>
      </w:tcPr>
    </w:tblStylePr>
    <w:tblStylePr w:type="band2Vert">
      <w:tblPr/>
      <w:tcPr>
        <w:shd w:val="clear" w:color="auto" w:fill="B4C6E7" w:themeFill="accent1" w:themeFillTint="66"/>
      </w:tcPr>
    </w:tblStylePr>
    <w:tblStylePr w:type="band1Horz">
      <w:tblPr/>
      <w:tcPr>
        <w:shd w:val="clear" w:color="auto" w:fill="D9E2F3" w:themeFill="accent1" w:themeFillTint="33"/>
      </w:tcPr>
    </w:tblStylePr>
    <w:tblStylePr w:type="band2Horz">
      <w:tblPr/>
      <w:tcPr>
        <w:shd w:val="clear" w:color="auto" w:fill="B4C6E7" w:themeFill="accent1" w:themeFillTint="66"/>
      </w:tcPr>
    </w:tblStylePr>
  </w:style>
  <w:style w:type="paragraph" w:styleId="BodyText">
    <w:name w:val="Body Text"/>
    <w:basedOn w:val="Normal"/>
    <w:link w:val="BodyTextChar"/>
    <w:uiPriority w:val="99"/>
    <w:unhideWhenUsed/>
    <w:qFormat/>
    <w:rsid w:val="00271AF2"/>
  </w:style>
  <w:style w:type="character" w:customStyle="1" w:styleId="BodyTextChar">
    <w:name w:val="Body Text Char"/>
    <w:basedOn w:val="DefaultParagraphFont"/>
    <w:link w:val="BodyText"/>
    <w:uiPriority w:val="99"/>
    <w:rsid w:val="00271AF2"/>
    <w:rPr>
      <w:color w:val="44546A" w:themeColor="text2"/>
      <w:lang w:val="en-GB"/>
    </w:rPr>
  </w:style>
  <w:style w:type="character" w:customStyle="1" w:styleId="Heading2Char">
    <w:name w:val="Heading 2 Char"/>
    <w:basedOn w:val="DefaultParagraphFont"/>
    <w:link w:val="Heading2"/>
    <w:uiPriority w:val="9"/>
    <w:semiHidden/>
    <w:rsid w:val="00271AF2"/>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FF600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005"/>
    <w:rPr>
      <w:rFonts w:ascii="Segoe UI" w:hAnsi="Segoe UI" w:cs="Segoe UI"/>
      <w:color w:val="44546A" w:themeColor="text2"/>
      <w:sz w:val="18"/>
      <w:szCs w:val="18"/>
      <w:lang w:val="en-GB"/>
    </w:rPr>
  </w:style>
  <w:style w:type="table" w:styleId="TableGrid">
    <w:name w:val="Table Grid"/>
    <w:basedOn w:val="TableNormal"/>
    <w:uiPriority w:val="39"/>
    <w:rsid w:val="00811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F2BFE"/>
    <w:pPr>
      <w:suppressAutoHyphens w:val="0"/>
      <w:spacing w:before="0" w:after="0" w:line="240" w:lineRule="auto"/>
    </w:pPr>
    <w:rPr>
      <w:rFonts w:ascii="Arial" w:eastAsia="Arial" w:hAnsi="Arial" w:cs="Times New Roman"/>
      <w:color w:val="auto"/>
      <w:sz w:val="20"/>
      <w:szCs w:val="20"/>
      <w:lang w:val="en-AU"/>
    </w:rPr>
  </w:style>
  <w:style w:type="character" w:customStyle="1" w:styleId="CommentTextChar">
    <w:name w:val="Comment Text Char"/>
    <w:basedOn w:val="DefaultParagraphFont"/>
    <w:link w:val="CommentText"/>
    <w:uiPriority w:val="99"/>
    <w:rsid w:val="003F2BFE"/>
    <w:rPr>
      <w:rFonts w:ascii="Arial" w:eastAsia="Arial" w:hAnsi="Arial" w:cs="Times New Roman"/>
      <w:sz w:val="20"/>
      <w:szCs w:val="20"/>
    </w:rPr>
  </w:style>
  <w:style w:type="character" w:styleId="CommentReference">
    <w:name w:val="annotation reference"/>
    <w:basedOn w:val="DefaultParagraphFont"/>
    <w:uiPriority w:val="99"/>
    <w:semiHidden/>
    <w:unhideWhenUsed/>
    <w:rsid w:val="003F2BFE"/>
    <w:rPr>
      <w:sz w:val="16"/>
      <w:szCs w:val="16"/>
    </w:rPr>
  </w:style>
  <w:style w:type="paragraph" w:styleId="CommentSubject">
    <w:name w:val="annotation subject"/>
    <w:basedOn w:val="CommentText"/>
    <w:next w:val="CommentText"/>
    <w:link w:val="CommentSubjectChar"/>
    <w:uiPriority w:val="99"/>
    <w:semiHidden/>
    <w:unhideWhenUsed/>
    <w:rsid w:val="00CF11C3"/>
    <w:pPr>
      <w:suppressAutoHyphens/>
      <w:spacing w:before="120" w:after="60"/>
    </w:pPr>
    <w:rPr>
      <w:rFonts w:asciiTheme="minorHAnsi" w:eastAsiaTheme="minorHAnsi" w:hAnsiTheme="minorHAnsi" w:cstheme="minorBidi"/>
      <w:b/>
      <w:bCs/>
      <w:color w:val="44546A" w:themeColor="text2"/>
      <w:lang w:val="en-GB"/>
    </w:rPr>
  </w:style>
  <w:style w:type="character" w:customStyle="1" w:styleId="CommentSubjectChar">
    <w:name w:val="Comment Subject Char"/>
    <w:basedOn w:val="CommentTextChar"/>
    <w:link w:val="CommentSubject"/>
    <w:uiPriority w:val="99"/>
    <w:semiHidden/>
    <w:rsid w:val="00CF11C3"/>
    <w:rPr>
      <w:rFonts w:ascii="Arial" w:eastAsia="Arial" w:hAnsi="Arial" w:cs="Times New Roman"/>
      <w:b/>
      <w:bCs/>
      <w:color w:val="44546A" w:themeColor="text2"/>
      <w:sz w:val="20"/>
      <w:szCs w:val="20"/>
      <w:lang w:val="en-GB"/>
    </w:rPr>
  </w:style>
  <w:style w:type="paragraph" w:styleId="Header">
    <w:name w:val="header"/>
    <w:basedOn w:val="Normal"/>
    <w:link w:val="HeaderChar"/>
    <w:uiPriority w:val="99"/>
    <w:unhideWhenUsed/>
    <w:rsid w:val="007233A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233A0"/>
    <w:rPr>
      <w:color w:val="44546A" w:themeColor="text2"/>
      <w:lang w:val="en-GB"/>
    </w:rPr>
  </w:style>
  <w:style w:type="paragraph" w:styleId="Footer">
    <w:name w:val="footer"/>
    <w:basedOn w:val="Normal"/>
    <w:link w:val="FooterChar"/>
    <w:uiPriority w:val="99"/>
    <w:unhideWhenUsed/>
    <w:rsid w:val="007233A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233A0"/>
    <w:rPr>
      <w:color w:val="44546A"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04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1043</Words>
  <Characters>5983</Characters>
  <Application>Microsoft Office Word</Application>
  <DocSecurity>0</DocSecurity>
  <Lines>244</Lines>
  <Paragraphs>59</Paragraphs>
  <ScaleCrop>false</ScaleCrop>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2021-09-23T06:05:00Z</dcterms:created>
  <dcterms:modified xsi:type="dcterms:W3CDTF">2021-09-23T06:05:00Z</dcterms:modified>
  <cp:category/>
</cp:coreProperties>
</file>