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46A" w:rsidRDefault="0059146A" w:rsidP="005B5769">
      <w:pPr>
        <w:pStyle w:val="ListBullet"/>
        <w:tabs>
          <w:tab w:val="clear" w:pos="284"/>
        </w:tabs>
      </w:pPr>
      <w:bookmarkStart w:id="0" w:name="_GoBack"/>
      <w:bookmarkEnd w:id="0"/>
    </w:p>
    <w:p w:rsidR="00B67BAC" w:rsidRDefault="00B67BAC" w:rsidP="005B5769">
      <w:pPr>
        <w:pStyle w:val="ListBullet"/>
        <w:tabs>
          <w:tab w:val="clear" w:pos="284"/>
        </w:tabs>
      </w:pPr>
    </w:p>
    <w:p w:rsidR="0059146A" w:rsidRDefault="0059146A" w:rsidP="005B5769">
      <w:pPr>
        <w:pStyle w:val="ListBullet"/>
        <w:tabs>
          <w:tab w:val="clear" w:pos="284"/>
        </w:tabs>
      </w:pPr>
    </w:p>
    <w:p w:rsidR="0059146A" w:rsidRPr="0059146A" w:rsidRDefault="0059146A" w:rsidP="005B5769">
      <w:pPr>
        <w:pStyle w:val="ListBullet"/>
        <w:tabs>
          <w:tab w:val="clear" w:pos="284"/>
        </w:tabs>
      </w:pPr>
    </w:p>
    <w:p w:rsidR="00A56F14" w:rsidRPr="0059146A" w:rsidRDefault="00A56F14" w:rsidP="0059146A">
      <w:pPr>
        <w:pStyle w:val="ListBullet"/>
        <w:tabs>
          <w:tab w:val="clear" w:pos="284"/>
        </w:tabs>
      </w:pPr>
    </w:p>
    <w:p w:rsidR="00A56F14" w:rsidRDefault="00A56F14" w:rsidP="00A56F14">
      <w:pPr>
        <w:spacing w:after="200" w:line="276" w:lineRule="auto"/>
        <w:rPr>
          <w:b/>
        </w:rPr>
      </w:pPr>
    </w:p>
    <w:p w:rsidR="00A56F14" w:rsidRDefault="00A56F14" w:rsidP="00A56F14">
      <w:pPr>
        <w:spacing w:after="200" w:line="276" w:lineRule="auto"/>
        <w:rPr>
          <w:b/>
        </w:rPr>
      </w:pPr>
    </w:p>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A56F14" w:rsidRPr="002A51CA" w:rsidRDefault="00A56F14" w:rsidP="002A51CA">
      <w:pPr>
        <w:pStyle w:val="Title"/>
        <w:spacing w:after="120" w:line="600" w:lineRule="exact"/>
        <w:rPr>
          <w:spacing w:val="-20"/>
          <w:sz w:val="60"/>
        </w:rPr>
      </w:pPr>
      <w:r w:rsidRPr="002A51CA">
        <w:rPr>
          <w:noProof/>
          <w:spacing w:val="-20"/>
          <w:sz w:val="60"/>
          <w:lang w:val="en-AU" w:eastAsia="en-AU"/>
        </w:rPr>
        <w:drawing>
          <wp:anchor distT="0" distB="0" distL="114300" distR="114300" simplePos="0" relativeHeight="251664384" behindDoc="1" locked="1" layoutInCell="1" allowOverlap="1" wp14:anchorId="73463FB3" wp14:editId="69069E8D">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2A51CA">
        <w:rPr>
          <w:noProof/>
          <w:spacing w:val="-20"/>
          <w:sz w:val="60"/>
          <w:lang w:val="en-AU" w:eastAsia="en-AU"/>
        </w:rPr>
        <w:drawing>
          <wp:anchor distT="0" distB="0" distL="114300" distR="114300" simplePos="0" relativeHeight="251663360" behindDoc="1" locked="1" layoutInCell="1" allowOverlap="1" wp14:anchorId="3DFD700C" wp14:editId="3EC05A9F">
            <wp:simplePos x="0" y="0"/>
            <wp:positionH relativeFrom="page">
              <wp:posOffset>7620</wp:posOffset>
            </wp:positionH>
            <wp:positionV relativeFrom="page">
              <wp:posOffset>-7620</wp:posOffset>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2A51CA">
        <w:rPr>
          <w:spacing w:val="-20"/>
          <w:sz w:val="60"/>
        </w:rPr>
        <w:t xml:space="preserve">Aid Program Performance </w:t>
      </w:r>
    </w:p>
    <w:p w:rsidR="00C6626C" w:rsidRPr="002A51CA" w:rsidRDefault="00C6626C" w:rsidP="002A51CA">
      <w:pPr>
        <w:pStyle w:val="Title"/>
        <w:spacing w:after="120" w:line="600" w:lineRule="exact"/>
        <w:rPr>
          <w:spacing w:val="-20"/>
          <w:sz w:val="60"/>
        </w:rPr>
      </w:pPr>
      <w:r w:rsidRPr="002A51CA">
        <w:rPr>
          <w:spacing w:val="-20"/>
          <w:sz w:val="60"/>
        </w:rPr>
        <w:t>Report 201</w:t>
      </w:r>
      <w:r w:rsidR="004C1501">
        <w:rPr>
          <w:spacing w:val="-20"/>
          <w:sz w:val="60"/>
        </w:rPr>
        <w:t>8</w:t>
      </w:r>
      <w:r w:rsidRPr="002A51CA">
        <w:rPr>
          <w:spacing w:val="-20"/>
          <w:sz w:val="60"/>
        </w:rPr>
        <w:t>-1</w:t>
      </w:r>
      <w:r w:rsidR="004C1501">
        <w:rPr>
          <w:spacing w:val="-20"/>
          <w:sz w:val="60"/>
        </w:rPr>
        <w:t>9</w:t>
      </w:r>
    </w:p>
    <w:p w:rsidR="00C6626C" w:rsidRDefault="00062E0E" w:rsidP="00A56F14">
      <w:r>
        <w:rPr>
          <w:sz w:val="40"/>
        </w:rPr>
        <w:t>Indonesia</w:t>
      </w:r>
      <w:r w:rsidR="00C6626C" w:rsidRPr="002A51CA">
        <w:rPr>
          <w:sz w:val="40"/>
        </w:rPr>
        <w:t xml:space="preserve"> Program</w:t>
      </w:r>
    </w:p>
    <w:p w:rsidR="00C6626C" w:rsidRPr="00D25373" w:rsidRDefault="00C6626C" w:rsidP="00A56F14">
      <w:pPr>
        <w:rPr>
          <w:sz w:val="24"/>
        </w:rPr>
        <w:sectPr w:rsidR="00C6626C" w:rsidRPr="00D25373" w:rsidSect="008E3474">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docGrid w:linePitch="360"/>
        </w:sectPr>
      </w:pPr>
      <w:r w:rsidRPr="002A51CA">
        <w:rPr>
          <w:sz w:val="24"/>
        </w:rPr>
        <w:t>September 201</w:t>
      </w:r>
      <w:r w:rsidR="00062E0E">
        <w:rPr>
          <w:sz w:val="24"/>
        </w:rPr>
        <w:t>9</w:t>
      </w:r>
    </w:p>
    <w:p w:rsidR="00C6626C" w:rsidRPr="00C61187" w:rsidRDefault="00C6626C" w:rsidP="00EE1F4D">
      <w:pPr>
        <w:pStyle w:val="ListBullet"/>
        <w:tabs>
          <w:tab w:val="clear" w:pos="284"/>
        </w:tabs>
        <w:spacing w:before="120"/>
        <w:rPr>
          <w:kern w:val="28"/>
        </w:rPr>
      </w:pPr>
      <w:r w:rsidRPr="002A51CA">
        <w:rPr>
          <w:rFonts w:asciiTheme="majorHAnsi" w:eastAsiaTheme="majorEastAsia" w:hAnsiTheme="majorHAnsi" w:cstheme="majorBidi"/>
          <w:caps/>
          <w:color w:val="495965" w:themeColor="text2"/>
          <w:sz w:val="38"/>
          <w:szCs w:val="26"/>
          <w:lang w:val="en-GB" w:eastAsia="en-US"/>
        </w:rPr>
        <w:lastRenderedPageBreak/>
        <w:t>Key Messages</w:t>
      </w:r>
    </w:p>
    <w:p w:rsidR="00EB24DC" w:rsidRDefault="00EB24DC" w:rsidP="00B63145">
      <w:pPr>
        <w:spacing w:before="200" w:after="0" w:line="240" w:lineRule="auto"/>
      </w:pPr>
      <w:r>
        <w:t>Indonesia is one of Australia’s most important bilateral relationships</w:t>
      </w:r>
      <w:r w:rsidRPr="00E17789">
        <w:t xml:space="preserve">. </w:t>
      </w:r>
      <w:r>
        <w:t xml:space="preserve">As close neighbours, </w:t>
      </w:r>
      <w:r w:rsidR="00C249F3">
        <w:t>w</w:t>
      </w:r>
      <w:r w:rsidRPr="00E17789">
        <w:t xml:space="preserve">e </w:t>
      </w:r>
      <w:r>
        <w:t>share</w:t>
      </w:r>
      <w:r w:rsidRPr="00E17789">
        <w:t xml:space="preserve"> key strategic, security and economic interests</w:t>
      </w:r>
      <w:r w:rsidR="00B63145">
        <w:t>,</w:t>
      </w:r>
      <w:r w:rsidRPr="00E17789">
        <w:t xml:space="preserve"> </w:t>
      </w:r>
      <w:r>
        <w:t xml:space="preserve">and Indonesia’s continued prosperity and stability is fundamental </w:t>
      </w:r>
      <w:r w:rsidRPr="00E7692F">
        <w:t>for our shared global future</w:t>
      </w:r>
      <w:r w:rsidR="00201AD7">
        <w:rPr>
          <w:rStyle w:val="EndnoteReference"/>
        </w:rPr>
        <w:endnoteReference w:id="1"/>
      </w:r>
      <w:r w:rsidRPr="00E7692F">
        <w:t>.</w:t>
      </w:r>
      <w:r>
        <w:t xml:space="preserve"> 2018-19 marked an elevation of our bilateral relationship with the finalisation of the </w:t>
      </w:r>
      <w:r w:rsidRPr="00D23644">
        <w:t xml:space="preserve">Comprehensive Strategic Partnership (CSP) and </w:t>
      </w:r>
      <w:r>
        <w:t xml:space="preserve">signing of the </w:t>
      </w:r>
      <w:r w:rsidRPr="00D23644">
        <w:t>I</w:t>
      </w:r>
      <w:r>
        <w:t>ndonesia-</w:t>
      </w:r>
      <w:r w:rsidRPr="00D23644">
        <w:t>A</w:t>
      </w:r>
      <w:r>
        <w:t>ustralia Comprehensive Economic Partnership Agreement (IA-</w:t>
      </w:r>
      <w:r w:rsidRPr="00D23644">
        <w:t>CEPA</w:t>
      </w:r>
      <w:r>
        <w:t>). These m</w:t>
      </w:r>
      <w:r w:rsidRPr="00D23644">
        <w:t xml:space="preserve">ajor achievements </w:t>
      </w:r>
      <w:r>
        <w:t>provide a platform for greater strategic cooperation in our re</w:t>
      </w:r>
      <w:r w:rsidR="00AF33FA">
        <w:t>gion as well as increased trade,</w:t>
      </w:r>
      <w:r w:rsidR="00C33684">
        <w:t xml:space="preserve"> </w:t>
      </w:r>
      <w:r>
        <w:t>investment and economic opportunities for both countries.</w:t>
      </w:r>
    </w:p>
    <w:p w:rsidR="00EB24DC" w:rsidRDefault="00EB24DC" w:rsidP="00EE1F4D">
      <w:pPr>
        <w:spacing w:before="200" w:after="0" w:line="240" w:lineRule="auto"/>
      </w:pPr>
      <w:r>
        <w:t>Australia’s longstanding development cooperation with Indonesia is a vital part of the relationship</w:t>
      </w:r>
      <w:r w:rsidR="00C249F3">
        <w:t>, targeting areas of strategic importance to our shared interests</w:t>
      </w:r>
      <w:r>
        <w:t>. While Indonesia’s economy continues to grow, it faces challenges</w:t>
      </w:r>
      <w:r w:rsidRPr="006C3D8A">
        <w:t xml:space="preserve"> in infrastructure, skills and institutions </w:t>
      </w:r>
      <w:r>
        <w:t xml:space="preserve">that </w:t>
      </w:r>
      <w:r w:rsidRPr="006C3D8A">
        <w:t xml:space="preserve">threaten the rate and sustainability of growth. </w:t>
      </w:r>
      <w:r w:rsidR="00A3405F">
        <w:t>Indonesia has a limited window to harness its demographic advantage by creating productive</w:t>
      </w:r>
      <w:r w:rsidR="00F612EC" w:rsidRPr="00A3405F">
        <w:t xml:space="preserve"> jobs for </w:t>
      </w:r>
      <w:r w:rsidR="00A3405F">
        <w:t>its</w:t>
      </w:r>
      <w:r w:rsidR="00F612EC" w:rsidRPr="00A3405F">
        <w:t xml:space="preserve"> young population</w:t>
      </w:r>
      <w:r w:rsidR="00A3405F">
        <w:t xml:space="preserve">. However, economic growth </w:t>
      </w:r>
      <w:r w:rsidR="00F612EC" w:rsidRPr="00A3405F">
        <w:t>has been constrained by structural weaknesses, including low tax revenues, shallow financial markets, and labour and product market rigidities</w:t>
      </w:r>
      <w:r w:rsidR="00F612EC" w:rsidRPr="00A3405F">
        <w:rPr>
          <w:rStyle w:val="EndnoteReference"/>
        </w:rPr>
        <w:endnoteReference w:id="2"/>
      </w:r>
      <w:r w:rsidR="00F612EC" w:rsidRPr="00A3405F">
        <w:t xml:space="preserve">. </w:t>
      </w:r>
      <w:r w:rsidRPr="00A3405F">
        <w:t>A</w:t>
      </w:r>
      <w:r>
        <w:t>ustralia works in partnership with Indonesia, sharing experiences, ideas and expertise to help address Indonesia’s development challenges and inform new approaches</w:t>
      </w:r>
      <w:r w:rsidR="00F612EC">
        <w:t xml:space="preserve"> for inclusive economic growth.</w:t>
      </w:r>
    </w:p>
    <w:p w:rsidR="00EB24DC" w:rsidRDefault="00EB24DC" w:rsidP="00EB24DC">
      <w:pPr>
        <w:spacing w:after="0" w:line="240" w:lineRule="auto"/>
      </w:pPr>
      <w:r>
        <w:t xml:space="preserve">This report assesses </w:t>
      </w:r>
      <w:r w:rsidR="00EE1F4D">
        <w:t xml:space="preserve">the </w:t>
      </w:r>
      <w:r>
        <w:t xml:space="preserve">performance of Australia’s </w:t>
      </w:r>
      <w:r w:rsidR="00754B01">
        <w:t>development</w:t>
      </w:r>
      <w:r>
        <w:t xml:space="preserve"> program in Indonesia from July 2018 to June 2019 against the Indonesia Aid Investment Plan (AIP) 2015-2019. The AIP has three key development objectives: (1) effective economic institutions and infrastructure; (2) human development for a productive and health</w:t>
      </w:r>
      <w:r w:rsidR="00947DFD">
        <w:t>y</w:t>
      </w:r>
      <w:r>
        <w:t xml:space="preserve"> society; and (3) an inclusive society through effective governance. The AIP is under review, and we will work with stakeholders in Australia and Indonesia on the next phase of our development partnership to align with the re</w:t>
      </w:r>
      <w:r w:rsidR="002A202F">
        <w:t>lease of Indonesia’s own medium-</w:t>
      </w:r>
      <w:r>
        <w:t xml:space="preserve">term development plan in 2020. </w:t>
      </w:r>
    </w:p>
    <w:p w:rsidR="00EB24DC" w:rsidRPr="00152F3D" w:rsidRDefault="00EB24DC" w:rsidP="00EB24DC">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Effective economic institutions and infrastructure</w:t>
      </w:r>
    </w:p>
    <w:p w:rsidR="00EB24DC" w:rsidRDefault="00EB24DC" w:rsidP="00EB24DC">
      <w:pPr>
        <w:pStyle w:val="ListBullet"/>
        <w:tabs>
          <w:tab w:val="clear" w:pos="284"/>
          <w:tab w:val="left" w:pos="720"/>
        </w:tabs>
        <w:spacing w:before="60"/>
        <w:rPr>
          <w:rFonts w:asciiTheme="minorHAnsi" w:eastAsiaTheme="minorHAnsi" w:hAnsiTheme="minorHAnsi" w:cstheme="minorBidi"/>
          <w:color w:val="495965" w:themeColor="text2"/>
          <w:sz w:val="22"/>
          <w:szCs w:val="22"/>
          <w:lang w:val="en-GB" w:eastAsia="en-US"/>
        </w:rPr>
      </w:pPr>
      <w:r>
        <w:rPr>
          <w:rFonts w:asciiTheme="minorHAnsi" w:eastAsiaTheme="minorHAnsi" w:hAnsiTheme="minorHAnsi" w:cstheme="minorBidi"/>
          <w:color w:val="495965" w:themeColor="text2"/>
          <w:sz w:val="22"/>
          <w:szCs w:val="22"/>
          <w:lang w:val="en-GB" w:eastAsia="en-US"/>
        </w:rPr>
        <w:t>Building economic resilience is critical for Indonesia’s sustainable economic growth. Australia is a trusted partner with over 40 yea</w:t>
      </w:r>
      <w:r w:rsidR="005D0A89">
        <w:rPr>
          <w:rFonts w:asciiTheme="minorHAnsi" w:eastAsiaTheme="minorHAnsi" w:hAnsiTheme="minorHAnsi" w:cstheme="minorBidi"/>
          <w:color w:val="495965" w:themeColor="text2"/>
          <w:sz w:val="22"/>
          <w:szCs w:val="22"/>
          <w:lang w:val="en-GB" w:eastAsia="en-US"/>
        </w:rPr>
        <w:t>rs of engagement with Indonesia</w:t>
      </w:r>
      <w:r>
        <w:rPr>
          <w:rFonts w:asciiTheme="minorHAnsi" w:eastAsiaTheme="minorHAnsi" w:hAnsiTheme="minorHAnsi" w:cstheme="minorBidi"/>
          <w:color w:val="495965" w:themeColor="text2"/>
          <w:sz w:val="22"/>
          <w:szCs w:val="22"/>
          <w:lang w:val="en-GB" w:eastAsia="en-US"/>
        </w:rPr>
        <w:t xml:space="preserve"> </w:t>
      </w:r>
      <w:r w:rsidR="0001168E">
        <w:rPr>
          <w:rFonts w:asciiTheme="minorHAnsi" w:eastAsiaTheme="minorHAnsi" w:hAnsiTheme="minorHAnsi" w:cstheme="minorBidi"/>
          <w:color w:val="495965" w:themeColor="text2"/>
          <w:sz w:val="22"/>
          <w:szCs w:val="22"/>
          <w:lang w:val="en-GB" w:eastAsia="en-US"/>
        </w:rPr>
        <w:t>in</w:t>
      </w:r>
      <w:r>
        <w:rPr>
          <w:rFonts w:asciiTheme="minorHAnsi" w:eastAsiaTheme="minorHAnsi" w:hAnsiTheme="minorHAnsi" w:cstheme="minorBidi"/>
          <w:color w:val="495965" w:themeColor="text2"/>
          <w:sz w:val="22"/>
          <w:szCs w:val="22"/>
          <w:lang w:val="en-GB" w:eastAsia="en-US"/>
        </w:rPr>
        <w:t xml:space="preserve"> econo</w:t>
      </w:r>
      <w:r w:rsidR="00947DFD">
        <w:rPr>
          <w:rFonts w:asciiTheme="minorHAnsi" w:eastAsiaTheme="minorHAnsi" w:hAnsiTheme="minorHAnsi" w:cstheme="minorBidi"/>
          <w:color w:val="495965" w:themeColor="text2"/>
          <w:sz w:val="22"/>
          <w:szCs w:val="22"/>
          <w:lang w:val="en-GB" w:eastAsia="en-US"/>
        </w:rPr>
        <w:t xml:space="preserve">mic and infrastructure reform. </w:t>
      </w:r>
      <w:r>
        <w:rPr>
          <w:rFonts w:asciiTheme="minorHAnsi" w:eastAsiaTheme="minorHAnsi" w:hAnsiTheme="minorHAnsi" w:cstheme="minorBidi"/>
          <w:color w:val="495965" w:themeColor="text2"/>
          <w:sz w:val="22"/>
          <w:szCs w:val="22"/>
          <w:lang w:val="en-GB" w:eastAsia="en-US"/>
        </w:rPr>
        <w:t xml:space="preserve">Australia’s technical assistance has helped Indonesia reduce its administrative costs by </w:t>
      </w:r>
      <w:r w:rsidR="005F14EE">
        <w:rPr>
          <w:rFonts w:asciiTheme="minorHAnsi" w:eastAsiaTheme="minorHAnsi" w:hAnsiTheme="minorHAnsi" w:cstheme="minorBidi"/>
          <w:color w:val="495965" w:themeColor="text2"/>
          <w:sz w:val="22"/>
          <w:szCs w:val="22"/>
          <w:lang w:val="en-GB" w:eastAsia="en-US"/>
        </w:rPr>
        <w:t xml:space="preserve">over </w:t>
      </w:r>
      <w:r w:rsidR="00020705">
        <w:rPr>
          <w:rFonts w:asciiTheme="minorHAnsi" w:eastAsiaTheme="minorHAnsi" w:hAnsiTheme="minorHAnsi" w:cstheme="minorBidi"/>
          <w:color w:val="495965" w:themeColor="text2"/>
          <w:sz w:val="22"/>
          <w:szCs w:val="22"/>
          <w:lang w:val="en-GB" w:eastAsia="en-US"/>
        </w:rPr>
        <w:t>AUD1.7</w:t>
      </w:r>
      <w:r w:rsidR="005F14EE" w:rsidRPr="00E80C09">
        <w:rPr>
          <w:rFonts w:asciiTheme="minorHAnsi" w:eastAsiaTheme="minorHAnsi" w:hAnsiTheme="minorHAnsi" w:cstheme="minorBidi"/>
          <w:color w:val="495965" w:themeColor="text2"/>
          <w:sz w:val="22"/>
          <w:szCs w:val="22"/>
          <w:lang w:val="en-GB" w:eastAsia="en-US"/>
        </w:rPr>
        <w:t xml:space="preserve"> billion</w:t>
      </w:r>
      <w:r w:rsidR="005C4B98">
        <w:rPr>
          <w:rFonts w:asciiTheme="minorHAnsi" w:eastAsiaTheme="minorHAnsi" w:hAnsiTheme="minorHAnsi" w:cstheme="minorBidi"/>
          <w:color w:val="495965" w:themeColor="text2"/>
          <w:sz w:val="22"/>
          <w:szCs w:val="22"/>
          <w:lang w:val="en-GB" w:eastAsia="en-US"/>
        </w:rPr>
        <w:t xml:space="preserve"> </w:t>
      </w:r>
      <w:r>
        <w:rPr>
          <w:rFonts w:asciiTheme="minorHAnsi" w:eastAsiaTheme="minorHAnsi" w:hAnsiTheme="minorHAnsi" w:cstheme="minorBidi"/>
          <w:color w:val="495965" w:themeColor="text2"/>
          <w:sz w:val="22"/>
          <w:szCs w:val="22"/>
          <w:lang w:val="en-GB" w:eastAsia="en-US"/>
        </w:rPr>
        <w:t xml:space="preserve">resulting in more national budget for investment in social, economic and infrastructure programs. </w:t>
      </w:r>
      <w:r w:rsidRPr="00EF1571">
        <w:rPr>
          <w:rFonts w:asciiTheme="minorHAnsi" w:eastAsiaTheme="minorHAnsi" w:hAnsiTheme="minorHAnsi" w:cstheme="minorBidi"/>
          <w:color w:val="495965" w:themeColor="text2"/>
          <w:sz w:val="22"/>
          <w:szCs w:val="22"/>
          <w:lang w:val="en-GB" w:eastAsia="en-US"/>
        </w:rPr>
        <w:t xml:space="preserve">Australia has helped </w:t>
      </w:r>
      <w:r>
        <w:rPr>
          <w:rFonts w:asciiTheme="minorHAnsi" w:eastAsiaTheme="minorHAnsi" w:hAnsiTheme="minorHAnsi" w:cstheme="minorBidi"/>
          <w:color w:val="495965" w:themeColor="text2"/>
          <w:sz w:val="22"/>
          <w:szCs w:val="22"/>
          <w:lang w:val="en-GB" w:eastAsia="en-US"/>
        </w:rPr>
        <w:t>Indonesia</w:t>
      </w:r>
      <w:r w:rsidRPr="00EF1571">
        <w:rPr>
          <w:rFonts w:asciiTheme="minorHAnsi" w:eastAsiaTheme="minorHAnsi" w:hAnsiTheme="minorHAnsi" w:cstheme="minorBidi"/>
          <w:color w:val="495965" w:themeColor="text2"/>
          <w:sz w:val="22"/>
          <w:szCs w:val="22"/>
          <w:lang w:val="en-GB" w:eastAsia="en-US"/>
        </w:rPr>
        <w:t xml:space="preserve"> plan, budget and </w:t>
      </w:r>
      <w:r w:rsidR="00EE1F4D">
        <w:rPr>
          <w:rFonts w:asciiTheme="minorHAnsi" w:eastAsiaTheme="minorHAnsi" w:hAnsiTheme="minorHAnsi" w:cstheme="minorBidi"/>
          <w:color w:val="495965" w:themeColor="text2"/>
          <w:sz w:val="22"/>
          <w:szCs w:val="22"/>
          <w:lang w:val="en-GB" w:eastAsia="en-US"/>
        </w:rPr>
        <w:t>access</w:t>
      </w:r>
      <w:r w:rsidRPr="00EF1571">
        <w:rPr>
          <w:rFonts w:asciiTheme="minorHAnsi" w:eastAsiaTheme="minorHAnsi" w:hAnsiTheme="minorHAnsi" w:cstheme="minorBidi"/>
          <w:color w:val="495965" w:themeColor="text2"/>
          <w:sz w:val="22"/>
          <w:szCs w:val="22"/>
          <w:lang w:val="en-GB" w:eastAsia="en-US"/>
        </w:rPr>
        <w:t xml:space="preserve"> multilat</w:t>
      </w:r>
      <w:r w:rsidRPr="00EE727D">
        <w:rPr>
          <w:rFonts w:asciiTheme="minorHAnsi" w:eastAsiaTheme="minorHAnsi" w:hAnsiTheme="minorHAnsi" w:cstheme="minorBidi"/>
          <w:color w:val="495965" w:themeColor="text2"/>
          <w:sz w:val="22"/>
          <w:szCs w:val="22"/>
          <w:lang w:val="en-GB" w:eastAsia="en-US"/>
        </w:rPr>
        <w:t>eral loans, leveraging over AUD</w:t>
      </w:r>
      <w:r w:rsidRPr="00EF1571">
        <w:rPr>
          <w:rFonts w:asciiTheme="minorHAnsi" w:eastAsiaTheme="minorHAnsi" w:hAnsiTheme="minorHAnsi" w:cstheme="minorBidi"/>
          <w:color w:val="495965" w:themeColor="text2"/>
          <w:sz w:val="22"/>
          <w:szCs w:val="22"/>
          <w:lang w:val="en-GB" w:eastAsia="en-US"/>
        </w:rPr>
        <w:t xml:space="preserve">2 billion </w:t>
      </w:r>
      <w:r>
        <w:rPr>
          <w:rFonts w:asciiTheme="minorHAnsi" w:eastAsiaTheme="minorHAnsi" w:hAnsiTheme="minorHAnsi" w:cstheme="minorBidi"/>
          <w:color w:val="495965" w:themeColor="text2"/>
          <w:sz w:val="22"/>
          <w:szCs w:val="22"/>
          <w:lang w:val="en-GB" w:eastAsia="en-US"/>
        </w:rPr>
        <w:t>to finance</w:t>
      </w:r>
      <w:r w:rsidRPr="00EF1571">
        <w:rPr>
          <w:rFonts w:asciiTheme="minorHAnsi" w:eastAsiaTheme="minorHAnsi" w:hAnsiTheme="minorHAnsi" w:cstheme="minorBidi"/>
          <w:color w:val="495965" w:themeColor="text2"/>
          <w:sz w:val="22"/>
          <w:szCs w:val="22"/>
          <w:lang w:val="en-GB" w:eastAsia="en-US"/>
        </w:rPr>
        <w:t xml:space="preserve"> priority infrastructure. </w:t>
      </w:r>
      <w:r>
        <w:rPr>
          <w:rFonts w:asciiTheme="minorHAnsi" w:eastAsiaTheme="minorHAnsi" w:hAnsiTheme="minorHAnsi" w:cstheme="minorBidi"/>
          <w:color w:val="495965" w:themeColor="text2"/>
          <w:sz w:val="22"/>
          <w:szCs w:val="22"/>
          <w:lang w:val="en-GB" w:eastAsia="en-US"/>
        </w:rPr>
        <w:t>Indonesia has committed AUD50 million from its national budget to roll-out an Australian fund</w:t>
      </w:r>
      <w:r w:rsidR="00AF33FA">
        <w:rPr>
          <w:rFonts w:asciiTheme="minorHAnsi" w:eastAsiaTheme="minorHAnsi" w:hAnsiTheme="minorHAnsi" w:cstheme="minorBidi"/>
          <w:color w:val="495965" w:themeColor="text2"/>
          <w:sz w:val="22"/>
          <w:szCs w:val="22"/>
          <w:lang w:val="en-GB" w:eastAsia="en-US"/>
        </w:rPr>
        <w:t>ed pilot to incentivise better provincial and d</w:t>
      </w:r>
      <w:r>
        <w:rPr>
          <w:rFonts w:asciiTheme="minorHAnsi" w:eastAsiaTheme="minorHAnsi" w:hAnsiTheme="minorHAnsi" w:cstheme="minorBidi"/>
          <w:color w:val="495965" w:themeColor="text2"/>
          <w:sz w:val="22"/>
          <w:szCs w:val="22"/>
          <w:lang w:val="en-GB" w:eastAsia="en-US"/>
        </w:rPr>
        <w:t xml:space="preserve">istrict road maintenance. </w:t>
      </w:r>
    </w:p>
    <w:p w:rsidR="00D5437A" w:rsidRPr="00152F3D" w:rsidRDefault="00D5437A" w:rsidP="00D5437A">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Human development for a productive and healthy society</w:t>
      </w:r>
    </w:p>
    <w:p w:rsidR="00D5437A" w:rsidRDefault="00D5437A" w:rsidP="00D5437A">
      <w:pPr>
        <w:suppressAutoHyphens w:val="0"/>
        <w:spacing w:before="0" w:after="160" w:line="259" w:lineRule="auto"/>
      </w:pPr>
      <w:r>
        <w:t>Investment in human development sets the foundations for inclusive economic growth, improving livelihoods to lift people out of poverty and engage productively in society. Indonesia’s national poverty rate fell</w:t>
      </w:r>
      <w:r w:rsidRPr="00F0176B">
        <w:t xml:space="preserve"> below 10 per cent for the first time</w:t>
      </w:r>
      <w:r>
        <w:t xml:space="preserve"> in 2018. Australia’s assistance directly supported this reduction in poverty by helping Indonesia expand social protection to more than </w:t>
      </w:r>
      <w:r w:rsidR="00AF33FA">
        <w:t>nine</w:t>
      </w:r>
      <w:r>
        <w:t xml:space="preserve"> </w:t>
      </w:r>
      <w:r w:rsidRPr="00F448E1">
        <w:t xml:space="preserve">million </w:t>
      </w:r>
      <w:r>
        <w:t xml:space="preserve">poor and vulnerable Indonesians. Through our education support, we have helped </w:t>
      </w:r>
      <w:r w:rsidR="00AF33FA">
        <w:t>one</w:t>
      </w:r>
      <w:r>
        <w:t xml:space="preserve"> million madrasah teachers </w:t>
      </w:r>
      <w:r w:rsidR="00A3405F">
        <w:t xml:space="preserve">to </w:t>
      </w:r>
      <w:r>
        <w:t>access quality professional development programs to help improve student learning outcomes. Australia’s assistance improved water access to 5.7 million people, including 12,567 people living with disability.</w:t>
      </w:r>
    </w:p>
    <w:p w:rsidR="00D5437A" w:rsidRPr="00152F3D" w:rsidRDefault="00D5437A" w:rsidP="00D5437A">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 xml:space="preserve">An inclusive society through effective governance </w:t>
      </w:r>
    </w:p>
    <w:p w:rsidR="00D5437A" w:rsidRDefault="00D5437A" w:rsidP="00D5437A">
      <w:pPr>
        <w:suppressAutoHyphens w:val="0"/>
        <w:spacing w:before="0" w:after="160" w:line="259" w:lineRule="auto"/>
      </w:pPr>
      <w:r>
        <w:t>Australia is helping Indonesians access services and economic opportunities wherever they live</w:t>
      </w:r>
      <w:r w:rsidRPr="00F0176B">
        <w:t>.</w:t>
      </w:r>
      <w:r>
        <w:t xml:space="preserve"> Australia supported 311 target villages provide more health, education, and basic infrastructure services through</w:t>
      </w:r>
      <w:r w:rsidR="00F612EC">
        <w:t xml:space="preserve"> improved planning and budgeting.  Australia </w:t>
      </w:r>
      <w:r>
        <w:t xml:space="preserve">helped increase women’s participation in 200 newly formed village groups responsible for </w:t>
      </w:r>
      <w:r w:rsidR="00F612EC">
        <w:t xml:space="preserve">making </w:t>
      </w:r>
      <w:r>
        <w:t xml:space="preserve">development and budgeting decisions at the local government level. </w:t>
      </w:r>
      <w:r w:rsidR="00F612EC">
        <w:t>To ensure marginalised groups are not left behind, Australia improved access to legal identity documents for 4,427 people with disabilities that are essential for Indonesians to access government services</w:t>
      </w:r>
      <w:r>
        <w:t>.</w:t>
      </w:r>
    </w:p>
    <w:p w:rsidR="00C6626C" w:rsidRPr="00C61187" w:rsidRDefault="00C6626C" w:rsidP="00EE1F4D">
      <w:pPr>
        <w:pStyle w:val="ListBullet"/>
        <w:tabs>
          <w:tab w:val="clear" w:pos="284"/>
        </w:tabs>
        <w:spacing w:before="480"/>
        <w:rPr>
          <w:kern w:val="28"/>
        </w:rPr>
      </w:pPr>
      <w:r w:rsidRPr="002A51CA">
        <w:rPr>
          <w:rFonts w:asciiTheme="majorHAnsi" w:eastAsiaTheme="majorEastAsia" w:hAnsiTheme="majorHAnsi" w:cstheme="majorBidi"/>
          <w:caps/>
          <w:color w:val="495965" w:themeColor="text2"/>
          <w:sz w:val="38"/>
          <w:szCs w:val="26"/>
          <w:lang w:val="en-GB" w:eastAsia="en-US"/>
        </w:rPr>
        <w:lastRenderedPageBreak/>
        <w:t xml:space="preserve">Context </w:t>
      </w:r>
    </w:p>
    <w:p w:rsidR="008D485E" w:rsidRPr="00D25373" w:rsidRDefault="008D485E" w:rsidP="008D485E">
      <w:r w:rsidRPr="00D25373">
        <w:t xml:space="preserve">There have been significant milestones in the bilateral relationship over the reporting period. </w:t>
      </w:r>
      <w:r>
        <w:t xml:space="preserve">Prime Minister Morrison’s first overseas visit was to Indonesia in 2018, </w:t>
      </w:r>
      <w:r w:rsidR="00E31A85">
        <w:t>and together with President Widodo</w:t>
      </w:r>
      <w:r>
        <w:t xml:space="preserve"> </w:t>
      </w:r>
      <w:r w:rsidR="00B6778E">
        <w:t xml:space="preserve">he </w:t>
      </w:r>
      <w:r>
        <w:t>elevated our bilateral relationship to a</w:t>
      </w:r>
      <w:r w:rsidRPr="00D25373">
        <w:t xml:space="preserve"> Comprehensive Strategic Partnership (CSP). The CSP provides a framework </w:t>
      </w:r>
      <w:r>
        <w:t>for enhanced</w:t>
      </w:r>
      <w:r w:rsidRPr="00D25373">
        <w:t xml:space="preserve"> cooperation </w:t>
      </w:r>
      <w:r>
        <w:t xml:space="preserve">to </w:t>
      </w:r>
      <w:r w:rsidRPr="00D25373">
        <w:t>further our shared vision of a peaceful, prosperous and resilient Indo-Pacific</w:t>
      </w:r>
      <w:r>
        <w:t xml:space="preserve"> region</w:t>
      </w:r>
      <w:r w:rsidR="001559EC">
        <w:t>.</w:t>
      </w:r>
      <w:r w:rsidRPr="00D25373">
        <w:t xml:space="preserve"> </w:t>
      </w:r>
    </w:p>
    <w:p w:rsidR="008D485E" w:rsidRPr="00D25373" w:rsidRDefault="00D52340" w:rsidP="008D485E">
      <w:r>
        <w:t>T</w:t>
      </w:r>
      <w:r w:rsidR="008D485E">
        <w:t>he signing of the Indonesia-Australia Comprehensive Economic Partnership Agreement (IA-CEPA)</w:t>
      </w:r>
      <w:r>
        <w:t xml:space="preserve"> in March 2019 advances</w:t>
      </w:r>
      <w:r w:rsidR="008D485E" w:rsidRPr="00D25373">
        <w:t xml:space="preserve"> the economic ties between our nations to </w:t>
      </w:r>
      <w:r w:rsidR="008D485E">
        <w:t>unlock the vast potential of our bilateral economic partnership</w:t>
      </w:r>
      <w:r w:rsidR="008D485E" w:rsidRPr="00D25373">
        <w:t xml:space="preserve">. Australia </w:t>
      </w:r>
      <w:r>
        <w:t>will</w:t>
      </w:r>
      <w:r w:rsidR="008D485E" w:rsidRPr="00D25373">
        <w:t xml:space="preserve"> establish an economic cooperation package to implement a program of policy advice and activities af</w:t>
      </w:r>
      <w:r w:rsidR="00E31A85">
        <w:t xml:space="preserve">ter IA-CEPA enters into force. </w:t>
      </w:r>
      <w:r w:rsidR="00E31A85" w:rsidRPr="004C1D83">
        <w:t>Australia and Indonesia also reaffirmed their commitment to enhanced cooperation on maritime issues, signing the Maritime Cooperation Plan of Action for 2018-2022</w:t>
      </w:r>
      <w:r w:rsidR="001559EC">
        <w:t>,</w:t>
      </w:r>
      <w:r w:rsidR="00E31A85" w:rsidRPr="004C1D83">
        <w:t xml:space="preserve"> and agreeing </w:t>
      </w:r>
      <w:r w:rsidR="00D8710C">
        <w:t xml:space="preserve">to </w:t>
      </w:r>
      <w:r w:rsidR="00E31A85" w:rsidRPr="004C1D83">
        <w:t>a new Maritime Capacity Building Initiative (MCBI)</w:t>
      </w:r>
      <w:r w:rsidR="00E31A85">
        <w:t>.</w:t>
      </w:r>
    </w:p>
    <w:p w:rsidR="00D70A9E" w:rsidRPr="00C00905" w:rsidRDefault="00D70A9E" w:rsidP="00D70A9E">
      <w:r w:rsidRPr="00D25373">
        <w:t>2018 marked 20 years of democracy in Indonesia. Against this backdrop</w:t>
      </w:r>
      <w:r w:rsidR="004E0D7B">
        <w:t>,</w:t>
      </w:r>
      <w:r w:rsidRPr="00D25373">
        <w:t xml:space="preserve"> Indonesia held presidential </w:t>
      </w:r>
      <w:r w:rsidR="008D485E">
        <w:t xml:space="preserve">and legislative </w:t>
      </w:r>
      <w:r w:rsidRPr="00D25373">
        <w:t>elections</w:t>
      </w:r>
      <w:r w:rsidR="004E0D7B" w:rsidRPr="004E0D7B">
        <w:t xml:space="preserve"> </w:t>
      </w:r>
      <w:r w:rsidR="004E0D7B" w:rsidRPr="00D25373">
        <w:t>in April 2019</w:t>
      </w:r>
      <w:r w:rsidRPr="00D25373">
        <w:t xml:space="preserve">. </w:t>
      </w:r>
      <w:r w:rsidR="008D485E">
        <w:t>Over 158</w:t>
      </w:r>
      <w:r w:rsidRPr="00D25373">
        <w:t xml:space="preserve"> million Indonesians voted </w:t>
      </w:r>
      <w:r w:rsidR="008D485E">
        <w:t>to fill over</w:t>
      </w:r>
      <w:r w:rsidRPr="00D25373">
        <w:t xml:space="preserve"> 20,000 legislative seats across </w:t>
      </w:r>
      <w:r w:rsidR="000364F9">
        <w:t>four</w:t>
      </w:r>
      <w:r w:rsidRPr="00D25373">
        <w:t xml:space="preserve"> levels of government</w:t>
      </w:r>
      <w:r w:rsidR="000364F9">
        <w:t>, plus the presidency,</w:t>
      </w:r>
      <w:r w:rsidRPr="00D25373">
        <w:t xml:space="preserve"> in the largest single-day election anywhere in the world. </w:t>
      </w:r>
      <w:r w:rsidRPr="00C00905">
        <w:t xml:space="preserve">Despite </w:t>
      </w:r>
      <w:r w:rsidR="000364F9" w:rsidRPr="00C00905">
        <w:t xml:space="preserve">small-scale </w:t>
      </w:r>
      <w:r w:rsidRPr="00C00905">
        <w:t xml:space="preserve">protests following the announcement of results, research </w:t>
      </w:r>
      <w:r w:rsidR="00754B01">
        <w:t>showed</w:t>
      </w:r>
      <w:r w:rsidR="009B46B3">
        <w:t xml:space="preserve"> that at least 68 </w:t>
      </w:r>
      <w:r w:rsidRPr="00C00905">
        <w:t>per</w:t>
      </w:r>
      <w:r w:rsidR="009B46B3">
        <w:t xml:space="preserve"> </w:t>
      </w:r>
      <w:r w:rsidRPr="00C00905">
        <w:t xml:space="preserve">cent of Indonesians believed the recent elections were conducted fairly and since 2012 there has been an </w:t>
      </w:r>
      <w:r w:rsidR="00D8710C">
        <w:t xml:space="preserve">increase in public support for </w:t>
      </w:r>
      <w:r w:rsidRPr="00C00905">
        <w:t>democracy with 82 per cent of people saying it is the best form of government (up from 56 per cent in 2012). However, Indonesia’s democratic system is not without challenges. The study also show</w:t>
      </w:r>
      <w:r w:rsidR="004E0D7B">
        <w:t>ed</w:t>
      </w:r>
      <w:r w:rsidRPr="00C00905">
        <w:t xml:space="preserve"> a decline in some indicators of the quality of democracy.</w:t>
      </w:r>
      <w:r w:rsidRPr="00EE1F4D">
        <w:rPr>
          <w:rStyle w:val="EndnoteReference"/>
          <w:color w:val="595959" w:themeColor="text1" w:themeTint="A6"/>
        </w:rPr>
        <w:endnoteReference w:id="3"/>
      </w:r>
    </w:p>
    <w:p w:rsidR="00A365A0" w:rsidRDefault="00D70A9E" w:rsidP="00D70A9E">
      <w:r w:rsidRPr="00386EA9">
        <w:t>The</w:t>
      </w:r>
      <w:r w:rsidR="00D52340" w:rsidRPr="00386EA9">
        <w:t xml:space="preserve"> election</w:t>
      </w:r>
      <w:r w:rsidRPr="00386EA9">
        <w:t xml:space="preserve"> results sa</w:t>
      </w:r>
      <w:r w:rsidR="00D8710C">
        <w:t>w President Joko Widodo return</w:t>
      </w:r>
      <w:r w:rsidRPr="00386EA9">
        <w:t xml:space="preserve"> for a second five-year term. He pledged </w:t>
      </w:r>
      <w:r w:rsidR="00D52340" w:rsidRPr="00386EA9">
        <w:t>a continued</w:t>
      </w:r>
      <w:r w:rsidRPr="00386EA9">
        <w:t xml:space="preserve"> focus on infrastructure development and </w:t>
      </w:r>
      <w:r w:rsidR="00786D6E">
        <w:t>greater investment</w:t>
      </w:r>
      <w:r w:rsidRPr="00386EA9">
        <w:t xml:space="preserve"> in Indonesia's human capital </w:t>
      </w:r>
      <w:r w:rsidR="001F48CB" w:rsidRPr="00386EA9">
        <w:t xml:space="preserve">as </w:t>
      </w:r>
      <w:r w:rsidRPr="00386EA9">
        <w:t xml:space="preserve">a new priority. </w:t>
      </w:r>
      <w:r w:rsidR="00587E50" w:rsidRPr="00EE1F4D">
        <w:t>According to the World Bank’s</w:t>
      </w:r>
      <w:r w:rsidRPr="00386EA9">
        <w:t xml:space="preserve"> </w:t>
      </w:r>
      <w:r w:rsidR="00A365A0" w:rsidRPr="00386EA9">
        <w:t>Human Capital Index (HCI)</w:t>
      </w:r>
      <w:r w:rsidR="00786D6E">
        <w:rPr>
          <w:rStyle w:val="EndnoteReference"/>
        </w:rPr>
        <w:endnoteReference w:id="4"/>
      </w:r>
      <w:r w:rsidR="00587E50" w:rsidRPr="00EE1F4D">
        <w:t>, Indonesia ranks</w:t>
      </w:r>
      <w:r w:rsidRPr="00386EA9">
        <w:t xml:space="preserve"> lower than the average for </w:t>
      </w:r>
      <w:r w:rsidR="000364F9" w:rsidRPr="00386EA9">
        <w:t>South East Asia</w:t>
      </w:r>
      <w:r w:rsidRPr="00386EA9">
        <w:t xml:space="preserve"> and is lower than </w:t>
      </w:r>
      <w:r w:rsidR="00386EA9">
        <w:t>expected for its income level</w:t>
      </w:r>
      <w:r w:rsidR="00786D6E">
        <w:t>. One in three children under five years of age suffers from stunting</w:t>
      </w:r>
      <w:r w:rsidR="00386EA9" w:rsidRPr="00EE1F4D">
        <w:t xml:space="preserve"> that can impair childhood </w:t>
      </w:r>
      <w:r w:rsidR="00386EA9" w:rsidRPr="00386EA9">
        <w:t>cognitive</w:t>
      </w:r>
      <w:r w:rsidR="00386EA9" w:rsidRPr="00EE1F4D">
        <w:t xml:space="preserve"> development, and 55 per cent of Indonesian students who finish their education are functionally illiterate, missing out on the skills needed to succeed in the workforce.</w:t>
      </w:r>
      <w:r w:rsidR="00386EA9" w:rsidRPr="00386EA9">
        <w:rPr>
          <w:rFonts w:eastAsia="Times New Roman"/>
          <w:vertAlign w:val="superscript"/>
        </w:rPr>
        <w:t xml:space="preserve"> </w:t>
      </w:r>
      <w:r w:rsidR="00386EA9" w:rsidRPr="00386EA9">
        <w:rPr>
          <w:rFonts w:eastAsia="Times New Roman"/>
          <w:vertAlign w:val="superscript"/>
        </w:rPr>
        <w:endnoteReference w:id="5"/>
      </w:r>
      <w:r w:rsidR="00386EA9" w:rsidRPr="00EE1F4D">
        <w:t xml:space="preserve"> This poses a significant </w:t>
      </w:r>
      <w:r w:rsidR="009B46B3">
        <w:t xml:space="preserve">potential </w:t>
      </w:r>
      <w:r w:rsidR="00386EA9" w:rsidRPr="00EE1F4D">
        <w:t xml:space="preserve">constraint to Indonesia’s future productivity. </w:t>
      </w:r>
    </w:p>
    <w:p w:rsidR="00D70A9E" w:rsidRPr="00C00905" w:rsidRDefault="0047411B" w:rsidP="00D70A9E">
      <w:r>
        <w:rPr>
          <w:color w:val="595959" w:themeColor="text1" w:themeTint="A6"/>
          <w:lang w:val="en-AU"/>
        </w:rPr>
        <w:t xml:space="preserve">Structural and social barriers continue to entrench gender </w:t>
      </w:r>
      <w:r w:rsidRPr="0047411B">
        <w:t xml:space="preserve">inequality and </w:t>
      </w:r>
      <w:r w:rsidR="002A5D92">
        <w:t xml:space="preserve">reduce </w:t>
      </w:r>
      <w:r w:rsidRPr="0047411B">
        <w:t xml:space="preserve">women’s meaningful participation in Indonesia’s growth. Indonesia ranked 85 out of 149 on the World Economic Forum’s Global Gender Gap index in 2018, where women scored lower </w:t>
      </w:r>
      <w:r w:rsidR="002A5D92">
        <w:t xml:space="preserve">on </w:t>
      </w:r>
      <w:r w:rsidRPr="0047411B">
        <w:t xml:space="preserve">indicators of wellbeing. </w:t>
      </w:r>
      <w:r w:rsidR="00236FC5" w:rsidRPr="006D2152">
        <w:t>Women secured 20 per cent of seats in Parliament in the 2019</w:t>
      </w:r>
      <w:r w:rsidR="002A5D92">
        <w:t xml:space="preserve"> national elections. This was an </w:t>
      </w:r>
      <w:r w:rsidR="00236FC5" w:rsidRPr="006D2152">
        <w:t>increase from 17 per cent in 2014 but is still below the 30 per cent official quota.</w:t>
      </w:r>
      <w:r w:rsidR="00236FC5">
        <w:t xml:space="preserve"> </w:t>
      </w:r>
      <w:r w:rsidRPr="0047411B">
        <w:t xml:space="preserve">Women continue to be more vulnerable to poverty, have less access to basic services, face barriers to workforce participation, </w:t>
      </w:r>
      <w:r w:rsidR="00786D6E">
        <w:t xml:space="preserve">are </w:t>
      </w:r>
      <w:r w:rsidRPr="0047411B">
        <w:t xml:space="preserve">discriminated against, and </w:t>
      </w:r>
      <w:r w:rsidR="001F48CB">
        <w:t>vulnerable to</w:t>
      </w:r>
      <w:r w:rsidRPr="0047411B">
        <w:t xml:space="preserve"> sexual and gender-based violence. </w:t>
      </w:r>
      <w:r w:rsidR="001F48CB">
        <w:t>O</w:t>
      </w:r>
      <w:r w:rsidRPr="0047411B">
        <w:t xml:space="preserve">ur work must continue in partnership with Indonesia to advance women’s empowerment and meaningful participation, and address gender inequality as </w:t>
      </w:r>
      <w:r w:rsidR="00786D6E">
        <w:t xml:space="preserve">a </w:t>
      </w:r>
      <w:r w:rsidRPr="0047411B">
        <w:t>priority.</w:t>
      </w:r>
    </w:p>
    <w:p w:rsidR="002D17CB" w:rsidRDefault="001F48CB" w:rsidP="00D70A9E">
      <w:pPr>
        <w:rPr>
          <w:color w:val="595959" w:themeColor="text1" w:themeTint="A6"/>
        </w:rPr>
      </w:pPr>
      <w:r>
        <w:t xml:space="preserve">It </w:t>
      </w:r>
      <w:r w:rsidR="002D17CB" w:rsidRPr="004C67FC">
        <w:t>was a particularly bad year for disasters in Indonesia</w:t>
      </w:r>
      <w:r>
        <w:t xml:space="preserve"> during 2018</w:t>
      </w:r>
      <w:r w:rsidR="002D17CB" w:rsidRPr="004C67FC">
        <w:t>. Over 4,600 people were killed</w:t>
      </w:r>
      <w:r w:rsidR="009B46B3">
        <w:t xml:space="preserve"> as a result of natural disasters</w:t>
      </w:r>
      <w:r w:rsidR="002D17CB" w:rsidRPr="004C67FC">
        <w:t>, compared to 378 in 2017, the most in any single year since the 2004 tsunami</w:t>
      </w:r>
      <w:r w:rsidR="002D17CB" w:rsidRPr="004237F1">
        <w:rPr>
          <w:color w:val="595959" w:themeColor="text1" w:themeTint="A6"/>
        </w:rPr>
        <w:t>.</w:t>
      </w:r>
      <w:r w:rsidR="002D17CB">
        <w:rPr>
          <w:rStyle w:val="EndnoteReference"/>
          <w:color w:val="595959" w:themeColor="text1" w:themeTint="A6"/>
        </w:rPr>
        <w:endnoteReference w:id="6"/>
      </w:r>
      <w:r w:rsidR="002D17CB">
        <w:rPr>
          <w:color w:val="595959" w:themeColor="text1" w:themeTint="A6"/>
        </w:rPr>
        <w:t xml:space="preserve"> The disasters in Lombok and Central Sulawesi had a substantial economic impact, costing </w:t>
      </w:r>
      <w:r w:rsidR="002D17CB" w:rsidRPr="00C72C2E">
        <w:rPr>
          <w:color w:val="595959" w:themeColor="text1" w:themeTint="A6"/>
        </w:rPr>
        <w:t>$860 million</w:t>
      </w:r>
      <w:r w:rsidR="002D17CB" w:rsidRPr="00C72C2E">
        <w:rPr>
          <w:rStyle w:val="EndnoteReference"/>
          <w:color w:val="595959" w:themeColor="text1" w:themeTint="A6"/>
        </w:rPr>
        <w:endnoteReference w:id="7"/>
      </w:r>
      <w:r w:rsidR="002D17CB" w:rsidRPr="00C72C2E">
        <w:rPr>
          <w:color w:val="595959" w:themeColor="text1" w:themeTint="A6"/>
        </w:rPr>
        <w:t xml:space="preserve"> and $3.9 billion respectively</w:t>
      </w:r>
      <w:r w:rsidR="002D17CB" w:rsidRPr="00C72C2E">
        <w:rPr>
          <w:rStyle w:val="EndnoteReference"/>
          <w:color w:val="595959" w:themeColor="text1" w:themeTint="A6"/>
        </w:rPr>
        <w:endnoteReference w:id="8"/>
      </w:r>
      <w:r w:rsidR="002D17CB" w:rsidRPr="00C72C2E">
        <w:rPr>
          <w:color w:val="595959" w:themeColor="text1" w:themeTint="A6"/>
        </w:rPr>
        <w:t>,</w:t>
      </w:r>
      <w:r w:rsidR="002D17CB">
        <w:rPr>
          <w:color w:val="595959" w:themeColor="text1" w:themeTint="A6"/>
        </w:rPr>
        <w:t xml:space="preserve"> and it will take years </w:t>
      </w:r>
      <w:r w:rsidR="002D17CB" w:rsidRPr="004C67FC">
        <w:t>for communities to rebuild and recover from the emergencies. This is a clear reminder of the ongoing</w:t>
      </w:r>
      <w:r w:rsidR="002D17CB">
        <w:rPr>
          <w:color w:val="595959" w:themeColor="text1" w:themeTint="A6"/>
        </w:rPr>
        <w:t xml:space="preserve"> </w:t>
      </w:r>
      <w:r w:rsidR="002D17CB" w:rsidRPr="004C67FC">
        <w:t>downside risks in Indonesia and the power of disasters to wipe away development gains</w:t>
      </w:r>
      <w:r w:rsidR="002D17CB">
        <w:rPr>
          <w:color w:val="595959" w:themeColor="text1" w:themeTint="A6"/>
        </w:rPr>
        <w:t>.</w:t>
      </w:r>
    </w:p>
    <w:p w:rsidR="00FE5B4C" w:rsidRDefault="001F48CB" w:rsidP="0047411B">
      <w:pPr>
        <w:rPr>
          <w:color w:val="595959" w:themeColor="text1" w:themeTint="A6"/>
        </w:rPr>
      </w:pPr>
      <w:r>
        <w:rPr>
          <w:color w:val="595959" w:themeColor="text1" w:themeTint="A6"/>
        </w:rPr>
        <w:t>In 2018-19</w:t>
      </w:r>
      <w:r w:rsidR="001559EC">
        <w:rPr>
          <w:color w:val="595959" w:themeColor="text1" w:themeTint="A6"/>
        </w:rPr>
        <w:t>, Australia provided AUD331.6</w:t>
      </w:r>
      <w:r w:rsidR="00D70A9E" w:rsidRPr="006B0EEA">
        <w:rPr>
          <w:color w:val="595959" w:themeColor="text1" w:themeTint="A6"/>
        </w:rPr>
        <w:t xml:space="preserve"> million in Official Development Assistance</w:t>
      </w:r>
      <w:r>
        <w:rPr>
          <w:color w:val="595959" w:themeColor="text1" w:themeTint="A6"/>
        </w:rPr>
        <w:t xml:space="preserve"> (ODA)</w:t>
      </w:r>
      <w:r w:rsidR="00D70A9E" w:rsidRPr="006B0EEA">
        <w:rPr>
          <w:color w:val="595959" w:themeColor="text1" w:themeTint="A6"/>
        </w:rPr>
        <w:t xml:space="preserve"> to Indonesia. </w:t>
      </w:r>
      <w:r w:rsidR="00D70A9E" w:rsidRPr="0051650A">
        <w:rPr>
          <w:color w:val="595959" w:themeColor="text1" w:themeTint="A6"/>
        </w:rPr>
        <w:t xml:space="preserve">Australia is the </w:t>
      </w:r>
      <w:r w:rsidR="00D70A9E">
        <w:rPr>
          <w:color w:val="595959" w:themeColor="text1" w:themeTint="A6"/>
        </w:rPr>
        <w:t xml:space="preserve">fifth </w:t>
      </w:r>
      <w:r w:rsidR="00D70A9E" w:rsidRPr="0051650A">
        <w:rPr>
          <w:color w:val="595959" w:themeColor="text1" w:themeTint="A6"/>
        </w:rPr>
        <w:t>largest donor to Indonesia (after Japan, Germany</w:t>
      </w:r>
      <w:r w:rsidR="00D70A9E">
        <w:rPr>
          <w:color w:val="595959" w:themeColor="text1" w:themeTint="A6"/>
        </w:rPr>
        <w:t xml:space="preserve">, </w:t>
      </w:r>
      <w:r w:rsidR="00D70A9E" w:rsidRPr="0051650A">
        <w:rPr>
          <w:color w:val="595959" w:themeColor="text1" w:themeTint="A6"/>
        </w:rPr>
        <w:t>the United States</w:t>
      </w:r>
      <w:r w:rsidR="00D70A9E">
        <w:rPr>
          <w:color w:val="595959" w:themeColor="text1" w:themeTint="A6"/>
        </w:rPr>
        <w:t>, and France</w:t>
      </w:r>
      <w:r w:rsidR="00D70A9E" w:rsidRPr="0051650A">
        <w:rPr>
          <w:color w:val="595959" w:themeColor="text1" w:themeTint="A6"/>
        </w:rPr>
        <w:t xml:space="preserve">), and the second largest grant donor. </w:t>
      </w:r>
      <w:r w:rsidR="00D70A9E">
        <w:rPr>
          <w:color w:val="595959" w:themeColor="text1" w:themeTint="A6"/>
        </w:rPr>
        <w:t xml:space="preserve">Australia’s support remains a valuable source of advice and expertise for the Indonesian Government. </w:t>
      </w:r>
      <w:r w:rsidR="00947DFD">
        <w:rPr>
          <w:color w:val="595959" w:themeColor="text1" w:themeTint="A6"/>
        </w:rPr>
        <w:t>In 2019, t</w:t>
      </w:r>
      <w:r w:rsidR="00D70A9E">
        <w:rPr>
          <w:color w:val="595959" w:themeColor="text1" w:themeTint="A6"/>
        </w:rPr>
        <w:t>he Indonesian Vice President, Finance Minister and Minister for Development Planning all wrote to the Joint Standing Committee on Foreign Affairs, Defence and Trade inquiry into Australia’s development program</w:t>
      </w:r>
      <w:r>
        <w:rPr>
          <w:color w:val="595959" w:themeColor="text1" w:themeTint="A6"/>
        </w:rPr>
        <w:t xml:space="preserve"> and</w:t>
      </w:r>
      <w:r w:rsidR="00D70A9E">
        <w:rPr>
          <w:color w:val="595959" w:themeColor="text1" w:themeTint="A6"/>
        </w:rPr>
        <w:t xml:space="preserve"> reaffirmed that our development partnership </w:t>
      </w:r>
      <w:r w:rsidR="000364F9">
        <w:rPr>
          <w:color w:val="595959" w:themeColor="text1" w:themeTint="A6"/>
        </w:rPr>
        <w:t>is</w:t>
      </w:r>
      <w:r w:rsidR="00F01C03">
        <w:rPr>
          <w:color w:val="595959" w:themeColor="text1" w:themeTint="A6"/>
        </w:rPr>
        <w:t xml:space="preserve"> highly valued </w:t>
      </w:r>
      <w:r w:rsidR="002B7C3A">
        <w:rPr>
          <w:color w:val="595959" w:themeColor="text1" w:themeTint="A6"/>
        </w:rPr>
        <w:t xml:space="preserve">in supporting policy development </w:t>
      </w:r>
      <w:r w:rsidR="00F01C03">
        <w:rPr>
          <w:color w:val="595959" w:themeColor="text1" w:themeTint="A6"/>
        </w:rPr>
        <w:t>and</w:t>
      </w:r>
      <w:r w:rsidR="00D70A9E">
        <w:rPr>
          <w:color w:val="595959" w:themeColor="text1" w:themeTint="A6"/>
        </w:rPr>
        <w:t xml:space="preserve"> a fundamental element</w:t>
      </w:r>
      <w:r w:rsidR="0047411B">
        <w:rPr>
          <w:color w:val="595959" w:themeColor="text1" w:themeTint="A6"/>
        </w:rPr>
        <w:t xml:space="preserve"> of our bilateral relationship.</w:t>
      </w:r>
    </w:p>
    <w:p w:rsidR="00587E50" w:rsidRPr="0047411B" w:rsidRDefault="00587E50" w:rsidP="0047411B">
      <w:pPr>
        <w:rPr>
          <w:color w:val="595959" w:themeColor="text1" w:themeTint="A6"/>
        </w:rPr>
      </w:pPr>
    </w:p>
    <w:p w:rsidR="00C6626C" w:rsidRPr="002A51CA" w:rsidRDefault="00C6626C" w:rsidP="002A51CA">
      <w:pPr>
        <w:pStyle w:val="ListBullet"/>
        <w:tabs>
          <w:tab w:val="clear" w:pos="284"/>
        </w:tabs>
        <w:spacing w:before="360"/>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Expenditure</w:t>
      </w:r>
      <w:r w:rsidR="00282D5C">
        <w:rPr>
          <w:rFonts w:asciiTheme="majorHAnsi" w:eastAsiaTheme="majorEastAsia" w:hAnsiTheme="majorHAnsi" w:cstheme="majorBidi"/>
          <w:caps/>
          <w:color w:val="495965" w:themeColor="text2"/>
          <w:sz w:val="38"/>
          <w:szCs w:val="26"/>
          <w:lang w:val="en-GB" w:eastAsia="en-US"/>
        </w:rPr>
        <w:t xml:space="preserve"> </w:t>
      </w:r>
    </w:p>
    <w:p w:rsidR="00B70708" w:rsidRPr="00B70708" w:rsidRDefault="00B70708" w:rsidP="00B70708">
      <w:pPr>
        <w:rPr>
          <w:b/>
          <w:sz w:val="24"/>
        </w:rPr>
      </w:pPr>
      <w:r w:rsidRPr="00B70708">
        <w:rPr>
          <w:b/>
          <w:sz w:val="24"/>
        </w:rPr>
        <w:t xml:space="preserve">Table 1 Total </w:t>
      </w:r>
      <w:r w:rsidR="009540BB">
        <w:rPr>
          <w:b/>
          <w:sz w:val="24"/>
        </w:rPr>
        <w:t xml:space="preserve">Australian </w:t>
      </w:r>
      <w:r w:rsidRPr="00B70708">
        <w:rPr>
          <w:b/>
          <w:sz w:val="24"/>
        </w:rPr>
        <w:t>ODA Expenditure in FY 2018-19</w:t>
      </w:r>
    </w:p>
    <w:tbl>
      <w:tblPr>
        <w:tblW w:w="9639" w:type="dxa"/>
        <w:tblCellMar>
          <w:left w:w="0" w:type="dxa"/>
          <w:right w:w="0" w:type="dxa"/>
        </w:tblCellMar>
        <w:tblLook w:val="04A0" w:firstRow="1" w:lastRow="0" w:firstColumn="1" w:lastColumn="0" w:noHBand="0" w:noVBand="1"/>
        <w:tblCaption w:val="Total Australian ODA Expenditure in Financial Year 2018-19"/>
        <w:tblDescription w:val="Total Official Development Assistance Expenditure was Australia Dollar 335.6 million.  Broken down, the overall Bilateral Expenditure was Australia Dollar 279 million; Regional and Global Expediture was Australian Dollar 49.9 million; and Other Australian Government Departments Expenditure was Australian Dollar 6.7 million."/>
      </w:tblPr>
      <w:tblGrid>
        <w:gridCol w:w="6374"/>
        <w:gridCol w:w="1423"/>
        <w:gridCol w:w="1842"/>
      </w:tblGrid>
      <w:tr w:rsidR="00B70708" w:rsidRPr="00B70708" w:rsidTr="00B70708">
        <w:tc>
          <w:tcPr>
            <w:tcW w:w="6374" w:type="dxa"/>
            <w:tcBorders>
              <w:top w:val="single" w:sz="12" w:space="0" w:color="auto"/>
              <w:left w:val="nil"/>
              <w:bottom w:val="nil"/>
              <w:right w:val="nil"/>
            </w:tcBorders>
            <w:tcMar>
              <w:top w:w="0" w:type="dxa"/>
              <w:left w:w="108" w:type="dxa"/>
              <w:bottom w:w="0" w:type="dxa"/>
              <w:right w:w="108" w:type="dxa"/>
            </w:tcMar>
            <w:hideMark/>
          </w:tcPr>
          <w:p w:rsidR="00B70708" w:rsidRPr="00B70708" w:rsidRDefault="00B70708">
            <w:pPr>
              <w:rPr>
                <w:b/>
                <w:sz w:val="24"/>
              </w:rPr>
            </w:pPr>
            <w:r w:rsidRPr="00B70708">
              <w:rPr>
                <w:b/>
                <w:sz w:val="24"/>
              </w:rPr>
              <w:t>Objective</w:t>
            </w:r>
          </w:p>
        </w:tc>
        <w:tc>
          <w:tcPr>
            <w:tcW w:w="1423" w:type="dxa"/>
            <w:tcBorders>
              <w:top w:val="single" w:sz="12" w:space="0" w:color="auto"/>
              <w:left w:val="nil"/>
              <w:bottom w:val="nil"/>
              <w:right w:val="nil"/>
            </w:tcBorders>
            <w:tcMar>
              <w:top w:w="0" w:type="dxa"/>
              <w:left w:w="108" w:type="dxa"/>
              <w:bottom w:w="0" w:type="dxa"/>
              <w:right w:w="108" w:type="dxa"/>
            </w:tcMar>
            <w:hideMark/>
          </w:tcPr>
          <w:p w:rsidR="00B70708" w:rsidRPr="00B70708" w:rsidRDefault="00B70708" w:rsidP="00B70708">
            <w:pPr>
              <w:rPr>
                <w:b/>
                <w:sz w:val="24"/>
              </w:rPr>
            </w:pPr>
            <w:r w:rsidRPr="00B70708">
              <w:rPr>
                <w:b/>
                <w:sz w:val="24"/>
              </w:rPr>
              <w:t>A$ million</w:t>
            </w:r>
          </w:p>
        </w:tc>
        <w:tc>
          <w:tcPr>
            <w:tcW w:w="1842" w:type="dxa"/>
            <w:tcBorders>
              <w:top w:val="single" w:sz="12" w:space="0" w:color="auto"/>
              <w:left w:val="nil"/>
              <w:bottom w:val="nil"/>
              <w:right w:val="nil"/>
            </w:tcBorders>
            <w:tcMar>
              <w:top w:w="0" w:type="dxa"/>
              <w:left w:w="108" w:type="dxa"/>
              <w:bottom w:w="0" w:type="dxa"/>
              <w:right w:w="108" w:type="dxa"/>
            </w:tcMar>
            <w:hideMark/>
          </w:tcPr>
          <w:p w:rsidR="00B70708" w:rsidRPr="00B70708" w:rsidRDefault="00B70708" w:rsidP="00B70708">
            <w:pPr>
              <w:rPr>
                <w:b/>
                <w:sz w:val="24"/>
              </w:rPr>
            </w:pPr>
            <w:r w:rsidRPr="00B70708">
              <w:rPr>
                <w:b/>
                <w:sz w:val="24"/>
              </w:rPr>
              <w:t>% of total ODA</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b/>
                <w:i/>
                <w:sz w:val="24"/>
              </w:rPr>
            </w:pPr>
            <w:r w:rsidRPr="00B70708">
              <w:rPr>
                <w:b/>
                <w:i/>
                <w:sz w:val="24"/>
              </w:rPr>
              <w:t>Bilateral</w:t>
            </w:r>
          </w:p>
        </w:tc>
        <w:tc>
          <w:tcPr>
            <w:tcW w:w="1423" w:type="dxa"/>
            <w:tcMar>
              <w:top w:w="0" w:type="dxa"/>
              <w:left w:w="108" w:type="dxa"/>
              <w:bottom w:w="0" w:type="dxa"/>
              <w:right w:w="108" w:type="dxa"/>
            </w:tcMar>
          </w:tcPr>
          <w:p w:rsidR="00B70708" w:rsidRPr="00B70708" w:rsidRDefault="00B70708" w:rsidP="00B70708">
            <w:pPr>
              <w:rPr>
                <w:b/>
                <w:sz w:val="24"/>
              </w:rPr>
            </w:pPr>
          </w:p>
        </w:tc>
        <w:tc>
          <w:tcPr>
            <w:tcW w:w="1842" w:type="dxa"/>
            <w:tcMar>
              <w:top w:w="0" w:type="dxa"/>
              <w:left w:w="108" w:type="dxa"/>
              <w:bottom w:w="0" w:type="dxa"/>
              <w:right w:w="108" w:type="dxa"/>
            </w:tcMar>
          </w:tcPr>
          <w:p w:rsidR="00B70708" w:rsidRPr="00B70708" w:rsidRDefault="00B70708" w:rsidP="00B70708">
            <w:pPr>
              <w:rPr>
                <w:b/>
                <w:sz w:val="24"/>
              </w:rPr>
            </w:pPr>
          </w:p>
        </w:tc>
      </w:tr>
      <w:tr w:rsidR="00B70708" w:rsidRPr="00B70708" w:rsidTr="00B70708">
        <w:tc>
          <w:tcPr>
            <w:tcW w:w="6374" w:type="dxa"/>
            <w:tcMar>
              <w:top w:w="0" w:type="dxa"/>
              <w:left w:w="108" w:type="dxa"/>
              <w:bottom w:w="0" w:type="dxa"/>
              <w:right w:w="108" w:type="dxa"/>
            </w:tcMar>
            <w:hideMark/>
          </w:tcPr>
          <w:p w:rsidR="00B70708" w:rsidRPr="00B70708" w:rsidRDefault="00B70708">
            <w:pPr>
              <w:rPr>
                <w:sz w:val="24"/>
              </w:rPr>
            </w:pPr>
            <w:r w:rsidRPr="00B70708">
              <w:rPr>
                <w:sz w:val="24"/>
              </w:rPr>
              <w:t>Objective 1: Effective Economic Institution</w:t>
            </w:r>
            <w:r w:rsidR="005D0A89">
              <w:rPr>
                <w:sz w:val="24"/>
              </w:rPr>
              <w:t>s</w:t>
            </w:r>
            <w:r w:rsidRPr="00B70708">
              <w:rPr>
                <w:sz w:val="24"/>
              </w:rPr>
              <w:t xml:space="preserve"> and Infrastructure</w:t>
            </w:r>
          </w:p>
        </w:tc>
        <w:tc>
          <w:tcPr>
            <w:tcW w:w="1423" w:type="dxa"/>
            <w:tcMar>
              <w:top w:w="0" w:type="dxa"/>
              <w:left w:w="108" w:type="dxa"/>
              <w:bottom w:w="0" w:type="dxa"/>
              <w:right w:w="108" w:type="dxa"/>
            </w:tcMar>
            <w:hideMark/>
          </w:tcPr>
          <w:p w:rsidR="00B70708" w:rsidRPr="00B70708" w:rsidRDefault="00B70708" w:rsidP="00B70708">
            <w:pPr>
              <w:rPr>
                <w:sz w:val="24"/>
              </w:rPr>
            </w:pPr>
            <w:r w:rsidRPr="00B70708">
              <w:rPr>
                <w:sz w:val="24"/>
              </w:rPr>
              <w:t>107.0</w:t>
            </w:r>
          </w:p>
        </w:tc>
        <w:tc>
          <w:tcPr>
            <w:tcW w:w="1842" w:type="dxa"/>
            <w:tcMar>
              <w:top w:w="0" w:type="dxa"/>
              <w:left w:w="108" w:type="dxa"/>
              <w:bottom w:w="0" w:type="dxa"/>
              <w:right w:w="108" w:type="dxa"/>
            </w:tcMar>
            <w:hideMark/>
          </w:tcPr>
          <w:p w:rsidR="00B70708" w:rsidRPr="00B70708" w:rsidRDefault="00B70708" w:rsidP="00B70708">
            <w:pPr>
              <w:rPr>
                <w:sz w:val="24"/>
              </w:rPr>
            </w:pPr>
            <w:r w:rsidRPr="00B70708">
              <w:rPr>
                <w:sz w:val="24"/>
              </w:rPr>
              <w:t>31.9%</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sz w:val="24"/>
              </w:rPr>
            </w:pPr>
            <w:r w:rsidRPr="00B70708">
              <w:rPr>
                <w:sz w:val="24"/>
              </w:rPr>
              <w:t>Objective 2: Human Development for a Productive and Healthy Society</w:t>
            </w:r>
          </w:p>
        </w:tc>
        <w:tc>
          <w:tcPr>
            <w:tcW w:w="1423" w:type="dxa"/>
            <w:tcMar>
              <w:top w:w="0" w:type="dxa"/>
              <w:left w:w="108" w:type="dxa"/>
              <w:bottom w:w="0" w:type="dxa"/>
              <w:right w:w="108" w:type="dxa"/>
            </w:tcMar>
            <w:hideMark/>
          </w:tcPr>
          <w:p w:rsidR="00B70708" w:rsidRPr="00B70708" w:rsidRDefault="00B70708" w:rsidP="00B70708">
            <w:pPr>
              <w:rPr>
                <w:sz w:val="24"/>
              </w:rPr>
            </w:pPr>
            <w:r w:rsidRPr="00B70708">
              <w:rPr>
                <w:sz w:val="24"/>
              </w:rPr>
              <w:t>114.0</w:t>
            </w:r>
          </w:p>
        </w:tc>
        <w:tc>
          <w:tcPr>
            <w:tcW w:w="1842" w:type="dxa"/>
            <w:tcMar>
              <w:top w:w="0" w:type="dxa"/>
              <w:left w:w="108" w:type="dxa"/>
              <w:bottom w:w="0" w:type="dxa"/>
              <w:right w:w="108" w:type="dxa"/>
            </w:tcMar>
            <w:hideMark/>
          </w:tcPr>
          <w:p w:rsidR="00B70708" w:rsidRPr="00B70708" w:rsidRDefault="00B70708" w:rsidP="00B70708">
            <w:pPr>
              <w:rPr>
                <w:sz w:val="24"/>
              </w:rPr>
            </w:pPr>
            <w:r w:rsidRPr="00B70708">
              <w:rPr>
                <w:sz w:val="24"/>
              </w:rPr>
              <w:t>34.0%</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sz w:val="24"/>
              </w:rPr>
            </w:pPr>
            <w:r w:rsidRPr="00B70708">
              <w:rPr>
                <w:sz w:val="24"/>
              </w:rPr>
              <w:t>Objective 3: An Inclusive Society Through Effective Governance</w:t>
            </w:r>
          </w:p>
        </w:tc>
        <w:tc>
          <w:tcPr>
            <w:tcW w:w="1423" w:type="dxa"/>
            <w:tcMar>
              <w:top w:w="0" w:type="dxa"/>
              <w:left w:w="108" w:type="dxa"/>
              <w:bottom w:w="0" w:type="dxa"/>
              <w:right w:w="108" w:type="dxa"/>
            </w:tcMar>
            <w:hideMark/>
          </w:tcPr>
          <w:p w:rsidR="00B70708" w:rsidRPr="00B70708" w:rsidRDefault="00B70708" w:rsidP="00B70708">
            <w:pPr>
              <w:rPr>
                <w:sz w:val="24"/>
              </w:rPr>
            </w:pPr>
            <w:r w:rsidRPr="00B70708">
              <w:rPr>
                <w:sz w:val="24"/>
              </w:rPr>
              <w:t>58.0</w:t>
            </w:r>
          </w:p>
        </w:tc>
        <w:tc>
          <w:tcPr>
            <w:tcW w:w="1842" w:type="dxa"/>
            <w:tcMar>
              <w:top w:w="0" w:type="dxa"/>
              <w:left w:w="108" w:type="dxa"/>
              <w:bottom w:w="0" w:type="dxa"/>
              <w:right w:w="108" w:type="dxa"/>
            </w:tcMar>
            <w:hideMark/>
          </w:tcPr>
          <w:p w:rsidR="00B70708" w:rsidRPr="00B70708" w:rsidRDefault="00B70708" w:rsidP="00B70708">
            <w:pPr>
              <w:rPr>
                <w:sz w:val="24"/>
              </w:rPr>
            </w:pPr>
            <w:r w:rsidRPr="00B70708">
              <w:rPr>
                <w:sz w:val="24"/>
              </w:rPr>
              <w:t>17.3%</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b/>
                <w:sz w:val="24"/>
              </w:rPr>
            </w:pPr>
            <w:r w:rsidRPr="00B70708">
              <w:rPr>
                <w:b/>
                <w:sz w:val="24"/>
              </w:rPr>
              <w:t>Sub-Total Bilateral</w:t>
            </w:r>
          </w:p>
        </w:tc>
        <w:tc>
          <w:tcPr>
            <w:tcW w:w="1423" w:type="dxa"/>
            <w:tcMar>
              <w:top w:w="0" w:type="dxa"/>
              <w:left w:w="108" w:type="dxa"/>
              <w:bottom w:w="0" w:type="dxa"/>
              <w:right w:w="108" w:type="dxa"/>
            </w:tcMar>
            <w:hideMark/>
          </w:tcPr>
          <w:p w:rsidR="00B70708" w:rsidRPr="00B70708" w:rsidRDefault="00B70708" w:rsidP="00B70708">
            <w:pPr>
              <w:rPr>
                <w:b/>
                <w:sz w:val="24"/>
              </w:rPr>
            </w:pPr>
            <w:r w:rsidRPr="00B70708">
              <w:rPr>
                <w:b/>
                <w:sz w:val="24"/>
              </w:rPr>
              <w:t>279.0</w:t>
            </w:r>
          </w:p>
        </w:tc>
        <w:tc>
          <w:tcPr>
            <w:tcW w:w="1842" w:type="dxa"/>
            <w:tcMar>
              <w:top w:w="0" w:type="dxa"/>
              <w:left w:w="108" w:type="dxa"/>
              <w:bottom w:w="0" w:type="dxa"/>
              <w:right w:w="108" w:type="dxa"/>
            </w:tcMar>
            <w:hideMark/>
          </w:tcPr>
          <w:p w:rsidR="00B70708" w:rsidRPr="00B70708" w:rsidRDefault="00B70708" w:rsidP="00B70708">
            <w:pPr>
              <w:rPr>
                <w:b/>
                <w:sz w:val="24"/>
              </w:rPr>
            </w:pPr>
            <w:r w:rsidRPr="00B70708">
              <w:rPr>
                <w:b/>
                <w:sz w:val="24"/>
              </w:rPr>
              <w:t>83.2%</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sz w:val="24"/>
              </w:rPr>
            </w:pPr>
            <w:r w:rsidRPr="00B70708">
              <w:rPr>
                <w:sz w:val="24"/>
              </w:rPr>
              <w:t>Regional and Global</w:t>
            </w:r>
          </w:p>
        </w:tc>
        <w:tc>
          <w:tcPr>
            <w:tcW w:w="1423" w:type="dxa"/>
            <w:tcMar>
              <w:top w:w="0" w:type="dxa"/>
              <w:left w:w="108" w:type="dxa"/>
              <w:bottom w:w="0" w:type="dxa"/>
              <w:right w:w="108" w:type="dxa"/>
            </w:tcMar>
            <w:hideMark/>
          </w:tcPr>
          <w:p w:rsidR="00B70708" w:rsidRPr="00B70708" w:rsidRDefault="00B70708" w:rsidP="00B70708">
            <w:pPr>
              <w:rPr>
                <w:sz w:val="24"/>
              </w:rPr>
            </w:pPr>
            <w:r w:rsidRPr="00B70708">
              <w:rPr>
                <w:sz w:val="24"/>
              </w:rPr>
              <w:t>49.9</w:t>
            </w:r>
          </w:p>
        </w:tc>
        <w:tc>
          <w:tcPr>
            <w:tcW w:w="1842" w:type="dxa"/>
            <w:tcMar>
              <w:top w:w="0" w:type="dxa"/>
              <w:left w:w="108" w:type="dxa"/>
              <w:bottom w:w="0" w:type="dxa"/>
              <w:right w:w="108" w:type="dxa"/>
            </w:tcMar>
            <w:hideMark/>
          </w:tcPr>
          <w:p w:rsidR="00B70708" w:rsidRPr="00B70708" w:rsidRDefault="00B70708" w:rsidP="00B70708">
            <w:pPr>
              <w:rPr>
                <w:sz w:val="24"/>
              </w:rPr>
            </w:pPr>
            <w:r w:rsidRPr="00B70708">
              <w:rPr>
                <w:sz w:val="24"/>
              </w:rPr>
              <w:t>14.9%</w:t>
            </w:r>
          </w:p>
        </w:tc>
      </w:tr>
      <w:tr w:rsidR="00B70708" w:rsidRPr="00B70708" w:rsidTr="00B70708">
        <w:tc>
          <w:tcPr>
            <w:tcW w:w="6374" w:type="dxa"/>
            <w:tcMar>
              <w:top w:w="0" w:type="dxa"/>
              <w:left w:w="108" w:type="dxa"/>
              <w:bottom w:w="0" w:type="dxa"/>
              <w:right w:w="108" w:type="dxa"/>
            </w:tcMar>
            <w:hideMark/>
          </w:tcPr>
          <w:p w:rsidR="00B70708" w:rsidRPr="00B70708" w:rsidRDefault="00B70708">
            <w:pPr>
              <w:rPr>
                <w:sz w:val="24"/>
              </w:rPr>
            </w:pPr>
            <w:r w:rsidRPr="00B70708">
              <w:rPr>
                <w:sz w:val="24"/>
              </w:rPr>
              <w:t>Other Government Departments</w:t>
            </w:r>
          </w:p>
        </w:tc>
        <w:tc>
          <w:tcPr>
            <w:tcW w:w="1423" w:type="dxa"/>
            <w:tcMar>
              <w:top w:w="0" w:type="dxa"/>
              <w:left w:w="108" w:type="dxa"/>
              <w:bottom w:w="0" w:type="dxa"/>
              <w:right w:w="108" w:type="dxa"/>
            </w:tcMar>
            <w:hideMark/>
          </w:tcPr>
          <w:p w:rsidR="00B70708" w:rsidRPr="00B70708" w:rsidRDefault="00B70708" w:rsidP="00B70708">
            <w:pPr>
              <w:rPr>
                <w:sz w:val="24"/>
              </w:rPr>
            </w:pPr>
            <w:r w:rsidRPr="00B70708">
              <w:rPr>
                <w:sz w:val="24"/>
              </w:rPr>
              <w:t>6.7</w:t>
            </w:r>
          </w:p>
        </w:tc>
        <w:tc>
          <w:tcPr>
            <w:tcW w:w="1842" w:type="dxa"/>
            <w:tcMar>
              <w:top w:w="0" w:type="dxa"/>
              <w:left w:w="108" w:type="dxa"/>
              <w:bottom w:w="0" w:type="dxa"/>
              <w:right w:w="108" w:type="dxa"/>
            </w:tcMar>
            <w:hideMark/>
          </w:tcPr>
          <w:p w:rsidR="00B70708" w:rsidRPr="00B70708" w:rsidRDefault="00B70708" w:rsidP="00B70708">
            <w:pPr>
              <w:rPr>
                <w:sz w:val="24"/>
              </w:rPr>
            </w:pPr>
            <w:r w:rsidRPr="00B70708">
              <w:rPr>
                <w:sz w:val="24"/>
              </w:rPr>
              <w:t>1.9%</w:t>
            </w:r>
          </w:p>
        </w:tc>
      </w:tr>
      <w:tr w:rsidR="00B70708" w:rsidRPr="00B70708" w:rsidTr="00B70708">
        <w:tc>
          <w:tcPr>
            <w:tcW w:w="6374" w:type="dxa"/>
            <w:tcBorders>
              <w:top w:val="nil"/>
              <w:left w:val="nil"/>
              <w:bottom w:val="single" w:sz="12" w:space="0" w:color="auto"/>
              <w:right w:val="nil"/>
            </w:tcBorders>
            <w:tcMar>
              <w:top w:w="0" w:type="dxa"/>
              <w:left w:w="108" w:type="dxa"/>
              <w:bottom w:w="0" w:type="dxa"/>
              <w:right w:w="108" w:type="dxa"/>
            </w:tcMar>
            <w:hideMark/>
          </w:tcPr>
          <w:p w:rsidR="00B70708" w:rsidRPr="00B70708" w:rsidRDefault="00B70708">
            <w:pPr>
              <w:rPr>
                <w:b/>
                <w:sz w:val="24"/>
              </w:rPr>
            </w:pPr>
            <w:r w:rsidRPr="00B70708">
              <w:rPr>
                <w:b/>
                <w:sz w:val="24"/>
              </w:rPr>
              <w:t>Total ODA Expenditure</w:t>
            </w:r>
          </w:p>
        </w:tc>
        <w:tc>
          <w:tcPr>
            <w:tcW w:w="1423" w:type="dxa"/>
            <w:tcBorders>
              <w:top w:val="nil"/>
              <w:left w:val="nil"/>
              <w:bottom w:val="single" w:sz="12" w:space="0" w:color="auto"/>
              <w:right w:val="nil"/>
            </w:tcBorders>
            <w:tcMar>
              <w:top w:w="0" w:type="dxa"/>
              <w:left w:w="108" w:type="dxa"/>
              <w:bottom w:w="0" w:type="dxa"/>
              <w:right w:w="108" w:type="dxa"/>
            </w:tcMar>
            <w:hideMark/>
          </w:tcPr>
          <w:p w:rsidR="00B70708" w:rsidRPr="00B70708" w:rsidRDefault="00B70708" w:rsidP="00B70708">
            <w:pPr>
              <w:rPr>
                <w:b/>
                <w:sz w:val="24"/>
              </w:rPr>
            </w:pPr>
            <w:r w:rsidRPr="00B70708">
              <w:rPr>
                <w:b/>
                <w:sz w:val="24"/>
              </w:rPr>
              <w:t>335.6</w:t>
            </w:r>
          </w:p>
        </w:tc>
        <w:tc>
          <w:tcPr>
            <w:tcW w:w="1842" w:type="dxa"/>
            <w:tcBorders>
              <w:top w:val="nil"/>
              <w:left w:val="nil"/>
              <w:bottom w:val="single" w:sz="12" w:space="0" w:color="auto"/>
              <w:right w:val="nil"/>
            </w:tcBorders>
            <w:tcMar>
              <w:top w:w="0" w:type="dxa"/>
              <w:left w:w="108" w:type="dxa"/>
              <w:bottom w:w="0" w:type="dxa"/>
              <w:right w:w="108" w:type="dxa"/>
            </w:tcMar>
            <w:hideMark/>
          </w:tcPr>
          <w:p w:rsidR="00B70708" w:rsidRPr="00B70708" w:rsidRDefault="00B70708" w:rsidP="00B70708">
            <w:pPr>
              <w:rPr>
                <w:b/>
                <w:sz w:val="24"/>
              </w:rPr>
            </w:pPr>
            <w:r w:rsidRPr="00B70708">
              <w:rPr>
                <w:b/>
                <w:sz w:val="24"/>
              </w:rPr>
              <w:t>100%</w:t>
            </w:r>
          </w:p>
        </w:tc>
      </w:tr>
    </w:tbl>
    <w:p w:rsidR="00236FC5" w:rsidRPr="006609A2" w:rsidRDefault="00236FC5" w:rsidP="006609A2">
      <w:pPr>
        <w:spacing w:before="60"/>
        <w:rPr>
          <w:sz w:val="12"/>
          <w:szCs w:val="12"/>
        </w:rPr>
      </w:pPr>
    </w:p>
    <w:p w:rsidR="00B0583E" w:rsidRPr="00EE1F4D" w:rsidRDefault="00B0583E" w:rsidP="006609A2">
      <w:pPr>
        <w:spacing w:before="60"/>
      </w:pPr>
      <w:r w:rsidRPr="00EE1F4D">
        <w:t>Our development assistance has halved over the last five years reflecting Indonesia’s progress and changes in the way we give aid. Australia is a source of innovation, ideas and expertise to progress reform and trial new approaches to unlock the next phase of inclusive economic growth. We work with Indonesia to catalyse investment and promote effective use of its o</w:t>
      </w:r>
      <w:r w:rsidRPr="00A81F24">
        <w:t xml:space="preserve">wn resources. </w:t>
      </w:r>
      <w:r w:rsidRPr="00EE1F4D">
        <w:t xml:space="preserve">In 2018-19, our grants leveraged </w:t>
      </w:r>
      <w:r w:rsidRPr="00A3405F">
        <w:t>AUD4</w:t>
      </w:r>
      <w:r w:rsidR="005C4B98" w:rsidRPr="00A3405F">
        <w:t>.3</w:t>
      </w:r>
      <w:r w:rsidRPr="00A3405F">
        <w:t xml:space="preserve"> billion</w:t>
      </w:r>
      <w:r w:rsidRPr="00EE1F4D">
        <w:t xml:space="preserve"> </w:t>
      </w:r>
      <w:r w:rsidR="009540BB">
        <w:t xml:space="preserve">(more than 15 times our bilateral ODA contribution) </w:t>
      </w:r>
      <w:r w:rsidRPr="00EE1F4D">
        <w:t>from multilateral development banks, the private sector, and the Indonesian Government for infrastructure, social and economic development.</w:t>
      </w:r>
    </w:p>
    <w:p w:rsidR="002A51CA" w:rsidRPr="002A51CA" w:rsidRDefault="002A51CA" w:rsidP="002A51CA">
      <w:pPr>
        <w:pStyle w:val="ListBullet"/>
        <w:tabs>
          <w:tab w:val="clear" w:pos="284"/>
        </w:tabs>
        <w:spacing w:before="360"/>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 xml:space="preserve">Progress towards </w:t>
      </w:r>
      <w:r w:rsidR="00162218">
        <w:rPr>
          <w:rFonts w:asciiTheme="majorHAnsi" w:eastAsiaTheme="majorEastAsia" w:hAnsiTheme="majorHAnsi" w:cstheme="majorBidi"/>
          <w:caps/>
          <w:color w:val="495965" w:themeColor="text2"/>
          <w:sz w:val="38"/>
          <w:szCs w:val="26"/>
          <w:lang w:val="en-GB" w:eastAsia="en-US"/>
        </w:rPr>
        <w:t xml:space="preserve">AIP </w:t>
      </w:r>
      <w:r w:rsidR="00B70708">
        <w:rPr>
          <w:rFonts w:asciiTheme="majorHAnsi" w:eastAsiaTheme="majorEastAsia" w:hAnsiTheme="majorHAnsi" w:cstheme="majorBidi"/>
          <w:caps/>
          <w:color w:val="495965" w:themeColor="text2"/>
          <w:sz w:val="38"/>
          <w:szCs w:val="26"/>
          <w:lang w:val="en-GB" w:eastAsia="en-US"/>
        </w:rPr>
        <w:t>Objectives</w:t>
      </w:r>
    </w:p>
    <w:p w:rsidR="000065B0" w:rsidRDefault="0036690F" w:rsidP="00AA1B6B">
      <w:pPr>
        <w:rPr>
          <w:rFonts w:eastAsia="Times New Roman"/>
        </w:rPr>
      </w:pPr>
      <w:r>
        <w:t>In 2018-19</w:t>
      </w:r>
      <w:r w:rsidR="00AA1B6B" w:rsidRPr="004C67FC">
        <w:t>, Australia made strong progress to maintain green rating</w:t>
      </w:r>
      <w:r>
        <w:t>s</w:t>
      </w:r>
      <w:r w:rsidR="00AA1B6B" w:rsidRPr="004C67FC">
        <w:t xml:space="preserve"> </w:t>
      </w:r>
      <w:r w:rsidR="00587E50">
        <w:t>for</w:t>
      </w:r>
      <w:r w:rsidR="00587E50" w:rsidRPr="004C67FC">
        <w:t xml:space="preserve"> </w:t>
      </w:r>
      <w:r w:rsidR="00AA1B6B" w:rsidRPr="004C67FC">
        <w:t xml:space="preserve">all three </w:t>
      </w:r>
      <w:r>
        <w:t>Aid Investment Plan (AIP)</w:t>
      </w:r>
      <w:r w:rsidR="00AA1B6B" w:rsidRPr="004C67FC">
        <w:t xml:space="preserve"> objectives (see table 2) and assessed nine of the eleven outcomes of our Performance Assessment Framework (PAF) as on</w:t>
      </w:r>
      <w:r w:rsidR="0001168E">
        <w:t>-</w:t>
      </w:r>
      <w:r w:rsidR="00AA1B6B" w:rsidRPr="004C67FC">
        <w:t>track and performing as expected</w:t>
      </w:r>
      <w:r w:rsidR="00AA1B6B">
        <w:rPr>
          <w:rFonts w:eastAsia="Times New Roman"/>
        </w:rPr>
        <w:t xml:space="preserve">. Despite some good results for marginalised groups (Outcome 9) and environmental governance (Outcome 10), these </w:t>
      </w:r>
      <w:r w:rsidR="0001168E">
        <w:rPr>
          <w:rFonts w:eastAsia="Times New Roman"/>
        </w:rPr>
        <w:t xml:space="preserve">areas </w:t>
      </w:r>
      <w:r w:rsidR="00AA1B6B">
        <w:rPr>
          <w:rFonts w:eastAsia="Times New Roman"/>
        </w:rPr>
        <w:t xml:space="preserve">have not </w:t>
      </w:r>
      <w:r w:rsidR="00051107">
        <w:rPr>
          <w:rFonts w:eastAsia="Times New Roman"/>
        </w:rPr>
        <w:t xml:space="preserve">fully </w:t>
      </w:r>
      <w:r w:rsidR="00AA1B6B">
        <w:rPr>
          <w:rFonts w:eastAsia="Times New Roman"/>
        </w:rPr>
        <w:t xml:space="preserve">met expectations and </w:t>
      </w:r>
      <w:r w:rsidR="0001168E">
        <w:rPr>
          <w:rFonts w:eastAsia="Times New Roman"/>
        </w:rPr>
        <w:t>continued an</w:t>
      </w:r>
      <w:r w:rsidR="00AA1B6B">
        <w:rPr>
          <w:rFonts w:eastAsia="Times New Roman"/>
        </w:rPr>
        <w:t xml:space="preserve"> amber rating</w:t>
      </w:r>
      <w:r w:rsidR="007B43AC">
        <w:rPr>
          <w:rFonts w:eastAsia="Times New Roman"/>
        </w:rPr>
        <w:t xml:space="preserve"> from last year</w:t>
      </w:r>
      <w:r w:rsidR="00AA1B6B">
        <w:rPr>
          <w:rFonts w:eastAsia="Times New Roman"/>
        </w:rPr>
        <w:t>. Management actions have been</w:t>
      </w:r>
      <w:r w:rsidR="004E0D7B">
        <w:rPr>
          <w:rFonts w:eastAsia="Times New Roman"/>
        </w:rPr>
        <w:t xml:space="preserve"> reviewed</w:t>
      </w:r>
      <w:r w:rsidR="007B43AC">
        <w:rPr>
          <w:rFonts w:eastAsia="Times New Roman"/>
        </w:rPr>
        <w:t xml:space="preserve"> and updated</w:t>
      </w:r>
      <w:r w:rsidR="00AA1B6B">
        <w:rPr>
          <w:rFonts w:eastAsia="Times New Roman"/>
        </w:rPr>
        <w:t xml:space="preserve"> </w:t>
      </w:r>
      <w:r w:rsidR="00291FBF">
        <w:rPr>
          <w:rFonts w:eastAsia="Times New Roman"/>
        </w:rPr>
        <w:t xml:space="preserve">as part of a concerted effort to </w:t>
      </w:r>
      <w:r w:rsidR="00AA1B6B">
        <w:rPr>
          <w:rFonts w:eastAsia="Times New Roman"/>
        </w:rPr>
        <w:t>improve performance</w:t>
      </w:r>
      <w:r w:rsidR="0095299A">
        <w:rPr>
          <w:rFonts w:eastAsia="Times New Roman"/>
        </w:rPr>
        <w:t xml:space="preserve"> (see page</w:t>
      </w:r>
      <w:r w:rsidR="00236FC5">
        <w:rPr>
          <w:rFonts w:eastAsia="Times New Roman"/>
        </w:rPr>
        <w:t xml:space="preserve"> 24</w:t>
      </w:r>
      <w:r w:rsidR="0095299A">
        <w:rPr>
          <w:rFonts w:eastAsia="Times New Roman"/>
        </w:rPr>
        <w:t>)</w:t>
      </w:r>
      <w:r w:rsidR="00AA1B6B">
        <w:rPr>
          <w:rFonts w:eastAsia="Times New Roman"/>
        </w:rPr>
        <w:t xml:space="preserve">. </w:t>
      </w:r>
    </w:p>
    <w:p w:rsidR="00A2657D" w:rsidRPr="004B0D37" w:rsidRDefault="00AA1B6B" w:rsidP="00A2657D">
      <w:pPr>
        <w:rPr>
          <w:rFonts w:eastAsia="Times New Roman"/>
        </w:rPr>
      </w:pPr>
      <w:r>
        <w:rPr>
          <w:rFonts w:eastAsia="Times New Roman"/>
        </w:rPr>
        <w:t xml:space="preserve">Australia’s aid program in Indonesia is meeting the Australian Government’s strategic performance framework targets. </w:t>
      </w:r>
      <w:r w:rsidR="0095299A">
        <w:rPr>
          <w:rFonts w:eastAsia="Times New Roman"/>
        </w:rPr>
        <w:t xml:space="preserve">In 2018-19 our </w:t>
      </w:r>
      <w:r w:rsidR="0095299A">
        <w:rPr>
          <w:rFonts w:eastAsia="Times New Roman"/>
          <w:i/>
        </w:rPr>
        <w:t xml:space="preserve">aid-for-trade </w:t>
      </w:r>
      <w:r w:rsidR="0095299A">
        <w:rPr>
          <w:rFonts w:eastAsia="Times New Roman"/>
        </w:rPr>
        <w:t>spend achieved the</w:t>
      </w:r>
      <w:r>
        <w:rPr>
          <w:rFonts w:eastAsia="Times New Roman"/>
        </w:rPr>
        <w:t xml:space="preserve"> 20 per cent </w:t>
      </w:r>
      <w:r w:rsidR="0095299A">
        <w:rPr>
          <w:rFonts w:eastAsia="Times New Roman"/>
        </w:rPr>
        <w:t>target, contributing to an improved climate for trade, investment, infrastructure and jobs</w:t>
      </w:r>
      <w:r w:rsidR="0036690F">
        <w:rPr>
          <w:rFonts w:eastAsia="Times New Roman"/>
        </w:rPr>
        <w:t>.</w:t>
      </w:r>
      <w:r>
        <w:rPr>
          <w:rFonts w:eastAsia="Times New Roman"/>
        </w:rPr>
        <w:t xml:space="preserve"> For g</w:t>
      </w:r>
      <w:r w:rsidRPr="00EE3976">
        <w:rPr>
          <w:rFonts w:eastAsia="Times New Roman"/>
        </w:rPr>
        <w:t>ender</w:t>
      </w:r>
      <w:r w:rsidR="00E36C6B">
        <w:rPr>
          <w:rFonts w:eastAsia="Times New Roman"/>
        </w:rPr>
        <w:t xml:space="preserve"> equality</w:t>
      </w:r>
      <w:r>
        <w:rPr>
          <w:rFonts w:eastAsia="Times New Roman"/>
        </w:rPr>
        <w:t>,</w:t>
      </w:r>
      <w:r w:rsidRPr="00EE3976">
        <w:rPr>
          <w:rFonts w:eastAsia="Times New Roman"/>
        </w:rPr>
        <w:t xml:space="preserve"> performance increased from 83 per cent to 85 per cent of </w:t>
      </w:r>
      <w:r>
        <w:rPr>
          <w:rFonts w:eastAsia="Times New Roman"/>
        </w:rPr>
        <w:t xml:space="preserve">investments </w:t>
      </w:r>
      <w:r w:rsidRPr="00EE3976">
        <w:rPr>
          <w:rFonts w:eastAsia="Times New Roman"/>
        </w:rPr>
        <w:t>effectively addressing gender</w:t>
      </w:r>
      <w:r w:rsidR="00E36C6B">
        <w:rPr>
          <w:rFonts w:eastAsia="Times New Roman"/>
        </w:rPr>
        <w:t xml:space="preserve"> equality</w:t>
      </w:r>
      <w:r w:rsidRPr="00EE3976">
        <w:rPr>
          <w:rFonts w:eastAsia="Times New Roman"/>
        </w:rPr>
        <w:t xml:space="preserve"> as rated through the Aid Quality Check (AQC) process. This </w:t>
      </w:r>
      <w:r w:rsidR="002A5D92">
        <w:rPr>
          <w:rFonts w:eastAsia="Times New Roman"/>
        </w:rPr>
        <w:t>increase is</w:t>
      </w:r>
      <w:r w:rsidRPr="00EE3976">
        <w:rPr>
          <w:rFonts w:eastAsia="Times New Roman"/>
        </w:rPr>
        <w:t xml:space="preserve"> largely due to programs establishing and implementing Gender Equality and Social Inclusion (GESI) strategies to address </w:t>
      </w:r>
      <w:r w:rsidR="00C4545D">
        <w:rPr>
          <w:rFonts w:eastAsia="Times New Roman"/>
        </w:rPr>
        <w:t>identified gender and social inclusion constraints.</w:t>
      </w:r>
    </w:p>
    <w:p w:rsidR="00AA1B6B" w:rsidRDefault="00AA1B6B" w:rsidP="00AA1B6B">
      <w:pPr>
        <w:rPr>
          <w:rFonts w:eastAsia="Times New Roman"/>
        </w:rPr>
      </w:pPr>
      <w:r>
        <w:rPr>
          <w:rFonts w:eastAsia="Times New Roman"/>
        </w:rPr>
        <w:t xml:space="preserve">We continue to review the </w:t>
      </w:r>
      <w:r w:rsidR="00857897">
        <w:rPr>
          <w:rFonts w:eastAsia="Times New Roman"/>
        </w:rPr>
        <w:t>aid program</w:t>
      </w:r>
      <w:r>
        <w:rPr>
          <w:rFonts w:eastAsia="Times New Roman"/>
        </w:rPr>
        <w:t xml:space="preserve"> to promote a coh</w:t>
      </w:r>
      <w:r w:rsidR="00AC3D0D">
        <w:rPr>
          <w:rFonts w:eastAsia="Times New Roman"/>
        </w:rPr>
        <w:t>erent and manageable portfolio with</w:t>
      </w:r>
      <w:r>
        <w:rPr>
          <w:rFonts w:eastAsia="Times New Roman"/>
        </w:rPr>
        <w:t xml:space="preserve"> fewer, larger </w:t>
      </w:r>
      <w:r w:rsidR="00857897">
        <w:rPr>
          <w:rFonts w:eastAsia="Times New Roman"/>
        </w:rPr>
        <w:t xml:space="preserve">investments </w:t>
      </w:r>
      <w:r w:rsidR="005239F9">
        <w:rPr>
          <w:rFonts w:eastAsia="Times New Roman"/>
        </w:rPr>
        <w:t xml:space="preserve">that have </w:t>
      </w:r>
      <w:r>
        <w:rPr>
          <w:rFonts w:eastAsia="Times New Roman"/>
        </w:rPr>
        <w:t xml:space="preserve">in-built flexibility to respond to Indonesia’s reform </w:t>
      </w:r>
      <w:r w:rsidRPr="00A3405F">
        <w:rPr>
          <w:rFonts w:eastAsia="Times New Roman"/>
        </w:rPr>
        <w:t>agenda</w:t>
      </w:r>
      <w:r w:rsidR="00F612EC" w:rsidRPr="00A3405F">
        <w:rPr>
          <w:rFonts w:eastAsia="Times New Roman"/>
        </w:rPr>
        <w:t xml:space="preserve">. </w:t>
      </w:r>
      <w:r w:rsidR="00A3405F" w:rsidRPr="00A3405F">
        <w:rPr>
          <w:rFonts w:eastAsia="Times New Roman"/>
        </w:rPr>
        <w:t>We are taking steps to further integrate our</w:t>
      </w:r>
      <w:r w:rsidR="00F612EC" w:rsidRPr="00A3405F">
        <w:rPr>
          <w:rFonts w:eastAsia="Times New Roman"/>
        </w:rPr>
        <w:t xml:space="preserve"> gender </w:t>
      </w:r>
      <w:r w:rsidR="00A3405F" w:rsidRPr="00A3405F">
        <w:rPr>
          <w:rFonts w:eastAsia="Times New Roman"/>
        </w:rPr>
        <w:t>and social inclusion approaches</w:t>
      </w:r>
      <w:r w:rsidR="00F612EC" w:rsidRPr="00A3405F">
        <w:rPr>
          <w:rFonts w:eastAsia="Times New Roman"/>
        </w:rPr>
        <w:t xml:space="preserve"> and we </w:t>
      </w:r>
      <w:r w:rsidR="00A3405F" w:rsidRPr="00A3405F">
        <w:rPr>
          <w:rFonts w:eastAsia="Times New Roman"/>
        </w:rPr>
        <w:t>are bringing</w:t>
      </w:r>
      <w:r w:rsidR="00F612EC" w:rsidRPr="00A3405F">
        <w:rPr>
          <w:rFonts w:eastAsia="Times New Roman"/>
        </w:rPr>
        <w:t xml:space="preserve"> together technical and </w:t>
      </w:r>
      <w:r w:rsidR="00A3405F" w:rsidRPr="00A3405F">
        <w:rPr>
          <w:rFonts w:eastAsia="Times New Roman"/>
        </w:rPr>
        <w:t xml:space="preserve">broader </w:t>
      </w:r>
      <w:r w:rsidR="00F612EC" w:rsidRPr="00A3405F">
        <w:rPr>
          <w:rFonts w:eastAsia="Times New Roman"/>
        </w:rPr>
        <w:t>national policy compone</w:t>
      </w:r>
      <w:r w:rsidR="004F1239">
        <w:rPr>
          <w:rFonts w:eastAsia="Times New Roman"/>
        </w:rPr>
        <w:t xml:space="preserve">nts of our education programs. </w:t>
      </w:r>
      <w:r w:rsidRPr="00A3405F">
        <w:rPr>
          <w:rFonts w:eastAsia="Times New Roman"/>
        </w:rPr>
        <w:t>However</w:t>
      </w:r>
      <w:r>
        <w:rPr>
          <w:rFonts w:eastAsia="Times New Roman"/>
        </w:rPr>
        <w:t>, there are opportunities to streamline investments</w:t>
      </w:r>
      <w:r w:rsidR="00C4545D">
        <w:rPr>
          <w:rFonts w:eastAsia="Times New Roman"/>
        </w:rPr>
        <w:t xml:space="preserve"> further</w:t>
      </w:r>
      <w:r>
        <w:rPr>
          <w:rFonts w:eastAsia="Times New Roman"/>
        </w:rPr>
        <w:t xml:space="preserve"> for improved and efficient management as we prepare for the next AIP.  </w:t>
      </w:r>
    </w:p>
    <w:p w:rsidR="00774DE9" w:rsidRDefault="00AA1B6B" w:rsidP="00AA1B6B">
      <w:r>
        <w:rPr>
          <w:rFonts w:eastAsia="Times New Roman"/>
        </w:rPr>
        <w:t xml:space="preserve">Work is underway for the next phase of </w:t>
      </w:r>
      <w:r w:rsidR="004F1239">
        <w:rPr>
          <w:rFonts w:eastAsia="Times New Roman"/>
        </w:rPr>
        <w:t xml:space="preserve">our </w:t>
      </w:r>
      <w:r>
        <w:rPr>
          <w:rFonts w:eastAsia="Times New Roman"/>
        </w:rPr>
        <w:t>development cooperation</w:t>
      </w:r>
      <w:r w:rsidR="004F1239">
        <w:rPr>
          <w:rFonts w:eastAsia="Times New Roman"/>
        </w:rPr>
        <w:t xml:space="preserve"> and w</w:t>
      </w:r>
      <w:r>
        <w:rPr>
          <w:rFonts w:eastAsia="Times New Roman"/>
        </w:rPr>
        <w:t xml:space="preserve">e have agreed with the </w:t>
      </w:r>
      <w:r w:rsidR="004F1239">
        <w:rPr>
          <w:rFonts w:eastAsia="Times New Roman"/>
        </w:rPr>
        <w:t>Indonesian government</w:t>
      </w:r>
      <w:r>
        <w:rPr>
          <w:rFonts w:eastAsia="Times New Roman"/>
        </w:rPr>
        <w:t xml:space="preserve"> to align our next plan with Indonesia’s </w:t>
      </w:r>
      <w:r w:rsidR="002A202F">
        <w:t>medium-</w:t>
      </w:r>
      <w:r>
        <w:t>term development plan. We</w:t>
      </w:r>
      <w:r w:rsidRPr="00406EA8">
        <w:t xml:space="preserve"> will strategically position</w:t>
      </w:r>
      <w:r>
        <w:t xml:space="preserve"> </w:t>
      </w:r>
      <w:r w:rsidRPr="00406EA8">
        <w:t xml:space="preserve">our development cooperation to </w:t>
      </w:r>
      <w:r>
        <w:t>support</w:t>
      </w:r>
      <w:r w:rsidRPr="00406EA8">
        <w:t xml:space="preserve"> Indonesia </w:t>
      </w:r>
      <w:r>
        <w:t>to progress the</w:t>
      </w:r>
      <w:r w:rsidRPr="00406EA8">
        <w:t xml:space="preserve"> complex economic, social and structural reforms required to unlock the next stage of inclusive growth</w:t>
      </w:r>
      <w:r>
        <w:t xml:space="preserve">. This will draw on </w:t>
      </w:r>
      <w:r w:rsidR="00C4545D">
        <w:t xml:space="preserve">consultations with Australian and Indonesian stakeholders, </w:t>
      </w:r>
      <w:r w:rsidR="00D8710C">
        <w:t xml:space="preserve">and </w:t>
      </w:r>
      <w:r w:rsidR="00C4545D">
        <w:t xml:space="preserve">evaluations and </w:t>
      </w:r>
      <w:r>
        <w:t>lessons from our current portfolio of investments</w:t>
      </w:r>
      <w:r w:rsidR="007D4540">
        <w:t>.</w:t>
      </w:r>
    </w:p>
    <w:p w:rsidR="0036690F" w:rsidRDefault="0036690F" w:rsidP="00AA1B6B"/>
    <w:p w:rsidR="000F67D4" w:rsidRDefault="000F67D4" w:rsidP="000F67D4">
      <w:pPr>
        <w:spacing w:before="0"/>
        <w:rPr>
          <w:rFonts w:asciiTheme="majorHAnsi" w:eastAsiaTheme="majorEastAsia" w:hAnsiTheme="majorHAnsi" w:cstheme="majorBidi"/>
          <w:caps/>
          <w:sz w:val="38"/>
          <w:szCs w:val="26"/>
        </w:rPr>
      </w:pPr>
      <w:r w:rsidRPr="002A51CA">
        <w:rPr>
          <w:rFonts w:asciiTheme="majorHAnsi" w:eastAsiaTheme="majorEastAsia" w:hAnsiTheme="majorHAnsi" w:cstheme="majorBidi"/>
          <w:caps/>
          <w:sz w:val="38"/>
          <w:szCs w:val="26"/>
        </w:rPr>
        <w:t>1</w:t>
      </w:r>
      <w:r>
        <w:rPr>
          <w:rFonts w:asciiTheme="majorHAnsi" w:eastAsiaTheme="majorEastAsia" w:hAnsiTheme="majorHAnsi" w:cstheme="majorBidi"/>
          <w:caps/>
          <w:sz w:val="38"/>
          <w:szCs w:val="26"/>
        </w:rPr>
        <w:t xml:space="preserve">: </w:t>
      </w:r>
      <w:r w:rsidR="00927E9B">
        <w:rPr>
          <w:rFonts w:asciiTheme="majorHAnsi" w:eastAsiaTheme="majorEastAsia" w:hAnsiTheme="majorHAnsi" w:cstheme="majorBidi"/>
          <w:caps/>
          <w:sz w:val="38"/>
          <w:szCs w:val="26"/>
        </w:rPr>
        <w:t xml:space="preserve"> </w:t>
      </w:r>
      <w:r>
        <w:rPr>
          <w:rFonts w:asciiTheme="majorHAnsi" w:eastAsiaTheme="majorEastAsia" w:hAnsiTheme="majorHAnsi" w:cstheme="majorBidi"/>
          <w:caps/>
          <w:sz w:val="38"/>
          <w:szCs w:val="26"/>
        </w:rPr>
        <w:t>Effe</w:t>
      </w:r>
      <w:r w:rsidR="00927E9B">
        <w:rPr>
          <w:rFonts w:asciiTheme="majorHAnsi" w:eastAsiaTheme="majorEastAsia" w:hAnsiTheme="majorHAnsi" w:cstheme="majorBidi"/>
          <w:caps/>
          <w:sz w:val="38"/>
          <w:szCs w:val="26"/>
        </w:rPr>
        <w:t xml:space="preserve">ctive Economic Institutions and </w:t>
      </w:r>
      <w:r>
        <w:rPr>
          <w:rFonts w:asciiTheme="majorHAnsi" w:eastAsiaTheme="majorEastAsia" w:hAnsiTheme="majorHAnsi" w:cstheme="majorBidi"/>
          <w:caps/>
          <w:sz w:val="38"/>
          <w:szCs w:val="26"/>
        </w:rPr>
        <w:t xml:space="preserve">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16"/>
        <w:gridCol w:w="1904"/>
        <w:gridCol w:w="1906"/>
        <w:gridCol w:w="1906"/>
        <w:gridCol w:w="1906"/>
      </w:tblGrid>
      <w:tr w:rsidR="000F67D4" w:rsidTr="000F67D4">
        <w:tc>
          <w:tcPr>
            <w:tcW w:w="2016" w:type="dxa"/>
          </w:tcPr>
          <w:p w:rsidR="000F67D4" w:rsidRDefault="000F67D4" w:rsidP="000F67D4">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74614C91" wp14:editId="53C34977">
                  <wp:extent cx="1137600" cy="720000"/>
                  <wp:effectExtent l="0" t="0" r="5715" b="4445"/>
                  <wp:docPr id="51" name="Picture 51" descr="Text box reading: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25" w:type="dxa"/>
          </w:tcPr>
          <w:p w:rsidR="000F67D4" w:rsidRDefault="000F67D4" w:rsidP="000F67D4">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05E63E90" wp14:editId="6CFAD61A">
                  <wp:extent cx="609600" cy="609600"/>
                  <wp:effectExtent l="0" t="0" r="0" b="0"/>
                  <wp:docPr id="55" name="Picture 55" descr="Icon for Sustainable Development Goal number 1. No Poverty" title="SDG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26" w:type="dxa"/>
          </w:tcPr>
          <w:p w:rsidR="000F67D4" w:rsidRDefault="000F67D4" w:rsidP="000F67D4">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DF4A1B2" wp14:editId="5CEC2C6A">
                  <wp:extent cx="612000" cy="612000"/>
                  <wp:effectExtent l="0" t="0" r="0" b="0"/>
                  <wp:docPr id="63" name="Picture 63" descr="Icon for Sustainable Development Goal number 3. Good health and well-being " title="SDG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F67D4" w:rsidRDefault="000F67D4" w:rsidP="000F67D4">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B70B6FF" wp14:editId="5E294255">
                  <wp:extent cx="612000" cy="612000"/>
                  <wp:effectExtent l="0" t="0" r="0" b="0"/>
                  <wp:docPr id="64" name="Picture 64" descr="Icon for Sustainable Development Goal number 6. Clean water and sanitation " title="SDG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F67D4" w:rsidRDefault="000F67D4" w:rsidP="000F67D4">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FE28DB8" wp14:editId="6163B9B0">
                  <wp:extent cx="609600" cy="609600"/>
                  <wp:effectExtent l="0" t="0" r="0" b="0"/>
                  <wp:docPr id="65" name="Picture 65" descr="Icon for Sustainable Development Goal number 8. Decent work and economic growth " title="SDG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F67D4" w:rsidTr="000F67D4">
        <w:tc>
          <w:tcPr>
            <w:tcW w:w="2016" w:type="dxa"/>
          </w:tcPr>
          <w:p w:rsidR="000F67D4" w:rsidRDefault="000F67D4" w:rsidP="000F67D4">
            <w:pPr>
              <w:pStyle w:val="ListBullet"/>
              <w:tabs>
                <w:tab w:val="clear" w:pos="284"/>
              </w:tabs>
              <w:spacing w:after="0" w:line="240" w:lineRule="auto"/>
              <w:jc w:val="center"/>
              <w:rPr>
                <w:rFonts w:asciiTheme="majorHAnsi" w:eastAsiaTheme="majorEastAsia" w:hAnsiTheme="majorHAnsi" w:cstheme="majorBidi"/>
                <w:caps/>
                <w:noProof/>
                <w:color w:val="495965" w:themeColor="text2"/>
                <w:sz w:val="38"/>
                <w:szCs w:val="26"/>
              </w:rPr>
            </w:pPr>
          </w:p>
        </w:tc>
        <w:tc>
          <w:tcPr>
            <w:tcW w:w="1925" w:type="dxa"/>
          </w:tcPr>
          <w:p w:rsidR="000F67D4" w:rsidRPr="00020D6F" w:rsidRDefault="000F67D4" w:rsidP="000F67D4">
            <w:pPr>
              <w:pStyle w:val="ListBullet"/>
              <w:tabs>
                <w:tab w:val="clear" w:pos="284"/>
              </w:tabs>
              <w:spacing w:after="0" w:line="240" w:lineRule="auto"/>
              <w:jc w:val="center"/>
              <w:rPr>
                <w:rFonts w:eastAsiaTheme="majorEastAsia"/>
              </w:rPr>
            </w:pPr>
            <w:r>
              <w:rPr>
                <w:rFonts w:eastAsiaTheme="majorEastAsia"/>
                <w:noProof/>
              </w:rPr>
              <w:drawing>
                <wp:inline distT="0" distB="0" distL="0" distR="0" wp14:anchorId="49D779DE" wp14:editId="6A6B06D3">
                  <wp:extent cx="612000" cy="612000"/>
                  <wp:effectExtent l="0" t="0" r="0" b="0"/>
                  <wp:docPr id="66" name="Picture 66" descr="Icon for Sustainable Development Goal number 9. Industry innovation and infrastructure " title="SDG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g-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F67D4" w:rsidRDefault="000F67D4" w:rsidP="000F67D4">
            <w:pPr>
              <w:pStyle w:val="ListBullet"/>
              <w:tabs>
                <w:tab w:val="clear" w:pos="284"/>
              </w:tabs>
              <w:spacing w:after="0" w:line="240" w:lineRule="auto"/>
              <w:jc w:val="center"/>
              <w:rPr>
                <w:noProof/>
              </w:rPr>
            </w:pPr>
            <w:r>
              <w:rPr>
                <w:noProof/>
              </w:rPr>
              <w:drawing>
                <wp:inline distT="0" distB="0" distL="0" distR="0" wp14:anchorId="26F1A9F1" wp14:editId="20113B80">
                  <wp:extent cx="612000" cy="612000"/>
                  <wp:effectExtent l="0" t="0" r="0" b="0"/>
                  <wp:docPr id="67" name="Picture 67" descr="Icon for Sustainable Development Goal number 10. Reduced inequalities " title="SDG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F67D4" w:rsidRDefault="000F67D4" w:rsidP="000F67D4">
            <w:pPr>
              <w:pStyle w:val="ListBullet"/>
              <w:tabs>
                <w:tab w:val="clear" w:pos="284"/>
              </w:tabs>
              <w:spacing w:after="0" w:line="240" w:lineRule="auto"/>
              <w:jc w:val="center"/>
              <w:rPr>
                <w:noProof/>
              </w:rPr>
            </w:pPr>
            <w:r>
              <w:rPr>
                <w:noProof/>
              </w:rPr>
              <w:drawing>
                <wp:inline distT="0" distB="0" distL="0" distR="0" wp14:anchorId="502452C6" wp14:editId="1C885564">
                  <wp:extent cx="612000" cy="612000"/>
                  <wp:effectExtent l="0" t="0" r="0" b="0"/>
                  <wp:docPr id="68" name="Picture 68" descr="Icon for Sustainable Development Goal number 11. Sustainable cities and communities" title="SDG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F67D4" w:rsidRDefault="000F67D4" w:rsidP="000F67D4">
            <w:pPr>
              <w:pStyle w:val="ListBullet"/>
              <w:tabs>
                <w:tab w:val="clear" w:pos="284"/>
              </w:tabs>
              <w:spacing w:after="0" w:line="240" w:lineRule="auto"/>
              <w:jc w:val="center"/>
              <w:rPr>
                <w:noProof/>
              </w:rPr>
            </w:pPr>
            <w:r>
              <w:rPr>
                <w:noProof/>
              </w:rPr>
              <w:drawing>
                <wp:inline distT="0" distB="0" distL="0" distR="0" wp14:anchorId="3540A08A" wp14:editId="0B5BA55A">
                  <wp:extent cx="608400" cy="612000"/>
                  <wp:effectExtent l="0" t="0" r="1270" b="0"/>
                  <wp:docPr id="69" name="Picture 69" descr="Icon for Sustainable Development Goal number 16. Peace, justice and strong institutions " title="SDG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r>
    </w:tbl>
    <w:p w:rsidR="002A51CA" w:rsidRDefault="002A51CA" w:rsidP="002A51CA">
      <w:pPr>
        <w:keepNext/>
        <w:spacing w:before="80" w:after="80" w:line="280" w:lineRule="atLeast"/>
        <w:rPr>
          <w:rFonts w:ascii="Franklin Gothic Book" w:eastAsia="Times New Roman" w:hAnsi="Franklin Gothic Book" w:cs="Arial"/>
          <w:b/>
          <w:szCs w:val="19"/>
        </w:rPr>
      </w:pPr>
    </w:p>
    <w:p w:rsidR="00AD7096" w:rsidRPr="008C2F58" w:rsidRDefault="00AD7096" w:rsidP="00AD7096">
      <w:pPr>
        <w:rPr>
          <w:b/>
          <w:sz w:val="24"/>
        </w:rPr>
      </w:pPr>
      <w:r w:rsidRPr="008C2F58">
        <w:rPr>
          <w:b/>
          <w:sz w:val="24"/>
        </w:rPr>
        <w:t xml:space="preserve">Table </w:t>
      </w:r>
      <w:r w:rsidRPr="008C2F58">
        <w:rPr>
          <w:b/>
          <w:sz w:val="24"/>
        </w:rPr>
        <w:fldChar w:fldCharType="begin"/>
      </w:r>
      <w:r w:rsidRPr="008C2F58">
        <w:rPr>
          <w:b/>
          <w:sz w:val="24"/>
        </w:rPr>
        <w:instrText xml:space="preserve"> SEQ Table \* ARABIC </w:instrText>
      </w:r>
      <w:r w:rsidRPr="008C2F58">
        <w:rPr>
          <w:b/>
          <w:sz w:val="24"/>
        </w:rPr>
        <w:fldChar w:fldCharType="separate"/>
      </w:r>
      <w:r w:rsidR="00B32D8B">
        <w:rPr>
          <w:b/>
          <w:noProof/>
          <w:sz w:val="24"/>
        </w:rPr>
        <w:t>1</w:t>
      </w:r>
      <w:r w:rsidRPr="008C2F58">
        <w:rPr>
          <w:b/>
          <w:noProof/>
          <w:sz w:val="24"/>
        </w:rPr>
        <w:fldChar w:fldCharType="end"/>
      </w:r>
      <w:r w:rsidRPr="008C2F58">
        <w:rPr>
          <w:b/>
          <w:sz w:val="24"/>
        </w:rPr>
        <w:t xml:space="preserve"> Rating of the Program's Progress to</w:t>
      </w:r>
      <w:r>
        <w:rPr>
          <w:b/>
          <w:sz w:val="24"/>
        </w:rPr>
        <w:t>wards Australia’s Aid Objective 1</w:t>
      </w:r>
    </w:p>
    <w:tbl>
      <w:tblPr>
        <w:tblStyle w:val="APPR"/>
        <w:tblW w:w="4854" w:type="pct"/>
        <w:tblLook w:val="0000" w:firstRow="0" w:lastRow="0" w:firstColumn="0" w:lastColumn="0" w:noHBand="0" w:noVBand="0"/>
        <w:tblCaption w:val="Ratings of the Program's Progress towards Australia's Aid Objective 1"/>
        <w:tblDescription w:val="Objective 1: Effective Economic Institutions and Infrastructure - previous rating green, current rating green. Outcome 1: Stronger economic institutions - preivous rating green, current rating green. Outcome 2: Infrastructure is better planned, delivered and maintained - previous rating green, current rating amber. Outcome 3: More jobs and higher incomes, especially for poor households - previous rating amber, current rating green. "/>
      </w:tblPr>
      <w:tblGrid>
        <w:gridCol w:w="6687"/>
        <w:gridCol w:w="1358"/>
        <w:gridCol w:w="1312"/>
      </w:tblGrid>
      <w:tr w:rsidR="00AD7096" w:rsidRPr="00C61187" w:rsidTr="00AD7096">
        <w:trPr>
          <w:cnfStyle w:val="000000010000" w:firstRow="0" w:lastRow="0" w:firstColumn="0" w:lastColumn="0" w:oddVBand="0" w:evenVBand="0" w:oddHBand="0" w:evenHBand="1" w:firstRowFirstColumn="0" w:firstRowLastColumn="0" w:lastRowFirstColumn="0" w:lastRowLastColumn="0"/>
          <w:trHeight w:val="651"/>
        </w:trPr>
        <w:tc>
          <w:tcPr>
            <w:tcW w:w="6645" w:type="dxa"/>
          </w:tcPr>
          <w:p w:rsidR="00AD7096" w:rsidRPr="00BE6C6D" w:rsidRDefault="00AD7096" w:rsidP="00AD7096">
            <w:pPr>
              <w:pStyle w:val="NormalIndented"/>
              <w:spacing w:before="0"/>
              <w:rPr>
                <w:sz w:val="18"/>
                <w:lang w:eastAsia="en-US"/>
              </w:rPr>
            </w:pPr>
            <w:r w:rsidRPr="00BE6C6D">
              <w:rPr>
                <w:noProof/>
                <w:sz w:val="18"/>
                <w:lang w:val="en-AU"/>
              </w:rPr>
              <w:drawing>
                <wp:anchor distT="0" distB="0" distL="114300" distR="114300" simplePos="0" relativeHeight="251692032" behindDoc="0" locked="0" layoutInCell="1" allowOverlap="1" wp14:anchorId="55E331A7" wp14:editId="07F4CA35">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rsidR="00AD7096" w:rsidRPr="00BE6C6D" w:rsidRDefault="00AD7096" w:rsidP="00AD7096">
            <w:pPr>
              <w:pStyle w:val="NormalIndented"/>
              <w:spacing w:before="0"/>
              <w:rPr>
                <w:sz w:val="18"/>
                <w:lang w:eastAsia="en-US"/>
              </w:rPr>
            </w:pPr>
            <w:r w:rsidRPr="00BE6C6D">
              <w:rPr>
                <w:sz w:val="18"/>
                <w:lang w:eastAsia="en-US"/>
              </w:rPr>
              <w:t>Previous Rating</w:t>
            </w:r>
          </w:p>
        </w:tc>
        <w:tc>
          <w:tcPr>
            <w:tcW w:w="1270" w:type="dxa"/>
          </w:tcPr>
          <w:p w:rsidR="00AD7096" w:rsidRPr="00BE6C6D" w:rsidRDefault="00AD7096" w:rsidP="00AD7096">
            <w:pPr>
              <w:pStyle w:val="NormalIndented"/>
              <w:spacing w:before="0"/>
              <w:rPr>
                <w:sz w:val="18"/>
                <w:lang w:eastAsia="en-US"/>
              </w:rPr>
            </w:pPr>
            <w:r w:rsidRPr="00BE6C6D">
              <w:rPr>
                <w:sz w:val="18"/>
                <w:lang w:eastAsia="en-US"/>
              </w:rPr>
              <w:t>Current Rating</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0A50A3" w:rsidRDefault="00AD7096" w:rsidP="00AD7096">
            <w:pPr>
              <w:pStyle w:val="NormalIndented"/>
              <w:spacing w:before="0"/>
              <w:ind w:left="0"/>
              <w:rPr>
                <w:b/>
                <w:sz w:val="16"/>
                <w:lang w:eastAsia="en-US"/>
              </w:rPr>
            </w:pPr>
            <w:r w:rsidRPr="000A50A3">
              <w:rPr>
                <w:b/>
                <w:sz w:val="16"/>
                <w:lang w:eastAsia="en-US"/>
              </w:rPr>
              <w:t>Objective 1 : Effective Economic Institutions and Infrastructure</w:t>
            </w:r>
          </w:p>
        </w:tc>
        <w:tc>
          <w:tcPr>
            <w:tcW w:w="1330" w:type="dxa"/>
            <w:shd w:val="clear" w:color="auto" w:fill="76B531"/>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Green</w:t>
            </w:r>
          </w:p>
        </w:tc>
        <w:tc>
          <w:tcPr>
            <w:tcW w:w="1270" w:type="dxa"/>
            <w:shd w:val="clear" w:color="auto" w:fill="76B531"/>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BE6C6D" w:rsidRDefault="00AD7096" w:rsidP="00AD7096">
            <w:pPr>
              <w:pStyle w:val="NormalIndented"/>
              <w:spacing w:before="0"/>
              <w:ind w:left="0"/>
              <w:rPr>
                <w:sz w:val="16"/>
                <w:lang w:eastAsia="en-US"/>
              </w:rPr>
            </w:pPr>
            <w:r>
              <w:rPr>
                <w:sz w:val="16"/>
                <w:lang w:eastAsia="en-US"/>
              </w:rPr>
              <w:t xml:space="preserve">  Outcome 1: Stronger economic institutions</w:t>
            </w:r>
          </w:p>
        </w:tc>
        <w:tc>
          <w:tcPr>
            <w:tcW w:w="133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BE6C6D" w:rsidRDefault="00AD7096" w:rsidP="00AD7096">
            <w:pPr>
              <w:pStyle w:val="NormalIndented"/>
              <w:spacing w:before="0"/>
              <w:ind w:left="0"/>
              <w:rPr>
                <w:sz w:val="16"/>
                <w:lang w:eastAsia="en-US"/>
              </w:rPr>
            </w:pPr>
            <w:r>
              <w:rPr>
                <w:sz w:val="16"/>
                <w:lang w:eastAsia="en-US"/>
              </w:rPr>
              <w:t xml:space="preserve">  Outcome 2: Infrastructure is better planned, delivered and maintained</w:t>
            </w:r>
          </w:p>
        </w:tc>
        <w:tc>
          <w:tcPr>
            <w:tcW w:w="1330" w:type="dxa"/>
            <w:shd w:val="clear" w:color="auto" w:fill="FF9900"/>
            <w:noWrap/>
            <w:vAlign w:val="center"/>
          </w:tcPr>
          <w:p w:rsidR="00AD7096" w:rsidRPr="00BE6C6D" w:rsidRDefault="00AD7096" w:rsidP="00AD7096">
            <w:pPr>
              <w:pStyle w:val="NormalIndented"/>
              <w:spacing w:before="0"/>
              <w:ind w:left="0"/>
              <w:jc w:val="center"/>
              <w:rPr>
                <w:color w:val="FFFFFF" w:themeColor="background1"/>
                <w:sz w:val="16"/>
                <w:lang w:eastAsia="en-US"/>
              </w:rPr>
            </w:pPr>
            <w:r>
              <w:rPr>
                <w:color w:val="FFFFFF" w:themeColor="background1"/>
                <w:sz w:val="16"/>
                <w:lang w:eastAsia="en-US"/>
              </w:rPr>
              <w:t>Amber</w:t>
            </w:r>
          </w:p>
        </w:tc>
        <w:tc>
          <w:tcPr>
            <w:tcW w:w="127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BE6C6D" w:rsidRDefault="00AD7096" w:rsidP="00AD7096">
            <w:pPr>
              <w:pStyle w:val="NormalIndented"/>
              <w:spacing w:before="0"/>
              <w:ind w:left="0"/>
              <w:rPr>
                <w:sz w:val="16"/>
              </w:rPr>
            </w:pPr>
            <w:r>
              <w:rPr>
                <w:sz w:val="16"/>
              </w:rPr>
              <w:t xml:space="preserve">  Outcome 3: More jobs and higher incomes, especially for poor households </w:t>
            </w:r>
          </w:p>
        </w:tc>
        <w:tc>
          <w:tcPr>
            <w:tcW w:w="133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Pr>
                <w:color w:val="FFFFFF" w:themeColor="background1"/>
                <w:sz w:val="16"/>
                <w:lang w:eastAsia="en-US"/>
              </w:rPr>
              <w:t>Green</w:t>
            </w:r>
          </w:p>
        </w:tc>
        <w:tc>
          <w:tcPr>
            <w:tcW w:w="127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bl>
    <w:p w:rsidR="00AD7096" w:rsidRPr="00BE6C6D" w:rsidRDefault="00AD7096" w:rsidP="00AD7096">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AD7096" w:rsidRPr="00BE6C6D" w:rsidRDefault="00AD7096" w:rsidP="00AD7096">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AD7096" w:rsidRDefault="00AD7096" w:rsidP="00AD7096">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AA1B6B" w:rsidRDefault="00FE5B4C" w:rsidP="00075D92">
      <w:r w:rsidRPr="00FE5B4C">
        <w:t xml:space="preserve">The Indonesian economy has </w:t>
      </w:r>
      <w:r w:rsidR="00AC3D0D">
        <w:t>performed well in recent years.</w:t>
      </w:r>
      <w:r w:rsidRPr="00FE5B4C">
        <w:t xml:space="preserve"> However</w:t>
      </w:r>
      <w:r w:rsidR="005239F9">
        <w:t>,</w:t>
      </w:r>
      <w:r w:rsidRPr="00FE5B4C">
        <w:t xml:space="preserve"> a substantial infrastructure deficit and ongoing structural weaknesses – such as low tax revenues, labour market rigidities, shallow financial markets and trade and investme</w:t>
      </w:r>
      <w:r w:rsidR="002B6CC8">
        <w:t xml:space="preserve">nt </w:t>
      </w:r>
      <w:r w:rsidR="005239F9">
        <w:t>barriers</w:t>
      </w:r>
      <w:r w:rsidR="005239F9" w:rsidRPr="00FE5B4C">
        <w:t xml:space="preserve"> – </w:t>
      </w:r>
      <w:r w:rsidRPr="00FE5B4C">
        <w:t xml:space="preserve">mean that the average annual growth rate </w:t>
      </w:r>
      <w:r w:rsidR="002B6CC8">
        <w:t>of 5 per cent</w:t>
      </w:r>
      <w:r w:rsidRPr="00FE5B4C">
        <w:t xml:space="preserve"> continues </w:t>
      </w:r>
      <w:r w:rsidR="002B6CC8">
        <w:t xml:space="preserve">to fall short of its potential of </w:t>
      </w:r>
      <w:r w:rsidRPr="00FE5B4C">
        <w:t>6-7</w:t>
      </w:r>
      <w:r w:rsidR="002B6CC8">
        <w:t xml:space="preserve"> per cent</w:t>
      </w:r>
      <w:r w:rsidR="00774DE9">
        <w:t>.</w:t>
      </w:r>
      <w:r w:rsidR="005239F9">
        <w:rPr>
          <w:rStyle w:val="EndnoteReference"/>
        </w:rPr>
        <w:endnoteReference w:id="9"/>
      </w:r>
      <w:r w:rsidR="00774DE9">
        <w:t xml:space="preserve"> </w:t>
      </w:r>
      <w:r w:rsidRPr="00FE5B4C">
        <w:t>Higher growth is needed to achieve Indonesia’s development goals and provide quality jobs for its large and ex</w:t>
      </w:r>
      <w:r w:rsidR="002B6CC8">
        <w:t>panding working age population</w:t>
      </w:r>
      <w:r w:rsidR="005239F9">
        <w:t>.</w:t>
      </w:r>
    </w:p>
    <w:p w:rsidR="00BC6950" w:rsidRPr="00BC6950" w:rsidRDefault="00BC6950" w:rsidP="00BC6950">
      <w:pPr>
        <w:rPr>
          <w:u w:val="single"/>
        </w:rPr>
      </w:pPr>
      <w:r>
        <w:rPr>
          <w:u w:val="single"/>
        </w:rPr>
        <w:t>Outcome 1:  Stronger economic institutions</w:t>
      </w:r>
    </w:p>
    <w:p w:rsidR="00BC6950" w:rsidRPr="00BC6950" w:rsidRDefault="00BC6950" w:rsidP="00BC6950">
      <w:pPr>
        <w:rPr>
          <w:b/>
        </w:rPr>
      </w:pPr>
      <w:r w:rsidRPr="00BC6950">
        <w:rPr>
          <w:b/>
        </w:rPr>
        <w:t>Outcome 1 has been rated green</w:t>
      </w:r>
      <w:r w:rsidR="003D73E0">
        <w:rPr>
          <w:b/>
        </w:rPr>
        <w:t xml:space="preserve">, achieving the annual progress milestone of </w:t>
      </w:r>
      <w:r w:rsidRPr="00BC6950">
        <w:rPr>
          <w:b/>
        </w:rPr>
        <w:t>helping Indonesia reduce administration costs to free up more resources for infrastructure and essential services.</w:t>
      </w:r>
    </w:p>
    <w:p w:rsidR="00A2657D" w:rsidRDefault="001D4AA2" w:rsidP="00BC6950">
      <w:r>
        <w:t>Indonesia has experienced steady economic growth and poverty reduction. However, i</w:t>
      </w:r>
      <w:r w:rsidR="00BC6950" w:rsidRPr="00BC6950">
        <w:t>n order to unlock its eco</w:t>
      </w:r>
      <w:r w:rsidR="00A57D87">
        <w:t>nomic potential, and avoid the “middle-income trap”</w:t>
      </w:r>
      <w:r w:rsidR="00BC6950" w:rsidRPr="00BC6950">
        <w:t xml:space="preserve">, Indonesia needs to continue </w:t>
      </w:r>
      <w:r>
        <w:rPr>
          <w:color w:val="1F497D"/>
        </w:rPr>
        <w:t>its</w:t>
      </w:r>
      <w:r w:rsidR="00BC6950" w:rsidRPr="00BC6950">
        <w:rPr>
          <w:color w:val="1F497D"/>
        </w:rPr>
        <w:t xml:space="preserve"> </w:t>
      </w:r>
      <w:r w:rsidR="00BC6950" w:rsidRPr="00BC6950">
        <w:t>ambitious path of structural economic reform.</w:t>
      </w:r>
      <w:r w:rsidR="00A2657D">
        <w:t xml:space="preserve"> </w:t>
      </w:r>
      <w:r w:rsidR="00BC6950" w:rsidRPr="00BC6950">
        <w:t>In 2018-19</w:t>
      </w:r>
      <w:r w:rsidR="00BC6950" w:rsidRPr="00F30E2F">
        <w:t>, Australia worked with Indonesia to strengthen public finance</w:t>
      </w:r>
      <w:r w:rsidR="005D0A89">
        <w:t>s</w:t>
      </w:r>
      <w:r w:rsidR="00FB4D45" w:rsidRPr="00EE1F4D">
        <w:t xml:space="preserve"> by introducing administrative efficiencies, continue</w:t>
      </w:r>
      <w:r w:rsidR="006E3DEC">
        <w:t>d</w:t>
      </w:r>
      <w:r w:rsidR="00FB4D45" w:rsidRPr="00EE1F4D">
        <w:t xml:space="preserve"> efforts to modernise the tax system, and improve transparency and public </w:t>
      </w:r>
      <w:r w:rsidR="00FB4D45" w:rsidRPr="00F30E2F">
        <w:t>accountability</w:t>
      </w:r>
      <w:r w:rsidR="00A57D87" w:rsidRPr="000F3478">
        <w:t>.</w:t>
      </w:r>
      <w:r w:rsidR="00A57D87">
        <w:t xml:space="preserve"> </w:t>
      </w:r>
      <w:r w:rsidR="00BC6950" w:rsidRPr="00BC6950">
        <w:t>This has been achieved by providing timely quality advice, including through government-to-government partnerships that build on over 20 years of Australian assistance since the Asian Financial Crisis.</w:t>
      </w:r>
    </w:p>
    <w:p w:rsidR="00BC6950" w:rsidRDefault="00BC6950" w:rsidP="00BC6950">
      <w:r w:rsidRPr="00BC6950">
        <w:t xml:space="preserve">A significant achievement from our partnerships over the last 12 months </w:t>
      </w:r>
      <w:r w:rsidR="00A2657D" w:rsidRPr="00BC6950">
        <w:t>ha</w:t>
      </w:r>
      <w:r w:rsidR="00A2657D">
        <w:t xml:space="preserve">s </w:t>
      </w:r>
      <w:r w:rsidRPr="00BC6950">
        <w:t>been supporting Indonesian government agencies to benchmark operatio</w:t>
      </w:r>
      <w:r w:rsidR="00A57D87">
        <w:t>nal costs and identify savings.</w:t>
      </w:r>
      <w:r w:rsidRPr="00BC6950">
        <w:t xml:space="preserve"> </w:t>
      </w:r>
      <w:r w:rsidR="002A202F">
        <w:t>Australian-</w:t>
      </w:r>
      <w:r w:rsidR="001E5EC6">
        <w:t>funded</w:t>
      </w:r>
      <w:r w:rsidR="001D4AA2">
        <w:t xml:space="preserve"> technical expertise contributed to an improved methodology for Annual Spending Reviews, benchmarking corporate functions across ministries to find ways to improve spending efficiency</w:t>
      </w:r>
      <w:r w:rsidR="00F55115">
        <w:rPr>
          <w:rStyle w:val="EndnoteReference"/>
        </w:rPr>
        <w:endnoteReference w:id="10"/>
      </w:r>
      <w:r w:rsidR="001D4AA2">
        <w:t xml:space="preserve">. </w:t>
      </w:r>
      <w:r w:rsidR="000E28C7">
        <w:t xml:space="preserve">Results of the 2018 Annual Spending Review </w:t>
      </w:r>
      <w:r w:rsidR="003E25AB">
        <w:t>informed</w:t>
      </w:r>
      <w:r w:rsidR="006E3DEC">
        <w:t xml:space="preserve"> the</w:t>
      </w:r>
      <w:r w:rsidR="000E28C7">
        <w:t xml:space="preserve"> planning and budgeting processes for the 2020 budget</w:t>
      </w:r>
      <w:r w:rsidR="006E3DEC">
        <w:t xml:space="preserve"> for the first time</w:t>
      </w:r>
      <w:r w:rsidR="003E25AB">
        <w:t>, providing a comparative assessment to identify administrative savings</w:t>
      </w:r>
      <w:r w:rsidR="000E28C7">
        <w:t xml:space="preserve">. </w:t>
      </w:r>
      <w:r w:rsidRPr="00BC6950">
        <w:t xml:space="preserve">Overall, spending on administration </w:t>
      </w:r>
      <w:r w:rsidR="003E25AB">
        <w:t xml:space="preserve">at the national level </w:t>
      </w:r>
      <w:r w:rsidRPr="00BC6950">
        <w:t>declined by 1.2</w:t>
      </w:r>
      <w:r w:rsidR="003E25AB">
        <w:t xml:space="preserve"> per cent</w:t>
      </w:r>
      <w:r w:rsidR="00774DE9">
        <w:t xml:space="preserve"> </w:t>
      </w:r>
      <w:r w:rsidRPr="00BC6950">
        <w:t xml:space="preserve">between 2018 and 2019. This represents a saving of </w:t>
      </w:r>
      <w:r w:rsidR="00E80C09">
        <w:t xml:space="preserve">over </w:t>
      </w:r>
      <w:r w:rsidR="00020705">
        <w:t>AUD1.7</w:t>
      </w:r>
      <w:r w:rsidR="00E80C09">
        <w:t xml:space="preserve"> billion</w:t>
      </w:r>
      <w:r w:rsidR="00A2657D">
        <w:t xml:space="preserve">, allowing </w:t>
      </w:r>
      <w:r w:rsidR="003E25AB">
        <w:t xml:space="preserve">for </w:t>
      </w:r>
      <w:r w:rsidRPr="00BC6950">
        <w:t>greater investment</w:t>
      </w:r>
      <w:r w:rsidR="003E25AB" w:rsidRPr="003E25AB">
        <w:t xml:space="preserve"> </w:t>
      </w:r>
      <w:r w:rsidR="003E25AB">
        <w:t>in social, economic and infrastructure programs</w:t>
      </w:r>
      <w:r w:rsidR="00774DE9">
        <w:t>.</w:t>
      </w:r>
      <w:r>
        <w:t xml:space="preserve"> </w:t>
      </w:r>
    </w:p>
    <w:p w:rsidR="00D06418" w:rsidRDefault="00D06418" w:rsidP="00D06418">
      <w:r>
        <w:t xml:space="preserve">Indonesia’s low tax revenue limits its ability to </w:t>
      </w:r>
      <w:r w:rsidR="000C6EBD">
        <w:t>fund the basic services essential to the development of its human capital</w:t>
      </w:r>
      <w:r>
        <w:t>. At just 10-11 per cent of GDP, Indonesia’s tax ratio is too low to meet the rising infrastructure, economic and social spending needs of a middle-income country. By comparison, Indonesia’s regional peers collect taxes around 15 per cent of GDP, and other</w:t>
      </w:r>
      <w:r w:rsidR="000C6EBD">
        <w:t xml:space="preserve"> large</w:t>
      </w:r>
      <w:r>
        <w:t xml:space="preserve"> emerging countries (BRICS) around 22 per cent. A modern tax system is key to sustaining increased revenue. For Indonesia, this means a complete overhaul of its IT system and better processes for core functions like taxpayer registration, processing tax returns and enforcing tax collections. A modern tax system will also increase the level of trust taxpayers have in the administration, helping to increase the number of people willing to pay tax.</w:t>
      </w:r>
    </w:p>
    <w:p w:rsidR="00BC6950" w:rsidRDefault="005D0A89" w:rsidP="00BC6950">
      <w:r w:rsidRPr="00BC6950">
        <w:t xml:space="preserve">Australia is assisting Indonesia’s Directorate General of Tax (DG Tax) to </w:t>
      </w:r>
      <w:r w:rsidRPr="0036690F">
        <w:t xml:space="preserve">improve efficiency of the Indonesian Government’s </w:t>
      </w:r>
      <w:r w:rsidRPr="00BC6950">
        <w:t xml:space="preserve">income generation, </w:t>
      </w:r>
      <w:r>
        <w:t>a key reform agenda. Indonesia is progressing the digitisation of its existing paper-based core tax system. This is a complex area of reform supported by Australia since 2016. Wholesale transformation of Indonesia’s tax system requires a significant change management process across an organisation of nearly 45,000 employees. The Indonesian government recently allocated AUD250 million to app</w:t>
      </w:r>
      <w:r w:rsidR="002A202F">
        <w:t>oint a firm to oversee the roll-</w:t>
      </w:r>
      <w:r>
        <w:t>out of the core tax system, and the Minister for Finance has approved the appointment of a procurement agent. Australia, including through the Australian Tax Office, helped establish a new data-management unit to begin preparations for transition to the new system</w:t>
      </w:r>
      <w:r w:rsidR="00A870CE">
        <w:t>,</w:t>
      </w:r>
      <w:r>
        <w:t xml:space="preserve"> and supported tax forms and accounting rules for value-added tax</w:t>
      </w:r>
      <w:r w:rsidR="00BC6950" w:rsidRPr="00BC6950">
        <w:t>.</w:t>
      </w:r>
    </w:p>
    <w:p w:rsidR="00A870CE" w:rsidRDefault="00A870CE" w:rsidP="00BC6950">
      <w:r>
        <w:t>T</w:t>
      </w:r>
      <w:r w:rsidRPr="00BC6950">
        <w:t xml:space="preserve">he Australian Taxation Office has </w:t>
      </w:r>
      <w:r>
        <w:t xml:space="preserve">also </w:t>
      </w:r>
      <w:r w:rsidRPr="00BC6950">
        <w:t>been supporting improved compliance and revenue raising through</w:t>
      </w:r>
      <w:r>
        <w:t xml:space="preserve"> a</w:t>
      </w:r>
      <w:r w:rsidRPr="00BC6950">
        <w:t xml:space="preserve"> </w:t>
      </w:r>
      <w:r>
        <w:t xml:space="preserve">behavioural </w:t>
      </w:r>
      <w:r w:rsidRPr="00BC6950">
        <w:t>‘nudge’ campaign</w:t>
      </w:r>
      <w:r>
        <w:t xml:space="preserve">. A pilot call centre has been established to target debt recovery and late lodgements, generating </w:t>
      </w:r>
      <w:r w:rsidRPr="00BC6950">
        <w:t>several million dollars in revenue</w:t>
      </w:r>
      <w:r w:rsidR="00947DFD">
        <w:rPr>
          <w:rStyle w:val="EndnoteReference"/>
        </w:rPr>
        <w:t xml:space="preserve">. </w:t>
      </w:r>
    </w:p>
    <w:p w:rsidR="00BC6950" w:rsidRDefault="00BA53C9" w:rsidP="00BC6950">
      <w:pPr>
        <w:rPr>
          <w:rFonts w:ascii="Times New Roman" w:hAnsi="Times New Roman" w:cs="Times New Roman"/>
          <w:sz w:val="24"/>
          <w:szCs w:val="24"/>
          <w:lang w:eastAsia="en-AU"/>
        </w:rPr>
      </w:pPr>
      <w:r>
        <w:t>I</w:t>
      </w:r>
      <w:r w:rsidR="00BC6950">
        <w:t xml:space="preserve">n August 2018, Indonesia’s Finance Minister publicly released Indonesia’s first Tax Expenditure Report that was a culmination of over five years of engagement with Australian Treasury. </w:t>
      </w:r>
      <w:r w:rsidR="00A81F24">
        <w:t xml:space="preserve">Indonesia is only the second ASEAN country to do so. </w:t>
      </w:r>
      <w:r w:rsidR="00BC6950">
        <w:t xml:space="preserve">The report showed that exemptions cost the government AUD14.6 billion a year. </w:t>
      </w:r>
      <w:r w:rsidR="00A81F24">
        <w:t>The report enables government officials and citizens to scrutinise tax exemptions and evaluate the benefits, providing an important evidence-base for future taxation reform.</w:t>
      </w:r>
      <w:r w:rsidR="00BC6950">
        <w:rPr>
          <w:rFonts w:ascii="Times New Roman" w:hAnsi="Times New Roman" w:cs="Times New Roman"/>
          <w:sz w:val="24"/>
          <w:szCs w:val="24"/>
          <w:lang w:eastAsia="en-AU"/>
        </w:rPr>
        <w:t xml:space="preserve"> </w:t>
      </w:r>
    </w:p>
    <w:p w:rsidR="0036690F" w:rsidRDefault="0036690F" w:rsidP="00BC6950">
      <w:pPr>
        <w:rPr>
          <w:lang w:val="en-AU"/>
        </w:rPr>
      </w:pPr>
      <w:r>
        <w:t xml:space="preserve">Achieving gender parity in Indonesian economic institutions has been a key focus to </w:t>
      </w:r>
      <w:r w:rsidR="00644903">
        <w:t>promote</w:t>
      </w:r>
      <w:r>
        <w:t xml:space="preserve"> inclusive economic growth and broader distribution impacts. In April 2018, Jakarta’s provincial government issued a regulation to allow small and medium enterprises (SMEs) to use home addresses for business registration. </w:t>
      </w:r>
      <w:r w:rsidRPr="00695618">
        <w:rPr>
          <w:lang w:val="en-AU"/>
        </w:rPr>
        <w:t xml:space="preserve">By </w:t>
      </w:r>
      <w:r w:rsidR="00793D6D">
        <w:rPr>
          <w:lang w:val="en-AU"/>
        </w:rPr>
        <w:t>March 2019</w:t>
      </w:r>
      <w:r w:rsidRPr="00695618">
        <w:rPr>
          <w:lang w:val="en-AU"/>
        </w:rPr>
        <w:t xml:space="preserve">, </w:t>
      </w:r>
      <w:r w:rsidR="00793D6D">
        <w:rPr>
          <w:lang w:val="en-AU"/>
        </w:rPr>
        <w:t xml:space="preserve">out </w:t>
      </w:r>
      <w:r w:rsidRPr="00695618">
        <w:rPr>
          <w:lang w:val="en-AU"/>
        </w:rPr>
        <w:t>of</w:t>
      </w:r>
      <w:r w:rsidR="00793D6D">
        <w:rPr>
          <w:lang w:val="en-AU"/>
        </w:rPr>
        <w:t xml:space="preserve"> a total of 16,921</w:t>
      </w:r>
      <w:r w:rsidRPr="00695618">
        <w:rPr>
          <w:lang w:val="en-AU"/>
        </w:rPr>
        <w:t xml:space="preserve"> business</w:t>
      </w:r>
      <w:r>
        <w:rPr>
          <w:lang w:val="en-AU"/>
        </w:rPr>
        <w:t>es</w:t>
      </w:r>
      <w:r w:rsidR="00793D6D">
        <w:rPr>
          <w:lang w:val="en-AU"/>
        </w:rPr>
        <w:t xml:space="preserve"> that had registered using a home address, 53 per cent were women</w:t>
      </w:r>
      <w:r w:rsidRPr="00695618">
        <w:rPr>
          <w:lang w:val="en-AU"/>
        </w:rPr>
        <w:t>-owned businesses</w:t>
      </w:r>
      <w:r>
        <w:rPr>
          <w:lang w:val="en-AU"/>
        </w:rPr>
        <w:t xml:space="preserve">. Plans are in place to work towards </w:t>
      </w:r>
      <w:r w:rsidRPr="00695618">
        <w:rPr>
          <w:lang w:val="en-AU"/>
        </w:rPr>
        <w:t>flexible and family-friendly work</w:t>
      </w:r>
      <w:r>
        <w:rPr>
          <w:lang w:val="en-AU"/>
        </w:rPr>
        <w:t>place</w:t>
      </w:r>
      <w:r w:rsidR="0047585E">
        <w:rPr>
          <w:lang w:val="en-AU"/>
        </w:rPr>
        <w:t>s,</w:t>
      </w:r>
      <w:r w:rsidRPr="00695618">
        <w:rPr>
          <w:lang w:val="en-AU"/>
        </w:rPr>
        <w:t xml:space="preserve"> </w:t>
      </w:r>
      <w:r w:rsidR="0047585E">
        <w:rPr>
          <w:lang w:val="en-AU"/>
        </w:rPr>
        <w:t>removing</w:t>
      </w:r>
      <w:r w:rsidRPr="00695618">
        <w:rPr>
          <w:lang w:val="en-AU"/>
        </w:rPr>
        <w:t xml:space="preserve"> gender bias in the tax system; promot</w:t>
      </w:r>
      <w:r w:rsidR="0047585E">
        <w:rPr>
          <w:lang w:val="en-AU"/>
        </w:rPr>
        <w:t>ing</w:t>
      </w:r>
      <w:r w:rsidRPr="00695618">
        <w:rPr>
          <w:lang w:val="en-AU"/>
        </w:rPr>
        <w:t xml:space="preserve"> women's leadership </w:t>
      </w:r>
      <w:r>
        <w:rPr>
          <w:lang w:val="en-AU"/>
        </w:rPr>
        <w:t xml:space="preserve">in government institutions; and </w:t>
      </w:r>
      <w:r w:rsidRPr="00695618">
        <w:rPr>
          <w:lang w:val="en-AU"/>
        </w:rPr>
        <w:t>enhanc</w:t>
      </w:r>
      <w:r w:rsidR="0047585E">
        <w:rPr>
          <w:lang w:val="en-AU"/>
        </w:rPr>
        <w:t>ing</w:t>
      </w:r>
      <w:r w:rsidRPr="00695618">
        <w:rPr>
          <w:lang w:val="en-AU"/>
        </w:rPr>
        <w:t xml:space="preserve"> transparency of gender balance in senior management in private financial institutions</w:t>
      </w:r>
      <w:r>
        <w:rPr>
          <w:lang w:val="en-AU"/>
        </w:rPr>
        <w:t>.</w:t>
      </w:r>
    </w:p>
    <w:p w:rsidR="00022BD8" w:rsidRPr="004A6B84" w:rsidRDefault="00022BD8" w:rsidP="00022BD8">
      <w:pPr>
        <w:rPr>
          <w:u w:val="single"/>
        </w:rPr>
      </w:pPr>
      <w:r w:rsidRPr="004A6B84">
        <w:rPr>
          <w:u w:val="single"/>
        </w:rPr>
        <w:t>Outcome 2:  Infrastructure is better planned, delivered and maintained</w:t>
      </w:r>
    </w:p>
    <w:p w:rsidR="00022BD8" w:rsidRDefault="00F908A9" w:rsidP="00022BD8">
      <w:pPr>
        <w:rPr>
          <w:b/>
        </w:rPr>
      </w:pPr>
      <w:r>
        <w:rPr>
          <w:b/>
        </w:rPr>
        <w:t>Outcome 2 has been rated green to reflect significant progress in leveraging funding for infrastructure development, including a new road maintenance program approved in the national budget</w:t>
      </w:r>
      <w:r w:rsidR="00022BD8">
        <w:rPr>
          <w:b/>
        </w:rPr>
        <w:t>.</w:t>
      </w:r>
    </w:p>
    <w:p w:rsidR="00F908A9" w:rsidRDefault="00767A1A" w:rsidP="00022BD8">
      <w:r>
        <w:t>Infrastructure remains a priority for President Joko Widodo as Indonesia faces a USD1.5 trillion infrastructure gap.</w:t>
      </w:r>
      <w:r w:rsidR="0047619C">
        <w:rPr>
          <w:rStyle w:val="EndnoteReference"/>
        </w:rPr>
        <w:endnoteReference w:id="11"/>
      </w:r>
      <w:r>
        <w:t xml:space="preserve"> </w:t>
      </w:r>
      <w:r w:rsidR="0047619C" w:rsidRPr="000F3478">
        <w:t>Limited and uneven transport across the archipelago</w:t>
      </w:r>
      <w:r>
        <w:t xml:space="preserve"> are adding to logistical barriers and driving up costs for business</w:t>
      </w:r>
      <w:r w:rsidR="00E36C6B">
        <w:t>es</w:t>
      </w:r>
      <w:r w:rsidR="0047619C">
        <w:t xml:space="preserve"> and the delivery of </w:t>
      </w:r>
      <w:r w:rsidR="00B71D38" w:rsidRPr="00767A1A">
        <w:t>basic goods and services</w:t>
      </w:r>
      <w:r w:rsidR="00022BD8" w:rsidRPr="00767A1A">
        <w:t>.</w:t>
      </w:r>
      <w:r w:rsidR="00022BD8" w:rsidRPr="000F3478">
        <w:t xml:space="preserve">  </w:t>
      </w:r>
      <w:r w:rsidR="0047619C">
        <w:t xml:space="preserve">The urgent need to address Indonesia’s infrastructure </w:t>
      </w:r>
      <w:r w:rsidR="00E84898">
        <w:t>deficit</w:t>
      </w:r>
      <w:r w:rsidR="0047619C">
        <w:t xml:space="preserve"> is putting a strain on resources and capacity, </w:t>
      </w:r>
      <w:r w:rsidR="00E84898">
        <w:t>bearing the risk that</w:t>
      </w:r>
      <w:r w:rsidR="0047619C">
        <w:t xml:space="preserve"> some infrastructure is not well planned or maintained.</w:t>
      </w:r>
      <w:r>
        <w:t xml:space="preserve"> </w:t>
      </w:r>
      <w:r w:rsidR="00671D61">
        <w:t>W</w:t>
      </w:r>
      <w:r>
        <w:t>e</w:t>
      </w:r>
      <w:r w:rsidR="00AC2CD4">
        <w:t xml:space="preserve"> use our development assistance </w:t>
      </w:r>
      <w:r w:rsidRPr="00F3696F">
        <w:t xml:space="preserve">to leverage other </w:t>
      </w:r>
      <w:r>
        <w:t xml:space="preserve">donor and private </w:t>
      </w:r>
      <w:r w:rsidRPr="008F7BBB">
        <w:t>sector funds to address Indonesia’s large infrastructure financing gap.</w:t>
      </w:r>
      <w:r w:rsidR="00F612EC" w:rsidRPr="008F7BBB">
        <w:t xml:space="preserve"> </w:t>
      </w:r>
      <w:r w:rsidR="007B2AA1" w:rsidRPr="008F7BBB">
        <w:t>Australia works through experienced partners, like</w:t>
      </w:r>
      <w:r w:rsidR="003253C5" w:rsidRPr="008F7BBB">
        <w:t xml:space="preserve"> the </w:t>
      </w:r>
      <w:r w:rsidR="008F7BBB" w:rsidRPr="008F7BBB">
        <w:t>multilateral development banks</w:t>
      </w:r>
      <w:r w:rsidR="007B2AA1" w:rsidRPr="008F7BBB">
        <w:t xml:space="preserve"> to provide practical support for Indonesia’s highest priority infrastructure projects, </w:t>
      </w:r>
      <w:r w:rsidR="008F7BBB" w:rsidRPr="008F7BBB">
        <w:t xml:space="preserve">encourage a pipeline of good quality projects, demonstrate workable models, and leverage additional finance from the private sector, the Indonesian Government and other donors.  The banks have </w:t>
      </w:r>
      <w:r w:rsidR="007B2AA1" w:rsidRPr="008F7BBB">
        <w:t>extensive, independent infrastructure networks, including Indonesian local and national government agencies.</w:t>
      </w:r>
    </w:p>
    <w:p w:rsidR="000E6006" w:rsidRDefault="006C40E5" w:rsidP="00022BD8">
      <w:r>
        <w:t xml:space="preserve">Over the last 12 months, </w:t>
      </w:r>
      <w:r w:rsidR="005F442C">
        <w:t>Australian technical support to key Indonesian ministries helped to prepare, plan, budget and successfully apply for multilateral loans to fund major infrastructure projects</w:t>
      </w:r>
      <w:r w:rsidR="00BF4F0B">
        <w:rPr>
          <w:rStyle w:val="EndnoteReference"/>
        </w:rPr>
        <w:endnoteReference w:id="12"/>
      </w:r>
      <w:r w:rsidR="005F442C">
        <w:t>. We provide</w:t>
      </w:r>
      <w:r w:rsidR="00671D61">
        <w:t>d</w:t>
      </w:r>
      <w:r w:rsidR="005F442C">
        <w:t xml:space="preserve"> targeted technical support, that has </w:t>
      </w:r>
      <w:r w:rsidR="00671D61">
        <w:t>attracted</w:t>
      </w:r>
      <w:r w:rsidR="00E36C6B">
        <w:t xml:space="preserve"> over AUD</w:t>
      </w:r>
      <w:r w:rsidR="005F442C">
        <w:t>2 billion</w:t>
      </w:r>
      <w:r w:rsidR="00AD515D">
        <w:rPr>
          <w:rStyle w:val="EndnoteReference"/>
        </w:rPr>
        <w:endnoteReference w:id="13"/>
      </w:r>
      <w:r w:rsidR="005F442C">
        <w:t xml:space="preserve"> of additional finance to help address Indonesia’s significant infrastructure gap. The combination of our technical assistance, multilateral loans</w:t>
      </w:r>
      <w:r w:rsidR="00644903">
        <w:t xml:space="preserve">, </w:t>
      </w:r>
      <w:r w:rsidR="005F442C">
        <w:t xml:space="preserve">and co-funding from the </w:t>
      </w:r>
      <w:r w:rsidR="008A76BD">
        <w:t>Indonesian government</w:t>
      </w:r>
      <w:r w:rsidR="005F442C">
        <w:t xml:space="preserve"> </w:t>
      </w:r>
      <w:r w:rsidR="00644903">
        <w:t>is providing</w:t>
      </w:r>
      <w:r w:rsidR="005F442C">
        <w:t xml:space="preserve"> essential infrastructure in </w:t>
      </w:r>
      <w:r w:rsidR="00644903">
        <w:t xml:space="preserve">rural </w:t>
      </w:r>
      <w:r w:rsidR="005F442C">
        <w:t xml:space="preserve">areas, improving urban water access, and strengthening irrigation systems. </w:t>
      </w:r>
      <w:r w:rsidR="005F442C" w:rsidRPr="005F442C">
        <w:t xml:space="preserve"> </w:t>
      </w:r>
    </w:p>
    <w:p w:rsidR="00C409F8" w:rsidRDefault="005F442C" w:rsidP="00C409F8">
      <w:r>
        <w:t>In 2018, Australia partnered with the Indonesian government to maintain and rehabilitate more than 1,479 kilometres of road in Nusa Tenggara Barat province</w:t>
      </w:r>
      <w:r w:rsidR="00F30E2F">
        <w:t xml:space="preserve"> under a pilot </w:t>
      </w:r>
      <w:r>
        <w:t>to</w:t>
      </w:r>
      <w:r w:rsidR="00080CF1">
        <w:t xml:space="preserve"> </w:t>
      </w:r>
      <w:r>
        <w:t xml:space="preserve">incentivise local governments to maintain their roads and encourage public scrutiny to report </w:t>
      </w:r>
      <w:r w:rsidR="00644903">
        <w:t xml:space="preserve">on </w:t>
      </w:r>
      <w:r>
        <w:t>road conditions</w:t>
      </w:r>
      <w:r w:rsidR="008E7399">
        <w:rPr>
          <w:rStyle w:val="EndnoteReference"/>
        </w:rPr>
        <w:endnoteReference w:id="14"/>
      </w:r>
      <w:r>
        <w:t xml:space="preserve">. </w:t>
      </w:r>
      <w:r w:rsidR="00AA4F0A">
        <w:t>Under this model, t</w:t>
      </w:r>
      <w:r w:rsidR="00C409F8">
        <w:t>he Ministry of Public Works and Housing verifies the quality of provincial r</w:t>
      </w:r>
      <w:r w:rsidR="00AA4F0A">
        <w:t xml:space="preserve">oad maintenance, triggering the </w:t>
      </w:r>
      <w:r w:rsidR="00660F20">
        <w:t xml:space="preserve">release of an Indonesian government </w:t>
      </w:r>
      <w:r w:rsidR="00AA4F0A">
        <w:t xml:space="preserve">funded </w:t>
      </w:r>
      <w:r w:rsidR="00C409F8">
        <w:t xml:space="preserve">performance </w:t>
      </w:r>
      <w:r w:rsidRPr="00A55937">
        <w:t>grant of up to 40 per cent of maintenance costs</w:t>
      </w:r>
      <w:r>
        <w:t xml:space="preserve">. Beyond improving roads, the pilot has strengthened community engagement and each month brings together government, police, road users, businesses, academics and civil society groups to represent views from across the community, including women and marginalised groups. These meetings help monitor emerging road use, condition and safety problems and find timely solutions. </w:t>
      </w:r>
    </w:p>
    <w:p w:rsidR="00022BD8" w:rsidRDefault="00884D45">
      <w:r>
        <w:rPr>
          <w:noProof/>
          <w:lang w:val="en-AU" w:eastAsia="en-AU"/>
        </w:rPr>
        <w:drawing>
          <wp:anchor distT="0" distB="0" distL="114300" distR="114300" simplePos="0" relativeHeight="251753472" behindDoc="0" locked="0" layoutInCell="1" allowOverlap="1">
            <wp:simplePos x="0" y="0"/>
            <wp:positionH relativeFrom="margin">
              <wp:align>left</wp:align>
            </wp:positionH>
            <wp:positionV relativeFrom="paragraph">
              <wp:posOffset>1606716</wp:posOffset>
            </wp:positionV>
            <wp:extent cx="2721092" cy="1949570"/>
            <wp:effectExtent l="0" t="0" r="3175" b="0"/>
            <wp:wrapSquare wrapText="bothSides"/>
            <wp:docPr id="6" name="Picture 6" descr="School children West Lombok, West Nusa Tenggara crossing a road that was maintained with Australian support." title="Children Using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1092" cy="1949570"/>
                    </a:xfrm>
                    <a:prstGeom prst="rect">
                      <a:avLst/>
                    </a:prstGeom>
                    <a:noFill/>
                    <a:ln>
                      <a:noFill/>
                    </a:ln>
                  </pic:spPr>
                </pic:pic>
              </a:graphicData>
            </a:graphic>
          </wp:anchor>
        </w:drawing>
      </w:r>
      <w:r w:rsidR="00080CF1">
        <w:t xml:space="preserve">Last year’s APPR </w:t>
      </w:r>
      <w:r w:rsidR="00D971DA">
        <w:t xml:space="preserve">rated this outcome </w:t>
      </w:r>
      <w:r w:rsidR="00080CF1">
        <w:t xml:space="preserve">amber due to delays in </w:t>
      </w:r>
      <w:r w:rsidR="00497C1A">
        <w:t>the</w:t>
      </w:r>
      <w:r w:rsidR="00080CF1">
        <w:t xml:space="preserve"> </w:t>
      </w:r>
      <w:r w:rsidR="00660F20">
        <w:t xml:space="preserve">Indonesian government’s </w:t>
      </w:r>
      <w:r w:rsidR="00080CF1">
        <w:t xml:space="preserve">financial commitment to expand </w:t>
      </w:r>
      <w:r w:rsidR="00D971DA">
        <w:t>the</w:t>
      </w:r>
      <w:r w:rsidR="00080CF1">
        <w:t xml:space="preserve"> pilot into a national performance-based road maintenance program.</w:t>
      </w:r>
      <w:r w:rsidR="00497C1A">
        <w:t xml:space="preserve"> Australia</w:t>
      </w:r>
      <w:r w:rsidR="00AA4F0A">
        <w:t>’s engagement</w:t>
      </w:r>
      <w:r w:rsidR="00497C1A">
        <w:t xml:space="preserve"> at the policy level with </w:t>
      </w:r>
      <w:r w:rsidR="00D971DA">
        <w:t xml:space="preserve">Indonesia’s </w:t>
      </w:r>
      <w:r w:rsidR="00E5178C">
        <w:t xml:space="preserve">National </w:t>
      </w:r>
      <w:r w:rsidR="00E36C6B">
        <w:t xml:space="preserve">Development </w:t>
      </w:r>
      <w:r w:rsidR="00E5178C">
        <w:t>Planning Agency</w:t>
      </w:r>
      <w:r w:rsidR="00D971DA">
        <w:t xml:space="preserve"> (Bappenas) and</w:t>
      </w:r>
      <w:r w:rsidR="00497C1A">
        <w:t xml:space="preserve"> the Ministry of Finance </w:t>
      </w:r>
      <w:r w:rsidR="00AA4F0A">
        <w:t>highlighted</w:t>
      </w:r>
      <w:r w:rsidR="00497C1A">
        <w:t xml:space="preserve"> </w:t>
      </w:r>
      <w:r w:rsidR="00D971DA">
        <w:t>the success of the pilot in incentivising the often-neglected maintenance of provincial roads</w:t>
      </w:r>
      <w:r w:rsidR="00497C1A">
        <w:t xml:space="preserve">. </w:t>
      </w:r>
      <w:r w:rsidR="00D971DA">
        <w:t xml:space="preserve">The </w:t>
      </w:r>
      <w:r w:rsidR="00D44FA3">
        <w:t xml:space="preserve">Indonesia </w:t>
      </w:r>
      <w:r w:rsidR="00D44FA3" w:rsidRPr="000A3F2E">
        <w:t>g</w:t>
      </w:r>
      <w:r w:rsidR="00D971DA" w:rsidRPr="000A3F2E">
        <w:t>overnment</w:t>
      </w:r>
      <w:r w:rsidR="00D971DA">
        <w:t xml:space="preserve"> </w:t>
      </w:r>
      <w:r w:rsidR="007415BF">
        <w:t xml:space="preserve">has </w:t>
      </w:r>
      <w:r w:rsidR="00D971DA">
        <w:t>since</w:t>
      </w:r>
      <w:r w:rsidR="00C409F8">
        <w:t xml:space="preserve"> allocated around AUD50 million</w:t>
      </w:r>
      <w:r w:rsidR="00F30E2F">
        <w:t xml:space="preserve"> from the 2019 national budget</w:t>
      </w:r>
      <w:r w:rsidR="00C409F8">
        <w:t xml:space="preserve"> for the first year roll-out of </w:t>
      </w:r>
      <w:r w:rsidR="00F30E2F">
        <w:t>its</w:t>
      </w:r>
      <w:r w:rsidR="00C409F8">
        <w:t xml:space="preserve"> new </w:t>
      </w:r>
      <w:r w:rsidR="00D44FA3">
        <w:t xml:space="preserve">sub-national road </w:t>
      </w:r>
      <w:r w:rsidR="00B24A11">
        <w:t>maintenance</w:t>
      </w:r>
      <w:r w:rsidR="00D44FA3">
        <w:t xml:space="preserve"> pr</w:t>
      </w:r>
      <w:r w:rsidR="005C516F">
        <w:t>ogram</w:t>
      </w:r>
      <w:r w:rsidR="00C409F8">
        <w:t xml:space="preserve">. Over the next five years, Indonesia plans to implement </w:t>
      </w:r>
      <w:r w:rsidR="005C516F">
        <w:t>this program</w:t>
      </w:r>
      <w:r w:rsidR="00C409F8">
        <w:t xml:space="preserve"> in 28 </w:t>
      </w:r>
      <w:r w:rsidR="00D971DA">
        <w:t xml:space="preserve">priority </w:t>
      </w:r>
      <w:r w:rsidR="00C409F8">
        <w:t xml:space="preserve">districts </w:t>
      </w:r>
      <w:r w:rsidR="00D971DA">
        <w:t xml:space="preserve">across </w:t>
      </w:r>
      <w:r w:rsidR="00C409F8">
        <w:t xml:space="preserve">15 provinces with a proposed allocation of AUD1.5 billion. Australia will continue to provide technical support through technical surveys, collection of road data to help prioritise road maintenance contracts, and training to share lessons from </w:t>
      </w:r>
      <w:r w:rsidR="00D971DA">
        <w:t>the</w:t>
      </w:r>
      <w:r w:rsidR="00C409F8">
        <w:t xml:space="preserve"> pilot program.  </w:t>
      </w:r>
    </w:p>
    <w:p w:rsidR="00C854A9" w:rsidRDefault="00B24A11" w:rsidP="00C854A9">
      <w:r>
        <w:rPr>
          <w:noProof/>
          <w:lang w:val="en-AU" w:eastAsia="en-AU"/>
        </w:rPr>
        <mc:AlternateContent>
          <mc:Choice Requires="wps">
            <w:drawing>
              <wp:anchor distT="0" distB="0" distL="114300" distR="114300" simplePos="0" relativeHeight="251755520" behindDoc="0" locked="0" layoutInCell="1" allowOverlap="1" wp14:anchorId="6C2740EB" wp14:editId="38F27793">
                <wp:simplePos x="0" y="0"/>
                <wp:positionH relativeFrom="margin">
                  <wp:align>left</wp:align>
                </wp:positionH>
                <wp:positionV relativeFrom="paragraph">
                  <wp:posOffset>1657185</wp:posOffset>
                </wp:positionV>
                <wp:extent cx="2720975" cy="548640"/>
                <wp:effectExtent l="0" t="0" r="3175" b="3810"/>
                <wp:wrapSquare wrapText="bothSides"/>
                <wp:docPr id="8" name="Text Box 8"/>
                <wp:cNvGraphicFramePr/>
                <a:graphic xmlns:a="http://schemas.openxmlformats.org/drawingml/2006/main">
                  <a:graphicData uri="http://schemas.microsoft.com/office/word/2010/wordprocessingShape">
                    <wps:wsp>
                      <wps:cNvSpPr txBox="1"/>
                      <wps:spPr>
                        <a:xfrm>
                          <a:off x="0" y="0"/>
                          <a:ext cx="2720975" cy="548640"/>
                        </a:xfrm>
                        <a:prstGeom prst="rect">
                          <a:avLst/>
                        </a:prstGeom>
                        <a:noFill/>
                        <a:ln>
                          <a:noFill/>
                        </a:ln>
                      </wps:spPr>
                      <wps:txbx>
                        <w:txbxContent>
                          <w:p w:rsidR="0049045F" w:rsidRPr="00585222" w:rsidRDefault="0049045F" w:rsidP="00585222">
                            <w:pPr>
                              <w:pStyle w:val="Caption"/>
                              <w:rPr>
                                <w:b w:val="0"/>
                                <w:sz w:val="16"/>
                                <w:szCs w:val="16"/>
                                <w:lang w:val="en-ID"/>
                              </w:rPr>
                            </w:pPr>
                            <w:r w:rsidRPr="00585222">
                              <w:rPr>
                                <w:b w:val="0"/>
                                <w:sz w:val="16"/>
                                <w:szCs w:val="16"/>
                                <w:lang w:val="en-ID"/>
                              </w:rPr>
                              <w:t xml:space="preserve">School children crossing </w:t>
                            </w:r>
                            <w:r>
                              <w:rPr>
                                <w:b w:val="0"/>
                                <w:sz w:val="16"/>
                                <w:szCs w:val="16"/>
                                <w:lang w:val="en-ID"/>
                              </w:rPr>
                              <w:t>a PRIM</w:t>
                            </w:r>
                            <w:r w:rsidRPr="00585222">
                              <w:rPr>
                                <w:b w:val="0"/>
                                <w:sz w:val="16"/>
                                <w:szCs w:val="16"/>
                                <w:lang w:val="en-ID"/>
                              </w:rPr>
                              <w:t xml:space="preserve"> road in front of their school in West Lombok, West Nusa Tenggara.  Photo:  KIAT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2740EB" id="_x0000_t202" coordsize="21600,21600" o:spt="202" path="m,l,21600r21600,l21600,xe">
                <v:stroke joinstyle="miter"/>
                <v:path gradientshapeok="t" o:connecttype="rect"/>
              </v:shapetype>
              <v:shape id="Text Box 8" o:spid="_x0000_s1026" type="#_x0000_t202" style="position:absolute;margin-left:0;margin-top:130.5pt;width:214.25pt;height:43.2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9uHAIAADgEAAAOAAAAZHJzL2Uyb0RvYy54bWysU01v2zAMvQ/YfxB0X5wE/UiNOEXWIsOA&#10;oC2QDD0rshQbsESNUmJnv36UHKdbt9Owi0yTFD/ee5rfd6ZhR4W+BlvwyWjMmbISytruC/5tu/o0&#10;48wHYUvRgFUFPynP7xcfP8xbl6spVNCUChkVsT5vXcGrEFyeZV5Wygg/AqcsBTWgEYF+cZ+VKFqq&#10;bppsOh7fZC1g6RCk8p68j32QL1J9rZUMz1p7FVhTcJotpBPTuYtntpiLfI/CVbU8jyH+YQojaktN&#10;L6UeRRDsgPUfpUwtETzoMJJgMtC6lirtQNtMxu+22VTCqbQLgePdBSb//8rKp+MLsrosOBFlhSGK&#10;tqoL7DN0bBbRaZ3PKWnjKC105CaWB78nZ1y602jil9ZhFCecTxdsYzFJzuntdHx3e82ZpNj11ezm&#10;KoGfvd126MMXBYZFo+BI3CVIxXHtA01CqUNKbGZhVTdN4q+xvzkoMXqyOHo/YrRCt+vO++ygPNE6&#10;CL0cvJOrmnquhQ8vAol/2oA0HZ7p0A20BYezxVkF+ONv/phPtFCUs5b0VHD//SBQcdZ8tURYFN9g&#10;4GDsBsMezAOQRCf0WpxMJl3A0AymRjCvJPVl7EIhYSX1KngYzIfQq5qeilTLZUoiiTkR1nbjZCwd&#10;QYoIbrtXge4McyCCnmBQmsjfod3n9vAuDwF0naiIgPYonnEmeSaGzk8p6v/X/5T19uAXPwEAAP//&#10;AwBQSwMEFAAGAAgAAAAhAOmBuZPfAAAACAEAAA8AAABkcnMvZG93bnJldi54bWxMj0FPg0AQhe8m&#10;/ofNmHizSxGxRYamMXoyMVI89LiwWyBlZ5HdtvjvHU96e5M3ee97+Wa2gzibyfeOEJaLCIShxume&#10;WoTP6vVuBcIHRVoNjgzCt/GwKa6vcpVpd6HSnHehFRxCPlMIXQhjJqVvOmOVX7jREHsHN1kV+Jxa&#10;qSd14XA7yDiKUmlVT9zQqdE8d6Y57k4WYbun8qX/eq8/ykPZV9U6orf0iHh7M2+fQAQzh79n+MVn&#10;dCiYqXYn0l4MCDwkIMTpkgXbSbx6AFEj3CePCcgil/8HFD8AAAD//wMAUEsBAi0AFAAGAAgAAAAh&#10;ALaDOJL+AAAA4QEAABMAAAAAAAAAAAAAAAAAAAAAAFtDb250ZW50X1R5cGVzXS54bWxQSwECLQAU&#10;AAYACAAAACEAOP0h/9YAAACUAQAACwAAAAAAAAAAAAAAAAAvAQAAX3JlbHMvLnJlbHNQSwECLQAU&#10;AAYACAAAACEA6Dl/bhwCAAA4BAAADgAAAAAAAAAAAAAAAAAuAgAAZHJzL2Uyb0RvYy54bWxQSwEC&#10;LQAUAAYACAAAACEA6YG5k98AAAAIAQAADwAAAAAAAAAAAAAAAAB2BAAAZHJzL2Rvd25yZXYueG1s&#10;UEsFBgAAAAAEAAQA8wAAAIIFAAAAAA==&#10;" filled="f" stroked="f">
                <v:textbox inset="0,0,0,0">
                  <w:txbxContent>
                    <w:p w:rsidR="0049045F" w:rsidRPr="00585222" w:rsidRDefault="0049045F" w:rsidP="00585222">
                      <w:pPr>
                        <w:pStyle w:val="Caption"/>
                        <w:rPr>
                          <w:b w:val="0"/>
                          <w:sz w:val="16"/>
                          <w:szCs w:val="16"/>
                          <w:lang w:val="en-ID"/>
                        </w:rPr>
                      </w:pPr>
                      <w:proofErr w:type="gramStart"/>
                      <w:r w:rsidRPr="00585222">
                        <w:rPr>
                          <w:b w:val="0"/>
                          <w:sz w:val="16"/>
                          <w:szCs w:val="16"/>
                          <w:lang w:val="en-ID"/>
                        </w:rPr>
                        <w:t>School children</w:t>
                      </w:r>
                      <w:proofErr w:type="gramEnd"/>
                      <w:r w:rsidRPr="00585222">
                        <w:rPr>
                          <w:b w:val="0"/>
                          <w:sz w:val="16"/>
                          <w:szCs w:val="16"/>
                          <w:lang w:val="en-ID"/>
                        </w:rPr>
                        <w:t xml:space="preserve"> crossing </w:t>
                      </w:r>
                      <w:r>
                        <w:rPr>
                          <w:b w:val="0"/>
                          <w:sz w:val="16"/>
                          <w:szCs w:val="16"/>
                          <w:lang w:val="en-ID"/>
                        </w:rPr>
                        <w:t>a PRIM</w:t>
                      </w:r>
                      <w:r w:rsidRPr="00585222">
                        <w:rPr>
                          <w:b w:val="0"/>
                          <w:sz w:val="16"/>
                          <w:szCs w:val="16"/>
                          <w:lang w:val="en-ID"/>
                        </w:rPr>
                        <w:t xml:space="preserve"> road in front of their school in West Lombok, West Nusa Tenggara.  Photo:  KIAT</w:t>
                      </w:r>
                    </w:p>
                  </w:txbxContent>
                </v:textbox>
                <w10:wrap type="square" anchorx="margin"/>
              </v:shape>
            </w:pict>
          </mc:Fallback>
        </mc:AlternateContent>
      </w:r>
      <w:r w:rsidR="00C854A9">
        <w:t xml:space="preserve">Australia </w:t>
      </w:r>
      <w:r w:rsidR="006D5055">
        <w:t>continued to support the</w:t>
      </w:r>
      <w:r w:rsidR="00C854A9" w:rsidRPr="00996E45">
        <w:t xml:space="preserve"> Directorate General of Highways (DGH) </w:t>
      </w:r>
      <w:r w:rsidR="006D5055">
        <w:t>to improve management of</w:t>
      </w:r>
      <w:r w:rsidR="00C854A9" w:rsidRPr="00996E45">
        <w:t xml:space="preserve"> Indonesia’s vast 47,000km national road network</w:t>
      </w:r>
      <w:r w:rsidR="0047585E">
        <w:t xml:space="preserve">. </w:t>
      </w:r>
      <w:r w:rsidR="006D5055">
        <w:t xml:space="preserve">Australia helped generate evidence and provide advice </w:t>
      </w:r>
      <w:r w:rsidR="007068E8">
        <w:t xml:space="preserve">for </w:t>
      </w:r>
      <w:r w:rsidR="006D5055">
        <w:t>DGH’s</w:t>
      </w:r>
      <w:r w:rsidR="007068E8">
        <w:t xml:space="preserve"> medium </w:t>
      </w:r>
      <w:r w:rsidR="006D5055">
        <w:t>and long-term road network plans</w:t>
      </w:r>
      <w:r w:rsidR="00C854A9" w:rsidRPr="00996E45">
        <w:t>, as well</w:t>
      </w:r>
      <w:r w:rsidR="007068E8">
        <w:t xml:space="preserve"> the establishment of</w:t>
      </w:r>
      <w:r w:rsidR="00C854A9" w:rsidRPr="00996E45">
        <w:t xml:space="preserve"> Road</w:t>
      </w:r>
      <w:r w:rsidR="00C854A9">
        <w:t xml:space="preserve"> Network Planning Guidelines</w:t>
      </w:r>
      <w:r w:rsidR="00C854A9" w:rsidRPr="00996E45">
        <w:t xml:space="preserve">. </w:t>
      </w:r>
      <w:r w:rsidR="0047585E">
        <w:t>Australia</w:t>
      </w:r>
      <w:r w:rsidR="007068E8">
        <w:t xml:space="preserve"> supported</w:t>
      </w:r>
      <w:r w:rsidR="0047585E">
        <w:t xml:space="preserve"> </w:t>
      </w:r>
      <w:r w:rsidR="007068E8">
        <w:t>development of</w:t>
      </w:r>
      <w:r w:rsidR="00C854A9" w:rsidRPr="00996E45">
        <w:t xml:space="preserve"> new Key Performance Indicators and guidelines to evaluate where sub-national roads </w:t>
      </w:r>
      <w:r w:rsidR="007068E8">
        <w:t xml:space="preserve">should </w:t>
      </w:r>
      <w:r w:rsidR="0047585E">
        <w:t>be upgraded to national roads</w:t>
      </w:r>
      <w:r w:rsidR="007068E8">
        <w:t xml:space="preserve">, drawing on </w:t>
      </w:r>
      <w:r w:rsidR="00C854A9" w:rsidRPr="00996E45">
        <w:t>refined analytical transport models using traffic surveys.</w:t>
      </w:r>
      <w:r w:rsidR="00C854A9">
        <w:t xml:space="preserve"> Australia</w:t>
      </w:r>
      <w:r w:rsidR="00C854A9" w:rsidRPr="00996E45">
        <w:t xml:space="preserve"> also </w:t>
      </w:r>
      <w:r w:rsidR="00C854A9">
        <w:t>helped</w:t>
      </w:r>
      <w:r w:rsidR="00C854A9" w:rsidRPr="00996E45">
        <w:t xml:space="preserve"> </w:t>
      </w:r>
      <w:r w:rsidR="007068E8">
        <w:t>develop</w:t>
      </w:r>
      <w:r w:rsidR="00C854A9" w:rsidRPr="00996E45">
        <w:t xml:space="preserve"> a Strategic Asset Management Tool to conduct </w:t>
      </w:r>
      <w:r w:rsidR="007068E8">
        <w:t xml:space="preserve">road </w:t>
      </w:r>
      <w:r w:rsidR="00C854A9" w:rsidRPr="00996E45">
        <w:t xml:space="preserve">lifecycle cost analyses </w:t>
      </w:r>
      <w:r w:rsidR="007068E8">
        <w:t>to inform</w:t>
      </w:r>
      <w:r w:rsidR="00C854A9" w:rsidRPr="00996E45">
        <w:t xml:space="preserve"> strategic maintenance interventions.</w:t>
      </w:r>
    </w:p>
    <w:p w:rsidR="0055143D" w:rsidRDefault="00D8732A" w:rsidP="005F442C">
      <w:r>
        <w:t>Australia</w:t>
      </w:r>
      <w:r w:rsidRPr="00996E45">
        <w:t xml:space="preserve"> worked with the Jakarta city government to </w:t>
      </w:r>
      <w:r w:rsidR="00535FDC">
        <w:t>identify safe, efficient, reliable, and cost-effective approaches to urban transport</w:t>
      </w:r>
      <w:r w:rsidR="006F4D3B">
        <w:t xml:space="preserve">, including the reduction of costly </w:t>
      </w:r>
      <w:r w:rsidR="00174A09">
        <w:t xml:space="preserve">transport </w:t>
      </w:r>
      <w:r w:rsidR="006F4D3B">
        <w:t>subsidies</w:t>
      </w:r>
      <w:r w:rsidR="00535FDC">
        <w:t xml:space="preserve">. </w:t>
      </w:r>
      <w:r w:rsidR="006F4D3B">
        <w:t xml:space="preserve">Analysis and technical advice </w:t>
      </w:r>
      <w:r w:rsidR="00535FDC">
        <w:t>drew</w:t>
      </w:r>
      <w:r w:rsidR="00117A87">
        <w:t xml:space="preserve"> on lessons from other countries’</w:t>
      </w:r>
      <w:r w:rsidR="00535FDC">
        <w:t xml:space="preserve"> transport systems, and involved consultation with public transport operators, city government officials, and civil society organisations to identify Jakarta’s particular needs.</w:t>
      </w:r>
      <w:r w:rsidRPr="00996E45">
        <w:t xml:space="preserve"> </w:t>
      </w:r>
    </w:p>
    <w:p w:rsidR="00591B7E" w:rsidRDefault="00591B7E" w:rsidP="005F442C">
      <w:r>
        <w:t xml:space="preserve">Addressing gender equality has been a key consideration in our infrastructure support to influence behavioural change and break down institutional barriers. A five-year work plan is guiding action to promote gender equality and social inclusion (GESI) across Australia’s infrastructure investments. The requirement to address GESI has </w:t>
      </w:r>
      <w:r w:rsidRPr="000E6006">
        <w:t xml:space="preserve">been integrated into contracts and training for </w:t>
      </w:r>
      <w:r>
        <w:t>the Indonesia</w:t>
      </w:r>
      <w:r w:rsidR="00E36C6B">
        <w:t>n</w:t>
      </w:r>
      <w:r>
        <w:t xml:space="preserve"> government</w:t>
      </w:r>
      <w:r w:rsidRPr="000E6006">
        <w:t xml:space="preserve"> and </w:t>
      </w:r>
      <w:r>
        <w:t xml:space="preserve">Australian </w:t>
      </w:r>
      <w:r w:rsidRPr="000E6006">
        <w:t>subcontractors</w:t>
      </w:r>
      <w:r>
        <w:t xml:space="preserve">. Australia’s experience has informed the </w:t>
      </w:r>
      <w:r w:rsidR="00660F20">
        <w:t>Indonesian government’s</w:t>
      </w:r>
      <w:r>
        <w:t xml:space="preserve"> own </w:t>
      </w:r>
      <w:r w:rsidRPr="000E6006">
        <w:t>toolkit to promote sustainable and inclusive economic growth through improved access to infrastructure for all people</w:t>
      </w:r>
      <w:r>
        <w:t>. The toolkit</w:t>
      </w:r>
      <w:r w:rsidRPr="000E6006">
        <w:t xml:space="preserve"> mainstreams GESI and child protection and is being rolled out nationally</w:t>
      </w:r>
      <w:r>
        <w:t>.</w:t>
      </w:r>
    </w:p>
    <w:p w:rsidR="00022BD8" w:rsidRPr="00955BBA" w:rsidRDefault="00022BD8" w:rsidP="00022BD8">
      <w:pPr>
        <w:rPr>
          <w:u w:val="single"/>
        </w:rPr>
      </w:pPr>
      <w:r w:rsidRPr="00955BBA">
        <w:rPr>
          <w:u w:val="single"/>
        </w:rPr>
        <w:t>Outcome 3:  More jobs and higher incomes, especially for poor households</w:t>
      </w:r>
    </w:p>
    <w:p w:rsidR="00022BD8" w:rsidRDefault="00591BF4" w:rsidP="00022BD8">
      <w:pPr>
        <w:rPr>
          <w:b/>
        </w:rPr>
      </w:pPr>
      <w:r>
        <w:rPr>
          <w:b/>
        </w:rPr>
        <w:t xml:space="preserve">Outcome 3 </w:t>
      </w:r>
      <w:r w:rsidR="00465EFF">
        <w:rPr>
          <w:b/>
        </w:rPr>
        <w:t>has been rated green with strong results in improving the policy settings for the Value-Added Tax, and increasing farm household income through better access to markets and technologies.</w:t>
      </w:r>
    </w:p>
    <w:p w:rsidR="00465EFF" w:rsidRDefault="00696BC5" w:rsidP="00EE1F4D">
      <w:pPr>
        <w:spacing w:before="60" w:after="120"/>
      </w:pPr>
      <w:r w:rsidRPr="0047585E">
        <w:rPr>
          <w:noProof/>
          <w:lang w:val="en-AU" w:eastAsia="en-AU"/>
        </w:rPr>
        <mc:AlternateContent>
          <mc:Choice Requires="wps">
            <w:drawing>
              <wp:anchor distT="0" distB="0" distL="114300" distR="114300" simplePos="0" relativeHeight="251720704" behindDoc="1" locked="0" layoutInCell="1" allowOverlap="1" wp14:anchorId="399BB845" wp14:editId="4D13B5D2">
                <wp:simplePos x="0" y="0"/>
                <wp:positionH relativeFrom="margin">
                  <wp:align>right</wp:align>
                </wp:positionH>
                <wp:positionV relativeFrom="paragraph">
                  <wp:posOffset>479425</wp:posOffset>
                </wp:positionV>
                <wp:extent cx="2867025" cy="4762500"/>
                <wp:effectExtent l="0" t="0" r="28575" b="19050"/>
                <wp:wrapSquare wrapText="bothSides"/>
                <wp:docPr id="38" name="Rectangle 38"/>
                <wp:cNvGraphicFramePr/>
                <a:graphic xmlns:a="http://schemas.openxmlformats.org/drawingml/2006/main">
                  <a:graphicData uri="http://schemas.microsoft.com/office/word/2010/wordprocessingShape">
                    <wps:wsp>
                      <wps:cNvSpPr/>
                      <wps:spPr>
                        <a:xfrm>
                          <a:off x="0" y="0"/>
                          <a:ext cx="2867025" cy="476250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45F" w:rsidRPr="008F12EE" w:rsidRDefault="0049045F" w:rsidP="00636527">
                            <w:pPr>
                              <w:jc w:val="center"/>
                              <w:rPr>
                                <w:b/>
                                <w:color w:val="0D0D0D" w:themeColor="text1" w:themeTint="F2"/>
                              </w:rPr>
                            </w:pPr>
                            <w:r w:rsidRPr="008F12EE">
                              <w:rPr>
                                <w:b/>
                                <w:color w:val="0D0D0D" w:themeColor="text1" w:themeTint="F2"/>
                              </w:rPr>
                              <w:t>Future of Health Security in Indonesia</w:t>
                            </w:r>
                          </w:p>
                          <w:p w:rsidR="0049045F" w:rsidRDefault="0049045F" w:rsidP="00585222">
                            <w:pPr>
                              <w:keepNext/>
                              <w:jc w:val="center"/>
                            </w:pPr>
                            <w:r>
                              <w:rPr>
                                <w:b/>
                                <w:noProof/>
                                <w:color w:val="0D0D0D" w:themeColor="text1" w:themeTint="F2"/>
                                <w:sz w:val="18"/>
                                <w:szCs w:val="18"/>
                                <w:lang w:val="en-AU" w:eastAsia="en-AU"/>
                              </w:rPr>
                              <w:drawing>
                                <wp:inline distT="0" distB="0" distL="0" distR="0">
                                  <wp:extent cx="1997050" cy="1496402"/>
                                  <wp:effectExtent l="0" t="0" r="3810" b="8890"/>
                                  <wp:docPr id="5" name="Picture 5" descr="Joint monitoring visit with Australian Embassy, Ministry of Finance, Bappenas, and Ministry of Agriculture to the Animal Health Centre in Jambi." title="Joint Health Securit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0515" cy="1513985"/>
                                          </a:xfrm>
                                          <a:prstGeom prst="rect">
                                            <a:avLst/>
                                          </a:prstGeom>
                                          <a:noFill/>
                                          <a:ln>
                                            <a:noFill/>
                                          </a:ln>
                                        </pic:spPr>
                                      </pic:pic>
                                    </a:graphicData>
                                  </a:graphic>
                                </wp:inline>
                              </w:drawing>
                            </w:r>
                          </w:p>
                          <w:p w:rsidR="0049045F" w:rsidRPr="001206AB" w:rsidRDefault="0049045F" w:rsidP="00585222">
                            <w:pPr>
                              <w:rPr>
                                <w:color w:val="auto"/>
                                <w:lang w:val="en-AU"/>
                              </w:rPr>
                            </w:pPr>
                            <w:r>
                              <w:rPr>
                                <w:sz w:val="16"/>
                                <w:szCs w:val="16"/>
                              </w:rPr>
                              <w:t xml:space="preserve">Joint monitoring visit with </w:t>
                            </w:r>
                            <w:r w:rsidR="00A07AEE">
                              <w:rPr>
                                <w:sz w:val="16"/>
                                <w:szCs w:val="16"/>
                              </w:rPr>
                              <w:t>Australian Embassy</w:t>
                            </w:r>
                            <w:r>
                              <w:rPr>
                                <w:sz w:val="16"/>
                                <w:szCs w:val="16"/>
                              </w:rPr>
                              <w:t>, Ministry of Finance, Bappenas and Ministry of Agriculture to the Animal Health Centre, Jambi.  Photo:  DFAT</w:t>
                            </w:r>
                          </w:p>
                          <w:p w:rsidR="0049045F" w:rsidRPr="008F12EE" w:rsidRDefault="0049045F" w:rsidP="00636527">
                            <w:pPr>
                              <w:rPr>
                                <w:color w:val="0D0D0D" w:themeColor="text1" w:themeTint="F2"/>
                                <w:sz w:val="20"/>
                                <w:szCs w:val="20"/>
                              </w:rPr>
                            </w:pPr>
                            <w:r w:rsidRPr="008F12EE">
                              <w:rPr>
                                <w:color w:val="0D0D0D" w:themeColor="text1" w:themeTint="F2"/>
                                <w:sz w:val="20"/>
                                <w:szCs w:val="20"/>
                              </w:rPr>
                              <w:t xml:space="preserve">Australia </w:t>
                            </w:r>
                            <w:r>
                              <w:rPr>
                                <w:color w:val="0D0D0D" w:themeColor="text1" w:themeTint="F2"/>
                                <w:sz w:val="20"/>
                                <w:szCs w:val="20"/>
                              </w:rPr>
                              <w:t xml:space="preserve">supports </w:t>
                            </w:r>
                            <w:r w:rsidRPr="008F12EE">
                              <w:rPr>
                                <w:color w:val="0D0D0D" w:themeColor="text1" w:themeTint="F2"/>
                                <w:sz w:val="20"/>
                                <w:szCs w:val="20"/>
                              </w:rPr>
                              <w:t xml:space="preserve">the Indonesian Government to improve </w:t>
                            </w:r>
                            <w:r>
                              <w:rPr>
                                <w:color w:val="0D0D0D" w:themeColor="text1" w:themeTint="F2"/>
                                <w:sz w:val="20"/>
                                <w:szCs w:val="20"/>
                              </w:rPr>
                              <w:t>its</w:t>
                            </w:r>
                            <w:r w:rsidRPr="008F12EE">
                              <w:rPr>
                                <w:color w:val="0D0D0D" w:themeColor="text1" w:themeTint="F2"/>
                                <w:sz w:val="20"/>
                                <w:szCs w:val="20"/>
                              </w:rPr>
                              <w:t xml:space="preserve"> capacity to prepare, detect and respond to infectious disease outbreaks. Three out of every four new infectious diseases in people are spread from animals.  </w:t>
                            </w:r>
                          </w:p>
                          <w:p w:rsidR="0049045F" w:rsidRPr="008F12EE" w:rsidRDefault="0049045F" w:rsidP="00636527">
                            <w:pPr>
                              <w:rPr>
                                <w:color w:val="0D0D0D" w:themeColor="text1" w:themeTint="F2"/>
                                <w:sz w:val="20"/>
                                <w:szCs w:val="20"/>
                              </w:rPr>
                            </w:pPr>
                            <w:r w:rsidRPr="008F12EE">
                              <w:rPr>
                                <w:color w:val="0D0D0D" w:themeColor="text1" w:themeTint="F2"/>
                                <w:sz w:val="20"/>
                                <w:szCs w:val="20"/>
                              </w:rPr>
                              <w:t xml:space="preserve">The Animal Health Information System developed </w:t>
                            </w:r>
                            <w:r>
                              <w:rPr>
                                <w:color w:val="0D0D0D" w:themeColor="text1" w:themeTint="F2"/>
                                <w:sz w:val="20"/>
                                <w:szCs w:val="20"/>
                              </w:rPr>
                              <w:t xml:space="preserve">with </w:t>
                            </w:r>
                            <w:r w:rsidRPr="008F12EE">
                              <w:rPr>
                                <w:color w:val="0D0D0D" w:themeColor="text1" w:themeTint="F2"/>
                                <w:sz w:val="20"/>
                                <w:szCs w:val="20"/>
                              </w:rPr>
                              <w:t>Australia’s</w:t>
                            </w:r>
                            <w:r>
                              <w:rPr>
                                <w:color w:val="0D0D0D" w:themeColor="text1" w:themeTint="F2"/>
                                <w:sz w:val="20"/>
                                <w:szCs w:val="20"/>
                              </w:rPr>
                              <w:t xml:space="preserve"> technical assistance</w:t>
                            </w:r>
                            <w:r w:rsidRPr="008F12EE">
                              <w:rPr>
                                <w:color w:val="0D0D0D" w:themeColor="text1" w:themeTint="F2"/>
                                <w:sz w:val="20"/>
                                <w:szCs w:val="20"/>
                              </w:rPr>
                              <w:t xml:space="preserve"> has over 3 million users and continues to grow, reporting episodes of disease at the grassroots level to improve surveillance, response and control of potential outbreaks. Discussions within the Indonesian government are now focused on how to integrate the human and animal surveillance systems. </w:t>
                            </w:r>
                          </w:p>
                          <w:p w:rsidR="0049045F" w:rsidRPr="008F12EE" w:rsidRDefault="0049045F" w:rsidP="00636527">
                            <w:pPr>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BB845" id="Rectangle 38" o:spid="_x0000_s1027" style="position:absolute;margin-left:174.55pt;margin-top:37.75pt;width:225.75pt;height:37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lDswIAANgFAAAOAAAAZHJzL2Uyb0RvYy54bWysVE1PGzEQvVfqf7B8L7tJQ6ARGxSBqCpR&#10;iICKs+O1syvZHtd2skl/fcf2ZkkB9VA1h43n643neWYuLndaka1wvgVT0dFJSYkwHOrWrCv64+nm&#10;0zklPjBTMwVGVHQvPL2cf/xw0dmZGEMDqhaOIIjxs85WtAnBzorC80Zo5k/ACoNGCU6zgKJbF7Vj&#10;HaJrVYzLclp04GrrgAvvUXudjXSe8KUUPNxL6UUgqqJ4t5C+Ln1X8VvML9hs7ZhtWt5fg/3DLTRr&#10;DSYdoK5ZYGTj2jdQuuUOPMhwwkEXIGXLRaoBqxmVr6p5bJgVqRYkx9uBJv//YPnddulIW1f0M76U&#10;YRrf6AFZY2atBEEdEtRZP0O/R7t0veTxGKvdSafjP9ZBdonU/UCq2AXCUTk+n56V41NKONomZ9Px&#10;aZloL17CrfPhqwBN4qGiDvMnMtn21gdMia4Hl5jNwE2rVHo5ZaLCg2rrqEtCbB1xpRzZMnx0xrkw&#10;YZTw1EZ/hzrrpyX+8vOjGpskqycHNeZMTRiR0g2OkqAtJi4iMZmKdAp7JeINlHkQEjmNxae8A9Db&#10;K/mG1SKrkZeBmSEipU6AEVlijQN2rmnw/BM7s9b7x1CRhmEILv92sRw8RKTMYMIQrFsD7j0AhUT3&#10;mbP/gaRMTWQp7Fa71G/JM2pWUO+xBx3k4fSW37TYB7fMhyVzOI04t7hhwj1+pIKuotCfKGnA/XpP&#10;H/1xSNBKSYfTXVH/c8OcoER9Mzg+X0aTSVwHSZicno1RcMeW1bHFbPQVYC+NcJdZno7RP6jDUTrQ&#10;z7iIFjErmpjhmLuiPLiDcBXy1sFVxsVikdxwBVgWbs2j5RE88hz7/Gn3zJzthyHgHN3BYROw2auZ&#10;yL4x0sBiE0C2aWBeeO1fANdHaqV+1cX9dCwnr5eFPP8NAAD//wMAUEsDBBQABgAIAAAAIQAaRxDy&#10;3QAAAAcBAAAPAAAAZHJzL2Rvd25yZXYueG1sTI9BS8NAEIXvgv9hGcGLtJuGRkvMpIgoFqQHa/G8&#10;zY5JMDsbs9s0/feOJ73Nmze8902xnlynRhpC6xlhMU9AEVfetlwj7N+fZytQIRq2pvNMCGcKsC4v&#10;LwqTW3/iNxp3sVYSwiE3CE2Mfa51qBpyJsx9Tyzepx+ciSKHWtvBnCTcdTpNklvtTMvS0JieHhuq&#10;vnZHh/CtUz3V/DI+3WT9a3veLLf0sUG8vpoe7kFFmuLfMfziCzqUwnTwR7ZBdQjySES4yzJQ4i6z&#10;hQwHhFUqG10W+j9/+QMAAP//AwBQSwECLQAUAAYACAAAACEAtoM4kv4AAADhAQAAEwAAAAAAAAAA&#10;AAAAAAAAAAAAW0NvbnRlbnRfVHlwZXNdLnhtbFBLAQItABQABgAIAAAAIQA4/SH/1gAAAJQBAAAL&#10;AAAAAAAAAAAAAAAAAC8BAABfcmVscy8ucmVsc1BLAQItABQABgAIAAAAIQCNyXlDswIAANgFAAAO&#10;AAAAAAAAAAAAAAAAAC4CAABkcnMvZTJvRG9jLnhtbFBLAQItABQABgAIAAAAIQAaRxDy3QAAAAcB&#10;AAAPAAAAAAAAAAAAAAAAAA0FAABkcnMvZG93bnJldi54bWxQSwUGAAAAAAQABADzAAAAFwYAAAAA&#10;" filled="f" strokecolor="#a2dcd1 [1940]" strokeweight="2pt">
                <v:textbox>
                  <w:txbxContent>
                    <w:p w:rsidR="0049045F" w:rsidRPr="008F12EE" w:rsidRDefault="0049045F" w:rsidP="00636527">
                      <w:pPr>
                        <w:jc w:val="center"/>
                        <w:rPr>
                          <w:b/>
                          <w:color w:val="0D0D0D" w:themeColor="text1" w:themeTint="F2"/>
                        </w:rPr>
                      </w:pPr>
                      <w:r w:rsidRPr="008F12EE">
                        <w:rPr>
                          <w:b/>
                          <w:color w:val="0D0D0D" w:themeColor="text1" w:themeTint="F2"/>
                        </w:rPr>
                        <w:t>Future of Health Security in Indonesia</w:t>
                      </w:r>
                    </w:p>
                    <w:p w:rsidR="0049045F" w:rsidRDefault="0049045F" w:rsidP="00585222">
                      <w:pPr>
                        <w:keepNext/>
                        <w:jc w:val="center"/>
                      </w:pPr>
                      <w:r>
                        <w:rPr>
                          <w:b/>
                          <w:noProof/>
                          <w:color w:val="0D0D0D" w:themeColor="text1" w:themeTint="F2"/>
                          <w:sz w:val="18"/>
                          <w:szCs w:val="18"/>
                          <w:lang w:val="en-AU" w:eastAsia="en-AU"/>
                        </w:rPr>
                        <w:drawing>
                          <wp:inline distT="0" distB="0" distL="0" distR="0">
                            <wp:extent cx="1997050" cy="1496402"/>
                            <wp:effectExtent l="0" t="0" r="3810" b="8890"/>
                            <wp:docPr id="5" name="Picture 5" descr="Joint monitoring visit with Australian Embassy, Ministry of Finance, Bappenas, and Ministry of Agriculture to the Animal Health Centre in Jambi." title="Joint Health Securit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0515" cy="1513985"/>
                                    </a:xfrm>
                                    <a:prstGeom prst="rect">
                                      <a:avLst/>
                                    </a:prstGeom>
                                    <a:noFill/>
                                    <a:ln>
                                      <a:noFill/>
                                    </a:ln>
                                  </pic:spPr>
                                </pic:pic>
                              </a:graphicData>
                            </a:graphic>
                          </wp:inline>
                        </w:drawing>
                      </w:r>
                    </w:p>
                    <w:p w:rsidR="0049045F" w:rsidRPr="001206AB" w:rsidRDefault="0049045F" w:rsidP="00585222">
                      <w:pPr>
                        <w:rPr>
                          <w:color w:val="auto"/>
                          <w:lang w:val="en-AU"/>
                        </w:rPr>
                      </w:pPr>
                      <w:r>
                        <w:rPr>
                          <w:sz w:val="16"/>
                          <w:szCs w:val="16"/>
                        </w:rPr>
                        <w:t xml:space="preserve">Joint monitoring visit with </w:t>
                      </w:r>
                      <w:r w:rsidR="00A07AEE">
                        <w:rPr>
                          <w:sz w:val="16"/>
                          <w:szCs w:val="16"/>
                        </w:rPr>
                        <w:t>Australian Embassy</w:t>
                      </w:r>
                      <w:r>
                        <w:rPr>
                          <w:sz w:val="16"/>
                          <w:szCs w:val="16"/>
                        </w:rPr>
                        <w:t xml:space="preserve">, Ministry of Finance, </w:t>
                      </w:r>
                      <w:proofErr w:type="spellStart"/>
                      <w:r>
                        <w:rPr>
                          <w:sz w:val="16"/>
                          <w:szCs w:val="16"/>
                        </w:rPr>
                        <w:t>Bappenas</w:t>
                      </w:r>
                      <w:proofErr w:type="spellEnd"/>
                      <w:r>
                        <w:rPr>
                          <w:sz w:val="16"/>
                          <w:szCs w:val="16"/>
                        </w:rPr>
                        <w:t xml:space="preserve"> and Ministry of Agriculture to the Animal Health Centre, Jambi.  Photo:  DFAT</w:t>
                      </w:r>
                    </w:p>
                    <w:p w:rsidR="0049045F" w:rsidRPr="008F12EE" w:rsidRDefault="0049045F" w:rsidP="00636527">
                      <w:pPr>
                        <w:rPr>
                          <w:color w:val="0D0D0D" w:themeColor="text1" w:themeTint="F2"/>
                          <w:sz w:val="20"/>
                          <w:szCs w:val="20"/>
                        </w:rPr>
                      </w:pPr>
                      <w:r w:rsidRPr="008F12EE">
                        <w:rPr>
                          <w:color w:val="0D0D0D" w:themeColor="text1" w:themeTint="F2"/>
                          <w:sz w:val="20"/>
                          <w:szCs w:val="20"/>
                        </w:rPr>
                        <w:t xml:space="preserve">Australia </w:t>
                      </w:r>
                      <w:r>
                        <w:rPr>
                          <w:color w:val="0D0D0D" w:themeColor="text1" w:themeTint="F2"/>
                          <w:sz w:val="20"/>
                          <w:szCs w:val="20"/>
                        </w:rPr>
                        <w:t xml:space="preserve">supports </w:t>
                      </w:r>
                      <w:r w:rsidRPr="008F12EE">
                        <w:rPr>
                          <w:color w:val="0D0D0D" w:themeColor="text1" w:themeTint="F2"/>
                          <w:sz w:val="20"/>
                          <w:szCs w:val="20"/>
                        </w:rPr>
                        <w:t xml:space="preserve">the Indonesian Government to improve </w:t>
                      </w:r>
                      <w:r>
                        <w:rPr>
                          <w:color w:val="0D0D0D" w:themeColor="text1" w:themeTint="F2"/>
                          <w:sz w:val="20"/>
                          <w:szCs w:val="20"/>
                        </w:rPr>
                        <w:t>its</w:t>
                      </w:r>
                      <w:r w:rsidRPr="008F12EE">
                        <w:rPr>
                          <w:color w:val="0D0D0D" w:themeColor="text1" w:themeTint="F2"/>
                          <w:sz w:val="20"/>
                          <w:szCs w:val="20"/>
                        </w:rPr>
                        <w:t xml:space="preserve"> capacity to prepare, detect and respond to infectious disease outbreaks. Three out of every four new infectious diseases in people </w:t>
                      </w:r>
                      <w:proofErr w:type="gramStart"/>
                      <w:r w:rsidRPr="008F12EE">
                        <w:rPr>
                          <w:color w:val="0D0D0D" w:themeColor="text1" w:themeTint="F2"/>
                          <w:sz w:val="20"/>
                          <w:szCs w:val="20"/>
                        </w:rPr>
                        <w:t>are spread</w:t>
                      </w:r>
                      <w:proofErr w:type="gramEnd"/>
                      <w:r w:rsidRPr="008F12EE">
                        <w:rPr>
                          <w:color w:val="0D0D0D" w:themeColor="text1" w:themeTint="F2"/>
                          <w:sz w:val="20"/>
                          <w:szCs w:val="20"/>
                        </w:rPr>
                        <w:t xml:space="preserve"> from animals.  </w:t>
                      </w:r>
                    </w:p>
                    <w:p w:rsidR="0049045F" w:rsidRPr="008F12EE" w:rsidRDefault="0049045F" w:rsidP="00636527">
                      <w:pPr>
                        <w:rPr>
                          <w:color w:val="0D0D0D" w:themeColor="text1" w:themeTint="F2"/>
                          <w:sz w:val="20"/>
                          <w:szCs w:val="20"/>
                        </w:rPr>
                      </w:pPr>
                      <w:r w:rsidRPr="008F12EE">
                        <w:rPr>
                          <w:color w:val="0D0D0D" w:themeColor="text1" w:themeTint="F2"/>
                          <w:sz w:val="20"/>
                          <w:szCs w:val="20"/>
                        </w:rPr>
                        <w:t xml:space="preserve">The Animal Health Information System developed </w:t>
                      </w:r>
                      <w:r>
                        <w:rPr>
                          <w:color w:val="0D0D0D" w:themeColor="text1" w:themeTint="F2"/>
                          <w:sz w:val="20"/>
                          <w:szCs w:val="20"/>
                        </w:rPr>
                        <w:t xml:space="preserve">with </w:t>
                      </w:r>
                      <w:r w:rsidRPr="008F12EE">
                        <w:rPr>
                          <w:color w:val="0D0D0D" w:themeColor="text1" w:themeTint="F2"/>
                          <w:sz w:val="20"/>
                          <w:szCs w:val="20"/>
                        </w:rPr>
                        <w:t>Australia’s</w:t>
                      </w:r>
                      <w:r>
                        <w:rPr>
                          <w:color w:val="0D0D0D" w:themeColor="text1" w:themeTint="F2"/>
                          <w:sz w:val="20"/>
                          <w:szCs w:val="20"/>
                        </w:rPr>
                        <w:t xml:space="preserve"> technical assistance</w:t>
                      </w:r>
                      <w:r w:rsidRPr="008F12EE">
                        <w:rPr>
                          <w:color w:val="0D0D0D" w:themeColor="text1" w:themeTint="F2"/>
                          <w:sz w:val="20"/>
                          <w:szCs w:val="20"/>
                        </w:rPr>
                        <w:t xml:space="preserve"> has over 3 million users and continues to grow, reporting episodes of disease at the grassroots level to improve surveillance, response and control of potential outbreaks. Discussions within the Indonesian government </w:t>
                      </w:r>
                      <w:proofErr w:type="gramStart"/>
                      <w:r w:rsidRPr="008F12EE">
                        <w:rPr>
                          <w:color w:val="0D0D0D" w:themeColor="text1" w:themeTint="F2"/>
                          <w:sz w:val="20"/>
                          <w:szCs w:val="20"/>
                        </w:rPr>
                        <w:t>are now focused</w:t>
                      </w:r>
                      <w:proofErr w:type="gramEnd"/>
                      <w:r w:rsidRPr="008F12EE">
                        <w:rPr>
                          <w:color w:val="0D0D0D" w:themeColor="text1" w:themeTint="F2"/>
                          <w:sz w:val="20"/>
                          <w:szCs w:val="20"/>
                        </w:rPr>
                        <w:t xml:space="preserve"> on how to integrate the human and animal surveillance systems. </w:t>
                      </w:r>
                    </w:p>
                    <w:p w:rsidR="0049045F" w:rsidRPr="008F12EE" w:rsidRDefault="0049045F" w:rsidP="00636527">
                      <w:pPr>
                        <w:rPr>
                          <w:color w:val="0D0D0D" w:themeColor="text1" w:themeTint="F2"/>
                          <w:sz w:val="20"/>
                          <w:szCs w:val="20"/>
                        </w:rPr>
                      </w:pPr>
                    </w:p>
                  </w:txbxContent>
                </v:textbox>
                <w10:wrap type="square" anchorx="margin"/>
              </v:rect>
            </w:pict>
          </mc:Fallback>
        </mc:AlternateContent>
      </w:r>
      <w:r w:rsidR="00465EFF" w:rsidRPr="005611B5">
        <w:t>Indonesia’s working-age population increases by about 2.5 million each year</w:t>
      </w:r>
      <w:r w:rsidR="00E5178C">
        <w:t>,</w:t>
      </w:r>
      <w:r w:rsidR="00465EFF" w:rsidRPr="005611B5">
        <w:t xml:space="preserve"> the </w:t>
      </w:r>
      <w:r w:rsidR="00465EFF">
        <w:t>largest increase</w:t>
      </w:r>
      <w:r w:rsidR="00465EFF" w:rsidRPr="005611B5">
        <w:t xml:space="preserve"> in the region</w:t>
      </w:r>
      <w:r w:rsidR="00E5178C">
        <w:t>.</w:t>
      </w:r>
      <w:r w:rsidR="00E5178C">
        <w:rPr>
          <w:rStyle w:val="EndnoteReference"/>
        </w:rPr>
        <w:endnoteReference w:id="15"/>
      </w:r>
      <w:r w:rsidR="00465EFF" w:rsidRPr="005611B5">
        <w:t xml:space="preserve"> To harness the benefits of a young and growing workforce, Indonesia needs to improve </w:t>
      </w:r>
      <w:r w:rsidR="00465EFF">
        <w:t>market</w:t>
      </w:r>
      <w:r w:rsidR="00465EFF" w:rsidRPr="005611B5">
        <w:t xml:space="preserve"> competitiveness</w:t>
      </w:r>
      <w:r w:rsidR="00A57D87">
        <w:t>.</w:t>
      </w:r>
      <w:r w:rsidR="00465EFF">
        <w:t xml:space="preserve"> </w:t>
      </w:r>
      <w:r w:rsidR="003D73E0">
        <w:t>However,</w:t>
      </w:r>
      <w:r w:rsidR="00465EFF">
        <w:t xml:space="preserve"> t</w:t>
      </w:r>
      <w:r w:rsidR="00465EFF" w:rsidRPr="005611B5">
        <w:t>here is</w:t>
      </w:r>
      <w:r w:rsidR="00465EFF">
        <w:t xml:space="preserve"> currently</w:t>
      </w:r>
      <w:r w:rsidR="00465EFF" w:rsidRPr="005611B5">
        <w:t xml:space="preserve"> a ski</w:t>
      </w:r>
      <w:r w:rsidR="00465EFF">
        <w:t>ll-mismatch in the labour market</w:t>
      </w:r>
      <w:r w:rsidR="00E5178C">
        <w:t>.</w:t>
      </w:r>
      <w:r w:rsidR="00465EFF">
        <w:rPr>
          <w:rStyle w:val="EndnoteReference"/>
        </w:rPr>
        <w:endnoteReference w:id="16"/>
      </w:r>
      <w:r w:rsidR="00465EFF">
        <w:t xml:space="preserve">  Although </w:t>
      </w:r>
      <w:r w:rsidR="00465EFF" w:rsidRPr="005611B5">
        <w:t xml:space="preserve">education </w:t>
      </w:r>
      <w:r w:rsidR="00465EFF">
        <w:t xml:space="preserve">enrolment </w:t>
      </w:r>
      <w:r w:rsidR="00465EFF" w:rsidRPr="005611B5">
        <w:t xml:space="preserve">has improved over the last two decades, the quality of education is </w:t>
      </w:r>
      <w:r w:rsidR="00465EFF">
        <w:t>still not delivering enough job-ready graduates for industry</w:t>
      </w:r>
      <w:r w:rsidR="00E5178C">
        <w:t>.</w:t>
      </w:r>
      <w:r w:rsidR="00465EFF">
        <w:t xml:space="preserve"> Addressing this jobs-skills mismatch is particularly important in preparing Indonesia for the projected increase in</w:t>
      </w:r>
      <w:r w:rsidR="00465EFF" w:rsidRPr="005611B5">
        <w:t xml:space="preserve"> automation and</w:t>
      </w:r>
      <w:r w:rsidR="00465EFF">
        <w:t xml:space="preserve"> the</w:t>
      </w:r>
      <w:r w:rsidR="00465EFF" w:rsidRPr="005611B5">
        <w:t xml:space="preserve"> d</w:t>
      </w:r>
      <w:r w:rsidR="002A202F">
        <w:t>igitis</w:t>
      </w:r>
      <w:r w:rsidR="00465EFF" w:rsidRPr="005611B5">
        <w:t>ation</w:t>
      </w:r>
      <w:r w:rsidR="00465EFF">
        <w:t xml:space="preserve"> of jobs</w:t>
      </w:r>
      <w:r w:rsidR="00E5178C">
        <w:t>.</w:t>
      </w:r>
      <w:r w:rsidR="00465EFF">
        <w:rPr>
          <w:rStyle w:val="EndnoteReference"/>
        </w:rPr>
        <w:endnoteReference w:id="17"/>
      </w:r>
    </w:p>
    <w:p w:rsidR="00591BF4" w:rsidRDefault="003D4153" w:rsidP="00EE1F4D">
      <w:pPr>
        <w:spacing w:before="60" w:after="120"/>
      </w:pPr>
      <w:r w:rsidRPr="00113068">
        <w:t>Indonesia’s services sector is the fastest-growing sector for employment and was the largest contributor to GDP growth in 2018.</w:t>
      </w:r>
      <w:r>
        <w:t xml:space="preserve"> Australia's assistance informed Indonesia’s decision to </w:t>
      </w:r>
      <w:r w:rsidR="00591BF4">
        <w:t>ex</w:t>
      </w:r>
      <w:r>
        <w:t xml:space="preserve">tend Value-Added Tax (VAT) exemptions on </w:t>
      </w:r>
      <w:r w:rsidR="00591BF4">
        <w:t xml:space="preserve">service exports </w:t>
      </w:r>
      <w:r>
        <w:t xml:space="preserve">to </w:t>
      </w:r>
      <w:r w:rsidR="009F1D72">
        <w:t>increase competitiveness</w:t>
      </w:r>
      <w:r>
        <w:t xml:space="preserve"> and</w:t>
      </w:r>
      <w:r w:rsidR="00591BF4">
        <w:t xml:space="preserve"> help grow businesses. Over the last 12 months, Australia worked with the </w:t>
      </w:r>
      <w:r w:rsidR="00591BF4" w:rsidRPr="001D0953">
        <w:t>Indonesia Services Dialogue, an industry group focused on creating more competitive services</w:t>
      </w:r>
      <w:r>
        <w:t>,</w:t>
      </w:r>
      <w:r w:rsidR="00591BF4">
        <w:t xml:space="preserve"> to advocate </w:t>
      </w:r>
      <w:r w:rsidR="00591BF4" w:rsidRPr="007B2AA1">
        <w:t xml:space="preserve">for </w:t>
      </w:r>
      <w:r w:rsidR="00591BF4" w:rsidRPr="005F5333">
        <w:t xml:space="preserve">an expansion of </w:t>
      </w:r>
      <w:r w:rsidR="00973298">
        <w:t xml:space="preserve">zero VAT </w:t>
      </w:r>
      <w:r w:rsidR="00591BF4" w:rsidRPr="005F5333">
        <w:t>service exports</w:t>
      </w:r>
      <w:r w:rsidR="008E7399">
        <w:rPr>
          <w:rStyle w:val="EndnoteReference"/>
        </w:rPr>
        <w:endnoteReference w:id="18"/>
      </w:r>
      <w:r w:rsidR="00591BF4">
        <w:t xml:space="preserve">. </w:t>
      </w:r>
      <w:r w:rsidR="00973298">
        <w:t>Australia helped by</w:t>
      </w:r>
      <w:r w:rsidR="00591BF4">
        <w:t xml:space="preserve"> </w:t>
      </w:r>
      <w:r w:rsidR="00591BF4" w:rsidRPr="005F5333">
        <w:t xml:space="preserve">providing analysis </w:t>
      </w:r>
      <w:r w:rsidR="00205F65">
        <w:t>that showed</w:t>
      </w:r>
      <w:r w:rsidR="00591BF4" w:rsidRPr="005F5333">
        <w:t xml:space="preserve"> revenue from levying a 10 per cent VAT on services exports was significantly lower than </w:t>
      </w:r>
      <w:r w:rsidR="00591BF4">
        <w:t>the benefits of</w:t>
      </w:r>
      <w:r w:rsidR="00591BF4" w:rsidRPr="005F5333">
        <w:t xml:space="preserve"> increased trade </w:t>
      </w:r>
      <w:r w:rsidR="00973298">
        <w:t>by removing</w:t>
      </w:r>
      <w:r w:rsidR="00591BF4">
        <w:t xml:space="preserve"> VAT. This</w:t>
      </w:r>
      <w:r w:rsidR="00205F65">
        <w:t xml:space="preserve"> </w:t>
      </w:r>
      <w:r w:rsidR="00446E44">
        <w:t xml:space="preserve">evidence </w:t>
      </w:r>
      <w:r w:rsidR="00591BF4">
        <w:t>inform</w:t>
      </w:r>
      <w:r w:rsidR="000E2A59">
        <w:t>ed</w:t>
      </w:r>
      <w:r w:rsidR="00591BF4">
        <w:t xml:space="preserve"> the Ministry of Finance</w:t>
      </w:r>
      <w:r>
        <w:t>’s</w:t>
      </w:r>
      <w:r w:rsidR="00591BF4">
        <w:t xml:space="preserve"> new regulation to expand the range of </w:t>
      </w:r>
      <w:r>
        <w:t>VAT-exempt s</w:t>
      </w:r>
      <w:r w:rsidR="000E2A59">
        <w:t xml:space="preserve">ervices </w:t>
      </w:r>
      <w:r w:rsidR="009F1D72">
        <w:t>to</w:t>
      </w:r>
      <w:r>
        <w:t xml:space="preserve"> </w:t>
      </w:r>
      <w:r w:rsidR="00591BF4">
        <w:t xml:space="preserve">information technology, research, international transportation rental services, consultation and communications. </w:t>
      </w:r>
    </w:p>
    <w:p w:rsidR="00446E44" w:rsidRDefault="003C5C26" w:rsidP="00EE1F4D">
      <w:pPr>
        <w:spacing w:before="60" w:after="120"/>
      </w:pPr>
      <w:r>
        <w:t xml:space="preserve">Australia works to help improve the Indonesian business environment by supporting more open trade and investment, improving regulations, and encouraging greater government efficiency. </w:t>
      </w:r>
      <w:r w:rsidRPr="003C5C26">
        <w:t xml:space="preserve">Excessive </w:t>
      </w:r>
      <w:r w:rsidR="008F12EE" w:rsidRPr="003C5C26">
        <w:t>red tape</w:t>
      </w:r>
      <w:r w:rsidRPr="003C5C26">
        <w:t xml:space="preserve"> hinders the growth of small and medium sized enterprise development. </w:t>
      </w:r>
      <w:r>
        <w:t xml:space="preserve">At the national level, Australian technical support helped reduce the number of business licenses </w:t>
      </w:r>
      <w:r w:rsidRPr="003C5C26">
        <w:t xml:space="preserve">required to start a new business </w:t>
      </w:r>
      <w:r>
        <w:t>from 537 to 273, and the number of “non-licenses”, such as letters of recommendation, from 362 to 215.</w:t>
      </w:r>
    </w:p>
    <w:p w:rsidR="006E2004" w:rsidRDefault="00901D6F" w:rsidP="00EE1F4D">
      <w:pPr>
        <w:spacing w:before="60" w:after="120"/>
      </w:pPr>
      <w:r w:rsidRPr="00113068">
        <w:t>Construction permits are one of the most frequently requested permits in Jakarta and one of the most time consuming to obtain.</w:t>
      </w:r>
      <w:r w:rsidR="006E2004">
        <w:t xml:space="preserve"> In</w:t>
      </w:r>
      <w:r w:rsidR="006E2004" w:rsidRPr="00113068" w:rsidDel="006E2004">
        <w:t xml:space="preserve"> </w:t>
      </w:r>
      <w:r w:rsidR="006E2004">
        <w:t>2</w:t>
      </w:r>
      <w:r w:rsidR="00113068" w:rsidRPr="00113068">
        <w:t xml:space="preserve">018, Australia </w:t>
      </w:r>
      <w:r w:rsidR="006E2004">
        <w:t xml:space="preserve">worked with </w:t>
      </w:r>
      <w:r w:rsidR="00E93D52" w:rsidRPr="00113068">
        <w:t xml:space="preserve">Jakarta’s </w:t>
      </w:r>
      <w:r w:rsidR="006E2004">
        <w:t>local government to reduce</w:t>
      </w:r>
      <w:r w:rsidR="006E2004" w:rsidRPr="00113068">
        <w:t xml:space="preserve"> the time taken to obtain a permit from 10-14 working days to three hours</w:t>
      </w:r>
      <w:r w:rsidR="006E2004">
        <w:t xml:space="preserve">. This was achieved through an innovative pilot involving three sub-districts with the use of drone technology and </w:t>
      </w:r>
      <w:r w:rsidRPr="00113068">
        <w:t>geographic information systems mapping</w:t>
      </w:r>
      <w:r w:rsidR="008C41BD">
        <w:t xml:space="preserve">. Proving the efficiencies of this approach, </w:t>
      </w:r>
      <w:r w:rsidR="00113068" w:rsidRPr="00113068">
        <w:t>t</w:t>
      </w:r>
      <w:r w:rsidRPr="00113068">
        <w:t xml:space="preserve">he Jakarta government has secured </w:t>
      </w:r>
      <w:r w:rsidR="00113068" w:rsidRPr="00113068">
        <w:t xml:space="preserve">over AUD260,000 </w:t>
      </w:r>
      <w:r w:rsidRPr="00113068">
        <w:t>from a property developer to expand the pilot to all 15 Jakarta sub</w:t>
      </w:r>
      <w:r w:rsidR="00113068" w:rsidRPr="00113068">
        <w:t>-</w:t>
      </w:r>
      <w:r w:rsidRPr="00113068">
        <w:t xml:space="preserve">districts. </w:t>
      </w:r>
    </w:p>
    <w:p w:rsidR="00901D6F" w:rsidRDefault="00DC0AB2" w:rsidP="00EE1F4D">
      <w:pPr>
        <w:spacing w:before="60" w:after="120"/>
      </w:pPr>
      <w:r w:rsidRPr="00113068">
        <w:t>Australia</w:t>
      </w:r>
      <w:r>
        <w:t>n-funded advisers provided the evidence base for Indonesian policy makers to reconsider the imposition of new tariffs on a large number of interm</w:t>
      </w:r>
      <w:r w:rsidR="00FE0C7B">
        <w:t xml:space="preserve">ediate goods and food imports. </w:t>
      </w:r>
      <w:r>
        <w:t>This helped maintain lower prices for Indonesian consumers and export competitiveness for local manufacturers.</w:t>
      </w:r>
    </w:p>
    <w:p w:rsidR="00933CAA" w:rsidRDefault="00933CAA" w:rsidP="001302EE">
      <w:pPr>
        <w:spacing w:before="60" w:after="120" w:line="180" w:lineRule="atLeast"/>
      </w:pPr>
      <w:r>
        <w:t>Women’s economic empowerment is a key aspect to increasing jobs and incomes, especially for poor households. Moving from a “do no harm” approach to actively applying a gender lens in this sector not only helped increase household incomes, but also provided better access to markets and services and reduced workloads for women.</w:t>
      </w:r>
    </w:p>
    <w:p w:rsidR="00205F65" w:rsidRDefault="00DC0AB2" w:rsidP="00EE1F4D">
      <w:pPr>
        <w:spacing w:before="60" w:after="120" w:line="180" w:lineRule="atLeast"/>
      </w:pPr>
      <w:r>
        <w:t>Australia helped smallholder farmers increase their productivity and competitiveness by working with private sector partners to improve agricultural inputs, technologies and market systems</w:t>
      </w:r>
      <w:r>
        <w:rPr>
          <w:rStyle w:val="EndnoteReference"/>
        </w:rPr>
        <w:endnoteReference w:id="19"/>
      </w:r>
      <w:r>
        <w:t>. In 2018, Australia helped i</w:t>
      </w:r>
      <w:r w:rsidRPr="009558D9">
        <w:t>ncrease incomes</w:t>
      </w:r>
      <w:r>
        <w:t xml:space="preserve"> of</w:t>
      </w:r>
      <w:r w:rsidRPr="009558D9">
        <w:t xml:space="preserve"> 345,001</w:t>
      </w:r>
      <w:r>
        <w:t xml:space="preserve"> </w:t>
      </w:r>
      <w:r w:rsidRPr="009558D9">
        <w:t>smallholder farming households</w:t>
      </w:r>
      <w:r>
        <w:t xml:space="preserve"> </w:t>
      </w:r>
      <w:r w:rsidRPr="009558D9">
        <w:t>by 252 per cent</w:t>
      </w:r>
      <w:r>
        <w:t>, including around 225,000 women.</w:t>
      </w:r>
      <w:r>
        <w:rPr>
          <w:rStyle w:val="EndnoteReference"/>
        </w:rPr>
        <w:endnoteReference w:id="20"/>
      </w:r>
      <w:r w:rsidRPr="009558D9">
        <w:t xml:space="preserve"> </w:t>
      </w:r>
      <w:r>
        <w:t>This translates to an increase of around AUD500 per farm household during cropping season, with 65 per cent (224,335 households) classified as poor and living on less than USD2.50 per day</w:t>
      </w:r>
      <w:r w:rsidR="00591BF4">
        <w:t xml:space="preserve">.  </w:t>
      </w:r>
    </w:p>
    <w:p w:rsidR="00933CAA" w:rsidRDefault="00DC4B84" w:rsidP="00EE1F4D">
      <w:pPr>
        <w:spacing w:before="60" w:after="120" w:line="180" w:lineRule="atLeast"/>
      </w:pPr>
      <w:r>
        <w:t xml:space="preserve">To achieve this result, </w:t>
      </w:r>
      <w:r w:rsidR="00591BF4">
        <w:t xml:space="preserve">Australia </w:t>
      </w:r>
      <w:r>
        <w:t>collaborated with</w:t>
      </w:r>
      <w:r w:rsidR="00591BF4">
        <w:t xml:space="preserve"> 180 private and public organisations to co-fund interventions </w:t>
      </w:r>
      <w:r w:rsidR="002A202F">
        <w:t>to increase farmers’</w:t>
      </w:r>
      <w:r>
        <w:t xml:space="preserve"> access to inputs such as seed, fertiliser, credit, and ways to sell, transport and process their crops. </w:t>
      </w:r>
      <w:r w:rsidR="00591BF4">
        <w:t>These investments</w:t>
      </w:r>
      <w:r w:rsidR="00933CAA">
        <w:t xml:space="preserve"> </w:t>
      </w:r>
      <w:r w:rsidR="00591BF4">
        <w:t>benefited 9,746 small and medium enterprises as intermediary service providers</w:t>
      </w:r>
      <w:r w:rsidR="00137553">
        <w:t xml:space="preserve"> </w:t>
      </w:r>
      <w:r w:rsidR="00591BF4">
        <w:t>across five provinces where there are high levels of poor smallholder farmers.</w:t>
      </w:r>
      <w:r w:rsidR="000A224D">
        <w:t xml:space="preserve">  </w:t>
      </w:r>
    </w:p>
    <w:p w:rsidR="004740AB" w:rsidRDefault="00BD2818" w:rsidP="00EE1F4D">
      <w:pPr>
        <w:spacing w:before="60" w:after="120" w:line="180" w:lineRule="atLeast"/>
      </w:pPr>
      <w:r w:rsidRPr="0047411B">
        <w:t>In 2018, an independent review of Australia’s rural agriculture program found it was delivering expected results, with some investments exceeding expectations</w:t>
      </w:r>
      <w:r w:rsidR="00576369">
        <w:rPr>
          <w:rStyle w:val="EndnoteReference"/>
        </w:rPr>
        <w:endnoteReference w:id="21"/>
      </w:r>
      <w:r w:rsidRPr="0047411B">
        <w:t>. The evaluation confirmed the importance of program integration, t</w:t>
      </w:r>
      <w:r w:rsidR="007D39D8">
        <w:t>he need to improve the business-</w:t>
      </w:r>
      <w:r w:rsidRPr="0047411B">
        <w:t>enabling environment</w:t>
      </w:r>
      <w:r w:rsidR="00933CAA">
        <w:t>,</w:t>
      </w:r>
      <w:r w:rsidRPr="0047411B">
        <w:t xml:space="preserve"> and strengthen the focus on policy influence</w:t>
      </w:r>
      <w:r w:rsidR="0013316C" w:rsidRPr="00BD2818">
        <w:t>.</w:t>
      </w:r>
      <w:r w:rsidR="001209A6">
        <w:t xml:space="preserve"> This informed the</w:t>
      </w:r>
      <w:r w:rsidR="00DC4B84">
        <w:t xml:space="preserve"> next phase of support</w:t>
      </w:r>
      <w:r w:rsidR="001209A6">
        <w:t xml:space="preserve"> that</w:t>
      </w:r>
      <w:r w:rsidR="00DC4B84">
        <w:t xml:space="preserve"> </w:t>
      </w:r>
      <w:r w:rsidR="001209A6">
        <w:t xml:space="preserve">commenced in January 2019 </w:t>
      </w:r>
      <w:r w:rsidR="00DC4B84">
        <w:t>as an inte</w:t>
      </w:r>
      <w:r w:rsidR="001209A6">
        <w:t>grated program.</w:t>
      </w:r>
    </w:p>
    <w:p w:rsidR="00696BC5" w:rsidRDefault="00696BC5" w:rsidP="00EE1F4D">
      <w:pPr>
        <w:spacing w:before="60" w:after="120" w:line="180" w:lineRule="atLeast"/>
      </w:pPr>
    </w:p>
    <w:p w:rsidR="000F67D4" w:rsidRDefault="000F67D4" w:rsidP="000F67D4">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t xml:space="preserve">Objective 2: Human development for a productive and healthy society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16"/>
        <w:gridCol w:w="1904"/>
        <w:gridCol w:w="1906"/>
        <w:gridCol w:w="1906"/>
        <w:gridCol w:w="1906"/>
      </w:tblGrid>
      <w:tr w:rsidR="000F67D4" w:rsidTr="000F67D4">
        <w:tc>
          <w:tcPr>
            <w:tcW w:w="2016" w:type="dxa"/>
          </w:tcPr>
          <w:p w:rsidR="000F67D4" w:rsidRDefault="000F67D4" w:rsidP="000F67D4">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2ED42CCD" wp14:editId="1CC77A29">
                  <wp:extent cx="1137600" cy="720000"/>
                  <wp:effectExtent l="0" t="0" r="5715" b="4445"/>
                  <wp:docPr id="14" name="Picture 14" descr="Text box reading: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04"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2BA62786" wp14:editId="2047151A">
                  <wp:extent cx="609600" cy="609600"/>
                  <wp:effectExtent l="0" t="0" r="0" b="0"/>
                  <wp:docPr id="15" name="Picture 15" descr="Icon for Sustainable Development Goal number 1. No poverty" title="SDG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06"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2013C9E" wp14:editId="647F5FC0">
                  <wp:extent cx="612000" cy="612000"/>
                  <wp:effectExtent l="0" t="0" r="0" b="0"/>
                  <wp:docPr id="19" name="Picture 19" descr="Icon for Sustainable Development Goal number 3. Good health and well-being" title="SDG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0589273D" wp14:editId="79B30482">
                  <wp:extent cx="612000" cy="612000"/>
                  <wp:effectExtent l="0" t="0" r="0" b="0"/>
                  <wp:docPr id="42" name="Picture 42" descr="Icon for Sustainable Development Goal number 4. Quality education " title="SDG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3C0D5A7" wp14:editId="77D14D31">
                  <wp:extent cx="612000" cy="612000"/>
                  <wp:effectExtent l="0" t="0" r="0" b="0"/>
                  <wp:docPr id="43" name="Picture 43" descr="Icon for Sustainable Development Goal number 6. Clean water and sanitation " title="SDG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0F67D4" w:rsidTr="000F67D4">
        <w:tc>
          <w:tcPr>
            <w:tcW w:w="2016" w:type="dxa"/>
          </w:tcPr>
          <w:p w:rsidR="000F67D4" w:rsidRDefault="000F67D4" w:rsidP="000F67D4">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04" w:type="dxa"/>
          </w:tcPr>
          <w:p w:rsidR="000F67D4" w:rsidRPr="00020D6F" w:rsidRDefault="000F67D4" w:rsidP="000F67D4">
            <w:pPr>
              <w:pStyle w:val="ListBullet"/>
              <w:tabs>
                <w:tab w:val="clear" w:pos="284"/>
              </w:tabs>
              <w:spacing w:before="160" w:after="80" w:line="240" w:lineRule="auto"/>
              <w:jc w:val="center"/>
              <w:rPr>
                <w:rFonts w:eastAsiaTheme="majorEastAsia"/>
              </w:rPr>
            </w:pPr>
            <w:r>
              <w:rPr>
                <w:noProof/>
              </w:rPr>
              <w:drawing>
                <wp:inline distT="0" distB="0" distL="0" distR="0" wp14:anchorId="338B55BA" wp14:editId="03647D0B">
                  <wp:extent cx="612000" cy="612000"/>
                  <wp:effectExtent l="0" t="0" r="0" b="0"/>
                  <wp:docPr id="39" name="Picture 39" descr="Icon for Sustainable Development Goal number 10. Reduced inequalities " title="SDG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rsidR="000F67D4" w:rsidRDefault="000F67D4" w:rsidP="000F67D4">
            <w:pPr>
              <w:pStyle w:val="ListBullet"/>
              <w:tabs>
                <w:tab w:val="clear" w:pos="284"/>
              </w:tabs>
              <w:spacing w:before="160" w:after="80" w:line="240" w:lineRule="auto"/>
              <w:jc w:val="center"/>
              <w:rPr>
                <w:noProof/>
              </w:rPr>
            </w:pPr>
            <w:r>
              <w:rPr>
                <w:noProof/>
              </w:rPr>
              <w:drawing>
                <wp:inline distT="0" distB="0" distL="0" distR="0" wp14:anchorId="411DB283" wp14:editId="2B56292D">
                  <wp:extent cx="608400" cy="612000"/>
                  <wp:effectExtent l="0" t="0" r="1270" b="0"/>
                  <wp:docPr id="21" name="Picture 21" descr="Icon for Sustainable Development Goal number 16. Peace, justice and strong institutions " title="SDG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c>
          <w:tcPr>
            <w:tcW w:w="1906" w:type="dxa"/>
          </w:tcPr>
          <w:p w:rsidR="000F67D4" w:rsidRDefault="00E36C6B" w:rsidP="000F67D4">
            <w:pPr>
              <w:pStyle w:val="ListBullet"/>
              <w:tabs>
                <w:tab w:val="clear" w:pos="284"/>
              </w:tabs>
              <w:spacing w:before="160" w:after="80" w:line="240" w:lineRule="auto"/>
              <w:jc w:val="center"/>
              <w:rPr>
                <w:noProof/>
              </w:rPr>
            </w:pPr>
            <w:r>
              <w:rPr>
                <w:noProof/>
              </w:rPr>
              <w:drawing>
                <wp:inline distT="0" distB="0" distL="0" distR="0" wp14:anchorId="4E81B51E" wp14:editId="610E1F48">
                  <wp:extent cx="612000" cy="612000"/>
                  <wp:effectExtent l="0" t="0" r="0" b="0"/>
                  <wp:docPr id="7" name="Picture 7" descr="Icon for Sustainable Development Goal number 5. Gender equality  " title="Sustainable Development Goal number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rsidR="000F67D4" w:rsidRDefault="000F67D4" w:rsidP="000F67D4">
            <w:pPr>
              <w:pStyle w:val="ListBullet"/>
              <w:tabs>
                <w:tab w:val="clear" w:pos="284"/>
              </w:tabs>
              <w:spacing w:before="160" w:after="80" w:line="240" w:lineRule="auto"/>
              <w:jc w:val="center"/>
              <w:rPr>
                <w:noProof/>
              </w:rPr>
            </w:pPr>
          </w:p>
        </w:tc>
      </w:tr>
    </w:tbl>
    <w:p w:rsidR="00696BC5" w:rsidRDefault="00696BC5" w:rsidP="000F67D4">
      <w:pPr>
        <w:rPr>
          <w:b/>
          <w:sz w:val="24"/>
        </w:rPr>
      </w:pPr>
    </w:p>
    <w:p w:rsidR="00696BC5" w:rsidRDefault="00696BC5" w:rsidP="000F67D4">
      <w:pPr>
        <w:rPr>
          <w:b/>
          <w:sz w:val="24"/>
        </w:rPr>
      </w:pPr>
    </w:p>
    <w:p w:rsidR="00696BC5" w:rsidRDefault="00696BC5" w:rsidP="000F67D4">
      <w:pPr>
        <w:rPr>
          <w:b/>
          <w:sz w:val="24"/>
        </w:rPr>
      </w:pPr>
    </w:p>
    <w:p w:rsidR="00696BC5" w:rsidRDefault="00696BC5" w:rsidP="000F67D4">
      <w:pPr>
        <w:rPr>
          <w:b/>
          <w:sz w:val="24"/>
        </w:rPr>
      </w:pPr>
    </w:p>
    <w:p w:rsidR="000F67D4" w:rsidRPr="008C2F58" w:rsidRDefault="000F67D4" w:rsidP="000F67D4">
      <w:pPr>
        <w:rPr>
          <w:b/>
          <w:sz w:val="24"/>
        </w:rPr>
      </w:pPr>
      <w:r w:rsidRPr="008C2F58">
        <w:rPr>
          <w:b/>
          <w:sz w:val="24"/>
        </w:rPr>
        <w:t xml:space="preserve">Table </w:t>
      </w:r>
      <w:r>
        <w:rPr>
          <w:b/>
          <w:sz w:val="24"/>
        </w:rPr>
        <w:t>3</w:t>
      </w:r>
      <w:r w:rsidRPr="008C2F58">
        <w:rPr>
          <w:b/>
          <w:sz w:val="24"/>
        </w:rPr>
        <w:t xml:space="preserve"> Rating of the Program's Progress to</w:t>
      </w:r>
      <w:r>
        <w:rPr>
          <w:b/>
          <w:sz w:val="24"/>
        </w:rPr>
        <w:t>wards Australia’s Aid Objective 2</w:t>
      </w:r>
    </w:p>
    <w:tbl>
      <w:tblPr>
        <w:tblStyle w:val="APPR"/>
        <w:tblW w:w="4854" w:type="pct"/>
        <w:tblLook w:val="0000" w:firstRow="0" w:lastRow="0" w:firstColumn="0" w:lastColumn="0" w:noHBand="0" w:noVBand="0"/>
        <w:tblCaption w:val="Rating of the Program's Progress towards Australia's Aid Objective 2"/>
        <w:tblDescription w:val="Objective 2: Human Development for a Productive and Healthy Society - previous rating green, current rating green. Outcome 4: Government spending is better targeted to reduce poverty - previous rating green, current rating green. Ouctome 5: More households can access water and sanitation -previous rating green, current rating green. Ouctome 6: Children have improved literacy and numeracy - previous rating amber, current rating green. "/>
      </w:tblPr>
      <w:tblGrid>
        <w:gridCol w:w="6609"/>
        <w:gridCol w:w="1358"/>
        <w:gridCol w:w="1390"/>
      </w:tblGrid>
      <w:tr w:rsidR="000F67D4" w:rsidRPr="00C61187" w:rsidTr="00AD7096">
        <w:trPr>
          <w:cnfStyle w:val="000000010000" w:firstRow="0" w:lastRow="0" w:firstColumn="0" w:lastColumn="0" w:oddVBand="0" w:evenVBand="0" w:oddHBand="0" w:evenHBand="1" w:firstRowFirstColumn="0" w:firstRowLastColumn="0" w:lastRowFirstColumn="0" w:lastRowLastColumn="0"/>
          <w:trHeight w:val="651"/>
        </w:trPr>
        <w:tc>
          <w:tcPr>
            <w:tcW w:w="6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F67D4" w:rsidRPr="00BE6C6D" w:rsidRDefault="000F67D4" w:rsidP="000F67D4">
            <w:pPr>
              <w:pStyle w:val="NormalIndented"/>
              <w:spacing w:before="60" w:after="0"/>
              <w:rPr>
                <w:sz w:val="18"/>
                <w:lang w:eastAsia="en-US"/>
              </w:rPr>
            </w:pPr>
            <w:r w:rsidRPr="00BE6C6D">
              <w:rPr>
                <w:noProof/>
                <w:sz w:val="18"/>
                <w:lang w:val="en-AU"/>
              </w:rPr>
              <w:drawing>
                <wp:anchor distT="0" distB="0" distL="114300" distR="114300" simplePos="0" relativeHeight="251687936" behindDoc="0" locked="0" layoutInCell="1" allowOverlap="1" wp14:anchorId="2376782B" wp14:editId="12ECD4C7">
                  <wp:simplePos x="0" y="0"/>
                  <wp:positionH relativeFrom="column">
                    <wp:posOffset>0</wp:posOffset>
                  </wp:positionH>
                  <wp:positionV relativeFrom="paragraph">
                    <wp:posOffset>0</wp:posOffset>
                  </wp:positionV>
                  <wp:extent cx="1857375" cy="228600"/>
                  <wp:effectExtent l="0" t="0" r="9525" b="0"/>
                  <wp:wrapNone/>
                  <wp:docPr id="71" name="Picture 7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F67D4" w:rsidRPr="00BE6C6D" w:rsidRDefault="000F67D4" w:rsidP="000F67D4">
            <w:pPr>
              <w:pStyle w:val="NormalIndented"/>
              <w:spacing w:before="60" w:after="0"/>
              <w:rPr>
                <w:sz w:val="18"/>
                <w:lang w:eastAsia="en-US"/>
              </w:rPr>
            </w:pPr>
            <w:r w:rsidRPr="00BE6C6D">
              <w:rPr>
                <w:sz w:val="18"/>
                <w:lang w:eastAsia="en-US"/>
              </w:rPr>
              <w:t>Previous Rating</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F67D4" w:rsidRPr="00BE6C6D" w:rsidRDefault="000F67D4" w:rsidP="000F67D4">
            <w:pPr>
              <w:pStyle w:val="NormalIndented"/>
              <w:spacing w:before="60" w:after="0"/>
              <w:rPr>
                <w:sz w:val="18"/>
                <w:lang w:eastAsia="en-US"/>
              </w:rPr>
            </w:pPr>
            <w:r w:rsidRPr="00BE6C6D">
              <w:rPr>
                <w:sz w:val="18"/>
                <w:lang w:eastAsia="en-US"/>
              </w:rPr>
              <w:t>Current Rating</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7096" w:rsidRPr="000A50A3" w:rsidRDefault="00AD7096" w:rsidP="00AD7096">
            <w:pPr>
              <w:pStyle w:val="NormalIndented"/>
              <w:spacing w:before="60" w:after="0"/>
              <w:ind w:left="0"/>
              <w:rPr>
                <w:b/>
                <w:sz w:val="16"/>
                <w:lang w:eastAsia="en-US"/>
              </w:rPr>
            </w:pPr>
            <w:r w:rsidRPr="000A50A3">
              <w:rPr>
                <w:b/>
                <w:sz w:val="16"/>
                <w:lang w:eastAsia="en-US"/>
              </w:rPr>
              <w:t>Objective 2: Human Development for a Productive and Healthy Society</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7096" w:rsidRPr="00BE6C6D" w:rsidRDefault="00AD7096" w:rsidP="00AD7096">
            <w:pPr>
              <w:pStyle w:val="NormalIndented"/>
              <w:spacing w:before="60" w:after="0"/>
              <w:rPr>
                <w:sz w:val="16"/>
                <w:lang w:eastAsia="en-US"/>
              </w:rPr>
            </w:pPr>
            <w:r>
              <w:rPr>
                <w:sz w:val="16"/>
                <w:lang w:eastAsia="en-US"/>
              </w:rPr>
              <w:t>Outcome 4: Government spending is better targeted to reduce poverty</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7096" w:rsidRPr="00BE6C6D" w:rsidRDefault="00AD7096" w:rsidP="00AD7096">
            <w:pPr>
              <w:pStyle w:val="NormalIndented"/>
              <w:spacing w:before="60" w:after="0"/>
              <w:rPr>
                <w:sz w:val="16"/>
                <w:lang w:eastAsia="en-US"/>
              </w:rPr>
            </w:pPr>
            <w:r w:rsidRPr="00710B92">
              <w:rPr>
                <w:sz w:val="16"/>
                <w:lang w:eastAsia="en-US"/>
              </w:rPr>
              <w:t>Outcome 5: More households can access water and sanitation</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D7096" w:rsidRPr="00BE6C6D" w:rsidRDefault="00AD7096" w:rsidP="00AD7096">
            <w:pPr>
              <w:pStyle w:val="NormalIndented"/>
              <w:spacing w:before="60" w:after="0"/>
              <w:rPr>
                <w:sz w:val="16"/>
              </w:rPr>
            </w:pPr>
            <w:r>
              <w:rPr>
                <w:sz w:val="16"/>
              </w:rPr>
              <w:t xml:space="preserve">Outcome 6: Children have improved literacy and numeracy </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bl>
    <w:p w:rsidR="000F67D4" w:rsidRPr="00BE6C6D" w:rsidRDefault="000F67D4" w:rsidP="000F67D4">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0F67D4" w:rsidRPr="00BE6C6D" w:rsidRDefault="000F67D4" w:rsidP="000F67D4">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0F67D4" w:rsidRDefault="000F67D4" w:rsidP="000F67D4">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0E34E0" w:rsidRDefault="00D62FAE" w:rsidP="00022BD8">
      <w:r w:rsidRPr="00EE1F4D">
        <w:t xml:space="preserve">Investment in people – health, skills and knowledge – is an investment in economic growth. </w:t>
      </w:r>
      <w:r w:rsidR="0050410E" w:rsidRPr="00D62FAE">
        <w:t xml:space="preserve">The Indonesian government has made a concerted effort to </w:t>
      </w:r>
      <w:r w:rsidR="006C10CA" w:rsidRPr="00EE1F4D">
        <w:t>keep the</w:t>
      </w:r>
      <w:r w:rsidR="0050410E" w:rsidRPr="00D62FAE">
        <w:t xml:space="preserve"> national poverty rate below 10 per cent</w:t>
      </w:r>
      <w:r w:rsidR="0050410E" w:rsidRPr="00EE1F4D">
        <w:rPr>
          <w:rStyle w:val="EndnoteReference"/>
        </w:rPr>
        <w:endnoteReference w:id="22"/>
      </w:r>
      <w:r w:rsidR="0050410E" w:rsidRPr="00D62FAE">
        <w:t xml:space="preserve">, with </w:t>
      </w:r>
      <w:r w:rsidRPr="00EE1F4D">
        <w:t>an increased</w:t>
      </w:r>
      <w:r w:rsidR="0050410E" w:rsidRPr="00D62FAE">
        <w:t xml:space="preserve"> investment in tar</w:t>
      </w:r>
      <w:r w:rsidR="006C10CA" w:rsidRPr="00EE1F4D">
        <w:t>geted anti-poverty programs to</w:t>
      </w:r>
      <w:r w:rsidR="0050410E" w:rsidRPr="00D62FAE">
        <w:t xml:space="preserve"> improve the welfare of the poor and vulnerable. </w:t>
      </w:r>
      <w:r w:rsidR="00EE0C49" w:rsidRPr="00D62FAE">
        <w:t xml:space="preserve">As Indonesia continues towards middle-income country status, </w:t>
      </w:r>
      <w:r w:rsidR="00D6115F" w:rsidRPr="00D62FAE">
        <w:t xml:space="preserve">an </w:t>
      </w:r>
      <w:r w:rsidR="00EE0C49" w:rsidRPr="00D62FAE">
        <w:t>estimated 25.14 million Indonesians</w:t>
      </w:r>
      <w:r w:rsidR="00FE5C35" w:rsidRPr="00D62FAE">
        <w:t xml:space="preserve"> remain in poverty</w:t>
      </w:r>
      <w:r w:rsidR="00EE0C49" w:rsidRPr="00D62FAE">
        <w:t xml:space="preserve">, many in hard to reach </w:t>
      </w:r>
      <w:r w:rsidR="00D6115F" w:rsidRPr="00D62FAE">
        <w:t>areas.</w:t>
      </w:r>
      <w:r w:rsidRPr="00D62FAE">
        <w:t xml:space="preserve"> There are gaps in Indonesia’s safety net, which means that many of the most marginalised continue to miss out.</w:t>
      </w:r>
      <w:r>
        <w:t xml:space="preserve"> </w:t>
      </w:r>
      <w:r w:rsidR="000E34E0">
        <w:t xml:space="preserve">Despite increases in school funding and access to schooling, Indonesian children are not learning the basic skills needed to succeed in the workforce. </w:t>
      </w:r>
    </w:p>
    <w:p w:rsidR="003E6670" w:rsidRPr="00EE0C49" w:rsidRDefault="000E34E0" w:rsidP="00022BD8">
      <w:r>
        <w:rPr>
          <w:rFonts w:eastAsia="Times New Roman"/>
        </w:rPr>
        <w:t>A</w:t>
      </w:r>
      <w:r w:rsidRPr="00EE1F4D">
        <w:rPr>
          <w:rFonts w:eastAsia="Times New Roman"/>
        </w:rPr>
        <w:t xml:space="preserve">ccess to water </w:t>
      </w:r>
      <w:r>
        <w:rPr>
          <w:rFonts w:eastAsia="Times New Roman"/>
        </w:rPr>
        <w:t>and sanitation is essential</w:t>
      </w:r>
      <w:r w:rsidRPr="00EE1F4D">
        <w:rPr>
          <w:rFonts w:eastAsia="Times New Roman"/>
        </w:rPr>
        <w:t xml:space="preserve"> for people’s health and quality of life.</w:t>
      </w:r>
      <w:r>
        <w:rPr>
          <w:rFonts w:eastAsia="Times New Roman"/>
        </w:rPr>
        <w:t xml:space="preserve"> While there </w:t>
      </w:r>
      <w:r w:rsidR="0026679D">
        <w:rPr>
          <w:rFonts w:eastAsia="Times New Roman"/>
        </w:rPr>
        <w:t>have</w:t>
      </w:r>
      <w:r w:rsidR="00290E3F">
        <w:rPr>
          <w:rFonts w:eastAsia="Times New Roman"/>
        </w:rPr>
        <w:t xml:space="preserve"> </w:t>
      </w:r>
      <w:r>
        <w:rPr>
          <w:rFonts w:eastAsia="Times New Roman"/>
        </w:rPr>
        <w:t xml:space="preserve">been significant improvements, the growth of Indonesia’s cities – the fastest in Asia – is making it harder to ensure that all people receive these basic services. </w:t>
      </w:r>
      <w:r w:rsidR="00290E3F">
        <w:rPr>
          <w:rFonts w:eastAsia="Times New Roman"/>
        </w:rPr>
        <w:t>Maintaining good sanitation and hygiene is a particular challenge, including in rural and remote areas.</w:t>
      </w:r>
      <w:r>
        <w:rPr>
          <w:rFonts w:eastAsia="Times New Roman"/>
        </w:rPr>
        <w:t xml:space="preserve"> This</w:t>
      </w:r>
      <w:r w:rsidRPr="00152F3D">
        <w:rPr>
          <w:rFonts w:eastAsia="Times New Roman"/>
        </w:rPr>
        <w:t xml:space="preserve"> contributes to the high rates of stunting amongst Indonesian children under the age of five - 9 million children are permanently stunted, impairing their growth and development and significantly lowering their learning prospects as an adult. Indonesia faces losing two to three per cent of GDP per year if these levels of stunting continue. </w:t>
      </w:r>
    </w:p>
    <w:p w:rsidR="00022BD8" w:rsidRPr="00405ABD" w:rsidRDefault="00022BD8" w:rsidP="00022BD8">
      <w:pPr>
        <w:rPr>
          <w:u w:val="single"/>
        </w:rPr>
      </w:pPr>
      <w:r w:rsidRPr="00405ABD">
        <w:rPr>
          <w:u w:val="single"/>
        </w:rPr>
        <w:t>Outcome 4:  Government spending is better targeted to reduce poverty</w:t>
      </w:r>
    </w:p>
    <w:p w:rsidR="00022BD8" w:rsidRDefault="00022BD8" w:rsidP="00022BD8">
      <w:pPr>
        <w:tabs>
          <w:tab w:val="left" w:pos="3190"/>
        </w:tabs>
        <w:rPr>
          <w:b/>
        </w:rPr>
      </w:pPr>
      <w:r>
        <w:rPr>
          <w:b/>
        </w:rPr>
        <w:t xml:space="preserve">Outcome 4 has been rated green with strong progress made to strengthen the delivery of social protection programs, and to identify and </w:t>
      </w:r>
      <w:r w:rsidR="00D41DFD">
        <w:rPr>
          <w:b/>
        </w:rPr>
        <w:t>increase access for</w:t>
      </w:r>
      <w:r>
        <w:rPr>
          <w:b/>
        </w:rPr>
        <w:t xml:space="preserve"> women and men excluded from social protection services.</w:t>
      </w:r>
    </w:p>
    <w:p w:rsidR="00E8326A" w:rsidRPr="004C67FC" w:rsidRDefault="00022BD8" w:rsidP="00EE1F4D">
      <w:pPr>
        <w:spacing w:before="60" w:after="120"/>
      </w:pPr>
      <w:r w:rsidRPr="004C67FC">
        <w:t xml:space="preserve">Basic living challenges such as lower quality housing, </w:t>
      </w:r>
      <w:r w:rsidR="00D41DFD" w:rsidRPr="004C67FC">
        <w:t xml:space="preserve">limited </w:t>
      </w:r>
      <w:r w:rsidRPr="004C67FC">
        <w:t>access</w:t>
      </w:r>
      <w:r w:rsidR="00FE5C35">
        <w:t xml:space="preserve"> to</w:t>
      </w:r>
      <w:r w:rsidRPr="004C67FC">
        <w:t xml:space="preserve"> </w:t>
      </w:r>
      <w:r w:rsidR="00D41DFD" w:rsidRPr="004C67FC">
        <w:t>food staples</w:t>
      </w:r>
      <w:r w:rsidRPr="004C67FC">
        <w:t xml:space="preserve">, </w:t>
      </w:r>
      <w:r w:rsidR="00FC6C40" w:rsidRPr="004C67FC">
        <w:t xml:space="preserve">clean water, </w:t>
      </w:r>
      <w:r w:rsidR="00FE5C35">
        <w:t>and</w:t>
      </w:r>
      <w:r w:rsidR="00FC6C40" w:rsidRPr="004C67FC">
        <w:t xml:space="preserve"> </w:t>
      </w:r>
      <w:r w:rsidRPr="004C67FC">
        <w:t xml:space="preserve">sanitation are critical factors that can pull people back below the poverty line. </w:t>
      </w:r>
      <w:r w:rsidR="00143B9B" w:rsidRPr="004C67FC">
        <w:t xml:space="preserve">The declining poverty rate alone does not capture the dynamic nature of poverty across Indonesia. </w:t>
      </w:r>
      <w:r w:rsidR="00C429ED">
        <w:t xml:space="preserve">More than 72 million people in Indonesia continue to live under the World Bank’s </w:t>
      </w:r>
      <w:r w:rsidRPr="004C67FC">
        <w:t>US</w:t>
      </w:r>
      <w:r w:rsidR="00FC6C40" w:rsidRPr="004C67FC">
        <w:t>D</w:t>
      </w:r>
      <w:r w:rsidR="00C429ED">
        <w:t>3</w:t>
      </w:r>
      <w:r w:rsidRPr="004C67FC">
        <w:t>.</w:t>
      </w:r>
      <w:r w:rsidR="00C429ED">
        <w:t>2</w:t>
      </w:r>
      <w:r w:rsidRPr="004C67FC">
        <w:t>0 per day</w:t>
      </w:r>
      <w:r w:rsidR="00C429ED">
        <w:t xml:space="preserve"> poverty line</w:t>
      </w:r>
      <w:r w:rsidR="0075230C">
        <w:t>.</w:t>
      </w:r>
      <w:r>
        <w:rPr>
          <w:rStyle w:val="EndnoteReference"/>
        </w:rPr>
        <w:endnoteReference w:id="23"/>
      </w:r>
      <w:r w:rsidR="0075230C">
        <w:t xml:space="preserve"> </w:t>
      </w:r>
      <w:r w:rsidR="00FC6C40" w:rsidRPr="004C67FC">
        <w:t xml:space="preserve">Australia has </w:t>
      </w:r>
      <w:r w:rsidRPr="004C67FC">
        <w:t>funded pilots, research</w:t>
      </w:r>
      <w:r w:rsidR="00FE5C35">
        <w:t>,</w:t>
      </w:r>
      <w:r w:rsidRPr="004C67FC">
        <w:t xml:space="preserve"> and analysis to </w:t>
      </w:r>
      <w:r w:rsidR="00143B9B">
        <w:t>inform</w:t>
      </w:r>
      <w:r w:rsidR="00FE5C35">
        <w:t xml:space="preserve"> a sustainable approach to poverty reduction</w:t>
      </w:r>
      <w:r w:rsidRPr="004C67FC">
        <w:t xml:space="preserve"> in Indonesia.</w:t>
      </w:r>
    </w:p>
    <w:p w:rsidR="00B3170C" w:rsidRDefault="004A25E2" w:rsidP="00EE1F4D">
      <w:pPr>
        <w:pStyle w:val="TableText"/>
        <w:spacing w:after="120"/>
        <w:rPr>
          <w:rFonts w:asciiTheme="minorHAnsi" w:hAnsiTheme="minorHAnsi"/>
          <w:color w:val="auto"/>
          <w:sz w:val="22"/>
          <w:lang w:val="en-AU"/>
        </w:rPr>
      </w:pPr>
      <w:r>
        <w:rPr>
          <w:rFonts w:asciiTheme="minorHAnsi" w:hAnsiTheme="minorHAnsi"/>
          <w:sz w:val="22"/>
        </w:rPr>
        <w:t>Over the</w:t>
      </w:r>
      <w:r w:rsidR="001F5E83" w:rsidRPr="004C67FC">
        <w:rPr>
          <w:rFonts w:asciiTheme="minorHAnsi" w:hAnsiTheme="minorHAnsi"/>
          <w:sz w:val="22"/>
        </w:rPr>
        <w:t xml:space="preserve"> last year</w:t>
      </w:r>
      <w:r w:rsidR="00022BD8" w:rsidRPr="004C67FC">
        <w:rPr>
          <w:rFonts w:asciiTheme="minorHAnsi" w:hAnsiTheme="minorHAnsi"/>
          <w:sz w:val="22"/>
        </w:rPr>
        <w:t xml:space="preserve">, Australia helped the Indonesian government </w:t>
      </w:r>
      <w:r w:rsidR="00FC6C40" w:rsidRPr="004C67FC">
        <w:rPr>
          <w:rFonts w:asciiTheme="minorHAnsi" w:hAnsiTheme="minorHAnsi"/>
          <w:sz w:val="22"/>
        </w:rPr>
        <w:t xml:space="preserve">expand </w:t>
      </w:r>
      <w:r w:rsidR="00FE5C35">
        <w:rPr>
          <w:rFonts w:asciiTheme="minorHAnsi" w:hAnsiTheme="minorHAnsi"/>
          <w:sz w:val="22"/>
        </w:rPr>
        <w:t>its</w:t>
      </w:r>
      <w:r w:rsidR="00022BD8" w:rsidRPr="004C67FC">
        <w:rPr>
          <w:rFonts w:asciiTheme="minorHAnsi" w:hAnsiTheme="minorHAnsi"/>
          <w:sz w:val="22"/>
        </w:rPr>
        <w:t xml:space="preserve"> non-cash food assistance program from 1 million to 10 million female beneficiaries across 219 districts</w:t>
      </w:r>
      <w:r w:rsidR="00F758AF">
        <w:rPr>
          <w:rStyle w:val="EndnoteReference"/>
          <w:rFonts w:asciiTheme="minorHAnsi" w:hAnsiTheme="minorHAnsi"/>
          <w:sz w:val="22"/>
        </w:rPr>
        <w:endnoteReference w:id="24"/>
      </w:r>
      <w:r w:rsidR="00022BD8" w:rsidRPr="004C67FC">
        <w:rPr>
          <w:rFonts w:asciiTheme="minorHAnsi" w:hAnsiTheme="minorHAnsi"/>
          <w:sz w:val="22"/>
        </w:rPr>
        <w:t xml:space="preserve">. </w:t>
      </w:r>
      <w:r w:rsidR="00063911" w:rsidRPr="004C67FC">
        <w:rPr>
          <w:rFonts w:asciiTheme="minorHAnsi" w:hAnsiTheme="minorHAnsi"/>
          <w:sz w:val="22"/>
        </w:rPr>
        <w:t xml:space="preserve">Social assistance programs </w:t>
      </w:r>
      <w:r w:rsidRPr="004C67FC">
        <w:rPr>
          <w:rFonts w:asciiTheme="minorHAnsi" w:hAnsiTheme="minorHAnsi"/>
          <w:sz w:val="22"/>
        </w:rPr>
        <w:t xml:space="preserve">often </w:t>
      </w:r>
      <w:r w:rsidR="00063911" w:rsidRPr="004C67FC">
        <w:rPr>
          <w:rFonts w:asciiTheme="minorHAnsi" w:hAnsiTheme="minorHAnsi"/>
          <w:sz w:val="22"/>
        </w:rPr>
        <w:t xml:space="preserve">do not promote social inclusion or gender </w:t>
      </w:r>
      <w:r w:rsidR="002A5D92">
        <w:rPr>
          <w:rFonts w:asciiTheme="minorHAnsi" w:hAnsiTheme="minorHAnsi"/>
          <w:sz w:val="22"/>
        </w:rPr>
        <w:t>equality</w:t>
      </w:r>
      <w:r w:rsidR="00063911" w:rsidRPr="004C67FC">
        <w:rPr>
          <w:rFonts w:asciiTheme="minorHAnsi" w:hAnsiTheme="minorHAnsi"/>
          <w:sz w:val="22"/>
        </w:rPr>
        <w:t xml:space="preserve">, and Australia’s support recognised this gap </w:t>
      </w:r>
      <w:r w:rsidR="001F5E83" w:rsidRPr="004C67FC">
        <w:rPr>
          <w:rFonts w:asciiTheme="minorHAnsi" w:hAnsiTheme="minorHAnsi"/>
          <w:sz w:val="22"/>
        </w:rPr>
        <w:t>by helping to</w:t>
      </w:r>
      <w:r w:rsidR="00063911" w:rsidRPr="004C67FC">
        <w:rPr>
          <w:rFonts w:asciiTheme="minorHAnsi" w:hAnsiTheme="minorHAnsi"/>
          <w:sz w:val="22"/>
        </w:rPr>
        <w:t xml:space="preserve"> target </w:t>
      </w:r>
      <w:r w:rsidR="00265CC6" w:rsidRPr="004C67FC">
        <w:rPr>
          <w:rFonts w:asciiTheme="minorHAnsi" w:hAnsiTheme="minorHAnsi"/>
          <w:sz w:val="22"/>
        </w:rPr>
        <w:t>female-headed</w:t>
      </w:r>
      <w:r w:rsidR="00063911" w:rsidRPr="004C67FC">
        <w:rPr>
          <w:rFonts w:asciiTheme="minorHAnsi" w:hAnsiTheme="minorHAnsi"/>
          <w:sz w:val="22"/>
        </w:rPr>
        <w:t xml:space="preserve"> households.</w:t>
      </w:r>
      <w:r w:rsidR="00C429ED">
        <w:rPr>
          <w:rFonts w:asciiTheme="minorHAnsi" w:hAnsiTheme="minorHAnsi"/>
          <w:sz w:val="22"/>
        </w:rPr>
        <w:t xml:space="preserve"> </w:t>
      </w:r>
      <w:r w:rsidR="00022BD8" w:rsidRPr="004C67FC">
        <w:rPr>
          <w:rFonts w:asciiTheme="minorHAnsi" w:hAnsiTheme="minorHAnsi"/>
          <w:sz w:val="22"/>
        </w:rPr>
        <w:t xml:space="preserve">Australian funded advisors designed a monitoring dashboard </w:t>
      </w:r>
      <w:r w:rsidR="00C429ED">
        <w:rPr>
          <w:rFonts w:asciiTheme="minorHAnsi" w:hAnsiTheme="minorHAnsi"/>
          <w:sz w:val="22"/>
        </w:rPr>
        <w:t xml:space="preserve">and implementation guidelines </w:t>
      </w:r>
      <w:r w:rsidR="00022BD8" w:rsidRPr="004C67FC">
        <w:rPr>
          <w:rFonts w:asciiTheme="minorHAnsi" w:hAnsiTheme="minorHAnsi"/>
          <w:sz w:val="22"/>
        </w:rPr>
        <w:t>for the roll</w:t>
      </w:r>
      <w:r w:rsidR="002A202F">
        <w:rPr>
          <w:rFonts w:asciiTheme="minorHAnsi" w:hAnsiTheme="minorHAnsi"/>
          <w:sz w:val="22"/>
        </w:rPr>
        <w:t>-</w:t>
      </w:r>
      <w:r w:rsidR="00022BD8" w:rsidRPr="004C67FC">
        <w:rPr>
          <w:rFonts w:asciiTheme="minorHAnsi" w:hAnsiTheme="minorHAnsi"/>
          <w:sz w:val="22"/>
        </w:rPr>
        <w:t xml:space="preserve">out of the program </w:t>
      </w:r>
      <w:r w:rsidR="00C429ED">
        <w:rPr>
          <w:rFonts w:asciiTheme="minorHAnsi" w:hAnsiTheme="minorHAnsi"/>
          <w:sz w:val="22"/>
        </w:rPr>
        <w:t xml:space="preserve">that </w:t>
      </w:r>
      <w:r w:rsidR="00C429ED" w:rsidRPr="004C67FC">
        <w:rPr>
          <w:rFonts w:asciiTheme="minorHAnsi" w:hAnsiTheme="minorHAnsi"/>
          <w:sz w:val="22"/>
        </w:rPr>
        <w:t xml:space="preserve">provides a monthly electronic voucher to the poorest 20 per cent of the population to purchase </w:t>
      </w:r>
      <w:r w:rsidR="002A5D92">
        <w:rPr>
          <w:rFonts w:asciiTheme="minorHAnsi" w:hAnsiTheme="minorHAnsi"/>
          <w:sz w:val="22"/>
        </w:rPr>
        <w:t>eggs and rice</w:t>
      </w:r>
      <w:r w:rsidR="00022BD8" w:rsidRPr="004C67FC">
        <w:rPr>
          <w:rFonts w:asciiTheme="minorHAnsi" w:hAnsiTheme="minorHAnsi"/>
          <w:sz w:val="22"/>
        </w:rPr>
        <w:t xml:space="preserve">. </w:t>
      </w:r>
    </w:p>
    <w:p w:rsidR="00022BD8" w:rsidRPr="004C67FC" w:rsidRDefault="00022BD8" w:rsidP="00EE1F4D">
      <w:pPr>
        <w:pStyle w:val="TableText"/>
        <w:spacing w:after="120"/>
        <w:rPr>
          <w:rFonts w:asciiTheme="minorHAnsi" w:hAnsiTheme="minorHAnsi"/>
          <w:sz w:val="22"/>
        </w:rPr>
      </w:pPr>
      <w:r w:rsidRPr="004C67FC">
        <w:rPr>
          <w:rFonts w:asciiTheme="minorHAnsi" w:hAnsiTheme="minorHAnsi"/>
          <w:sz w:val="22"/>
        </w:rPr>
        <w:t xml:space="preserve">Our support trained 21 local governments </w:t>
      </w:r>
      <w:r w:rsidR="00FC6C40" w:rsidRPr="004C67FC">
        <w:rPr>
          <w:rFonts w:asciiTheme="minorHAnsi" w:hAnsiTheme="minorHAnsi"/>
          <w:sz w:val="22"/>
        </w:rPr>
        <w:t>in verifying and validating</w:t>
      </w:r>
      <w:r w:rsidRPr="004C67FC">
        <w:rPr>
          <w:rFonts w:asciiTheme="minorHAnsi" w:hAnsiTheme="minorHAnsi"/>
          <w:sz w:val="22"/>
        </w:rPr>
        <w:t xml:space="preserve"> poverty data, and trained national level government officials on complaint handling, including linking to the national complaints handling mechanism</w:t>
      </w:r>
      <w:r w:rsidR="00F758AF">
        <w:rPr>
          <w:rStyle w:val="EndnoteReference"/>
          <w:rFonts w:asciiTheme="minorHAnsi" w:hAnsiTheme="minorHAnsi"/>
          <w:sz w:val="22"/>
        </w:rPr>
        <w:endnoteReference w:id="25"/>
      </w:r>
      <w:r w:rsidRPr="004C67FC">
        <w:rPr>
          <w:rFonts w:asciiTheme="minorHAnsi" w:hAnsiTheme="minorHAnsi"/>
          <w:sz w:val="22"/>
        </w:rPr>
        <w:t xml:space="preserve">. Complaints mechanisms are an important part of effective social assistance and allow people to report errors, fraud, or problems with service delivery. By building delivery systems informed by evidence, the program makes a meaningful difference to poor households. It is better targeted, more </w:t>
      </w:r>
      <w:r w:rsidR="00167CE6">
        <w:rPr>
          <w:rFonts w:asciiTheme="minorHAnsi" w:hAnsiTheme="minorHAnsi"/>
          <w:sz w:val="22"/>
        </w:rPr>
        <w:t>timely</w:t>
      </w:r>
      <w:r w:rsidR="006609A2">
        <w:rPr>
          <w:rFonts w:asciiTheme="minorHAnsi" w:hAnsiTheme="minorHAnsi"/>
          <w:sz w:val="22"/>
        </w:rPr>
        <w:t>,</w:t>
      </w:r>
      <w:r w:rsidR="00167CE6">
        <w:rPr>
          <w:rFonts w:asciiTheme="minorHAnsi" w:hAnsiTheme="minorHAnsi"/>
          <w:sz w:val="22"/>
        </w:rPr>
        <w:t xml:space="preserve"> </w:t>
      </w:r>
      <w:r w:rsidRPr="004C67FC">
        <w:rPr>
          <w:rFonts w:asciiTheme="minorHAnsi" w:hAnsiTheme="minorHAnsi"/>
          <w:sz w:val="22"/>
        </w:rPr>
        <w:t>and provides better quality</w:t>
      </w:r>
      <w:r w:rsidR="004A25E2">
        <w:rPr>
          <w:rFonts w:asciiTheme="minorHAnsi" w:hAnsiTheme="minorHAnsi"/>
          <w:sz w:val="22"/>
        </w:rPr>
        <w:t xml:space="preserve"> </w:t>
      </w:r>
      <w:r w:rsidRPr="004C67FC">
        <w:rPr>
          <w:rFonts w:asciiTheme="minorHAnsi" w:hAnsiTheme="minorHAnsi"/>
          <w:sz w:val="22"/>
        </w:rPr>
        <w:t xml:space="preserve">rice than the previous subsidised rice scheme. </w:t>
      </w:r>
      <w:r w:rsidR="0045548D">
        <w:rPr>
          <w:rFonts w:asciiTheme="minorHAnsi" w:hAnsiTheme="minorHAnsi"/>
          <w:sz w:val="22"/>
        </w:rPr>
        <w:t xml:space="preserve">The program </w:t>
      </w:r>
      <w:r w:rsidR="00C429ED">
        <w:rPr>
          <w:rFonts w:asciiTheme="minorHAnsi" w:hAnsiTheme="minorHAnsi"/>
          <w:sz w:val="22"/>
        </w:rPr>
        <w:t xml:space="preserve">also </w:t>
      </w:r>
      <w:r w:rsidR="0045548D">
        <w:rPr>
          <w:rFonts w:asciiTheme="minorHAnsi" w:hAnsiTheme="minorHAnsi"/>
          <w:sz w:val="22"/>
        </w:rPr>
        <w:t xml:space="preserve">enabled </w:t>
      </w:r>
      <w:r w:rsidRPr="004C67FC">
        <w:rPr>
          <w:rFonts w:asciiTheme="minorHAnsi" w:hAnsiTheme="minorHAnsi"/>
          <w:sz w:val="22"/>
        </w:rPr>
        <w:t xml:space="preserve">87 per cent of </w:t>
      </w:r>
      <w:r w:rsidR="00FA03C2">
        <w:rPr>
          <w:rFonts w:asciiTheme="minorHAnsi" w:hAnsiTheme="minorHAnsi"/>
          <w:sz w:val="22"/>
        </w:rPr>
        <w:t xml:space="preserve">female </w:t>
      </w:r>
      <w:r w:rsidR="00143B9B">
        <w:rPr>
          <w:rFonts w:asciiTheme="minorHAnsi" w:hAnsiTheme="minorHAnsi"/>
          <w:sz w:val="22"/>
        </w:rPr>
        <w:t>recipients</w:t>
      </w:r>
      <w:r w:rsidRPr="004C67FC">
        <w:rPr>
          <w:rFonts w:asciiTheme="minorHAnsi" w:hAnsiTheme="minorHAnsi"/>
          <w:sz w:val="22"/>
        </w:rPr>
        <w:t xml:space="preserve"> </w:t>
      </w:r>
      <w:r w:rsidR="0045548D">
        <w:rPr>
          <w:rFonts w:asciiTheme="minorHAnsi" w:hAnsiTheme="minorHAnsi"/>
          <w:sz w:val="22"/>
        </w:rPr>
        <w:t xml:space="preserve">to </w:t>
      </w:r>
      <w:r w:rsidRPr="004C67FC">
        <w:rPr>
          <w:rFonts w:asciiTheme="minorHAnsi" w:hAnsiTheme="minorHAnsi"/>
          <w:sz w:val="22"/>
        </w:rPr>
        <w:t>have access to the banking system for the first time</w:t>
      </w:r>
      <w:r w:rsidR="0075230C">
        <w:rPr>
          <w:rFonts w:asciiTheme="minorHAnsi" w:hAnsiTheme="minorHAnsi"/>
          <w:sz w:val="22"/>
        </w:rPr>
        <w:t>.</w:t>
      </w:r>
      <w:r>
        <w:rPr>
          <w:rStyle w:val="EndnoteReference"/>
          <w:rFonts w:asciiTheme="minorHAnsi" w:hAnsiTheme="minorHAnsi"/>
          <w:color w:val="auto"/>
          <w:sz w:val="22"/>
          <w:lang w:val="en-AU"/>
        </w:rPr>
        <w:endnoteReference w:id="26"/>
      </w:r>
      <w:r>
        <w:rPr>
          <w:rFonts w:asciiTheme="minorHAnsi" w:hAnsiTheme="minorHAnsi"/>
          <w:color w:val="auto"/>
          <w:sz w:val="22"/>
          <w:lang w:val="en-AU"/>
        </w:rPr>
        <w:t xml:space="preserve"> </w:t>
      </w:r>
      <w:r w:rsidR="00D23457" w:rsidRPr="004C67FC">
        <w:rPr>
          <w:rFonts w:asciiTheme="minorHAnsi" w:hAnsiTheme="minorHAnsi"/>
          <w:sz w:val="22"/>
        </w:rPr>
        <w:t xml:space="preserve">In addition to receiving regular social support through their bank account, they </w:t>
      </w:r>
      <w:r w:rsidR="002A5D92">
        <w:rPr>
          <w:rFonts w:asciiTheme="minorHAnsi" w:hAnsiTheme="minorHAnsi"/>
          <w:sz w:val="22"/>
        </w:rPr>
        <w:t>now have the option to open a linked bank account and save more securely</w:t>
      </w:r>
      <w:r w:rsidR="00D23457" w:rsidRPr="004C67FC">
        <w:rPr>
          <w:rFonts w:asciiTheme="minorHAnsi" w:hAnsiTheme="minorHAnsi"/>
          <w:sz w:val="22"/>
        </w:rPr>
        <w:t>.</w:t>
      </w:r>
    </w:p>
    <w:p w:rsidR="00022BD8" w:rsidRPr="004C67FC" w:rsidRDefault="001E5970" w:rsidP="00022BD8">
      <w:pPr>
        <w:pStyle w:val="TableText"/>
        <w:rPr>
          <w:rFonts w:asciiTheme="minorHAnsi" w:hAnsiTheme="minorHAnsi"/>
          <w:sz w:val="22"/>
        </w:rPr>
      </w:pPr>
      <w:r>
        <w:rPr>
          <w:noProof/>
          <w:lang w:val="en-AU" w:eastAsia="en-AU"/>
        </w:rPr>
        <mc:AlternateContent>
          <mc:Choice Requires="wps">
            <w:drawing>
              <wp:anchor distT="0" distB="0" distL="114300" distR="114300" simplePos="0" relativeHeight="251722752" behindDoc="0" locked="0" layoutInCell="1" allowOverlap="1" wp14:anchorId="7509FB27" wp14:editId="76B13AB3">
                <wp:simplePos x="0" y="0"/>
                <wp:positionH relativeFrom="margin">
                  <wp:align>right</wp:align>
                </wp:positionH>
                <wp:positionV relativeFrom="paragraph">
                  <wp:posOffset>1410859</wp:posOffset>
                </wp:positionV>
                <wp:extent cx="3105150" cy="4362450"/>
                <wp:effectExtent l="0" t="0" r="19050" b="19050"/>
                <wp:wrapSquare wrapText="bothSides"/>
                <wp:docPr id="37" name="Rectangle 37"/>
                <wp:cNvGraphicFramePr/>
                <a:graphic xmlns:a="http://schemas.openxmlformats.org/drawingml/2006/main">
                  <a:graphicData uri="http://schemas.microsoft.com/office/word/2010/wordprocessingShape">
                    <wps:wsp>
                      <wps:cNvSpPr/>
                      <wps:spPr>
                        <a:xfrm>
                          <a:off x="0" y="0"/>
                          <a:ext cx="3105150" cy="436245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45F" w:rsidRPr="008F12EE" w:rsidRDefault="0049045F" w:rsidP="00607357">
                            <w:pPr>
                              <w:jc w:val="center"/>
                              <w:rPr>
                                <w:b/>
                              </w:rPr>
                            </w:pPr>
                            <w:r w:rsidRPr="008F12EE">
                              <w:rPr>
                                <w:b/>
                              </w:rPr>
                              <w:t>Helping to reduce childhood stunting</w:t>
                            </w:r>
                          </w:p>
                          <w:p w:rsidR="0049045F" w:rsidRPr="008F12EE" w:rsidRDefault="0049045F" w:rsidP="00607357">
                            <w:pPr>
                              <w:rPr>
                                <w:sz w:val="20"/>
                                <w:szCs w:val="20"/>
                              </w:rPr>
                            </w:pPr>
                            <w:r w:rsidRPr="008F12EE">
                              <w:rPr>
                                <w:sz w:val="20"/>
                                <w:szCs w:val="20"/>
                              </w:rPr>
                              <w:t xml:space="preserve">Australia </w:t>
                            </w:r>
                            <w:r>
                              <w:rPr>
                                <w:sz w:val="20"/>
                                <w:szCs w:val="20"/>
                              </w:rPr>
                              <w:t>works</w:t>
                            </w:r>
                            <w:r w:rsidRPr="008F12EE">
                              <w:rPr>
                                <w:sz w:val="20"/>
                                <w:szCs w:val="20"/>
                              </w:rPr>
                              <w:t xml:space="preserve"> with Indonesia to reduce the high rate of stunting caused by malnutrition and unsafe water. The 2018 national health survey found that the rate of stunting in Indonesia is 30.8 per cent. Poor nutrition and repeated illness in early childhood, which can affect children’s cognitive development, are the main causes. </w:t>
                            </w:r>
                          </w:p>
                          <w:p w:rsidR="0049045F" w:rsidRPr="008F12EE" w:rsidRDefault="0049045F" w:rsidP="008F12EE">
                            <w:pPr>
                              <w:rPr>
                                <w:sz w:val="20"/>
                                <w:szCs w:val="20"/>
                              </w:rPr>
                            </w:pPr>
                            <w:r w:rsidRPr="008F12EE">
                              <w:rPr>
                                <w:sz w:val="20"/>
                                <w:szCs w:val="20"/>
                              </w:rPr>
                              <w:t xml:space="preserve">The World Bank has drawn on experience from Australian-funded pilots to increase the evidence base on the drivers of stunting to inform Indonesia’s National Strategy to Accelerate Stunting Prevention (2018-2024). This Strategy – drawing on citizen engagement tools, facilitation, and early childhood education training mechanisms – aims to link a range of village service delivery interventions to address the drivers of stunting. </w:t>
                            </w:r>
                          </w:p>
                          <w:p w:rsidR="0049045F" w:rsidRPr="008F12EE" w:rsidRDefault="0049045F" w:rsidP="00607357">
                            <w:pPr>
                              <w:rPr>
                                <w:sz w:val="20"/>
                                <w:szCs w:val="20"/>
                              </w:rPr>
                            </w:pPr>
                            <w:r w:rsidRPr="008F12EE">
                              <w:rPr>
                                <w:sz w:val="20"/>
                                <w:szCs w:val="20"/>
                              </w:rPr>
                              <w:t>Australia supports the Indonesian government’s national programs on stunting prevention through</w:t>
                            </w:r>
                            <w:r>
                              <w:rPr>
                                <w:sz w:val="20"/>
                                <w:szCs w:val="20"/>
                              </w:rPr>
                              <w:t xml:space="preserve"> our work in water and sanitation, and</w:t>
                            </w:r>
                            <w:r w:rsidR="001E5970">
                              <w:rPr>
                                <w:sz w:val="20"/>
                                <w:szCs w:val="20"/>
                              </w:rPr>
                              <w:t xml:space="preserve"> nutrition-</w:t>
                            </w:r>
                            <w:r w:rsidRPr="008F12EE">
                              <w:rPr>
                                <w:sz w:val="20"/>
                                <w:szCs w:val="20"/>
                              </w:rPr>
                              <w:t xml:space="preserve">specific intervention by preventing iron deficiency anaemia among pregnant women and adolescent girls. </w:t>
                            </w:r>
                            <w:r>
                              <w:rPr>
                                <w:sz w:val="20"/>
                                <w:szCs w:val="20"/>
                              </w:rPr>
                              <w:t>For example, we partnered with Nutrition International</w:t>
                            </w:r>
                            <w:r w:rsidRPr="008F12EE">
                              <w:rPr>
                                <w:sz w:val="20"/>
                                <w:szCs w:val="20"/>
                              </w:rPr>
                              <w:t xml:space="preserve"> </w:t>
                            </w:r>
                            <w:r>
                              <w:rPr>
                                <w:sz w:val="20"/>
                                <w:szCs w:val="20"/>
                              </w:rPr>
                              <w:t>and the</w:t>
                            </w:r>
                            <w:r w:rsidRPr="008F12EE">
                              <w:rPr>
                                <w:sz w:val="20"/>
                                <w:szCs w:val="20"/>
                              </w:rPr>
                              <w:t xml:space="preserve"> East Java and East Nusa Tenggara Provincial Health Office</w:t>
                            </w:r>
                            <w:r>
                              <w:rPr>
                                <w:sz w:val="20"/>
                                <w:szCs w:val="20"/>
                              </w:rPr>
                              <w:t>s</w:t>
                            </w:r>
                            <w:r w:rsidRPr="008F12EE">
                              <w:rPr>
                                <w:sz w:val="20"/>
                                <w:szCs w:val="20"/>
                              </w:rPr>
                              <w:t xml:space="preserve"> to increase their commitment on key micronutrient programs. As a result, anaemia prevalence among pregnant women has </w:t>
                            </w:r>
                            <w:r w:rsidR="001E5970">
                              <w:rPr>
                                <w:sz w:val="20"/>
                                <w:szCs w:val="20"/>
                              </w:rPr>
                              <w:t>decreased</w:t>
                            </w:r>
                            <w:r w:rsidRPr="008F12EE">
                              <w:rPr>
                                <w:sz w:val="20"/>
                                <w:szCs w:val="20"/>
                              </w:rPr>
                              <w:t xml:space="preserve"> from 35 per cent to 31 per 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FB27" id="Rectangle 37" o:spid="_x0000_s1028" style="position:absolute;margin-left:193.3pt;margin-top:111.1pt;width:244.5pt;height:343.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EbrwIAANgFAAAOAAAAZHJzL2Uyb0RvYy54bWysVEtv2zAMvg/YfxB0X+2kSdsZdYqgRYcB&#10;XVu0HXpWZDk2IImapMTOfv0oyXGDPnYYloMiPvSR/Ezy/KJXkmyFdS3okk6OckqE5lC1el3Sn0/X&#10;X84ocZ7piknQoqQ74ejF4vOn884UYgoNyEpYgiDaFZ0paeO9KbLM8UYo5o7ACI3GGqxiHkW7zirL&#10;OkRXMpvm+UnWga2MBS6cQ+1VMtJFxK9rwf1dXTvhiSwp5ubjaeO5Cme2OGfF2jLTtHxIg/1DFoq1&#10;GoOOUFfMM7Kx7Rso1XILDmp/xEFlUNctF7EGrGaSv6rmsWFGxFqQHGdGmtz/g+W323tL2qqkx6eU&#10;aKbwGz0ga0yvpSCoQ4I64wr0ezT3dpAcXkO1fW1V+Mc6SB9J3Y2kit4TjsrjST6fzJF7jrbZ8cl0&#10;hgLiZC/PjXX+mwBFwqWkFuNHMtn2xvnkuncJ0TRct1KinhVSh9OBbKugi0JoHXEpLdky/OiMc6H9&#10;JOLJjfoBVdKf5PhLnx/V2CRJPdurMb3YhAEpJnsQBG0hcBaISVTEm99JkZJ6EDVyisVPY9wR6G1K&#10;rmGVSOr5h6GlRsCAXGONI3aq6QPsxNrgH56KOAzj4/xviaXH44sYGbQfH6tWg30PQCLRQ+Tkvycp&#10;URNY8v2qj/02DZ5Bs4Jqhz1oIQ2nM/y6xT64Yc7fM4vTiL2DG8bf4VFL6EoKw42SBuzv9/TBH4cE&#10;rZR0ON0ldb82zApK5HeN4/N1MpuFdRCF2fx0ioI9tKwOLXqjLgF7aYK7zPB4Df5e7q+1BfWMi2gZ&#10;oqKJaY6xS8q93QuXPm0dXGVcLJfRDVeAYf5GPxoewAPPoc+f+mdmzTAMHufoFvabgBWvZiL5hpca&#10;lhsPdRsH5oXX4Qvg+ohdPKy6sJ8O5ej1spAXfwAAAP//AwBQSwMEFAAGAAgAAAAhAKDY6QneAAAA&#10;CAEAAA8AAABkcnMvZG93bnJldi54bWxMj0FLw0AQhe9C/8MyBS9iNw1VmphJKaJYEA9W8bzNjkkw&#10;Oxuz2zT9944nndvMe7z5XrGZXKdGGkLrGWG5SEARV962XCO8vz1er0GFaNiazjMhnCnAppxdFCa3&#10;/sSvNO5jrSSEQ24Qmhj7XOtQNeRMWPieWLRPPzgTZR1qbQdzknDX6TRJbrUzLcuHxvR031D1tT86&#10;hG+d6qnmp/Hh6qZ/bs+71Qt97BAv59P2DlSkKf6Z4Rdf0KEUpoM/sg2qQ5AiESGVASXyap3J5YCQ&#10;JVkKuiz0/wLlDwAAAP//AwBQSwECLQAUAAYACAAAACEAtoM4kv4AAADhAQAAEwAAAAAAAAAAAAAA&#10;AAAAAAAAW0NvbnRlbnRfVHlwZXNdLnhtbFBLAQItABQABgAIAAAAIQA4/SH/1gAAAJQBAAALAAAA&#10;AAAAAAAAAAAAAC8BAABfcmVscy8ucmVsc1BLAQItABQABgAIAAAAIQAF1BEbrwIAANgFAAAOAAAA&#10;AAAAAAAAAAAAAC4CAABkcnMvZTJvRG9jLnhtbFBLAQItABQABgAIAAAAIQCg2OkJ3gAAAAgBAAAP&#10;AAAAAAAAAAAAAAAAAAkFAABkcnMvZG93bnJldi54bWxQSwUGAAAAAAQABADzAAAAFAYAAAAA&#10;" filled="f" strokecolor="#a2dcd1 [1940]" strokeweight="2pt">
                <v:textbox>
                  <w:txbxContent>
                    <w:p w:rsidR="0049045F" w:rsidRPr="008F12EE" w:rsidRDefault="0049045F" w:rsidP="00607357">
                      <w:pPr>
                        <w:jc w:val="center"/>
                        <w:rPr>
                          <w:b/>
                        </w:rPr>
                      </w:pPr>
                      <w:r w:rsidRPr="008F12EE">
                        <w:rPr>
                          <w:b/>
                        </w:rPr>
                        <w:t>Helping to reduce childhood stunting</w:t>
                      </w:r>
                    </w:p>
                    <w:p w:rsidR="0049045F" w:rsidRPr="008F12EE" w:rsidRDefault="0049045F" w:rsidP="00607357">
                      <w:pPr>
                        <w:rPr>
                          <w:sz w:val="20"/>
                          <w:szCs w:val="20"/>
                        </w:rPr>
                      </w:pPr>
                      <w:r w:rsidRPr="008F12EE">
                        <w:rPr>
                          <w:sz w:val="20"/>
                          <w:szCs w:val="20"/>
                        </w:rPr>
                        <w:t xml:space="preserve">Australia </w:t>
                      </w:r>
                      <w:r>
                        <w:rPr>
                          <w:sz w:val="20"/>
                          <w:szCs w:val="20"/>
                        </w:rPr>
                        <w:t>works</w:t>
                      </w:r>
                      <w:r w:rsidRPr="008F12EE">
                        <w:rPr>
                          <w:sz w:val="20"/>
                          <w:szCs w:val="20"/>
                        </w:rPr>
                        <w:t xml:space="preserve"> with Indonesia to reduce the high rate of stunting caused by malnutrition and unsafe water. The 2018 national health survey found that the rate of stunting in Indonesia is 30.8 per cent. Poor nutrition and repeated illness in early childhood, which can affect children’s cognitive development, are the main causes. </w:t>
                      </w:r>
                    </w:p>
                    <w:p w:rsidR="0049045F" w:rsidRPr="008F12EE" w:rsidRDefault="0049045F" w:rsidP="008F12EE">
                      <w:pPr>
                        <w:rPr>
                          <w:sz w:val="20"/>
                          <w:szCs w:val="20"/>
                        </w:rPr>
                      </w:pPr>
                      <w:r w:rsidRPr="008F12EE">
                        <w:rPr>
                          <w:sz w:val="20"/>
                          <w:szCs w:val="20"/>
                        </w:rPr>
                        <w:t xml:space="preserve">The World Bank has drawn on experience from Australian-funded pilots to increase the evidence base on the drivers of stunting to inform Indonesia’s National Strategy to Accelerate Stunting Prevention (2018-2024). This Strategy – drawing on citizen engagement tools, facilitation, and early childhood </w:t>
                      </w:r>
                      <w:proofErr w:type="gramStart"/>
                      <w:r w:rsidRPr="008F12EE">
                        <w:rPr>
                          <w:sz w:val="20"/>
                          <w:szCs w:val="20"/>
                        </w:rPr>
                        <w:t>education training</w:t>
                      </w:r>
                      <w:proofErr w:type="gramEnd"/>
                      <w:r w:rsidRPr="008F12EE">
                        <w:rPr>
                          <w:sz w:val="20"/>
                          <w:szCs w:val="20"/>
                        </w:rPr>
                        <w:t xml:space="preserve"> mechanisms – aims to link a range of village service delivery interventions to address the drivers of stunting. </w:t>
                      </w:r>
                    </w:p>
                    <w:p w:rsidR="0049045F" w:rsidRPr="008F12EE" w:rsidRDefault="0049045F" w:rsidP="00607357">
                      <w:pPr>
                        <w:rPr>
                          <w:sz w:val="20"/>
                          <w:szCs w:val="20"/>
                        </w:rPr>
                      </w:pPr>
                      <w:r w:rsidRPr="008F12EE">
                        <w:rPr>
                          <w:sz w:val="20"/>
                          <w:szCs w:val="20"/>
                        </w:rPr>
                        <w:t>Australia supports the Indonesian government’s national programs on stunting prevention through</w:t>
                      </w:r>
                      <w:r>
                        <w:rPr>
                          <w:sz w:val="20"/>
                          <w:szCs w:val="20"/>
                        </w:rPr>
                        <w:t xml:space="preserve"> our work in water and sanitation, and</w:t>
                      </w:r>
                      <w:r w:rsidR="001E5970">
                        <w:rPr>
                          <w:sz w:val="20"/>
                          <w:szCs w:val="20"/>
                        </w:rPr>
                        <w:t xml:space="preserve"> nutrition-</w:t>
                      </w:r>
                      <w:r w:rsidRPr="008F12EE">
                        <w:rPr>
                          <w:sz w:val="20"/>
                          <w:szCs w:val="20"/>
                        </w:rPr>
                        <w:t xml:space="preserve">specific intervention by preventing iron deficiency anaemia among pregnant women and adolescent girls. </w:t>
                      </w:r>
                      <w:r>
                        <w:rPr>
                          <w:sz w:val="20"/>
                          <w:szCs w:val="20"/>
                        </w:rPr>
                        <w:t xml:space="preserve">For example, we </w:t>
                      </w:r>
                      <w:proofErr w:type="gramStart"/>
                      <w:r>
                        <w:rPr>
                          <w:sz w:val="20"/>
                          <w:szCs w:val="20"/>
                        </w:rPr>
                        <w:t>partnered</w:t>
                      </w:r>
                      <w:proofErr w:type="gramEnd"/>
                      <w:r>
                        <w:rPr>
                          <w:sz w:val="20"/>
                          <w:szCs w:val="20"/>
                        </w:rPr>
                        <w:t xml:space="preserve"> with Nutrition International</w:t>
                      </w:r>
                      <w:r w:rsidRPr="008F12EE">
                        <w:rPr>
                          <w:sz w:val="20"/>
                          <w:szCs w:val="20"/>
                        </w:rPr>
                        <w:t xml:space="preserve"> </w:t>
                      </w:r>
                      <w:r>
                        <w:rPr>
                          <w:sz w:val="20"/>
                          <w:szCs w:val="20"/>
                        </w:rPr>
                        <w:t>and the</w:t>
                      </w:r>
                      <w:r w:rsidRPr="008F12EE">
                        <w:rPr>
                          <w:sz w:val="20"/>
                          <w:szCs w:val="20"/>
                        </w:rPr>
                        <w:t xml:space="preserve"> East Java and East Nusa Tenggara Provincial Health Office</w:t>
                      </w:r>
                      <w:r>
                        <w:rPr>
                          <w:sz w:val="20"/>
                          <w:szCs w:val="20"/>
                        </w:rPr>
                        <w:t>s</w:t>
                      </w:r>
                      <w:r w:rsidRPr="008F12EE">
                        <w:rPr>
                          <w:sz w:val="20"/>
                          <w:szCs w:val="20"/>
                        </w:rPr>
                        <w:t xml:space="preserve"> to increase their commitment on key micronutrient programs. As a result, anaemia prevalence among pregnant women has </w:t>
                      </w:r>
                      <w:r w:rsidR="001E5970">
                        <w:rPr>
                          <w:sz w:val="20"/>
                          <w:szCs w:val="20"/>
                        </w:rPr>
                        <w:t>decreased</w:t>
                      </w:r>
                      <w:r w:rsidRPr="008F12EE">
                        <w:rPr>
                          <w:sz w:val="20"/>
                          <w:szCs w:val="20"/>
                        </w:rPr>
                        <w:t xml:space="preserve"> from 35 per cent to 31 per cent.</w:t>
                      </w:r>
                    </w:p>
                  </w:txbxContent>
                </v:textbox>
                <w10:wrap type="square" anchorx="margin"/>
              </v:rect>
            </w:pict>
          </mc:Fallback>
        </mc:AlternateContent>
      </w:r>
      <w:r w:rsidR="00845C34">
        <w:rPr>
          <w:rFonts w:asciiTheme="minorHAnsi" w:hAnsiTheme="minorHAnsi"/>
          <w:sz w:val="22"/>
        </w:rPr>
        <w:t>Australia</w:t>
      </w:r>
      <w:r w:rsidR="00022BD8" w:rsidRPr="004C67FC">
        <w:rPr>
          <w:rFonts w:asciiTheme="minorHAnsi" w:hAnsiTheme="minorHAnsi"/>
          <w:sz w:val="22"/>
        </w:rPr>
        <w:t xml:space="preserve"> </w:t>
      </w:r>
      <w:r w:rsidR="00C429ED">
        <w:rPr>
          <w:rFonts w:asciiTheme="minorHAnsi" w:hAnsiTheme="minorHAnsi"/>
          <w:sz w:val="22"/>
        </w:rPr>
        <w:t xml:space="preserve">provided </w:t>
      </w:r>
      <w:r w:rsidR="00022BD8" w:rsidRPr="004C67FC">
        <w:rPr>
          <w:rFonts w:asciiTheme="minorHAnsi" w:hAnsiTheme="minorHAnsi"/>
          <w:sz w:val="22"/>
        </w:rPr>
        <w:t>technical</w:t>
      </w:r>
      <w:r w:rsidR="004A25E2">
        <w:rPr>
          <w:rFonts w:asciiTheme="minorHAnsi" w:hAnsiTheme="minorHAnsi"/>
          <w:sz w:val="22"/>
        </w:rPr>
        <w:t xml:space="preserve"> support</w:t>
      </w:r>
      <w:r w:rsidR="00022BD8" w:rsidRPr="004C67FC">
        <w:rPr>
          <w:rFonts w:asciiTheme="minorHAnsi" w:hAnsiTheme="minorHAnsi"/>
          <w:sz w:val="22"/>
        </w:rPr>
        <w:t xml:space="preserve"> </w:t>
      </w:r>
      <w:r w:rsidR="00C429ED">
        <w:rPr>
          <w:rFonts w:asciiTheme="minorHAnsi" w:hAnsiTheme="minorHAnsi"/>
          <w:sz w:val="22"/>
        </w:rPr>
        <w:t xml:space="preserve">to </w:t>
      </w:r>
      <w:r w:rsidR="00022BD8" w:rsidRPr="004C67FC">
        <w:rPr>
          <w:rFonts w:asciiTheme="minorHAnsi" w:hAnsiTheme="minorHAnsi"/>
          <w:sz w:val="22"/>
        </w:rPr>
        <w:t xml:space="preserve">the </w:t>
      </w:r>
      <w:r w:rsidR="00C429ED">
        <w:rPr>
          <w:rFonts w:asciiTheme="minorHAnsi" w:hAnsiTheme="minorHAnsi"/>
          <w:sz w:val="22"/>
        </w:rPr>
        <w:t>Indonesian</w:t>
      </w:r>
      <w:r w:rsidR="00022BD8" w:rsidRPr="004C67FC">
        <w:rPr>
          <w:rFonts w:asciiTheme="minorHAnsi" w:hAnsiTheme="minorHAnsi"/>
          <w:sz w:val="22"/>
        </w:rPr>
        <w:t xml:space="preserve"> government to expand </w:t>
      </w:r>
      <w:r w:rsidR="00C429ED">
        <w:rPr>
          <w:rFonts w:asciiTheme="minorHAnsi" w:hAnsiTheme="minorHAnsi"/>
          <w:sz w:val="22"/>
        </w:rPr>
        <w:t>its</w:t>
      </w:r>
      <w:r w:rsidR="00022BD8" w:rsidRPr="004C67FC">
        <w:rPr>
          <w:rFonts w:asciiTheme="minorHAnsi" w:hAnsiTheme="minorHAnsi"/>
          <w:sz w:val="22"/>
        </w:rPr>
        <w:t xml:space="preserve"> flagship Family Hope conditional cash transfer program to reach </w:t>
      </w:r>
      <w:r w:rsidR="00643934">
        <w:rPr>
          <w:rFonts w:asciiTheme="minorHAnsi" w:hAnsiTheme="minorHAnsi"/>
          <w:sz w:val="22"/>
        </w:rPr>
        <w:t>10</w:t>
      </w:r>
      <w:r w:rsidR="00022BD8" w:rsidRPr="004C67FC">
        <w:rPr>
          <w:rFonts w:asciiTheme="minorHAnsi" w:hAnsiTheme="minorHAnsi"/>
          <w:sz w:val="22"/>
        </w:rPr>
        <w:t xml:space="preserve"> million poor households, an increase of four million from 2017</w:t>
      </w:r>
      <w:r w:rsidR="008968DE">
        <w:rPr>
          <w:rStyle w:val="EndnoteReference"/>
          <w:rFonts w:asciiTheme="minorHAnsi" w:hAnsiTheme="minorHAnsi"/>
          <w:sz w:val="22"/>
        </w:rPr>
        <w:endnoteReference w:id="27"/>
      </w:r>
      <w:r w:rsidR="00022BD8" w:rsidRPr="004C67FC">
        <w:rPr>
          <w:rFonts w:asciiTheme="minorHAnsi" w:hAnsiTheme="minorHAnsi"/>
          <w:sz w:val="22"/>
        </w:rPr>
        <w:t>.</w:t>
      </w:r>
      <w:r w:rsidR="0045548D">
        <w:rPr>
          <w:rFonts w:asciiTheme="minorHAnsi" w:hAnsiTheme="minorHAnsi"/>
          <w:sz w:val="22"/>
        </w:rPr>
        <w:t xml:space="preserve"> </w:t>
      </w:r>
      <w:r w:rsidR="00022BD8" w:rsidRPr="004C67FC">
        <w:rPr>
          <w:rFonts w:asciiTheme="minorHAnsi" w:hAnsiTheme="minorHAnsi"/>
          <w:sz w:val="22"/>
        </w:rPr>
        <w:t>Australian technical expertise developed a poverty simulation model to inform the government</w:t>
      </w:r>
      <w:r w:rsidR="00616AB4" w:rsidRPr="004C67FC">
        <w:rPr>
          <w:rFonts w:asciiTheme="minorHAnsi" w:hAnsiTheme="minorHAnsi"/>
          <w:sz w:val="22"/>
        </w:rPr>
        <w:t>’</w:t>
      </w:r>
      <w:r w:rsidR="00022BD8" w:rsidRPr="004C67FC">
        <w:rPr>
          <w:rFonts w:asciiTheme="minorHAnsi" w:hAnsiTheme="minorHAnsi"/>
          <w:sz w:val="22"/>
        </w:rPr>
        <w:t xml:space="preserve">s decision to double the program’s benefit level. This led to the Indonesian government increasing the 2019 budget for the </w:t>
      </w:r>
      <w:r w:rsidR="004A25E2">
        <w:rPr>
          <w:rFonts w:asciiTheme="minorHAnsi" w:hAnsiTheme="minorHAnsi"/>
          <w:sz w:val="22"/>
        </w:rPr>
        <w:t>conditional cash program by AUD</w:t>
      </w:r>
      <w:r w:rsidR="00022BD8" w:rsidRPr="004C67FC">
        <w:rPr>
          <w:rFonts w:asciiTheme="minorHAnsi" w:hAnsiTheme="minorHAnsi"/>
          <w:sz w:val="22"/>
        </w:rPr>
        <w:t xml:space="preserve">1.7 billion from 2018 expenditure. </w:t>
      </w:r>
      <w:r w:rsidR="00C429ED">
        <w:rPr>
          <w:rFonts w:asciiTheme="minorHAnsi" w:hAnsiTheme="minorHAnsi"/>
          <w:sz w:val="22"/>
        </w:rPr>
        <w:t>Analysis showed that the</w:t>
      </w:r>
      <w:r w:rsidR="00C429ED" w:rsidRPr="004C67FC">
        <w:rPr>
          <w:rFonts w:asciiTheme="minorHAnsi" w:hAnsiTheme="minorHAnsi"/>
          <w:sz w:val="22"/>
        </w:rPr>
        <w:t xml:space="preserve"> </w:t>
      </w:r>
      <w:r w:rsidR="00022BD8" w:rsidRPr="004C67FC">
        <w:rPr>
          <w:rFonts w:asciiTheme="minorHAnsi" w:hAnsiTheme="minorHAnsi"/>
          <w:sz w:val="22"/>
        </w:rPr>
        <w:t>previous benefit level</w:t>
      </w:r>
      <w:r w:rsidR="005E6000">
        <w:rPr>
          <w:rFonts w:asciiTheme="minorHAnsi" w:hAnsiTheme="minorHAnsi"/>
          <w:sz w:val="22"/>
        </w:rPr>
        <w:t xml:space="preserve"> only </w:t>
      </w:r>
      <w:r w:rsidR="00022BD8" w:rsidRPr="004C67FC">
        <w:rPr>
          <w:rFonts w:asciiTheme="minorHAnsi" w:hAnsiTheme="minorHAnsi"/>
          <w:sz w:val="22"/>
        </w:rPr>
        <w:t xml:space="preserve">met 7 per cent of poor household monthly </w:t>
      </w:r>
      <w:r w:rsidR="00C12DD1" w:rsidRPr="004C67FC">
        <w:rPr>
          <w:rFonts w:asciiTheme="minorHAnsi" w:hAnsiTheme="minorHAnsi"/>
          <w:sz w:val="22"/>
        </w:rPr>
        <w:t>consumption</w:t>
      </w:r>
      <w:r w:rsidR="00022BD8">
        <w:rPr>
          <w:rFonts w:asciiTheme="minorHAnsi" w:hAnsiTheme="minorHAnsi"/>
          <w:color w:val="auto"/>
          <w:sz w:val="22"/>
          <w:lang w:val="en-AU"/>
        </w:rPr>
        <w:t xml:space="preserve">, </w:t>
      </w:r>
      <w:r w:rsidR="005E6000">
        <w:rPr>
          <w:rFonts w:asciiTheme="minorHAnsi" w:hAnsiTheme="minorHAnsi"/>
          <w:sz w:val="22"/>
        </w:rPr>
        <w:t>with</w:t>
      </w:r>
      <w:r w:rsidR="005E6000" w:rsidRPr="004C67FC">
        <w:rPr>
          <w:rFonts w:asciiTheme="minorHAnsi" w:hAnsiTheme="minorHAnsi"/>
          <w:sz w:val="22"/>
        </w:rPr>
        <w:t xml:space="preserve"> </w:t>
      </w:r>
      <w:r w:rsidR="00022BD8" w:rsidRPr="004C67FC">
        <w:rPr>
          <w:rFonts w:asciiTheme="minorHAnsi" w:hAnsiTheme="minorHAnsi"/>
          <w:sz w:val="22"/>
        </w:rPr>
        <w:t>the increased entitlement now cover</w:t>
      </w:r>
      <w:r w:rsidR="005E6000">
        <w:rPr>
          <w:rFonts w:asciiTheme="minorHAnsi" w:hAnsiTheme="minorHAnsi"/>
          <w:sz w:val="22"/>
        </w:rPr>
        <w:t>ing</w:t>
      </w:r>
      <w:r w:rsidR="00022BD8" w:rsidRPr="004C67FC">
        <w:rPr>
          <w:rFonts w:asciiTheme="minorHAnsi" w:hAnsiTheme="minorHAnsi"/>
          <w:sz w:val="22"/>
        </w:rPr>
        <w:t xml:space="preserve"> an estimated 20 per cent.</w:t>
      </w:r>
      <w:r w:rsidR="0075230C">
        <w:rPr>
          <w:rStyle w:val="EndnoteReference"/>
          <w:rFonts w:asciiTheme="minorHAnsi" w:hAnsiTheme="minorHAnsi"/>
          <w:color w:val="auto"/>
          <w:sz w:val="22"/>
          <w:lang w:val="en-AU"/>
        </w:rPr>
        <w:endnoteReference w:id="28"/>
      </w:r>
      <w:r w:rsidR="002A202F">
        <w:rPr>
          <w:rFonts w:asciiTheme="minorHAnsi" w:hAnsiTheme="minorHAnsi"/>
          <w:sz w:val="22"/>
        </w:rPr>
        <w:t xml:space="preserve"> Australian-</w:t>
      </w:r>
      <w:r w:rsidR="00022BD8" w:rsidRPr="004C67FC">
        <w:rPr>
          <w:rFonts w:asciiTheme="minorHAnsi" w:hAnsiTheme="minorHAnsi"/>
          <w:sz w:val="22"/>
        </w:rPr>
        <w:t xml:space="preserve">funded evidence </w:t>
      </w:r>
      <w:r w:rsidR="005E6000">
        <w:rPr>
          <w:rFonts w:asciiTheme="minorHAnsi" w:hAnsiTheme="minorHAnsi"/>
          <w:sz w:val="22"/>
        </w:rPr>
        <w:t>led to</w:t>
      </w:r>
      <w:r w:rsidR="00022BD8" w:rsidRPr="004C67FC">
        <w:rPr>
          <w:rFonts w:asciiTheme="minorHAnsi" w:hAnsiTheme="minorHAnsi"/>
          <w:sz w:val="22"/>
        </w:rPr>
        <w:t xml:space="preserve"> a variable family grant based on household demographic make-up. Families supporting the elderly, people with </w:t>
      </w:r>
      <w:r w:rsidR="00167CE6">
        <w:rPr>
          <w:rFonts w:asciiTheme="minorHAnsi" w:hAnsiTheme="minorHAnsi"/>
          <w:sz w:val="22"/>
        </w:rPr>
        <w:t>disabilities</w:t>
      </w:r>
      <w:r w:rsidR="00022BD8" w:rsidRPr="004C67FC">
        <w:rPr>
          <w:rFonts w:asciiTheme="minorHAnsi" w:hAnsiTheme="minorHAnsi"/>
          <w:sz w:val="22"/>
        </w:rPr>
        <w:t xml:space="preserve"> or pregnant mothers, face higher household costs and these considerations are now factored into their regular cash transfer.</w:t>
      </w:r>
    </w:p>
    <w:p w:rsidR="001F5E83" w:rsidRPr="00643934" w:rsidRDefault="00022BD8" w:rsidP="00643934">
      <w:pPr>
        <w:pStyle w:val="CommentText"/>
      </w:pPr>
      <w:r w:rsidRPr="004C67FC">
        <w:rPr>
          <w:sz w:val="22"/>
        </w:rPr>
        <w:t>In 2018, Australian technical support helped Indonesia to maintain the world’s second largest poverty database</w:t>
      </w:r>
      <w:r w:rsidR="000266E5">
        <w:rPr>
          <w:sz w:val="22"/>
        </w:rPr>
        <w:t xml:space="preserve"> </w:t>
      </w:r>
      <w:r w:rsidR="000266E5" w:rsidRPr="004C67FC">
        <w:rPr>
          <w:sz w:val="22"/>
        </w:rPr>
        <w:t>that</w:t>
      </w:r>
      <w:r w:rsidRPr="004C67FC">
        <w:rPr>
          <w:sz w:val="22"/>
        </w:rPr>
        <w:t xml:space="preserve"> contains information on </w:t>
      </w:r>
      <w:r w:rsidR="00D23457" w:rsidRPr="004C67FC">
        <w:rPr>
          <w:sz w:val="22"/>
        </w:rPr>
        <w:t>99</w:t>
      </w:r>
      <w:r w:rsidRPr="004C67FC">
        <w:rPr>
          <w:sz w:val="22"/>
        </w:rPr>
        <w:t xml:space="preserve"> million people. A recent academic study found that th</w:t>
      </w:r>
      <w:r w:rsidR="000266E5">
        <w:rPr>
          <w:sz w:val="22"/>
        </w:rPr>
        <w:t>is</w:t>
      </w:r>
      <w:r w:rsidRPr="004C67FC">
        <w:rPr>
          <w:sz w:val="22"/>
        </w:rPr>
        <w:t xml:space="preserve"> Unified Database has significantly increased the targeting performance of the country’s three largest social programs</w:t>
      </w:r>
      <w:r w:rsidR="001F5E83" w:rsidRPr="00F95CBF">
        <w:rPr>
          <w:rStyle w:val="EndnoteReference"/>
          <w:color w:val="auto"/>
          <w:sz w:val="22"/>
          <w:lang w:val="en-AU"/>
        </w:rPr>
        <w:endnoteReference w:id="29"/>
      </w:r>
      <w:r w:rsidRPr="007D13A1">
        <w:rPr>
          <w:color w:val="auto"/>
          <w:sz w:val="22"/>
          <w:lang w:val="en-AU"/>
        </w:rPr>
        <w:t xml:space="preserve">. </w:t>
      </w:r>
      <w:r w:rsidR="000266E5">
        <w:rPr>
          <w:sz w:val="22"/>
        </w:rPr>
        <w:t>Maintaining accurate poverty data has increased</w:t>
      </w:r>
      <w:r w:rsidRPr="004C67FC">
        <w:rPr>
          <w:sz w:val="22"/>
        </w:rPr>
        <w:t xml:space="preserve"> the probability of targeted households being part of a program by 117 per cent</w:t>
      </w:r>
      <w:r w:rsidR="001F5E83" w:rsidRPr="004C67FC">
        <w:rPr>
          <w:sz w:val="22"/>
        </w:rPr>
        <w:t xml:space="preserve">. Australia </w:t>
      </w:r>
      <w:r w:rsidR="00B8584C">
        <w:rPr>
          <w:sz w:val="22"/>
        </w:rPr>
        <w:t>continued to support a dynamic approach that allows local governments to collect updated poverty data robust enough for inclusion into the Unified Database. In 2018,</w:t>
      </w:r>
      <w:r w:rsidR="001F5E83" w:rsidRPr="004C67FC">
        <w:rPr>
          <w:sz w:val="22"/>
        </w:rPr>
        <w:t xml:space="preserve"> 24 districts/cities </w:t>
      </w:r>
      <w:r w:rsidR="00B8584C">
        <w:rPr>
          <w:sz w:val="22"/>
        </w:rPr>
        <w:t>were using the updating mechanism</w:t>
      </w:r>
      <w:r w:rsidR="00BF622C">
        <w:rPr>
          <w:sz w:val="22"/>
        </w:rPr>
        <w:t xml:space="preserve">, resulting in </w:t>
      </w:r>
      <w:r w:rsidR="001F5E83" w:rsidRPr="004C67FC">
        <w:rPr>
          <w:sz w:val="22"/>
        </w:rPr>
        <w:t xml:space="preserve">358,511 </w:t>
      </w:r>
      <w:r w:rsidR="00B8584C">
        <w:rPr>
          <w:sz w:val="22"/>
        </w:rPr>
        <w:t xml:space="preserve">additional </w:t>
      </w:r>
      <w:r w:rsidR="001F5E83" w:rsidRPr="004C67FC">
        <w:rPr>
          <w:sz w:val="22"/>
        </w:rPr>
        <w:t>households</w:t>
      </w:r>
      <w:r w:rsidR="00B8584C">
        <w:rPr>
          <w:sz w:val="22"/>
        </w:rPr>
        <w:t xml:space="preserve"> </w:t>
      </w:r>
      <w:r w:rsidR="00064EF9">
        <w:rPr>
          <w:sz w:val="22"/>
        </w:rPr>
        <w:t xml:space="preserve">that had been previously </w:t>
      </w:r>
      <w:r w:rsidR="00B8584C">
        <w:rPr>
          <w:sz w:val="22"/>
        </w:rPr>
        <w:t>excluded from national social assistance programs</w:t>
      </w:r>
      <w:r w:rsidR="00BF622C">
        <w:rPr>
          <w:sz w:val="22"/>
        </w:rPr>
        <w:t>. H</w:t>
      </w:r>
      <w:r w:rsidR="001F5E83" w:rsidRPr="004C67FC">
        <w:rPr>
          <w:sz w:val="22"/>
        </w:rPr>
        <w:t xml:space="preserve">owever, </w:t>
      </w:r>
      <w:r w:rsidR="00BF622C">
        <w:rPr>
          <w:sz w:val="22"/>
        </w:rPr>
        <w:t>maintaining the quality of data continues to be a challenge with varying capacities at the local level</w:t>
      </w:r>
      <w:r w:rsidR="00643934">
        <w:rPr>
          <w:sz w:val="22"/>
        </w:rPr>
        <w:t xml:space="preserve">. </w:t>
      </w:r>
      <w:r w:rsidR="00643934" w:rsidRPr="00643934">
        <w:rPr>
          <w:sz w:val="22"/>
        </w:rPr>
        <w:t>Oversight of the Unified Database began transitioning to the Mini</w:t>
      </w:r>
      <w:r w:rsidR="00643934">
        <w:rPr>
          <w:sz w:val="22"/>
        </w:rPr>
        <w:t>stry of Social Affairs in 2018.</w:t>
      </w:r>
    </w:p>
    <w:p w:rsidR="004915E0" w:rsidRDefault="00022BD8" w:rsidP="00643934">
      <w:pPr>
        <w:pStyle w:val="Default"/>
        <w:spacing w:before="120" w:after="120"/>
        <w:rPr>
          <w:rFonts w:asciiTheme="minorHAnsi" w:hAnsiTheme="minorHAnsi" w:cstheme="minorBidi"/>
          <w:color w:val="495965" w:themeColor="text2"/>
          <w:sz w:val="22"/>
          <w:szCs w:val="22"/>
          <w:lang w:val="en-GB"/>
        </w:rPr>
      </w:pPr>
      <w:r w:rsidRPr="004C67FC">
        <w:rPr>
          <w:rFonts w:asciiTheme="minorHAnsi" w:hAnsiTheme="minorHAnsi" w:cstheme="minorBidi"/>
          <w:color w:val="495965" w:themeColor="text2"/>
          <w:sz w:val="22"/>
          <w:szCs w:val="22"/>
          <w:lang w:val="en-GB"/>
        </w:rPr>
        <w:t xml:space="preserve">Australia </w:t>
      </w:r>
      <w:r w:rsidR="00BF622C">
        <w:rPr>
          <w:rFonts w:asciiTheme="minorHAnsi" w:hAnsiTheme="minorHAnsi" w:cstheme="minorBidi"/>
          <w:color w:val="495965" w:themeColor="text2"/>
          <w:sz w:val="22"/>
          <w:szCs w:val="22"/>
          <w:lang w:val="en-GB"/>
        </w:rPr>
        <w:t>supported</w:t>
      </w:r>
      <w:r w:rsidRPr="004C67FC">
        <w:rPr>
          <w:rFonts w:asciiTheme="minorHAnsi" w:hAnsiTheme="minorHAnsi" w:cstheme="minorBidi"/>
          <w:color w:val="495965" w:themeColor="text2"/>
          <w:sz w:val="22"/>
          <w:szCs w:val="22"/>
          <w:lang w:val="en-GB"/>
        </w:rPr>
        <w:t xml:space="preserve"> the </w:t>
      </w:r>
      <w:r w:rsidR="00616AB4" w:rsidRPr="004C67FC">
        <w:rPr>
          <w:rFonts w:asciiTheme="minorHAnsi" w:hAnsiTheme="minorHAnsi" w:cstheme="minorBidi"/>
          <w:color w:val="495965" w:themeColor="text2"/>
          <w:sz w:val="22"/>
          <w:szCs w:val="22"/>
          <w:lang w:val="en-GB"/>
        </w:rPr>
        <w:t xml:space="preserve">Ministry of Social Affairs </w:t>
      </w:r>
      <w:r w:rsidR="00BF622C">
        <w:rPr>
          <w:rFonts w:asciiTheme="minorHAnsi" w:hAnsiTheme="minorHAnsi" w:cstheme="minorBidi"/>
          <w:color w:val="495965" w:themeColor="text2"/>
          <w:sz w:val="22"/>
          <w:szCs w:val="22"/>
          <w:lang w:val="en-GB"/>
        </w:rPr>
        <w:t xml:space="preserve">strengthen its </w:t>
      </w:r>
      <w:r w:rsidRPr="004C67FC">
        <w:rPr>
          <w:rFonts w:asciiTheme="minorHAnsi" w:hAnsiTheme="minorHAnsi" w:cstheme="minorBidi"/>
          <w:color w:val="495965" w:themeColor="text2"/>
          <w:sz w:val="22"/>
          <w:szCs w:val="22"/>
          <w:lang w:val="en-GB"/>
        </w:rPr>
        <w:t>integrated-referral system</w:t>
      </w:r>
      <w:r w:rsidR="00616AB4" w:rsidRPr="004C67FC">
        <w:rPr>
          <w:rFonts w:asciiTheme="minorHAnsi" w:hAnsiTheme="minorHAnsi" w:cstheme="minorBidi"/>
          <w:color w:val="495965" w:themeColor="text2"/>
          <w:sz w:val="22"/>
          <w:szCs w:val="22"/>
          <w:lang w:val="en-GB"/>
        </w:rPr>
        <w:t xml:space="preserve"> (SLRT)</w:t>
      </w:r>
      <w:r w:rsidRPr="004C67FC">
        <w:rPr>
          <w:rFonts w:asciiTheme="minorHAnsi" w:hAnsiTheme="minorHAnsi" w:cstheme="minorBidi"/>
          <w:color w:val="495965" w:themeColor="text2"/>
          <w:sz w:val="22"/>
          <w:szCs w:val="22"/>
          <w:lang w:val="en-GB"/>
        </w:rPr>
        <w:t>, a national level system that help</w:t>
      </w:r>
      <w:r w:rsidR="00BF622C">
        <w:rPr>
          <w:rFonts w:asciiTheme="minorHAnsi" w:hAnsiTheme="minorHAnsi" w:cstheme="minorBidi"/>
          <w:color w:val="495965" w:themeColor="text2"/>
          <w:sz w:val="22"/>
          <w:szCs w:val="22"/>
          <w:lang w:val="en-GB"/>
        </w:rPr>
        <w:t>s</w:t>
      </w:r>
      <w:r w:rsidRPr="004C67FC">
        <w:rPr>
          <w:rFonts w:asciiTheme="minorHAnsi" w:hAnsiTheme="minorHAnsi" w:cstheme="minorBidi"/>
          <w:color w:val="495965" w:themeColor="text2"/>
          <w:sz w:val="22"/>
          <w:szCs w:val="22"/>
          <w:lang w:val="en-GB"/>
        </w:rPr>
        <w:t xml:space="preserve"> </w:t>
      </w:r>
      <w:r w:rsidR="00616AB4" w:rsidRPr="004C67FC">
        <w:rPr>
          <w:rFonts w:asciiTheme="minorHAnsi" w:hAnsiTheme="minorHAnsi" w:cstheme="minorBidi"/>
          <w:color w:val="495965" w:themeColor="text2"/>
          <w:sz w:val="22"/>
          <w:szCs w:val="22"/>
          <w:lang w:val="en-GB"/>
        </w:rPr>
        <w:t>135</w:t>
      </w:r>
      <w:r w:rsidRPr="004C67FC">
        <w:rPr>
          <w:rFonts w:asciiTheme="minorHAnsi" w:hAnsiTheme="minorHAnsi" w:cstheme="minorBidi"/>
          <w:color w:val="495965" w:themeColor="text2"/>
          <w:sz w:val="22"/>
          <w:szCs w:val="22"/>
          <w:lang w:val="en-GB"/>
        </w:rPr>
        <w:t xml:space="preserve"> district governments</w:t>
      </w:r>
      <w:r w:rsidR="004915E0">
        <w:rPr>
          <w:rFonts w:asciiTheme="minorHAnsi" w:hAnsiTheme="minorHAnsi" w:cstheme="minorBidi"/>
          <w:color w:val="495965" w:themeColor="text2"/>
          <w:sz w:val="22"/>
          <w:szCs w:val="22"/>
          <w:lang w:val="en-GB"/>
        </w:rPr>
        <w:t xml:space="preserve"> - </w:t>
      </w:r>
      <w:r w:rsidRPr="004C67FC">
        <w:rPr>
          <w:rFonts w:asciiTheme="minorHAnsi" w:hAnsiTheme="minorHAnsi" w:cstheme="minorBidi"/>
          <w:color w:val="495965" w:themeColor="text2"/>
          <w:sz w:val="22"/>
          <w:szCs w:val="22"/>
          <w:lang w:val="en-GB"/>
        </w:rPr>
        <w:t>including 65 new districts</w:t>
      </w:r>
      <w:r w:rsidR="004915E0">
        <w:rPr>
          <w:rFonts w:asciiTheme="minorHAnsi" w:hAnsiTheme="minorHAnsi" w:cstheme="minorBidi"/>
          <w:color w:val="495965" w:themeColor="text2"/>
          <w:sz w:val="22"/>
          <w:szCs w:val="22"/>
          <w:lang w:val="en-GB"/>
        </w:rPr>
        <w:t xml:space="preserve"> -</w:t>
      </w:r>
      <w:r w:rsidRPr="004C67FC">
        <w:rPr>
          <w:rFonts w:asciiTheme="minorHAnsi" w:hAnsiTheme="minorHAnsi" w:cstheme="minorBidi"/>
          <w:color w:val="495965" w:themeColor="text2"/>
          <w:sz w:val="22"/>
          <w:szCs w:val="22"/>
          <w:lang w:val="en-GB"/>
        </w:rPr>
        <w:t xml:space="preserve"> to connect poor people to local</w:t>
      </w:r>
      <w:r w:rsidR="00F54209">
        <w:rPr>
          <w:rFonts w:asciiTheme="minorHAnsi" w:hAnsiTheme="minorHAnsi" w:cstheme="minorBidi"/>
          <w:color w:val="495965" w:themeColor="text2"/>
          <w:sz w:val="22"/>
          <w:szCs w:val="22"/>
          <w:lang w:val="en-GB"/>
        </w:rPr>
        <w:t xml:space="preserve"> </w:t>
      </w:r>
      <w:r w:rsidRPr="004C67FC">
        <w:rPr>
          <w:rFonts w:asciiTheme="minorHAnsi" w:hAnsiTheme="minorHAnsi" w:cstheme="minorBidi"/>
          <w:color w:val="495965" w:themeColor="text2"/>
          <w:sz w:val="22"/>
          <w:szCs w:val="22"/>
          <w:lang w:val="en-GB"/>
        </w:rPr>
        <w:t xml:space="preserve">level social assistance programs and services such as health insurance and school grants.  In 2018, 111,859 </w:t>
      </w:r>
      <w:r w:rsidR="00845C34">
        <w:rPr>
          <w:rFonts w:asciiTheme="minorHAnsi" w:hAnsiTheme="minorHAnsi" w:cstheme="minorBidi"/>
          <w:color w:val="495965" w:themeColor="text2"/>
          <w:sz w:val="22"/>
          <w:szCs w:val="22"/>
          <w:lang w:val="en-GB"/>
        </w:rPr>
        <w:t xml:space="preserve">people </w:t>
      </w:r>
      <w:r w:rsidRPr="004C67FC">
        <w:rPr>
          <w:rFonts w:asciiTheme="minorHAnsi" w:hAnsiTheme="minorHAnsi" w:cstheme="minorBidi"/>
          <w:color w:val="495965" w:themeColor="text2"/>
          <w:sz w:val="22"/>
          <w:szCs w:val="22"/>
          <w:lang w:val="en-GB"/>
        </w:rPr>
        <w:t xml:space="preserve">(49 per cent women and 51 per cent men) </w:t>
      </w:r>
      <w:r w:rsidR="00FC6C40" w:rsidRPr="004C67FC">
        <w:rPr>
          <w:rFonts w:asciiTheme="minorHAnsi" w:hAnsiTheme="minorHAnsi" w:cstheme="minorBidi"/>
          <w:color w:val="495965" w:themeColor="text2"/>
          <w:sz w:val="22"/>
          <w:szCs w:val="22"/>
          <w:lang w:val="en-GB"/>
        </w:rPr>
        <w:t xml:space="preserve">were connected </w:t>
      </w:r>
      <w:r w:rsidRPr="004C67FC">
        <w:rPr>
          <w:rFonts w:asciiTheme="minorHAnsi" w:hAnsiTheme="minorHAnsi" w:cstheme="minorBidi"/>
          <w:color w:val="495965" w:themeColor="text2"/>
          <w:sz w:val="22"/>
          <w:szCs w:val="22"/>
          <w:lang w:val="en-GB"/>
        </w:rPr>
        <w:t xml:space="preserve">to local assistance programs. </w:t>
      </w:r>
      <w:r w:rsidR="004915E0">
        <w:rPr>
          <w:rFonts w:asciiTheme="minorHAnsi" w:hAnsiTheme="minorHAnsi" w:cstheme="minorBidi"/>
          <w:color w:val="495965" w:themeColor="text2"/>
          <w:sz w:val="22"/>
          <w:szCs w:val="22"/>
          <w:lang w:val="en-GB"/>
        </w:rPr>
        <w:t xml:space="preserve">Australian support helped reach an additional </w:t>
      </w:r>
      <w:r w:rsidRPr="004C67FC">
        <w:rPr>
          <w:rFonts w:asciiTheme="minorHAnsi" w:hAnsiTheme="minorHAnsi" w:cstheme="minorBidi"/>
          <w:color w:val="495965" w:themeColor="text2"/>
          <w:sz w:val="22"/>
          <w:szCs w:val="22"/>
          <w:lang w:val="en-GB"/>
        </w:rPr>
        <w:t>16,359 marginalised men and women</w:t>
      </w:r>
      <w:r w:rsidR="004915E0">
        <w:rPr>
          <w:rStyle w:val="EndnoteReference"/>
          <w:rFonts w:asciiTheme="minorHAnsi" w:hAnsiTheme="minorHAnsi" w:cstheme="minorBidi"/>
          <w:color w:val="495965" w:themeColor="text2"/>
          <w:sz w:val="22"/>
          <w:szCs w:val="22"/>
          <w:lang w:val="en-GB"/>
        </w:rPr>
        <w:endnoteReference w:id="30"/>
      </w:r>
      <w:r w:rsidRPr="004C67FC">
        <w:rPr>
          <w:rFonts w:asciiTheme="minorHAnsi" w:hAnsiTheme="minorHAnsi" w:cstheme="minorBidi"/>
          <w:color w:val="495965" w:themeColor="text2"/>
          <w:sz w:val="22"/>
          <w:szCs w:val="22"/>
          <w:lang w:val="en-GB"/>
        </w:rPr>
        <w:t xml:space="preserve"> </w:t>
      </w:r>
      <w:r w:rsidR="004915E0">
        <w:rPr>
          <w:rFonts w:asciiTheme="minorHAnsi" w:hAnsiTheme="minorHAnsi" w:cstheme="minorBidi"/>
          <w:color w:val="495965" w:themeColor="text2"/>
          <w:sz w:val="22"/>
          <w:szCs w:val="22"/>
          <w:lang w:val="en-GB"/>
        </w:rPr>
        <w:t>across</w:t>
      </w:r>
      <w:r w:rsidRPr="004C67FC">
        <w:rPr>
          <w:rFonts w:asciiTheme="minorHAnsi" w:hAnsiTheme="minorHAnsi" w:cstheme="minorBidi"/>
          <w:color w:val="495965" w:themeColor="text2"/>
          <w:sz w:val="22"/>
          <w:szCs w:val="22"/>
          <w:lang w:val="en-GB"/>
        </w:rPr>
        <w:t xml:space="preserve"> 56 districts acces</w:t>
      </w:r>
      <w:r w:rsidR="004915E0">
        <w:rPr>
          <w:rFonts w:asciiTheme="minorHAnsi" w:hAnsiTheme="minorHAnsi" w:cstheme="minorBidi"/>
          <w:color w:val="495965" w:themeColor="text2"/>
          <w:sz w:val="22"/>
          <w:szCs w:val="22"/>
          <w:lang w:val="en-GB"/>
        </w:rPr>
        <w:t>s</w:t>
      </w:r>
      <w:r w:rsidRPr="004C67FC">
        <w:rPr>
          <w:rFonts w:asciiTheme="minorHAnsi" w:hAnsiTheme="minorHAnsi" w:cstheme="minorBidi"/>
          <w:color w:val="495965" w:themeColor="text2"/>
          <w:sz w:val="22"/>
          <w:szCs w:val="22"/>
          <w:lang w:val="en-GB"/>
        </w:rPr>
        <w:t xml:space="preserve"> social protection programs</w:t>
      </w:r>
      <w:r w:rsidR="004915E0">
        <w:rPr>
          <w:rFonts w:asciiTheme="minorHAnsi" w:hAnsiTheme="minorHAnsi" w:cstheme="minorBidi"/>
          <w:color w:val="495965" w:themeColor="text2"/>
          <w:sz w:val="22"/>
          <w:szCs w:val="22"/>
          <w:lang w:val="en-GB"/>
        </w:rPr>
        <w:t xml:space="preserve"> by working through trusted civil society partners</w:t>
      </w:r>
      <w:r w:rsidR="001F5E83" w:rsidRPr="004C67FC">
        <w:rPr>
          <w:rFonts w:asciiTheme="minorHAnsi" w:hAnsiTheme="minorHAnsi" w:cstheme="minorBidi"/>
          <w:color w:val="495965" w:themeColor="text2"/>
          <w:sz w:val="22"/>
          <w:szCs w:val="22"/>
          <w:lang w:val="en-GB"/>
        </w:rPr>
        <w:t xml:space="preserve">. </w:t>
      </w:r>
    </w:p>
    <w:p w:rsidR="001E4046" w:rsidRPr="004C67FC" w:rsidRDefault="00405C0C" w:rsidP="00A07AEE">
      <w:pPr>
        <w:pStyle w:val="CommentText"/>
        <w:rPr>
          <w:sz w:val="22"/>
          <w:szCs w:val="22"/>
        </w:rPr>
      </w:pPr>
      <w:r>
        <w:rPr>
          <w:sz w:val="22"/>
          <w:szCs w:val="22"/>
        </w:rPr>
        <w:t xml:space="preserve">Australia’s social protection assistance has </w:t>
      </w:r>
      <w:r w:rsidR="00534F83">
        <w:rPr>
          <w:sz w:val="22"/>
          <w:szCs w:val="22"/>
        </w:rPr>
        <w:t>included funding national experts</w:t>
      </w:r>
      <w:r>
        <w:rPr>
          <w:sz w:val="22"/>
          <w:szCs w:val="22"/>
        </w:rPr>
        <w:t xml:space="preserve"> in the </w:t>
      </w:r>
      <w:r w:rsidRPr="008968DE">
        <w:rPr>
          <w:sz w:val="22"/>
          <w:szCs w:val="22"/>
        </w:rPr>
        <w:t>Vice President National Team for Accelerating Poverty Reduction</w:t>
      </w:r>
      <w:r w:rsidR="00534F83">
        <w:rPr>
          <w:sz w:val="22"/>
          <w:szCs w:val="22"/>
        </w:rPr>
        <w:t>.</w:t>
      </w:r>
      <w:r>
        <w:rPr>
          <w:sz w:val="22"/>
          <w:szCs w:val="22"/>
        </w:rPr>
        <w:t xml:space="preserve"> </w:t>
      </w:r>
      <w:r w:rsidR="00643934" w:rsidRPr="00643934">
        <w:rPr>
          <w:sz w:val="22"/>
          <w:szCs w:val="22"/>
        </w:rPr>
        <w:t xml:space="preserve">Australia’s support to this team in undergoing a transition in 2019 following the Indonesian Presidential elections and confirmation of the preferred institutional and leadership arrangements. </w:t>
      </w:r>
      <w:r w:rsidR="00643934">
        <w:rPr>
          <w:sz w:val="22"/>
          <w:szCs w:val="22"/>
        </w:rPr>
        <w:t>We are seeking a more sustainable funding model with the Indonesian government sharing the costs of this expert team going forward.</w:t>
      </w:r>
    </w:p>
    <w:p w:rsidR="00022BD8" w:rsidRPr="00654131" w:rsidRDefault="00022BD8" w:rsidP="00022BD8">
      <w:pPr>
        <w:rPr>
          <w:u w:val="single"/>
        </w:rPr>
      </w:pPr>
      <w:r w:rsidRPr="00654131">
        <w:rPr>
          <w:u w:val="single"/>
        </w:rPr>
        <w:t>Outcome 5:  More households can access water and sanitation</w:t>
      </w:r>
    </w:p>
    <w:p w:rsidR="00022BD8" w:rsidRDefault="00022BD8" w:rsidP="00022BD8">
      <w:pPr>
        <w:rPr>
          <w:b/>
        </w:rPr>
      </w:pPr>
      <w:r>
        <w:rPr>
          <w:b/>
        </w:rPr>
        <w:t>Outcome 5 has been rated green to reflect the significant progress made to connect more people to clean water and sanitation, particularly for people with disabilities living in rural areas</w:t>
      </w:r>
      <w:r w:rsidR="004A25E2">
        <w:rPr>
          <w:b/>
        </w:rPr>
        <w:t>.</w:t>
      </w:r>
    </w:p>
    <w:p w:rsidR="00022BD8" w:rsidRPr="004C67FC" w:rsidRDefault="00E544CB" w:rsidP="00022BD8">
      <w:r>
        <w:rPr>
          <w:noProof/>
          <w:lang w:val="en-AU" w:eastAsia="en-AU"/>
        </w:rPr>
        <w:drawing>
          <wp:anchor distT="0" distB="0" distL="114300" distR="114300" simplePos="0" relativeHeight="251756544" behindDoc="0" locked="0" layoutInCell="1" allowOverlap="1">
            <wp:simplePos x="0" y="0"/>
            <wp:positionH relativeFrom="margin">
              <wp:align>left</wp:align>
            </wp:positionH>
            <wp:positionV relativeFrom="paragraph">
              <wp:posOffset>901412</wp:posOffset>
            </wp:positionV>
            <wp:extent cx="3403302" cy="1915064"/>
            <wp:effectExtent l="0" t="0" r="6985" b="9525"/>
            <wp:wrapSquare wrapText="bothSides"/>
            <wp:docPr id="12" name="Picture 12" descr="Disability friendly water-point in Sambueja village in South Sulawesi." title="Water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3302" cy="1915064"/>
                    </a:xfrm>
                    <a:prstGeom prst="rect">
                      <a:avLst/>
                    </a:prstGeom>
                    <a:noFill/>
                    <a:ln>
                      <a:noFill/>
                    </a:ln>
                  </pic:spPr>
                </pic:pic>
              </a:graphicData>
            </a:graphic>
          </wp:anchor>
        </w:drawing>
      </w:r>
      <w:r w:rsidR="00022BD8" w:rsidRPr="004C67FC">
        <w:t>Access to clean water and hygienic sanitation is fundamental to the health and economic resilience of communities. Over 72 per cent of Indonesians have access to water, and over 67 per cent have sanitation services, but this leaves approximately 73 million people living without clean water and 84 million without access to functioning sanitation</w:t>
      </w:r>
      <w:r w:rsidR="002E370E">
        <w:t>.</w:t>
      </w:r>
      <w:r w:rsidR="00022BD8">
        <w:rPr>
          <w:rStyle w:val="EndnoteReference"/>
        </w:rPr>
        <w:endnoteReference w:id="31"/>
      </w:r>
      <w:r w:rsidR="00022BD8">
        <w:t xml:space="preserve"> </w:t>
      </w:r>
      <w:r w:rsidR="00022BD8" w:rsidRPr="004C67FC">
        <w:t>People without water and sanitation services, particularly children, are highly vulnerable to diseases like cholera, dysentery, hepatitis, and typhoid. Approximately 12.3 per cent of children under five suffer from chronic diarrhoea, the leading causes of stunting and child mortality in the country</w:t>
      </w:r>
      <w:r w:rsidR="002E370E">
        <w:t>.</w:t>
      </w:r>
      <w:r w:rsidR="00022BD8">
        <w:rPr>
          <w:rStyle w:val="EndnoteReference"/>
        </w:rPr>
        <w:endnoteReference w:id="32"/>
      </w:r>
      <w:r w:rsidR="00022BD8">
        <w:t xml:space="preserve">  </w:t>
      </w:r>
      <w:r w:rsidR="00022BD8" w:rsidRPr="004C67FC">
        <w:t xml:space="preserve">Young children who experience recurring diarrhoea are prone to malnutrition </w:t>
      </w:r>
      <w:r w:rsidR="00ED076C" w:rsidRPr="004C67FC">
        <w:t>and</w:t>
      </w:r>
      <w:r w:rsidR="00022BD8" w:rsidRPr="004C67FC">
        <w:t xml:space="preserve"> stunting that causes lifelong heath issues.  </w:t>
      </w:r>
    </w:p>
    <w:p w:rsidR="00097C8A" w:rsidRDefault="00E544CB" w:rsidP="00022BD8">
      <w:r>
        <w:rPr>
          <w:noProof/>
          <w:lang w:val="en-AU" w:eastAsia="en-AU"/>
        </w:rPr>
        <mc:AlternateContent>
          <mc:Choice Requires="wps">
            <w:drawing>
              <wp:anchor distT="0" distB="0" distL="114300" distR="114300" simplePos="0" relativeHeight="251758592" behindDoc="0" locked="0" layoutInCell="1" allowOverlap="1" wp14:anchorId="24044F7D" wp14:editId="546A3105">
                <wp:simplePos x="0" y="0"/>
                <wp:positionH relativeFrom="margin">
                  <wp:align>left</wp:align>
                </wp:positionH>
                <wp:positionV relativeFrom="paragraph">
                  <wp:posOffset>704795</wp:posOffset>
                </wp:positionV>
                <wp:extent cx="3402965" cy="638355"/>
                <wp:effectExtent l="0" t="0" r="6985" b="9525"/>
                <wp:wrapSquare wrapText="bothSides"/>
                <wp:docPr id="13" name="Text Box 13"/>
                <wp:cNvGraphicFramePr/>
                <a:graphic xmlns:a="http://schemas.openxmlformats.org/drawingml/2006/main">
                  <a:graphicData uri="http://schemas.microsoft.com/office/word/2010/wordprocessingShape">
                    <wps:wsp>
                      <wps:cNvSpPr txBox="1"/>
                      <wps:spPr>
                        <a:xfrm>
                          <a:off x="0" y="0"/>
                          <a:ext cx="3402965" cy="638355"/>
                        </a:xfrm>
                        <a:prstGeom prst="rect">
                          <a:avLst/>
                        </a:prstGeom>
                        <a:noFill/>
                        <a:ln>
                          <a:noFill/>
                        </a:ln>
                      </wps:spPr>
                      <wps:txbx>
                        <w:txbxContent>
                          <w:p w:rsidR="0049045F" w:rsidRPr="00E544CB" w:rsidRDefault="0049045F" w:rsidP="00E544CB">
                            <w:pPr>
                              <w:pStyle w:val="Caption"/>
                              <w:rPr>
                                <w:b w:val="0"/>
                                <w:noProof/>
                                <w:color w:val="495965" w:themeColor="text2"/>
                                <w:sz w:val="16"/>
                                <w:szCs w:val="16"/>
                              </w:rPr>
                            </w:pPr>
                            <w:r w:rsidRPr="00E544CB">
                              <w:rPr>
                                <w:b w:val="0"/>
                                <w:iCs w:val="0"/>
                                <w:sz w:val="16"/>
                                <w:szCs w:val="16"/>
                              </w:rPr>
                              <w:t xml:space="preserve">Disability friendly water-point in </w:t>
                            </w:r>
                            <w:r>
                              <w:rPr>
                                <w:b w:val="0"/>
                                <w:iCs w:val="0"/>
                                <w:sz w:val="16"/>
                                <w:szCs w:val="16"/>
                              </w:rPr>
                              <w:t xml:space="preserve">Sambueja village, in </w:t>
                            </w:r>
                            <w:r w:rsidRPr="00E544CB">
                              <w:rPr>
                                <w:b w:val="0"/>
                                <w:iCs w:val="0"/>
                                <w:sz w:val="16"/>
                                <w:szCs w:val="16"/>
                              </w:rPr>
                              <w:t>Maros</w:t>
                            </w:r>
                            <w:r>
                              <w:rPr>
                                <w:b w:val="0"/>
                                <w:iCs w:val="0"/>
                                <w:sz w:val="16"/>
                                <w:szCs w:val="16"/>
                              </w:rPr>
                              <w:t>, South Sulawesi</w:t>
                            </w:r>
                            <w:r w:rsidRPr="00E544CB">
                              <w:rPr>
                                <w:b w:val="0"/>
                                <w:sz w:val="16"/>
                                <w:szCs w:val="16"/>
                              </w:rPr>
                              <w:t xml:space="preserve">. </w:t>
                            </w:r>
                            <w:r w:rsidRPr="00E544CB">
                              <w:rPr>
                                <w:b w:val="0"/>
                                <w:iCs w:val="0"/>
                                <w:sz w:val="16"/>
                                <w:szCs w:val="16"/>
                              </w:rPr>
                              <w:t xml:space="preserve">In 2017 – 2018 with Australian funding, PAMSIMAS piloted disability inclusive approaches </w:t>
                            </w:r>
                            <w:r>
                              <w:rPr>
                                <w:b w:val="0"/>
                                <w:iCs w:val="0"/>
                                <w:sz w:val="16"/>
                                <w:szCs w:val="16"/>
                              </w:rPr>
                              <w:t>in</w:t>
                            </w:r>
                            <w:r w:rsidRPr="00E544CB">
                              <w:rPr>
                                <w:b w:val="0"/>
                                <w:iCs w:val="0"/>
                                <w:sz w:val="16"/>
                                <w:szCs w:val="16"/>
                              </w:rPr>
                              <w:t xml:space="preserve"> 200 villages </w:t>
                            </w:r>
                            <w:r>
                              <w:rPr>
                                <w:b w:val="0"/>
                                <w:iCs w:val="0"/>
                                <w:sz w:val="16"/>
                                <w:szCs w:val="16"/>
                              </w:rPr>
                              <w:t>across</w:t>
                            </w:r>
                            <w:r w:rsidRPr="00E544CB">
                              <w:rPr>
                                <w:b w:val="0"/>
                                <w:iCs w:val="0"/>
                                <w:sz w:val="16"/>
                                <w:szCs w:val="16"/>
                              </w:rPr>
                              <w:t xml:space="preserve"> several districts.</w:t>
                            </w:r>
                            <w:r>
                              <w:rPr>
                                <w:b w:val="0"/>
                                <w:iCs w:val="0"/>
                                <w:sz w:val="16"/>
                                <w:szCs w:val="16"/>
                              </w:rPr>
                              <w:t xml:space="preserve">  Photo: DFAT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44F7D" id="Text Box 13" o:spid="_x0000_s1029" type="#_x0000_t202" style="position:absolute;margin-left:0;margin-top:55.5pt;width:267.95pt;height:50.25pt;z-index:251758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3AHgIAAEEEAAAOAAAAZHJzL2Uyb0RvYy54bWysU01v2zAMvQ/YfxB0X5yPJeiMOEXWIsOA&#10;oi2QDD0rshQbsESNUmJnv36UHKdbt9Owi0yT1KP4+Li87UzDTgp9Dbbgk9GYM2UllLU9FPzbbvPh&#10;hjMfhC1FA1YV/Kw8v129f7dsXa6mUEFTKmQEYn3euoJXIbg8y7yslBF+BE5ZCmpAIwL94iErUbSE&#10;bppsOh4vshawdAhSeU/e+z7IVwlfayXDk9ZeBdYUnN4W0onp3MczWy1FfkDhqlpeniH+4RVG1JaK&#10;XqHuRRDsiPUfUKaWCB50GEkwGWhdS5V6oG4m4zfdbCvhVOqFyPHuSpP/f7Dy8fSMrC5pdjPOrDA0&#10;o53qAvsMHSMX8dM6n1Pa1lFi6MhPuYPfkzO23Wk08UsNMYoT0+cruxFNknP2cTz9tJhzJim2mN3M&#10;5vMIk73edujDFwWGRaPgSNNLpIrTgw996pASi1nY1E2TJtjY3xyEGT1ZfHr/xGiFbt+lVq9t7aE8&#10;U1cIvS68k5uaSj8IH54FkhCoERJ3eKJDN9AWHC4WZxXgj7/5Yz7Nh6KctSSsgvvvR4GKs+arpclF&#10;FQ4GDsZ+MOzR3AFpdUJr42Qy6QKGZjA1gnkhza9jFQoJK6lWwcNg3oVe3rQzUq3XKYm05kR4sFsn&#10;I3TkKhK5614Eugvbgeb0CIPkRP6G9D63Z3l9DKDrNJHIa8/ihW7SaZrpZafiIvz6n7JeN3/1EwAA&#10;//8DAFBLAwQUAAYACAAAACEABZJL4d4AAAAIAQAADwAAAGRycy9kb3ducmV2LnhtbEyPQU/DMAyF&#10;70j8h8hI3FjaoU6sNJ0mBCcktK4cOKaN10ZrnNJkW/n3Mye42X5Pz98rNrMbxBmnYD0pSBcJCKTW&#10;G0udgs/67eEJRIiajB48oYIfDLApb28KnRt/oQrP+9gJDqGQawV9jGMuZWh7dDos/IjE2sFPTkde&#10;p06aSV843A1ymSQr6bQl/tDrEV96bI/7k1Ow/aLq1X5/NLvqUNm6Xif0vjoqdX83b59BRJzjnxl+&#10;8RkdSmZq/IlMEIMCLhL5mqY8sJw9ZmsQjYJlmmYgy0L+L1BeAQAA//8DAFBLAQItABQABgAIAAAA&#10;IQC2gziS/gAAAOEBAAATAAAAAAAAAAAAAAAAAAAAAABbQ29udGVudF9UeXBlc10ueG1sUEsBAi0A&#10;FAAGAAgAAAAhADj9If/WAAAAlAEAAAsAAAAAAAAAAAAAAAAALwEAAF9yZWxzLy5yZWxzUEsBAi0A&#10;FAAGAAgAAAAhAFvQ/cAeAgAAQQQAAA4AAAAAAAAAAAAAAAAALgIAAGRycy9lMm9Eb2MueG1sUEsB&#10;Ai0AFAAGAAgAAAAhAAWSS+HeAAAACAEAAA8AAAAAAAAAAAAAAAAAeAQAAGRycy9kb3ducmV2Lnht&#10;bFBLBQYAAAAABAAEAPMAAACDBQAAAAA=&#10;" filled="f" stroked="f">
                <v:textbox inset="0,0,0,0">
                  <w:txbxContent>
                    <w:p w:rsidR="0049045F" w:rsidRPr="00E544CB" w:rsidRDefault="0049045F" w:rsidP="00E544CB">
                      <w:pPr>
                        <w:pStyle w:val="Caption"/>
                        <w:rPr>
                          <w:b w:val="0"/>
                          <w:noProof/>
                          <w:color w:val="495965" w:themeColor="text2"/>
                          <w:sz w:val="16"/>
                          <w:szCs w:val="16"/>
                        </w:rPr>
                      </w:pPr>
                      <w:r w:rsidRPr="00E544CB">
                        <w:rPr>
                          <w:b w:val="0"/>
                          <w:iCs w:val="0"/>
                          <w:sz w:val="16"/>
                          <w:szCs w:val="16"/>
                        </w:rPr>
                        <w:t xml:space="preserve">Disability friendly water-point in </w:t>
                      </w:r>
                      <w:proofErr w:type="spellStart"/>
                      <w:r>
                        <w:rPr>
                          <w:b w:val="0"/>
                          <w:iCs w:val="0"/>
                          <w:sz w:val="16"/>
                          <w:szCs w:val="16"/>
                        </w:rPr>
                        <w:t>Sambueja</w:t>
                      </w:r>
                      <w:proofErr w:type="spellEnd"/>
                      <w:r>
                        <w:rPr>
                          <w:b w:val="0"/>
                          <w:iCs w:val="0"/>
                          <w:sz w:val="16"/>
                          <w:szCs w:val="16"/>
                        </w:rPr>
                        <w:t xml:space="preserve"> village, in </w:t>
                      </w:r>
                      <w:proofErr w:type="spellStart"/>
                      <w:r w:rsidRPr="00E544CB">
                        <w:rPr>
                          <w:b w:val="0"/>
                          <w:iCs w:val="0"/>
                          <w:sz w:val="16"/>
                          <w:szCs w:val="16"/>
                        </w:rPr>
                        <w:t>Maros</w:t>
                      </w:r>
                      <w:proofErr w:type="spellEnd"/>
                      <w:r>
                        <w:rPr>
                          <w:b w:val="0"/>
                          <w:iCs w:val="0"/>
                          <w:sz w:val="16"/>
                          <w:szCs w:val="16"/>
                        </w:rPr>
                        <w:t>, South Sulawesi</w:t>
                      </w:r>
                      <w:r w:rsidRPr="00E544CB">
                        <w:rPr>
                          <w:b w:val="0"/>
                          <w:sz w:val="16"/>
                          <w:szCs w:val="16"/>
                        </w:rPr>
                        <w:t xml:space="preserve">. </w:t>
                      </w:r>
                      <w:r w:rsidRPr="00E544CB">
                        <w:rPr>
                          <w:b w:val="0"/>
                          <w:iCs w:val="0"/>
                          <w:sz w:val="16"/>
                          <w:szCs w:val="16"/>
                        </w:rPr>
                        <w:t xml:space="preserve">In 2017 – 2018 with Australian funding, PAMSIMAS piloted disability inclusive approaches </w:t>
                      </w:r>
                      <w:r>
                        <w:rPr>
                          <w:b w:val="0"/>
                          <w:iCs w:val="0"/>
                          <w:sz w:val="16"/>
                          <w:szCs w:val="16"/>
                        </w:rPr>
                        <w:t>in</w:t>
                      </w:r>
                      <w:r w:rsidRPr="00E544CB">
                        <w:rPr>
                          <w:b w:val="0"/>
                          <w:iCs w:val="0"/>
                          <w:sz w:val="16"/>
                          <w:szCs w:val="16"/>
                        </w:rPr>
                        <w:t xml:space="preserve"> 200 villages </w:t>
                      </w:r>
                      <w:r>
                        <w:rPr>
                          <w:b w:val="0"/>
                          <w:iCs w:val="0"/>
                          <w:sz w:val="16"/>
                          <w:szCs w:val="16"/>
                        </w:rPr>
                        <w:t>across</w:t>
                      </w:r>
                      <w:r w:rsidRPr="00E544CB">
                        <w:rPr>
                          <w:b w:val="0"/>
                          <w:iCs w:val="0"/>
                          <w:sz w:val="16"/>
                          <w:szCs w:val="16"/>
                        </w:rPr>
                        <w:t xml:space="preserve"> several districts.</w:t>
                      </w:r>
                      <w:r>
                        <w:rPr>
                          <w:b w:val="0"/>
                          <w:iCs w:val="0"/>
                          <w:sz w:val="16"/>
                          <w:szCs w:val="16"/>
                        </w:rPr>
                        <w:t xml:space="preserve">  Photo: DFAT</w:t>
                      </w:r>
                    </w:p>
                  </w:txbxContent>
                </v:textbox>
                <w10:wrap type="square" anchorx="margin"/>
              </v:shape>
            </w:pict>
          </mc:Fallback>
        </mc:AlternateContent>
      </w:r>
      <w:r w:rsidR="00022BD8">
        <w:t xml:space="preserve">Australia </w:t>
      </w:r>
      <w:r w:rsidR="009671AC">
        <w:t xml:space="preserve">has </w:t>
      </w:r>
      <w:r w:rsidR="00022BD8">
        <w:t>partner</w:t>
      </w:r>
      <w:r w:rsidR="009671AC">
        <w:t>ed</w:t>
      </w:r>
      <w:r w:rsidR="00022BD8">
        <w:t xml:space="preserve"> with the World Bank</w:t>
      </w:r>
      <w:r w:rsidR="009671AC">
        <w:t xml:space="preserve"> since 2008</w:t>
      </w:r>
      <w:r w:rsidR="00022BD8">
        <w:t xml:space="preserve"> to</w:t>
      </w:r>
      <w:r w:rsidR="00ED076C">
        <w:t xml:space="preserve"> help</w:t>
      </w:r>
      <w:r w:rsidR="00022BD8">
        <w:t xml:space="preserve"> </w:t>
      </w:r>
      <w:r w:rsidR="00ED076C">
        <w:t>the</w:t>
      </w:r>
      <w:r w:rsidR="00022BD8" w:rsidRPr="003A0A69">
        <w:t xml:space="preserve"> </w:t>
      </w:r>
      <w:r w:rsidR="00022BD8">
        <w:t xml:space="preserve">Indonesian government </w:t>
      </w:r>
      <w:r w:rsidR="00ED076C">
        <w:t xml:space="preserve">deliver </w:t>
      </w:r>
      <w:r w:rsidR="009671AC">
        <w:t xml:space="preserve">its </w:t>
      </w:r>
      <w:r w:rsidR="00ED076C">
        <w:t xml:space="preserve">national </w:t>
      </w:r>
      <w:r w:rsidR="00022BD8" w:rsidRPr="003A0A69">
        <w:t>rural water and sanitation</w:t>
      </w:r>
      <w:r w:rsidR="00ED076C" w:rsidRPr="00ED076C">
        <w:t xml:space="preserve"> </w:t>
      </w:r>
      <w:r w:rsidR="00ED076C" w:rsidRPr="003A0A69">
        <w:t>program</w:t>
      </w:r>
      <w:r w:rsidR="0004364B">
        <w:t xml:space="preserve">, with a focus on reaching under-served rural, peri-urban and </w:t>
      </w:r>
      <w:r w:rsidR="00BE1F1C">
        <w:t>informal settlement</w:t>
      </w:r>
      <w:r w:rsidR="0004364B">
        <w:t xml:space="preserve"> populations</w:t>
      </w:r>
      <w:r w:rsidR="00ED076C">
        <w:t>.</w:t>
      </w:r>
      <w:r w:rsidR="009671AC">
        <w:rPr>
          <w:rStyle w:val="EndnoteReference"/>
        </w:rPr>
        <w:endnoteReference w:id="33"/>
      </w:r>
      <w:r w:rsidR="00ED076C">
        <w:t xml:space="preserve"> </w:t>
      </w:r>
      <w:r w:rsidR="0004364B">
        <w:t>Australia’s contribution has helped increase the level of disability-inclusion in water and sanitation</w:t>
      </w:r>
      <w:r w:rsidR="00D25D4F">
        <w:t xml:space="preserve"> infrastructure</w:t>
      </w:r>
      <w:r w:rsidR="0004364B">
        <w:t xml:space="preserve">. In 2018, our </w:t>
      </w:r>
      <w:r w:rsidR="00022BD8">
        <w:t xml:space="preserve">technical assistance </w:t>
      </w:r>
      <w:r w:rsidR="00D25D4F">
        <w:t>supported the installation of</w:t>
      </w:r>
      <w:r w:rsidR="00022BD8">
        <w:t xml:space="preserve"> </w:t>
      </w:r>
      <w:r w:rsidR="0004364B">
        <w:t xml:space="preserve">accessible </w:t>
      </w:r>
      <w:r w:rsidR="0004364B" w:rsidRPr="00725DE8">
        <w:t>public water taps</w:t>
      </w:r>
      <w:r w:rsidR="00D25D4F">
        <w:t xml:space="preserve"> in </w:t>
      </w:r>
      <w:r w:rsidR="00022BD8" w:rsidRPr="00725DE8">
        <w:t>1,949 villages and sanitation facilities in 1,100 schools</w:t>
      </w:r>
      <w:r w:rsidR="00D25D4F">
        <w:t>, providing</w:t>
      </w:r>
      <w:r w:rsidR="00022BD8" w:rsidRPr="00725DE8">
        <w:t xml:space="preserve"> </w:t>
      </w:r>
      <w:r w:rsidR="00D25D4F">
        <w:t>access to water and sanitation for more than</w:t>
      </w:r>
      <w:r w:rsidR="00022BD8" w:rsidRPr="00725DE8">
        <w:t xml:space="preserve"> 12,5</w:t>
      </w:r>
      <w:r w:rsidR="00D25D4F">
        <w:t>00</w:t>
      </w:r>
      <w:r w:rsidR="00022BD8" w:rsidRPr="00725DE8">
        <w:t xml:space="preserve"> people with disability</w:t>
      </w:r>
      <w:r w:rsidR="00D25D4F">
        <w:t>.</w:t>
      </w:r>
      <w:r w:rsidR="00022BD8">
        <w:t xml:space="preserve"> </w:t>
      </w:r>
    </w:p>
    <w:p w:rsidR="00022BD8" w:rsidRDefault="001E5970" w:rsidP="00022BD8">
      <w:r>
        <w:t>Disability-</w:t>
      </w:r>
      <w:r w:rsidR="00022BD8">
        <w:t>friendly features included sloping floors for easier mobility, bright hand rails for safety and visi</w:t>
      </w:r>
      <w:r w:rsidR="00D25D4F">
        <w:t xml:space="preserve">bility for </w:t>
      </w:r>
      <w:r w:rsidR="00022BD8">
        <w:t xml:space="preserve">elderly and visually impaired users, and public </w:t>
      </w:r>
      <w:r w:rsidR="00196C69">
        <w:t>taps</w:t>
      </w:r>
      <w:r w:rsidR="00022BD8">
        <w:t xml:space="preserve"> that can be </w:t>
      </w:r>
      <w:r w:rsidR="00196C69">
        <w:t xml:space="preserve">more </w:t>
      </w:r>
      <w:r w:rsidR="00022BD8">
        <w:t>easily turned on and off</w:t>
      </w:r>
      <w:r w:rsidR="00196C69">
        <w:t xml:space="preserve"> by all</w:t>
      </w:r>
      <w:r w:rsidR="00022BD8">
        <w:t xml:space="preserve">. Australia’s disability inclusive support model </w:t>
      </w:r>
      <w:r w:rsidR="00D25D4F">
        <w:t>has been</w:t>
      </w:r>
      <w:r w:rsidR="00022BD8">
        <w:t xml:space="preserve"> adopted by the Indonesian government and made </w:t>
      </w:r>
      <w:r>
        <w:t xml:space="preserve">mandatory for all future public </w:t>
      </w:r>
      <w:r w:rsidR="00022BD8">
        <w:t>funded infrastructure programs. This includes training local facilitators in disability inclusive infrastructure to ensure all water and sanitation services continue to implement disability</w:t>
      </w:r>
      <w:r w:rsidR="00D25D4F">
        <w:t>-inclusive</w:t>
      </w:r>
      <w:r w:rsidR="00022BD8">
        <w:t xml:space="preserve"> infrastructure.  </w:t>
      </w:r>
    </w:p>
    <w:p w:rsidR="001258F7" w:rsidRDefault="00EF313B" w:rsidP="00022BD8">
      <w:r>
        <w:t xml:space="preserve">Over the last 12 months, Australia’s </w:t>
      </w:r>
      <w:r w:rsidR="00A94F97">
        <w:t>support</w:t>
      </w:r>
      <w:r>
        <w:t xml:space="preserve"> to the national </w:t>
      </w:r>
      <w:r w:rsidR="00ED076C">
        <w:t xml:space="preserve">rural and water sanitation program has </w:t>
      </w:r>
      <w:r w:rsidR="00A94F97">
        <w:t>contributed to</w:t>
      </w:r>
      <w:r>
        <w:t xml:space="preserve"> </w:t>
      </w:r>
      <w:r w:rsidR="00A94F97" w:rsidRPr="009D2258">
        <w:t>5.7 million people</w:t>
      </w:r>
      <w:r w:rsidR="00A94F97">
        <w:t xml:space="preserve"> </w:t>
      </w:r>
      <w:r w:rsidR="00196C69" w:rsidRPr="009D2258">
        <w:t>access</w:t>
      </w:r>
      <w:r w:rsidR="00A94F97">
        <w:t>ing</w:t>
      </w:r>
      <w:r w:rsidR="00196C69" w:rsidRPr="009D2258">
        <w:t xml:space="preserve"> improved wate</w:t>
      </w:r>
      <w:r w:rsidR="00A94F97">
        <w:t xml:space="preserve">r </w:t>
      </w:r>
      <w:r w:rsidR="00196C69">
        <w:t xml:space="preserve">and </w:t>
      </w:r>
      <w:r w:rsidR="00A94F97" w:rsidRPr="009D2258">
        <w:t xml:space="preserve">4.7 million people </w:t>
      </w:r>
      <w:r w:rsidR="00A94F97">
        <w:t>with</w:t>
      </w:r>
      <w:r w:rsidR="00196C69" w:rsidRPr="009D2258">
        <w:t xml:space="preserve"> improved sanitation</w:t>
      </w:r>
      <w:r w:rsidR="00834289">
        <w:t>.</w:t>
      </w:r>
      <w:r w:rsidR="00196C69">
        <w:t xml:space="preserve"> Since 2016, </w:t>
      </w:r>
      <w:r w:rsidR="00196C69" w:rsidRPr="00A012DB">
        <w:t>Austra</w:t>
      </w:r>
      <w:r w:rsidR="00196C69">
        <w:t xml:space="preserve">lian-funding has connected </w:t>
      </w:r>
      <w:r w:rsidR="00196C69" w:rsidRPr="00A012DB">
        <w:t xml:space="preserve">more than 2,251 villages and </w:t>
      </w:r>
      <w:r w:rsidR="00196C69">
        <w:t>provided access to</w:t>
      </w:r>
      <w:r w:rsidR="00196C69" w:rsidRPr="00A012DB">
        <w:t xml:space="preserve"> improved water facilities </w:t>
      </w:r>
      <w:r w:rsidR="00196C69">
        <w:t xml:space="preserve">for </w:t>
      </w:r>
      <w:r w:rsidR="00196C69" w:rsidRPr="00A012DB">
        <w:t>more than 1.96 million people</w:t>
      </w:r>
      <w:r w:rsidR="00196C69">
        <w:t>,</w:t>
      </w:r>
      <w:r w:rsidR="00196C69" w:rsidRPr="00A012DB">
        <w:t xml:space="preserve"> and </w:t>
      </w:r>
      <w:r w:rsidR="00196C69">
        <w:t xml:space="preserve">improved </w:t>
      </w:r>
      <w:r w:rsidR="00196C69" w:rsidRPr="00A012DB">
        <w:t>sanitation facilities</w:t>
      </w:r>
      <w:r w:rsidR="00196C69">
        <w:t xml:space="preserve"> for approximately</w:t>
      </w:r>
      <w:r w:rsidR="00196C69" w:rsidRPr="00A012DB">
        <w:t xml:space="preserve"> 1.5 million. </w:t>
      </w:r>
      <w:r w:rsidR="00196C69">
        <w:t xml:space="preserve">These results have also helped to transform the safety, quality of life and behaviour of communities, particularly for women, children and the elderly.  </w:t>
      </w:r>
    </w:p>
    <w:p w:rsidR="00022BD8" w:rsidRDefault="00196C69" w:rsidP="00022BD8">
      <w:r>
        <w:t>In a</w:t>
      </w:r>
      <w:r w:rsidR="00B01A0B">
        <w:t>n internal</w:t>
      </w:r>
      <w:r>
        <w:t xml:space="preserve"> World Bank </w:t>
      </w:r>
      <w:r w:rsidR="00ED076C">
        <w:t>study</w:t>
      </w:r>
      <w:r w:rsidR="00B01A0B">
        <w:t xml:space="preserve"> in </w:t>
      </w:r>
      <w:r w:rsidR="00EF313B">
        <w:t xml:space="preserve">early </w:t>
      </w:r>
      <w:r w:rsidR="00B01A0B">
        <w:t>2019</w:t>
      </w:r>
      <w:r>
        <w:rPr>
          <w:rStyle w:val="EndnoteReference"/>
        </w:rPr>
        <w:endnoteReference w:id="34"/>
      </w:r>
      <w:r w:rsidR="00ED076C">
        <w:t xml:space="preserve">, </w:t>
      </w:r>
      <w:r>
        <w:t>w</w:t>
      </w:r>
      <w:r w:rsidRPr="00C54D50">
        <w:t>omen reported having more opportunities to do additional work such as running small shops, making and selling snacks, making crafts to supply larger business</w:t>
      </w:r>
      <w:r>
        <w:t>es</w:t>
      </w:r>
      <w:r w:rsidRPr="00C54D50">
        <w:t xml:space="preserve"> as a result of </w:t>
      </w:r>
      <w:r w:rsidR="004A25E2">
        <w:t>better</w:t>
      </w:r>
      <w:r w:rsidRPr="00C54D50">
        <w:t xml:space="preserve"> connections</w:t>
      </w:r>
      <w:r>
        <w:t xml:space="preserve"> and water continuity</w:t>
      </w:r>
      <w:r w:rsidRPr="001C5240">
        <w:t xml:space="preserve">. </w:t>
      </w:r>
      <w:r w:rsidR="000F3478">
        <w:t xml:space="preserve">The </w:t>
      </w:r>
      <w:r>
        <w:t>study and Australian monitoring confirms women’s voices are included</w:t>
      </w:r>
      <w:r w:rsidR="00A94F97">
        <w:t xml:space="preserve"> in </w:t>
      </w:r>
      <w:r>
        <w:t>decision-making</w:t>
      </w:r>
      <w:r w:rsidR="000F3478">
        <w:t>, with 35 per cent of women represented on local water committees. While encouraging, this is an area for improvement given women are the primary collectors of water, making them essential to ensuring services meet community needs</w:t>
      </w:r>
      <w:r w:rsidR="00B01A0B">
        <w:t xml:space="preserve">. </w:t>
      </w:r>
      <w:r w:rsidRPr="00AF377C">
        <w:t xml:space="preserve">Provision of </w:t>
      </w:r>
      <w:r>
        <w:t xml:space="preserve">clean </w:t>
      </w:r>
      <w:r w:rsidRPr="00AF377C">
        <w:t xml:space="preserve">water has significantly changed </w:t>
      </w:r>
      <w:r>
        <w:t>everyday practices and</w:t>
      </w:r>
      <w:r w:rsidRPr="00AF377C">
        <w:t xml:space="preserve"> behaviour</w:t>
      </w:r>
      <w:r w:rsidR="002773F2">
        <w:t>.</w:t>
      </w:r>
      <w:r w:rsidR="00B01A0B">
        <w:t xml:space="preserve"> </w:t>
      </w:r>
      <w:r w:rsidR="004A25E2">
        <w:t>Eighty</w:t>
      </w:r>
      <w:r>
        <w:t xml:space="preserve"> per cent of </w:t>
      </w:r>
      <w:r w:rsidR="002773F2">
        <w:t xml:space="preserve">surveyed </w:t>
      </w:r>
      <w:r>
        <w:t>households r</w:t>
      </w:r>
      <w:r w:rsidRPr="00AF377C">
        <w:t>egular</w:t>
      </w:r>
      <w:r>
        <w:t>ly practiced</w:t>
      </w:r>
      <w:r w:rsidRPr="00AF377C">
        <w:t xml:space="preserve"> hand washing </w:t>
      </w:r>
      <w:r>
        <w:t xml:space="preserve">with soap before cooking, eating and after bathroom use. </w:t>
      </w:r>
    </w:p>
    <w:p w:rsidR="00022BD8" w:rsidRDefault="00196C69" w:rsidP="00022BD8">
      <w:r>
        <w:t>Australia has long supported Indonesia to increase local government</w:t>
      </w:r>
      <w:r w:rsidRPr="00253442">
        <w:t xml:space="preserve"> investment in wa</w:t>
      </w:r>
      <w:r>
        <w:t>ter and sanitation utilities</w:t>
      </w:r>
      <w:r w:rsidR="006C4AB0">
        <w:t xml:space="preserve"> for urban households</w:t>
      </w:r>
      <w:r w:rsidR="0069543A">
        <w:rPr>
          <w:rStyle w:val="EndnoteReference"/>
        </w:rPr>
        <w:endnoteReference w:id="35"/>
      </w:r>
      <w:r w:rsidRPr="00253442">
        <w:t xml:space="preserve">. </w:t>
      </w:r>
      <w:r w:rsidR="00D14B40">
        <w:t>Under our past support, l</w:t>
      </w:r>
      <w:r>
        <w:t>ocal governments</w:t>
      </w:r>
      <w:r w:rsidR="004405E8">
        <w:t xml:space="preserve"> which</w:t>
      </w:r>
      <w:r>
        <w:t xml:space="preserve"> </w:t>
      </w:r>
      <w:r w:rsidRPr="00253442">
        <w:t>pre-</w:t>
      </w:r>
      <w:r>
        <w:t>finance</w:t>
      </w:r>
      <w:r w:rsidRPr="00253442">
        <w:t xml:space="preserve"> the implementation of</w:t>
      </w:r>
      <w:r>
        <w:t xml:space="preserve"> quality</w:t>
      </w:r>
      <w:r w:rsidRPr="00253442">
        <w:t xml:space="preserve"> </w:t>
      </w:r>
      <w:r>
        <w:t>water and san</w:t>
      </w:r>
      <w:r w:rsidR="004A25E2">
        <w:t>itation works</w:t>
      </w:r>
      <w:r>
        <w:t xml:space="preserve"> are </w:t>
      </w:r>
      <w:r w:rsidR="004A25E2">
        <w:t xml:space="preserve">being </w:t>
      </w:r>
      <w:r>
        <w:t xml:space="preserve">reimbursed </w:t>
      </w:r>
      <w:r w:rsidR="004405E8">
        <w:t xml:space="preserve">a portion of construction costs </w:t>
      </w:r>
      <w:r>
        <w:t xml:space="preserve">following </w:t>
      </w:r>
      <w:r w:rsidR="004405E8">
        <w:t xml:space="preserve">independent </w:t>
      </w:r>
      <w:r w:rsidRPr="00253442">
        <w:t xml:space="preserve">verification </w:t>
      </w:r>
      <w:r>
        <w:t xml:space="preserve">of functioning piped water or sanitation connections by Australian supported engineers. </w:t>
      </w:r>
      <w:r w:rsidR="002773F2">
        <w:t xml:space="preserve">Australia has </w:t>
      </w:r>
      <w:r w:rsidR="00646F9F">
        <w:t>supported</w:t>
      </w:r>
      <w:r w:rsidR="002773F2">
        <w:t xml:space="preserve"> the </w:t>
      </w:r>
      <w:r>
        <w:t>Ministry of Public Works and Housing</w:t>
      </w:r>
      <w:r w:rsidR="002773F2">
        <w:t xml:space="preserve"> to take over </w:t>
      </w:r>
      <w:r w:rsidR="004405E8">
        <w:t>managing the independent verification of</w:t>
      </w:r>
      <w:r w:rsidR="002773F2">
        <w:t xml:space="preserve"> these connections</w:t>
      </w:r>
      <w:r>
        <w:t xml:space="preserve">. </w:t>
      </w:r>
      <w:r w:rsidR="00D14B40">
        <w:t>Indonesia</w:t>
      </w:r>
      <w:r w:rsidR="002773F2">
        <w:t xml:space="preserve"> is now </w:t>
      </w:r>
      <w:r w:rsidR="004405E8">
        <w:t xml:space="preserve">progressively </w:t>
      </w:r>
      <w:r w:rsidR="002773F2">
        <w:t>replicating and expanding t</w:t>
      </w:r>
      <w:r w:rsidRPr="00253442">
        <w:t>his performance</w:t>
      </w:r>
      <w:r w:rsidR="00D14B40">
        <w:t>-based</w:t>
      </w:r>
      <w:r w:rsidRPr="00253442">
        <w:t xml:space="preserve"> </w:t>
      </w:r>
      <w:r>
        <w:t xml:space="preserve">grant </w:t>
      </w:r>
      <w:r w:rsidRPr="00253442">
        <w:t>approach</w:t>
      </w:r>
      <w:r w:rsidR="004249C2">
        <w:t>, allocating</w:t>
      </w:r>
      <w:r w:rsidRPr="004F4F8A">
        <w:t xml:space="preserve"> AUD369 million </w:t>
      </w:r>
      <w:r w:rsidR="00646F9F">
        <w:t xml:space="preserve">from its national budget </w:t>
      </w:r>
      <w:r w:rsidR="001E5970">
        <w:t>over five</w:t>
      </w:r>
      <w:r w:rsidRPr="004F4F8A">
        <w:t xml:space="preserve"> years </w:t>
      </w:r>
      <w:r w:rsidR="002773F2">
        <w:t xml:space="preserve">from 2017 </w:t>
      </w:r>
      <w:r w:rsidRPr="004F4F8A">
        <w:t>(</w:t>
      </w:r>
      <w:r w:rsidR="006C4AB0">
        <w:t xml:space="preserve">with around </w:t>
      </w:r>
      <w:r>
        <w:t>AUD85 million</w:t>
      </w:r>
      <w:r w:rsidR="00D14B40">
        <w:t xml:space="preserve"> </w:t>
      </w:r>
      <w:r>
        <w:t>in 2019</w:t>
      </w:r>
      <w:r w:rsidRPr="004F4F8A">
        <w:t>)</w:t>
      </w:r>
      <w:r>
        <w:t xml:space="preserve">. </w:t>
      </w:r>
      <w:r w:rsidR="004249C2">
        <w:t>Progress on improving</w:t>
      </w:r>
      <w:r>
        <w:t xml:space="preserve"> sanitation has been more challenging as it is not often prioritised by local governments</w:t>
      </w:r>
      <w:r w:rsidRPr="00E74841">
        <w:t>.</w:t>
      </w:r>
      <w:r>
        <w:t xml:space="preserve"> </w:t>
      </w:r>
      <w:r w:rsidR="004249C2">
        <w:t xml:space="preserve">In 2018, Australia helped </w:t>
      </w:r>
      <w:r>
        <w:t xml:space="preserve">local governments </w:t>
      </w:r>
      <w:r w:rsidR="004249C2">
        <w:t xml:space="preserve">achieve </w:t>
      </w:r>
      <w:r>
        <w:t xml:space="preserve">3,534 house connections </w:t>
      </w:r>
      <w:r w:rsidR="006C4AB0">
        <w:t>for</w:t>
      </w:r>
      <w:r>
        <w:t xml:space="preserve"> improved sanitation, benefiting approximately 15,903 people, including 110 people with disability</w:t>
      </w:r>
      <w:r w:rsidR="00F52543">
        <w:rPr>
          <w:rStyle w:val="EndnoteReference"/>
        </w:rPr>
        <w:endnoteReference w:id="36"/>
      </w:r>
      <w:r w:rsidR="002E370E">
        <w:t>.</w:t>
      </w:r>
      <w:r>
        <w:t xml:space="preserve"> </w:t>
      </w:r>
      <w:r w:rsidR="006C4AB0">
        <w:t xml:space="preserve">To stimulate further investment, </w:t>
      </w:r>
      <w:r>
        <w:t xml:space="preserve">Australia </w:t>
      </w:r>
      <w:r w:rsidR="006C4AB0">
        <w:t>is supporting</w:t>
      </w:r>
      <w:r>
        <w:t xml:space="preserve"> an awareness raising campaign</w:t>
      </w:r>
      <w:r w:rsidR="006C4AB0">
        <w:t xml:space="preserve"> to increase local government awareness of the </w:t>
      </w:r>
      <w:r>
        <w:t>economic impact and human development gains from improved sanitation.</w:t>
      </w:r>
    </w:p>
    <w:p w:rsidR="00022BD8" w:rsidRPr="00322EFB" w:rsidRDefault="00022BD8" w:rsidP="00022BD8">
      <w:pPr>
        <w:rPr>
          <w:u w:val="single"/>
        </w:rPr>
      </w:pPr>
      <w:r w:rsidRPr="00322EFB">
        <w:rPr>
          <w:u w:val="single"/>
        </w:rPr>
        <w:t>Outcome 6:  Children have improved literacy and numeracy</w:t>
      </w:r>
    </w:p>
    <w:p w:rsidR="00022BD8" w:rsidRDefault="00022BD8" w:rsidP="00022BD8">
      <w:pPr>
        <w:rPr>
          <w:b/>
        </w:rPr>
      </w:pPr>
      <w:r>
        <w:rPr>
          <w:b/>
        </w:rPr>
        <w:t>Outcome 6 has been rated green as significant progress was achieved to</w:t>
      </w:r>
      <w:r w:rsidR="001734E8">
        <w:rPr>
          <w:b/>
        </w:rPr>
        <w:t xml:space="preserve"> support</w:t>
      </w:r>
      <w:r>
        <w:rPr>
          <w:b/>
        </w:rPr>
        <w:t xml:space="preserve"> </w:t>
      </w:r>
      <w:r w:rsidR="001734E8">
        <w:rPr>
          <w:b/>
        </w:rPr>
        <w:t xml:space="preserve">Indonesia </w:t>
      </w:r>
      <w:r w:rsidR="00CD3EAA">
        <w:rPr>
          <w:b/>
        </w:rPr>
        <w:t>improve</w:t>
      </w:r>
      <w:r w:rsidR="001734E8">
        <w:rPr>
          <w:b/>
        </w:rPr>
        <w:t xml:space="preserve"> teacher professional development, increased literacy and numeracy scores in target communities, and helped district governments allocate more budget to improve learning outcomes</w:t>
      </w:r>
      <w:r>
        <w:rPr>
          <w:b/>
        </w:rPr>
        <w:t>.</w:t>
      </w:r>
    </w:p>
    <w:p w:rsidR="002C3CAA" w:rsidRDefault="00CD3EAA" w:rsidP="00022BD8">
      <w:r>
        <w:rPr>
          <w:noProof/>
          <w:lang w:val="en-AU" w:eastAsia="en-AU"/>
        </w:rPr>
        <mc:AlternateContent>
          <mc:Choice Requires="wps">
            <w:drawing>
              <wp:anchor distT="0" distB="0" distL="114300" distR="114300" simplePos="0" relativeHeight="251761664" behindDoc="0" locked="0" layoutInCell="1" allowOverlap="1" wp14:anchorId="36552041" wp14:editId="7AC31D73">
                <wp:simplePos x="0" y="0"/>
                <wp:positionH relativeFrom="margin">
                  <wp:posOffset>3446780</wp:posOffset>
                </wp:positionH>
                <wp:positionV relativeFrom="paragraph">
                  <wp:posOffset>1721485</wp:posOffset>
                </wp:positionV>
                <wp:extent cx="2700020" cy="635"/>
                <wp:effectExtent l="0" t="0" r="5080" b="0"/>
                <wp:wrapSquare wrapText="bothSides"/>
                <wp:docPr id="17" name="Text Box 17"/>
                <wp:cNvGraphicFramePr/>
                <a:graphic xmlns:a="http://schemas.openxmlformats.org/drawingml/2006/main">
                  <a:graphicData uri="http://schemas.microsoft.com/office/word/2010/wordprocessingShape">
                    <wps:wsp>
                      <wps:cNvSpPr txBox="1"/>
                      <wps:spPr>
                        <a:xfrm>
                          <a:off x="0" y="0"/>
                          <a:ext cx="2700020" cy="635"/>
                        </a:xfrm>
                        <a:prstGeom prst="rect">
                          <a:avLst/>
                        </a:prstGeom>
                        <a:noFill/>
                        <a:ln>
                          <a:noFill/>
                        </a:ln>
                      </wps:spPr>
                      <wps:txbx>
                        <w:txbxContent>
                          <w:p w:rsidR="0049045F" w:rsidRPr="008C019A" w:rsidRDefault="0049045F" w:rsidP="008C019A">
                            <w:pPr>
                              <w:pStyle w:val="Caption"/>
                              <w:rPr>
                                <w:b w:val="0"/>
                                <w:noProof/>
                                <w:color w:val="495965" w:themeColor="text2"/>
                                <w:sz w:val="16"/>
                                <w:szCs w:val="16"/>
                              </w:rPr>
                            </w:pPr>
                            <w:r w:rsidRPr="008C019A">
                              <w:rPr>
                                <w:b w:val="0"/>
                                <w:sz w:val="16"/>
                                <w:szCs w:val="16"/>
                              </w:rPr>
                              <w:t>Suhartati, a teacher from SDN 2 Sila, Bima, West Nusa Tenggara, participated in Early Grade Literacy Training</w:t>
                            </w:r>
                            <w:r>
                              <w:rPr>
                                <w:b w:val="0"/>
                                <w:sz w:val="16"/>
                                <w:szCs w:val="16"/>
                              </w:rPr>
                              <w:t>. Photo:  INOVASI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52041" id="Text Box 17" o:spid="_x0000_s1030" type="#_x0000_t202" style="position:absolute;margin-left:271.4pt;margin-top:135.55pt;width:212.6pt;height:.05pt;z-index:251761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K1HAIAAD4EAAAOAAAAZHJzL2Uyb0RvYy54bWysU8Fu2zAMvQ/YPwi6L3ayrR2MOEXWIsOA&#10;oi2QDD0rspwYsERNUmJnX78nOU63bqdhF5kmqSfy8XF+0+uWHZXzDZmSTyc5Z8pIqhqzK/m3zerd&#10;J858EKYSLRlV8pPy/Gbx9s28s4Wa0Z7aSjkGEOOLzpZ8H4ItsszLvdLCT8gqg2BNTouAX7fLKic6&#10;oOs2m+X5VdaRq6wjqbyH924I8kXCr2slw2NdexVYW3LUFtLp0rmNZ7aYi2LnhN038lyG+IcqtGgM&#10;Hr1A3Ykg2ME1f0DpRjryVIeJJJ1RXTdSpR7QzTR/1c16L6xKvYAcby80+f8HKx+OT441FWZ3zZkR&#10;GjPaqD6wz9QzuMBPZ32BtLVFYujhR+7o93DGtvva6fhFQwxxMH26sBvRJJyz6zzPZwhJxK7ef4wY&#10;2ctV63z4okizaJTcYXSJUXG892FIHVPiS4ZWTdum8bXmNwcwoyeLdQ/1RSv02z71+WGsfUvVCS05&#10;GkThrVw1ePpe+PAkHFSAUqHs8IijbqkrOZ0tzvbkfvzNH/MxHEQ566CqkvvvB+EUZ+1Xg7FFCY6G&#10;G43taJiDviUIdYqdsTKZuOBCO5q1I/0MwS/jKwgJI/FWycNo3oZB21gYqZbLlAShWRHuzdrKCB25&#10;ikRu+mfh7JntgCE90Kg3UbwifciNN71dHgKoTxOJvA4snumGSNNMzwsVt+DX/5T1svaLnwAAAP//&#10;AwBQSwMEFAAGAAgAAAAhAOu+pZfeAAAACwEAAA8AAABkcnMvZG93bnJldi54bWxMj8FOwzAQRO9I&#10;/IO1SFwQdWxBaEOcCiG4cKNw4ebGSxIRr6PYTUK/noULPc7OaPZNuV18LyYcYxfIgFplIJDq4Dpq&#10;DLy/PV+vQcRkydk+EBr4xgjb6vystIULM73itEuN4BKKhTXQpjQUUsa6RW/jKgxI7H2G0dvEcmyk&#10;G+3M5b6XOsty6W1H/KG1Az62WH/tDt5AvjwNVy8b1POx7if6OCqVUBlzebE83INIuKT/MPziMzpU&#10;zLQPB3JR9AZubzSjJwP6TikQnNjka163/7tokFUpTzdUPwAAAP//AwBQSwECLQAUAAYACAAAACEA&#10;toM4kv4AAADhAQAAEwAAAAAAAAAAAAAAAAAAAAAAW0NvbnRlbnRfVHlwZXNdLnhtbFBLAQItABQA&#10;BgAIAAAAIQA4/SH/1gAAAJQBAAALAAAAAAAAAAAAAAAAAC8BAABfcmVscy8ucmVsc1BLAQItABQA&#10;BgAIAAAAIQAmItK1HAIAAD4EAAAOAAAAAAAAAAAAAAAAAC4CAABkcnMvZTJvRG9jLnhtbFBLAQIt&#10;ABQABgAIAAAAIQDrvqWX3gAAAAsBAAAPAAAAAAAAAAAAAAAAAHYEAABkcnMvZG93bnJldi54bWxQ&#10;SwUGAAAAAAQABADzAAAAgQUAAAAA&#10;" filled="f" stroked="f">
                <v:textbox style="mso-fit-shape-to-text:t" inset="0,0,0,0">
                  <w:txbxContent>
                    <w:p w:rsidR="0049045F" w:rsidRPr="008C019A" w:rsidRDefault="0049045F" w:rsidP="008C019A">
                      <w:pPr>
                        <w:pStyle w:val="Caption"/>
                        <w:rPr>
                          <w:b w:val="0"/>
                          <w:noProof/>
                          <w:color w:val="495965" w:themeColor="text2"/>
                          <w:sz w:val="16"/>
                          <w:szCs w:val="16"/>
                        </w:rPr>
                      </w:pPr>
                      <w:proofErr w:type="spellStart"/>
                      <w:r w:rsidRPr="008C019A">
                        <w:rPr>
                          <w:b w:val="0"/>
                          <w:sz w:val="16"/>
                          <w:szCs w:val="16"/>
                        </w:rPr>
                        <w:t>Suhartati</w:t>
                      </w:r>
                      <w:proofErr w:type="spellEnd"/>
                      <w:r w:rsidRPr="008C019A">
                        <w:rPr>
                          <w:b w:val="0"/>
                          <w:sz w:val="16"/>
                          <w:szCs w:val="16"/>
                        </w:rPr>
                        <w:t xml:space="preserve">, a teacher from SDN 2 </w:t>
                      </w:r>
                      <w:proofErr w:type="spellStart"/>
                      <w:r w:rsidRPr="008C019A">
                        <w:rPr>
                          <w:b w:val="0"/>
                          <w:sz w:val="16"/>
                          <w:szCs w:val="16"/>
                        </w:rPr>
                        <w:t>Sila</w:t>
                      </w:r>
                      <w:proofErr w:type="spellEnd"/>
                      <w:r w:rsidRPr="008C019A">
                        <w:rPr>
                          <w:b w:val="0"/>
                          <w:sz w:val="16"/>
                          <w:szCs w:val="16"/>
                        </w:rPr>
                        <w:t xml:space="preserve">, </w:t>
                      </w:r>
                      <w:proofErr w:type="spellStart"/>
                      <w:r w:rsidRPr="008C019A">
                        <w:rPr>
                          <w:b w:val="0"/>
                          <w:sz w:val="16"/>
                          <w:szCs w:val="16"/>
                        </w:rPr>
                        <w:t>Bima</w:t>
                      </w:r>
                      <w:proofErr w:type="spellEnd"/>
                      <w:r w:rsidRPr="008C019A">
                        <w:rPr>
                          <w:b w:val="0"/>
                          <w:sz w:val="16"/>
                          <w:szCs w:val="16"/>
                        </w:rPr>
                        <w:t>, West Nusa Tenggara, participated in Early Grade Literacy Training</w:t>
                      </w:r>
                      <w:r>
                        <w:rPr>
                          <w:b w:val="0"/>
                          <w:sz w:val="16"/>
                          <w:szCs w:val="16"/>
                        </w:rPr>
                        <w:t>. Photo:  INOVASI</w:t>
                      </w:r>
                    </w:p>
                  </w:txbxContent>
                </v:textbox>
                <w10:wrap type="square" anchorx="margin"/>
              </v:shape>
            </w:pict>
          </mc:Fallback>
        </mc:AlternateContent>
      </w:r>
      <w:r>
        <w:rPr>
          <w:b/>
          <w:noProof/>
          <w:lang w:val="en-AU" w:eastAsia="en-AU"/>
        </w:rPr>
        <w:drawing>
          <wp:anchor distT="0" distB="0" distL="114300" distR="114300" simplePos="0" relativeHeight="251759616" behindDoc="0" locked="0" layoutInCell="1" allowOverlap="1">
            <wp:simplePos x="0" y="0"/>
            <wp:positionH relativeFrom="margin">
              <wp:align>right</wp:align>
            </wp:positionH>
            <wp:positionV relativeFrom="paragraph">
              <wp:posOffset>57150</wp:posOffset>
            </wp:positionV>
            <wp:extent cx="2700020" cy="1830070"/>
            <wp:effectExtent l="0" t="0" r="5080" b="0"/>
            <wp:wrapSquare wrapText="bothSides"/>
            <wp:docPr id="16" name="Picture 16" descr="Suhartati, a teacher from West Nusa Tenggara participated in Early Grade Literacy Training." title="Teacher 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20"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BD8">
        <w:t>Quality schools are needed for Indonesia to achieve its planned economic growth trajectory and maintain social stability. Indonesia’s large and complex education system supports over 54 million students in around 300,000 schools</w:t>
      </w:r>
      <w:r w:rsidR="008464B2">
        <w:t xml:space="preserve">, </w:t>
      </w:r>
      <w:r w:rsidR="00022BD8">
        <w:t>taught by 3.8 million teachers</w:t>
      </w:r>
      <w:r w:rsidR="00022BD8">
        <w:rPr>
          <w:rStyle w:val="EndnoteReference"/>
        </w:rPr>
        <w:endnoteReference w:id="37"/>
      </w:r>
      <w:r w:rsidR="00022BD8">
        <w:t xml:space="preserve">.  </w:t>
      </w:r>
      <w:r w:rsidR="00496824">
        <w:t>S</w:t>
      </w:r>
      <w:r w:rsidR="00022BD8">
        <w:t xml:space="preserve">tudents </w:t>
      </w:r>
      <w:r w:rsidR="00496824">
        <w:t>need to be</w:t>
      </w:r>
      <w:r w:rsidR="00022BD8">
        <w:t xml:space="preserve"> equipped with relevant and transferable core skills for the future economy such as literacy, numeracy and critical thinking</w:t>
      </w:r>
      <w:r w:rsidR="00496824">
        <w:t xml:space="preserve">. </w:t>
      </w:r>
      <w:r w:rsidR="008464B2">
        <w:t>Otherwise,</w:t>
      </w:r>
      <w:r w:rsidR="00022BD8">
        <w:t xml:space="preserve"> it will be difficult to</w:t>
      </w:r>
      <w:r w:rsidR="008464B2">
        <w:t xml:space="preserve"> secure</w:t>
      </w:r>
      <w:r w:rsidR="00022BD8">
        <w:t xml:space="preserve"> employment or receive further training </w:t>
      </w:r>
      <w:r w:rsidR="00496824">
        <w:t xml:space="preserve">to up-skill into </w:t>
      </w:r>
      <w:r w:rsidR="008464B2">
        <w:t>higher-level</w:t>
      </w:r>
      <w:r w:rsidR="00496824">
        <w:t xml:space="preserve"> jobs</w:t>
      </w:r>
      <w:r w:rsidR="00022BD8">
        <w:t>. Despite Indonesia’s significant reforms in education, the quality of schooling remains below the level required to drive producti</w:t>
      </w:r>
      <w:r w:rsidR="008464B2">
        <w:t>ve</w:t>
      </w:r>
      <w:r w:rsidR="00022BD8">
        <w:t xml:space="preserve"> growth</w:t>
      </w:r>
      <w:r w:rsidR="00022BD8">
        <w:rPr>
          <w:rStyle w:val="EndnoteReference"/>
        </w:rPr>
        <w:endnoteReference w:id="38"/>
      </w:r>
      <w:r w:rsidR="00022BD8">
        <w:t xml:space="preserve">. </w:t>
      </w:r>
    </w:p>
    <w:p w:rsidR="008F12EE" w:rsidRDefault="001734E8" w:rsidP="00022BD8">
      <w:r>
        <w:t>In 2018, Australian technical support helped improve teacher quality in Indonesia through improved systems and practices for teacher recruitment and continuous professional development (CPD)</w:t>
      </w:r>
      <w:r w:rsidR="0069543A">
        <w:rPr>
          <w:rStyle w:val="EndnoteReference"/>
        </w:rPr>
        <w:endnoteReference w:id="39"/>
      </w:r>
      <w:r>
        <w:t>. Australia</w:t>
      </w:r>
      <w:r w:rsidR="005C7B42">
        <w:t>n assistance provided</w:t>
      </w:r>
      <w:r>
        <w:t xml:space="preserve"> the Ministry of Education and Culture (MOEC) </w:t>
      </w:r>
      <w:r w:rsidR="005C7B42">
        <w:t>with a</w:t>
      </w:r>
      <w:r>
        <w:t xml:space="preserve"> more accurate projection of teacher recruitment needs.</w:t>
      </w:r>
      <w:r w:rsidR="008464B2">
        <w:rPr>
          <w:rStyle w:val="EndnoteReference"/>
        </w:rPr>
        <w:endnoteReference w:id="40"/>
      </w:r>
      <w:r>
        <w:t xml:space="preserve"> In 2018, the Vice President’s office used this data to announce recruitment</w:t>
      </w:r>
      <w:r w:rsidR="008464B2">
        <w:t xml:space="preserve"> </w:t>
      </w:r>
      <w:r>
        <w:t xml:space="preserve">of 100,000 teachers per year </w:t>
      </w:r>
      <w:r w:rsidR="008464B2">
        <w:t>until</w:t>
      </w:r>
      <w:r>
        <w:t xml:space="preserve"> 2024</w:t>
      </w:r>
      <w:r w:rsidR="005C7B42">
        <w:t xml:space="preserve">, acknowledging </w:t>
      </w:r>
      <w:r w:rsidR="008464B2">
        <w:t>the</w:t>
      </w:r>
      <w:r>
        <w:t xml:space="preserve"> resources needed to deliver quality education across the country. </w:t>
      </w:r>
      <w:r w:rsidR="008464B2">
        <w:t>Australia</w:t>
      </w:r>
      <w:r>
        <w:t xml:space="preserve"> also supported the Ministry of Religious Affairs (MORA) to deliver CPD for teachers in</w:t>
      </w:r>
      <w:r w:rsidR="002E370E">
        <w:t xml:space="preserve"> Islamic schools</w:t>
      </w:r>
      <w:r>
        <w:t xml:space="preserve"> </w:t>
      </w:r>
      <w:r w:rsidR="002E370E">
        <w:t>(</w:t>
      </w:r>
      <w:r>
        <w:t>madrasah</w:t>
      </w:r>
      <w:r w:rsidR="002E370E">
        <w:t>)</w:t>
      </w:r>
      <w:r>
        <w:t xml:space="preserve"> and teachers of religion in public schools (all faiths). Madrasah </w:t>
      </w:r>
      <w:r w:rsidR="008464B2">
        <w:t xml:space="preserve">are </w:t>
      </w:r>
      <w:r>
        <w:t>often located in isolated and poorer areas with informally trained teachers</w:t>
      </w:r>
      <w:r w:rsidR="002E370E">
        <w:t>.</w:t>
      </w:r>
      <w:r>
        <w:t xml:space="preserve"> MORA was supported to draft and issue a new Ministerial regulation</w:t>
      </w:r>
      <w:r w:rsidR="00B15E76">
        <w:t xml:space="preserve"> </w:t>
      </w:r>
      <w:r>
        <w:t xml:space="preserve">that provided the legal basis for </w:t>
      </w:r>
      <w:r w:rsidRPr="000011B9">
        <w:t>more than 1 million madrasah teachers, and approximately 250,000 teachers</w:t>
      </w:r>
      <w:r>
        <w:t xml:space="preserve"> of religion in public schools</w:t>
      </w:r>
      <w:r w:rsidRPr="000011B9">
        <w:t xml:space="preserve"> to acc</w:t>
      </w:r>
      <w:r>
        <w:t>ess regular and standardised CPD</w:t>
      </w:r>
      <w:r w:rsidRPr="000011B9">
        <w:t xml:space="preserve"> programs</w:t>
      </w:r>
      <w:r>
        <w:t xml:space="preserve">.  </w:t>
      </w:r>
    </w:p>
    <w:p w:rsidR="00194A60" w:rsidRDefault="00194A60" w:rsidP="00022BD8">
      <w:r>
        <w:t>Australia is supporting innovative solutions to improve student literacy and numeracy outcomes in partnership with local districts, civil society organisations</w:t>
      </w:r>
      <w:r w:rsidR="00E5178C">
        <w:t xml:space="preserve"> (CSOs)</w:t>
      </w:r>
      <w:r>
        <w:t>, multilateral institutions and the national government. Australia</w:t>
      </w:r>
      <w:r w:rsidR="007674BA">
        <w:t xml:space="preserve"> </w:t>
      </w:r>
      <w:r w:rsidR="005B05BE">
        <w:t>has</w:t>
      </w:r>
      <w:r>
        <w:t xml:space="preserve"> </w:t>
      </w:r>
      <w:r w:rsidR="007674BA">
        <w:t>address</w:t>
      </w:r>
      <w:r w:rsidR="005B05BE">
        <w:t>ed</w:t>
      </w:r>
      <w:r w:rsidR="007674BA">
        <w:t xml:space="preserve"> classroom challenges by </w:t>
      </w:r>
      <w:r w:rsidR="005B05BE">
        <w:t xml:space="preserve">helping teachers </w:t>
      </w:r>
      <w:r>
        <w:t>develop and test learning solutions and apply</w:t>
      </w:r>
      <w:r w:rsidR="005B05BE">
        <w:t xml:space="preserve"> </w:t>
      </w:r>
      <w:r>
        <w:t>new teaching practices.</w:t>
      </w:r>
      <w:r w:rsidR="00B15E76">
        <w:rPr>
          <w:rStyle w:val="EndnoteReference"/>
        </w:rPr>
        <w:endnoteReference w:id="41"/>
      </w:r>
      <w:r>
        <w:t xml:space="preserve"> In 2018, Australia </w:t>
      </w:r>
      <w:r w:rsidR="005B05BE">
        <w:t>supported</w:t>
      </w:r>
      <w:r>
        <w:t xml:space="preserve"> 54 pilots with 2774 teachers as well as 446 principals and supervisors, across 907 schools</w:t>
      </w:r>
      <w:r w:rsidR="00445E65">
        <w:t xml:space="preserve"> </w:t>
      </w:r>
      <w:r>
        <w:t xml:space="preserve">in </w:t>
      </w:r>
      <w:r w:rsidR="00616148">
        <w:t xml:space="preserve">four </w:t>
      </w:r>
      <w:r>
        <w:t xml:space="preserve">provinces to improve learning for 77,912 early grade students. </w:t>
      </w:r>
      <w:r w:rsidR="006568FB">
        <w:t>Male and female teaching staff were given opportunities to participate in training and upskilling activities to improve leadership qualities and improve gender equality and social inclusion in the classroom.</w:t>
      </w:r>
    </w:p>
    <w:p w:rsidR="000F109C" w:rsidRDefault="005B05BE" w:rsidP="00022BD8">
      <w:r>
        <w:t xml:space="preserve">Pilots demonstrated that literacy and numeracy improved when teachers are empowered to apply new teaching practices, like active learning techniques to engage higher levels of student participation.  </w:t>
      </w:r>
      <w:r w:rsidR="00194A60">
        <w:t>Australia</w:t>
      </w:r>
      <w:r w:rsidR="00616148">
        <w:t xml:space="preserve">n </w:t>
      </w:r>
      <w:r w:rsidR="00194A60">
        <w:t>pilots resulted in 67 per cent (670) of boys and 60 per cent (555) of girls increasing their literacy scores, and 49 per cent (488) of boys and 41 per cent of girls (382) increasing th</w:t>
      </w:r>
      <w:r w:rsidR="004570D4">
        <w:t>eir numeracy scores.</w:t>
      </w:r>
      <w:r w:rsidR="006568FB">
        <w:rPr>
          <w:rStyle w:val="EndnoteReference"/>
        </w:rPr>
        <w:endnoteReference w:id="42"/>
      </w:r>
      <w:r w:rsidR="004570D4">
        <w:t xml:space="preserve"> </w:t>
      </w:r>
      <w:r w:rsidR="00194A60">
        <w:t xml:space="preserve">Australia </w:t>
      </w:r>
      <w:r w:rsidR="00E43057">
        <w:t>worked with</w:t>
      </w:r>
      <w:r w:rsidR="00194A60">
        <w:t xml:space="preserve"> 203 remote primary schools in five districts to link teacher allowance payments to attendance, verified by parents and the community.</w:t>
      </w:r>
      <w:r w:rsidR="007674BA">
        <w:rPr>
          <w:rStyle w:val="EndnoteReference"/>
        </w:rPr>
        <w:endnoteReference w:id="43"/>
      </w:r>
      <w:r w:rsidR="007674BA">
        <w:t xml:space="preserve"> </w:t>
      </w:r>
      <w:r w:rsidR="00194A60">
        <w:t xml:space="preserve"> Teacher absenteeism reduced </w:t>
      </w:r>
      <w:r w:rsidR="00E43057">
        <w:t>from</w:t>
      </w:r>
      <w:r w:rsidR="00194A60">
        <w:t xml:space="preserve"> 25 per cent to 13 per cent</w:t>
      </w:r>
      <w:r w:rsidR="00845C34">
        <w:t xml:space="preserve"> </w:t>
      </w:r>
      <w:r w:rsidR="00194A60">
        <w:t>since the program began in 2017.</w:t>
      </w:r>
      <w:r w:rsidR="006568FB" w:rsidRPr="006568FB">
        <w:rPr>
          <w:rStyle w:val="EndnoteReference"/>
        </w:rPr>
        <w:t xml:space="preserve"> </w:t>
      </w:r>
      <w:r w:rsidR="006568FB">
        <w:rPr>
          <w:rStyle w:val="EndnoteReference"/>
        </w:rPr>
        <w:endnoteReference w:id="44"/>
      </w:r>
      <w:r w:rsidR="006568FB">
        <w:t xml:space="preserve"> </w:t>
      </w:r>
      <w:r w:rsidR="00194A60">
        <w:t xml:space="preserve"> By the end of 2018, student’s grade-level literacy increased by 12.5 per cent and numeracy also improved by 11.4 per cent</w:t>
      </w:r>
      <w:r w:rsidR="006568FB">
        <w:t xml:space="preserve"> in these schools</w:t>
      </w:r>
      <w:r w:rsidR="004570D4" w:rsidRPr="00E1328F">
        <w:t xml:space="preserve">. </w:t>
      </w:r>
      <w:r w:rsidR="006568FB" w:rsidRPr="00E1328F">
        <w:t xml:space="preserve"> </w:t>
      </w:r>
      <w:r w:rsidR="000F109C" w:rsidRPr="00E1328F">
        <w:t xml:space="preserve">All </w:t>
      </w:r>
      <w:r w:rsidR="00B325D7" w:rsidRPr="00E1328F">
        <w:t xml:space="preserve">of Australia’s </w:t>
      </w:r>
      <w:r w:rsidR="000F109C" w:rsidRPr="00E1328F">
        <w:t>activities have been co-designed with local partners to ensure that they are simple, supported, and that proven approaches can be easily adopted within existing resources.</w:t>
      </w:r>
    </w:p>
    <w:p w:rsidR="00022BD8" w:rsidRPr="00E1328F" w:rsidRDefault="0096506E" w:rsidP="00022BD8">
      <w:pPr>
        <w:rPr>
          <w:iCs/>
          <w:lang w:val="en-AU"/>
        </w:rPr>
      </w:pPr>
      <w:r w:rsidRPr="0096506E">
        <w:t xml:space="preserve">Australia will continue to work with target schools on the adaptation and replication of these tested approaches and encourage broader scale-out of reforms, policies and practices </w:t>
      </w:r>
      <w:r w:rsidR="00B325D7">
        <w:t xml:space="preserve">at the national </w:t>
      </w:r>
      <w:r w:rsidR="00B325D7" w:rsidRPr="00E1328F">
        <w:t>level</w:t>
      </w:r>
      <w:r w:rsidR="004C5D93" w:rsidRPr="00E1328F">
        <w:rPr>
          <w:iCs/>
          <w:lang w:val="en-AU"/>
        </w:rPr>
        <w:t>.</w:t>
      </w:r>
      <w:r w:rsidR="00B325D7" w:rsidRPr="00E1328F">
        <w:rPr>
          <w:iCs/>
          <w:lang w:val="en-AU"/>
        </w:rPr>
        <w:t xml:space="preserve"> We work</w:t>
      </w:r>
      <w:r w:rsidR="00CC4E3F" w:rsidRPr="00E1328F">
        <w:rPr>
          <w:iCs/>
          <w:lang w:val="en-AU"/>
        </w:rPr>
        <w:t>ed</w:t>
      </w:r>
      <w:r w:rsidR="00B325D7" w:rsidRPr="00E1328F">
        <w:rPr>
          <w:iCs/>
          <w:lang w:val="en-AU"/>
        </w:rPr>
        <w:t xml:space="preserve"> with national education policy makers to showcase the results of our pilots and provide</w:t>
      </w:r>
      <w:r w:rsidR="00CC4E3F" w:rsidRPr="00E1328F">
        <w:rPr>
          <w:iCs/>
          <w:lang w:val="en-AU"/>
        </w:rPr>
        <w:t>d</w:t>
      </w:r>
      <w:r w:rsidR="00B325D7" w:rsidRPr="00E1328F">
        <w:rPr>
          <w:iCs/>
          <w:lang w:val="en-AU"/>
        </w:rPr>
        <w:t xml:space="preserve"> targeted technical assistance to </w:t>
      </w:r>
      <w:r w:rsidR="00CC4E3F" w:rsidRPr="00E1328F">
        <w:rPr>
          <w:iCs/>
          <w:lang w:val="en-AU"/>
        </w:rPr>
        <w:t xml:space="preserve">help to replicate and scale up successful activities. </w:t>
      </w:r>
      <w:r w:rsidR="000F109C" w:rsidRPr="00E1328F">
        <w:t xml:space="preserve">In 2018-19, evidence emerging from our literacy pilot in North Kalimantan </w:t>
      </w:r>
      <w:r w:rsidR="004C5D93" w:rsidRPr="00E1328F">
        <w:t>was the catalyst for</w:t>
      </w:r>
      <w:r w:rsidR="000F109C" w:rsidRPr="00E1328F">
        <w:t xml:space="preserve"> </w:t>
      </w:r>
      <w:r w:rsidR="00CC4E3F" w:rsidRPr="00E1328F">
        <w:t>reform</w:t>
      </w:r>
      <w:r w:rsidR="000F109C" w:rsidRPr="00E1328F">
        <w:t xml:space="preserve"> to</w:t>
      </w:r>
      <w:r w:rsidR="004C5D93" w:rsidRPr="00E1328F">
        <w:t xml:space="preserve"> national level policies relating</w:t>
      </w:r>
      <w:r w:rsidR="000F109C" w:rsidRPr="00E1328F">
        <w:t xml:space="preserve"> to school book </w:t>
      </w:r>
      <w:r w:rsidR="00CC4E3F" w:rsidRPr="00E1328F">
        <w:t>purchasing</w:t>
      </w:r>
      <w:r w:rsidR="000F109C" w:rsidRPr="00E1328F">
        <w:t>.</w:t>
      </w:r>
      <w:r w:rsidR="000F109C" w:rsidRPr="00E1328F">
        <w:rPr>
          <w:iCs/>
          <w:lang w:val="en-AU"/>
        </w:rPr>
        <w:t xml:space="preserve"> </w:t>
      </w:r>
      <w:r w:rsidR="004C5D93" w:rsidRPr="00E1328F">
        <w:rPr>
          <w:iCs/>
          <w:lang w:val="en-AU"/>
        </w:rPr>
        <w:t xml:space="preserve">Our pilot highlighted </w:t>
      </w:r>
      <w:r w:rsidR="000F109C" w:rsidRPr="00E1328F">
        <w:rPr>
          <w:iCs/>
          <w:lang w:val="en-AU"/>
        </w:rPr>
        <w:t xml:space="preserve">the benefits of </w:t>
      </w:r>
      <w:r w:rsidR="004C5D93" w:rsidRPr="00E1328F">
        <w:rPr>
          <w:iCs/>
          <w:lang w:val="en-AU"/>
        </w:rPr>
        <w:t xml:space="preserve">engaging and </w:t>
      </w:r>
      <w:r w:rsidR="000F109C" w:rsidRPr="00E1328F">
        <w:rPr>
          <w:iCs/>
          <w:lang w:val="en-AU"/>
        </w:rPr>
        <w:t xml:space="preserve">working with a wide range of partners to </w:t>
      </w:r>
      <w:r w:rsidR="00B325D7" w:rsidRPr="00E1328F">
        <w:rPr>
          <w:iCs/>
          <w:lang w:val="en-AU"/>
        </w:rPr>
        <w:t>source age-appropriate reading books</w:t>
      </w:r>
      <w:r w:rsidR="000F109C" w:rsidRPr="00E1328F">
        <w:rPr>
          <w:iCs/>
          <w:lang w:val="en-AU"/>
        </w:rPr>
        <w:t xml:space="preserve">. We successfully worked with the </w:t>
      </w:r>
      <w:r w:rsidR="006A49BC" w:rsidRPr="00E1328F">
        <w:rPr>
          <w:iCs/>
          <w:lang w:val="en-AU"/>
        </w:rPr>
        <w:t>Ministry</w:t>
      </w:r>
      <w:r w:rsidR="00B325D7" w:rsidRPr="00E1328F">
        <w:rPr>
          <w:iCs/>
          <w:lang w:val="en-AU"/>
        </w:rPr>
        <w:t xml:space="preserve"> of Education’s</w:t>
      </w:r>
      <w:r w:rsidR="000F109C" w:rsidRPr="00E1328F">
        <w:rPr>
          <w:iCs/>
          <w:lang w:val="en-AU"/>
        </w:rPr>
        <w:t xml:space="preserve"> centre for curriculum to improve the process for approving children’s books for </w:t>
      </w:r>
      <w:r w:rsidR="00CC4E3F" w:rsidRPr="00E1328F">
        <w:rPr>
          <w:iCs/>
          <w:lang w:val="en-AU"/>
        </w:rPr>
        <w:t xml:space="preserve">school </w:t>
      </w:r>
      <w:r w:rsidR="000F109C" w:rsidRPr="00E1328F">
        <w:rPr>
          <w:iCs/>
          <w:lang w:val="en-AU"/>
        </w:rPr>
        <w:t xml:space="preserve">purchase, which </w:t>
      </w:r>
      <w:r w:rsidR="00CC4E3F" w:rsidRPr="00E1328F">
        <w:rPr>
          <w:iCs/>
          <w:lang w:val="en-AU"/>
        </w:rPr>
        <w:t>has</w:t>
      </w:r>
      <w:r w:rsidR="00B325D7" w:rsidRPr="00E1328F">
        <w:rPr>
          <w:iCs/>
          <w:lang w:val="en-AU"/>
        </w:rPr>
        <w:t xml:space="preserve"> direct </w:t>
      </w:r>
      <w:r w:rsidR="001744A5" w:rsidRPr="00E1328F">
        <w:rPr>
          <w:iCs/>
          <w:lang w:val="en-AU"/>
        </w:rPr>
        <w:t xml:space="preserve">learning </w:t>
      </w:r>
      <w:r w:rsidR="00B325D7" w:rsidRPr="00E1328F">
        <w:rPr>
          <w:iCs/>
          <w:lang w:val="en-AU"/>
        </w:rPr>
        <w:t xml:space="preserve">links to improving </w:t>
      </w:r>
      <w:r w:rsidR="00CC4E3F" w:rsidRPr="00E1328F">
        <w:rPr>
          <w:iCs/>
          <w:lang w:val="en-AU"/>
        </w:rPr>
        <w:t xml:space="preserve">long-term </w:t>
      </w:r>
      <w:r w:rsidR="00B325D7" w:rsidRPr="00E1328F">
        <w:rPr>
          <w:iCs/>
          <w:lang w:val="en-AU"/>
        </w:rPr>
        <w:t>national</w:t>
      </w:r>
      <w:r w:rsidR="000F109C" w:rsidRPr="00E1328F">
        <w:rPr>
          <w:iCs/>
          <w:lang w:val="en-AU"/>
        </w:rPr>
        <w:t xml:space="preserve"> literacy </w:t>
      </w:r>
      <w:r w:rsidR="00CC4E3F" w:rsidRPr="00E1328F">
        <w:rPr>
          <w:iCs/>
          <w:lang w:val="en-AU"/>
        </w:rPr>
        <w:t>scores.</w:t>
      </w:r>
    </w:p>
    <w:p w:rsidR="00EF313B" w:rsidRDefault="00E43057" w:rsidP="00022BD8">
      <w:r w:rsidRPr="00E1328F">
        <w:t xml:space="preserve">Australian support has resulted in 25 out of 28 target districts allocating additional </w:t>
      </w:r>
      <w:r w:rsidR="00194A60" w:rsidRPr="00E1328F">
        <w:t>budget to activities</w:t>
      </w:r>
      <w:r w:rsidR="00194A60">
        <w:t xml:space="preserve"> supporting improved learning outcomes.</w:t>
      </w:r>
      <w:r>
        <w:rPr>
          <w:rStyle w:val="EndnoteReference"/>
        </w:rPr>
        <w:endnoteReference w:id="45"/>
      </w:r>
      <w:r w:rsidR="00194A60">
        <w:t xml:space="preserve"> Through our long-standing partnership with the World Bank, we supported district governments to improve education services through more accurate budgets, resources and planning. </w:t>
      </w:r>
      <w:r>
        <w:t>O</w:t>
      </w:r>
      <w:r w:rsidR="00194A60">
        <w:t>ur work with UNICEF in Papua province</w:t>
      </w:r>
      <w:r>
        <w:t xml:space="preserve"> </w:t>
      </w:r>
      <w:r w:rsidR="00194A60">
        <w:t>resulted in five of the six partner districts allocating funding to replicate literacy programs and support</w:t>
      </w:r>
      <w:r w:rsidR="004A25E2">
        <w:t>ed</w:t>
      </w:r>
      <w:r w:rsidR="00194A60">
        <w:t xml:space="preserve"> teacher working groups to improve school-level performance. </w:t>
      </w:r>
      <w:r w:rsidR="00194A60" w:rsidRPr="0061644D">
        <w:t>Papua province has the highest levels of illiteracy in Indonesia, with as many as 28.76 per cent of Papua residents unable to read or write</w:t>
      </w:r>
      <w:r w:rsidR="00E505E4">
        <w:t>.</w:t>
      </w:r>
    </w:p>
    <w:p w:rsidR="00CE6E52" w:rsidRDefault="00616148" w:rsidP="00022BD8">
      <w:r w:rsidRPr="00EE1F4D">
        <w:t>Australia conducted an indepe</w:t>
      </w:r>
      <w:r w:rsidR="009F6087" w:rsidRPr="00E003BA">
        <w:t xml:space="preserve">ndent </w:t>
      </w:r>
      <w:r w:rsidR="000B0FA0">
        <w:t xml:space="preserve">strategic </w:t>
      </w:r>
      <w:r w:rsidR="009F6087" w:rsidRPr="00E003BA">
        <w:t>evaluation</w:t>
      </w:r>
      <w:r w:rsidR="00845C34">
        <w:t xml:space="preserve"> of</w:t>
      </w:r>
      <w:r w:rsidR="009F6087" w:rsidRPr="00E003BA">
        <w:t xml:space="preserve"> our education portfolio</w:t>
      </w:r>
      <w:r w:rsidR="009F6087" w:rsidRPr="00EE1F4D">
        <w:t xml:space="preserve"> to strengthen current </w:t>
      </w:r>
      <w:r w:rsidR="000B0FA0" w:rsidRPr="008C1E54">
        <w:t>investments and to inform Australia’s future support to the sector</w:t>
      </w:r>
      <w:r w:rsidR="009F6087" w:rsidRPr="00EE1F4D">
        <w:t xml:space="preserve">. </w:t>
      </w:r>
      <w:r w:rsidR="000B0FA0" w:rsidRPr="008C1E54">
        <w:t>The review focused on the relevance, effectiveness and efficiency of current investments</w:t>
      </w:r>
      <w:r w:rsidR="004740AB" w:rsidRPr="008C1E54">
        <w:t>,</w:t>
      </w:r>
      <w:r w:rsidR="000B0FA0" w:rsidRPr="008C1E54">
        <w:t xml:space="preserve"> and identified lessons and potential improvements in design, governance and management arrangements. </w:t>
      </w:r>
      <w:r w:rsidR="009F6087" w:rsidRPr="00EE1F4D">
        <w:t xml:space="preserve">The evaluation found </w:t>
      </w:r>
      <w:r w:rsidR="009F6087" w:rsidRPr="00E003BA">
        <w:t xml:space="preserve">Australia’s </w:t>
      </w:r>
      <w:r w:rsidR="00194A60" w:rsidRPr="003856CD">
        <w:t xml:space="preserve">basic education investments </w:t>
      </w:r>
      <w:r w:rsidR="00194A60" w:rsidRPr="00F54180">
        <w:t>were highly relevant, exceeding expectations in achieving expected outcomes</w:t>
      </w:r>
      <w:r w:rsidR="009F6087">
        <w:t xml:space="preserve">. </w:t>
      </w:r>
      <w:r w:rsidR="004740AB" w:rsidRPr="008C1E54">
        <w:t>It found investments were</w:t>
      </w:r>
      <w:r w:rsidR="009F6087">
        <w:t xml:space="preserve"> </w:t>
      </w:r>
      <w:r w:rsidR="00194A60" w:rsidRPr="00E003BA">
        <w:t>complementary and responsive to current opportunities and momentum for reform in the sector</w:t>
      </w:r>
      <w:r w:rsidR="00CE6E52" w:rsidRPr="00EE1F4D">
        <w:rPr>
          <w:rStyle w:val="EndnoteReference"/>
        </w:rPr>
        <w:endnoteReference w:id="46"/>
      </w:r>
      <w:r w:rsidR="00194A60" w:rsidRPr="00E003BA">
        <w:t>.</w:t>
      </w:r>
    </w:p>
    <w:p w:rsidR="004A25E2" w:rsidRDefault="004740AB" w:rsidP="00022BD8">
      <w:r w:rsidRPr="008C1E54">
        <w:t>In response to the evaluation recommendations, Australia</w:t>
      </w:r>
      <w:r w:rsidR="00BE1F1C">
        <w:t xml:space="preserve"> </w:t>
      </w:r>
      <w:r w:rsidR="0026770F">
        <w:t xml:space="preserve">will </w:t>
      </w:r>
      <w:r w:rsidRPr="008C1E54">
        <w:t xml:space="preserve">look to streamline investments to improve efficiencies. Human capital development is a critical priority for President Jokowi’s second term and as a trusted partner, Australia is well positioned to continue to provide support. Australia’s priorities will be confirmed in our AIP and </w:t>
      </w:r>
      <w:r w:rsidR="00BE1F1C">
        <w:t>related sector-level strategies</w:t>
      </w:r>
      <w:r w:rsidRPr="008C1E54">
        <w:t xml:space="preserve">. Australia will also look for opportunities to </w:t>
      </w:r>
      <w:r w:rsidR="003D1320" w:rsidRPr="00E003BA">
        <w:t xml:space="preserve">strengthen links across all national Ministry of Education directorates, and broadening engagement with other central and national level agencies; </w:t>
      </w:r>
      <w:r>
        <w:t xml:space="preserve">including </w:t>
      </w:r>
      <w:r w:rsidR="003D1320" w:rsidRPr="00E003BA">
        <w:t>elevating formal relationships w</w:t>
      </w:r>
      <w:r w:rsidR="003D1320" w:rsidRPr="003856CD">
        <w:t>ith MORA.</w:t>
      </w:r>
    </w:p>
    <w:p w:rsidR="008F12EE" w:rsidRDefault="008F12EE" w:rsidP="00022BD8"/>
    <w:p w:rsidR="000F67D4" w:rsidRPr="00EB5F21" w:rsidRDefault="000F67D4" w:rsidP="000F67D4">
      <w:pPr>
        <w:suppressAutoHyphens w:val="0"/>
        <w:spacing w:before="0" w:after="120" w:line="440" w:lineRule="atLeast"/>
      </w:pPr>
      <w:r>
        <w:rPr>
          <w:rFonts w:asciiTheme="majorHAnsi" w:eastAsiaTheme="majorEastAsia" w:hAnsiTheme="majorHAnsi" w:cstheme="majorBidi"/>
          <w:caps/>
          <w:sz w:val="38"/>
          <w:szCs w:val="26"/>
        </w:rPr>
        <w:t xml:space="preserve">Objective 3: AN inclusive society through effective governance </w:t>
      </w: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46"/>
        <w:gridCol w:w="1954"/>
        <w:gridCol w:w="1955"/>
        <w:gridCol w:w="1955"/>
        <w:gridCol w:w="1955"/>
      </w:tblGrid>
      <w:tr w:rsidR="000F67D4" w:rsidTr="000F67D4">
        <w:trPr>
          <w:trHeight w:val="426"/>
        </w:trPr>
        <w:tc>
          <w:tcPr>
            <w:tcW w:w="2046" w:type="dxa"/>
          </w:tcPr>
          <w:p w:rsidR="000F67D4" w:rsidRDefault="000F67D4" w:rsidP="000F67D4">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4256752A" wp14:editId="09D997B7">
                  <wp:extent cx="1137600" cy="720000"/>
                  <wp:effectExtent l="0" t="0" r="5715" b="4445"/>
                  <wp:docPr id="45" name="Picture 45" descr="Teaxt reads: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54"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7B9DF795" wp14:editId="7630007E">
                  <wp:extent cx="609600" cy="609600"/>
                  <wp:effectExtent l="0" t="0" r="0" b="0"/>
                  <wp:docPr id="46" name="Picture 46" descr="Icon for Sustainable Development Goal number 1. No poverty" title="Sustainable Development Goal number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55"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A8FDB3C" wp14:editId="6BDA5134">
                  <wp:extent cx="612000" cy="612000"/>
                  <wp:effectExtent l="0" t="0" r="0" b="0"/>
                  <wp:docPr id="52" name="Picture 52" descr="Icon for Sustainable Development Goal number 5. Gender equality  " title="Sustainable Development Goal number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316A31E0" wp14:editId="52082D20">
                  <wp:extent cx="609600" cy="609600"/>
                  <wp:effectExtent l="0" t="0" r="0" b="0"/>
                  <wp:docPr id="59" name="Picture 59" descr="Icon for Sustainable Development Goal number 8. Decent work and economic growth " title="Sustainable Development Goal number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955" w:type="dxa"/>
          </w:tcPr>
          <w:p w:rsidR="000F67D4" w:rsidRDefault="000F67D4" w:rsidP="000F67D4">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1EB7FACB" wp14:editId="131D133E">
                  <wp:extent cx="612000" cy="612000"/>
                  <wp:effectExtent l="0" t="0" r="0" b="0"/>
                  <wp:docPr id="50" name="Picture 50" descr="Icon for Sustainable Development Goal number 10. Reduced inequalities  " title="Sustainable Development Goal number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0F67D4" w:rsidTr="000F67D4">
        <w:trPr>
          <w:trHeight w:val="521"/>
        </w:trPr>
        <w:tc>
          <w:tcPr>
            <w:tcW w:w="2046" w:type="dxa"/>
          </w:tcPr>
          <w:p w:rsidR="000F67D4" w:rsidRDefault="000F67D4" w:rsidP="000F67D4">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54" w:type="dxa"/>
          </w:tcPr>
          <w:p w:rsidR="000F67D4" w:rsidRPr="00020D6F" w:rsidRDefault="000F67D4" w:rsidP="000F67D4">
            <w:pPr>
              <w:pStyle w:val="ListBullet"/>
              <w:tabs>
                <w:tab w:val="clear" w:pos="284"/>
              </w:tabs>
              <w:spacing w:before="160" w:after="80" w:line="240" w:lineRule="auto"/>
              <w:jc w:val="center"/>
              <w:rPr>
                <w:rFonts w:eastAsiaTheme="majorEastAsia"/>
              </w:rPr>
            </w:pPr>
            <w:r>
              <w:rPr>
                <w:noProof/>
              </w:rPr>
              <w:drawing>
                <wp:inline distT="0" distB="0" distL="0" distR="0" wp14:anchorId="5D77EEAA" wp14:editId="5D0BD1FD">
                  <wp:extent cx="612000" cy="612000"/>
                  <wp:effectExtent l="0" t="0" r="0" b="0"/>
                  <wp:docPr id="60" name="Picture 60" descr="Icon for Sustainable Development Goal number 13. Climate action " title="Sustainable Development Goal number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rsidR="000F67D4" w:rsidRDefault="000F67D4" w:rsidP="000F67D4">
            <w:pPr>
              <w:pStyle w:val="ListBullet"/>
              <w:tabs>
                <w:tab w:val="clear" w:pos="284"/>
              </w:tabs>
              <w:spacing w:before="160" w:after="80" w:line="240" w:lineRule="auto"/>
              <w:jc w:val="center"/>
              <w:rPr>
                <w:noProof/>
              </w:rPr>
            </w:pPr>
            <w:r>
              <w:rPr>
                <w:noProof/>
              </w:rPr>
              <w:drawing>
                <wp:inline distT="0" distB="0" distL="0" distR="0" wp14:anchorId="2983B5C5" wp14:editId="3CE11EC2">
                  <wp:extent cx="612000" cy="612000"/>
                  <wp:effectExtent l="0" t="0" r="0" b="0"/>
                  <wp:docPr id="61" name="Picture 61" descr="Icon for Sustainable Development Goal number 15. Life on land " title="Sustainable Development Goal number 15. Life on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rsidR="000F67D4" w:rsidRDefault="000F67D4" w:rsidP="000F67D4">
            <w:pPr>
              <w:pStyle w:val="ListBullet"/>
              <w:tabs>
                <w:tab w:val="clear" w:pos="284"/>
              </w:tabs>
              <w:spacing w:before="160" w:after="80" w:line="240" w:lineRule="auto"/>
              <w:jc w:val="center"/>
              <w:rPr>
                <w:noProof/>
              </w:rPr>
            </w:pPr>
            <w:r>
              <w:rPr>
                <w:noProof/>
              </w:rPr>
              <w:drawing>
                <wp:inline distT="0" distB="0" distL="0" distR="0" wp14:anchorId="2365CA4D" wp14:editId="130EACF0">
                  <wp:extent cx="608400" cy="612000"/>
                  <wp:effectExtent l="0" t="0" r="1270" b="0"/>
                  <wp:docPr id="62" name="Picture 62" descr="Icon for Sustainable Development Goal number 16. Peace, justice and strong institutions " title="Sustainable Development Goal number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p w:rsidR="000F67D4" w:rsidRPr="002E61DF" w:rsidRDefault="000F67D4" w:rsidP="000F67D4">
            <w:pPr>
              <w:rPr>
                <w:lang w:val="en-AU" w:eastAsia="en-AU"/>
              </w:rPr>
            </w:pPr>
          </w:p>
        </w:tc>
        <w:tc>
          <w:tcPr>
            <w:tcW w:w="1955" w:type="dxa"/>
          </w:tcPr>
          <w:p w:rsidR="000F67D4" w:rsidRDefault="000F67D4" w:rsidP="000F67D4">
            <w:pPr>
              <w:pStyle w:val="ListBullet"/>
              <w:tabs>
                <w:tab w:val="clear" w:pos="284"/>
              </w:tabs>
              <w:spacing w:before="160" w:after="80" w:line="240" w:lineRule="auto"/>
              <w:jc w:val="center"/>
              <w:rPr>
                <w:noProof/>
              </w:rPr>
            </w:pPr>
          </w:p>
        </w:tc>
      </w:tr>
    </w:tbl>
    <w:p w:rsidR="004D398C" w:rsidRDefault="004D398C" w:rsidP="000F67D4">
      <w:pPr>
        <w:rPr>
          <w:b/>
          <w:sz w:val="24"/>
        </w:rPr>
      </w:pPr>
    </w:p>
    <w:p w:rsidR="000F67D4" w:rsidRPr="008C2F58" w:rsidRDefault="000F67D4" w:rsidP="000F67D4">
      <w:pPr>
        <w:rPr>
          <w:b/>
          <w:sz w:val="24"/>
        </w:rPr>
      </w:pPr>
      <w:r w:rsidRPr="008C2F58">
        <w:rPr>
          <w:b/>
          <w:sz w:val="24"/>
        </w:rPr>
        <w:t xml:space="preserve">Table </w:t>
      </w:r>
      <w:r>
        <w:rPr>
          <w:b/>
          <w:sz w:val="24"/>
        </w:rPr>
        <w:t>4</w:t>
      </w:r>
      <w:r w:rsidRPr="008C2F58">
        <w:rPr>
          <w:b/>
          <w:sz w:val="24"/>
        </w:rPr>
        <w:t xml:space="preserve"> Rating of the Program's Progress towards Australia’s Aid Objec</w:t>
      </w:r>
      <w:r>
        <w:rPr>
          <w:b/>
          <w:sz w:val="24"/>
        </w:rPr>
        <w:t>tive 3</w:t>
      </w:r>
    </w:p>
    <w:tbl>
      <w:tblPr>
        <w:tblStyle w:val="APPR"/>
        <w:tblW w:w="4854" w:type="pct"/>
        <w:tblLook w:val="0000" w:firstRow="0" w:lastRow="0" w:firstColumn="0" w:lastColumn="0" w:noHBand="0" w:noVBand="0"/>
        <w:tblCaption w:val="Ratings of the Program's Progress towards Australia's Aid Objective 3"/>
        <w:tblDescription w:val="Objective 3: An Inclusive Society Through Effective Governance - previous rating green, current rating green. Outcome 7: Governments - national and local - deliver the services communities need - previous rating green, current rating green. Outcome 8: Women have a voice in decision making and access to better jobs and services - previous rating green, current rating green. Outcome 9: Marginalised groups can advocate for and access basic services - previous rating amber, current rating amber. Outcome 10: Climate change impacts are lessened through better land management - previous raitng green, current rating amber. Outcome 11: Public policies are inclusive and informed by evidence - previous rating green, current rating green. "/>
      </w:tblPr>
      <w:tblGrid>
        <w:gridCol w:w="6687"/>
        <w:gridCol w:w="1358"/>
        <w:gridCol w:w="1312"/>
      </w:tblGrid>
      <w:tr w:rsidR="000F67D4" w:rsidRPr="00C61187" w:rsidTr="00AD7096">
        <w:trPr>
          <w:cnfStyle w:val="000000010000" w:firstRow="0" w:lastRow="0" w:firstColumn="0" w:lastColumn="0" w:oddVBand="0" w:evenVBand="0" w:oddHBand="0" w:evenHBand="1" w:firstRowFirstColumn="0" w:firstRowLastColumn="0" w:lastRowFirstColumn="0" w:lastRowLastColumn="0"/>
          <w:trHeight w:val="651"/>
        </w:trPr>
        <w:tc>
          <w:tcPr>
            <w:tcW w:w="6645" w:type="dxa"/>
          </w:tcPr>
          <w:p w:rsidR="000F67D4" w:rsidRPr="00BE6C6D" w:rsidRDefault="000F67D4" w:rsidP="000F67D4">
            <w:pPr>
              <w:pStyle w:val="NormalIndented"/>
              <w:spacing w:before="0"/>
              <w:rPr>
                <w:sz w:val="18"/>
                <w:lang w:eastAsia="en-US"/>
              </w:rPr>
            </w:pPr>
            <w:r w:rsidRPr="00BE6C6D">
              <w:rPr>
                <w:noProof/>
                <w:sz w:val="18"/>
                <w:lang w:val="en-AU"/>
              </w:rPr>
              <w:drawing>
                <wp:anchor distT="0" distB="0" distL="114300" distR="114300" simplePos="0" relativeHeight="251689984" behindDoc="0" locked="0" layoutInCell="1" allowOverlap="1" wp14:anchorId="350D392C" wp14:editId="5757197C">
                  <wp:simplePos x="0" y="0"/>
                  <wp:positionH relativeFrom="column">
                    <wp:posOffset>0</wp:posOffset>
                  </wp:positionH>
                  <wp:positionV relativeFrom="paragraph">
                    <wp:posOffset>0</wp:posOffset>
                  </wp:positionV>
                  <wp:extent cx="1857375" cy="228600"/>
                  <wp:effectExtent l="0" t="0" r="9525" b="0"/>
                  <wp:wrapNone/>
                  <wp:docPr id="72" name="Picture 7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rsidR="000F67D4" w:rsidRPr="00BE6C6D" w:rsidRDefault="000F67D4" w:rsidP="000F67D4">
            <w:pPr>
              <w:pStyle w:val="NormalIndented"/>
              <w:spacing w:before="0"/>
              <w:rPr>
                <w:sz w:val="18"/>
                <w:lang w:eastAsia="en-US"/>
              </w:rPr>
            </w:pPr>
            <w:r w:rsidRPr="00BE6C6D">
              <w:rPr>
                <w:sz w:val="18"/>
                <w:lang w:eastAsia="en-US"/>
              </w:rPr>
              <w:t>Previous Rating</w:t>
            </w:r>
          </w:p>
        </w:tc>
        <w:tc>
          <w:tcPr>
            <w:tcW w:w="1270" w:type="dxa"/>
          </w:tcPr>
          <w:p w:rsidR="000F67D4" w:rsidRPr="00BE6C6D" w:rsidRDefault="000F67D4" w:rsidP="000F67D4">
            <w:pPr>
              <w:pStyle w:val="NormalIndented"/>
              <w:spacing w:before="0"/>
              <w:rPr>
                <w:sz w:val="18"/>
                <w:lang w:eastAsia="en-US"/>
              </w:rPr>
            </w:pPr>
            <w:r w:rsidRPr="00BE6C6D">
              <w:rPr>
                <w:sz w:val="18"/>
                <w:lang w:eastAsia="en-US"/>
              </w:rPr>
              <w:t>Current Rating</w:t>
            </w:r>
          </w:p>
        </w:tc>
      </w:tr>
      <w:tr w:rsidR="00EB1864" w:rsidRPr="00C61187" w:rsidTr="00EB1864">
        <w:trPr>
          <w:cnfStyle w:val="000000010000" w:firstRow="0" w:lastRow="0" w:firstColumn="0" w:lastColumn="0" w:oddVBand="0" w:evenVBand="0" w:oddHBand="0" w:evenHBand="1" w:firstRowFirstColumn="0" w:firstRowLastColumn="0" w:lastRowFirstColumn="0" w:lastRowLastColumn="0"/>
        </w:trPr>
        <w:tc>
          <w:tcPr>
            <w:tcW w:w="66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1864" w:rsidRPr="00050B7D" w:rsidRDefault="00EB1864" w:rsidP="00EB1864">
            <w:pPr>
              <w:pStyle w:val="NormalIndented"/>
              <w:spacing w:before="0"/>
              <w:ind w:left="0"/>
              <w:rPr>
                <w:b/>
                <w:sz w:val="16"/>
                <w:lang w:eastAsia="en-US"/>
              </w:rPr>
            </w:pPr>
            <w:r w:rsidRPr="00050B7D">
              <w:rPr>
                <w:b/>
                <w:sz w:val="16"/>
                <w:lang w:eastAsia="en-US"/>
              </w:rPr>
              <w:t xml:space="preserve">Objective 3: An Inclusive Society Through Effective Governance </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EB1864" w:rsidRPr="00BE6C6D" w:rsidRDefault="00EB1864" w:rsidP="00EB1864">
            <w:pPr>
              <w:pStyle w:val="NormalIndented"/>
              <w:spacing w:before="0"/>
              <w:rPr>
                <w:color w:val="FFFFFF" w:themeColor="background1"/>
                <w:sz w:val="16"/>
                <w:lang w:eastAsia="en-US"/>
              </w:rPr>
            </w:pPr>
            <w:r>
              <w:rPr>
                <w:color w:val="FFFFFF" w:themeColor="background1"/>
                <w:sz w:val="16"/>
                <w:lang w:eastAsia="en-US"/>
              </w:rPr>
              <w:t>Green</w:t>
            </w:r>
          </w:p>
        </w:tc>
        <w:tc>
          <w:tcPr>
            <w:tcW w:w="12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rsidR="00EB1864" w:rsidRPr="00BE6C6D" w:rsidRDefault="00EB1864" w:rsidP="00EB1864">
            <w:pPr>
              <w:pStyle w:val="NormalIndented"/>
              <w:spacing w:before="0"/>
              <w:rPr>
                <w:color w:val="FFFFFF" w:themeColor="background1"/>
                <w:sz w:val="16"/>
                <w:lang w:eastAsia="en-US"/>
              </w:rPr>
            </w:pPr>
            <w:r>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BE6C6D" w:rsidRDefault="00AD7096" w:rsidP="00AD7096">
            <w:pPr>
              <w:pStyle w:val="NormalIndented"/>
              <w:spacing w:before="0"/>
              <w:ind w:left="0"/>
              <w:rPr>
                <w:sz w:val="16"/>
                <w:lang w:eastAsia="en-US"/>
              </w:rPr>
            </w:pPr>
            <w:r>
              <w:rPr>
                <w:sz w:val="16"/>
                <w:lang w:eastAsia="en-US"/>
              </w:rPr>
              <w:t xml:space="preserve"> Outcome 7: Governments – national and local – deliver the services communities need</w:t>
            </w:r>
          </w:p>
        </w:tc>
        <w:tc>
          <w:tcPr>
            <w:tcW w:w="133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AD7096">
        <w:trPr>
          <w:cnfStyle w:val="000000010000" w:firstRow="0" w:lastRow="0" w:firstColumn="0" w:lastColumn="0" w:oddVBand="0" w:evenVBand="0" w:oddHBand="0" w:evenHBand="1" w:firstRowFirstColumn="0" w:firstRowLastColumn="0" w:lastRowFirstColumn="0" w:lastRowLastColumn="0"/>
        </w:trPr>
        <w:tc>
          <w:tcPr>
            <w:tcW w:w="6645" w:type="dxa"/>
          </w:tcPr>
          <w:p w:rsidR="00AD7096" w:rsidRPr="00BE6C6D" w:rsidRDefault="00AD7096" w:rsidP="00AD7096">
            <w:pPr>
              <w:pStyle w:val="NormalIndented"/>
              <w:spacing w:before="0"/>
              <w:ind w:left="0"/>
              <w:rPr>
                <w:sz w:val="16"/>
                <w:lang w:eastAsia="en-US"/>
              </w:rPr>
            </w:pPr>
            <w:r>
              <w:rPr>
                <w:sz w:val="16"/>
                <w:lang w:eastAsia="en-US"/>
              </w:rPr>
              <w:t xml:space="preserve"> Outcome 8: Women have a voice in decision making and access to better jobs and services   </w:t>
            </w:r>
          </w:p>
        </w:tc>
        <w:tc>
          <w:tcPr>
            <w:tcW w:w="133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6B531"/>
            <w:noWrap/>
            <w:vAlign w:val="center"/>
          </w:tcPr>
          <w:p w:rsidR="00AD7096" w:rsidRPr="00BE6C6D" w:rsidRDefault="00AD7096" w:rsidP="00AD7096">
            <w:pPr>
              <w:pStyle w:val="NormalIndented"/>
              <w:spacing w:before="0"/>
              <w:rPr>
                <w:color w:val="FFFFFF" w:themeColor="background1"/>
                <w:sz w:val="16"/>
                <w:lang w:eastAsia="en-US"/>
              </w:rPr>
            </w:pPr>
            <w:r w:rsidRPr="00BE6C6D">
              <w:rPr>
                <w:color w:val="FFFFFF" w:themeColor="background1"/>
                <w:sz w:val="16"/>
                <w:lang w:eastAsia="en-US"/>
              </w:rPr>
              <w:t>Green</w:t>
            </w:r>
          </w:p>
        </w:tc>
      </w:tr>
      <w:tr w:rsidR="00AD7096" w:rsidRPr="00C61187" w:rsidTr="00780F21">
        <w:trPr>
          <w:cnfStyle w:val="000000010000" w:firstRow="0" w:lastRow="0" w:firstColumn="0" w:lastColumn="0" w:oddVBand="0" w:evenVBand="0" w:oddHBand="0" w:evenHBand="1" w:firstRowFirstColumn="0" w:firstRowLastColumn="0" w:lastRowFirstColumn="0" w:lastRowLastColumn="0"/>
        </w:trPr>
        <w:tc>
          <w:tcPr>
            <w:tcW w:w="6645" w:type="dxa"/>
          </w:tcPr>
          <w:p w:rsidR="00AD7096" w:rsidRDefault="00AD7096" w:rsidP="00AD7096">
            <w:pPr>
              <w:pStyle w:val="NormalIndented"/>
              <w:spacing w:before="0"/>
              <w:ind w:left="0"/>
              <w:rPr>
                <w:sz w:val="16"/>
              </w:rPr>
            </w:pPr>
            <w:r>
              <w:rPr>
                <w:sz w:val="16"/>
              </w:rPr>
              <w:t xml:space="preserve"> Outcome 9: </w:t>
            </w:r>
            <w:r w:rsidRPr="00455019">
              <w:rPr>
                <w:sz w:val="16"/>
              </w:rPr>
              <w:t>Marginalised groups can advocate for and access basic services</w:t>
            </w:r>
            <w:r>
              <w:rPr>
                <w:sz w:val="16"/>
              </w:rPr>
              <w:t xml:space="preserve"> </w:t>
            </w:r>
          </w:p>
        </w:tc>
        <w:tc>
          <w:tcPr>
            <w:tcW w:w="1330" w:type="dxa"/>
            <w:shd w:val="clear" w:color="auto" w:fill="FF9900"/>
            <w:noWrap/>
            <w:vAlign w:val="center"/>
          </w:tcPr>
          <w:p w:rsidR="00AD7096" w:rsidRPr="00BE6C6D" w:rsidRDefault="00AD7096" w:rsidP="00AD7096">
            <w:pPr>
              <w:pStyle w:val="NormalIndented"/>
              <w:spacing w:before="0"/>
              <w:rPr>
                <w:color w:val="FFFFFF" w:themeColor="background1"/>
                <w:sz w:val="16"/>
                <w:lang w:eastAsia="en-US"/>
              </w:rPr>
            </w:pPr>
            <w:r>
              <w:rPr>
                <w:color w:val="FFFFFF" w:themeColor="background1"/>
                <w:sz w:val="16"/>
                <w:lang w:eastAsia="en-US"/>
              </w:rPr>
              <w:t>Amber</w:t>
            </w:r>
          </w:p>
        </w:tc>
        <w:tc>
          <w:tcPr>
            <w:tcW w:w="1270" w:type="dxa"/>
            <w:shd w:val="clear" w:color="auto" w:fill="FF9900"/>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Amber</w:t>
            </w:r>
          </w:p>
        </w:tc>
      </w:tr>
      <w:tr w:rsidR="00AD7096" w:rsidRPr="00C61187" w:rsidTr="00780F21">
        <w:trPr>
          <w:cnfStyle w:val="000000010000" w:firstRow="0" w:lastRow="0" w:firstColumn="0" w:lastColumn="0" w:oddVBand="0" w:evenVBand="0" w:oddHBand="0" w:evenHBand="1" w:firstRowFirstColumn="0" w:firstRowLastColumn="0" w:lastRowFirstColumn="0" w:lastRowLastColumn="0"/>
        </w:trPr>
        <w:tc>
          <w:tcPr>
            <w:tcW w:w="6645" w:type="dxa"/>
          </w:tcPr>
          <w:p w:rsidR="00AD7096" w:rsidRDefault="00AD7096" w:rsidP="00AD7096">
            <w:pPr>
              <w:pStyle w:val="NormalIndented"/>
              <w:spacing w:before="0"/>
              <w:ind w:left="0"/>
              <w:rPr>
                <w:sz w:val="16"/>
              </w:rPr>
            </w:pPr>
            <w:r>
              <w:rPr>
                <w:sz w:val="16"/>
              </w:rPr>
              <w:t xml:space="preserve"> Outcome 10: Climate change impacts are lessened through better land management </w:t>
            </w:r>
          </w:p>
        </w:tc>
        <w:tc>
          <w:tcPr>
            <w:tcW w:w="1330" w:type="dxa"/>
            <w:shd w:val="clear" w:color="auto" w:fill="FF9900"/>
            <w:noWrap/>
            <w:vAlign w:val="center"/>
          </w:tcPr>
          <w:p w:rsidR="00AD7096" w:rsidRPr="00BE6C6D" w:rsidRDefault="00AD7096" w:rsidP="00AD7096">
            <w:pPr>
              <w:pStyle w:val="NormalIndented"/>
              <w:spacing w:before="0"/>
              <w:rPr>
                <w:color w:val="FFFFFF" w:themeColor="background1"/>
                <w:sz w:val="16"/>
                <w:lang w:eastAsia="en-US"/>
              </w:rPr>
            </w:pPr>
            <w:r>
              <w:rPr>
                <w:color w:val="FFFFFF" w:themeColor="background1"/>
                <w:sz w:val="16"/>
                <w:lang w:eastAsia="en-US"/>
              </w:rPr>
              <w:t>Amber</w:t>
            </w:r>
          </w:p>
        </w:tc>
        <w:tc>
          <w:tcPr>
            <w:tcW w:w="1270" w:type="dxa"/>
            <w:shd w:val="clear" w:color="auto" w:fill="FF9900"/>
            <w:noWrap/>
            <w:vAlign w:val="center"/>
          </w:tcPr>
          <w:p w:rsidR="00AD7096" w:rsidRPr="00BE6C6D" w:rsidRDefault="00780F21" w:rsidP="00AD7096">
            <w:pPr>
              <w:pStyle w:val="NormalIndented"/>
              <w:spacing w:before="0"/>
              <w:rPr>
                <w:color w:val="FFFFFF" w:themeColor="background1"/>
                <w:sz w:val="16"/>
                <w:lang w:eastAsia="en-US"/>
              </w:rPr>
            </w:pPr>
            <w:r>
              <w:rPr>
                <w:color w:val="FFFFFF" w:themeColor="background1"/>
                <w:sz w:val="16"/>
                <w:lang w:eastAsia="en-US"/>
              </w:rPr>
              <w:t>Amber</w:t>
            </w:r>
          </w:p>
        </w:tc>
      </w:tr>
      <w:tr w:rsidR="00EB1864" w:rsidRPr="00C61187" w:rsidTr="00EB1864">
        <w:trPr>
          <w:cnfStyle w:val="000000010000" w:firstRow="0" w:lastRow="0" w:firstColumn="0" w:lastColumn="0" w:oddVBand="0" w:evenVBand="0" w:oddHBand="0" w:evenHBand="1" w:firstRowFirstColumn="0" w:firstRowLastColumn="0" w:lastRowFirstColumn="0" w:lastRowLastColumn="0"/>
        </w:trPr>
        <w:tc>
          <w:tcPr>
            <w:tcW w:w="6645" w:type="dxa"/>
          </w:tcPr>
          <w:p w:rsidR="00EB1864" w:rsidRDefault="00EB1864" w:rsidP="00EB1864">
            <w:pPr>
              <w:pStyle w:val="NormalIndented"/>
              <w:spacing w:before="0"/>
              <w:ind w:left="0"/>
              <w:rPr>
                <w:sz w:val="16"/>
              </w:rPr>
            </w:pPr>
            <w:r>
              <w:rPr>
                <w:sz w:val="16"/>
              </w:rPr>
              <w:t xml:space="preserve"> Outcome 11: Public policies are inclusive and informed by evidence </w:t>
            </w:r>
          </w:p>
        </w:tc>
        <w:tc>
          <w:tcPr>
            <w:tcW w:w="1330" w:type="dxa"/>
            <w:shd w:val="clear" w:color="auto" w:fill="76B531"/>
            <w:noWrap/>
            <w:vAlign w:val="center"/>
          </w:tcPr>
          <w:p w:rsidR="00EB1864" w:rsidRPr="00BE6C6D" w:rsidRDefault="00EB1864" w:rsidP="00EB1864">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6B531"/>
            <w:noWrap/>
            <w:vAlign w:val="center"/>
          </w:tcPr>
          <w:p w:rsidR="00EB1864" w:rsidRPr="00BE6C6D" w:rsidRDefault="00EB1864" w:rsidP="00EB1864">
            <w:pPr>
              <w:pStyle w:val="NormalIndented"/>
              <w:spacing w:before="0"/>
              <w:rPr>
                <w:color w:val="FFFFFF" w:themeColor="background1"/>
                <w:sz w:val="16"/>
                <w:lang w:eastAsia="en-US"/>
              </w:rPr>
            </w:pPr>
            <w:r w:rsidRPr="00BE6C6D">
              <w:rPr>
                <w:color w:val="FFFFFF" w:themeColor="background1"/>
                <w:sz w:val="16"/>
                <w:lang w:eastAsia="en-US"/>
              </w:rPr>
              <w:t>Green</w:t>
            </w:r>
          </w:p>
        </w:tc>
      </w:tr>
    </w:tbl>
    <w:p w:rsidR="000F67D4" w:rsidRPr="00BE6C6D" w:rsidRDefault="000F67D4" w:rsidP="000F67D4">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0F67D4" w:rsidRPr="00BE6C6D" w:rsidRDefault="000F67D4" w:rsidP="000F67D4">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0F67D4" w:rsidRDefault="000F67D4" w:rsidP="000F67D4">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w:t>
      </w:r>
      <w:r>
        <w:rPr>
          <w:sz w:val="16"/>
        </w:rPr>
        <w:t>g the objective may be required</w:t>
      </w:r>
    </w:p>
    <w:p w:rsidR="00EC4A22" w:rsidRPr="005D6183" w:rsidRDefault="004275A8" w:rsidP="003C3FC6">
      <w:r w:rsidRPr="00EE1F4D">
        <w:t xml:space="preserve">Indonesia requires strong, resilient and fair institutions to support sustained and inclusive growth. </w:t>
      </w:r>
      <w:r>
        <w:t xml:space="preserve">Celebrating 20 years of democracy in 2018, Indonesia has made significant progress, but more needs to be done to meet the needs and protect the rights of the poor and marginalised. Services are not yet accessible to all and some minority groups continue to face discrimination. </w:t>
      </w:r>
      <w:r w:rsidR="00F10744">
        <w:t xml:space="preserve">Gender inequality continues to limit Indonesia reaching its full economic potential, with only 55.5 per cent of women participating in the workforce compared with 83.2 per cent men. </w:t>
      </w:r>
      <w:r>
        <w:t xml:space="preserve">Australia is working with Indonesia to ensure that the poor and marginalised in society benefit from economic growth. </w:t>
      </w:r>
      <w:r w:rsidR="00F10744">
        <w:t>This includes working with civil society groups to ensure the voice of marginalised people (such as women, people with disability and ethnic and religious minorities) in decision making to advocate for improved services. Australia is also supporting the Indonesian government in evidence-based policy</w:t>
      </w:r>
      <w:r w:rsidR="003C4A58">
        <w:t>, including drawing on the experience from Australia’s own investments to inform Indonesia’s next medium-term development plan (RPJMN).</w:t>
      </w:r>
    </w:p>
    <w:p w:rsidR="003C3FC6" w:rsidRPr="00433F00" w:rsidRDefault="003C3FC6" w:rsidP="003C3FC6">
      <w:pPr>
        <w:rPr>
          <w:u w:val="single"/>
        </w:rPr>
      </w:pPr>
      <w:r w:rsidRPr="00433F00">
        <w:rPr>
          <w:u w:val="single"/>
        </w:rPr>
        <w:t>Outcome 7:  Government – national and local – deliver the services communities need</w:t>
      </w:r>
    </w:p>
    <w:p w:rsidR="003C3FC6" w:rsidRDefault="003C3FC6" w:rsidP="003C3FC6">
      <w:pPr>
        <w:rPr>
          <w:b/>
        </w:rPr>
      </w:pPr>
      <w:r>
        <w:rPr>
          <w:b/>
        </w:rPr>
        <w:t>Outcome 7 has been rated green despite varied progress to improve village budget allocation</w:t>
      </w:r>
      <w:r w:rsidR="00BB67BA">
        <w:rPr>
          <w:b/>
        </w:rPr>
        <w:t xml:space="preserve"> for basic services</w:t>
      </w:r>
      <w:r>
        <w:rPr>
          <w:b/>
        </w:rPr>
        <w:t>, there were exceptionally strong results to support people to obtain identity documents, and increased child grant transfers in Papua Province</w:t>
      </w:r>
      <w:r w:rsidR="00BB67BA">
        <w:rPr>
          <w:b/>
        </w:rPr>
        <w:t>.</w:t>
      </w:r>
    </w:p>
    <w:p w:rsidR="00BC35E5" w:rsidRDefault="003C3FC6" w:rsidP="003C3FC6">
      <w:r>
        <w:t>The scale of decentralisation in Indonesia is</w:t>
      </w:r>
      <w:r w:rsidR="00BE1F1C">
        <w:t xml:space="preserve"> large and</w:t>
      </w:r>
      <w:r>
        <w:t xml:space="preserve"> complex, with a population of 264 million people spread across a diverse archipelago of 13,500 populated islands, 34 provinces</w:t>
      </w:r>
      <w:r w:rsidR="00BC35E5">
        <w:t xml:space="preserve">, and </w:t>
      </w:r>
      <w:r>
        <w:t xml:space="preserve">more than 500 districts that service </w:t>
      </w:r>
      <w:r w:rsidR="00845C34">
        <w:t>more than 75,000</w:t>
      </w:r>
      <w:r>
        <w:t xml:space="preserve"> villages. </w:t>
      </w:r>
      <w:r w:rsidR="00A555BD">
        <w:t xml:space="preserve">Local governments are essential in providing </w:t>
      </w:r>
      <w:r>
        <w:t>access to health, education and social protection programs that can lift people out of poverty and reduce inequality across the country.</w:t>
      </w:r>
      <w:r w:rsidR="005A6513">
        <w:t xml:space="preserve"> </w:t>
      </w:r>
      <w:r>
        <w:t>The logistics challenge has often seen fragmented results and duplicative regulations</w:t>
      </w:r>
      <w:r w:rsidR="00E003BA">
        <w:t>, creating</w:t>
      </w:r>
      <w:r>
        <w:t xml:space="preserve"> confusion among districts and villages.  </w:t>
      </w:r>
    </w:p>
    <w:p w:rsidR="007D7832" w:rsidRDefault="003C3FC6" w:rsidP="007D7832">
      <w:r>
        <w:t xml:space="preserve">Australia is working with </w:t>
      </w:r>
      <w:r w:rsidR="00B66E7E">
        <w:t>Indonesia’s</w:t>
      </w:r>
      <w:r>
        <w:t xml:space="preserve"> national and district </w:t>
      </w:r>
      <w:r w:rsidR="00B66E7E">
        <w:t xml:space="preserve">level </w:t>
      </w:r>
      <w:r>
        <w:t xml:space="preserve">government to improve the regulatory environment and empower local governments to better allocate resources, strengthen budget skills and </w:t>
      </w:r>
      <w:r w:rsidR="001414B1">
        <w:t>plan basic service delivery</w:t>
      </w:r>
      <w:r w:rsidR="00A55B9F">
        <w:t xml:space="preserve"> based on community needs</w:t>
      </w:r>
      <w:r w:rsidR="00E07F55">
        <w:rPr>
          <w:rStyle w:val="EndnoteReference"/>
        </w:rPr>
        <w:endnoteReference w:id="47"/>
      </w:r>
      <w:r>
        <w:t xml:space="preserve">. </w:t>
      </w:r>
      <w:r w:rsidR="001414B1">
        <w:t>Australia</w:t>
      </w:r>
      <w:r w:rsidR="00723B62">
        <w:t xml:space="preserve"> supported the Ministry of Home Affairs on the</w:t>
      </w:r>
      <w:r w:rsidR="003856CD">
        <w:t xml:space="preserve"> release of a </w:t>
      </w:r>
      <w:r w:rsidR="001414B1">
        <w:t xml:space="preserve">revised regulation </w:t>
      </w:r>
      <w:r w:rsidR="003856CD">
        <w:t>giving</w:t>
      </w:r>
      <w:r w:rsidR="001414B1">
        <w:t xml:space="preserve"> authority to the district government to delegate powers and </w:t>
      </w:r>
      <w:r w:rsidR="003856CD">
        <w:t>funding to</w:t>
      </w:r>
      <w:r w:rsidR="001414B1">
        <w:t xml:space="preserve"> the sub-district </w:t>
      </w:r>
      <w:r w:rsidR="00723B62">
        <w:t>(</w:t>
      </w:r>
      <w:r w:rsidR="00E0358A" w:rsidRPr="001302EE">
        <w:rPr>
          <w:i/>
        </w:rPr>
        <w:t>keca</w:t>
      </w:r>
      <w:r w:rsidR="00643934">
        <w:rPr>
          <w:i/>
        </w:rPr>
        <w:t>mata</w:t>
      </w:r>
      <w:r w:rsidR="00723B62" w:rsidRPr="001302EE">
        <w:rPr>
          <w:i/>
        </w:rPr>
        <w:t>n</w:t>
      </w:r>
      <w:r w:rsidR="00723B62">
        <w:t xml:space="preserve">) </w:t>
      </w:r>
      <w:r w:rsidR="001414B1" w:rsidRPr="001302EE">
        <w:t>level</w:t>
      </w:r>
      <w:r w:rsidR="001414B1">
        <w:t>. Australia</w:t>
      </w:r>
      <w:r w:rsidR="00E0714F">
        <w:t xml:space="preserve"> </w:t>
      </w:r>
      <w:r w:rsidR="00E0358A">
        <w:t xml:space="preserve">helped </w:t>
      </w:r>
      <w:r w:rsidR="00BB747E">
        <w:t>19</w:t>
      </w:r>
      <w:r w:rsidR="00E0358A">
        <w:t xml:space="preserve"> </w:t>
      </w:r>
      <w:r w:rsidR="001414B1">
        <w:t>districts</w:t>
      </w:r>
      <w:r w:rsidR="00E0358A">
        <w:t xml:space="preserve"> (across the </w:t>
      </w:r>
      <w:r w:rsidR="00BB747E">
        <w:t>seven</w:t>
      </w:r>
      <w:r w:rsidR="00E0358A">
        <w:t xml:space="preserve"> provinces</w:t>
      </w:r>
      <w:r w:rsidR="001E5970">
        <w:t>:</w:t>
      </w:r>
      <w:r w:rsidR="00E0358A" w:rsidRPr="00EE1F4D">
        <w:t xml:space="preserve"> Aceh, Central </w:t>
      </w:r>
      <w:r w:rsidR="006F2CFB">
        <w:t xml:space="preserve">Java, East Java, South Sulawesi, </w:t>
      </w:r>
      <w:r w:rsidR="00E0358A" w:rsidRPr="00EE1F4D">
        <w:t>Nusa Tenggara Barat</w:t>
      </w:r>
      <w:r w:rsidR="00BB747E">
        <w:t>, Papua and Papua Barat</w:t>
      </w:r>
      <w:r w:rsidR="00E0358A">
        <w:t xml:space="preserve">) </w:t>
      </w:r>
      <w:r w:rsidR="001414B1">
        <w:t>to translate this national regulation into local policy.</w:t>
      </w:r>
      <w:r w:rsidR="00E0358A">
        <w:t xml:space="preserve"> </w:t>
      </w:r>
      <w:r w:rsidR="007D7832">
        <w:t xml:space="preserve">With </w:t>
      </w:r>
      <w:r w:rsidR="00A555BD">
        <w:t>increased</w:t>
      </w:r>
      <w:r w:rsidR="00A04E01">
        <w:t xml:space="preserve"> oversight from </w:t>
      </w:r>
      <w:r w:rsidR="007D7832">
        <w:t>sub-district government</w:t>
      </w:r>
      <w:r w:rsidR="00A04E01">
        <w:t>s</w:t>
      </w:r>
      <w:r w:rsidR="003856CD">
        <w:t>,</w:t>
      </w:r>
      <w:r w:rsidR="007D7832">
        <w:t xml:space="preserve"> 311 villages have strengthened their planning and budgeting for basic </w:t>
      </w:r>
      <w:r w:rsidR="00A55B9F">
        <w:t>service delivery</w:t>
      </w:r>
      <w:r w:rsidR="007D7832">
        <w:t xml:space="preserve">. </w:t>
      </w:r>
      <w:r w:rsidR="009A7E28">
        <w:t xml:space="preserve">Target villages </w:t>
      </w:r>
      <w:r w:rsidR="00123B90">
        <w:t>have now met the requirement</w:t>
      </w:r>
      <w:r w:rsidR="007D7832" w:rsidRPr="00A83C97">
        <w:t xml:space="preserve"> to</w:t>
      </w:r>
      <w:r w:rsidR="00123B90">
        <w:t xml:space="preserve"> allocate</w:t>
      </w:r>
      <w:r w:rsidR="007D7832" w:rsidRPr="00A83C97">
        <w:t xml:space="preserve"> 20 per cent of village funds for basic services, like health, education, legal identity, and basic infrastructure</w:t>
      </w:r>
      <w:r w:rsidR="007D7832">
        <w:rPr>
          <w:rStyle w:val="EndnoteReference"/>
        </w:rPr>
        <w:endnoteReference w:id="48"/>
      </w:r>
      <w:r w:rsidR="007D7832" w:rsidRPr="00A83C97">
        <w:t xml:space="preserve">. </w:t>
      </w:r>
      <w:r w:rsidR="00E0358A">
        <w:t>T</w:t>
      </w:r>
      <w:r w:rsidR="007D7832">
        <w:t>here has been evidence of some villages allocating up to 50 per cent</w:t>
      </w:r>
      <w:r w:rsidR="00123B90">
        <w:t>, but this needs to be confirmed through improved monitoring and evaluation</w:t>
      </w:r>
      <w:r w:rsidR="007D7832">
        <w:t>.</w:t>
      </w:r>
      <w:r w:rsidR="002D0C33">
        <w:t xml:space="preserve"> Going forward, Australia will help villages improve data collection techniques to accurately capture </w:t>
      </w:r>
      <w:r w:rsidR="00BE1F1C">
        <w:t xml:space="preserve">results </w:t>
      </w:r>
      <w:r w:rsidR="002D0C33">
        <w:t>on a year-by-year basis.</w:t>
      </w:r>
    </w:p>
    <w:p w:rsidR="005B626D" w:rsidRDefault="005B626D" w:rsidP="005B626D">
      <w:r>
        <w:t xml:space="preserve">Australia </w:t>
      </w:r>
      <w:r w:rsidR="003D2CD8">
        <w:t>helped</w:t>
      </w:r>
      <w:r>
        <w:t xml:space="preserve"> poor households, including women head of households and marginalised groups, to access identity documents that are critical to applying for basic and financial services such as banking</w:t>
      </w:r>
      <w:r w:rsidR="00E07F55">
        <w:rPr>
          <w:rStyle w:val="EndnoteReference"/>
        </w:rPr>
        <w:endnoteReference w:id="49"/>
      </w:r>
      <w:r>
        <w:t>. There are approximately 30 million Indonesian children between 0-17 years old without a birth certificate.</w:t>
      </w:r>
      <w:r w:rsidR="00E0358A">
        <w:rPr>
          <w:rStyle w:val="EndnoteReference"/>
        </w:rPr>
        <w:endnoteReference w:id="50"/>
      </w:r>
      <w:r w:rsidR="00E0358A">
        <w:t xml:space="preserve"> </w:t>
      </w:r>
      <w:r>
        <w:t>T</w:t>
      </w:r>
      <w:r w:rsidRPr="002C4EED">
        <w:rPr>
          <w:rFonts w:eastAsia="Calibri Light" w:cs="Times New Roman"/>
        </w:rPr>
        <w:t xml:space="preserve">he absence of </w:t>
      </w:r>
      <w:r>
        <w:rPr>
          <w:rFonts w:eastAsia="Calibri Light" w:cs="Times New Roman"/>
        </w:rPr>
        <w:t xml:space="preserve">identity documents </w:t>
      </w:r>
      <w:r w:rsidRPr="002C4EED">
        <w:rPr>
          <w:rFonts w:eastAsia="Calibri Light" w:cs="Times New Roman"/>
        </w:rPr>
        <w:t xml:space="preserve">is </w:t>
      </w:r>
      <w:r>
        <w:rPr>
          <w:rFonts w:eastAsia="Calibri Light" w:cs="Times New Roman"/>
        </w:rPr>
        <w:t>a</w:t>
      </w:r>
      <w:r w:rsidRPr="002C4EED">
        <w:rPr>
          <w:rFonts w:eastAsia="Calibri Light" w:cs="Times New Roman"/>
        </w:rPr>
        <w:t xml:space="preserve"> key factor that prevent</w:t>
      </w:r>
      <w:r>
        <w:rPr>
          <w:rFonts w:eastAsia="Calibri Light" w:cs="Times New Roman"/>
        </w:rPr>
        <w:t>s</w:t>
      </w:r>
      <w:r w:rsidRPr="002C4EED">
        <w:rPr>
          <w:rFonts w:eastAsia="Calibri Light" w:cs="Times New Roman"/>
        </w:rPr>
        <w:t xml:space="preserve"> poor families </w:t>
      </w:r>
      <w:r>
        <w:rPr>
          <w:rFonts w:eastAsia="Calibri Light" w:cs="Times New Roman"/>
        </w:rPr>
        <w:t>from</w:t>
      </w:r>
      <w:r w:rsidRPr="002C4EED">
        <w:rPr>
          <w:rFonts w:eastAsia="Calibri Light" w:cs="Times New Roman"/>
        </w:rPr>
        <w:t xml:space="preserve"> accessing social protection programs. Marriages and divorces are </w:t>
      </w:r>
      <w:r>
        <w:rPr>
          <w:rFonts w:eastAsia="Calibri Light" w:cs="Times New Roman"/>
        </w:rPr>
        <w:t xml:space="preserve">often </w:t>
      </w:r>
      <w:r w:rsidRPr="002C4EED">
        <w:rPr>
          <w:rFonts w:eastAsia="Calibri Light" w:cs="Times New Roman"/>
        </w:rPr>
        <w:t xml:space="preserve">conducted through </w:t>
      </w:r>
      <w:r w:rsidR="00A55B9F">
        <w:rPr>
          <w:rFonts w:eastAsia="Calibri Light" w:cs="Times New Roman"/>
        </w:rPr>
        <w:t xml:space="preserve">unregistered </w:t>
      </w:r>
      <w:r w:rsidRPr="002C4EED">
        <w:rPr>
          <w:rFonts w:eastAsia="Calibri Light" w:cs="Times New Roman"/>
        </w:rPr>
        <w:t xml:space="preserve">traditional or religious ceremonies. </w:t>
      </w:r>
      <w:r>
        <w:rPr>
          <w:rFonts w:eastAsia="Calibri Light" w:cs="Times New Roman"/>
        </w:rPr>
        <w:t>M</w:t>
      </w:r>
      <w:r w:rsidRPr="002C4EED">
        <w:rPr>
          <w:rFonts w:eastAsia="Calibri Light" w:cs="Times New Roman"/>
        </w:rPr>
        <w:t xml:space="preserve">arriage </w:t>
      </w:r>
      <w:r>
        <w:rPr>
          <w:rFonts w:eastAsia="Calibri Light" w:cs="Times New Roman"/>
        </w:rPr>
        <w:t>and divorce certificates</w:t>
      </w:r>
      <w:r w:rsidRPr="002C4EED">
        <w:rPr>
          <w:rFonts w:eastAsia="Calibri Light" w:cs="Times New Roman"/>
        </w:rPr>
        <w:t xml:space="preserve"> are key requirements to obtain a </w:t>
      </w:r>
      <w:r w:rsidR="00BE1F1C">
        <w:rPr>
          <w:rFonts w:eastAsia="Calibri Light" w:cs="Times New Roman"/>
        </w:rPr>
        <w:t>‘</w:t>
      </w:r>
      <w:r w:rsidRPr="002C4EED">
        <w:rPr>
          <w:rFonts w:eastAsia="Calibri Light" w:cs="Times New Roman"/>
        </w:rPr>
        <w:t>family card</w:t>
      </w:r>
      <w:r w:rsidR="00BE1F1C">
        <w:rPr>
          <w:rFonts w:eastAsia="Calibri Light" w:cs="Times New Roman"/>
        </w:rPr>
        <w:t>’, which in turn provides access to government services and programs</w:t>
      </w:r>
      <w:r>
        <w:rPr>
          <w:rFonts w:eastAsia="Calibri Light" w:cs="Times New Roman"/>
        </w:rPr>
        <w:t>.</w:t>
      </w:r>
    </w:p>
    <w:p w:rsidR="004F58C8" w:rsidRDefault="003C3FC6">
      <w:r>
        <w:t>To better connect people to basic services in their communities, Australia</w:t>
      </w:r>
      <w:r w:rsidR="00A803BC">
        <w:t xml:space="preserve"> </w:t>
      </w:r>
      <w:r w:rsidR="00494062">
        <w:t>has worked through a range of interventions at national and local level. Australia supported</w:t>
      </w:r>
      <w:r w:rsidR="00A803BC">
        <w:t xml:space="preserve"> local government and </w:t>
      </w:r>
      <w:r w:rsidR="00E5178C">
        <w:t>CSOs</w:t>
      </w:r>
      <w:r w:rsidR="003D2CD8">
        <w:t xml:space="preserve"> </w:t>
      </w:r>
      <w:r w:rsidR="00A55B9F">
        <w:t>to help</w:t>
      </w:r>
      <w:r w:rsidR="00A803BC">
        <w:t xml:space="preserve"> </w:t>
      </w:r>
      <w:r>
        <w:t xml:space="preserve">an additional 123,091 Indonesian women, men and children receive legal identity documents like birth certificates and national identity cards. Working with local governments and civil registration offices, Australian technical assistance has improved administrative processing times, in some cases from 25 days to 3 days, and strengthened information management systems. This led to an additional 70,000 birth certificates being </w:t>
      </w:r>
      <w:r w:rsidR="00494062">
        <w:t xml:space="preserve">issued </w:t>
      </w:r>
      <w:r>
        <w:t>compared to la</w:t>
      </w:r>
      <w:r w:rsidR="00A803BC">
        <w:t xml:space="preserve">st year. </w:t>
      </w:r>
    </w:p>
    <w:p w:rsidR="004F58C8" w:rsidRDefault="00A803BC">
      <w:r w:rsidRPr="00F54180">
        <w:t>Australia</w:t>
      </w:r>
      <w:r w:rsidR="002A5174" w:rsidRPr="00EE1F4D">
        <w:t xml:space="preserve"> </w:t>
      </w:r>
      <w:r w:rsidR="00AA4926">
        <w:t>also supported men and women</w:t>
      </w:r>
      <w:r w:rsidRPr="00F54180">
        <w:t xml:space="preserve"> to</w:t>
      </w:r>
      <w:r w:rsidR="003C3FC6" w:rsidRPr="002A5174">
        <w:t xml:space="preserve"> receive legal identity documents</w:t>
      </w:r>
      <w:r w:rsidR="002A5174">
        <w:t xml:space="preserve"> through the Ministry of Social Affair</w:t>
      </w:r>
      <w:r w:rsidR="002A5174" w:rsidRPr="00F254DB">
        <w:t>s</w:t>
      </w:r>
      <w:r w:rsidR="002A5174">
        <w:t>’</w:t>
      </w:r>
      <w:r w:rsidR="002A5174" w:rsidRPr="00F254DB">
        <w:t xml:space="preserve"> Integrated Referral System (SLRT</w:t>
      </w:r>
      <w:r w:rsidR="002A5174">
        <w:t>)</w:t>
      </w:r>
      <w:r w:rsidR="003D28C5">
        <w:rPr>
          <w:rStyle w:val="EndnoteReference"/>
        </w:rPr>
        <w:endnoteReference w:id="51"/>
      </w:r>
      <w:r w:rsidR="003C3FC6" w:rsidRPr="00F54180">
        <w:t xml:space="preserve">. The system was originally set up to refer poor people to access national and local welfare services but </w:t>
      </w:r>
      <w:r w:rsidR="00494062">
        <w:t xml:space="preserve">some </w:t>
      </w:r>
      <w:r w:rsidR="002A5174">
        <w:t xml:space="preserve">were excluded if they did not have </w:t>
      </w:r>
      <w:r w:rsidR="00331B00">
        <w:t xml:space="preserve">the required </w:t>
      </w:r>
      <w:r w:rsidR="003C3FC6" w:rsidRPr="00F54180">
        <w:t xml:space="preserve">legal identity documents. </w:t>
      </w:r>
      <w:r w:rsidR="003C3FC6" w:rsidRPr="002A5174">
        <w:t xml:space="preserve">Australia helped develop </w:t>
      </w:r>
      <w:r w:rsidR="002A5174">
        <w:t>an</w:t>
      </w:r>
      <w:r w:rsidR="003C3FC6" w:rsidRPr="00F54180">
        <w:t xml:space="preserve"> add-on that linked the SLRT to the civil registration office so these </w:t>
      </w:r>
      <w:r w:rsidR="004A25E2">
        <w:t xml:space="preserve">excluded </w:t>
      </w:r>
      <w:r w:rsidR="003C3FC6" w:rsidRPr="00F54180">
        <w:t>people could receive their identification documents</w:t>
      </w:r>
      <w:r w:rsidR="00331B00">
        <w:t xml:space="preserve"> and access</w:t>
      </w:r>
      <w:r w:rsidR="003C3FC6" w:rsidRPr="00F54180">
        <w:t xml:space="preserve"> welfare services.</w:t>
      </w:r>
      <w:r w:rsidR="00331B00">
        <w:t xml:space="preserve"> </w:t>
      </w:r>
      <w:r w:rsidR="003C3FC6" w:rsidRPr="00F54180">
        <w:t xml:space="preserve">Australia </w:t>
      </w:r>
      <w:r w:rsidR="00331B00">
        <w:t xml:space="preserve">also </w:t>
      </w:r>
      <w:r w:rsidR="003C3FC6" w:rsidRPr="00F54180">
        <w:t>worked with credible civil society partners</w:t>
      </w:r>
      <w:r w:rsidR="00296018">
        <w:t xml:space="preserve"> to reach marginalised and remote communities.</w:t>
      </w:r>
      <w:r w:rsidR="00331B00">
        <w:t xml:space="preserve"> </w:t>
      </w:r>
      <w:r w:rsidR="003C3FC6" w:rsidRPr="00F54180">
        <w:t>Australia’s support</w:t>
      </w:r>
      <w:r w:rsidR="00494062">
        <w:t xml:space="preserve"> </w:t>
      </w:r>
      <w:r w:rsidR="003C3FC6" w:rsidRPr="00F54180">
        <w:t xml:space="preserve">helped </w:t>
      </w:r>
      <w:r w:rsidR="003C3FC6" w:rsidRPr="002A5174">
        <w:t>trial and test innovative ways of organising mobile</w:t>
      </w:r>
      <w:r w:rsidR="00331B00">
        <w:t xml:space="preserve"> social protection and legal </w:t>
      </w:r>
      <w:r w:rsidR="00B66E7E">
        <w:t>identity</w:t>
      </w:r>
      <w:r w:rsidR="003C3FC6" w:rsidRPr="00F54180">
        <w:t xml:space="preserve"> clinics,</w:t>
      </w:r>
      <w:r w:rsidRPr="00F54180">
        <w:t xml:space="preserve"> </w:t>
      </w:r>
      <w:r w:rsidR="00296018">
        <w:t>with a proven model</w:t>
      </w:r>
      <w:r w:rsidR="003C3FC6" w:rsidRPr="00F54180">
        <w:t xml:space="preserve"> </w:t>
      </w:r>
      <w:r w:rsidR="00BE1F1C">
        <w:t xml:space="preserve">now </w:t>
      </w:r>
      <w:r w:rsidR="003C3FC6" w:rsidRPr="00F54180">
        <w:t>formally incorporated into SLRT through new government regulations.</w:t>
      </w:r>
      <w:r w:rsidR="003C3FC6" w:rsidRPr="00F54180">
        <w:rPr>
          <w:rStyle w:val="EndnoteReference"/>
        </w:rPr>
        <w:endnoteReference w:id="52"/>
      </w:r>
      <w:r w:rsidR="003C3FC6" w:rsidRPr="00F54180">
        <w:t xml:space="preserve">  </w:t>
      </w:r>
    </w:p>
    <w:p w:rsidR="00BE1F1C" w:rsidRDefault="003C3FC6" w:rsidP="00BE1F1C">
      <w:r w:rsidRPr="00AA4926">
        <w:t xml:space="preserve">In Papua, Australia </w:t>
      </w:r>
      <w:r w:rsidR="001964C3" w:rsidRPr="00AA4926">
        <w:t xml:space="preserve">supported </w:t>
      </w:r>
      <w:r w:rsidRPr="00AA4926">
        <w:t>the provincial government’s</w:t>
      </w:r>
      <w:r w:rsidRPr="008E4872">
        <w:t xml:space="preserve"> </w:t>
      </w:r>
      <w:r w:rsidR="00BE1F1C">
        <w:t xml:space="preserve">new </w:t>
      </w:r>
      <w:r w:rsidRPr="008E4872">
        <w:t>BANGGA Papua program to provide 16,027 mothers with children aged under four years with cash grants to help the</w:t>
      </w:r>
      <w:r w:rsidR="001964C3">
        <w:t>ir</w:t>
      </w:r>
      <w:r w:rsidRPr="008E4872">
        <w:t xml:space="preserve"> families meet basic needs</w:t>
      </w:r>
      <w:r w:rsidR="001964C3">
        <w:t>,</w:t>
      </w:r>
      <w:r w:rsidRPr="008E4872">
        <w:t xml:space="preserve"> including nutritious food for children. </w:t>
      </w:r>
      <w:r w:rsidR="00AA4926" w:rsidRPr="00AA4926">
        <w:t xml:space="preserve">This provincial-level innovation is helping to respond to Papua province’s high rate of poverty and continued human development challenges </w:t>
      </w:r>
      <w:r w:rsidR="001E1BC0">
        <w:t xml:space="preserve">in </w:t>
      </w:r>
      <w:r w:rsidR="00AA4926" w:rsidRPr="00AA4926">
        <w:t>line with the national government</w:t>
      </w:r>
      <w:r w:rsidR="008F5A02">
        <w:t>’</w:t>
      </w:r>
      <w:r w:rsidR="00AA4926" w:rsidRPr="00AA4926">
        <w:t xml:space="preserve">s broader agenda. </w:t>
      </w:r>
      <w:r w:rsidR="002D0C33">
        <w:t xml:space="preserve">Australian technical support </w:t>
      </w:r>
      <w:r w:rsidR="00E00ED7">
        <w:t>helped design</w:t>
      </w:r>
      <w:r w:rsidR="002D0C33">
        <w:t xml:space="preserve"> the program </w:t>
      </w:r>
      <w:r w:rsidR="00E00ED7">
        <w:t xml:space="preserve">with the provincial government </w:t>
      </w:r>
      <w:r w:rsidR="001964C3">
        <w:t xml:space="preserve">contributing </w:t>
      </w:r>
      <w:r w:rsidRPr="008E4872">
        <w:t xml:space="preserve">AUD5 million dollars </w:t>
      </w:r>
      <w:r w:rsidR="004F58C8">
        <w:t xml:space="preserve">towards </w:t>
      </w:r>
      <w:r w:rsidR="001964C3">
        <w:t>implementation</w:t>
      </w:r>
      <w:r w:rsidRPr="008E4872">
        <w:t xml:space="preserve">. </w:t>
      </w:r>
      <w:r w:rsidR="001964C3" w:rsidRPr="008E4872">
        <w:t>B</w:t>
      </w:r>
      <w:r w:rsidR="001964C3">
        <w:t>ANGGA</w:t>
      </w:r>
      <w:r w:rsidR="001964C3" w:rsidRPr="008E4872">
        <w:t xml:space="preserve"> </w:t>
      </w:r>
      <w:r w:rsidRPr="008E4872">
        <w:t>Papua also provided 35,565 people with legal identity documents. These documents enable mothers to set up bank accounts to receive their grants, most for the first time.</w:t>
      </w:r>
      <w:r w:rsidR="00BC35E5">
        <w:t xml:space="preserve"> </w:t>
      </w:r>
    </w:p>
    <w:p w:rsidR="008F12EE" w:rsidRPr="004D398C" w:rsidRDefault="00BE1F1C" w:rsidP="003C3FC6">
      <w:r>
        <w:t>To support Indonesians devastated by the Sulawesi and Lombok earthquakes in 201</w:t>
      </w:r>
      <w:r w:rsidR="008F5A02">
        <w:t>8, Australia</w:t>
      </w:r>
      <w:r>
        <w:t xml:space="preserve"> funded district governments and civil society partners to help affected communities regain their legal identity documents so they could quickly access national welfare programs</w:t>
      </w:r>
      <w:r>
        <w:rPr>
          <w:rStyle w:val="EndnoteReference"/>
        </w:rPr>
        <w:endnoteReference w:id="53"/>
      </w:r>
      <w:r w:rsidR="008F7325">
        <w:t xml:space="preserve">.  </w:t>
      </w:r>
    </w:p>
    <w:p w:rsidR="003C3FC6" w:rsidRPr="002B0FBD" w:rsidRDefault="003C3FC6" w:rsidP="003C3FC6">
      <w:pPr>
        <w:rPr>
          <w:u w:val="single"/>
        </w:rPr>
      </w:pPr>
      <w:r w:rsidRPr="002B0FBD">
        <w:rPr>
          <w:u w:val="single"/>
        </w:rPr>
        <w:t xml:space="preserve">Outcome 8: </w:t>
      </w:r>
      <w:r w:rsidR="001E5970">
        <w:rPr>
          <w:u w:val="single"/>
        </w:rPr>
        <w:t xml:space="preserve"> Women have a voice in decision-</w:t>
      </w:r>
      <w:r w:rsidRPr="002B0FBD">
        <w:rPr>
          <w:u w:val="single"/>
        </w:rPr>
        <w:t>making and access to better jobs and services</w:t>
      </w:r>
    </w:p>
    <w:p w:rsidR="003C3FC6" w:rsidRDefault="003C3FC6" w:rsidP="003C3FC6">
      <w:pPr>
        <w:rPr>
          <w:b/>
        </w:rPr>
      </w:pPr>
      <w:r>
        <w:rPr>
          <w:b/>
        </w:rPr>
        <w:t>Outcome 8 has been rated green with good results in supporting women in small business, improving female migrant worker</w:t>
      </w:r>
      <w:r w:rsidR="00331B00">
        <w:rPr>
          <w:b/>
        </w:rPr>
        <w:t>s</w:t>
      </w:r>
      <w:r w:rsidR="004F58C8">
        <w:rPr>
          <w:b/>
        </w:rPr>
        <w:t>’</w:t>
      </w:r>
      <w:r>
        <w:rPr>
          <w:b/>
        </w:rPr>
        <w:t xml:space="preserve"> access </w:t>
      </w:r>
      <w:r w:rsidR="004F58C8">
        <w:rPr>
          <w:b/>
        </w:rPr>
        <w:t xml:space="preserve">to </w:t>
      </w:r>
      <w:r>
        <w:rPr>
          <w:b/>
        </w:rPr>
        <w:t>social security, and increased women’s participation in decision</w:t>
      </w:r>
      <w:r w:rsidR="00877C1C">
        <w:rPr>
          <w:b/>
        </w:rPr>
        <w:t>-</w:t>
      </w:r>
      <w:r>
        <w:rPr>
          <w:b/>
        </w:rPr>
        <w:t>making.</w:t>
      </w:r>
    </w:p>
    <w:p w:rsidR="003C3FC6" w:rsidRDefault="003C3FC6" w:rsidP="003C3FC6">
      <w:r>
        <w:t>Women in Indonesia make important contributions to business, their families</w:t>
      </w:r>
      <w:r w:rsidR="00FD6D4B">
        <w:t>,</w:t>
      </w:r>
      <w:r>
        <w:t xml:space="preserve"> and communities to build a productive, cohesive society. Excluding women’s full participation in decision making and denying access to quality jobs and services prevent</w:t>
      </w:r>
      <w:r w:rsidR="008F7325">
        <w:t>s</w:t>
      </w:r>
      <w:r>
        <w:t xml:space="preserve"> a country from realising its full potential.</w:t>
      </w:r>
      <w:r w:rsidR="00E76046">
        <w:rPr>
          <w:rStyle w:val="EndnoteReference"/>
        </w:rPr>
        <w:endnoteReference w:id="54"/>
      </w:r>
      <w:r>
        <w:t xml:space="preserve"> </w:t>
      </w:r>
      <w:r w:rsidR="004F58C8">
        <w:rPr>
          <w:rFonts w:cstheme="minorHAnsi"/>
        </w:rPr>
        <w:t>While</w:t>
      </w:r>
      <w:r w:rsidRPr="005A7A2D">
        <w:rPr>
          <w:rFonts w:cstheme="minorHAnsi"/>
        </w:rPr>
        <w:t xml:space="preserve"> Indonesia has made progress in gender equalit</w:t>
      </w:r>
      <w:r w:rsidR="00E76046">
        <w:rPr>
          <w:rFonts w:cstheme="minorHAnsi"/>
        </w:rPr>
        <w:t xml:space="preserve">y, </w:t>
      </w:r>
      <w:r>
        <w:rPr>
          <w:rFonts w:cstheme="minorHAnsi"/>
        </w:rPr>
        <w:t>like many countries</w:t>
      </w:r>
      <w:r w:rsidR="00FD6D4B">
        <w:rPr>
          <w:rFonts w:cstheme="minorHAnsi"/>
        </w:rPr>
        <w:t xml:space="preserve"> </w:t>
      </w:r>
      <w:r w:rsidRPr="005A7A2D">
        <w:rPr>
          <w:rFonts w:cstheme="minorHAnsi"/>
        </w:rPr>
        <w:t>the experience for women has been</w:t>
      </w:r>
      <w:r>
        <w:rPr>
          <w:rFonts w:cstheme="minorHAnsi"/>
        </w:rPr>
        <w:t xml:space="preserve"> uneven</w:t>
      </w:r>
      <w:r w:rsidRPr="005A7A2D">
        <w:rPr>
          <w:rFonts w:cstheme="minorHAnsi"/>
        </w:rPr>
        <w:t>.</w:t>
      </w:r>
      <w:r>
        <w:rPr>
          <w:rFonts w:cstheme="minorHAnsi"/>
        </w:rPr>
        <w:t xml:space="preserve"> </w:t>
      </w:r>
      <w:r w:rsidR="004F58C8">
        <w:t>L</w:t>
      </w:r>
      <w:r w:rsidRPr="00F504CD">
        <w:t>imited access to capital is a major concern</w:t>
      </w:r>
      <w:r>
        <w:t xml:space="preserve"> for</w:t>
      </w:r>
      <w:r w:rsidRPr="00F504CD">
        <w:t xml:space="preserve"> women’s small and medium enterprises </w:t>
      </w:r>
      <w:r>
        <w:t>that</w:t>
      </w:r>
      <w:r w:rsidRPr="00F504CD">
        <w:t xml:space="preserve"> face additional barriers </w:t>
      </w:r>
      <w:r>
        <w:t>of cultural, traditional</w:t>
      </w:r>
      <w:r w:rsidRPr="00F504CD">
        <w:t xml:space="preserve"> and </w:t>
      </w:r>
      <w:r>
        <w:t>stereotypical</w:t>
      </w:r>
      <w:r w:rsidRPr="00F504CD">
        <w:t xml:space="preserve"> bias </w:t>
      </w:r>
      <w:r w:rsidR="008F5A02">
        <w:t>from</w:t>
      </w:r>
      <w:r>
        <w:t xml:space="preserve"> traditional</w:t>
      </w:r>
      <w:r w:rsidRPr="00F504CD">
        <w:t xml:space="preserve"> investment </w:t>
      </w:r>
      <w:r w:rsidR="00FD6D4B" w:rsidRPr="00F504CD">
        <w:t>providers</w:t>
      </w:r>
      <w:r w:rsidR="004F58C8">
        <w:t>,</w:t>
      </w:r>
      <w:r w:rsidR="00FD6D4B" w:rsidRPr="00F504CD">
        <w:t xml:space="preserve"> </w:t>
      </w:r>
      <w:r w:rsidR="004F58C8">
        <w:t>making</w:t>
      </w:r>
      <w:r w:rsidRPr="00F504CD">
        <w:t xml:space="preserve"> it harder for women to start and grow their businesses</w:t>
      </w:r>
      <w:r>
        <w:t>.</w:t>
      </w:r>
    </w:p>
    <w:p w:rsidR="003C3FC6" w:rsidRDefault="001744A5" w:rsidP="003C3FC6">
      <w:r>
        <w:rPr>
          <w:noProof/>
          <w:lang w:val="en-AU" w:eastAsia="en-AU"/>
        </w:rPr>
        <mc:AlternateContent>
          <mc:Choice Requires="wps">
            <w:drawing>
              <wp:anchor distT="0" distB="0" distL="114300" distR="114300" simplePos="0" relativeHeight="251750400" behindDoc="0" locked="0" layoutInCell="1" allowOverlap="1" wp14:anchorId="3CEDAD0A" wp14:editId="689D87C1">
                <wp:simplePos x="0" y="0"/>
                <wp:positionH relativeFrom="margin">
                  <wp:align>left</wp:align>
                </wp:positionH>
                <wp:positionV relativeFrom="paragraph">
                  <wp:posOffset>340664</wp:posOffset>
                </wp:positionV>
                <wp:extent cx="2766695" cy="6901180"/>
                <wp:effectExtent l="0" t="0" r="14605" b="13970"/>
                <wp:wrapSquare wrapText="bothSides"/>
                <wp:docPr id="24" name="Rectangle 24"/>
                <wp:cNvGraphicFramePr/>
                <a:graphic xmlns:a="http://schemas.openxmlformats.org/drawingml/2006/main">
                  <a:graphicData uri="http://schemas.microsoft.com/office/word/2010/wordprocessingShape">
                    <wps:wsp>
                      <wps:cNvSpPr/>
                      <wps:spPr>
                        <a:xfrm>
                          <a:off x="0" y="0"/>
                          <a:ext cx="2766695" cy="690118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45F" w:rsidRPr="004D398C" w:rsidRDefault="0049045F" w:rsidP="005239F9">
                            <w:pPr>
                              <w:jc w:val="center"/>
                              <w:rPr>
                                <w:b/>
                                <w:color w:val="0D0D0D" w:themeColor="text1" w:themeTint="F2"/>
                              </w:rPr>
                            </w:pPr>
                            <w:r w:rsidRPr="004D398C">
                              <w:rPr>
                                <w:b/>
                                <w:color w:val="0D0D0D" w:themeColor="text1" w:themeTint="F2"/>
                              </w:rPr>
                              <w:t>Australia Awards Indonesia – Spicing up the Economy: Women in small business</w:t>
                            </w:r>
                            <w:r w:rsidRPr="00703859">
                              <w:rPr>
                                <w:b/>
                                <w:noProof/>
                                <w:color w:val="0D0D0D" w:themeColor="text1" w:themeTint="F2"/>
                                <w:lang w:val="en-AU" w:eastAsia="en-AU"/>
                              </w:rPr>
                              <w:t xml:space="preserve"> </w:t>
                            </w:r>
                            <w:r>
                              <w:rPr>
                                <w:b/>
                                <w:noProof/>
                                <w:color w:val="0D0D0D" w:themeColor="text1" w:themeTint="F2"/>
                                <w:lang w:val="en-AU" w:eastAsia="en-AU"/>
                              </w:rPr>
                              <w:drawing>
                                <wp:inline distT="0" distB="0" distL="0" distR="0" wp14:anchorId="311966DF" wp14:editId="368C3E52">
                                  <wp:extent cx="1889185" cy="2158466"/>
                                  <wp:effectExtent l="0" t="0" r="0" b="0"/>
                                  <wp:docPr id="18" name="Picture 18" descr="Rimiyanti Wardani, an Australian Award Indonesia short course recipient, teaching a new employee to use the kitchen equipment in her food production enterprise Dapur NiceMomy." title="Australia Award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3671" cy="2197868"/>
                                          </a:xfrm>
                                          <a:prstGeom prst="rect">
                                            <a:avLst/>
                                          </a:prstGeom>
                                          <a:noFill/>
                                          <a:ln>
                                            <a:noFill/>
                                          </a:ln>
                                        </pic:spPr>
                                      </pic:pic>
                                    </a:graphicData>
                                  </a:graphic>
                                </wp:inline>
                              </w:drawing>
                            </w:r>
                          </w:p>
                          <w:p w:rsidR="0049045F" w:rsidRDefault="0049045F" w:rsidP="00703859">
                            <w:pPr>
                              <w:rPr>
                                <w:rFonts w:ascii="Calibri Light" w:hAnsi="Calibri Light" w:cs="Calibri Light"/>
                                <w:color w:val="0D0D0D" w:themeColor="text1" w:themeTint="F2"/>
                                <w:sz w:val="20"/>
                                <w:szCs w:val="20"/>
                              </w:rPr>
                            </w:pPr>
                            <w:r w:rsidRPr="002C58FA">
                              <w:rPr>
                                <w:sz w:val="16"/>
                                <w:szCs w:val="16"/>
                              </w:rPr>
                              <w:t xml:space="preserve">Rimiyanti Wardani teaching a new employee to use </w:t>
                            </w:r>
                            <w:r w:rsidR="001E5970" w:rsidRPr="002C58FA">
                              <w:rPr>
                                <w:sz w:val="16"/>
                                <w:szCs w:val="16"/>
                              </w:rPr>
                              <w:t>equipment</w:t>
                            </w:r>
                            <w:r>
                              <w:rPr>
                                <w:sz w:val="16"/>
                                <w:szCs w:val="16"/>
                              </w:rPr>
                              <w:t>. Photo:  Australia Awards Indonesia</w:t>
                            </w:r>
                            <w:r w:rsidRPr="004D398C">
                              <w:rPr>
                                <w:rFonts w:ascii="Calibri Light" w:hAnsi="Calibri Light" w:cs="Calibri Light"/>
                                <w:color w:val="0D0D0D" w:themeColor="text1" w:themeTint="F2"/>
                                <w:sz w:val="20"/>
                                <w:szCs w:val="20"/>
                              </w:rPr>
                              <w:t xml:space="preserve"> </w:t>
                            </w:r>
                          </w:p>
                          <w:p w:rsidR="0049045F" w:rsidRPr="00703859" w:rsidRDefault="0049045F" w:rsidP="00BB1CEA">
                            <w:pPr>
                              <w:rPr>
                                <w:b/>
                                <w:color w:val="auto"/>
                                <w:sz w:val="16"/>
                                <w:szCs w:val="16"/>
                                <w:lang w:val="en-AU"/>
                              </w:rPr>
                            </w:pPr>
                            <w:r w:rsidRPr="00E1328F">
                              <w:rPr>
                                <w:rFonts w:ascii="Calibri Light" w:hAnsi="Calibri Light" w:cs="Calibri Light"/>
                                <w:color w:val="0D0D0D"/>
                                <w:sz w:val="20"/>
                                <w:szCs w:val="20"/>
                              </w:rPr>
                              <w:t>In 2018-19, we provided around 250 post-graduate scholarships in Australia, 400 short-term awards, and maintained a network of 14,500 alumni.</w:t>
                            </w:r>
                            <w:r w:rsidRPr="00E1328F">
                              <w:t xml:space="preserve"> </w:t>
                            </w:r>
                            <w:r w:rsidRPr="00E1328F">
                              <w:rPr>
                                <w:rFonts w:ascii="Calibri Light" w:hAnsi="Calibri Light" w:cs="Calibri Light"/>
                                <w:color w:val="0D0D0D"/>
                                <w:sz w:val="20"/>
                                <w:szCs w:val="20"/>
                              </w:rPr>
                              <w:t>One of our successful awardees,</w:t>
                            </w:r>
                            <w:r>
                              <w:rPr>
                                <w:rFonts w:ascii="Calibri Light" w:hAnsi="Calibri Light" w:cs="Calibri Light"/>
                                <w:color w:val="0D0D0D"/>
                                <w:sz w:val="20"/>
                                <w:szCs w:val="20"/>
                              </w:rPr>
                              <w:t xml:space="preserve"> </w:t>
                            </w:r>
                            <w:r w:rsidRPr="004D398C">
                              <w:rPr>
                                <w:rFonts w:ascii="Calibri Light" w:hAnsi="Calibri Light" w:cs="Calibri Light"/>
                                <w:color w:val="0D0D0D" w:themeColor="text1" w:themeTint="F2"/>
                                <w:sz w:val="20"/>
                                <w:szCs w:val="20"/>
                              </w:rPr>
                              <w:t xml:space="preserve">Rimayanti Wardani is the founder and manager of Dapur NiceMomy – an Indonesia enterprise that produces sambal chili paste, palm sugar and other food items. Since returning from a short-course in Australia with food standard regulators, Rima and her business partner have made substantial investments in their company developing exportable products that meet Australian food standards and regulations </w:t>
                            </w:r>
                          </w:p>
                          <w:p w:rsidR="0049045F" w:rsidRPr="004D398C" w:rsidRDefault="0049045F" w:rsidP="00BB1CEA">
                            <w:pPr>
                              <w:rPr>
                                <w:rFonts w:ascii="Calibri Light" w:hAnsi="Calibri Light" w:cs="Calibri Light"/>
                                <w:color w:val="0D0D0D" w:themeColor="text1" w:themeTint="F2"/>
                                <w:sz w:val="20"/>
                                <w:szCs w:val="20"/>
                              </w:rPr>
                            </w:pPr>
                            <w:r w:rsidRPr="004D398C">
                              <w:rPr>
                                <w:rFonts w:ascii="Calibri Light" w:hAnsi="Calibri Light" w:cs="Calibri Light"/>
                                <w:color w:val="0D0D0D" w:themeColor="text1" w:themeTint="F2"/>
                                <w:sz w:val="20"/>
                                <w:szCs w:val="20"/>
                              </w:rPr>
                              <w:t>Following improvements on food production, packaging and labelling, Dapur NiceMomy initiated trial export shipments of sambal chili paste and palm sugar to Australia. Rimayanti Wardani shared what she learned during the course with other women who want to start a business to augment their family income. To date, Dapur NiceMomy has contracted five provincial distributors across Indonesia with a combined network of about 200 female sub-distributors.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DAD0A" id="Rectangle 24" o:spid="_x0000_s1031" style="position:absolute;margin-left:0;margin-top:26.8pt;width:217.85pt;height:543.4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tqsAIAANgFAAAOAAAAZHJzL2Uyb0RvYy54bWysVEtv2zAMvg/YfxB0Xx0HSboGdYqgRYcB&#10;XVu0HXpWZCk2IIuapMTOfv0oyXaDPnYYloMjvj6Kn0ieX3SNInthXQ26oPnJhBKhOZS13hb059P1&#10;l6+UOM90yRRoUdCDcPRi9fnTeWuWYgoVqFJYgiDaLVtT0Mp7s8wyxyvRMHcCRmg0SrAN8yjabVZa&#10;1iJ6o7LpZLLIWrClscCFc6i9Ska6ivhSCu7vpHTCE1VQvJuPXxu/m/DNVudsubXMVDXvr8H+4RYN&#10;qzUmHaGumGdkZ+s3UE3NLTiQ/oRDk4GUNRexBqwmn7yq5rFiRsRakBxnRprc/4Plt/t7S+qyoNMZ&#10;JZo1+EYPyBrTWyUI6pCg1rgl+j2ae9tLDo+h2k7aJvxjHaSLpB5GUkXnCUfl9HSxWJzNKeFoW5xN&#10;8vxrpD17CTfW+W8CGhIOBbWYP5LJ9jfOY0p0HVxCNg3XtVLx5ZQOCgeqLoMuCqF1xKWyZM/w0Rnn&#10;Qvs84qld8wPKpF9M8JeeH9XYJEk9G9SYMzZhQIo3OEqCtpA4C8QkKuLJH5QIN1D6QUjkNBQf845A&#10;b6/kKlaKpJ5/mDoCBmSJNY7YqaYPsBNrvX8IFXEYxuDJ3y6WgseImBm0H4ObWoN9D0Ah0X3m5D+Q&#10;lKgJLPlu08V+mw+ttYHygD1oIQ2nM/y6xj64Yc7fM4vTiHOLG8bf4UcqaAsK/YmSCuzv9/TBH4cE&#10;rZS0ON0Fdb92zApK1HeN43OWz2ZhHURhNj+domCPLZtji941l4C9lOMuMzweg79Xw1FaaJ5xEa1D&#10;VjQxzTF3Qbm3g3Dp09bBVcbFeh3dcAUY5m/0o+EBPPAc+vype2bW9MPgcY5uYdgEbPlqJpJviNSw&#10;3nmQdRyYwHTitX8BXB+xi/tVF/bTsRy9Xhby6g8AAAD//wMAUEsDBBQABgAIAAAAIQD/EM6/3wAA&#10;AAgBAAAPAAAAZHJzL2Rvd25yZXYueG1sTI9BS8NAFITvgv9heYIXsZu2SZWYTRFRLBQPVvH8mn0m&#10;wezbmN2m6b/3edLjMMPMN8V6cp0aaQitZwPzWQKKuPK25drA+9vT9S2oEJEtdp7JwIkCrMvzswJz&#10;64/8SuMu1kpKOORooImxz7UOVUMOw8z3xOJ9+sFhFDnU2g54lHLX6UWSrLTDlmWhwZ4eGqq+dgdn&#10;4Fsv9FTz8/h4lfXb9rRJX+hjY8zlxXR/ByrSFP/C8Isv6FAK094f2AbVGZAj0UC2XIESN11mN6D2&#10;EpunSQq6LPT/A+UPAAAA//8DAFBLAQItABQABgAIAAAAIQC2gziS/gAAAOEBAAATAAAAAAAAAAAA&#10;AAAAAAAAAABbQ29udGVudF9UeXBlc10ueG1sUEsBAi0AFAAGAAgAAAAhADj9If/WAAAAlAEAAAsA&#10;AAAAAAAAAAAAAAAALwEAAF9yZWxzLy5yZWxzUEsBAi0AFAAGAAgAAAAhAAIuK2qwAgAA2AUAAA4A&#10;AAAAAAAAAAAAAAAALgIAAGRycy9lMm9Eb2MueG1sUEsBAi0AFAAGAAgAAAAhAP8Qzr/fAAAACAEA&#10;AA8AAAAAAAAAAAAAAAAACgUAAGRycy9kb3ducmV2LnhtbFBLBQYAAAAABAAEAPMAAAAWBgAAAAA=&#10;" filled="f" strokecolor="#a2dcd1 [1940]" strokeweight="2pt">
                <v:textbox>
                  <w:txbxContent>
                    <w:p w:rsidR="0049045F" w:rsidRPr="004D398C" w:rsidRDefault="0049045F" w:rsidP="005239F9">
                      <w:pPr>
                        <w:jc w:val="center"/>
                        <w:rPr>
                          <w:b/>
                          <w:color w:val="0D0D0D" w:themeColor="text1" w:themeTint="F2"/>
                        </w:rPr>
                      </w:pPr>
                      <w:r w:rsidRPr="004D398C">
                        <w:rPr>
                          <w:b/>
                          <w:color w:val="0D0D0D" w:themeColor="text1" w:themeTint="F2"/>
                        </w:rPr>
                        <w:t>Australia Awards Indonesia – Spicing up the Economy: Women in small business</w:t>
                      </w:r>
                      <w:r w:rsidRPr="00703859">
                        <w:rPr>
                          <w:b/>
                          <w:noProof/>
                          <w:color w:val="0D0D0D" w:themeColor="text1" w:themeTint="F2"/>
                          <w:lang w:val="en-AU" w:eastAsia="en-AU"/>
                        </w:rPr>
                        <w:t xml:space="preserve"> </w:t>
                      </w:r>
                      <w:r>
                        <w:rPr>
                          <w:b/>
                          <w:noProof/>
                          <w:color w:val="0D0D0D" w:themeColor="text1" w:themeTint="F2"/>
                          <w:lang w:val="en-AU" w:eastAsia="en-AU"/>
                        </w:rPr>
                        <w:drawing>
                          <wp:inline distT="0" distB="0" distL="0" distR="0" wp14:anchorId="311966DF" wp14:editId="368C3E52">
                            <wp:extent cx="1889185" cy="2158466"/>
                            <wp:effectExtent l="0" t="0" r="0" b="0"/>
                            <wp:docPr id="18" name="Picture 18" descr="Rimiyanti Wardani, an Australian Award Indonesia short course recipient, teaching a new employee to use the kitchen equipment in her food production enterprise Dapur NiceMomy." title="Australia Award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3671" cy="2197868"/>
                                    </a:xfrm>
                                    <a:prstGeom prst="rect">
                                      <a:avLst/>
                                    </a:prstGeom>
                                    <a:noFill/>
                                    <a:ln>
                                      <a:noFill/>
                                    </a:ln>
                                  </pic:spPr>
                                </pic:pic>
                              </a:graphicData>
                            </a:graphic>
                          </wp:inline>
                        </w:drawing>
                      </w:r>
                    </w:p>
                    <w:p w:rsidR="0049045F" w:rsidRDefault="0049045F" w:rsidP="00703859">
                      <w:pPr>
                        <w:rPr>
                          <w:rFonts w:ascii="Calibri Light" w:hAnsi="Calibri Light" w:cs="Calibri Light"/>
                          <w:color w:val="0D0D0D" w:themeColor="text1" w:themeTint="F2"/>
                          <w:sz w:val="20"/>
                          <w:szCs w:val="20"/>
                        </w:rPr>
                      </w:pPr>
                      <w:proofErr w:type="spellStart"/>
                      <w:r w:rsidRPr="002C58FA">
                        <w:rPr>
                          <w:sz w:val="16"/>
                          <w:szCs w:val="16"/>
                        </w:rPr>
                        <w:t>Rimiyanti</w:t>
                      </w:r>
                      <w:proofErr w:type="spellEnd"/>
                      <w:r w:rsidRPr="002C58FA">
                        <w:rPr>
                          <w:sz w:val="16"/>
                          <w:szCs w:val="16"/>
                        </w:rPr>
                        <w:t xml:space="preserve"> </w:t>
                      </w:r>
                      <w:proofErr w:type="spellStart"/>
                      <w:r w:rsidRPr="002C58FA">
                        <w:rPr>
                          <w:sz w:val="16"/>
                          <w:szCs w:val="16"/>
                        </w:rPr>
                        <w:t>Wardani</w:t>
                      </w:r>
                      <w:proofErr w:type="spellEnd"/>
                      <w:r w:rsidRPr="002C58FA">
                        <w:rPr>
                          <w:sz w:val="16"/>
                          <w:szCs w:val="16"/>
                        </w:rPr>
                        <w:t xml:space="preserve"> teaching a new employee to use </w:t>
                      </w:r>
                      <w:r w:rsidR="001E5970" w:rsidRPr="002C58FA">
                        <w:rPr>
                          <w:sz w:val="16"/>
                          <w:szCs w:val="16"/>
                        </w:rPr>
                        <w:t>equipment</w:t>
                      </w:r>
                      <w:r>
                        <w:rPr>
                          <w:sz w:val="16"/>
                          <w:szCs w:val="16"/>
                        </w:rPr>
                        <w:t>. Photo:  Australia Awards Indonesia</w:t>
                      </w:r>
                      <w:r w:rsidRPr="004D398C">
                        <w:rPr>
                          <w:rFonts w:ascii="Calibri Light" w:hAnsi="Calibri Light" w:cs="Calibri Light"/>
                          <w:color w:val="0D0D0D" w:themeColor="text1" w:themeTint="F2"/>
                          <w:sz w:val="20"/>
                          <w:szCs w:val="20"/>
                        </w:rPr>
                        <w:t xml:space="preserve"> </w:t>
                      </w:r>
                    </w:p>
                    <w:p w:rsidR="0049045F" w:rsidRPr="00703859" w:rsidRDefault="0049045F" w:rsidP="00BB1CEA">
                      <w:pPr>
                        <w:rPr>
                          <w:b/>
                          <w:color w:val="auto"/>
                          <w:sz w:val="16"/>
                          <w:szCs w:val="16"/>
                          <w:lang w:val="en-AU"/>
                        </w:rPr>
                      </w:pPr>
                      <w:r w:rsidRPr="00E1328F">
                        <w:rPr>
                          <w:rFonts w:ascii="Calibri Light" w:hAnsi="Calibri Light" w:cs="Calibri Light"/>
                          <w:color w:val="0D0D0D"/>
                          <w:sz w:val="20"/>
                          <w:szCs w:val="20"/>
                        </w:rPr>
                        <w:t>In 2018-19, we provided around 250 post-graduate scholarships in Australia, 400 short-term awards, and maintained a network of 14,500 alumni.</w:t>
                      </w:r>
                      <w:r w:rsidRPr="00E1328F">
                        <w:t xml:space="preserve"> </w:t>
                      </w:r>
                      <w:r w:rsidRPr="00E1328F">
                        <w:rPr>
                          <w:rFonts w:ascii="Calibri Light" w:hAnsi="Calibri Light" w:cs="Calibri Light"/>
                          <w:color w:val="0D0D0D"/>
                          <w:sz w:val="20"/>
                          <w:szCs w:val="20"/>
                        </w:rPr>
                        <w:t>One of our successful awardees,</w:t>
                      </w:r>
                      <w:r>
                        <w:rPr>
                          <w:rFonts w:ascii="Calibri Light" w:hAnsi="Calibri Light" w:cs="Calibri Light"/>
                          <w:color w:val="0D0D0D"/>
                          <w:sz w:val="20"/>
                          <w:szCs w:val="20"/>
                        </w:rPr>
                        <w:t xml:space="preserve"> </w:t>
                      </w:r>
                      <w:proofErr w:type="spellStart"/>
                      <w:r w:rsidRPr="004D398C">
                        <w:rPr>
                          <w:rFonts w:ascii="Calibri Light" w:hAnsi="Calibri Light" w:cs="Calibri Light"/>
                          <w:color w:val="0D0D0D" w:themeColor="text1" w:themeTint="F2"/>
                          <w:sz w:val="20"/>
                          <w:szCs w:val="20"/>
                        </w:rPr>
                        <w:t>Rimayanti</w:t>
                      </w:r>
                      <w:proofErr w:type="spellEnd"/>
                      <w:r w:rsidRPr="004D398C">
                        <w:rPr>
                          <w:rFonts w:ascii="Calibri Light" w:hAnsi="Calibri Light" w:cs="Calibri Light"/>
                          <w:color w:val="0D0D0D" w:themeColor="text1" w:themeTint="F2"/>
                          <w:sz w:val="20"/>
                          <w:szCs w:val="20"/>
                        </w:rPr>
                        <w:t xml:space="preserve"> </w:t>
                      </w:r>
                      <w:proofErr w:type="spellStart"/>
                      <w:r w:rsidRPr="004D398C">
                        <w:rPr>
                          <w:rFonts w:ascii="Calibri Light" w:hAnsi="Calibri Light" w:cs="Calibri Light"/>
                          <w:color w:val="0D0D0D" w:themeColor="text1" w:themeTint="F2"/>
                          <w:sz w:val="20"/>
                          <w:szCs w:val="20"/>
                        </w:rPr>
                        <w:t>Wardani</w:t>
                      </w:r>
                      <w:proofErr w:type="spellEnd"/>
                      <w:r w:rsidRPr="004D398C">
                        <w:rPr>
                          <w:rFonts w:ascii="Calibri Light" w:hAnsi="Calibri Light" w:cs="Calibri Light"/>
                          <w:color w:val="0D0D0D" w:themeColor="text1" w:themeTint="F2"/>
                          <w:sz w:val="20"/>
                          <w:szCs w:val="20"/>
                        </w:rPr>
                        <w:t xml:space="preserve"> is the founder and manager of </w:t>
                      </w:r>
                      <w:proofErr w:type="spellStart"/>
                      <w:r w:rsidRPr="004D398C">
                        <w:rPr>
                          <w:rFonts w:ascii="Calibri Light" w:hAnsi="Calibri Light" w:cs="Calibri Light"/>
                          <w:color w:val="0D0D0D" w:themeColor="text1" w:themeTint="F2"/>
                          <w:sz w:val="20"/>
                          <w:szCs w:val="20"/>
                        </w:rPr>
                        <w:t>Dapur</w:t>
                      </w:r>
                      <w:proofErr w:type="spellEnd"/>
                      <w:r w:rsidRPr="004D398C">
                        <w:rPr>
                          <w:rFonts w:ascii="Calibri Light" w:hAnsi="Calibri Light" w:cs="Calibri Light"/>
                          <w:color w:val="0D0D0D" w:themeColor="text1" w:themeTint="F2"/>
                          <w:sz w:val="20"/>
                          <w:szCs w:val="20"/>
                        </w:rPr>
                        <w:t xml:space="preserve"> </w:t>
                      </w:r>
                      <w:proofErr w:type="spellStart"/>
                      <w:r w:rsidRPr="004D398C">
                        <w:rPr>
                          <w:rFonts w:ascii="Calibri Light" w:hAnsi="Calibri Light" w:cs="Calibri Light"/>
                          <w:color w:val="0D0D0D" w:themeColor="text1" w:themeTint="F2"/>
                          <w:sz w:val="20"/>
                          <w:szCs w:val="20"/>
                        </w:rPr>
                        <w:t>NiceMomy</w:t>
                      </w:r>
                      <w:proofErr w:type="spellEnd"/>
                      <w:r w:rsidRPr="004D398C">
                        <w:rPr>
                          <w:rFonts w:ascii="Calibri Light" w:hAnsi="Calibri Light" w:cs="Calibri Light"/>
                          <w:color w:val="0D0D0D" w:themeColor="text1" w:themeTint="F2"/>
                          <w:sz w:val="20"/>
                          <w:szCs w:val="20"/>
                        </w:rPr>
                        <w:t xml:space="preserve"> – an Indonesia enterprise that produces sambal chili paste, palm sugar and other food items. Since returning from a short-course in Australia with food standard regulators, Rima and her business partner have made substantial investments in their company developing exportable products that meet Australian food standards and regulations </w:t>
                      </w:r>
                    </w:p>
                    <w:p w:rsidR="0049045F" w:rsidRPr="004D398C" w:rsidRDefault="0049045F" w:rsidP="00BB1CEA">
                      <w:pPr>
                        <w:rPr>
                          <w:rFonts w:ascii="Calibri Light" w:hAnsi="Calibri Light" w:cs="Calibri Light"/>
                          <w:color w:val="0D0D0D" w:themeColor="text1" w:themeTint="F2"/>
                          <w:sz w:val="20"/>
                          <w:szCs w:val="20"/>
                        </w:rPr>
                      </w:pPr>
                      <w:r w:rsidRPr="004D398C">
                        <w:rPr>
                          <w:rFonts w:ascii="Calibri Light" w:hAnsi="Calibri Light" w:cs="Calibri Light"/>
                          <w:color w:val="0D0D0D" w:themeColor="text1" w:themeTint="F2"/>
                          <w:sz w:val="20"/>
                          <w:szCs w:val="20"/>
                        </w:rPr>
                        <w:t xml:space="preserve">Following improvements on food production, packaging and labelling, </w:t>
                      </w:r>
                      <w:proofErr w:type="spellStart"/>
                      <w:r w:rsidRPr="004D398C">
                        <w:rPr>
                          <w:rFonts w:ascii="Calibri Light" w:hAnsi="Calibri Light" w:cs="Calibri Light"/>
                          <w:color w:val="0D0D0D" w:themeColor="text1" w:themeTint="F2"/>
                          <w:sz w:val="20"/>
                          <w:szCs w:val="20"/>
                        </w:rPr>
                        <w:t>Dapur</w:t>
                      </w:r>
                      <w:proofErr w:type="spellEnd"/>
                      <w:r w:rsidRPr="004D398C">
                        <w:rPr>
                          <w:rFonts w:ascii="Calibri Light" w:hAnsi="Calibri Light" w:cs="Calibri Light"/>
                          <w:color w:val="0D0D0D" w:themeColor="text1" w:themeTint="F2"/>
                          <w:sz w:val="20"/>
                          <w:szCs w:val="20"/>
                        </w:rPr>
                        <w:t xml:space="preserve"> </w:t>
                      </w:r>
                      <w:proofErr w:type="spellStart"/>
                      <w:r w:rsidRPr="004D398C">
                        <w:rPr>
                          <w:rFonts w:ascii="Calibri Light" w:hAnsi="Calibri Light" w:cs="Calibri Light"/>
                          <w:color w:val="0D0D0D" w:themeColor="text1" w:themeTint="F2"/>
                          <w:sz w:val="20"/>
                          <w:szCs w:val="20"/>
                        </w:rPr>
                        <w:t>NiceMomy</w:t>
                      </w:r>
                      <w:proofErr w:type="spellEnd"/>
                      <w:r w:rsidRPr="004D398C">
                        <w:rPr>
                          <w:rFonts w:ascii="Calibri Light" w:hAnsi="Calibri Light" w:cs="Calibri Light"/>
                          <w:color w:val="0D0D0D" w:themeColor="text1" w:themeTint="F2"/>
                          <w:sz w:val="20"/>
                          <w:szCs w:val="20"/>
                        </w:rPr>
                        <w:t xml:space="preserve"> initiated trial export shipments of sambal chili paste and palm sugar to Australia. </w:t>
                      </w:r>
                      <w:proofErr w:type="spellStart"/>
                      <w:r w:rsidRPr="004D398C">
                        <w:rPr>
                          <w:rFonts w:ascii="Calibri Light" w:hAnsi="Calibri Light" w:cs="Calibri Light"/>
                          <w:color w:val="0D0D0D" w:themeColor="text1" w:themeTint="F2"/>
                          <w:sz w:val="20"/>
                          <w:szCs w:val="20"/>
                        </w:rPr>
                        <w:t>Rimayanti</w:t>
                      </w:r>
                      <w:proofErr w:type="spellEnd"/>
                      <w:r w:rsidRPr="004D398C">
                        <w:rPr>
                          <w:rFonts w:ascii="Calibri Light" w:hAnsi="Calibri Light" w:cs="Calibri Light"/>
                          <w:color w:val="0D0D0D" w:themeColor="text1" w:themeTint="F2"/>
                          <w:sz w:val="20"/>
                          <w:szCs w:val="20"/>
                        </w:rPr>
                        <w:t xml:space="preserve"> </w:t>
                      </w:r>
                      <w:proofErr w:type="spellStart"/>
                      <w:r w:rsidRPr="004D398C">
                        <w:rPr>
                          <w:rFonts w:ascii="Calibri Light" w:hAnsi="Calibri Light" w:cs="Calibri Light"/>
                          <w:color w:val="0D0D0D" w:themeColor="text1" w:themeTint="F2"/>
                          <w:sz w:val="20"/>
                          <w:szCs w:val="20"/>
                        </w:rPr>
                        <w:t>Wardani</w:t>
                      </w:r>
                      <w:proofErr w:type="spellEnd"/>
                      <w:r w:rsidRPr="004D398C">
                        <w:rPr>
                          <w:rFonts w:ascii="Calibri Light" w:hAnsi="Calibri Light" w:cs="Calibri Light"/>
                          <w:color w:val="0D0D0D" w:themeColor="text1" w:themeTint="F2"/>
                          <w:sz w:val="20"/>
                          <w:szCs w:val="20"/>
                        </w:rPr>
                        <w:t xml:space="preserve"> shared what she learned during the course with other women who want to start a business to augment their family income. To date, </w:t>
                      </w:r>
                      <w:proofErr w:type="spellStart"/>
                      <w:r w:rsidRPr="004D398C">
                        <w:rPr>
                          <w:rFonts w:ascii="Calibri Light" w:hAnsi="Calibri Light" w:cs="Calibri Light"/>
                          <w:color w:val="0D0D0D" w:themeColor="text1" w:themeTint="F2"/>
                          <w:sz w:val="20"/>
                          <w:szCs w:val="20"/>
                        </w:rPr>
                        <w:t>Dapur</w:t>
                      </w:r>
                      <w:proofErr w:type="spellEnd"/>
                      <w:r w:rsidRPr="004D398C">
                        <w:rPr>
                          <w:rFonts w:ascii="Calibri Light" w:hAnsi="Calibri Light" w:cs="Calibri Light"/>
                          <w:color w:val="0D0D0D" w:themeColor="text1" w:themeTint="F2"/>
                          <w:sz w:val="20"/>
                          <w:szCs w:val="20"/>
                        </w:rPr>
                        <w:t xml:space="preserve"> </w:t>
                      </w:r>
                      <w:proofErr w:type="spellStart"/>
                      <w:r w:rsidRPr="004D398C">
                        <w:rPr>
                          <w:rFonts w:ascii="Calibri Light" w:hAnsi="Calibri Light" w:cs="Calibri Light"/>
                          <w:color w:val="0D0D0D" w:themeColor="text1" w:themeTint="F2"/>
                          <w:sz w:val="20"/>
                          <w:szCs w:val="20"/>
                        </w:rPr>
                        <w:t>NiceMomy</w:t>
                      </w:r>
                      <w:proofErr w:type="spellEnd"/>
                      <w:r w:rsidRPr="004D398C">
                        <w:rPr>
                          <w:rFonts w:ascii="Calibri Light" w:hAnsi="Calibri Light" w:cs="Calibri Light"/>
                          <w:color w:val="0D0D0D" w:themeColor="text1" w:themeTint="F2"/>
                          <w:sz w:val="20"/>
                          <w:szCs w:val="20"/>
                        </w:rPr>
                        <w:t xml:space="preserve"> has contracted five provincial distributors across Indonesia with a combined network of about 200 female sub-distributors.</w:t>
                      </w:r>
                    </w:p>
                  </w:txbxContent>
                </v:textbox>
                <w10:wrap type="square" anchorx="margin"/>
              </v:rect>
            </w:pict>
          </mc:Fallback>
        </mc:AlternateContent>
      </w:r>
      <w:r w:rsidR="003C3FC6">
        <w:t xml:space="preserve">Over the last 12 months, Australia </w:t>
      </w:r>
      <w:r w:rsidR="009614CB">
        <w:t>provided AUD1.4</w:t>
      </w:r>
      <w:r w:rsidR="003C3FC6">
        <w:t xml:space="preserve"> million to four</w:t>
      </w:r>
      <w:r w:rsidR="00F54180">
        <w:t xml:space="preserve"> </w:t>
      </w:r>
      <w:r w:rsidR="003C3FC6">
        <w:t>reputable impact investors</w:t>
      </w:r>
      <w:r w:rsidR="00E76046">
        <w:t>,</w:t>
      </w:r>
      <w:r w:rsidR="003C3FC6">
        <w:t xml:space="preserve"> with strong business ties to </w:t>
      </w:r>
      <w:r w:rsidR="00FD6D4B">
        <w:t>S</w:t>
      </w:r>
      <w:r w:rsidR="003C3FC6">
        <w:t xml:space="preserve">outheast Asia, to </w:t>
      </w:r>
      <w:r w:rsidR="005E0547">
        <w:t xml:space="preserve">partner with </w:t>
      </w:r>
      <w:r w:rsidR="003C3FC6">
        <w:t>women’s small and medium enterprises</w:t>
      </w:r>
      <w:r w:rsidR="005E0547">
        <w:t xml:space="preserve"> in Indonesia</w:t>
      </w:r>
      <w:r w:rsidR="003C3FC6">
        <w:t>.</w:t>
      </w:r>
      <w:r w:rsidR="00E76046">
        <w:rPr>
          <w:rStyle w:val="EndnoteReference"/>
        </w:rPr>
        <w:endnoteReference w:id="55"/>
      </w:r>
      <w:r w:rsidR="005E0547">
        <w:t xml:space="preserve"> </w:t>
      </w:r>
      <w:r w:rsidR="005E0547" w:rsidRPr="00EE1F4D">
        <w:t>Impact investors are firms or individuals that invest into companies, organisations or enterprises to generate positive</w:t>
      </w:r>
      <w:r w:rsidR="005E0547">
        <w:t xml:space="preserve"> social</w:t>
      </w:r>
      <w:r w:rsidR="005E0547" w:rsidRPr="00EE1F4D">
        <w:t xml:space="preserve"> impacts alongside a financial return.</w:t>
      </w:r>
      <w:r w:rsidR="005E0547">
        <w:t xml:space="preserve"> This</w:t>
      </w:r>
      <w:r w:rsidR="003C3FC6">
        <w:t xml:space="preserve"> is a relatively new concept in </w:t>
      </w:r>
      <w:r w:rsidR="00FD6D4B">
        <w:t>S</w:t>
      </w:r>
      <w:r w:rsidR="003C3FC6">
        <w:t>outheast Asia</w:t>
      </w:r>
      <w:r w:rsidR="004A25E2">
        <w:t>,</w:t>
      </w:r>
      <w:r w:rsidR="003C3FC6">
        <w:t xml:space="preserve"> and Australia played a critical role in connecting Indonesia to organisations with a reliable track record </w:t>
      </w:r>
      <w:r w:rsidR="003C3FC6" w:rsidRPr="00C26714">
        <w:t xml:space="preserve">to encourage more gender </w:t>
      </w:r>
      <w:r w:rsidR="003C3FC6">
        <w:t>focused</w:t>
      </w:r>
      <w:r w:rsidR="003C3FC6" w:rsidRPr="00C26714">
        <w:t xml:space="preserve"> investment</w:t>
      </w:r>
      <w:r w:rsidR="003C3FC6">
        <w:t>s</w:t>
      </w:r>
      <w:r w:rsidR="003C3FC6" w:rsidRPr="00C26714">
        <w:t xml:space="preserve"> and capital flow into the sector</w:t>
      </w:r>
      <w:r w:rsidR="005E0547">
        <w:t>.</w:t>
      </w:r>
      <w:r w:rsidR="003C3FC6">
        <w:rPr>
          <w:rStyle w:val="EndnoteReference"/>
        </w:rPr>
        <w:endnoteReference w:id="56"/>
      </w:r>
      <w:r w:rsidR="003C3FC6">
        <w:t xml:space="preserve">  </w:t>
      </w:r>
      <w:r w:rsidR="004F58C8">
        <w:t>With Australia’s support,</w:t>
      </w:r>
      <w:r w:rsidR="003C3FC6">
        <w:t xml:space="preserve"> impact investors provided seed funding, business training and ment</w:t>
      </w:r>
      <w:r w:rsidR="009614CB">
        <w:t>orship that has resulted in AUD5.3</w:t>
      </w:r>
      <w:r w:rsidR="006609A2">
        <w:t> </w:t>
      </w:r>
      <w:r w:rsidR="003C3FC6">
        <w:t xml:space="preserve">million </w:t>
      </w:r>
      <w:r w:rsidR="00F54180">
        <w:t xml:space="preserve">in </w:t>
      </w:r>
      <w:r w:rsidR="003C3FC6">
        <w:t xml:space="preserve">additional funds leveraged from </w:t>
      </w:r>
      <w:r w:rsidR="00F54180">
        <w:t xml:space="preserve">the </w:t>
      </w:r>
      <w:r w:rsidR="003C3FC6">
        <w:t xml:space="preserve">private sector </w:t>
      </w:r>
      <w:r w:rsidR="004F58C8">
        <w:t>for</w:t>
      </w:r>
      <w:r w:rsidR="003C3FC6">
        <w:t xml:space="preserve"> </w:t>
      </w:r>
      <w:r w:rsidR="0065543A">
        <w:t>eight</w:t>
      </w:r>
      <w:r w:rsidR="00C737D4">
        <w:t xml:space="preserve"> </w:t>
      </w:r>
      <w:r w:rsidR="005E0547">
        <w:t xml:space="preserve">Indonesian </w:t>
      </w:r>
      <w:r w:rsidR="004F58C8">
        <w:t>women’s small and medium enterprises</w:t>
      </w:r>
      <w:r w:rsidR="003C3FC6">
        <w:t>.</w:t>
      </w:r>
    </w:p>
    <w:p w:rsidR="00C737D4" w:rsidRDefault="00C737D4" w:rsidP="003C3FC6">
      <w:r>
        <w:t>M</w:t>
      </w:r>
      <w:r w:rsidRPr="00405CD0">
        <w:t>igrant work is a significant contributor to Indonesian livelihoods and the economy, with 49 per cent of the 9 million migrant workers being female.</w:t>
      </w:r>
      <w:r w:rsidR="005E0547" w:rsidRPr="00405CD0">
        <w:rPr>
          <w:rStyle w:val="EndnoteReference"/>
        </w:rPr>
        <w:endnoteReference w:id="57"/>
      </w:r>
      <w:r w:rsidRPr="00405CD0">
        <w:t xml:space="preserve">  With the potential to earn five time</w:t>
      </w:r>
      <w:r w:rsidR="00F54180">
        <w:t>s</w:t>
      </w:r>
      <w:r w:rsidRPr="00405CD0">
        <w:t xml:space="preserve"> more in salary</w:t>
      </w:r>
      <w:r w:rsidR="00F54180">
        <w:t>,</w:t>
      </w:r>
      <w:r w:rsidR="00845C34">
        <w:t xml:space="preserve"> overseas </w:t>
      </w:r>
      <w:r w:rsidRPr="00405CD0">
        <w:t>migrant work is becoming an increasingly attractive option to financially advance families</w:t>
      </w:r>
      <w:r w:rsidR="005E0547">
        <w:t>.</w:t>
      </w:r>
      <w:r w:rsidRPr="00405CD0">
        <w:rPr>
          <w:rStyle w:val="EndnoteReference"/>
        </w:rPr>
        <w:endnoteReference w:id="58"/>
      </w:r>
      <w:r w:rsidR="005E0547">
        <w:t xml:space="preserve"> </w:t>
      </w:r>
      <w:r w:rsidRPr="00405CD0">
        <w:t xml:space="preserve">However, female migrant workers are twice as likely to experience abuse and harassment as </w:t>
      </w:r>
      <w:r>
        <w:t>males</w:t>
      </w:r>
      <w:r w:rsidRPr="00405CD0">
        <w:t xml:space="preserve">, and </w:t>
      </w:r>
      <w:r w:rsidR="008F7325">
        <w:t>have issues around salary entitlements</w:t>
      </w:r>
      <w:r w:rsidR="005E0547">
        <w:t>.</w:t>
      </w:r>
      <w:r w:rsidRPr="00405CD0">
        <w:rPr>
          <w:rStyle w:val="EndnoteReference"/>
        </w:rPr>
        <w:endnoteReference w:id="59"/>
      </w:r>
      <w:r w:rsidRPr="00405CD0">
        <w:t xml:space="preserve">  When problems occur, Indonesian women have been particularly vulnerable</w:t>
      </w:r>
      <w:r w:rsidR="00F54180">
        <w:t>, with</w:t>
      </w:r>
      <w:r w:rsidRPr="00405CD0">
        <w:t xml:space="preserve"> inadequate access to social security and the justice system</w:t>
      </w:r>
      <w:r w:rsidR="005E0547">
        <w:t>.</w:t>
      </w:r>
      <w:r w:rsidRPr="00405CD0">
        <w:rPr>
          <w:rStyle w:val="EndnoteReference"/>
        </w:rPr>
        <w:endnoteReference w:id="60"/>
      </w:r>
    </w:p>
    <w:p w:rsidR="00EA08B0" w:rsidRDefault="003C3FC6" w:rsidP="003C3FC6">
      <w:r>
        <w:t>In 2018-19, Australian grant funding</w:t>
      </w:r>
      <w:r>
        <w:rPr>
          <w:rStyle w:val="EndnoteReference"/>
        </w:rPr>
        <w:endnoteReference w:id="61"/>
      </w:r>
      <w:r>
        <w:t xml:space="preserve"> to Migrant CARE, a </w:t>
      </w:r>
      <w:r w:rsidR="00E5178C">
        <w:t>CSO</w:t>
      </w:r>
      <w:r w:rsidR="00F54180">
        <w:t xml:space="preserve"> </w:t>
      </w:r>
      <w:r>
        <w:t>with strong local connections</w:t>
      </w:r>
      <w:r>
        <w:rPr>
          <w:rStyle w:val="EndnoteReference"/>
        </w:rPr>
        <w:endnoteReference w:id="62"/>
      </w:r>
      <w:r>
        <w:t xml:space="preserve">, helped develop a model to </w:t>
      </w:r>
      <w:r w:rsidR="008F7325">
        <w:t xml:space="preserve">enable </w:t>
      </w:r>
      <w:r>
        <w:t xml:space="preserve">migrant workers access </w:t>
      </w:r>
      <w:r w:rsidR="008F7325">
        <w:t xml:space="preserve">to </w:t>
      </w:r>
      <w:r w:rsidR="00A1005D">
        <w:t xml:space="preserve">services at the village level. </w:t>
      </w:r>
      <w:r>
        <w:t>This model allows participating village governments to track the departure and return of migrant workers, and ha</w:t>
      </w:r>
      <w:r w:rsidR="00EA08B0">
        <w:t xml:space="preserve">ndle cases when difficulties </w:t>
      </w:r>
      <w:r w:rsidR="00EA08B0" w:rsidRPr="00E1328F">
        <w:t>arise</w:t>
      </w:r>
      <w:r w:rsidRPr="00E1328F">
        <w:t xml:space="preserve">. </w:t>
      </w:r>
      <w:r w:rsidR="00F5660A" w:rsidRPr="00E1328F">
        <w:t xml:space="preserve">This model has influenced a national government scheme (Productive Migrant Village), which is currently being </w:t>
      </w:r>
      <w:r w:rsidR="00E1328F" w:rsidRPr="00E1328F">
        <w:t>trialled</w:t>
      </w:r>
      <w:r w:rsidR="00F5660A" w:rsidRPr="00E1328F">
        <w:t xml:space="preserve"> in 14</w:t>
      </w:r>
      <w:r w:rsidR="00E1328F" w:rsidRPr="00E1328F">
        <w:t>0</w:t>
      </w:r>
      <w:r w:rsidR="00F5660A" w:rsidRPr="00E1328F">
        <w:t xml:space="preserve"> villages in 50 districts. </w:t>
      </w:r>
      <w:r w:rsidRPr="00E1328F">
        <w:t>In</w:t>
      </w:r>
      <w:r>
        <w:t xml:space="preserve"> 2018, </w:t>
      </w:r>
      <w:r w:rsidR="00643934">
        <w:t xml:space="preserve">Migrant CARE directly assisted </w:t>
      </w:r>
      <w:r>
        <w:t xml:space="preserve">4,058 migrant workers (2,354 women and 1,704 men) to depart countries </w:t>
      </w:r>
      <w:r w:rsidR="00A1005D">
        <w:t>like Saudi Arabia and Malaysia.</w:t>
      </w:r>
      <w:r>
        <w:t xml:space="preserve"> More than 180 </w:t>
      </w:r>
      <w:r w:rsidR="00A1005D">
        <w:t xml:space="preserve">of these </w:t>
      </w:r>
      <w:r>
        <w:t xml:space="preserve">cases (119 women and 64 men), </w:t>
      </w:r>
      <w:r w:rsidR="000B2614">
        <w:t>involved</w:t>
      </w:r>
      <w:r>
        <w:t xml:space="preserve"> overstaying, trafficking, and serious illness.  </w:t>
      </w:r>
    </w:p>
    <w:p w:rsidR="003C3FC6" w:rsidRDefault="003C3FC6" w:rsidP="003C3FC6">
      <w:r>
        <w:t xml:space="preserve">Migrant CARE </w:t>
      </w:r>
      <w:r w:rsidR="000B2614">
        <w:t>successfully advocated for the</w:t>
      </w:r>
      <w:r>
        <w:t xml:space="preserve"> Ministry of Labour </w:t>
      </w:r>
      <w:r w:rsidR="000B2614">
        <w:t>to expand</w:t>
      </w:r>
      <w:r>
        <w:t xml:space="preserve"> coverage of social security services for migrant workers. </w:t>
      </w:r>
      <w:r w:rsidR="008818E6">
        <w:t xml:space="preserve">In 2018, the Ministry of Labour issued a regulation to provide state-funded social security </w:t>
      </w:r>
      <w:r w:rsidR="00EA08B0">
        <w:t xml:space="preserve">to documented migrant workers. </w:t>
      </w:r>
      <w:r w:rsidR="008818E6">
        <w:t xml:space="preserve">This regulation went beyond limited coverage of workplace accidents </w:t>
      </w:r>
      <w:r w:rsidR="00845C34">
        <w:t>to include other</w:t>
      </w:r>
      <w:r w:rsidR="008818E6">
        <w:t xml:space="preserve"> common risk</w:t>
      </w:r>
      <w:r w:rsidR="00AD517E">
        <w:t>s facing</w:t>
      </w:r>
      <w:r w:rsidR="008818E6">
        <w:t xml:space="preserve"> migrant workers before, during, and after their placement.  </w:t>
      </w:r>
      <w:r w:rsidR="00AD517E">
        <w:t xml:space="preserve">Coverage now includes </w:t>
      </w:r>
      <w:r w:rsidR="008818E6">
        <w:t xml:space="preserve">life insurance, </w:t>
      </w:r>
      <w:r w:rsidR="000B2614">
        <w:t>participation in the</w:t>
      </w:r>
      <w:r w:rsidR="008818E6">
        <w:t xml:space="preserve"> state pension scheme, and </w:t>
      </w:r>
      <w:r w:rsidR="00AD517E">
        <w:t xml:space="preserve">social welfare support for </w:t>
      </w:r>
      <w:r w:rsidR="008818E6">
        <w:t>family dependents in the event that the migrant worker expe</w:t>
      </w:r>
      <w:r w:rsidR="00AD517E">
        <w:t>riences employment difficulties</w:t>
      </w:r>
      <w:r w:rsidR="008818E6">
        <w:t>.</w:t>
      </w:r>
      <w:r w:rsidR="00F5660A">
        <w:t xml:space="preserve">  </w:t>
      </w:r>
    </w:p>
    <w:p w:rsidR="005E2D01" w:rsidRDefault="003C3FC6" w:rsidP="003C3FC6">
      <w:pPr>
        <w:rPr>
          <w:color w:val="1F497D"/>
        </w:rPr>
      </w:pPr>
      <w:r w:rsidRPr="00131088">
        <w:t xml:space="preserve">The increase in collective action at the local level has </w:t>
      </w:r>
      <w:r w:rsidR="005E2D01">
        <w:t xml:space="preserve">also </w:t>
      </w:r>
      <w:r w:rsidRPr="00131088">
        <w:t>led to positive benefits for the women,</w:t>
      </w:r>
      <w:r>
        <w:t xml:space="preserve"> including increased confidence</w:t>
      </w:r>
      <w:r w:rsidR="000B2614">
        <w:t xml:space="preserve"> to express their views</w:t>
      </w:r>
      <w:r w:rsidR="000148F3">
        <w:t xml:space="preserve">. </w:t>
      </w:r>
      <w:r>
        <w:t xml:space="preserve">Australia supported 125 civil society organisations </w:t>
      </w:r>
      <w:r w:rsidR="000B2614">
        <w:t>form</w:t>
      </w:r>
      <w:r>
        <w:t xml:space="preserve"> almost 200 additional village level groups between September 2018 to March 2019. </w:t>
      </w:r>
      <w:r w:rsidR="000148F3">
        <w:t>Overall, a total of 1,012 groups have been established since January 2017, with 16,406 women</w:t>
      </w:r>
      <w:r w:rsidR="000148F3" w:rsidRPr="000148F3">
        <w:t xml:space="preserve"> actively participating</w:t>
      </w:r>
      <w:r w:rsidR="000148F3">
        <w:t xml:space="preserve"> in </w:t>
      </w:r>
      <w:r w:rsidR="000148F3" w:rsidRPr="000148F3">
        <w:t>decisions on</w:t>
      </w:r>
      <w:r w:rsidR="000148F3">
        <w:t xml:space="preserve"> village developmen</w:t>
      </w:r>
      <w:r w:rsidR="000148F3" w:rsidRPr="000148F3">
        <w:t>t, village regulations and how budgets are allocated. These groups also include male champions as a strategy to build support for change</w:t>
      </w:r>
      <w:r w:rsidR="000148F3">
        <w:t>.</w:t>
      </w:r>
      <w:r w:rsidR="000148F3">
        <w:rPr>
          <w:color w:val="1F497D"/>
        </w:rPr>
        <w:t xml:space="preserve"> </w:t>
      </w:r>
    </w:p>
    <w:p w:rsidR="003B3538" w:rsidRDefault="003B3538" w:rsidP="003C3FC6">
      <w:r>
        <w:t xml:space="preserve">An independent review of Australia’s gender equality and women’s empowerment programs found our work has made a demonstrable difference to the opportunity for women to have </w:t>
      </w:r>
      <w:r w:rsidR="00BD5A81">
        <w:t xml:space="preserve">a </w:t>
      </w:r>
      <w:r>
        <w:t xml:space="preserve">voice and influence in Indonesia, with strong evidence and analysis to support </w:t>
      </w:r>
      <w:r w:rsidRPr="00E1328F">
        <w:t xml:space="preserve">this. </w:t>
      </w:r>
      <w:r w:rsidR="005E2D01" w:rsidRPr="00E1328F">
        <w:t>The review also concluded that civil society partners that Australia supported through the program have contributed to national level policy</w:t>
      </w:r>
      <w:r w:rsidR="00E1328F">
        <w:t xml:space="preserve"> reform</w:t>
      </w:r>
      <w:r w:rsidR="005E2D01" w:rsidRPr="00E1328F">
        <w:t xml:space="preserve">, mostly in the areas of gender-based violence and conditions for migrant workers.  These partners have also formed </w:t>
      </w:r>
      <w:r w:rsidR="00E1328F" w:rsidRPr="00E1328F">
        <w:t>broad-based</w:t>
      </w:r>
      <w:r w:rsidR="005E2D01" w:rsidRPr="00E1328F">
        <w:t xml:space="preserve"> coalitions to jointly advocate in the areas of national health insurance and child marriage. </w:t>
      </w:r>
      <w:r w:rsidRPr="00E1328F">
        <w:t>Goin</w:t>
      </w:r>
      <w:r>
        <w:t>g forward, Australia</w:t>
      </w:r>
      <w:r w:rsidR="00C16B2E">
        <w:t xml:space="preserve"> will build on existing </w:t>
      </w:r>
      <w:r w:rsidR="007C2912">
        <w:t>experience and</w:t>
      </w:r>
      <w:r w:rsidR="00C16B2E">
        <w:t xml:space="preserve"> </w:t>
      </w:r>
      <w:r>
        <w:t>knowledge</w:t>
      </w:r>
      <w:r w:rsidR="00C16B2E">
        <w:t xml:space="preserve">, </w:t>
      </w:r>
      <w:r>
        <w:t>to maintain support for the women’s movement</w:t>
      </w:r>
      <w:r w:rsidR="007C2912">
        <w:t xml:space="preserve"> and coalitions</w:t>
      </w:r>
      <w:r>
        <w:t xml:space="preserve"> in Indonesia at a critical time </w:t>
      </w:r>
      <w:r w:rsidR="00C16B2E">
        <w:t>of democratic and economic development.</w:t>
      </w:r>
    </w:p>
    <w:p w:rsidR="003C3FC6" w:rsidRPr="004E625A" w:rsidRDefault="003C3FC6" w:rsidP="003C3FC6">
      <w:pPr>
        <w:rPr>
          <w:u w:val="single"/>
        </w:rPr>
      </w:pPr>
      <w:r w:rsidRPr="004E625A">
        <w:rPr>
          <w:u w:val="single"/>
        </w:rPr>
        <w:t>Outcome 9:  Marginalised groups can advocate for and access basic services</w:t>
      </w:r>
    </w:p>
    <w:p w:rsidR="003C3FC6" w:rsidRPr="00A9368F" w:rsidRDefault="003C3FC6" w:rsidP="003C3FC6">
      <w:pPr>
        <w:rPr>
          <w:b/>
        </w:rPr>
      </w:pPr>
      <w:r w:rsidRPr="00A9368F">
        <w:rPr>
          <w:b/>
        </w:rPr>
        <w:t xml:space="preserve">Outcome 9 has been rated amber </w:t>
      </w:r>
      <w:r>
        <w:rPr>
          <w:b/>
        </w:rPr>
        <w:t xml:space="preserve">due to </w:t>
      </w:r>
      <w:r w:rsidR="00671073">
        <w:rPr>
          <w:b/>
        </w:rPr>
        <w:t>delays in</w:t>
      </w:r>
      <w:r>
        <w:rPr>
          <w:b/>
        </w:rPr>
        <w:t xml:space="preserve"> </w:t>
      </w:r>
      <w:r w:rsidR="00671073">
        <w:rPr>
          <w:b/>
        </w:rPr>
        <w:t xml:space="preserve">finalising </w:t>
      </w:r>
      <w:r w:rsidR="00A50FD0">
        <w:rPr>
          <w:b/>
        </w:rPr>
        <w:t xml:space="preserve">the monitoring and evaluation plan for implementation of the disability law and </w:t>
      </w:r>
      <w:r>
        <w:rPr>
          <w:b/>
        </w:rPr>
        <w:t xml:space="preserve">a National Action Plan for </w:t>
      </w:r>
      <w:r w:rsidR="00495D6C">
        <w:rPr>
          <w:b/>
        </w:rPr>
        <w:t>Combatting</w:t>
      </w:r>
      <w:r>
        <w:rPr>
          <w:b/>
        </w:rPr>
        <w:t xml:space="preserve"> Violent Extremism.</w:t>
      </w:r>
      <w:r w:rsidR="00671073">
        <w:rPr>
          <w:b/>
        </w:rPr>
        <w:t xml:space="preserve"> S</w:t>
      </w:r>
      <w:r>
        <w:rPr>
          <w:b/>
        </w:rPr>
        <w:t>trong progress was achieved to strengthen constitutional recognition of local beliefs at national and local levels.</w:t>
      </w:r>
    </w:p>
    <w:p w:rsidR="003C3FC6" w:rsidRDefault="003C3FC6" w:rsidP="003C3FC6">
      <w:r>
        <w:t>Indonesia is a diverse nation with rich culture</w:t>
      </w:r>
      <w:r w:rsidR="00715E51">
        <w:t>s</w:t>
      </w:r>
      <w:r>
        <w:t xml:space="preserve"> and natural resources, but inequality </w:t>
      </w:r>
      <w:r w:rsidR="00715E51">
        <w:t>is</w:t>
      </w:r>
      <w:r>
        <w:t xml:space="preserve"> a</w:t>
      </w:r>
      <w:r w:rsidR="0027749D">
        <w:t xml:space="preserve"> persistent barrier to growth. </w:t>
      </w:r>
      <w:r>
        <w:t xml:space="preserve">Marginalised groups are often the poorest in </w:t>
      </w:r>
      <w:r w:rsidR="0027749D">
        <w:t>Indonesia with approximately 17 </w:t>
      </w:r>
      <w:r>
        <w:t>million people identified as indigenous</w:t>
      </w:r>
      <w:r w:rsidR="00671073">
        <w:t xml:space="preserve"> </w:t>
      </w:r>
      <w:r>
        <w:t xml:space="preserve">and </w:t>
      </w:r>
      <w:r w:rsidR="006C0F59">
        <w:t>40-50</w:t>
      </w:r>
      <w:r>
        <w:t xml:space="preserve"> million Indonesians living with </w:t>
      </w:r>
      <w:r w:rsidR="007C2912">
        <w:t xml:space="preserve">a </w:t>
      </w:r>
      <w:r>
        <w:t>disability</w:t>
      </w:r>
      <w:r w:rsidR="00BE4786">
        <w:t>.</w:t>
      </w:r>
      <w:r>
        <w:rPr>
          <w:rStyle w:val="EndnoteReference"/>
        </w:rPr>
        <w:endnoteReference w:id="63"/>
      </w:r>
      <w:r w:rsidR="00BE4786">
        <w:t xml:space="preserve"> </w:t>
      </w:r>
      <w:r w:rsidR="00671073">
        <w:t xml:space="preserve">Marginalised people </w:t>
      </w:r>
      <w:r>
        <w:t xml:space="preserve">are often overlooked </w:t>
      </w:r>
      <w:r w:rsidR="0027749D">
        <w:t>and</w:t>
      </w:r>
      <w:r>
        <w:t xml:space="preserve"> </w:t>
      </w:r>
      <w:r w:rsidR="0027749D">
        <w:t>cannot fully participate</w:t>
      </w:r>
      <w:r w:rsidR="00671073">
        <w:t xml:space="preserve"> in</w:t>
      </w:r>
      <w:r>
        <w:t xml:space="preserve"> economic growth </w:t>
      </w:r>
      <w:r w:rsidR="0027749D">
        <w:t>or</w:t>
      </w:r>
      <w:r>
        <w:t xml:space="preserve"> access basic services</w:t>
      </w:r>
      <w:r w:rsidR="00BE4786">
        <w:t>.</w:t>
      </w:r>
      <w:r>
        <w:rPr>
          <w:rStyle w:val="EndnoteReference"/>
        </w:rPr>
        <w:endnoteReference w:id="64"/>
      </w:r>
      <w:r>
        <w:t xml:space="preserve"> Tackling inequality and promoting social inclusion remain high priorities for Indonesia and Australia. Australia works with Indonesia to provide research</w:t>
      </w:r>
      <w:r w:rsidR="00715E51">
        <w:t xml:space="preserve"> and </w:t>
      </w:r>
      <w:r w:rsidR="00E31A85">
        <w:t>build strong coalitions</w:t>
      </w:r>
      <w:r>
        <w:t xml:space="preserve"> </w:t>
      </w:r>
      <w:r w:rsidR="00671073">
        <w:t>for</w:t>
      </w:r>
      <w:r>
        <w:t xml:space="preserve"> inclusive policy development, and works with credible </w:t>
      </w:r>
      <w:r w:rsidR="00E5178C">
        <w:t>CSOs</w:t>
      </w:r>
      <w:r>
        <w:t xml:space="preserve"> to advocate for the rights of marginalised groups.</w:t>
      </w:r>
    </w:p>
    <w:p w:rsidR="00593D4B" w:rsidRPr="00E1328F" w:rsidRDefault="00E323D8" w:rsidP="003C3FC6">
      <w:r w:rsidRPr="00E1328F">
        <w:t xml:space="preserve">Passage of the </w:t>
      </w:r>
      <w:r w:rsidR="00E1328F" w:rsidRPr="00E1328F">
        <w:t>Disability L</w:t>
      </w:r>
      <w:r w:rsidRPr="00E1328F">
        <w:t xml:space="preserve">aw in 2016, supported by Australia’s support to </w:t>
      </w:r>
      <w:r w:rsidR="006850E5" w:rsidRPr="00E1328F">
        <w:t xml:space="preserve">disabled persons organisations </w:t>
      </w:r>
      <w:r w:rsidR="006850E5">
        <w:t>(</w:t>
      </w:r>
      <w:r w:rsidRPr="00E1328F">
        <w:t>DPO</w:t>
      </w:r>
      <w:r w:rsidR="006850E5">
        <w:t>)</w:t>
      </w:r>
      <w:r w:rsidRPr="00E1328F">
        <w:t xml:space="preserve"> coalitions, marked a paradigm shift in the </w:t>
      </w:r>
      <w:r w:rsidR="00660F20">
        <w:t>Indonesian government’s</w:t>
      </w:r>
      <w:r w:rsidRPr="00E1328F">
        <w:t xml:space="preserve"> approach to protecting the rights of all citizens with disability. Since then, progress continues to be slow in the implementation of the disability law despite a concerted effort across Australian-funded programs. </w:t>
      </w:r>
      <w:r w:rsidR="006C0F59" w:rsidRPr="00E1328F">
        <w:t>In 2018, Australia continued to work closely with national and sub-national governments</w:t>
      </w:r>
      <w:r w:rsidR="00075060" w:rsidRPr="00E1328F">
        <w:t xml:space="preserve"> and </w:t>
      </w:r>
      <w:r w:rsidR="006850E5">
        <w:t>DPOs</w:t>
      </w:r>
      <w:r w:rsidR="006C0F59" w:rsidRPr="00E1328F">
        <w:t xml:space="preserve"> to progress four of the eight regulations required </w:t>
      </w:r>
      <w:r w:rsidR="0055702B" w:rsidRPr="00E1328F">
        <w:t>for implementation</w:t>
      </w:r>
      <w:r w:rsidR="003750E5" w:rsidRPr="00E1328F">
        <w:rPr>
          <w:rStyle w:val="EndnoteReference"/>
        </w:rPr>
        <w:endnoteReference w:id="65"/>
      </w:r>
      <w:r w:rsidR="006C0F59" w:rsidRPr="00E1328F">
        <w:t>. Indonesia has advanced the drafting of the regulations for access to justice, social welfare, planning, monitoring and evaluation, and habitation and rehabilitation</w:t>
      </w:r>
      <w:r w:rsidR="0055702B" w:rsidRPr="00E1328F">
        <w:t xml:space="preserve">. </w:t>
      </w:r>
    </w:p>
    <w:p w:rsidR="00593D4B" w:rsidRPr="00E1328F" w:rsidRDefault="006C0F59" w:rsidP="003C3FC6">
      <w:r w:rsidRPr="00E1328F">
        <w:t xml:space="preserve">Responding to </w:t>
      </w:r>
      <w:r w:rsidR="00075060" w:rsidRPr="00E1328F">
        <w:t xml:space="preserve">a </w:t>
      </w:r>
      <w:r w:rsidRPr="00E1328F">
        <w:t xml:space="preserve">request from Bappenas, </w:t>
      </w:r>
      <w:r w:rsidR="0049045F">
        <w:t xml:space="preserve">Australia </w:t>
      </w:r>
      <w:r w:rsidR="00E1328F" w:rsidRPr="00E1328F">
        <w:t>funded</w:t>
      </w:r>
      <w:r w:rsidRPr="00E1328F">
        <w:t xml:space="preserve"> civil society organisations</w:t>
      </w:r>
      <w:r w:rsidR="0055702B" w:rsidRPr="00E1328F">
        <w:t xml:space="preserve"> </w:t>
      </w:r>
      <w:r w:rsidRPr="00E1328F">
        <w:t xml:space="preserve">to participate in the development of the Master Plan on Disability Inclusive Development (RIPID). This plan will be a key policy tool to provide the guiding framework for the strategic planning, monitoring and evaluation of the </w:t>
      </w:r>
      <w:r w:rsidR="00E1328F" w:rsidRPr="00E1328F">
        <w:t>Disability Law</w:t>
      </w:r>
      <w:r w:rsidRPr="00E1328F">
        <w:t xml:space="preserve"> </w:t>
      </w:r>
      <w:r w:rsidR="00E323D8" w:rsidRPr="00E1328F">
        <w:t xml:space="preserve">across Indonesia </w:t>
      </w:r>
      <w:r w:rsidR="00075060" w:rsidRPr="00E1328F">
        <w:t>once it is finalised (</w:t>
      </w:r>
      <w:r w:rsidR="008075AE" w:rsidRPr="00E1328F">
        <w:t>anticipated</w:t>
      </w:r>
      <w:r w:rsidR="00075060" w:rsidRPr="00E1328F">
        <w:t xml:space="preserve"> for</w:t>
      </w:r>
      <w:r w:rsidRPr="00E1328F">
        <w:t xml:space="preserve"> September 2019</w:t>
      </w:r>
      <w:r w:rsidR="00075060" w:rsidRPr="00E1328F">
        <w:t>)</w:t>
      </w:r>
      <w:r w:rsidRPr="00E1328F">
        <w:t xml:space="preserve">. </w:t>
      </w:r>
      <w:r w:rsidR="008075AE" w:rsidRPr="00E1328F">
        <w:t>By supporting the strong involvement of DPOs,</w:t>
      </w:r>
      <w:r w:rsidRPr="00E1328F">
        <w:t xml:space="preserve"> the RIPID now addresses sexual violence against women with disabilities, and recognises the need for better access to justice for all community groups through a judicial syste</w:t>
      </w:r>
      <w:r w:rsidR="00593D4B" w:rsidRPr="00E1328F">
        <w:t xml:space="preserve">m that recognises inclusivity. </w:t>
      </w:r>
    </w:p>
    <w:p w:rsidR="003C3FC6" w:rsidRPr="00E1328F" w:rsidRDefault="00E31A85" w:rsidP="003C3FC6">
      <w:r w:rsidRPr="00E1328F">
        <w:t xml:space="preserve">As a result of closer collaboration, Bappenas, the Ministry of Law and Human Rights (Kemenkumham) and the Ministry of Social Affairs (Kemensos) are now more open to seeking input from DPOs in the policy making process and holding discussions to effectively implement regulations. For example, </w:t>
      </w:r>
      <w:r w:rsidR="00E323D8" w:rsidRPr="00E1328F">
        <w:t xml:space="preserve">Australia has also supported the development of the 2018-2019 National Human Rights Action Plan (RANHAM 2018-2019) which advances Indonesia’s disability agenda by including disability rights. Consultation included </w:t>
      </w:r>
      <w:r w:rsidRPr="00E1328F">
        <w:t xml:space="preserve">30 DPOs and </w:t>
      </w:r>
      <w:r w:rsidR="00E5178C" w:rsidRPr="00E1328F">
        <w:t>CSOs</w:t>
      </w:r>
      <w:r w:rsidR="008075AE" w:rsidRPr="00E1328F">
        <w:t xml:space="preserve"> </w:t>
      </w:r>
      <w:r w:rsidRPr="00E1328F">
        <w:t xml:space="preserve">in the development of disability rights indicators. The indicators and related monitoring tools will be used to track progress, changes and lessons learned in implementing the disability law. </w:t>
      </w:r>
    </w:p>
    <w:p w:rsidR="00E1328F" w:rsidRDefault="00E1328F">
      <w:pPr>
        <w:suppressAutoHyphens w:val="0"/>
        <w:spacing w:before="0" w:after="120" w:line="440" w:lineRule="atLeast"/>
      </w:pPr>
      <w:r>
        <w:br w:type="page"/>
      </w:r>
    </w:p>
    <w:p w:rsidR="003C3FC6" w:rsidRPr="00E1328F" w:rsidRDefault="00E1328F" w:rsidP="003C3FC6">
      <w:r w:rsidRPr="00E1328F">
        <w:rPr>
          <w:noProof/>
          <w:lang w:val="en-AU" w:eastAsia="en-AU"/>
        </w:rPr>
        <w:drawing>
          <wp:anchor distT="0" distB="0" distL="114300" distR="114300" simplePos="0" relativeHeight="251762688" behindDoc="0" locked="0" layoutInCell="1" allowOverlap="1">
            <wp:simplePos x="0" y="0"/>
            <wp:positionH relativeFrom="margin">
              <wp:align>right</wp:align>
            </wp:positionH>
            <wp:positionV relativeFrom="paragraph">
              <wp:posOffset>1041621</wp:posOffset>
            </wp:positionV>
            <wp:extent cx="2052320" cy="2098675"/>
            <wp:effectExtent l="0" t="0" r="5080" b="0"/>
            <wp:wrapSquare wrapText="bothSides"/>
            <wp:docPr id="20" name="Picture 20" descr="Sriyanto, a person with Cerebral Palsy in Sukohario District in Central Java Province, proudly held his national identity card for the first time." title="National Identit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232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FC6" w:rsidRPr="00E1328F">
        <w:t>At the sub</w:t>
      </w:r>
      <w:r w:rsidR="000650AE">
        <w:t>-</w:t>
      </w:r>
      <w:r w:rsidR="003C3FC6" w:rsidRPr="00E1328F">
        <w:t>national level, Australia targets eight</w:t>
      </w:r>
      <w:r w:rsidR="003C3FC6" w:rsidRPr="00E1328F">
        <w:rPr>
          <w:rStyle w:val="EndnoteReference"/>
        </w:rPr>
        <w:endnoteReference w:id="66"/>
      </w:r>
      <w:r w:rsidR="003C3FC6" w:rsidRPr="00E1328F">
        <w:t xml:space="preserve"> Indonesian district governments where strong </w:t>
      </w:r>
      <w:r w:rsidR="00B14255" w:rsidRPr="00E1328F">
        <w:t xml:space="preserve">civil </w:t>
      </w:r>
      <w:r w:rsidR="008075AE" w:rsidRPr="00E1328F">
        <w:t>society</w:t>
      </w:r>
      <w:r w:rsidR="00B14255" w:rsidRPr="00E1328F">
        <w:t xml:space="preserve"> </w:t>
      </w:r>
      <w:r w:rsidR="003C3FC6" w:rsidRPr="00E1328F">
        <w:t xml:space="preserve">and DPO partners are located </w:t>
      </w:r>
      <w:r w:rsidR="00E323D8" w:rsidRPr="00E1328F">
        <w:t xml:space="preserve">to demonstrate how </w:t>
      </w:r>
      <w:r w:rsidR="003C3FC6" w:rsidRPr="00E1328F">
        <w:t>social and disability inclusion</w:t>
      </w:r>
      <w:r w:rsidR="00E323D8" w:rsidRPr="00E1328F">
        <w:t xml:space="preserve"> </w:t>
      </w:r>
      <w:r w:rsidRPr="00E1328F">
        <w:t>can work locally</w:t>
      </w:r>
      <w:r w:rsidR="003C3FC6" w:rsidRPr="00E1328F">
        <w:t>. Australia helped these district governments</w:t>
      </w:r>
      <w:r w:rsidR="00A50FD0" w:rsidRPr="00E1328F">
        <w:t xml:space="preserve"> to allocate approximately AUD95</w:t>
      </w:r>
      <w:r w:rsidR="003C3FC6" w:rsidRPr="00E1328F">
        <w:t>0,000</w:t>
      </w:r>
      <w:r w:rsidR="008075AE" w:rsidRPr="00E1328F">
        <w:t xml:space="preserve"> </w:t>
      </w:r>
      <w:r w:rsidR="003C3FC6" w:rsidRPr="00E1328F">
        <w:t>of their budget to improve access</w:t>
      </w:r>
      <w:r w:rsidR="003C3FC6" w:rsidRPr="001302EE">
        <w:t xml:space="preserve"> </w:t>
      </w:r>
      <w:r w:rsidR="007C2912">
        <w:t>to</w:t>
      </w:r>
      <w:r w:rsidR="003C3FC6" w:rsidRPr="001302EE">
        <w:t xml:space="preserve"> services</w:t>
      </w:r>
      <w:r w:rsidR="003C3FC6" w:rsidRPr="00370D26">
        <w:t xml:space="preserve"> for people with disabilities, and deliver much needed awareness building training to local service providers </w:t>
      </w:r>
      <w:r w:rsidR="003C3FC6" w:rsidRPr="00E1328F">
        <w:t>to better recognise the unique disadvantages marginalised people experience.</w:t>
      </w:r>
      <w:r w:rsidR="008075AE" w:rsidRPr="00E1328F">
        <w:rPr>
          <w:rStyle w:val="EndnoteReference"/>
        </w:rPr>
        <w:endnoteReference w:id="67"/>
      </w:r>
      <w:r w:rsidR="003C3FC6" w:rsidRPr="00E1328F">
        <w:t xml:space="preserve"> This engagement also supported civil registration offices to improve access to legal identity documents for 4,427 people with disabilities that has opened access for them to apply for basic services such as health, education and social protection programs.</w:t>
      </w:r>
      <w:r w:rsidR="00E323D8" w:rsidRPr="00E1328F">
        <w:t xml:space="preserve"> We use these examples of success to influence national Government policies for mainstreaming disability inclusion, including in the implementation of the Village Law.</w:t>
      </w:r>
    </w:p>
    <w:p w:rsidR="00B6549E" w:rsidRPr="001302EE" w:rsidRDefault="00E1328F" w:rsidP="003C3FC6">
      <w:r>
        <w:rPr>
          <w:noProof/>
          <w:lang w:val="en-AU" w:eastAsia="en-AU"/>
        </w:rPr>
        <mc:AlternateContent>
          <mc:Choice Requires="wps">
            <w:drawing>
              <wp:anchor distT="0" distB="0" distL="114300" distR="114300" simplePos="0" relativeHeight="251764736" behindDoc="0" locked="0" layoutInCell="1" allowOverlap="1" wp14:anchorId="5B0627D1" wp14:editId="163254F8">
                <wp:simplePos x="0" y="0"/>
                <wp:positionH relativeFrom="margin">
                  <wp:align>right</wp:align>
                </wp:positionH>
                <wp:positionV relativeFrom="paragraph">
                  <wp:posOffset>1128285</wp:posOffset>
                </wp:positionV>
                <wp:extent cx="2052320" cy="706755"/>
                <wp:effectExtent l="0" t="0" r="5080" b="17145"/>
                <wp:wrapSquare wrapText="bothSides"/>
                <wp:docPr id="22" name="Text Box 22"/>
                <wp:cNvGraphicFramePr/>
                <a:graphic xmlns:a="http://schemas.openxmlformats.org/drawingml/2006/main">
                  <a:graphicData uri="http://schemas.microsoft.com/office/word/2010/wordprocessingShape">
                    <wps:wsp>
                      <wps:cNvSpPr txBox="1"/>
                      <wps:spPr>
                        <a:xfrm>
                          <a:off x="0" y="0"/>
                          <a:ext cx="2052320" cy="706755"/>
                        </a:xfrm>
                        <a:prstGeom prst="rect">
                          <a:avLst/>
                        </a:prstGeom>
                        <a:noFill/>
                        <a:ln>
                          <a:noFill/>
                        </a:ln>
                      </wps:spPr>
                      <wps:txbx>
                        <w:txbxContent>
                          <w:p w:rsidR="0049045F" w:rsidRPr="00847F0C" w:rsidRDefault="0049045F" w:rsidP="00847F0C">
                            <w:pPr>
                              <w:rPr>
                                <w:color w:val="auto"/>
                                <w:sz w:val="16"/>
                                <w:szCs w:val="16"/>
                                <w:lang w:val="en-AU"/>
                              </w:rPr>
                            </w:pPr>
                            <w:r w:rsidRPr="00847F0C">
                              <w:rPr>
                                <w:sz w:val="16"/>
                                <w:szCs w:val="16"/>
                              </w:rPr>
                              <w:t xml:space="preserve">Sriyanto, a person with Cerebral Palsy in Sukoharjo District, Central Java Province, proudly held his national identity card for the first time. </w:t>
                            </w:r>
                            <w:r>
                              <w:rPr>
                                <w:sz w:val="16"/>
                                <w:szCs w:val="16"/>
                              </w:rPr>
                              <w:t>Photo</w:t>
                            </w:r>
                            <w:r w:rsidRPr="00847F0C">
                              <w:rPr>
                                <w:sz w:val="16"/>
                                <w:szCs w:val="16"/>
                              </w:rPr>
                              <w:t>: Peduli</w:t>
                            </w:r>
                          </w:p>
                          <w:p w:rsidR="0049045F" w:rsidRPr="00123DB3" w:rsidRDefault="0049045F" w:rsidP="00847F0C">
                            <w:pPr>
                              <w:pStyle w:val="Caption"/>
                              <w:rPr>
                                <w:color w:val="495965"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627D1" id="Text Box 22" o:spid="_x0000_s1032" type="#_x0000_t202" style="position:absolute;margin-left:110.4pt;margin-top:88.85pt;width:161.6pt;height:55.65pt;z-index:251764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FAHgIAAEEEAAAOAAAAZHJzL2Uyb0RvYy54bWysU8Fu2zAMvQ/YPwi6L3Y8JB2MOEXWIsOA&#10;oC2QDD0rspQYsESNUmJ3Xz9KjtOt22nYRaZJ6ol8fFzc9qZlZ4W+AVvx6STnTFkJdWMPFf+2W3/4&#10;xJkPwtaiBasq/qI8v12+f7foXKkKOEJbK2QEYn3ZuYofQ3Bllnl5VEb4CThlKagBjQj0i4esRtER&#10;ummzIs/nWQdYOwSpvCfv/RDky4SvtZLhUWuvAmsrTrWFdGI69/HMlgtRHlC4YyMvZYh/qMKIxtKj&#10;V6h7EQQ7YfMHlGkkggcdJhJMBlo3UqUeqJtp/qab7VE4lXohcry70uT/H6x8OD8ha+qKFwVnVhia&#10;0U71gX2GnpGL+OmcLylt6ygx9OSnOY9+T87Ydq/RxC81xChOTL9c2Y1okpxFPis+FhSSFLvJ5zez&#10;WYTJXm879OGLAsOiUXGk6SVSxXnjw5A6psTHLKybtk0TbO1vDsKMniyWPpQYrdDv+9TqfCx/D/UL&#10;dYUw6MI7uW7o6Y3w4UkgCYGqJXGHRzp0C13F4WJxdgT88Td/zKf5UJSzjoRVcf/9JFBx1n61NLmo&#10;wtHA0diPhj2ZOyCtTmltnEwmXcDQjqZGMM+k+VV8hULCSnqr4mE078Igb9oZqVarlERacyJs7NbJ&#10;CB25ikTu+meB7sJ2oDk9wCg5Ub4hfcgdWF6dAugmTSTyOrB4oZt0mmZ62am4CL/+p6zXzV/+BAAA&#10;//8DAFBLAwQUAAYACAAAACEA+7u3r94AAAAIAQAADwAAAGRycy9kb3ducmV2LnhtbEyPwU7DMBBE&#10;70j8g7VI3KhNKjVtiFNVCE5IiDQcODrJNrEar0PstuHvWU70ODurmTf5dnaDOOMUrCcNjwsFAqnx&#10;raVOw2f1+rAGEaKh1gyeUMMPBtgWtze5yVp/oRLP+9gJDqGQGQ19jGMmZWh6dCYs/IjE3sFPzkSW&#10;UyfbyVw43A0yUWolnbHEDb0Z8bnH5rg/OQ27Lypf7Pd7/VEeSltVG0Vvq6PW93fz7glExDn+P8Mf&#10;PqNDwUy1P1EbxKCBh0S+pmkKgu1lskxA1BqS9UaBLHJ5PaD4BQAA//8DAFBLAQItABQABgAIAAAA&#10;IQC2gziS/gAAAOEBAAATAAAAAAAAAAAAAAAAAAAAAABbQ29udGVudF9UeXBlc10ueG1sUEsBAi0A&#10;FAAGAAgAAAAhADj9If/WAAAAlAEAAAsAAAAAAAAAAAAAAAAALwEAAF9yZWxzLy5yZWxzUEsBAi0A&#10;FAAGAAgAAAAhAAetQUAeAgAAQQQAAA4AAAAAAAAAAAAAAAAALgIAAGRycy9lMm9Eb2MueG1sUEsB&#10;Ai0AFAAGAAgAAAAhAPu7t6/eAAAACAEAAA8AAAAAAAAAAAAAAAAAeAQAAGRycy9kb3ducmV2Lnht&#10;bFBLBQYAAAAABAAEAPMAAACDBQAAAAA=&#10;" filled="f" stroked="f">
                <v:textbox inset="0,0,0,0">
                  <w:txbxContent>
                    <w:p w:rsidR="0049045F" w:rsidRPr="00847F0C" w:rsidRDefault="0049045F" w:rsidP="00847F0C">
                      <w:pPr>
                        <w:rPr>
                          <w:color w:val="auto"/>
                          <w:sz w:val="16"/>
                          <w:szCs w:val="16"/>
                          <w:lang w:val="en-AU"/>
                        </w:rPr>
                      </w:pPr>
                      <w:proofErr w:type="spellStart"/>
                      <w:r w:rsidRPr="00847F0C">
                        <w:rPr>
                          <w:sz w:val="16"/>
                          <w:szCs w:val="16"/>
                        </w:rPr>
                        <w:t>Sriyanto</w:t>
                      </w:r>
                      <w:proofErr w:type="spellEnd"/>
                      <w:r w:rsidRPr="00847F0C">
                        <w:rPr>
                          <w:sz w:val="16"/>
                          <w:szCs w:val="16"/>
                        </w:rPr>
                        <w:t xml:space="preserve">, a person with Cerebral Palsy in </w:t>
                      </w:r>
                      <w:proofErr w:type="spellStart"/>
                      <w:r w:rsidRPr="00847F0C">
                        <w:rPr>
                          <w:sz w:val="16"/>
                          <w:szCs w:val="16"/>
                        </w:rPr>
                        <w:t>Sukoharjo</w:t>
                      </w:r>
                      <w:proofErr w:type="spellEnd"/>
                      <w:r w:rsidRPr="00847F0C">
                        <w:rPr>
                          <w:sz w:val="16"/>
                          <w:szCs w:val="16"/>
                        </w:rPr>
                        <w:t xml:space="preserve"> District, Central Java Province, proudly held his national identity card for the first time. </w:t>
                      </w:r>
                      <w:r>
                        <w:rPr>
                          <w:sz w:val="16"/>
                          <w:szCs w:val="16"/>
                        </w:rPr>
                        <w:t>Photo</w:t>
                      </w:r>
                      <w:r w:rsidRPr="00847F0C">
                        <w:rPr>
                          <w:sz w:val="16"/>
                          <w:szCs w:val="16"/>
                        </w:rPr>
                        <w:t xml:space="preserve">: </w:t>
                      </w:r>
                      <w:proofErr w:type="spellStart"/>
                      <w:r w:rsidRPr="00847F0C">
                        <w:rPr>
                          <w:sz w:val="16"/>
                          <w:szCs w:val="16"/>
                        </w:rPr>
                        <w:t>Peduli</w:t>
                      </w:r>
                      <w:proofErr w:type="spellEnd"/>
                    </w:p>
                    <w:p w:rsidR="0049045F" w:rsidRPr="00123DB3" w:rsidRDefault="0049045F" w:rsidP="00847F0C">
                      <w:pPr>
                        <w:pStyle w:val="Caption"/>
                        <w:rPr>
                          <w:color w:val="495965" w:themeColor="text2"/>
                        </w:rPr>
                      </w:pPr>
                    </w:p>
                  </w:txbxContent>
                </v:textbox>
                <w10:wrap type="square" anchorx="margin"/>
              </v:shape>
            </w:pict>
          </mc:Fallback>
        </mc:AlternateContent>
      </w:r>
      <w:r w:rsidR="003C3FC6" w:rsidRPr="00E1328F">
        <w:t>A significant achievement for Indonesia was the Constitutional Court (MK) No 97 decision in 2017 to recognise local beliefs beyond the six official</w:t>
      </w:r>
      <w:r w:rsidR="003C3FC6" w:rsidRPr="00370D26">
        <w:t xml:space="preserve"> religions</w:t>
      </w:r>
      <w:r w:rsidR="003C3FC6" w:rsidRPr="001302EE">
        <w:t xml:space="preserve"> listed on applications for identity cards. </w:t>
      </w:r>
      <w:r w:rsidR="003C3FC6" w:rsidRPr="00370D26">
        <w:t xml:space="preserve">Prior to the MK decision, people </w:t>
      </w:r>
      <w:r w:rsidR="008D1BF0">
        <w:t>with other beliefs</w:t>
      </w:r>
      <w:r w:rsidR="003C3FC6" w:rsidRPr="001302EE">
        <w:t xml:space="preserve"> were either pressured to choose one of six religions, or leave the religion column blank, therefore not meeting the requirements to apply for legal identity documents.  </w:t>
      </w:r>
    </w:p>
    <w:p w:rsidR="003C3FC6" w:rsidRDefault="003C3FC6" w:rsidP="003C3FC6">
      <w:r w:rsidRPr="00370D26">
        <w:t xml:space="preserve">In 2018, Australian funded </w:t>
      </w:r>
      <w:r w:rsidR="008D1BF0">
        <w:t xml:space="preserve">CSOs </w:t>
      </w:r>
      <w:r w:rsidRPr="001302EE">
        <w:t>helped implement the MK decision and provided technical support to local civil registry offices to issue</w:t>
      </w:r>
      <w:r>
        <w:t xml:space="preserve"> marriage and birth certificates to 1,813 local faith practitioners across nine </w:t>
      </w:r>
      <w:r w:rsidR="008D1BF0">
        <w:t xml:space="preserve">target </w:t>
      </w:r>
      <w:r>
        <w:t>district</w:t>
      </w:r>
      <w:r w:rsidR="008D1BF0">
        <w:t>s.</w:t>
      </w:r>
      <w:r w:rsidR="000650AE">
        <w:t xml:space="preserve"> Australian-</w:t>
      </w:r>
      <w:r>
        <w:t xml:space="preserve">funded CSOs have also helped to develop national coalitions to give voice and agency to religious freedom at the national level. These coalitions have </w:t>
      </w:r>
      <w:r w:rsidR="008D1BF0">
        <w:t>established</w:t>
      </w:r>
      <w:r>
        <w:t xml:space="preserve"> a dialogue with the Ministry of Education and Culture to explore and develop strategies to enable diversity of religious education in schools.</w:t>
      </w:r>
      <w:r w:rsidRPr="00F1227D">
        <w:t xml:space="preserve"> </w:t>
      </w:r>
      <w:r>
        <w:t>Our support to credible CSOs has helped create awareness</w:t>
      </w:r>
      <w:r w:rsidRPr="009E5595">
        <w:t xml:space="preserve"> </w:t>
      </w:r>
      <w:r>
        <w:t>of local beliefs in communities that can lead to deeper cultural understanding and greater tolerance of diverse practices. However, there are many areas across Indonesia that do not have</w:t>
      </w:r>
      <w:r w:rsidR="007C2912">
        <w:t xml:space="preserve"> operational CSOs that are</w:t>
      </w:r>
      <w:r>
        <w:t xml:space="preserve"> capable and reputable </w:t>
      </w:r>
      <w:r w:rsidR="007C2912">
        <w:t xml:space="preserve">in advocating for </w:t>
      </w:r>
      <w:r>
        <w:t xml:space="preserve">diversity.  Without strong support at the grassroots level, progress to scale up implementation of the MK </w:t>
      </w:r>
      <w:r w:rsidR="00A50FD0">
        <w:t>decision in issuing legal identity documents and delivering services will be a challenge.</w:t>
      </w:r>
    </w:p>
    <w:p w:rsidR="003C3FC6" w:rsidRDefault="003C5C26" w:rsidP="003C3FC6">
      <w:r>
        <w:t xml:space="preserve">Progress has been slower than expected in the development of Indonesia’s first National Action Plan on Combatting Violent Extremism (NAP). This was due to be finalised in 2018 but more time was required for consultation. Australia continued </w:t>
      </w:r>
      <w:r w:rsidR="00D312DE">
        <w:t xml:space="preserve">to </w:t>
      </w:r>
      <w:r>
        <w:t>support CSO engagement with the National Agency for Combatting Terrorism through the formation of a working group to progress the draft NAP and implementation of the new Counter-Terrorism Law. The working group produced a map of CSO activities to strengthen the delivery of the NAP, including involving women’s groups working on peace-building activities in the implementation process. Australia also funded a policy brief on strategies to strengthen tolerant values and practices in Indonesia as part of the NAP. This has become a main reference for Bappenas and the Coordinating Ministry for Human Development and Culture in their coordination meetings. Responding to the Ministry of Social Affairs request, our CSO partner has also agreed to develop a rehabilitation and social reintegration module for children and adults exposed to radical terrorist groups.</w:t>
      </w:r>
    </w:p>
    <w:p w:rsidR="003C3FC6" w:rsidRPr="00DE5EB7" w:rsidRDefault="003C3FC6" w:rsidP="003C3FC6">
      <w:pPr>
        <w:rPr>
          <w:u w:val="single"/>
        </w:rPr>
      </w:pPr>
      <w:r w:rsidRPr="00DE5EB7">
        <w:rPr>
          <w:u w:val="single"/>
        </w:rPr>
        <w:t>Outcome 10:  Climate change impacts are lessened through im</w:t>
      </w:r>
      <w:r w:rsidR="00CA61E4">
        <w:rPr>
          <w:u w:val="single"/>
        </w:rPr>
        <w:t>proved environmental governance</w:t>
      </w:r>
    </w:p>
    <w:p w:rsidR="003C3FC6" w:rsidRPr="006B1981" w:rsidRDefault="003C3FC6" w:rsidP="003C3FC6">
      <w:pPr>
        <w:rPr>
          <w:b/>
        </w:rPr>
      </w:pPr>
      <w:r w:rsidRPr="006B1981">
        <w:rPr>
          <w:b/>
        </w:rPr>
        <w:t>Outcome 10 has bee</w:t>
      </w:r>
      <w:r>
        <w:rPr>
          <w:b/>
        </w:rPr>
        <w:t>n rated as amber</w:t>
      </w:r>
      <w:r w:rsidR="000C1ACE">
        <w:rPr>
          <w:b/>
        </w:rPr>
        <w:t>. D</w:t>
      </w:r>
      <w:r>
        <w:rPr>
          <w:b/>
        </w:rPr>
        <w:t>espite some hard won achievement</w:t>
      </w:r>
      <w:r w:rsidR="00F00B9F">
        <w:rPr>
          <w:b/>
        </w:rPr>
        <w:t>s</w:t>
      </w:r>
      <w:r>
        <w:rPr>
          <w:b/>
        </w:rPr>
        <w:t xml:space="preserve"> to leverage additional finance for sustainable landscape management, limited progress </w:t>
      </w:r>
      <w:r w:rsidR="00D26198">
        <w:rPr>
          <w:b/>
        </w:rPr>
        <w:t>was made to</w:t>
      </w:r>
      <w:r>
        <w:rPr>
          <w:b/>
        </w:rPr>
        <w:t xml:space="preserve"> fully strengthen law enforcement of forestry related crimes.</w:t>
      </w:r>
    </w:p>
    <w:p w:rsidR="003C3FC6" w:rsidRDefault="00A315E9" w:rsidP="003C3FC6">
      <w:r>
        <w:rPr>
          <w:noProof/>
          <w:lang w:val="en-AU" w:eastAsia="en-AU"/>
        </w:rPr>
        <mc:AlternateContent>
          <mc:Choice Requires="wps">
            <w:drawing>
              <wp:anchor distT="0" distB="0" distL="114300" distR="114300" simplePos="0" relativeHeight="251752448" behindDoc="0" locked="0" layoutInCell="1" allowOverlap="1" wp14:anchorId="5F4A2418" wp14:editId="301B7B22">
                <wp:simplePos x="0" y="0"/>
                <wp:positionH relativeFrom="margin">
                  <wp:posOffset>3088005</wp:posOffset>
                </wp:positionH>
                <wp:positionV relativeFrom="paragraph">
                  <wp:posOffset>1905</wp:posOffset>
                </wp:positionV>
                <wp:extent cx="3116580" cy="8785860"/>
                <wp:effectExtent l="0" t="0" r="26670" b="15240"/>
                <wp:wrapSquare wrapText="bothSides"/>
                <wp:docPr id="23" name="Rectangle 23"/>
                <wp:cNvGraphicFramePr/>
                <a:graphic xmlns:a="http://schemas.openxmlformats.org/drawingml/2006/main">
                  <a:graphicData uri="http://schemas.microsoft.com/office/word/2010/wordprocessingShape">
                    <wps:wsp>
                      <wps:cNvSpPr/>
                      <wps:spPr>
                        <a:xfrm>
                          <a:off x="0" y="0"/>
                          <a:ext cx="3116580" cy="87858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045F" w:rsidRPr="004D398C" w:rsidRDefault="0049045F" w:rsidP="00F201D7">
                            <w:pPr>
                              <w:jc w:val="center"/>
                              <w:rPr>
                                <w:b/>
                              </w:rPr>
                            </w:pPr>
                            <w:r w:rsidRPr="004D398C">
                              <w:rPr>
                                <w:b/>
                              </w:rPr>
                              <w:t>Protecting women during humanitarian crisis</w:t>
                            </w:r>
                          </w:p>
                          <w:p w:rsidR="0049045F" w:rsidRDefault="0049045F" w:rsidP="00703859">
                            <w:pPr>
                              <w:keepNext/>
                              <w:jc w:val="center"/>
                            </w:pPr>
                            <w:r>
                              <w:rPr>
                                <w:noProof/>
                                <w:lang w:val="en-AU" w:eastAsia="en-AU"/>
                              </w:rPr>
                              <w:drawing>
                                <wp:inline distT="0" distB="0" distL="0" distR="0">
                                  <wp:extent cx="2154804" cy="2433218"/>
                                  <wp:effectExtent l="0" t="0" r="0" b="5715"/>
                                  <wp:docPr id="9" name="Picture 9" descr="A pregnant woman visited a Reproductive Health Tent in Masjid Agung in Palu.  This tent was supported by Australia and serviced by midwives trained by UNFPA in collaboration with Indonesian Health Ministry." title="Protecting Womend during Humanitaria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179" cy="2451709"/>
                                          </a:xfrm>
                                          <a:prstGeom prst="rect">
                                            <a:avLst/>
                                          </a:prstGeom>
                                          <a:noFill/>
                                          <a:ln>
                                            <a:noFill/>
                                          </a:ln>
                                        </pic:spPr>
                                      </pic:pic>
                                    </a:graphicData>
                                  </a:graphic>
                                </wp:inline>
                              </w:drawing>
                            </w:r>
                          </w:p>
                          <w:p w:rsidR="0049045F" w:rsidRPr="00703859" w:rsidRDefault="0049045F" w:rsidP="006609A2">
                            <w:pPr>
                              <w:spacing w:line="240" w:lineRule="auto"/>
                              <w:rPr>
                                <w:b/>
                                <w:sz w:val="16"/>
                                <w:szCs w:val="16"/>
                                <w:u w:val="single"/>
                              </w:rPr>
                            </w:pPr>
                            <w:r>
                              <w:rPr>
                                <w:sz w:val="16"/>
                                <w:szCs w:val="16"/>
                              </w:rPr>
                              <w:t>A pregnant woma</w:t>
                            </w:r>
                            <w:r w:rsidRPr="00703859">
                              <w:rPr>
                                <w:sz w:val="16"/>
                                <w:szCs w:val="16"/>
                              </w:rPr>
                              <w:t xml:space="preserve">n visited a Reproductive Health Tent in Masjid Agung, Palu. This tent </w:t>
                            </w:r>
                            <w:r>
                              <w:rPr>
                                <w:sz w:val="16"/>
                                <w:szCs w:val="16"/>
                              </w:rPr>
                              <w:t>was</w:t>
                            </w:r>
                            <w:r w:rsidRPr="00703859">
                              <w:rPr>
                                <w:sz w:val="16"/>
                                <w:szCs w:val="16"/>
                              </w:rPr>
                              <w:t xml:space="preserve"> supported by Australia and serviced by midwives trained by UNFPA, in collaboration with Indonesian Health Ministry</w:t>
                            </w:r>
                            <w:r>
                              <w:rPr>
                                <w:sz w:val="16"/>
                                <w:szCs w:val="16"/>
                              </w:rPr>
                              <w:t>. Photo: UNFPA</w:t>
                            </w:r>
                          </w:p>
                          <w:p w:rsidR="0049045F" w:rsidRPr="004D398C" w:rsidRDefault="0049045F" w:rsidP="00F50C40">
                            <w:pPr>
                              <w:rPr>
                                <w:sz w:val="20"/>
                                <w:szCs w:val="20"/>
                              </w:rPr>
                            </w:pPr>
                            <w:r w:rsidRPr="004D398C">
                              <w:rPr>
                                <w:sz w:val="20"/>
                                <w:szCs w:val="20"/>
                              </w:rPr>
                              <w:t xml:space="preserve">Women and girls face unique challenges during humanitarian crises due to particular vulnerabilities in health, safety, and carer responsibilities being magnified, alongside less support and resources. It was a particularly disaster-affected year in Indonesia during 2018 with 2,425 natural disaster events across Indonesia, resulting in over 4,700 casualties, more than 21,000 people injured and 10.2 million people displaced. The Indonesian government estimated that the material damage was more than AUD10 billion. Australia provided assistance to women and girls sexual and reproductive health and rights (SRHR) in its response to disaster events in Central Sulawesi and Lombok. </w:t>
                            </w:r>
                          </w:p>
                          <w:p w:rsidR="0049045F" w:rsidRPr="004D398C" w:rsidRDefault="0049045F" w:rsidP="00F50C40">
                            <w:pPr>
                              <w:rPr>
                                <w:sz w:val="20"/>
                                <w:szCs w:val="20"/>
                              </w:rPr>
                            </w:pPr>
                            <w:r w:rsidRPr="004D398C">
                              <w:rPr>
                                <w:sz w:val="20"/>
                                <w:szCs w:val="20"/>
                              </w:rPr>
                              <w:t xml:space="preserve">Central Sulawesi province experienced a major 7.5 magnitude earthquake, tsunami, soil liquefaction and landslides on 28 September 2018. Australia’s assistance included funding to both United Nations Population Fund (UNFPA) and International Planned Parenthood Federation (IPPF) to provide SRHR and gender-based violence services and supplies for women and girls (hygiene kits, maternity kits, baby kits, post-delivery kits, and RH tents).  </w:t>
                            </w:r>
                          </w:p>
                          <w:p w:rsidR="0049045F" w:rsidRPr="00381CA0" w:rsidRDefault="0049045F" w:rsidP="00FF381E">
                            <w:pPr>
                              <w:rPr>
                                <w:sz w:val="18"/>
                                <w:szCs w:val="18"/>
                              </w:rPr>
                            </w:pPr>
                            <w:r w:rsidRPr="004D398C">
                              <w:rPr>
                                <w:sz w:val="20"/>
                                <w:szCs w:val="20"/>
                              </w:rPr>
                              <w:t xml:space="preserve">In July and August 2018, a series of earthquakes in Lombok killed over 515 people, injured more than 7,100 and displaced over 431,000 people. Australia provided funds to the International Federation of the Red Cross for essential household items, shelter needs, emergency health, safe water, sanitation and hygiene. Australian funding allowed the IPPF and its local partner PKBI to provide SRHR and </w:t>
                            </w:r>
                            <w:r>
                              <w:rPr>
                                <w:sz w:val="20"/>
                                <w:szCs w:val="20"/>
                              </w:rPr>
                              <w:t>gender-based violence</w:t>
                            </w:r>
                            <w:r w:rsidRPr="004D398C">
                              <w:rPr>
                                <w:sz w:val="20"/>
                                <w:szCs w:val="20"/>
                              </w:rPr>
                              <w:t xml:space="preserve"> services through local partners to assist 13,717 crisis affected persons. UNFPA provided hygiene and maternal kits.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2418" id="Rectangle 23" o:spid="_x0000_s1033" style="position:absolute;margin-left:243.15pt;margin-top:.15pt;width:245.4pt;height:691.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S9sQIAANgFAAAOAAAAZHJzL2Uyb0RvYy54bWysVEtv2zAMvg/YfxB0X52kSZoFdYqgRYcB&#10;XVu0HXpWZDk2IImapMTOfv0oyXaDPnYYloMjvj6Kn0ieX7RKkr2wrgad0/HJiBKhORS13ub059P1&#10;lwUlzjNdMAla5PQgHL1Yff503pilmEAFshCWIIh2y8bktPLeLLPM8Uoo5k7ACI3GEqxiHkW7zQrL&#10;GkRXMpuMRvOsAVsYC1w4h9qrZKSriF+Wgvu7snTCE5lTvJuPXxu/m/DNVudsubXMVDXvrsH+4RaK&#10;1RqTDlBXzDOys/UbKFVzCw5Kf8JBZVCWNRexBqxmPHpVzWPFjIi1IDnODDS5/wfLb/f3ltRFTien&#10;lGim8I0ekDWmt1IQ1CFBjXFL9Hs097aTHB5DtW1pVfjHOkgbST0MpIrWE47K0/F4Plsg9xxti7PF&#10;bDGPtGcv4cY6/02AIuGQU4v5I5lsf+M8pkTX3iVk03BdSxlfTuqgcCDrIuiiEFpHXEpL9gwfnXEu&#10;tB9HPLlTP6BI+vkIf+n5UY1NktTTXo05YxMGpHiDoyRoC4mzQEyiIp78QYpwA6kfRImcYvGTmHcA&#10;enslV7FCJPXsw9QRMCCXWOOAnWr6ADux1vmHUBGHYQge/e1iKXiIiJlB+yFY1RrsewASie4yJ/+e&#10;pERNYMm3mzb221nfWhsoDtiDFtJwOsOva+yDG+b8PbM4jdg7uGH8HX5KCU1OoTtRUoH9/Z4++OOQ&#10;oJWSBqc7p+7XjllBifyucXy+jqfTsA6iMJ2dTVCwx5bNsUXv1CVgL41xlxkej8Hfy/5YWlDPuIjW&#10;ISuamOaYO6fc21649Gnr4CrjYr2ObrgCDPM3+tHwAB54Dn3+1D4za7ph8DhHt9BvArZ8NRPJN0Rq&#10;WO88lHUcmMB04rV7AVwfsYu7VRf207EcvV4W8uoPAAAA//8DAFBLAwQUAAYACAAAACEAXgythOEA&#10;AAAJAQAADwAAAGRycy9kb3ducmV2LnhtbEyPwU7CQBCG7ya8w2ZMuBjZQhFK7ZYYopHEeBCI56U7&#10;tg3d2dpdSnl7x5NeJpn8X/75JlsPthE9dr52pGA6iUAgFc7UVCo47F/uExA+aDK6cYQKruhhnY9u&#10;Mp0ad6EP7HehFFxCPtUKqhDaVEpfVGi1n7gWibMv11kdeO1KaTp94XLbyFkULaTVNfGFSre4qbA4&#10;7c5WwbecyaGk1/757qF9q6/b+Tt+bpUa3w5PjyACDuEPhl99VoecnY7uTMaLRsE8WcSMKuDJ8Wq5&#10;nII4Mhcn8Qpknsn/H+Q/AAAA//8DAFBLAQItABQABgAIAAAAIQC2gziS/gAAAOEBAAATAAAAAAAA&#10;AAAAAAAAAAAAAABbQ29udGVudF9UeXBlc10ueG1sUEsBAi0AFAAGAAgAAAAhADj9If/WAAAAlAEA&#10;AAsAAAAAAAAAAAAAAAAALwEAAF9yZWxzLy5yZWxzUEsBAi0AFAAGAAgAAAAhAFg+pL2xAgAA2AUA&#10;AA4AAAAAAAAAAAAAAAAALgIAAGRycy9lMm9Eb2MueG1sUEsBAi0AFAAGAAgAAAAhAF4MrYThAAAA&#10;CQEAAA8AAAAAAAAAAAAAAAAACwUAAGRycy9kb3ducmV2LnhtbFBLBQYAAAAABAAEAPMAAAAZBgAA&#10;AAA=&#10;" filled="f" strokecolor="#a2dcd1 [1940]" strokeweight="2pt">
                <v:textbox>
                  <w:txbxContent>
                    <w:p w:rsidR="0049045F" w:rsidRPr="004D398C" w:rsidRDefault="0049045F" w:rsidP="00F201D7">
                      <w:pPr>
                        <w:jc w:val="center"/>
                        <w:rPr>
                          <w:b/>
                        </w:rPr>
                      </w:pPr>
                      <w:r w:rsidRPr="004D398C">
                        <w:rPr>
                          <w:b/>
                        </w:rPr>
                        <w:t>Protecting women during humanitarian crisis</w:t>
                      </w:r>
                    </w:p>
                    <w:p w:rsidR="0049045F" w:rsidRDefault="0049045F" w:rsidP="00703859">
                      <w:pPr>
                        <w:keepNext/>
                        <w:jc w:val="center"/>
                      </w:pPr>
                      <w:r>
                        <w:rPr>
                          <w:noProof/>
                          <w:lang w:val="en-AU" w:eastAsia="en-AU"/>
                        </w:rPr>
                        <w:drawing>
                          <wp:inline distT="0" distB="0" distL="0" distR="0">
                            <wp:extent cx="2154804" cy="2433218"/>
                            <wp:effectExtent l="0" t="0" r="0" b="5715"/>
                            <wp:docPr id="9" name="Picture 9" descr="A pregnant woman visited a Reproductive Health Tent in Masjid Agung in Palu.  This tent was supported by Australia and serviced by midwives trained by UNFPA in collaboration with Indonesian Health Ministry." title="Protecting Womend during Humanitaria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179" cy="2451709"/>
                                    </a:xfrm>
                                    <a:prstGeom prst="rect">
                                      <a:avLst/>
                                    </a:prstGeom>
                                    <a:noFill/>
                                    <a:ln>
                                      <a:noFill/>
                                    </a:ln>
                                  </pic:spPr>
                                </pic:pic>
                              </a:graphicData>
                            </a:graphic>
                          </wp:inline>
                        </w:drawing>
                      </w:r>
                    </w:p>
                    <w:p w:rsidR="0049045F" w:rsidRPr="00703859" w:rsidRDefault="0049045F" w:rsidP="006609A2">
                      <w:pPr>
                        <w:spacing w:line="240" w:lineRule="auto"/>
                        <w:rPr>
                          <w:b/>
                          <w:sz w:val="16"/>
                          <w:szCs w:val="16"/>
                          <w:u w:val="single"/>
                        </w:rPr>
                      </w:pPr>
                      <w:r>
                        <w:rPr>
                          <w:sz w:val="16"/>
                          <w:szCs w:val="16"/>
                        </w:rPr>
                        <w:t>A pregnant woma</w:t>
                      </w:r>
                      <w:r w:rsidRPr="00703859">
                        <w:rPr>
                          <w:sz w:val="16"/>
                          <w:szCs w:val="16"/>
                        </w:rPr>
                        <w:t xml:space="preserve">n visited a Reproductive Health Tent in Masjid Agung, Palu. This tent </w:t>
                      </w:r>
                      <w:proofErr w:type="gramStart"/>
                      <w:r>
                        <w:rPr>
                          <w:sz w:val="16"/>
                          <w:szCs w:val="16"/>
                        </w:rPr>
                        <w:t>was</w:t>
                      </w:r>
                      <w:r w:rsidRPr="00703859">
                        <w:rPr>
                          <w:sz w:val="16"/>
                          <w:szCs w:val="16"/>
                        </w:rPr>
                        <w:t xml:space="preserve"> supported by Australia and serviced by midwives trained by UNFPA, in collaboration with Indonesian Health Ministry</w:t>
                      </w:r>
                      <w:proofErr w:type="gramEnd"/>
                      <w:r>
                        <w:rPr>
                          <w:sz w:val="16"/>
                          <w:szCs w:val="16"/>
                        </w:rPr>
                        <w:t>. Photo: UNFPA</w:t>
                      </w:r>
                    </w:p>
                    <w:p w:rsidR="0049045F" w:rsidRPr="004D398C" w:rsidRDefault="0049045F" w:rsidP="00F50C40">
                      <w:pPr>
                        <w:rPr>
                          <w:sz w:val="20"/>
                          <w:szCs w:val="20"/>
                        </w:rPr>
                      </w:pPr>
                      <w:r w:rsidRPr="004D398C">
                        <w:rPr>
                          <w:sz w:val="20"/>
                          <w:szCs w:val="20"/>
                        </w:rPr>
                        <w:t xml:space="preserve">Women and girls face unique challenges during humanitarian crises due to particular vulnerabilities in health, safety, and carer responsibilities </w:t>
                      </w:r>
                      <w:proofErr w:type="gramStart"/>
                      <w:r w:rsidRPr="004D398C">
                        <w:rPr>
                          <w:sz w:val="20"/>
                          <w:szCs w:val="20"/>
                        </w:rPr>
                        <w:t>being magnified</w:t>
                      </w:r>
                      <w:proofErr w:type="gramEnd"/>
                      <w:r w:rsidRPr="004D398C">
                        <w:rPr>
                          <w:sz w:val="20"/>
                          <w:szCs w:val="20"/>
                        </w:rPr>
                        <w:t xml:space="preserve">, alongside less support and resources. It was a particularly disaster-affected year in Indonesia during 2018 with 2,425 natural disaster events across Indonesia, resulting in over 4,700 casualties, more than 21,000 people injured and 10.2 million people displaced. The Indonesian government estimated that the material damage was more than AUD10 </w:t>
                      </w:r>
                      <w:proofErr w:type="gramStart"/>
                      <w:r w:rsidRPr="004D398C">
                        <w:rPr>
                          <w:sz w:val="20"/>
                          <w:szCs w:val="20"/>
                        </w:rPr>
                        <w:t>billion</w:t>
                      </w:r>
                      <w:proofErr w:type="gramEnd"/>
                      <w:r w:rsidRPr="004D398C">
                        <w:rPr>
                          <w:sz w:val="20"/>
                          <w:szCs w:val="20"/>
                        </w:rPr>
                        <w:t xml:space="preserve">. Australia provided assistance to women and girls sexual and reproductive health and rights (SRHR) in its response to disaster events in Central Sulawesi and Lombok. </w:t>
                      </w:r>
                    </w:p>
                    <w:p w:rsidR="0049045F" w:rsidRPr="004D398C" w:rsidRDefault="0049045F" w:rsidP="00F50C40">
                      <w:pPr>
                        <w:rPr>
                          <w:sz w:val="20"/>
                          <w:szCs w:val="20"/>
                        </w:rPr>
                      </w:pPr>
                      <w:r w:rsidRPr="004D398C">
                        <w:rPr>
                          <w:sz w:val="20"/>
                          <w:szCs w:val="20"/>
                        </w:rPr>
                        <w:t xml:space="preserve">Central Sulawesi province experienced a major 7.5 magnitude earthquake, tsunami, soil liquefaction and landslides on 28 September 2018. Australia’s assistance included funding to both United Nations Population Fund (UNFPA) and International Planned Parenthood Federation (IPPF) to provide SRHR and gender-based violence services and supplies for women and girls (hygiene kits, maternity kits, baby kits, post-delivery kits, and RH tents).  </w:t>
                      </w:r>
                    </w:p>
                    <w:p w:rsidR="0049045F" w:rsidRPr="00381CA0" w:rsidRDefault="0049045F" w:rsidP="00FF381E">
                      <w:pPr>
                        <w:rPr>
                          <w:sz w:val="18"/>
                          <w:szCs w:val="18"/>
                        </w:rPr>
                      </w:pPr>
                      <w:r w:rsidRPr="004D398C">
                        <w:rPr>
                          <w:sz w:val="20"/>
                          <w:szCs w:val="20"/>
                        </w:rPr>
                        <w:t xml:space="preserve">In July and August 2018, a series of earthquakes in Lombok killed over 515 people, injured more than 7,100 and displaced over 431,000 people. Australia provided funds to the International Federation of the Red Cross for essential household items, shelter needs, emergency health, safe water, sanitation and hygiene. Australian funding allowed the IPPF and its local partner PKBI to provide SRHR and </w:t>
                      </w:r>
                      <w:r>
                        <w:rPr>
                          <w:sz w:val="20"/>
                          <w:szCs w:val="20"/>
                        </w:rPr>
                        <w:t>gender-based violence</w:t>
                      </w:r>
                      <w:r w:rsidRPr="004D398C">
                        <w:rPr>
                          <w:sz w:val="20"/>
                          <w:szCs w:val="20"/>
                        </w:rPr>
                        <w:t xml:space="preserve"> services through local partners to assist 13,717 </w:t>
                      </w:r>
                      <w:proofErr w:type="gramStart"/>
                      <w:r w:rsidRPr="004D398C">
                        <w:rPr>
                          <w:sz w:val="20"/>
                          <w:szCs w:val="20"/>
                        </w:rPr>
                        <w:t>crisis affected</w:t>
                      </w:r>
                      <w:proofErr w:type="gramEnd"/>
                      <w:r w:rsidRPr="004D398C">
                        <w:rPr>
                          <w:sz w:val="20"/>
                          <w:szCs w:val="20"/>
                        </w:rPr>
                        <w:t xml:space="preserve"> persons. UNFPA provided hygiene and maternal kits.</w:t>
                      </w:r>
                    </w:p>
                  </w:txbxContent>
                </v:textbox>
                <w10:wrap type="square" anchorx="margin"/>
              </v:rect>
            </w:pict>
          </mc:Fallback>
        </mc:AlternateContent>
      </w:r>
      <w:r w:rsidR="00612FC3">
        <w:t>Climate change continues to pose a</w:t>
      </w:r>
      <w:r w:rsidR="008437A1">
        <w:t xml:space="preserve"> </w:t>
      </w:r>
      <w:r w:rsidR="00612FC3">
        <w:t>threat to Indonesia’s growth and stability. The</w:t>
      </w:r>
      <w:r w:rsidR="00D63EAF">
        <w:t xml:space="preserve"> country is </w:t>
      </w:r>
      <w:r w:rsidR="00612FC3">
        <w:t>vulnerable to severe weather and geological hazards and there is intensifying pressure on eco-systems, landscapes, livelihoods and industries</w:t>
      </w:r>
      <w:r w:rsidR="000C1ACE">
        <w:t>.</w:t>
      </w:r>
      <w:r w:rsidR="00612FC3">
        <w:t xml:space="preserve"> Bappenas estimates that the economic loss attributed to climate change could reach up to 20 percent of Indonesia’s Gross Domestic Product (GDP)</w:t>
      </w:r>
      <w:r w:rsidR="000C1ACE">
        <w:t>.</w:t>
      </w:r>
      <w:r w:rsidR="00612FC3">
        <w:rPr>
          <w:rStyle w:val="EndnoteReference"/>
        </w:rPr>
        <w:endnoteReference w:id="68"/>
      </w:r>
      <w:r w:rsidR="00612FC3">
        <w:t xml:space="preserve"> </w:t>
      </w:r>
      <w:r w:rsidR="000C1ACE">
        <w:t xml:space="preserve">Indonesia’ </w:t>
      </w:r>
      <w:r w:rsidR="00612FC3">
        <w:t xml:space="preserve">annual forest and land fires </w:t>
      </w:r>
      <w:r w:rsidR="000C1ACE">
        <w:t>also significantly contribute to greenhouse gas emissions.</w:t>
      </w:r>
      <w:r w:rsidR="00612FC3">
        <w:t xml:space="preserve"> Australia provides targeted technical expertise to support Indonesia to prevent the recurrence of fires by improving land management practices and strengthening environmental governance and law enforcement</w:t>
      </w:r>
      <w:r w:rsidR="009D6865">
        <w:rPr>
          <w:rStyle w:val="EndnoteReference"/>
        </w:rPr>
        <w:endnoteReference w:id="69"/>
      </w:r>
      <w:r w:rsidR="003C3FC6">
        <w:t xml:space="preserve">.  </w:t>
      </w:r>
      <w:r w:rsidR="00645672" w:rsidRPr="00EE1F4D">
        <w:t>In contrast to the scale of the climate risks in Indonesia, Australia’s modest investment utilises a broad range of partners and their networks to address some of the key challenges and priority areas identified by the government that are largely technical and draw on Aus</w:t>
      </w:r>
      <w:r w:rsidR="00645672">
        <w:t>tralia’s comparative advantage. Improving gender integration across programs has been varied.</w:t>
      </w:r>
    </w:p>
    <w:p w:rsidR="004D398C" w:rsidRDefault="00612FC3" w:rsidP="003C3FC6">
      <w:r>
        <w:t>Australia’s partnership with the World Bank and Norway provides a range of expertise, analysis and policy sharing, and facilitates coordination with Indonesian agencies responsible for sustainable landscape management.</w:t>
      </w:r>
      <w:r w:rsidR="000C1ACE">
        <w:rPr>
          <w:rStyle w:val="EndnoteReference"/>
        </w:rPr>
        <w:endnoteReference w:id="70"/>
      </w:r>
      <w:r>
        <w:t xml:space="preserve"> In 2018-19, this partnership </w:t>
      </w:r>
      <w:r w:rsidR="00094885">
        <w:t>secured</w:t>
      </w:r>
      <w:r>
        <w:t xml:space="preserve"> a total of AUD269 million of additional financing from the </w:t>
      </w:r>
      <w:r w:rsidR="008A76BD">
        <w:t>Indonesian government</w:t>
      </w:r>
      <w:r>
        <w:t xml:space="preserve"> and other bilateral and multilateral development partners, like Canada, World Bank, and the Global Environment Fund. This result was underpinned by strengthening coordination between the Indonesia</w:t>
      </w:r>
      <w:r w:rsidR="0030375B">
        <w:t>n</w:t>
      </w:r>
      <w:r>
        <w:t xml:space="preserve"> Ministry of Finance, Coordinating Ministry for Economic Affairs, Ministry of Environment and Forestry (MoEF), and Ministry for Spatial Planning/National Agrarian Agency (BPN) to better target their resources. </w:t>
      </w:r>
      <w:r w:rsidR="00094885">
        <w:t>Most of the</w:t>
      </w:r>
      <w:r>
        <w:t xml:space="preserve"> funds </w:t>
      </w:r>
      <w:r w:rsidR="00094885">
        <w:t xml:space="preserve">are supporting </w:t>
      </w:r>
      <w:r>
        <w:t xml:space="preserve">the </w:t>
      </w:r>
      <w:r w:rsidR="008A76BD">
        <w:t>Indonesian government</w:t>
      </w:r>
      <w:r>
        <w:t xml:space="preserve"> initiatives that are improving landscape management in fire-prone provinces. These include programs and policies that are achieving stronger environmental governance such as the Agrarian Reform Acceleration Program to clarify land rights and use, technical assistances to support the roll-out of Indonesia’s Social Forestry Program, </w:t>
      </w:r>
      <w:r w:rsidR="004D398C">
        <w:t xml:space="preserve">and </w:t>
      </w:r>
      <w:r>
        <w:t>supporting the design and implementation of Reducing Emission from Deforestation and Land Degradation (REDD+) initiatives in the provinces of East Kalimantan and Jambi</w:t>
      </w:r>
      <w:r w:rsidR="003C3FC6">
        <w:t xml:space="preserve">. </w:t>
      </w:r>
      <w:r w:rsidR="004D398C">
        <w:t xml:space="preserve"> </w:t>
      </w:r>
    </w:p>
    <w:p w:rsidR="003C3FC6" w:rsidRDefault="00612FC3" w:rsidP="003C3FC6">
      <w:r>
        <w:t>Australia also supported Indonesia to strengthen Environmental Law Enforcement. Through our work with the United Nations Development Programme (UNDP), technical expertise helped develop and pilot the Multi-Door Approach</w:t>
      </w:r>
      <w:r w:rsidR="00094885">
        <w:t xml:space="preserve"> (MDA)</w:t>
      </w:r>
      <w:r w:rsidR="00F201D7">
        <w:t xml:space="preserve"> -</w:t>
      </w:r>
      <w:r>
        <w:t xml:space="preserve"> an integrated approach to law enforcement which promotes utilisation of multiple law regimes to prevent perpetrators escaping severe sanctions</w:t>
      </w:r>
      <w:r w:rsidR="00F201D7">
        <w:t xml:space="preserve"> </w:t>
      </w:r>
      <w:r w:rsidR="00CA61E4">
        <w:t>–</w:t>
      </w:r>
      <w:r>
        <w:t xml:space="preserve"> </w:t>
      </w:r>
      <w:r w:rsidR="00CA61E4">
        <w:t xml:space="preserve">and </w:t>
      </w:r>
      <w:r>
        <w:t>to support Indonesia</w:t>
      </w:r>
      <w:r w:rsidR="00094885">
        <w:t xml:space="preserve">n government </w:t>
      </w:r>
      <w:r>
        <w:t xml:space="preserve">better investigate and prosecute environmental crime. In 2018, five cases were investigated by the MoEF’s Directorate General for Law Enforcement using the </w:t>
      </w:r>
      <w:r w:rsidR="00F201D7">
        <w:t>MDA</w:t>
      </w:r>
      <w:r>
        <w:t xml:space="preserve">. These investigations have increased the new Directorate’s visibility and reputation across government and the sector as </w:t>
      </w:r>
      <w:r w:rsidR="0030375B">
        <w:t>an</w:t>
      </w:r>
      <w:r>
        <w:t xml:space="preserve"> effective body that can address environmental crime such as forest fires and illegal logging. This includes improved coordination with relevant agencies such as the public prosecutor/Attorney General Office, Corruption Eradication Commission (KPK), Indonesian National Police, and the Indonesian Financial Transaction and Reports Analysis Centre (PPATK). However, more work needs to focus on refining and integrating the </w:t>
      </w:r>
      <w:r w:rsidR="00AD48FF">
        <w:t>MDA</w:t>
      </w:r>
      <w:r>
        <w:t xml:space="preserve"> ac</w:t>
      </w:r>
      <w:r w:rsidR="00AD48FF">
        <w:t>ross the law enforcement system. The MDA</w:t>
      </w:r>
      <w:r>
        <w:t xml:space="preserve"> application is limited to the investigation phase, with barriers to prosecution including a limited number of qualified investigators and prosecutors, jurisdiction and regulatory constraints, and few channels for effective inter-agency coordination</w:t>
      </w:r>
      <w:r w:rsidR="003C3FC6">
        <w:t>.</w:t>
      </w:r>
    </w:p>
    <w:p w:rsidR="00D312DE" w:rsidRDefault="00D312DE" w:rsidP="00D312DE">
      <w:r>
        <w:t xml:space="preserve">In 2018-19, UNDP commenced work to support the development of a five-year gender mainstreaming roadmap to raise awareness of gender issues, gender-sensitive policies and case handling as part of the MDA approach. </w:t>
      </w:r>
      <w:r w:rsidRPr="00EE1F4D">
        <w:t>With th</w:t>
      </w:r>
      <w:r>
        <w:t>is</w:t>
      </w:r>
      <w:r w:rsidRPr="00EE1F4D">
        <w:t xml:space="preserve"> investment ending next year, Australia will </w:t>
      </w:r>
      <w:r>
        <w:t>draw on</w:t>
      </w:r>
      <w:r w:rsidRPr="00EE1F4D">
        <w:t xml:space="preserve"> </w:t>
      </w:r>
      <w:r>
        <w:t>our</w:t>
      </w:r>
      <w:r w:rsidRPr="00EE1F4D">
        <w:t xml:space="preserve"> experiences </w:t>
      </w:r>
      <w:r>
        <w:t xml:space="preserve">and learning </w:t>
      </w:r>
      <w:r w:rsidRPr="00EE1F4D">
        <w:t>to inform</w:t>
      </w:r>
      <w:r>
        <w:t xml:space="preserve"> our future</w:t>
      </w:r>
      <w:r w:rsidRPr="00EE1F4D">
        <w:t xml:space="preserve"> strategy.  </w:t>
      </w:r>
    </w:p>
    <w:p w:rsidR="00D25373" w:rsidRPr="005736D0" w:rsidRDefault="00D25373" w:rsidP="00D25373">
      <w:pPr>
        <w:rPr>
          <w:u w:val="single"/>
        </w:rPr>
      </w:pPr>
      <w:r w:rsidRPr="005736D0">
        <w:rPr>
          <w:u w:val="single"/>
        </w:rPr>
        <w:t>Outcome 11:  Public policies are informed by evidence</w:t>
      </w:r>
    </w:p>
    <w:p w:rsidR="00D25373" w:rsidRDefault="00D25373" w:rsidP="00D25373">
      <w:pPr>
        <w:rPr>
          <w:b/>
        </w:rPr>
      </w:pPr>
      <w:r>
        <w:rPr>
          <w:b/>
        </w:rPr>
        <w:t>Outcome 11 has been rated green</w:t>
      </w:r>
      <w:r w:rsidR="00E02069">
        <w:rPr>
          <w:b/>
        </w:rPr>
        <w:t>. Significant progress made in providing the evidence-base to inform Indonesia’s medium-term development plan. There has been</w:t>
      </w:r>
      <w:r>
        <w:rPr>
          <w:b/>
        </w:rPr>
        <w:t xml:space="preserve"> slower than expected progress to enable better research procurement</w:t>
      </w:r>
      <w:r w:rsidR="00E02069">
        <w:rPr>
          <w:b/>
        </w:rPr>
        <w:t>.</w:t>
      </w:r>
      <w:r>
        <w:rPr>
          <w:b/>
        </w:rPr>
        <w:t xml:space="preserve"> </w:t>
      </w:r>
    </w:p>
    <w:p w:rsidR="00D25373" w:rsidRDefault="00D25373" w:rsidP="00370D26">
      <w:pPr>
        <w:rPr>
          <w:rFonts w:eastAsia="Times New Roman" w:cstheme="minorHAnsi"/>
          <w:lang w:val="en-US"/>
        </w:rPr>
      </w:pPr>
      <w:r w:rsidRPr="00FE7EBE">
        <w:rPr>
          <w:rFonts w:eastAsia="Times New Roman" w:cstheme="minorHAnsi"/>
        </w:rPr>
        <w:t>Across development sectors</w:t>
      </w:r>
      <w:r>
        <w:rPr>
          <w:rFonts w:eastAsia="Times New Roman" w:cstheme="minorHAnsi"/>
        </w:rPr>
        <w:t xml:space="preserve"> in Indonesia</w:t>
      </w:r>
      <w:r w:rsidRPr="00FE7EBE">
        <w:rPr>
          <w:rFonts w:eastAsia="Times New Roman" w:cstheme="minorHAnsi"/>
        </w:rPr>
        <w:t xml:space="preserve">, </w:t>
      </w:r>
      <w:r>
        <w:rPr>
          <w:rFonts w:eastAsia="Times New Roman" w:cstheme="minorHAnsi"/>
        </w:rPr>
        <w:t>there has been</w:t>
      </w:r>
      <w:r w:rsidRPr="00FE7EBE">
        <w:rPr>
          <w:rFonts w:eastAsia="Times New Roman" w:cstheme="minorHAnsi"/>
        </w:rPr>
        <w:t xml:space="preserve"> a growing appetite for evidence-based policymaking</w:t>
      </w:r>
      <w:r>
        <w:rPr>
          <w:rFonts w:eastAsia="Times New Roman" w:cstheme="minorHAnsi"/>
        </w:rPr>
        <w:t xml:space="preserve"> to address increasingly complex challenges.</w:t>
      </w:r>
      <w:r w:rsidRPr="00FE7EBE">
        <w:rPr>
          <w:rFonts w:eastAsia="Times New Roman" w:cstheme="minorHAnsi"/>
        </w:rPr>
        <w:t xml:space="preserve"> International organisations </w:t>
      </w:r>
      <w:r>
        <w:rPr>
          <w:rFonts w:eastAsia="Times New Roman" w:cstheme="minorHAnsi"/>
        </w:rPr>
        <w:t xml:space="preserve">and experts, </w:t>
      </w:r>
      <w:r w:rsidRPr="00FE7EBE">
        <w:rPr>
          <w:rFonts w:eastAsia="Times New Roman" w:cstheme="minorHAnsi"/>
        </w:rPr>
        <w:t xml:space="preserve">including those </w:t>
      </w:r>
      <w:r>
        <w:rPr>
          <w:rFonts w:eastAsia="Times New Roman" w:cstheme="minorHAnsi"/>
        </w:rPr>
        <w:t>funded by Australia</w:t>
      </w:r>
      <w:r w:rsidR="00CA61E4">
        <w:rPr>
          <w:rFonts w:eastAsia="Times New Roman" w:cstheme="minorHAnsi"/>
        </w:rPr>
        <w:t>,</w:t>
      </w:r>
      <w:r>
        <w:rPr>
          <w:rFonts w:eastAsia="Times New Roman" w:cstheme="minorHAnsi"/>
        </w:rPr>
        <w:t xml:space="preserve"> like</w:t>
      </w:r>
      <w:r w:rsidRPr="00FE7EBE">
        <w:rPr>
          <w:rFonts w:eastAsia="Times New Roman" w:cstheme="minorHAnsi"/>
        </w:rPr>
        <w:t xml:space="preserve"> the World Bank, </w:t>
      </w:r>
      <w:r>
        <w:rPr>
          <w:rFonts w:eastAsia="Times New Roman" w:cstheme="minorHAnsi"/>
        </w:rPr>
        <w:t xml:space="preserve">remain an important </w:t>
      </w:r>
      <w:r w:rsidRPr="00FE7EBE">
        <w:rPr>
          <w:rFonts w:eastAsia="Times New Roman" w:cstheme="minorHAnsi"/>
        </w:rPr>
        <w:t xml:space="preserve">source of knowledge for the Indonesian government, </w:t>
      </w:r>
      <w:r>
        <w:t xml:space="preserve">influencing </w:t>
      </w:r>
      <w:r w:rsidRPr="00FA208A">
        <w:rPr>
          <w:rFonts w:eastAsia="Times New Roman" w:cstheme="minorHAnsi"/>
        </w:rPr>
        <w:t>improvements to Indonesia</w:t>
      </w:r>
      <w:r>
        <w:rPr>
          <w:rFonts w:eastAsia="Times New Roman" w:cstheme="minorHAnsi"/>
        </w:rPr>
        <w:t>’s</w:t>
      </w:r>
      <w:r w:rsidRPr="00FA208A">
        <w:rPr>
          <w:rFonts w:eastAsia="Times New Roman" w:cstheme="minorHAnsi"/>
        </w:rPr>
        <w:t xml:space="preserve"> </w:t>
      </w:r>
      <w:r>
        <w:rPr>
          <w:rFonts w:eastAsia="Times New Roman" w:cstheme="minorHAnsi"/>
        </w:rPr>
        <w:t xml:space="preserve">body of research and data, and establishing national research systems to connect data to policy making. In 2018, </w:t>
      </w:r>
      <w:r w:rsidRPr="00C66924">
        <w:t>Australian investments</w:t>
      </w:r>
      <w:r>
        <w:t xml:space="preserve"> made significant progress on</w:t>
      </w:r>
      <w:r w:rsidRPr="00C66924">
        <w:t xml:space="preserve"> </w:t>
      </w:r>
      <w:r>
        <w:t xml:space="preserve">providing evidence-based results </w:t>
      </w:r>
      <w:r w:rsidR="00AD54C3">
        <w:t>to inform the</w:t>
      </w:r>
      <w:r w:rsidRPr="00C66924">
        <w:t xml:space="preserve"> development of </w:t>
      </w:r>
      <w:r w:rsidR="001062AB">
        <w:rPr>
          <w:rFonts w:eastAsia="Times New Roman" w:cstheme="minorHAnsi"/>
          <w:lang w:val="en-US"/>
        </w:rPr>
        <w:t xml:space="preserve">Indonesia’s </w:t>
      </w:r>
      <w:r w:rsidR="00AD54C3">
        <w:rPr>
          <w:rFonts w:eastAsia="Times New Roman" w:cstheme="minorHAnsi"/>
          <w:lang w:val="en-US"/>
        </w:rPr>
        <w:t xml:space="preserve">next </w:t>
      </w:r>
      <w:r w:rsidR="001062AB">
        <w:rPr>
          <w:rFonts w:eastAsia="Times New Roman" w:cstheme="minorHAnsi"/>
          <w:lang w:val="en-US"/>
        </w:rPr>
        <w:t xml:space="preserve">National Medium-Term Development Plan (RPJMN) for </w:t>
      </w:r>
      <w:r w:rsidR="00AD54C3">
        <w:rPr>
          <w:rFonts w:eastAsia="Times New Roman" w:cstheme="minorHAnsi"/>
          <w:lang w:val="en-US"/>
        </w:rPr>
        <w:t>2020</w:t>
      </w:r>
      <w:r w:rsidR="001062AB">
        <w:rPr>
          <w:rFonts w:eastAsia="Times New Roman" w:cstheme="minorHAnsi"/>
          <w:lang w:val="en-US"/>
        </w:rPr>
        <w:t>-2024</w:t>
      </w:r>
      <w:r>
        <w:t xml:space="preserve">. </w:t>
      </w:r>
      <w:r w:rsidRPr="009410CC">
        <w:rPr>
          <w:rFonts w:eastAsia="Times New Roman" w:cstheme="minorHAnsi"/>
          <w:lang w:val="en-US"/>
        </w:rPr>
        <w:t xml:space="preserve">Through various rigorous research, </w:t>
      </w:r>
      <w:r w:rsidR="00AD54C3" w:rsidRPr="009410CC">
        <w:rPr>
          <w:rFonts w:eastAsia="Times New Roman" w:cstheme="minorHAnsi"/>
          <w:lang w:val="en-US"/>
        </w:rPr>
        <w:t xml:space="preserve">a </w:t>
      </w:r>
      <w:r w:rsidR="00AD54C3">
        <w:rPr>
          <w:rFonts w:eastAsia="Times New Roman" w:cstheme="minorHAnsi"/>
          <w:lang w:val="en-US"/>
        </w:rPr>
        <w:t>range of Australian program results and data</w:t>
      </w:r>
      <w:r w:rsidR="00AD54C3" w:rsidRPr="009410CC">
        <w:rPr>
          <w:rFonts w:eastAsia="Times New Roman" w:cstheme="minorHAnsi"/>
          <w:lang w:val="en-US"/>
        </w:rPr>
        <w:t xml:space="preserve"> has</w:t>
      </w:r>
      <w:r w:rsidRPr="009410CC">
        <w:rPr>
          <w:rFonts w:eastAsia="Times New Roman" w:cstheme="minorHAnsi"/>
          <w:lang w:val="en-US"/>
        </w:rPr>
        <w:t xml:space="preserve"> contri</w:t>
      </w:r>
      <w:r>
        <w:rPr>
          <w:rFonts w:eastAsia="Times New Roman" w:cstheme="minorHAnsi"/>
          <w:lang w:val="en-US"/>
        </w:rPr>
        <w:t xml:space="preserve">buted to the drafting of </w:t>
      </w:r>
      <w:r w:rsidR="001062AB">
        <w:rPr>
          <w:rFonts w:eastAsia="Times New Roman" w:cstheme="minorHAnsi"/>
          <w:lang w:val="en-US"/>
        </w:rPr>
        <w:t xml:space="preserve">the </w:t>
      </w:r>
      <w:r>
        <w:rPr>
          <w:rFonts w:eastAsia="Times New Roman" w:cstheme="minorHAnsi"/>
          <w:lang w:val="en-US"/>
        </w:rPr>
        <w:t>RPJMN</w:t>
      </w:r>
      <w:r w:rsidR="001062AB">
        <w:rPr>
          <w:rFonts w:eastAsia="Times New Roman" w:cstheme="minorHAnsi"/>
          <w:lang w:val="en-US"/>
        </w:rPr>
        <w:t>.</w:t>
      </w:r>
      <w:r w:rsidRPr="009410CC">
        <w:rPr>
          <w:rFonts w:eastAsia="Times New Roman" w:cstheme="minorHAnsi"/>
          <w:lang w:val="en-US"/>
        </w:rPr>
        <w:t xml:space="preserve"> </w:t>
      </w:r>
    </w:p>
    <w:p w:rsidR="00FE0C7B" w:rsidRDefault="008715C6" w:rsidP="00D25373">
      <w:r>
        <w:t xml:space="preserve">For example, </w:t>
      </w:r>
      <w:r w:rsidR="00C53148" w:rsidRPr="00156E3F">
        <w:t xml:space="preserve">Australia </w:t>
      </w:r>
      <w:r w:rsidR="00AD54C3">
        <w:t>supported collaboration between</w:t>
      </w:r>
      <w:r w:rsidR="00C53148" w:rsidRPr="00156E3F">
        <w:t xml:space="preserve"> Bappenas </w:t>
      </w:r>
      <w:r w:rsidR="00AD54C3">
        <w:t>and the</w:t>
      </w:r>
      <w:r w:rsidR="00C53148" w:rsidRPr="007E30FC">
        <w:t xml:space="preserve"> Centre for Law and Policy Studies </w:t>
      </w:r>
      <w:r w:rsidR="00C53148">
        <w:t>(</w:t>
      </w:r>
      <w:r w:rsidR="00C53148" w:rsidRPr="00156E3F">
        <w:t>PSHK</w:t>
      </w:r>
      <w:r w:rsidR="00C53148">
        <w:t>)</w:t>
      </w:r>
      <w:r w:rsidR="00C53148" w:rsidRPr="00156E3F">
        <w:t xml:space="preserve"> to conduct a background study on regulatory reform to examine </w:t>
      </w:r>
      <w:r w:rsidR="00C53148" w:rsidRPr="005B728D">
        <w:t xml:space="preserve">the large number of existing regulations, with many overlapping, contradictory, </w:t>
      </w:r>
      <w:r w:rsidR="00AD54C3">
        <w:t xml:space="preserve">or </w:t>
      </w:r>
      <w:r w:rsidR="00C53148" w:rsidRPr="005B728D">
        <w:t>sometimes discriminatory or obsolete</w:t>
      </w:r>
      <w:r w:rsidR="00596812">
        <w:rPr>
          <w:rStyle w:val="EndnoteReference"/>
        </w:rPr>
        <w:endnoteReference w:id="71"/>
      </w:r>
      <w:r w:rsidR="00C53148" w:rsidRPr="00156E3F">
        <w:t>. Th</w:t>
      </w:r>
      <w:r w:rsidR="00AD54C3">
        <w:t xml:space="preserve">e study was </w:t>
      </w:r>
      <w:r w:rsidR="00C53148" w:rsidRPr="00156E3F">
        <w:t xml:space="preserve">finalised in early 2019 and regulatory reform became the first topic during the presidential debate in January 2019. </w:t>
      </w:r>
      <w:r w:rsidR="00C53148" w:rsidRPr="005B728D">
        <w:t>F</w:t>
      </w:r>
      <w:r w:rsidR="00C53148" w:rsidRPr="00156E3F">
        <w:t>indings and recommendation</w:t>
      </w:r>
      <w:r w:rsidR="000650AE">
        <w:t>s</w:t>
      </w:r>
      <w:r w:rsidR="00C53148" w:rsidRPr="00156E3F">
        <w:t xml:space="preserve"> from PSHK</w:t>
      </w:r>
      <w:r w:rsidR="00CA61E4">
        <w:t>,</w:t>
      </w:r>
      <w:r w:rsidR="00C53148" w:rsidRPr="00156E3F">
        <w:t xml:space="preserve"> especially on the establishment of a regulatory management body to coordinate and synthesise all regulations at national and local levels have been included in working drafts of the RPJMN.</w:t>
      </w:r>
      <w:r>
        <w:t xml:space="preserve"> </w:t>
      </w:r>
    </w:p>
    <w:p w:rsidR="00C53148" w:rsidRDefault="00FE0C7B" w:rsidP="00D25373">
      <w:pPr>
        <w:rPr>
          <w:rFonts w:eastAsia="Times New Roman" w:cstheme="minorHAnsi"/>
          <w:lang w:val="en-US"/>
        </w:rPr>
      </w:pPr>
      <w:r>
        <w:t>Australian-funded advisers produced a number of analytical pieces in collaboration with Bappenas to inform the RPJMN, including: a growth diagnostic to identify binding constraints to Indonesian economic growth; macroeconomic projections to ensure the RPJMN is based on sound estimates of future conditions; an analysis of the country’s infrastructure needs consistent with the macroeconomic outlook; and a strategy for inv</w:t>
      </w:r>
      <w:r w:rsidR="002A202F">
        <w:t>estment finance over the medium-</w:t>
      </w:r>
      <w:r>
        <w:t xml:space="preserve">term. </w:t>
      </w:r>
      <w:r w:rsidR="00C53148" w:rsidRPr="00156E3F">
        <w:t>Australia</w:t>
      </w:r>
      <w:r w:rsidR="008715C6">
        <w:t xml:space="preserve"> also partnered with the </w:t>
      </w:r>
      <w:r w:rsidR="00C53148" w:rsidRPr="00156E3F">
        <w:t xml:space="preserve">World Bank </w:t>
      </w:r>
      <w:r w:rsidR="003716DF">
        <w:t xml:space="preserve">and the Asia Development Bank </w:t>
      </w:r>
      <w:r w:rsidR="008715C6">
        <w:t>to produce a</w:t>
      </w:r>
      <w:r w:rsidR="00C53148" w:rsidRPr="00156E3F">
        <w:t xml:space="preserve"> range of analytical work to assess pathways to future </w:t>
      </w:r>
      <w:r w:rsidR="00C53148" w:rsidRPr="00D306E0">
        <w:t>infrastructure</w:t>
      </w:r>
      <w:r w:rsidR="00C53148" w:rsidRPr="00156E3F">
        <w:t xml:space="preserve"> development and financing in Indonesia, informing national urban sanitation frameworks, a policy paper on the Energy sector, and background studies into water resources and transport.  </w:t>
      </w:r>
    </w:p>
    <w:p w:rsidR="00537DA5" w:rsidRPr="00537DA5" w:rsidRDefault="00370D26" w:rsidP="00D25373">
      <w:r>
        <w:t>To strengthen the consideration of gender,</w:t>
      </w:r>
      <w:r w:rsidR="00537DA5" w:rsidRPr="00537DA5">
        <w:t xml:space="preserve"> </w:t>
      </w:r>
      <w:r>
        <w:t>Australia</w:t>
      </w:r>
      <w:r w:rsidRPr="00537DA5">
        <w:t xml:space="preserve"> </w:t>
      </w:r>
      <w:r w:rsidR="00537DA5" w:rsidRPr="00537DA5">
        <w:t>funded a joint exercise with UN women and the UN Population Fund (</w:t>
      </w:r>
      <w:r w:rsidR="00537DA5" w:rsidRPr="0037103F">
        <w:t>UNFPA</w:t>
      </w:r>
      <w:r w:rsidR="00537DA5" w:rsidRPr="00537DA5">
        <w:t>) to develop a background study to inform the RPJMN</w:t>
      </w:r>
      <w:r w:rsidR="0037103F">
        <w:rPr>
          <w:rStyle w:val="EndnoteReference"/>
        </w:rPr>
        <w:endnoteReference w:id="72"/>
      </w:r>
      <w:r w:rsidR="00537DA5" w:rsidRPr="00537DA5">
        <w:t xml:space="preserve">. A team of experts supported a comprehensive consultation process including with women’s organisations and other relevant CSOs. Drawing on these consultations and existing evidence, the background study suggested a mainstreaming approach to gender equality across sectors and identified a range of priority issues including life-long education, religious intolerance, </w:t>
      </w:r>
      <w:r>
        <w:t xml:space="preserve">addressing </w:t>
      </w:r>
      <w:r w:rsidR="00537DA5" w:rsidRPr="00537DA5">
        <w:t xml:space="preserve">child marriage and </w:t>
      </w:r>
      <w:r>
        <w:t>female genital mutilation</w:t>
      </w:r>
      <w:r w:rsidR="00537DA5" w:rsidRPr="00537DA5">
        <w:t>.</w:t>
      </w:r>
      <w:r>
        <w:t xml:space="preserve"> </w:t>
      </w:r>
      <w:r w:rsidR="00537DA5" w:rsidRPr="00537DA5">
        <w:t>The background study was influential in</w:t>
      </w:r>
      <w:r w:rsidR="000650AE">
        <w:t xml:space="preserve"> the</w:t>
      </w:r>
      <w:r w:rsidR="00537DA5" w:rsidRPr="00537DA5">
        <w:t xml:space="preserve"> development of the draft RPJMN</w:t>
      </w:r>
      <w:r>
        <w:t>,</w:t>
      </w:r>
      <w:r w:rsidR="00537DA5" w:rsidRPr="00537DA5">
        <w:t xml:space="preserve"> which aims to mainstream gender equality across all sectors and highlights preventing child marriage as a priority issue.</w:t>
      </w:r>
    </w:p>
    <w:p w:rsidR="00C53148" w:rsidRDefault="00C53148" w:rsidP="00D25373">
      <w:pPr>
        <w:rPr>
          <w:rFonts w:eastAsia="Times New Roman" w:cstheme="minorHAnsi"/>
          <w:lang w:val="en-US"/>
        </w:rPr>
      </w:pPr>
      <w:r>
        <w:rPr>
          <w:rFonts w:eastAsia="Times New Roman" w:cstheme="minorHAnsi"/>
        </w:rPr>
        <w:t xml:space="preserve">Australia is helping the Indonesian government access and procure quality research and analysis to inform </w:t>
      </w:r>
      <w:r w:rsidR="00370D26">
        <w:rPr>
          <w:rFonts w:eastAsia="Times New Roman" w:cstheme="minorHAnsi"/>
        </w:rPr>
        <w:t>its</w:t>
      </w:r>
      <w:r w:rsidR="008715C6">
        <w:rPr>
          <w:rFonts w:eastAsia="Times New Roman" w:cstheme="minorHAnsi"/>
        </w:rPr>
        <w:t xml:space="preserve"> </w:t>
      </w:r>
      <w:r>
        <w:rPr>
          <w:rFonts w:eastAsia="Times New Roman" w:cstheme="minorHAnsi"/>
        </w:rPr>
        <w:t>reform agenda</w:t>
      </w:r>
      <w:r w:rsidR="0037103F">
        <w:rPr>
          <w:rStyle w:val="EndnoteReference"/>
          <w:rFonts w:eastAsia="Times New Roman" w:cstheme="minorHAnsi"/>
        </w:rPr>
        <w:endnoteReference w:id="73"/>
      </w:r>
      <w:r>
        <w:rPr>
          <w:rFonts w:eastAsia="Times New Roman" w:cstheme="minorHAnsi"/>
        </w:rPr>
        <w:t xml:space="preserve">. In 2018, the </w:t>
      </w:r>
      <w:r w:rsidRPr="00BB1CE4">
        <w:rPr>
          <w:rFonts w:eastAsia="Times New Roman" w:cstheme="minorHAnsi"/>
          <w:lang w:val="en-US"/>
        </w:rPr>
        <w:t>Presidential Decree on Procurement of Goods and Services</w:t>
      </w:r>
      <w:r w:rsidR="00370D26">
        <w:rPr>
          <w:rFonts w:eastAsia="Times New Roman" w:cstheme="minorHAnsi"/>
          <w:lang w:val="en-US"/>
        </w:rPr>
        <w:t xml:space="preserve"> was issued to allow the </w:t>
      </w:r>
      <w:r w:rsidRPr="00BB1CE4">
        <w:rPr>
          <w:rFonts w:eastAsia="Times New Roman" w:cstheme="minorHAnsi"/>
          <w:lang w:val="en-US"/>
        </w:rPr>
        <w:t>government to commission research and other services from non-profit, non-government think tanks and universities</w:t>
      </w:r>
      <w:r>
        <w:rPr>
          <w:rFonts w:eastAsia="Times New Roman" w:cstheme="minorHAnsi"/>
          <w:lang w:val="en-US"/>
        </w:rPr>
        <w:t>.</w:t>
      </w:r>
      <w:r w:rsidR="00974C8A">
        <w:rPr>
          <w:rFonts w:eastAsia="Times New Roman" w:cstheme="minorHAnsi"/>
          <w:lang w:val="en-US"/>
        </w:rPr>
        <w:t xml:space="preserve"> This will allow policy makers to access a wider range of research partners, increasing the potential sources of evidence and the range of different perspectives. Australia</w:t>
      </w:r>
      <w:r>
        <w:rPr>
          <w:rFonts w:eastAsia="Times New Roman" w:cstheme="minorHAnsi"/>
          <w:lang w:val="en-US"/>
        </w:rPr>
        <w:t xml:space="preserve"> is helping to translate this regulation into practice by developing tools that can link a range of research services to national and local governments</w:t>
      </w:r>
      <w:r w:rsidR="00974C8A">
        <w:rPr>
          <w:rFonts w:eastAsia="Times New Roman" w:cstheme="minorHAnsi"/>
          <w:lang w:val="en-US"/>
        </w:rPr>
        <w:t xml:space="preserve">, including through the development of an </w:t>
      </w:r>
      <w:r>
        <w:rPr>
          <w:rFonts w:eastAsia="Times New Roman" w:cstheme="minorHAnsi"/>
          <w:lang w:val="en-US"/>
        </w:rPr>
        <w:t>e-catalogue</w:t>
      </w:r>
      <w:r w:rsidR="00974C8A">
        <w:rPr>
          <w:rFonts w:eastAsia="Times New Roman" w:cstheme="minorHAnsi"/>
          <w:lang w:val="en-US"/>
        </w:rPr>
        <w:t xml:space="preserve">. </w:t>
      </w:r>
      <w:r>
        <w:rPr>
          <w:rFonts w:eastAsia="Times New Roman" w:cstheme="minorHAnsi"/>
        </w:rPr>
        <w:t xml:space="preserve">Although progress has been slower than expected, this work demonstrates a model </w:t>
      </w:r>
      <w:r w:rsidR="00CA61E4">
        <w:rPr>
          <w:rFonts w:eastAsia="Times New Roman" w:cstheme="minorHAnsi"/>
        </w:rPr>
        <w:t>for</w:t>
      </w:r>
      <w:r>
        <w:rPr>
          <w:rFonts w:eastAsia="Times New Roman" w:cstheme="minorHAnsi"/>
        </w:rPr>
        <w:t xml:space="preserve"> implementation that can be adopted more broadly ac</w:t>
      </w:r>
      <w:r w:rsidR="003716DF">
        <w:rPr>
          <w:rFonts w:eastAsia="Times New Roman" w:cstheme="minorHAnsi"/>
        </w:rPr>
        <w:t xml:space="preserve">ross government going forward. </w:t>
      </w:r>
      <w:r>
        <w:rPr>
          <w:rFonts w:eastAsia="Times New Roman" w:cstheme="minorHAnsi"/>
        </w:rPr>
        <w:t xml:space="preserve">Australia has also supported a number of activities through the National Public Procurement Agency (LKPP) to raise awareness </w:t>
      </w:r>
      <w:r w:rsidR="007D5192">
        <w:rPr>
          <w:rFonts w:eastAsia="Times New Roman" w:cstheme="minorHAnsi"/>
        </w:rPr>
        <w:t xml:space="preserve">of </w:t>
      </w:r>
      <w:r w:rsidRPr="00BB1CE4">
        <w:rPr>
          <w:rFonts w:cstheme="minorHAnsi"/>
        </w:rPr>
        <w:t xml:space="preserve">the new regulation </w:t>
      </w:r>
      <w:r w:rsidR="007D5192">
        <w:rPr>
          <w:rFonts w:cstheme="minorHAnsi"/>
        </w:rPr>
        <w:t xml:space="preserve">with </w:t>
      </w:r>
      <w:r w:rsidRPr="00BB1CE4">
        <w:rPr>
          <w:rFonts w:cstheme="minorHAnsi"/>
        </w:rPr>
        <w:t>local governments</w:t>
      </w:r>
      <w:r>
        <w:rPr>
          <w:rFonts w:cstheme="minorHAnsi"/>
        </w:rPr>
        <w:t>, non-government organisations,</w:t>
      </w:r>
      <w:r w:rsidR="00D312DE">
        <w:rPr>
          <w:rFonts w:cstheme="minorHAnsi"/>
        </w:rPr>
        <w:t xml:space="preserve"> and the wider public,</w:t>
      </w:r>
      <w:r w:rsidR="00D312DE" w:rsidRPr="00BB1CE4">
        <w:rPr>
          <w:rFonts w:cstheme="minorHAnsi"/>
        </w:rPr>
        <w:t xml:space="preserve"> </w:t>
      </w:r>
      <w:r w:rsidR="00D312DE">
        <w:rPr>
          <w:rFonts w:cstheme="minorHAnsi"/>
        </w:rPr>
        <w:t>along with the wider benefits of using research to advocate for policy reform. Activities include a range of socialisation and media tools, and events in Jakarta, Banda Aceh and Makassar.</w:t>
      </w:r>
    </w:p>
    <w:p w:rsidR="00D312DE" w:rsidRPr="00982BD3" w:rsidRDefault="00D312DE" w:rsidP="00D312DE">
      <w:pPr>
        <w:spacing w:after="0" w:line="240" w:lineRule="auto"/>
        <w:rPr>
          <w:rFonts w:eastAsia="Times New Roman" w:cstheme="minorHAnsi"/>
        </w:rPr>
      </w:pPr>
      <w:r>
        <w:rPr>
          <w:rFonts w:eastAsia="Times New Roman" w:cstheme="minorHAnsi"/>
          <w:lang w:val="en-US"/>
        </w:rPr>
        <w:t>Australia’s longstanding support for the generation of new policy ideas ba</w:t>
      </w:r>
      <w:r w:rsidR="000650AE">
        <w:rPr>
          <w:rFonts w:eastAsia="Times New Roman" w:cstheme="minorHAnsi"/>
          <w:lang w:val="en-US"/>
        </w:rPr>
        <w:t xml:space="preserve">cked by a strong evidence </w:t>
      </w:r>
      <w:r w:rsidR="00657915">
        <w:rPr>
          <w:rFonts w:eastAsia="Times New Roman" w:cstheme="minorHAnsi"/>
          <w:lang w:val="en-US"/>
        </w:rPr>
        <w:t xml:space="preserve">base </w:t>
      </w:r>
      <w:r>
        <w:rPr>
          <w:rFonts w:eastAsia="Times New Roman" w:cstheme="minorHAnsi"/>
          <w:lang w:val="en-US"/>
        </w:rPr>
        <w:t xml:space="preserve">continues to be </w:t>
      </w:r>
      <w:r w:rsidR="00657915">
        <w:rPr>
          <w:rFonts w:eastAsia="Times New Roman" w:cstheme="minorHAnsi"/>
          <w:lang w:val="en-US"/>
        </w:rPr>
        <w:t>valued</w:t>
      </w:r>
      <w:r>
        <w:rPr>
          <w:rFonts w:eastAsia="Times New Roman" w:cstheme="minorHAnsi"/>
          <w:lang w:val="en-US"/>
        </w:rPr>
        <w:t xml:space="preserve"> by government agencies and other partners</w:t>
      </w:r>
      <w:r w:rsidR="00657915">
        <w:rPr>
          <w:rFonts w:eastAsia="Times New Roman" w:cstheme="minorHAnsi"/>
        </w:rPr>
        <w:t xml:space="preserve">. </w:t>
      </w:r>
      <w:r w:rsidRPr="00FE7EBE">
        <w:rPr>
          <w:rFonts w:eastAsia="Times New Roman" w:cstheme="minorHAnsi"/>
        </w:rPr>
        <w:t xml:space="preserve">We are well-placed to continue to assist Indonesia </w:t>
      </w:r>
      <w:r>
        <w:rPr>
          <w:rFonts w:eastAsia="Times New Roman" w:cstheme="minorHAnsi"/>
        </w:rPr>
        <w:t>through</w:t>
      </w:r>
      <w:r w:rsidRPr="00FE7EBE">
        <w:rPr>
          <w:rFonts w:eastAsia="Times New Roman" w:cstheme="minorHAnsi"/>
        </w:rPr>
        <w:t xml:space="preserve"> appropriate technical advice relevant to the needs of an emerging middle income country, working to improve the capacity </w:t>
      </w:r>
      <w:r>
        <w:rPr>
          <w:rFonts w:eastAsia="Times New Roman" w:cstheme="minorHAnsi"/>
        </w:rPr>
        <w:t xml:space="preserve">and financial sustainability </w:t>
      </w:r>
      <w:r w:rsidRPr="00FE7EBE">
        <w:rPr>
          <w:rFonts w:eastAsia="Times New Roman" w:cstheme="minorHAnsi"/>
        </w:rPr>
        <w:t xml:space="preserve">of local knowledge producers, and strengthening the institutional foundations </w:t>
      </w:r>
      <w:r>
        <w:rPr>
          <w:rFonts w:eastAsia="Times New Roman" w:cstheme="minorHAnsi"/>
        </w:rPr>
        <w:t xml:space="preserve">and partnerships across </w:t>
      </w:r>
      <w:r w:rsidRPr="00FE7EBE">
        <w:rPr>
          <w:rFonts w:eastAsia="Times New Roman" w:cstheme="minorHAnsi"/>
        </w:rPr>
        <w:t xml:space="preserve">the broader </w:t>
      </w:r>
      <w:r>
        <w:rPr>
          <w:rFonts w:eastAsia="Times New Roman" w:cstheme="minorHAnsi"/>
        </w:rPr>
        <w:t xml:space="preserve">science, research and innovation </w:t>
      </w:r>
      <w:r w:rsidRPr="00FE7EBE">
        <w:rPr>
          <w:rFonts w:eastAsia="Times New Roman" w:cstheme="minorHAnsi"/>
        </w:rPr>
        <w:t xml:space="preserve">ecosystem. </w:t>
      </w:r>
    </w:p>
    <w:p w:rsidR="00803FA1" w:rsidRDefault="00803FA1" w:rsidP="00803FA1">
      <w:pPr>
        <w:pStyle w:val="Heading2"/>
      </w:pPr>
      <w:r>
        <w:t xml:space="preserve">Mutual obligations </w:t>
      </w:r>
    </w:p>
    <w:p w:rsidR="00803FA1" w:rsidRPr="00AA1B6B" w:rsidRDefault="00AA1B6B" w:rsidP="00803FA1">
      <w:r>
        <w:t>Australia’s AIP reflects Indonesia’s own development agenda as set out in Indonesia’s medium</w:t>
      </w:r>
      <w:r w:rsidR="002A202F">
        <w:t>-</w:t>
      </w:r>
      <w:r>
        <w:t>term development plan (RPJMN 2015-2</w:t>
      </w:r>
      <w:r w:rsidR="000650AE">
        <w:t>019). The last annual Australia-</w:t>
      </w:r>
      <w:r>
        <w:t>Indonesia Senior Officials Meeting (SOM) held in December 2018 reinforced the importance of our development partnership. The</w:t>
      </w:r>
      <w:r w:rsidRPr="00E40317">
        <w:t xml:space="preserve"> </w:t>
      </w:r>
      <w:r>
        <w:t xml:space="preserve">Joint Communiqué acknowledged the real and sustained impact of the Australia-Indonesia development partnership and the continued shared commitment to address Indonesia’s priority development challenges, including by leveraging Indonesia’s own resources and capacity. During the SOM proceedings, the Indonesian Government requested Australia align </w:t>
      </w:r>
      <w:r w:rsidR="00CA61E4">
        <w:t>its</w:t>
      </w:r>
      <w:r>
        <w:t xml:space="preserve"> next AIP with the release of their </w:t>
      </w:r>
      <w:r w:rsidR="00CA61E4">
        <w:t xml:space="preserve">new </w:t>
      </w:r>
      <w:r>
        <w:t>medium</w:t>
      </w:r>
      <w:r w:rsidR="002A202F">
        <w:t>-</w:t>
      </w:r>
      <w:r w:rsidR="00CA61E4">
        <w:t xml:space="preserve">term development plan (RPJMN, </w:t>
      </w:r>
      <w:r>
        <w:t>2020-2024</w:t>
      </w:r>
      <w:r w:rsidR="00CA61E4">
        <w:t>)</w:t>
      </w:r>
      <w:r>
        <w:t>. The RPJMN will inform Australia’s development priorities in Indonesia, including in agreeing to performance benchmarks and mutual obligations</w:t>
      </w:r>
      <w:r w:rsidR="00803FA1">
        <w:t>.</w:t>
      </w:r>
    </w:p>
    <w:p w:rsidR="00803FA1" w:rsidRPr="002A51CA" w:rsidRDefault="00803FA1" w:rsidP="00803FA1">
      <w:pPr>
        <w:pStyle w:val="Heading2"/>
      </w:pPr>
      <w:r w:rsidRPr="002A51CA">
        <w:t xml:space="preserve">Program Quality and Partner Performance </w:t>
      </w:r>
    </w:p>
    <w:p w:rsidR="00803FA1" w:rsidRDefault="00803FA1" w:rsidP="00803FA1">
      <w:pPr>
        <w:rPr>
          <w:b/>
          <w:lang w:eastAsia="zh-CN"/>
        </w:rPr>
      </w:pPr>
      <w:r w:rsidRPr="002A51CA">
        <w:rPr>
          <w:b/>
          <w:lang w:eastAsia="zh-CN"/>
        </w:rPr>
        <w:t>Overview</w:t>
      </w:r>
    </w:p>
    <w:p w:rsidR="00803FA1" w:rsidRPr="00D36DBE" w:rsidRDefault="00AA1B6B" w:rsidP="00EE1F4D">
      <w:pPr>
        <w:rPr>
          <w:rFonts w:cstheme="minorHAnsi"/>
        </w:rPr>
      </w:pPr>
      <w:r w:rsidRPr="00C61B69">
        <w:rPr>
          <w:rFonts w:cstheme="minorHAnsi"/>
        </w:rPr>
        <w:t xml:space="preserve">Australia </w:t>
      </w:r>
      <w:r>
        <w:rPr>
          <w:rFonts w:cstheme="minorHAnsi"/>
        </w:rPr>
        <w:t>measures</w:t>
      </w:r>
      <w:r w:rsidRPr="00C61B69">
        <w:rPr>
          <w:rFonts w:cstheme="minorHAnsi"/>
        </w:rPr>
        <w:t xml:space="preserve"> its aid program against a Performance Assessment Framework (PAF)</w:t>
      </w:r>
      <w:r>
        <w:rPr>
          <w:rFonts w:cstheme="minorHAnsi"/>
        </w:rPr>
        <w:t xml:space="preserve"> (Annex E), providing an evidence-base</w:t>
      </w:r>
      <w:r w:rsidRPr="00C61B69">
        <w:rPr>
          <w:rFonts w:cstheme="minorHAnsi"/>
        </w:rPr>
        <w:t xml:space="preserve"> to assess progress towards the long-term goals</w:t>
      </w:r>
      <w:r>
        <w:rPr>
          <w:rFonts w:cstheme="minorHAnsi"/>
        </w:rPr>
        <w:t xml:space="preserve"> of the</w:t>
      </w:r>
      <w:r w:rsidRPr="00C61B69">
        <w:rPr>
          <w:rFonts w:cstheme="minorHAnsi"/>
        </w:rPr>
        <w:t xml:space="preserve"> Australia – Indonesia partnership. </w:t>
      </w:r>
      <w:r>
        <w:rPr>
          <w:rFonts w:cstheme="minorHAnsi"/>
        </w:rPr>
        <w:t>This APPR is structured against the PAF, which sets out 11 outcomes against our AIP objectives along with annual progress milestones. The PAF is a living document that is updated annually in consultation with program partners to capture the right level of information to reflect overall program performance. A new PAF will be developed to support the next AIP</w:t>
      </w:r>
      <w:r w:rsidR="00803FA1" w:rsidRPr="00D36DBE">
        <w:rPr>
          <w:rFonts w:cstheme="minorHAnsi"/>
        </w:rPr>
        <w:t xml:space="preserve">.   </w:t>
      </w:r>
    </w:p>
    <w:p w:rsidR="00803FA1" w:rsidRDefault="00803FA1" w:rsidP="00EE1F4D">
      <w:r>
        <w:t>We published four evaluations in 2018-19 (Annex C) and drew on evidence from evaluations and reviews to improve implementation, including strengthening monitoring, evaluation and communication to inform our designs. For example, recommendations from the MA</w:t>
      </w:r>
      <w:r w:rsidR="00CA61E4">
        <w:t>MPU Phase 2 and PEDULI Phase 2 program r</w:t>
      </w:r>
      <w:r>
        <w:t>eviews have been used to prepare options for future investments</w:t>
      </w:r>
      <w:r w:rsidR="00CA61E4">
        <w:t>. Lessons from these r</w:t>
      </w:r>
      <w:r>
        <w:t xml:space="preserve">eviews </w:t>
      </w:r>
      <w:r w:rsidR="00CA61E4">
        <w:t>will</w:t>
      </w:r>
      <w:r>
        <w:t xml:space="preserve"> also </w:t>
      </w:r>
      <w:r w:rsidR="00CA61E4">
        <w:t xml:space="preserve">be </w:t>
      </w:r>
      <w:r>
        <w:t xml:space="preserve">used to strengthen monitoring and evaluation </w:t>
      </w:r>
      <w:r w:rsidR="00CA61E4">
        <w:t>of programs</w:t>
      </w:r>
      <w:r>
        <w:t xml:space="preserve"> </w:t>
      </w:r>
      <w:r w:rsidR="00CA61E4">
        <w:t xml:space="preserve">to </w:t>
      </w:r>
      <w:r>
        <w:t xml:space="preserve">better capture disability outcomes. Evidence from the </w:t>
      </w:r>
      <w:r w:rsidR="00CA61E4">
        <w:t>strategic r</w:t>
      </w:r>
      <w:r>
        <w:t xml:space="preserve">eview of Australia’s investments in basic education in Indonesia confirmed Australia’s engagement in basic education development contributed to </w:t>
      </w:r>
      <w:r w:rsidR="00010E30">
        <w:t>the Indonesian Government’s</w:t>
      </w:r>
      <w:r>
        <w:t xml:space="preserve"> critical priority of human capital development and competitiveness.</w:t>
      </w:r>
    </w:p>
    <w:p w:rsidR="00803FA1" w:rsidRPr="00D36DBE" w:rsidRDefault="00803FA1" w:rsidP="00EE1F4D">
      <w:pPr>
        <w:rPr>
          <w:rFonts w:cstheme="minorHAnsi"/>
        </w:rPr>
      </w:pPr>
      <w:r w:rsidRPr="00D36DBE">
        <w:rPr>
          <w:rFonts w:cstheme="minorHAnsi"/>
        </w:rPr>
        <w:t xml:space="preserve">To improve efficiency and better target our efforts, we continued to consolidate </w:t>
      </w:r>
      <w:r>
        <w:rPr>
          <w:rFonts w:cstheme="minorHAnsi"/>
        </w:rPr>
        <w:t xml:space="preserve">multiple programs into streamlined overarching programs, such as </w:t>
      </w:r>
      <w:r w:rsidRPr="00D36DBE">
        <w:rPr>
          <w:rFonts w:cstheme="minorHAnsi"/>
        </w:rPr>
        <w:t>PROSPERA</w:t>
      </w:r>
      <w:r>
        <w:rPr>
          <w:rFonts w:cstheme="minorHAnsi"/>
        </w:rPr>
        <w:t xml:space="preserve"> which includes activities previously managed under two different programs, AIPEG and GPF. Consolidation of</w:t>
      </w:r>
      <w:r w:rsidRPr="00D36DBE">
        <w:rPr>
          <w:rFonts w:cstheme="minorHAnsi"/>
        </w:rPr>
        <w:t xml:space="preserve"> programs </w:t>
      </w:r>
      <w:r>
        <w:rPr>
          <w:rFonts w:cstheme="minorHAnsi"/>
        </w:rPr>
        <w:t>is</w:t>
      </w:r>
      <w:r w:rsidRPr="00D36DBE">
        <w:rPr>
          <w:rFonts w:cstheme="minorHAnsi"/>
        </w:rPr>
        <w:t xml:space="preserve"> also </w:t>
      </w:r>
      <w:r>
        <w:rPr>
          <w:rFonts w:cstheme="minorHAnsi"/>
        </w:rPr>
        <w:t xml:space="preserve">planned </w:t>
      </w:r>
      <w:r w:rsidRPr="00D36DBE">
        <w:rPr>
          <w:rFonts w:cstheme="minorHAnsi"/>
        </w:rPr>
        <w:t xml:space="preserve">for </w:t>
      </w:r>
      <w:r>
        <w:rPr>
          <w:rFonts w:cstheme="minorHAnsi"/>
        </w:rPr>
        <w:t>both gender</w:t>
      </w:r>
      <w:r w:rsidR="00CA61E4">
        <w:rPr>
          <w:rFonts w:cstheme="minorHAnsi"/>
        </w:rPr>
        <w:t xml:space="preserve"> equality</w:t>
      </w:r>
      <w:r>
        <w:rPr>
          <w:rFonts w:cstheme="minorHAnsi"/>
        </w:rPr>
        <w:t xml:space="preserve"> and social inclusion and basic education programs</w:t>
      </w:r>
      <w:r w:rsidRPr="00D36DBE">
        <w:rPr>
          <w:rFonts w:cstheme="minorHAnsi"/>
        </w:rPr>
        <w:t>.</w:t>
      </w:r>
      <w:r>
        <w:rPr>
          <w:rFonts w:cstheme="minorHAnsi"/>
        </w:rPr>
        <w:t xml:space="preserve"> We are also consolidating much of </w:t>
      </w:r>
      <w:r w:rsidR="000650AE">
        <w:rPr>
          <w:rFonts w:cstheme="minorHAnsi"/>
        </w:rPr>
        <w:t>our work with the World Bank in</w:t>
      </w:r>
      <w:r>
        <w:rPr>
          <w:rFonts w:cstheme="minorHAnsi"/>
        </w:rPr>
        <w:t>to a single trust fund in the near future.</w:t>
      </w:r>
      <w:r w:rsidRPr="00D36DBE">
        <w:rPr>
          <w:rFonts w:cstheme="minorHAnsi"/>
        </w:rPr>
        <w:t xml:space="preserve"> </w:t>
      </w:r>
    </w:p>
    <w:p w:rsidR="00803FA1" w:rsidRPr="00D36DBE" w:rsidRDefault="0042289C" w:rsidP="00EE1F4D">
      <w:pPr>
        <w:rPr>
          <w:rFonts w:cstheme="minorHAnsi"/>
        </w:rPr>
      </w:pPr>
      <w:r w:rsidRPr="0042289C">
        <w:rPr>
          <w:rFonts w:cstheme="minorHAnsi"/>
        </w:rPr>
        <w:t xml:space="preserve">Gender equality remains a key focus for our development program. </w:t>
      </w:r>
      <w:r w:rsidR="0001341F">
        <w:rPr>
          <w:rFonts w:cstheme="minorHAnsi"/>
        </w:rPr>
        <w:t>We</w:t>
      </w:r>
      <w:r w:rsidRPr="0042289C">
        <w:rPr>
          <w:rFonts w:cstheme="minorHAnsi"/>
        </w:rPr>
        <w:t xml:space="preserve"> achieved a rating of 85 per cent </w:t>
      </w:r>
      <w:r w:rsidR="0030375B">
        <w:rPr>
          <w:rFonts w:cstheme="minorHAnsi"/>
        </w:rPr>
        <w:t>of investments effectively addressing gender</w:t>
      </w:r>
      <w:r w:rsidR="0001341F">
        <w:rPr>
          <w:rFonts w:cstheme="minorHAnsi"/>
        </w:rPr>
        <w:t xml:space="preserve"> equality</w:t>
      </w:r>
      <w:r w:rsidR="0030375B">
        <w:rPr>
          <w:rFonts w:cstheme="minorHAnsi"/>
        </w:rPr>
        <w:t xml:space="preserve"> </w:t>
      </w:r>
      <w:r w:rsidRPr="0042289C">
        <w:rPr>
          <w:rFonts w:cstheme="minorHAnsi"/>
        </w:rPr>
        <w:t xml:space="preserve">this year, exceeding the 80 per cent </w:t>
      </w:r>
      <w:r w:rsidR="00CA61E4">
        <w:rPr>
          <w:rFonts w:cstheme="minorHAnsi"/>
        </w:rPr>
        <w:t xml:space="preserve">strategic </w:t>
      </w:r>
      <w:r w:rsidRPr="0042289C">
        <w:rPr>
          <w:rFonts w:cstheme="minorHAnsi"/>
        </w:rPr>
        <w:t>target set out in</w:t>
      </w:r>
      <w:r w:rsidR="00D06714">
        <w:rPr>
          <w:rFonts w:cstheme="minorHAnsi"/>
        </w:rPr>
        <w:t xml:space="preserve"> Australia’s performance framework for the aid program,</w:t>
      </w:r>
      <w:r w:rsidRPr="0042289C">
        <w:rPr>
          <w:rFonts w:cstheme="minorHAnsi"/>
        </w:rPr>
        <w:t xml:space="preserve"> Making Performance Count</w:t>
      </w:r>
      <w:r w:rsidR="00D06714">
        <w:rPr>
          <w:rStyle w:val="EndnoteReference"/>
          <w:rFonts w:cstheme="minorHAnsi"/>
        </w:rPr>
        <w:endnoteReference w:id="74"/>
      </w:r>
      <w:r w:rsidRPr="0042289C">
        <w:rPr>
          <w:rFonts w:cstheme="minorHAnsi"/>
        </w:rPr>
        <w:t xml:space="preserve">. There was a 2 per cent increase in performance from last year’s result of 83 per cent with three investments previously rated unsatisfactory, achieving a satisfactory rating. Five investments also further improved their score. This improved performance was due to a continuing focus, and increased understanding of performance requirements, on gender equality by program managers. We reviewed our flagship gender equality program, MAMPU, with results informing the design of a new investment in Gender Equality and Social Inclusion (GESI) to be developed through 2019-20. </w:t>
      </w:r>
      <w:r w:rsidR="00657915" w:rsidRPr="0042289C">
        <w:rPr>
          <w:rFonts w:cstheme="minorHAnsi"/>
        </w:rPr>
        <w:t xml:space="preserve">The design is also being informed by Indonesia’s changing policy context with gender equality </w:t>
      </w:r>
      <w:r w:rsidR="00657915">
        <w:rPr>
          <w:rFonts w:cstheme="minorHAnsi"/>
        </w:rPr>
        <w:t xml:space="preserve">set to be </w:t>
      </w:r>
      <w:r w:rsidR="00657915" w:rsidRPr="0042289C">
        <w:rPr>
          <w:rFonts w:cstheme="minorHAnsi"/>
        </w:rPr>
        <w:t xml:space="preserve">elevated as a cross-cutting issue </w:t>
      </w:r>
      <w:r w:rsidR="00657915">
        <w:rPr>
          <w:rFonts w:cstheme="minorHAnsi"/>
        </w:rPr>
        <w:t xml:space="preserve">in </w:t>
      </w:r>
      <w:r w:rsidR="00657915" w:rsidRPr="0042289C">
        <w:rPr>
          <w:rFonts w:cstheme="minorHAnsi"/>
        </w:rPr>
        <w:t>Indonesia’s</w:t>
      </w:r>
      <w:r w:rsidR="002A202F">
        <w:rPr>
          <w:rFonts w:cstheme="minorHAnsi"/>
        </w:rPr>
        <w:t xml:space="preserve"> next medium-</w:t>
      </w:r>
      <w:r w:rsidR="00657915">
        <w:rPr>
          <w:rFonts w:cstheme="minorHAnsi"/>
        </w:rPr>
        <w:t>term development plan.</w:t>
      </w:r>
    </w:p>
    <w:p w:rsidR="006165CE" w:rsidRPr="007A00B0" w:rsidRDefault="00803FA1" w:rsidP="00803FA1">
      <w:pPr>
        <w:rPr>
          <w:rFonts w:asciiTheme="majorHAnsi" w:hAnsiTheme="majorHAnsi" w:cstheme="majorHAnsi"/>
          <w:b/>
          <w:sz w:val="24"/>
          <w:szCs w:val="24"/>
          <w:lang w:eastAsia="zh-CN"/>
        </w:rPr>
      </w:pPr>
      <w:r w:rsidRPr="007A00B0">
        <w:rPr>
          <w:rFonts w:asciiTheme="majorHAnsi" w:hAnsiTheme="majorHAnsi" w:cstheme="majorHAnsi"/>
          <w:b/>
          <w:sz w:val="24"/>
          <w:szCs w:val="24"/>
          <w:lang w:eastAsia="zh-CN"/>
        </w:rPr>
        <w:t>Aid Quality Checks (AQCs)</w:t>
      </w:r>
    </w:p>
    <w:p w:rsidR="0030375B" w:rsidRDefault="00AA1B6B" w:rsidP="0030375B">
      <w:r>
        <w:t xml:space="preserve">The </w:t>
      </w:r>
      <w:r w:rsidRPr="00D36DBE">
        <w:t>Indonesia Program rated 36 AQC</w:t>
      </w:r>
      <w:r>
        <w:t>s</w:t>
      </w:r>
      <w:r w:rsidRPr="00D36DBE">
        <w:t xml:space="preserve"> against the Department of Foreign Affairs and Trade’s (DFAT) quality criteria (full ratings are at Annex D) as part of the annual aid performance cycle. </w:t>
      </w:r>
      <w:r>
        <w:t xml:space="preserve">The AQC is an important process for continuous improvement, enabling DFAT program teams to identify what is working and what needs to be strengthened in their investments. </w:t>
      </w:r>
    </w:p>
    <w:p w:rsidR="0030375B" w:rsidRDefault="00AA1B6B" w:rsidP="0030375B">
      <w:pPr>
        <w:rPr>
          <w:rFonts w:cstheme="minorHAnsi"/>
        </w:rPr>
      </w:pPr>
      <w:r>
        <w:rPr>
          <w:rFonts w:cstheme="minorHAnsi"/>
        </w:rPr>
        <w:t>A</w:t>
      </w:r>
      <w:r w:rsidRPr="0083771F">
        <w:rPr>
          <w:rFonts w:cstheme="minorHAnsi"/>
        </w:rPr>
        <w:t xml:space="preserve"> senior staff</w:t>
      </w:r>
      <w:r>
        <w:rPr>
          <w:rFonts w:cstheme="minorHAnsi"/>
        </w:rPr>
        <w:t xml:space="preserve"> member</w:t>
      </w:r>
      <w:r w:rsidRPr="0083771F">
        <w:rPr>
          <w:rFonts w:cstheme="minorHAnsi"/>
        </w:rPr>
        <w:t xml:space="preserve">, who has expertise in aid performance management and does not work </w:t>
      </w:r>
      <w:r>
        <w:rPr>
          <w:rFonts w:cstheme="minorHAnsi"/>
        </w:rPr>
        <w:t>on</w:t>
      </w:r>
      <w:r w:rsidRPr="0083771F">
        <w:rPr>
          <w:rFonts w:cstheme="minorHAnsi"/>
        </w:rPr>
        <w:t xml:space="preserve"> the </w:t>
      </w:r>
      <w:r>
        <w:rPr>
          <w:rFonts w:cstheme="minorHAnsi"/>
        </w:rPr>
        <w:t xml:space="preserve">Indonesia </w:t>
      </w:r>
      <w:r w:rsidRPr="0083771F">
        <w:rPr>
          <w:rFonts w:cstheme="minorHAnsi"/>
        </w:rPr>
        <w:t>program, moderated the AQC ratings</w:t>
      </w:r>
      <w:r w:rsidRPr="00553E45">
        <w:rPr>
          <w:rFonts w:cstheme="minorHAnsi"/>
        </w:rPr>
        <w:t xml:space="preserve"> </w:t>
      </w:r>
      <w:r>
        <w:rPr>
          <w:rFonts w:cstheme="minorHAnsi"/>
        </w:rPr>
        <w:t>t</w:t>
      </w:r>
      <w:r w:rsidRPr="00D36DBE">
        <w:rPr>
          <w:rFonts w:cstheme="minorHAnsi"/>
        </w:rPr>
        <w:t xml:space="preserve">o ensure </w:t>
      </w:r>
      <w:r>
        <w:rPr>
          <w:rFonts w:cstheme="minorHAnsi"/>
        </w:rPr>
        <w:t xml:space="preserve">an impartial, </w:t>
      </w:r>
      <w:r w:rsidRPr="00D36DBE">
        <w:rPr>
          <w:rFonts w:cstheme="minorHAnsi"/>
        </w:rPr>
        <w:t>accurate, objective and evidence based</w:t>
      </w:r>
      <w:r>
        <w:rPr>
          <w:rFonts w:cstheme="minorHAnsi"/>
        </w:rPr>
        <w:t xml:space="preserve"> </w:t>
      </w:r>
      <w:r w:rsidRPr="00D36DBE">
        <w:rPr>
          <w:rFonts w:cstheme="minorHAnsi"/>
        </w:rPr>
        <w:t xml:space="preserve">assessment. </w:t>
      </w:r>
      <w:r>
        <w:rPr>
          <w:rFonts w:cstheme="minorHAnsi"/>
        </w:rPr>
        <w:t xml:space="preserve">Gender advisors also reviewed AQCs to ensure gender </w:t>
      </w:r>
      <w:r w:rsidR="004F2B7A">
        <w:rPr>
          <w:rFonts w:cstheme="minorHAnsi"/>
        </w:rPr>
        <w:t xml:space="preserve">equality </w:t>
      </w:r>
      <w:r>
        <w:rPr>
          <w:rFonts w:cstheme="minorHAnsi"/>
        </w:rPr>
        <w:t xml:space="preserve">ratings were accurate and credible.  </w:t>
      </w:r>
      <w:r w:rsidRPr="00D36DBE">
        <w:rPr>
          <w:rFonts w:cstheme="minorHAnsi"/>
        </w:rPr>
        <w:t xml:space="preserve">Overall performance </w:t>
      </w:r>
      <w:r>
        <w:rPr>
          <w:rFonts w:cstheme="minorHAnsi"/>
        </w:rPr>
        <w:t>was strong, with investments</w:t>
      </w:r>
      <w:r w:rsidRPr="00D36DBE">
        <w:rPr>
          <w:rFonts w:cstheme="minorHAnsi"/>
        </w:rPr>
        <w:t xml:space="preserve"> rated effective and efficient in delivering results and aligned with both Australian and Indonesian Government priorities. </w:t>
      </w:r>
    </w:p>
    <w:p w:rsidR="00803FA1" w:rsidRPr="0030375B" w:rsidRDefault="00AA1B6B" w:rsidP="0030375B">
      <w:pPr>
        <w:rPr>
          <w:rFonts w:cstheme="minorHAnsi"/>
        </w:rPr>
      </w:pPr>
      <w:r>
        <w:rPr>
          <w:rFonts w:cstheme="minorHAnsi"/>
        </w:rPr>
        <w:t>N</w:t>
      </w:r>
      <w:r w:rsidRPr="00D36DBE">
        <w:rPr>
          <w:rFonts w:cstheme="minorHAnsi"/>
        </w:rPr>
        <w:t>o Investment</w:t>
      </w:r>
      <w:r>
        <w:rPr>
          <w:rFonts w:cstheme="minorHAnsi"/>
        </w:rPr>
        <w:t>s</w:t>
      </w:r>
      <w:r w:rsidRPr="00D36DBE">
        <w:rPr>
          <w:rFonts w:cstheme="minorHAnsi"/>
        </w:rPr>
        <w:t xml:space="preserve"> Requiring Improvement (IRI) </w:t>
      </w:r>
      <w:r>
        <w:rPr>
          <w:rFonts w:cstheme="minorHAnsi"/>
        </w:rPr>
        <w:t>were identified for 2018-19</w:t>
      </w:r>
      <w:r w:rsidRPr="00D36DBE">
        <w:rPr>
          <w:rFonts w:cstheme="minorHAnsi"/>
        </w:rPr>
        <w:t>. The two IRIs from last year</w:t>
      </w:r>
      <w:r>
        <w:rPr>
          <w:rFonts w:cstheme="minorHAnsi"/>
        </w:rPr>
        <w:t xml:space="preserve"> (</w:t>
      </w:r>
      <w:r w:rsidRPr="00D36DBE">
        <w:rPr>
          <w:rFonts w:cstheme="minorHAnsi"/>
        </w:rPr>
        <w:t>Red Meat</w:t>
      </w:r>
      <w:r w:rsidR="004F2B7A">
        <w:rPr>
          <w:rFonts w:cstheme="minorHAnsi"/>
        </w:rPr>
        <w:t xml:space="preserve"> and</w:t>
      </w:r>
      <w:r w:rsidRPr="00D36DBE">
        <w:rPr>
          <w:rFonts w:cstheme="minorHAnsi"/>
        </w:rPr>
        <w:t xml:space="preserve"> Cattle Partnership and IndoBeef Project</w:t>
      </w:r>
      <w:r>
        <w:rPr>
          <w:rFonts w:cstheme="minorHAnsi"/>
        </w:rPr>
        <w:t>)</w:t>
      </w:r>
      <w:r w:rsidRPr="00D36DBE">
        <w:rPr>
          <w:rFonts w:cstheme="minorHAnsi"/>
        </w:rPr>
        <w:t xml:space="preserve"> </w:t>
      </w:r>
      <w:r>
        <w:rPr>
          <w:rFonts w:cstheme="minorHAnsi"/>
        </w:rPr>
        <w:t xml:space="preserve">met the performance milestones agreed during the remediation period and have </w:t>
      </w:r>
      <w:r w:rsidRPr="00D36DBE">
        <w:rPr>
          <w:rFonts w:cstheme="minorHAnsi"/>
        </w:rPr>
        <w:t>demonstrated improvement</w:t>
      </w:r>
      <w:r>
        <w:rPr>
          <w:rFonts w:cstheme="minorHAnsi"/>
        </w:rPr>
        <w:t>s</w:t>
      </w:r>
      <w:r w:rsidRPr="00D36DBE">
        <w:rPr>
          <w:rFonts w:cstheme="minorHAnsi"/>
        </w:rPr>
        <w:t xml:space="preserve"> through strengthening governance arrangements and stakeholder</w:t>
      </w:r>
      <w:r>
        <w:rPr>
          <w:rFonts w:cstheme="minorHAnsi"/>
        </w:rPr>
        <w:t xml:space="preserve"> engagement</w:t>
      </w:r>
      <w:r w:rsidRPr="00D36DBE">
        <w:rPr>
          <w:rFonts w:cstheme="minorHAnsi"/>
        </w:rPr>
        <w:t>.</w:t>
      </w:r>
      <w:r>
        <w:rPr>
          <w:rFonts w:cstheme="minorHAnsi"/>
        </w:rPr>
        <w:t xml:space="preserve"> These</w:t>
      </w:r>
      <w:r w:rsidRPr="00D36DBE">
        <w:rPr>
          <w:rFonts w:cstheme="minorHAnsi"/>
        </w:rPr>
        <w:t xml:space="preserve"> </w:t>
      </w:r>
      <w:r>
        <w:rPr>
          <w:rFonts w:cstheme="minorHAnsi"/>
        </w:rPr>
        <w:t xml:space="preserve">investments will be closely managed to ensure that performance continues to meet expectations over the coming period.  </w:t>
      </w:r>
    </w:p>
    <w:p w:rsidR="00803FA1" w:rsidRPr="007A00B0" w:rsidRDefault="00803FA1" w:rsidP="00803FA1">
      <w:pPr>
        <w:rPr>
          <w:rFonts w:asciiTheme="majorHAnsi" w:hAnsiTheme="majorHAnsi" w:cstheme="majorHAnsi"/>
          <w:b/>
          <w:sz w:val="24"/>
          <w:szCs w:val="24"/>
          <w:lang w:eastAsia="zh-CN"/>
        </w:rPr>
      </w:pPr>
      <w:r w:rsidRPr="007A00B0">
        <w:rPr>
          <w:rFonts w:asciiTheme="majorHAnsi" w:hAnsiTheme="majorHAnsi" w:cstheme="majorHAnsi"/>
          <w:b/>
          <w:sz w:val="24"/>
          <w:szCs w:val="24"/>
          <w:lang w:eastAsia="zh-CN"/>
        </w:rPr>
        <w:t>Performance of key delivery partners</w:t>
      </w:r>
    </w:p>
    <w:p w:rsidR="00AA1B6B" w:rsidRPr="00D36DBE" w:rsidRDefault="00AA1B6B" w:rsidP="00AA1B6B">
      <w:pPr>
        <w:rPr>
          <w:rFonts w:cstheme="minorHAnsi"/>
        </w:rPr>
      </w:pPr>
      <w:r>
        <w:rPr>
          <w:rFonts w:cstheme="minorHAnsi"/>
        </w:rPr>
        <w:t>Australia’s</w:t>
      </w:r>
      <w:r w:rsidRPr="00D36DBE">
        <w:rPr>
          <w:rFonts w:cstheme="minorHAnsi"/>
        </w:rPr>
        <w:t xml:space="preserve"> implementing partners </w:t>
      </w:r>
      <w:r>
        <w:rPr>
          <w:rFonts w:cstheme="minorHAnsi"/>
        </w:rPr>
        <w:t xml:space="preserve">continue to </w:t>
      </w:r>
      <w:r w:rsidRPr="00D36DBE">
        <w:rPr>
          <w:rFonts w:cstheme="minorHAnsi"/>
        </w:rPr>
        <w:t xml:space="preserve">perform effectively </w:t>
      </w:r>
      <w:r>
        <w:rPr>
          <w:rFonts w:cstheme="minorHAnsi"/>
        </w:rPr>
        <w:t>to</w:t>
      </w:r>
      <w:r w:rsidRPr="00D36DBE">
        <w:rPr>
          <w:rFonts w:cstheme="minorHAnsi"/>
        </w:rPr>
        <w:t xml:space="preserve"> deliver results. The majority of Australia’s Overseas Development Assistance (ODA) </w:t>
      </w:r>
      <w:r>
        <w:rPr>
          <w:rFonts w:cstheme="minorHAnsi"/>
        </w:rPr>
        <w:t xml:space="preserve">in Indonesia is </w:t>
      </w:r>
      <w:r w:rsidRPr="00D36DBE">
        <w:rPr>
          <w:rFonts w:cstheme="minorHAnsi"/>
        </w:rPr>
        <w:t>delivered by commercial contractors and international and multilateral organisations. We completed 28 partner performance assessments, including 14 with commercial contractors, 11 with multilateral organisations, two with university/research institution</w:t>
      </w:r>
      <w:r>
        <w:rPr>
          <w:rFonts w:cstheme="minorHAnsi"/>
        </w:rPr>
        <w:t>s</w:t>
      </w:r>
      <w:r w:rsidRPr="00D36DBE">
        <w:rPr>
          <w:rFonts w:cstheme="minorHAnsi"/>
        </w:rPr>
        <w:t>, and one with</w:t>
      </w:r>
      <w:r>
        <w:rPr>
          <w:rFonts w:cstheme="minorHAnsi"/>
        </w:rPr>
        <w:t xml:space="preserve"> a</w:t>
      </w:r>
      <w:r w:rsidRPr="00D36DBE">
        <w:rPr>
          <w:rFonts w:cstheme="minorHAnsi"/>
        </w:rPr>
        <w:t xml:space="preserve"> non-government organisation. </w:t>
      </w:r>
    </w:p>
    <w:p w:rsidR="00AA1B6B" w:rsidRDefault="00AA1B6B" w:rsidP="00AA1B6B">
      <w:pPr>
        <w:rPr>
          <w:rFonts w:cstheme="minorHAnsi"/>
        </w:rPr>
      </w:pPr>
      <w:r>
        <w:rPr>
          <w:rFonts w:cstheme="minorHAnsi"/>
        </w:rPr>
        <w:t>P</w:t>
      </w:r>
      <w:r w:rsidRPr="00D36DBE">
        <w:rPr>
          <w:rFonts w:cstheme="minorHAnsi"/>
        </w:rPr>
        <w:t xml:space="preserve">artner performance </w:t>
      </w:r>
      <w:r>
        <w:rPr>
          <w:rFonts w:cstheme="minorHAnsi"/>
        </w:rPr>
        <w:t xml:space="preserve">remained strong overall. All partners were rated satisfactory against the five criteria of program delivery, </w:t>
      </w:r>
      <w:r w:rsidRPr="00D36DBE">
        <w:rPr>
          <w:rFonts w:cstheme="minorHAnsi"/>
        </w:rPr>
        <w:t>maximis</w:t>
      </w:r>
      <w:r>
        <w:rPr>
          <w:rFonts w:cstheme="minorHAnsi"/>
        </w:rPr>
        <w:t>ing</w:t>
      </w:r>
      <w:r w:rsidRPr="00D36DBE">
        <w:rPr>
          <w:rFonts w:cstheme="minorHAnsi"/>
        </w:rPr>
        <w:t xml:space="preserve"> value for money; policy alignment, risk management and innovation; effective personnel</w:t>
      </w:r>
      <w:r>
        <w:rPr>
          <w:rFonts w:cstheme="minorHAnsi"/>
        </w:rPr>
        <w:t xml:space="preserve"> management</w:t>
      </w:r>
      <w:r w:rsidRPr="00D36DBE">
        <w:rPr>
          <w:rFonts w:cstheme="minorHAnsi"/>
        </w:rPr>
        <w:t xml:space="preserve">; and collaboration, communication and responsiveness. </w:t>
      </w:r>
    </w:p>
    <w:p w:rsidR="00AA1B6B" w:rsidRPr="00D36DBE" w:rsidRDefault="00AA1B6B" w:rsidP="00AA1B6B">
      <w:pPr>
        <w:rPr>
          <w:rFonts w:cstheme="minorHAnsi"/>
        </w:rPr>
      </w:pPr>
      <w:r w:rsidRPr="00D36DBE">
        <w:rPr>
          <w:rFonts w:cstheme="minorHAnsi"/>
        </w:rPr>
        <w:t xml:space="preserve">The World Bank along with </w:t>
      </w:r>
      <w:r w:rsidR="003253C5">
        <w:rPr>
          <w:rFonts w:cstheme="minorHAnsi"/>
        </w:rPr>
        <w:t>the Asia Development Bank</w:t>
      </w:r>
      <w:r w:rsidRPr="00D36DBE">
        <w:rPr>
          <w:rFonts w:cstheme="minorHAnsi"/>
        </w:rPr>
        <w:t xml:space="preserve"> and other UN partners remain important partners </w:t>
      </w:r>
      <w:r>
        <w:rPr>
          <w:rFonts w:cstheme="minorHAnsi"/>
        </w:rPr>
        <w:t>with</w:t>
      </w:r>
      <w:r w:rsidRPr="00D36DBE">
        <w:rPr>
          <w:rFonts w:cstheme="minorHAnsi"/>
        </w:rPr>
        <w:t xml:space="preserve"> their ability to support large-scale activities, including infrastructure, social </w:t>
      </w:r>
      <w:r w:rsidR="000650AE">
        <w:rPr>
          <w:rFonts w:cstheme="minorHAnsi"/>
        </w:rPr>
        <w:t>and policy reform agendas, high-</w:t>
      </w:r>
      <w:r w:rsidRPr="00D36DBE">
        <w:rPr>
          <w:rFonts w:cstheme="minorHAnsi"/>
        </w:rPr>
        <w:t xml:space="preserve">level </w:t>
      </w:r>
      <w:r>
        <w:rPr>
          <w:rFonts w:cstheme="minorHAnsi"/>
        </w:rPr>
        <w:t>policy influence</w:t>
      </w:r>
      <w:r w:rsidRPr="00D36DBE">
        <w:rPr>
          <w:rFonts w:cstheme="minorHAnsi"/>
        </w:rPr>
        <w:t xml:space="preserve"> a</w:t>
      </w:r>
      <w:r>
        <w:rPr>
          <w:rFonts w:cstheme="minorHAnsi"/>
        </w:rPr>
        <w:t xml:space="preserve">s well as access to </w:t>
      </w:r>
      <w:r w:rsidRPr="00D36DBE">
        <w:rPr>
          <w:rFonts w:cstheme="minorHAnsi"/>
        </w:rPr>
        <w:t xml:space="preserve">global </w:t>
      </w:r>
      <w:r>
        <w:rPr>
          <w:rFonts w:cstheme="minorHAnsi"/>
        </w:rPr>
        <w:t>knowledge</w:t>
      </w:r>
      <w:r w:rsidRPr="00D36DBE">
        <w:rPr>
          <w:rFonts w:cstheme="minorHAnsi"/>
        </w:rPr>
        <w:t xml:space="preserve">. The need to strengthen communication and consultation with </w:t>
      </w:r>
      <w:r w:rsidR="008D7043">
        <w:rPr>
          <w:rFonts w:cstheme="minorHAnsi"/>
        </w:rPr>
        <w:t>Australia</w:t>
      </w:r>
      <w:r w:rsidRPr="00D36DBE">
        <w:rPr>
          <w:rFonts w:cstheme="minorHAnsi"/>
        </w:rPr>
        <w:t xml:space="preserve"> and </w:t>
      </w:r>
      <w:r>
        <w:rPr>
          <w:rFonts w:cstheme="minorHAnsi"/>
        </w:rPr>
        <w:t xml:space="preserve">Indonesian </w:t>
      </w:r>
      <w:r w:rsidRPr="00D36DBE">
        <w:rPr>
          <w:rFonts w:cstheme="minorHAnsi"/>
        </w:rPr>
        <w:t>counterparts</w:t>
      </w:r>
      <w:r>
        <w:rPr>
          <w:rFonts w:cstheme="minorHAnsi"/>
        </w:rPr>
        <w:t>,</w:t>
      </w:r>
      <w:r w:rsidRPr="00D36DBE">
        <w:rPr>
          <w:rFonts w:cstheme="minorHAnsi"/>
        </w:rPr>
        <w:t xml:space="preserve"> and deliver defined services within budget </w:t>
      </w:r>
      <w:r>
        <w:rPr>
          <w:rFonts w:cstheme="minorHAnsi"/>
        </w:rPr>
        <w:t>were</w:t>
      </w:r>
      <w:r w:rsidRPr="00D36DBE">
        <w:rPr>
          <w:rFonts w:cstheme="minorHAnsi"/>
        </w:rPr>
        <w:t xml:space="preserve"> identified as the area</w:t>
      </w:r>
      <w:r>
        <w:rPr>
          <w:rFonts w:cstheme="minorHAnsi"/>
        </w:rPr>
        <w:t>s</w:t>
      </w:r>
      <w:r w:rsidRPr="00D36DBE">
        <w:rPr>
          <w:rFonts w:cstheme="minorHAnsi"/>
        </w:rPr>
        <w:t xml:space="preserve"> </w:t>
      </w:r>
      <w:r>
        <w:rPr>
          <w:rFonts w:cstheme="minorHAnsi"/>
        </w:rPr>
        <w:t>requiring further</w:t>
      </w:r>
      <w:r w:rsidRPr="00D36DBE">
        <w:rPr>
          <w:rFonts w:cstheme="minorHAnsi"/>
        </w:rPr>
        <w:t xml:space="preserve"> improve</w:t>
      </w:r>
      <w:r>
        <w:rPr>
          <w:rFonts w:cstheme="minorHAnsi"/>
        </w:rPr>
        <w:t>ment.</w:t>
      </w:r>
      <w:r w:rsidRPr="00D36DBE">
        <w:rPr>
          <w:rFonts w:cstheme="minorHAnsi"/>
        </w:rPr>
        <w:t xml:space="preserve"> </w:t>
      </w:r>
      <w:r w:rsidR="005E0D9E" w:rsidRPr="005E0D9E">
        <w:rPr>
          <w:rFonts w:cstheme="minorHAnsi"/>
        </w:rPr>
        <w:t xml:space="preserve">Our long-running partnership with the World Bank has supported policy reforms and leveraged major </w:t>
      </w:r>
      <w:r w:rsidR="008D7043">
        <w:rPr>
          <w:rFonts w:cstheme="minorHAnsi"/>
        </w:rPr>
        <w:t>Indonesian government</w:t>
      </w:r>
      <w:r w:rsidR="005E0D9E" w:rsidRPr="005E0D9E">
        <w:rPr>
          <w:rFonts w:cstheme="minorHAnsi"/>
        </w:rPr>
        <w:t xml:space="preserve"> priority programs across seven separate trust fund partnershi</w:t>
      </w:r>
      <w:r w:rsidR="0001341F">
        <w:rPr>
          <w:rFonts w:cstheme="minorHAnsi"/>
        </w:rPr>
        <w:t xml:space="preserve">ps. </w:t>
      </w:r>
      <w:r w:rsidR="005E0D9E" w:rsidRPr="005E0D9E">
        <w:rPr>
          <w:rFonts w:cstheme="minorHAnsi"/>
        </w:rPr>
        <w:t xml:space="preserve">The end of </w:t>
      </w:r>
      <w:r w:rsidR="008D7043">
        <w:rPr>
          <w:rFonts w:cstheme="minorHAnsi"/>
        </w:rPr>
        <w:t>multiple</w:t>
      </w:r>
      <w:r w:rsidR="005E0D9E" w:rsidRPr="005E0D9E">
        <w:rPr>
          <w:rFonts w:cstheme="minorHAnsi"/>
        </w:rPr>
        <w:t xml:space="preserve"> trust funds in 2019-20 presents an opportunity for strategic consolidation of our World Bank portfolio. In 2019-20, we </w:t>
      </w:r>
      <w:r w:rsidR="008D7043">
        <w:rPr>
          <w:rFonts w:cstheme="minorHAnsi"/>
        </w:rPr>
        <w:t>will</w:t>
      </w:r>
      <w:r w:rsidR="005E0D9E" w:rsidRPr="005E0D9E">
        <w:rPr>
          <w:rFonts w:cstheme="minorHAnsi"/>
        </w:rPr>
        <w:t xml:space="preserve"> refresh the Australia-World Bank partnership in Indonesia </w:t>
      </w:r>
      <w:r w:rsidR="008D7043">
        <w:rPr>
          <w:rFonts w:cstheme="minorHAnsi"/>
        </w:rPr>
        <w:t>for</w:t>
      </w:r>
      <w:r w:rsidR="005E0D9E" w:rsidRPr="005E0D9E">
        <w:rPr>
          <w:rFonts w:cstheme="minorHAnsi"/>
        </w:rPr>
        <w:t xml:space="preserve"> greater alignment of strategic activities that complement our bilateral portfolio. This will improve administrative efficiency, flexibility of funding and strengthen gender equality and social inclusion across activities</w:t>
      </w:r>
      <w:r w:rsidR="008D7043">
        <w:rPr>
          <w:rFonts w:cstheme="minorHAnsi"/>
        </w:rPr>
        <w:t>.</w:t>
      </w:r>
    </w:p>
    <w:p w:rsidR="00D25012" w:rsidRDefault="00AA1B6B" w:rsidP="00EE1F4D">
      <w:r>
        <w:rPr>
          <w:rFonts w:cstheme="minorHAnsi"/>
        </w:rPr>
        <w:t xml:space="preserve">Local NGOs and civil society groups are important stakeholders in Indonesia, and are </w:t>
      </w:r>
      <w:r w:rsidRPr="00EF1571">
        <w:rPr>
          <w:rFonts w:cstheme="minorHAnsi"/>
        </w:rPr>
        <w:t xml:space="preserve">key drivers of political, economic and social reform. </w:t>
      </w:r>
      <w:r w:rsidRPr="00D36DBE">
        <w:rPr>
          <w:rFonts w:cstheme="minorHAnsi"/>
        </w:rPr>
        <w:t>Australia</w:t>
      </w:r>
      <w:r>
        <w:rPr>
          <w:rFonts w:cstheme="minorHAnsi"/>
        </w:rPr>
        <w:t xml:space="preserve">’s support to strengthen these organisations is mostly managed by commercial contractors, who provide oversight and accountability for grants for around </w:t>
      </w:r>
      <w:r w:rsidR="00984EDF">
        <w:rPr>
          <w:rFonts w:cstheme="minorHAnsi"/>
        </w:rPr>
        <w:t>200</w:t>
      </w:r>
      <w:r>
        <w:rPr>
          <w:rFonts w:cstheme="minorHAnsi"/>
        </w:rPr>
        <w:t xml:space="preserve"> Indonesian organisations at the national and community level. </w:t>
      </w:r>
      <w:r w:rsidRPr="00D36DBE">
        <w:rPr>
          <w:rFonts w:cstheme="minorHAnsi"/>
        </w:rPr>
        <w:t xml:space="preserve">Australia </w:t>
      </w:r>
      <w:r>
        <w:rPr>
          <w:rFonts w:cstheme="minorHAnsi"/>
        </w:rPr>
        <w:t>also works</w:t>
      </w:r>
      <w:r w:rsidRPr="00D36DBE">
        <w:rPr>
          <w:rFonts w:cstheme="minorHAnsi"/>
        </w:rPr>
        <w:t xml:space="preserve"> with research institutions, </w:t>
      </w:r>
      <w:r>
        <w:rPr>
          <w:rFonts w:cstheme="minorHAnsi"/>
        </w:rPr>
        <w:t>u</w:t>
      </w:r>
      <w:r w:rsidRPr="00D36DBE">
        <w:rPr>
          <w:rFonts w:cstheme="minorHAnsi"/>
        </w:rPr>
        <w:t>niversities,</w:t>
      </w:r>
      <w:r>
        <w:rPr>
          <w:rFonts w:cstheme="minorHAnsi"/>
        </w:rPr>
        <w:t xml:space="preserve"> and international organisations (</w:t>
      </w:r>
      <w:r w:rsidRPr="00D36DBE">
        <w:rPr>
          <w:rFonts w:cstheme="minorHAnsi"/>
        </w:rPr>
        <w:t>such as the Jamal Poverty Action Lab</w:t>
      </w:r>
      <w:r>
        <w:rPr>
          <w:rFonts w:cstheme="minorHAnsi"/>
        </w:rPr>
        <w:t xml:space="preserve">, </w:t>
      </w:r>
      <w:r w:rsidRPr="00D36DBE">
        <w:rPr>
          <w:rFonts w:cstheme="minorHAnsi"/>
        </w:rPr>
        <w:t>the University of Melbourne, Australian National University, and the Asia Foundation</w:t>
      </w:r>
      <w:r>
        <w:rPr>
          <w:rFonts w:cstheme="minorHAnsi"/>
        </w:rPr>
        <w:t>)</w:t>
      </w:r>
      <w:r w:rsidRPr="00D36DBE">
        <w:rPr>
          <w:rFonts w:cstheme="minorHAnsi"/>
        </w:rPr>
        <w:t xml:space="preserve"> to </w:t>
      </w:r>
      <w:r>
        <w:rPr>
          <w:rFonts w:cstheme="minorHAnsi"/>
        </w:rPr>
        <w:t>foster</w:t>
      </w:r>
      <w:r w:rsidRPr="00D36DBE">
        <w:rPr>
          <w:rFonts w:cstheme="minorHAnsi"/>
        </w:rPr>
        <w:t xml:space="preserve"> evidence based policy and promote innovation in Indonesia.</w:t>
      </w:r>
      <w:r>
        <w:rPr>
          <w:rFonts w:cstheme="minorHAnsi"/>
        </w:rPr>
        <w:t xml:space="preserve"> Our programs also support partnerships with</w:t>
      </w:r>
      <w:r w:rsidRPr="00D36DBE">
        <w:rPr>
          <w:rStyle w:val="CommentReference"/>
          <w:rFonts w:cstheme="minorHAnsi"/>
          <w:sz w:val="22"/>
          <w:szCs w:val="22"/>
        </w:rPr>
        <w:t> A</w:t>
      </w:r>
      <w:r w:rsidRPr="00D36DBE">
        <w:rPr>
          <w:rFonts w:cstheme="minorHAnsi"/>
        </w:rPr>
        <w:t xml:space="preserve">ustralian Government Agencies </w:t>
      </w:r>
      <w:r>
        <w:rPr>
          <w:rFonts w:cstheme="minorHAnsi"/>
        </w:rPr>
        <w:t>such as ANAO, AUSTRAC, R</w:t>
      </w:r>
      <w:r w:rsidRPr="00D36DBE">
        <w:rPr>
          <w:rFonts w:cstheme="minorHAnsi"/>
        </w:rPr>
        <w:t>eserve Bank of Australia</w:t>
      </w:r>
      <w:r>
        <w:rPr>
          <w:rFonts w:cstheme="minorHAnsi"/>
        </w:rPr>
        <w:t xml:space="preserve"> and their respective</w:t>
      </w:r>
      <w:r w:rsidRPr="00D36DBE">
        <w:rPr>
          <w:rFonts w:cstheme="minorHAnsi"/>
        </w:rPr>
        <w:t xml:space="preserve"> Indonesian</w:t>
      </w:r>
      <w:r>
        <w:rPr>
          <w:rFonts w:cstheme="minorHAnsi"/>
        </w:rPr>
        <w:t xml:space="preserve"> Government </w:t>
      </w:r>
      <w:r w:rsidRPr="00D36DBE">
        <w:rPr>
          <w:rFonts w:cstheme="minorHAnsi"/>
        </w:rPr>
        <w:t>counterparts</w:t>
      </w:r>
      <w:r>
        <w:rPr>
          <w:rFonts w:cstheme="minorHAnsi"/>
        </w:rPr>
        <w:t xml:space="preserve"> </w:t>
      </w:r>
      <w:r w:rsidRPr="00D36DBE">
        <w:rPr>
          <w:rFonts w:cstheme="minorHAnsi"/>
        </w:rPr>
        <w:t xml:space="preserve">to </w:t>
      </w:r>
      <w:r>
        <w:rPr>
          <w:rFonts w:cstheme="minorHAnsi"/>
        </w:rPr>
        <w:t>improve institutional capabilities.</w:t>
      </w:r>
    </w:p>
    <w:p w:rsidR="00286E45" w:rsidRPr="002A51CA" w:rsidRDefault="00286E45" w:rsidP="00286E45">
      <w:pPr>
        <w:pStyle w:val="Heading2"/>
      </w:pPr>
      <w:r w:rsidRPr="002A51CA">
        <w:t xml:space="preserve">Management </w:t>
      </w:r>
      <w:r>
        <w:t>actions</w:t>
      </w:r>
      <w:r>
        <w:tab/>
      </w:r>
    </w:p>
    <w:p w:rsidR="00286E45" w:rsidRPr="00994E03" w:rsidRDefault="00286E45" w:rsidP="00286E45">
      <w:pPr>
        <w:pStyle w:val="NumberedList1"/>
        <w:numPr>
          <w:ilvl w:val="0"/>
          <w:numId w:val="0"/>
        </w:numPr>
      </w:pPr>
      <w:r w:rsidRPr="00994E03">
        <w:t>The following management actions re</w:t>
      </w:r>
      <w:r>
        <w:t>spond to the amber ratings for O</w:t>
      </w:r>
      <w:r w:rsidRPr="00994E03">
        <w:t xml:space="preserve">utcomes </w:t>
      </w:r>
      <w:r>
        <w:t xml:space="preserve">9 and 10. </w:t>
      </w:r>
      <w:r w:rsidRPr="00994E03">
        <w:t xml:space="preserve"> </w:t>
      </w:r>
    </w:p>
    <w:p w:rsidR="00657915" w:rsidRDefault="00657915" w:rsidP="00657915">
      <w:pPr>
        <w:pStyle w:val="NumberedList1"/>
        <w:numPr>
          <w:ilvl w:val="0"/>
          <w:numId w:val="2"/>
        </w:numPr>
      </w:pPr>
      <w:r>
        <w:t xml:space="preserve">To improve performance against </w:t>
      </w:r>
      <w:r>
        <w:rPr>
          <w:b/>
          <w:bCs/>
        </w:rPr>
        <w:t>Outcome 9</w:t>
      </w:r>
      <w:r>
        <w:t xml:space="preserve"> (marginalised groups can advocate for and access basic services), we will continue to support DPOs and provide technical advice to the Indonesian government’s disability working group (POKJA) to finalise the four regulations of the Disability Law and look to progress a further regulation on incentives and concessions. We will also support the development of a monitoring and evaluation plan to help drive implementation of the Disability Law. The rights of followers of local beliefs and people with disability will be further protected through the drafting of new regulations on inclusive education and accessibility of Islamic institutions. Australia will continue to work with credible CSOs and governments at all levels to promote tolerance and prevent violent extremism including through a new Ministerial regulation on Preventing Violent Extremism and support for stronger coordination and a monitoring plan for its implementation.</w:t>
      </w:r>
    </w:p>
    <w:p w:rsidR="00657915" w:rsidRPr="00385574" w:rsidRDefault="00657915" w:rsidP="00657915">
      <w:pPr>
        <w:pStyle w:val="NumberedList1"/>
        <w:numPr>
          <w:ilvl w:val="0"/>
          <w:numId w:val="2"/>
        </w:numPr>
        <w:rPr>
          <w:rFonts w:ascii="Arial" w:hAnsi="Arial" w:cs="Arial"/>
          <w:sz w:val="18"/>
          <w:szCs w:val="18"/>
        </w:rPr>
      </w:pPr>
      <w:r w:rsidRPr="00914DCC">
        <w:t xml:space="preserve">To improve performance against </w:t>
      </w:r>
      <w:r>
        <w:rPr>
          <w:b/>
        </w:rPr>
        <w:t>Outcome 10</w:t>
      </w:r>
      <w:r w:rsidRPr="00914DCC">
        <w:t xml:space="preserve"> (climate change impacts are lessened through improved environmental governance) we </w:t>
      </w:r>
      <w:r>
        <w:t xml:space="preserve">will focus our efforts on </w:t>
      </w:r>
      <w:r w:rsidRPr="00385574">
        <w:t>track</w:t>
      </w:r>
      <w:r>
        <w:t>ing</w:t>
      </w:r>
      <w:r w:rsidRPr="00385574">
        <w:t xml:space="preserve"> and account</w:t>
      </w:r>
      <w:r>
        <w:t>ing</w:t>
      </w:r>
      <w:r w:rsidRPr="00385574">
        <w:t xml:space="preserve"> for program-level results and outcomes.  This</w:t>
      </w:r>
      <w:r>
        <w:t xml:space="preserve"> will</w:t>
      </w:r>
      <w:r w:rsidRPr="00385574">
        <w:t xml:space="preserve"> include </w:t>
      </w:r>
      <w:r>
        <w:t xml:space="preserve">closely </w:t>
      </w:r>
      <w:r w:rsidRPr="002B1F3E">
        <w:t>monitor</w:t>
      </w:r>
      <w:r>
        <w:t>ing</w:t>
      </w:r>
      <w:r w:rsidRPr="002B1F3E">
        <w:t xml:space="preserve"> and engag</w:t>
      </w:r>
      <w:r>
        <w:t>ing</w:t>
      </w:r>
      <w:r w:rsidRPr="002B1F3E">
        <w:t xml:space="preserve"> with </w:t>
      </w:r>
      <w:r>
        <w:t xml:space="preserve">all </w:t>
      </w:r>
      <w:r w:rsidRPr="002B1F3E">
        <w:t xml:space="preserve">implementation partners, </w:t>
      </w:r>
      <w:r>
        <w:t>Indonesian government, and other stakeholders.</w:t>
      </w:r>
      <w:r w:rsidRPr="00385574">
        <w:t xml:space="preserve"> </w:t>
      </w:r>
      <w:r>
        <w:t xml:space="preserve">The program will develop a targeted </w:t>
      </w:r>
      <w:r w:rsidRPr="002B1F3E">
        <w:t>perform</w:t>
      </w:r>
      <w:r>
        <w:t>ance assessment framework to sit across all activities to improve strategic monitoring and evaluation of progress and results.  We will draw on this information to inform out future approach to climate change as part of the new Aid Investment Plan.</w:t>
      </w:r>
      <w:r w:rsidRPr="002B1F3E">
        <w:t xml:space="preserve">  </w:t>
      </w:r>
    </w:p>
    <w:p w:rsidR="00286E45" w:rsidRPr="00914DCC" w:rsidRDefault="00286E45" w:rsidP="00286E45">
      <w:pPr>
        <w:pStyle w:val="NumberedList1"/>
        <w:numPr>
          <w:ilvl w:val="0"/>
          <w:numId w:val="0"/>
        </w:numPr>
      </w:pPr>
      <w:r w:rsidRPr="00914DCC">
        <w:t>We have also identified areas requiring management action across the broader country program:</w:t>
      </w:r>
    </w:p>
    <w:p w:rsidR="00286E45" w:rsidRPr="00914DCC" w:rsidRDefault="00286E45" w:rsidP="00286E45">
      <w:pPr>
        <w:pStyle w:val="NumberedList1"/>
        <w:numPr>
          <w:ilvl w:val="0"/>
          <w:numId w:val="2"/>
        </w:numPr>
      </w:pPr>
      <w:r w:rsidRPr="00914DCC">
        <w:rPr>
          <w:b/>
        </w:rPr>
        <w:t>Strategy:</w:t>
      </w:r>
      <w:r w:rsidRPr="00914DCC">
        <w:t xml:space="preserve"> </w:t>
      </w:r>
      <w:r w:rsidR="0049045F">
        <w:t>T</w:t>
      </w:r>
      <w:r>
        <w:t>he development of Australia’s next Aid Investment Plan that will be informed by Indonesia’s next National Medium</w:t>
      </w:r>
      <w:r w:rsidR="002A202F">
        <w:t>-</w:t>
      </w:r>
      <w:r>
        <w:t>Term Development Plan 2020-24</w:t>
      </w:r>
      <w:r w:rsidRPr="00914DCC">
        <w:t>. We will continue to engage closely with the Indonesian Government on how best to position Australia’s assistance going forward, drawing on</w:t>
      </w:r>
      <w:r>
        <w:t xml:space="preserve"> </w:t>
      </w:r>
      <w:r w:rsidRPr="00914DCC">
        <w:t xml:space="preserve">results and lessons from our existing portfolio of investments. </w:t>
      </w:r>
      <w:r>
        <w:t xml:space="preserve">Our new Plan will </w:t>
      </w:r>
      <w:r w:rsidRPr="00914DCC">
        <w:t>respond to Indonesia’s changing needs</w:t>
      </w:r>
      <w:r w:rsidR="00657915">
        <w:t>, our Comprehensive Strategic Partnership,</w:t>
      </w:r>
      <w:r w:rsidRPr="00914DCC">
        <w:t xml:space="preserve"> and Australia’s own </w:t>
      </w:r>
      <w:r w:rsidR="002E38E6">
        <w:t xml:space="preserve">Foreign Policy </w:t>
      </w:r>
      <w:r w:rsidRPr="00914DCC">
        <w:t>White Paper priorities.</w:t>
      </w:r>
      <w:r>
        <w:t xml:space="preserve"> We will look to strategically position investmen</w:t>
      </w:r>
      <w:r w:rsidR="006E5EEA">
        <w:t>ts to meet our shared interests, while minimising overhead costs by further rationalising investments.</w:t>
      </w:r>
    </w:p>
    <w:p w:rsidR="00286E45" w:rsidRDefault="00286E45" w:rsidP="00286E45">
      <w:pPr>
        <w:pStyle w:val="NumberedList1"/>
        <w:numPr>
          <w:ilvl w:val="0"/>
          <w:numId w:val="2"/>
        </w:numPr>
      </w:pPr>
      <w:r w:rsidRPr="00914DCC">
        <w:rPr>
          <w:b/>
        </w:rPr>
        <w:t xml:space="preserve">Gender </w:t>
      </w:r>
      <w:r w:rsidRPr="00537DA5">
        <w:rPr>
          <w:b/>
        </w:rPr>
        <w:t>equality</w:t>
      </w:r>
      <w:r w:rsidRPr="00537DA5">
        <w:t>:</w:t>
      </w:r>
      <w:r w:rsidRPr="00914DCC">
        <w:t xml:space="preserve"> </w:t>
      </w:r>
      <w:r>
        <w:t xml:space="preserve"> Gender equality will remain a high priority as we look to further strengthen our programming and policy influence in this area. We will review our Gender Action Plan to ensure its continuing relevance and effectiveness in maintaining senior level engagement and accountability in achieving gender equality outcomes. We will better coordinate our programs to achieve greater policy influence in areas of child marriage and women’s economic empowerment consistent with the Indonesian Government’s future policy focus on preventing child marriage and increasing human capital. This work will also inform the design of our new GESI </w:t>
      </w:r>
      <w:r w:rsidR="00657915">
        <w:t>and CSO s</w:t>
      </w:r>
      <w:r w:rsidR="004F2B7A">
        <w:t xml:space="preserve">trengthening </w:t>
      </w:r>
      <w:r w:rsidR="00657915">
        <w:t>i</w:t>
      </w:r>
      <w:r>
        <w:t>nvestment throughout 2019-20</w:t>
      </w:r>
      <w:r w:rsidRPr="00537DA5">
        <w:t>.</w:t>
      </w:r>
    </w:p>
    <w:p w:rsidR="00EF313B" w:rsidRDefault="00286E45" w:rsidP="0001341F">
      <w:pPr>
        <w:pStyle w:val="NumberedList1"/>
        <w:numPr>
          <w:ilvl w:val="0"/>
          <w:numId w:val="2"/>
        </w:numPr>
      </w:pPr>
      <w:r>
        <w:rPr>
          <w:b/>
          <w:bCs/>
        </w:rPr>
        <w:t xml:space="preserve">Policy </w:t>
      </w:r>
      <w:r w:rsidR="003253C5">
        <w:rPr>
          <w:b/>
          <w:bCs/>
        </w:rPr>
        <w:t>Engagement</w:t>
      </w:r>
      <w:r>
        <w:rPr>
          <w:b/>
          <w:bCs/>
        </w:rPr>
        <w:t xml:space="preserve">:  </w:t>
      </w:r>
      <w:r w:rsidR="0049045F">
        <w:rPr>
          <w:bCs/>
        </w:rPr>
        <w:t>W</w:t>
      </w:r>
      <w:r w:rsidR="00657915">
        <w:rPr>
          <w:bCs/>
        </w:rPr>
        <w:t xml:space="preserve">e will evaluate the program’s work in supporting Indonesian policy reform over the last several years drawing in part on the data available from our performance assessment framework. The purpose of the evaluation </w:t>
      </w:r>
      <w:r w:rsidR="00657915">
        <w:t>will be to learn</w:t>
      </w:r>
      <w:r w:rsidR="00657915" w:rsidRPr="000F096E">
        <w:t xml:space="preserve"> </w:t>
      </w:r>
      <w:r w:rsidR="00657915">
        <w:t>why reforms succeed or fail and how we can apply these lessons to improve the effectiveness of development assistance in supporting Indonesia’s policy reform efforts into the future.</w:t>
      </w:r>
    </w:p>
    <w:p w:rsidR="001C3771" w:rsidRDefault="001C3771">
      <w:pPr>
        <w:suppressAutoHyphens w:val="0"/>
        <w:spacing w:before="0" w:after="120" w:line="440" w:lineRule="atLeast"/>
      </w:pPr>
      <w:r>
        <w:br w:type="page"/>
      </w:r>
    </w:p>
    <w:p w:rsidR="006E5EEA" w:rsidRDefault="006E5EEA" w:rsidP="006E5EEA">
      <w:pPr>
        <w:pStyle w:val="NumberedList1"/>
        <w:numPr>
          <w:ilvl w:val="0"/>
          <w:numId w:val="0"/>
        </w:numPr>
        <w:ind w:left="284" w:hanging="284"/>
      </w:pPr>
    </w:p>
    <w:p w:rsidR="002A51CA" w:rsidRPr="002A51CA" w:rsidRDefault="002A51CA" w:rsidP="002A51CA">
      <w:pPr>
        <w:pStyle w:val="Heading2"/>
      </w:pPr>
      <w:r w:rsidRPr="002A51CA">
        <w:t>Risks</w:t>
      </w:r>
    </w:p>
    <w:p w:rsidR="002A51CA" w:rsidRDefault="002A51CA" w:rsidP="002A51CA">
      <w:pPr>
        <w:rPr>
          <w:b/>
          <w:sz w:val="24"/>
        </w:rPr>
      </w:pPr>
      <w:r w:rsidRPr="008C2F58">
        <w:rPr>
          <w:b/>
          <w:sz w:val="24"/>
        </w:rPr>
        <w:t>Table 3</w:t>
      </w:r>
      <w:r w:rsidR="00332EC9">
        <w:rPr>
          <w:b/>
          <w:sz w:val="24"/>
        </w:rPr>
        <w:t>:</w:t>
      </w:r>
      <w:r w:rsidRPr="008C2F58">
        <w:rPr>
          <w:b/>
          <w:sz w:val="24"/>
        </w:rPr>
        <w:t xml:space="preserve"> Management of Key Risks to Achieving Objectives</w:t>
      </w:r>
    </w:p>
    <w:tbl>
      <w:tblPr>
        <w:tblStyle w:val="APPR"/>
        <w:tblpPr w:leftFromText="180" w:rightFromText="180" w:vertAnchor="text" w:horzAnchor="margin" w:tblpY="126"/>
        <w:tblW w:w="5376" w:type="pct"/>
        <w:tblBorders>
          <w:top w:val="none" w:sz="0" w:space="0" w:color="auto"/>
          <w:bottom w:val="none" w:sz="0" w:space="0" w:color="auto"/>
        </w:tblBorders>
        <w:tblLook w:val="0600" w:firstRow="0" w:lastRow="0" w:firstColumn="0" w:lastColumn="0" w:noHBand="1" w:noVBand="1"/>
      </w:tblPr>
      <w:tblGrid>
        <w:gridCol w:w="2458"/>
        <w:gridCol w:w="2924"/>
        <w:gridCol w:w="2435"/>
        <w:gridCol w:w="1525"/>
        <w:gridCol w:w="1010"/>
      </w:tblGrid>
      <w:tr w:rsidR="00286E45" w:rsidRPr="00C61187" w:rsidTr="00286E45">
        <w:trPr>
          <w:trHeight w:val="1097"/>
        </w:trPr>
        <w:tc>
          <w:tcPr>
            <w:tcW w:w="2416" w:type="dxa"/>
            <w:tcBorders>
              <w:top w:val="single" w:sz="4" w:space="0" w:color="auto"/>
              <w:left w:val="single" w:sz="4" w:space="0" w:color="auto"/>
              <w:bottom w:val="single" w:sz="4" w:space="0" w:color="auto"/>
              <w:right w:val="single" w:sz="4" w:space="0" w:color="auto"/>
            </w:tcBorders>
            <w:hideMark/>
          </w:tcPr>
          <w:p w:rsidR="00286E45" w:rsidRPr="009F4EA9" w:rsidRDefault="00286E45" w:rsidP="00286E45">
            <w:pPr>
              <w:rPr>
                <w:rFonts w:asciiTheme="minorHAnsi" w:hAnsiTheme="minorHAnsi"/>
                <w:b/>
              </w:rPr>
            </w:pPr>
            <w:r w:rsidRPr="009F4EA9">
              <w:rPr>
                <w:rFonts w:asciiTheme="minorHAnsi" w:hAnsiTheme="minorHAnsi"/>
                <w:b/>
              </w:rPr>
              <w:t>Key risk</w:t>
            </w:r>
            <w:r>
              <w:rPr>
                <w:rFonts w:asciiTheme="minorHAnsi" w:hAnsiTheme="minorHAnsi"/>
                <w:b/>
              </w:rPr>
              <w:t>s</w:t>
            </w:r>
          </w:p>
        </w:tc>
        <w:tc>
          <w:tcPr>
            <w:tcW w:w="2896" w:type="dxa"/>
            <w:tcBorders>
              <w:top w:val="single" w:sz="4" w:space="0" w:color="auto"/>
              <w:left w:val="single" w:sz="4" w:space="0" w:color="auto"/>
              <w:bottom w:val="single" w:sz="4" w:space="0" w:color="auto"/>
              <w:right w:val="single" w:sz="4" w:space="0" w:color="auto"/>
            </w:tcBorders>
          </w:tcPr>
          <w:p w:rsidR="00286E45" w:rsidRPr="00BE6C6D" w:rsidRDefault="00286E45" w:rsidP="00286E45">
            <w:pPr>
              <w:rPr>
                <w:rFonts w:asciiTheme="minorHAnsi" w:hAnsiTheme="minorHAnsi"/>
                <w:b/>
              </w:rPr>
            </w:pPr>
            <w:r w:rsidRPr="00BE6C6D">
              <w:rPr>
                <w:rFonts w:asciiTheme="minorHAnsi" w:hAnsiTheme="minorHAnsi"/>
                <w:b/>
              </w:rPr>
              <w:t>What actions were taken to manage the risks over the past year?</w:t>
            </w:r>
          </w:p>
        </w:tc>
        <w:tc>
          <w:tcPr>
            <w:tcW w:w="2407" w:type="dxa"/>
            <w:tcBorders>
              <w:top w:val="single" w:sz="4" w:space="0" w:color="auto"/>
              <w:left w:val="single" w:sz="4" w:space="0" w:color="auto"/>
              <w:bottom w:val="single" w:sz="4" w:space="0" w:color="auto"/>
              <w:right w:val="single" w:sz="4" w:space="0" w:color="auto"/>
            </w:tcBorders>
          </w:tcPr>
          <w:p w:rsidR="00286E45" w:rsidRPr="00BE6C6D" w:rsidRDefault="00286E45" w:rsidP="00286E45">
            <w:pPr>
              <w:rPr>
                <w:rFonts w:asciiTheme="minorHAnsi" w:hAnsiTheme="minorHAnsi"/>
                <w:b/>
              </w:rPr>
            </w:pPr>
            <w:r w:rsidRPr="00BE6C6D">
              <w:rPr>
                <w:rFonts w:asciiTheme="minorHAnsi" w:hAnsiTheme="minorHAnsi"/>
                <w:b/>
              </w:rPr>
              <w:t>What further actions will be taken to manage the risks in the coming year?</w:t>
            </w:r>
          </w:p>
        </w:tc>
        <w:tc>
          <w:tcPr>
            <w:tcW w:w="1497" w:type="dxa"/>
            <w:tcBorders>
              <w:top w:val="single" w:sz="4" w:space="0" w:color="auto"/>
              <w:left w:val="single" w:sz="4" w:space="0" w:color="auto"/>
              <w:bottom w:val="single" w:sz="4" w:space="0" w:color="auto"/>
              <w:right w:val="single" w:sz="4" w:space="0" w:color="auto"/>
            </w:tcBorders>
          </w:tcPr>
          <w:p w:rsidR="00286E45" w:rsidRPr="00BE6C6D" w:rsidRDefault="00286E45" w:rsidP="00286E45">
            <w:pPr>
              <w:rPr>
                <w:rFonts w:asciiTheme="minorHAnsi" w:hAnsiTheme="minorHAnsi"/>
                <w:b/>
              </w:rPr>
            </w:pPr>
            <w:r w:rsidRPr="00BE6C6D">
              <w:rPr>
                <w:rFonts w:asciiTheme="minorHAnsi" w:hAnsiTheme="minorHAnsi"/>
                <w:b/>
              </w:rPr>
              <w:t>For emerging/ongoing risks provide a Risk Rating (low, medium, high, very high)</w:t>
            </w:r>
          </w:p>
        </w:tc>
        <w:tc>
          <w:tcPr>
            <w:tcW w:w="968" w:type="dxa"/>
            <w:tcBorders>
              <w:top w:val="single" w:sz="4" w:space="0" w:color="auto"/>
              <w:left w:val="single" w:sz="4" w:space="0" w:color="auto"/>
              <w:bottom w:val="single" w:sz="4" w:space="0" w:color="auto"/>
              <w:right w:val="single" w:sz="4" w:space="0" w:color="auto"/>
            </w:tcBorders>
          </w:tcPr>
          <w:p w:rsidR="00286E45" w:rsidRPr="00BE6C6D" w:rsidRDefault="00286E45" w:rsidP="00286E45">
            <w:pPr>
              <w:rPr>
                <w:b/>
              </w:rPr>
            </w:pPr>
            <w:r>
              <w:rPr>
                <w:b/>
              </w:rPr>
              <w:t>Are these risks in Post’s Risk Register (Yes/No)*</w:t>
            </w:r>
          </w:p>
        </w:tc>
      </w:tr>
      <w:tr w:rsidR="00286E45" w:rsidRPr="00C61187" w:rsidTr="00286E45">
        <w:tc>
          <w:tcPr>
            <w:tcW w:w="2416" w:type="dxa"/>
            <w:tcBorders>
              <w:top w:val="single" w:sz="4" w:space="0" w:color="auto"/>
              <w:left w:val="single" w:sz="4" w:space="0" w:color="auto"/>
              <w:bottom w:val="single" w:sz="4" w:space="0" w:color="auto"/>
              <w:right w:val="single" w:sz="4" w:space="0" w:color="auto"/>
            </w:tcBorders>
            <w:hideMark/>
          </w:tcPr>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r w:rsidRPr="008E051B">
              <w:rPr>
                <w:rFonts w:asciiTheme="minorHAnsi" w:hAnsiTheme="minorHAnsi" w:cs="Arial"/>
                <w:sz w:val="20"/>
                <w:szCs w:val="20"/>
              </w:rPr>
              <w:t>The Indonesia aid program is perceived as ineffective, not relevant, or poor value for money</w:t>
            </w: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r>
              <w:rPr>
                <w:rFonts w:asciiTheme="minorHAnsi" w:hAnsiTheme="minorHAnsi" w:cs="Arial"/>
                <w:sz w:val="20"/>
                <w:szCs w:val="20"/>
              </w:rPr>
              <w:t>Budget uncertainty reduces Indonesia’s trust in the partnership and damages Australia’s reputation</w:t>
            </w: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1F2B23"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r w:rsidRPr="008E051B">
              <w:rPr>
                <w:rFonts w:asciiTheme="minorHAnsi" w:hAnsiTheme="minorHAnsi" w:cs="Arial"/>
                <w:sz w:val="20"/>
                <w:szCs w:val="20"/>
              </w:rPr>
              <w:t xml:space="preserve">Lack of trust or misunderstandings in our relationships with key Indonesia </w:t>
            </w:r>
            <w:r w:rsidR="004F2B7A">
              <w:rPr>
                <w:rFonts w:asciiTheme="minorHAnsi" w:hAnsiTheme="minorHAnsi" w:cs="Arial"/>
                <w:sz w:val="20"/>
                <w:szCs w:val="20"/>
              </w:rPr>
              <w:t xml:space="preserve">government </w:t>
            </w:r>
            <w:r w:rsidRPr="008E051B">
              <w:rPr>
                <w:rFonts w:asciiTheme="minorHAnsi" w:hAnsiTheme="minorHAnsi" w:cs="Arial"/>
                <w:sz w:val="20"/>
                <w:szCs w:val="20"/>
              </w:rPr>
              <w:t xml:space="preserve">partners </w:t>
            </w: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Default="00286E45" w:rsidP="00286E45">
            <w:pPr>
              <w:suppressAutoHyphens w:val="0"/>
              <w:autoSpaceDE w:val="0"/>
              <w:autoSpaceDN w:val="0"/>
              <w:adjustRightInd w:val="0"/>
              <w:spacing w:before="0" w:after="0" w:line="240" w:lineRule="auto"/>
              <w:rPr>
                <w:rFonts w:asciiTheme="minorHAnsi" w:hAnsiTheme="minorHAnsi" w:cs="Arial"/>
                <w:sz w:val="20"/>
                <w:szCs w:val="20"/>
              </w:rPr>
            </w:pPr>
          </w:p>
          <w:p w:rsidR="00286E45" w:rsidRPr="008E051B" w:rsidRDefault="00286E45" w:rsidP="00286E45">
            <w:pPr>
              <w:suppressAutoHyphens w:val="0"/>
              <w:autoSpaceDE w:val="0"/>
              <w:autoSpaceDN w:val="0"/>
              <w:adjustRightInd w:val="0"/>
              <w:spacing w:before="0" w:after="0" w:line="240" w:lineRule="auto"/>
              <w:rPr>
                <w:rFonts w:asciiTheme="minorHAnsi" w:hAnsiTheme="minorHAnsi"/>
                <w:sz w:val="20"/>
                <w:szCs w:val="20"/>
              </w:rPr>
            </w:pPr>
            <w:r w:rsidRPr="008E051B">
              <w:rPr>
                <w:rFonts w:asciiTheme="minorHAnsi" w:hAnsiTheme="minorHAnsi" w:cs="Arial"/>
                <w:sz w:val="20"/>
                <w:szCs w:val="20"/>
              </w:rPr>
              <w:t>Failure to comply with standards and safeguards, puts aid program outcomes at risk.</w:t>
            </w:r>
          </w:p>
        </w:tc>
        <w:tc>
          <w:tcPr>
            <w:tcW w:w="2896" w:type="dxa"/>
            <w:tcBorders>
              <w:top w:val="single" w:sz="4" w:space="0" w:color="auto"/>
              <w:left w:val="single" w:sz="4" w:space="0" w:color="auto"/>
              <w:bottom w:val="single" w:sz="4" w:space="0" w:color="auto"/>
              <w:right w:val="single" w:sz="4" w:space="0" w:color="auto"/>
            </w:tcBorders>
          </w:tcPr>
          <w:p w:rsidR="00286E45" w:rsidRDefault="00286E45" w:rsidP="00286E45">
            <w:pPr>
              <w:rPr>
                <w:rFonts w:asciiTheme="minorHAnsi" w:hAnsiTheme="minorHAnsi"/>
                <w:sz w:val="20"/>
                <w:szCs w:val="20"/>
              </w:rPr>
            </w:pPr>
            <w:r w:rsidRPr="008E051B">
              <w:rPr>
                <w:rFonts w:asciiTheme="minorHAnsi" w:hAnsiTheme="minorHAnsi"/>
                <w:sz w:val="20"/>
                <w:szCs w:val="20"/>
              </w:rPr>
              <w:t xml:space="preserve">We </w:t>
            </w:r>
            <w:r>
              <w:rPr>
                <w:rFonts w:asciiTheme="minorHAnsi" w:hAnsiTheme="minorHAnsi"/>
                <w:sz w:val="20"/>
                <w:szCs w:val="20"/>
              </w:rPr>
              <w:t>continued refining</w:t>
            </w:r>
            <w:r w:rsidRPr="008E051B">
              <w:rPr>
                <w:rFonts w:asciiTheme="minorHAnsi" w:hAnsiTheme="minorHAnsi"/>
                <w:sz w:val="20"/>
                <w:szCs w:val="20"/>
              </w:rPr>
              <w:t xml:space="preserve"> </w:t>
            </w:r>
            <w:r>
              <w:rPr>
                <w:rFonts w:asciiTheme="minorHAnsi" w:hAnsiTheme="minorHAnsi"/>
                <w:sz w:val="20"/>
                <w:szCs w:val="20"/>
              </w:rPr>
              <w:t>the</w:t>
            </w:r>
            <w:r w:rsidRPr="008E051B">
              <w:rPr>
                <w:rFonts w:asciiTheme="minorHAnsi" w:hAnsiTheme="minorHAnsi"/>
                <w:sz w:val="20"/>
                <w:szCs w:val="20"/>
              </w:rPr>
              <w:t xml:space="preserve"> Performance Assessment Framework </w:t>
            </w:r>
            <w:r>
              <w:rPr>
                <w:rFonts w:asciiTheme="minorHAnsi" w:hAnsiTheme="minorHAnsi"/>
                <w:sz w:val="20"/>
                <w:szCs w:val="20"/>
              </w:rPr>
              <w:t>with a</w:t>
            </w:r>
            <w:r w:rsidRPr="008E051B">
              <w:rPr>
                <w:rFonts w:asciiTheme="minorHAnsi" w:hAnsiTheme="minorHAnsi"/>
                <w:sz w:val="20"/>
                <w:szCs w:val="20"/>
              </w:rPr>
              <w:t xml:space="preserve"> </w:t>
            </w:r>
            <w:r>
              <w:rPr>
                <w:rFonts w:asciiTheme="minorHAnsi" w:hAnsiTheme="minorHAnsi"/>
                <w:sz w:val="20"/>
                <w:szCs w:val="20"/>
              </w:rPr>
              <w:t xml:space="preserve">focus on </w:t>
            </w:r>
            <w:r w:rsidRPr="008E051B">
              <w:rPr>
                <w:rFonts w:asciiTheme="minorHAnsi" w:hAnsiTheme="minorHAnsi"/>
                <w:sz w:val="20"/>
                <w:szCs w:val="20"/>
              </w:rPr>
              <w:t>monitor</w:t>
            </w:r>
            <w:r>
              <w:rPr>
                <w:rFonts w:asciiTheme="minorHAnsi" w:hAnsiTheme="minorHAnsi"/>
                <w:sz w:val="20"/>
                <w:szCs w:val="20"/>
              </w:rPr>
              <w:t>ing</w:t>
            </w:r>
            <w:r w:rsidRPr="008E051B">
              <w:rPr>
                <w:rFonts w:asciiTheme="minorHAnsi" w:hAnsiTheme="minorHAnsi"/>
                <w:sz w:val="20"/>
                <w:szCs w:val="20"/>
              </w:rPr>
              <w:t xml:space="preserve"> </w:t>
            </w:r>
            <w:r>
              <w:rPr>
                <w:rFonts w:asciiTheme="minorHAnsi" w:hAnsiTheme="minorHAnsi"/>
                <w:sz w:val="20"/>
                <w:szCs w:val="20"/>
              </w:rPr>
              <w:t xml:space="preserve">the </w:t>
            </w:r>
            <w:r w:rsidRPr="008E051B">
              <w:rPr>
                <w:rFonts w:asciiTheme="minorHAnsi" w:hAnsiTheme="minorHAnsi"/>
                <w:sz w:val="20"/>
                <w:szCs w:val="20"/>
              </w:rPr>
              <w:t>program</w:t>
            </w:r>
            <w:r>
              <w:rPr>
                <w:rFonts w:asciiTheme="minorHAnsi" w:hAnsiTheme="minorHAnsi"/>
                <w:sz w:val="20"/>
                <w:szCs w:val="20"/>
              </w:rPr>
              <w:t>’s</w:t>
            </w:r>
            <w:r w:rsidRPr="008E051B">
              <w:rPr>
                <w:rFonts w:asciiTheme="minorHAnsi" w:hAnsiTheme="minorHAnsi"/>
                <w:sz w:val="20"/>
                <w:szCs w:val="20"/>
              </w:rPr>
              <w:t xml:space="preserve"> </w:t>
            </w:r>
            <w:r>
              <w:rPr>
                <w:rFonts w:asciiTheme="minorHAnsi" w:hAnsiTheme="minorHAnsi"/>
                <w:sz w:val="20"/>
                <w:szCs w:val="20"/>
              </w:rPr>
              <w:t xml:space="preserve">impact on policy and system improvements and financial leverage. </w:t>
            </w:r>
          </w:p>
          <w:p w:rsidR="00286E45" w:rsidRDefault="00286E45" w:rsidP="00286E45">
            <w:pPr>
              <w:rPr>
                <w:rFonts w:asciiTheme="minorHAnsi" w:hAnsiTheme="minorHAnsi"/>
                <w:sz w:val="20"/>
                <w:szCs w:val="20"/>
              </w:rPr>
            </w:pPr>
            <w:r>
              <w:rPr>
                <w:rFonts w:asciiTheme="minorHAnsi" w:hAnsiTheme="minorHAnsi"/>
                <w:sz w:val="20"/>
                <w:szCs w:val="20"/>
              </w:rPr>
              <w:t xml:space="preserve">We promoted lessons from successful pilots that were scaled up to larger development programs by Indonesian government. </w:t>
            </w:r>
          </w:p>
          <w:p w:rsidR="00286E45" w:rsidRDefault="00286E45" w:rsidP="00286E45">
            <w:pPr>
              <w:rPr>
                <w:rFonts w:asciiTheme="minorHAnsi" w:hAnsiTheme="minorHAnsi"/>
                <w:sz w:val="20"/>
                <w:szCs w:val="20"/>
              </w:rPr>
            </w:pPr>
            <w:r>
              <w:rPr>
                <w:rFonts w:asciiTheme="minorHAnsi" w:hAnsiTheme="minorHAnsi"/>
                <w:sz w:val="20"/>
                <w:szCs w:val="20"/>
              </w:rPr>
              <w:t xml:space="preserve">We ensured good communication of budget changes and constraints to the Indonesian Government to maintain mutual trust in our partnership. </w:t>
            </w: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r>
              <w:rPr>
                <w:rFonts w:asciiTheme="minorHAnsi" w:hAnsiTheme="minorHAnsi"/>
                <w:sz w:val="20"/>
                <w:szCs w:val="20"/>
              </w:rPr>
              <w:t xml:space="preserve">We held the Senior Officials Meeting (SOM) with Indonesian officials to reinforce our development partnership. </w:t>
            </w:r>
          </w:p>
          <w:p w:rsidR="00286E45" w:rsidRDefault="00286E45" w:rsidP="00286E45">
            <w:pPr>
              <w:rPr>
                <w:rFonts w:asciiTheme="minorHAnsi" w:hAnsiTheme="minorHAnsi"/>
                <w:sz w:val="20"/>
                <w:szCs w:val="20"/>
              </w:rPr>
            </w:pPr>
            <w:r>
              <w:rPr>
                <w:rFonts w:asciiTheme="minorHAnsi" w:hAnsiTheme="minorHAnsi"/>
                <w:sz w:val="20"/>
                <w:szCs w:val="20"/>
              </w:rPr>
              <w:t>We managed program branding and activities to avoid political misperceptions during Indonesia’s election process</w:t>
            </w:r>
          </w:p>
          <w:p w:rsidR="00286E45" w:rsidRPr="008E051B"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r>
              <w:rPr>
                <w:rFonts w:asciiTheme="minorHAnsi" w:hAnsiTheme="minorHAnsi"/>
                <w:sz w:val="20"/>
                <w:szCs w:val="20"/>
              </w:rPr>
              <w:t>We conducted compliance audits and spot checks to ensure fraud risk management in place and appropriate spending.</w:t>
            </w:r>
          </w:p>
          <w:p w:rsidR="00286E45" w:rsidRPr="008E051B" w:rsidRDefault="00286E45" w:rsidP="004F2B7A">
            <w:pPr>
              <w:rPr>
                <w:rFonts w:asciiTheme="minorHAnsi" w:hAnsiTheme="minorHAnsi"/>
                <w:sz w:val="20"/>
                <w:szCs w:val="20"/>
              </w:rPr>
            </w:pPr>
            <w:r>
              <w:rPr>
                <w:rFonts w:asciiTheme="minorHAnsi" w:hAnsiTheme="minorHAnsi"/>
                <w:sz w:val="20"/>
                <w:szCs w:val="20"/>
              </w:rPr>
              <w:t xml:space="preserve">We rebalanced our human resources to ensure we </w:t>
            </w:r>
            <w:r w:rsidR="004F2B7A">
              <w:rPr>
                <w:rFonts w:asciiTheme="minorHAnsi" w:hAnsiTheme="minorHAnsi"/>
                <w:sz w:val="20"/>
                <w:szCs w:val="20"/>
              </w:rPr>
              <w:t>met</w:t>
            </w:r>
            <w:r>
              <w:rPr>
                <w:rFonts w:asciiTheme="minorHAnsi" w:hAnsiTheme="minorHAnsi"/>
                <w:sz w:val="20"/>
                <w:szCs w:val="20"/>
              </w:rPr>
              <w:t xml:space="preserve"> program objectives while complying with DFAT policies and safeguards.</w:t>
            </w:r>
          </w:p>
        </w:tc>
        <w:tc>
          <w:tcPr>
            <w:tcW w:w="2407" w:type="dxa"/>
            <w:tcBorders>
              <w:top w:val="single" w:sz="4" w:space="0" w:color="auto"/>
              <w:left w:val="single" w:sz="4" w:space="0" w:color="auto"/>
              <w:bottom w:val="single" w:sz="4" w:space="0" w:color="auto"/>
              <w:right w:val="single" w:sz="4" w:space="0" w:color="auto"/>
            </w:tcBorders>
          </w:tcPr>
          <w:p w:rsidR="00286E45" w:rsidRDefault="00286E45" w:rsidP="00286E45">
            <w:pPr>
              <w:rPr>
                <w:rFonts w:asciiTheme="minorHAnsi" w:hAnsiTheme="minorHAnsi"/>
                <w:sz w:val="20"/>
                <w:szCs w:val="20"/>
              </w:rPr>
            </w:pPr>
            <w:r>
              <w:rPr>
                <w:rFonts w:asciiTheme="minorHAnsi" w:hAnsiTheme="minorHAnsi"/>
                <w:sz w:val="20"/>
                <w:szCs w:val="20"/>
              </w:rPr>
              <w:t xml:space="preserve">We will continue to generate evidence of development impact through our programs and policy engagement. We will also prepare a new Aid Investment Plan (AIP) in 2019-20 to revisit and reflect priorities of both governments. </w:t>
            </w: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r>
              <w:rPr>
                <w:rFonts w:asciiTheme="minorHAnsi" w:hAnsiTheme="minorHAnsi"/>
                <w:sz w:val="20"/>
                <w:szCs w:val="20"/>
              </w:rPr>
              <w:t>We will identify opportunities for greater efficiency, including consolidation of our investment portfolio.</w:t>
            </w:r>
          </w:p>
          <w:p w:rsidR="00286E45" w:rsidRDefault="00286E45" w:rsidP="00286E45">
            <w:pPr>
              <w:rPr>
                <w:rFonts w:asciiTheme="minorHAnsi" w:hAnsiTheme="minorHAnsi"/>
                <w:sz w:val="20"/>
                <w:szCs w:val="20"/>
              </w:rPr>
            </w:pPr>
          </w:p>
          <w:p w:rsidR="00657915" w:rsidRPr="001F2B23" w:rsidRDefault="00657915" w:rsidP="00657915">
            <w:pPr>
              <w:rPr>
                <w:rFonts w:asciiTheme="minorHAnsi" w:hAnsiTheme="minorHAnsi"/>
                <w:sz w:val="20"/>
                <w:szCs w:val="20"/>
              </w:rPr>
            </w:pPr>
            <w:r>
              <w:rPr>
                <w:rFonts w:asciiTheme="minorHAnsi" w:hAnsiTheme="minorHAnsi"/>
                <w:sz w:val="20"/>
                <w:szCs w:val="20"/>
              </w:rPr>
              <w:t>We will hold the next SOM in early 2020 and ensure ongoing alignment of our development assistan</w:t>
            </w:r>
            <w:r w:rsidR="002A202F">
              <w:rPr>
                <w:rFonts w:asciiTheme="minorHAnsi" w:hAnsiTheme="minorHAnsi"/>
                <w:sz w:val="20"/>
                <w:szCs w:val="20"/>
              </w:rPr>
              <w:t>ce with Indonesia’s next medium-</w:t>
            </w:r>
            <w:r>
              <w:rPr>
                <w:rFonts w:asciiTheme="minorHAnsi" w:hAnsiTheme="minorHAnsi"/>
                <w:sz w:val="20"/>
                <w:szCs w:val="20"/>
              </w:rPr>
              <w:t>term development plan, including through the new Aid Investment Plan</w:t>
            </w:r>
          </w:p>
          <w:p w:rsidR="00657915" w:rsidRDefault="00657915" w:rsidP="00657915">
            <w:pPr>
              <w:rPr>
                <w:rFonts w:asciiTheme="minorHAnsi" w:hAnsiTheme="minorHAnsi"/>
                <w:sz w:val="20"/>
                <w:szCs w:val="20"/>
              </w:rPr>
            </w:pPr>
          </w:p>
          <w:p w:rsidR="00286E45" w:rsidRPr="008E051B" w:rsidRDefault="00657915" w:rsidP="00657915">
            <w:pPr>
              <w:rPr>
                <w:rFonts w:asciiTheme="minorHAnsi" w:hAnsiTheme="minorHAnsi"/>
                <w:sz w:val="20"/>
                <w:szCs w:val="20"/>
              </w:rPr>
            </w:pPr>
            <w:r>
              <w:rPr>
                <w:rFonts w:asciiTheme="minorHAnsi" w:hAnsiTheme="minorHAnsi"/>
                <w:sz w:val="20"/>
                <w:szCs w:val="20"/>
              </w:rPr>
              <w:t>W</w:t>
            </w:r>
            <w:r w:rsidRPr="00AB5A5B">
              <w:rPr>
                <w:rFonts w:asciiTheme="minorHAnsi" w:hAnsiTheme="minorHAnsi"/>
                <w:sz w:val="20"/>
                <w:szCs w:val="20"/>
              </w:rPr>
              <w:t xml:space="preserve">e will continue to </w:t>
            </w:r>
            <w:r>
              <w:rPr>
                <w:rFonts w:asciiTheme="minorHAnsi" w:hAnsiTheme="minorHAnsi"/>
                <w:sz w:val="20"/>
                <w:szCs w:val="20"/>
              </w:rPr>
              <w:t>undertake</w:t>
            </w:r>
            <w:r w:rsidRPr="00AB5A5B">
              <w:rPr>
                <w:rFonts w:asciiTheme="minorHAnsi" w:hAnsiTheme="minorHAnsi"/>
                <w:sz w:val="20"/>
                <w:szCs w:val="20"/>
              </w:rPr>
              <w:t xml:space="preserve"> periodic compliance audits and spot checks of program expenditure</w:t>
            </w:r>
            <w:r>
              <w:rPr>
                <w:rFonts w:asciiTheme="minorHAnsi" w:hAnsiTheme="minorHAnsi"/>
                <w:sz w:val="20"/>
                <w:szCs w:val="20"/>
              </w:rPr>
              <w:t xml:space="preserve"> and implementation</w:t>
            </w:r>
            <w:r w:rsidRPr="00AB5A5B">
              <w:rPr>
                <w:rFonts w:asciiTheme="minorHAnsi" w:hAnsiTheme="minorHAnsi"/>
                <w:sz w:val="20"/>
                <w:szCs w:val="20"/>
              </w:rPr>
              <w:t>. </w:t>
            </w:r>
          </w:p>
        </w:tc>
        <w:tc>
          <w:tcPr>
            <w:tcW w:w="1497" w:type="dxa"/>
            <w:tcBorders>
              <w:top w:val="single" w:sz="4" w:space="0" w:color="auto"/>
              <w:left w:val="single" w:sz="4" w:space="0" w:color="auto"/>
              <w:bottom w:val="single" w:sz="4" w:space="0" w:color="auto"/>
              <w:right w:val="single" w:sz="4" w:space="0" w:color="auto"/>
            </w:tcBorders>
          </w:tcPr>
          <w:p w:rsidR="00286E45" w:rsidRPr="008E051B" w:rsidRDefault="00286E45" w:rsidP="00286E45">
            <w:pPr>
              <w:ind w:right="-469"/>
              <w:rPr>
                <w:rFonts w:asciiTheme="minorHAnsi" w:hAnsiTheme="minorHAnsi"/>
                <w:sz w:val="20"/>
                <w:szCs w:val="20"/>
              </w:rPr>
            </w:pPr>
            <w:r w:rsidRPr="008E051B">
              <w:rPr>
                <w:rFonts w:asciiTheme="minorHAnsi" w:hAnsiTheme="minorHAnsi"/>
                <w:sz w:val="20"/>
                <w:szCs w:val="20"/>
              </w:rPr>
              <w:t>Medium</w:t>
            </w: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1F2B23"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r w:rsidRPr="008E051B">
              <w:rPr>
                <w:rFonts w:asciiTheme="minorHAnsi" w:hAnsiTheme="minorHAnsi"/>
                <w:sz w:val="20"/>
                <w:szCs w:val="20"/>
              </w:rPr>
              <w:t>Medium</w:t>
            </w: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657915" w:rsidRDefault="00657915" w:rsidP="00286E45">
            <w:pPr>
              <w:rPr>
                <w:rFonts w:asciiTheme="minorHAnsi" w:hAnsiTheme="minorHAnsi"/>
                <w:sz w:val="20"/>
                <w:szCs w:val="20"/>
              </w:rPr>
            </w:pPr>
          </w:p>
          <w:p w:rsidR="00657915" w:rsidRDefault="0065791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r>
              <w:rPr>
                <w:rFonts w:asciiTheme="minorHAnsi" w:hAnsiTheme="minorHAnsi"/>
                <w:sz w:val="20"/>
                <w:szCs w:val="20"/>
              </w:rPr>
              <w:t>Medium</w:t>
            </w:r>
          </w:p>
          <w:p w:rsidR="00286E45" w:rsidRPr="001F2B23"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r>
              <w:rPr>
                <w:rFonts w:asciiTheme="minorHAnsi" w:hAnsiTheme="minorHAnsi"/>
                <w:sz w:val="20"/>
                <w:szCs w:val="20"/>
              </w:rPr>
              <w:t>Medium</w:t>
            </w: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tc>
        <w:tc>
          <w:tcPr>
            <w:tcW w:w="968" w:type="dxa"/>
            <w:tcBorders>
              <w:top w:val="single" w:sz="4" w:space="0" w:color="auto"/>
              <w:left w:val="single" w:sz="4" w:space="0" w:color="auto"/>
              <w:bottom w:val="single" w:sz="4" w:space="0" w:color="auto"/>
              <w:right w:val="single" w:sz="4" w:space="0" w:color="auto"/>
            </w:tcBorders>
          </w:tcPr>
          <w:p w:rsidR="00286E45" w:rsidRPr="008E051B" w:rsidRDefault="00286E45" w:rsidP="00286E45">
            <w:pPr>
              <w:rPr>
                <w:rFonts w:asciiTheme="minorHAnsi" w:hAnsiTheme="minorHAnsi"/>
                <w:sz w:val="20"/>
                <w:szCs w:val="20"/>
              </w:rPr>
            </w:pPr>
            <w:r w:rsidRPr="008E051B">
              <w:rPr>
                <w:rFonts w:asciiTheme="minorHAnsi" w:hAnsiTheme="minorHAnsi"/>
                <w:sz w:val="20"/>
                <w:szCs w:val="20"/>
              </w:rPr>
              <w:t>Yes</w:t>
            </w: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1F2B23"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r w:rsidRPr="008E051B">
              <w:rPr>
                <w:rFonts w:asciiTheme="minorHAnsi" w:hAnsiTheme="minorHAnsi"/>
                <w:sz w:val="20"/>
                <w:szCs w:val="20"/>
              </w:rPr>
              <w:t>Yes</w:t>
            </w: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r>
              <w:rPr>
                <w:rFonts w:asciiTheme="minorHAnsi" w:hAnsiTheme="minorHAnsi"/>
                <w:sz w:val="20"/>
                <w:szCs w:val="20"/>
              </w:rPr>
              <w:t>Yes</w:t>
            </w:r>
          </w:p>
          <w:p w:rsidR="00286E45" w:rsidRPr="001F2B23"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Default="00286E45" w:rsidP="00286E45">
            <w:pPr>
              <w:rPr>
                <w:rFonts w:asciiTheme="minorHAnsi" w:hAnsiTheme="minorHAnsi"/>
                <w:sz w:val="20"/>
                <w:szCs w:val="20"/>
              </w:rPr>
            </w:pPr>
          </w:p>
          <w:p w:rsidR="00286E45" w:rsidRPr="008E051B" w:rsidRDefault="00286E45" w:rsidP="00286E45">
            <w:pPr>
              <w:rPr>
                <w:rFonts w:asciiTheme="minorHAnsi" w:hAnsiTheme="minorHAnsi"/>
                <w:sz w:val="20"/>
                <w:szCs w:val="20"/>
              </w:rPr>
            </w:pPr>
            <w:r>
              <w:rPr>
                <w:rFonts w:asciiTheme="minorHAnsi" w:hAnsiTheme="minorHAnsi"/>
                <w:sz w:val="20"/>
                <w:szCs w:val="20"/>
              </w:rPr>
              <w:t>Yes</w:t>
            </w:r>
          </w:p>
        </w:tc>
      </w:tr>
    </w:tbl>
    <w:p w:rsidR="00286E45" w:rsidRPr="00EE1F4D" w:rsidRDefault="00286E45" w:rsidP="00EE1F4D">
      <w:pPr>
        <w:spacing w:before="20" w:after="20" w:line="180" w:lineRule="atLeast"/>
        <w:jc w:val="both"/>
        <w:rPr>
          <w:rFonts w:ascii="Franklin Gothic Book" w:eastAsia="Times New Roman" w:hAnsi="Franklin Gothic Book"/>
          <w:sz w:val="18"/>
          <w:szCs w:val="18"/>
        </w:rPr>
      </w:pPr>
      <w:r w:rsidRPr="00332EC9">
        <w:rPr>
          <w:rFonts w:ascii="Franklin Gothic Book" w:eastAsia="Times New Roman" w:hAnsi="Franklin Gothic Book"/>
          <w:sz w:val="18"/>
          <w:szCs w:val="18"/>
        </w:rPr>
        <w:t>*If no, consider updating the Risk Register</w:t>
      </w:r>
    </w:p>
    <w:p w:rsidR="002A51CA" w:rsidRDefault="002A51CA" w:rsidP="002A51CA">
      <w:pPr>
        <w:spacing w:before="20" w:after="20" w:line="180" w:lineRule="atLeast"/>
        <w:jc w:val="both"/>
        <w:rPr>
          <w:rFonts w:ascii="Franklin Gothic Book" w:eastAsia="Times New Roman" w:hAnsi="Franklin Gothic Book"/>
          <w:b/>
          <w:sz w:val="14"/>
          <w:szCs w:val="14"/>
        </w:rPr>
      </w:pPr>
    </w:p>
    <w:p w:rsidR="00D15A00" w:rsidRDefault="00D15A00" w:rsidP="002A51CA">
      <w:pPr>
        <w:sectPr w:rsidR="00D15A00" w:rsidSect="00EE1F4D">
          <w:pgSz w:w="11906" w:h="16838" w:code="9"/>
          <w:pgMar w:top="1418" w:right="1134" w:bottom="1135" w:left="1134" w:header="1418" w:footer="567" w:gutter="0"/>
          <w:cols w:space="397"/>
          <w:docGrid w:linePitch="360"/>
        </w:sectPr>
      </w:pPr>
    </w:p>
    <w:p w:rsidR="00400B0F" w:rsidRPr="00400B0F" w:rsidRDefault="00400B0F" w:rsidP="00400B0F">
      <w:pPr>
        <w:pStyle w:val="Subtitle"/>
        <w:numPr>
          <w:ilvl w:val="0"/>
          <w:numId w:val="0"/>
        </w:numPr>
      </w:pPr>
      <w:r w:rsidRPr="00400B0F">
        <w:t xml:space="preserve">Annex A - Progress in Addressing Management </w:t>
      </w:r>
      <w:r w:rsidR="00AC302F">
        <w:t>actions</w:t>
      </w:r>
      <w:r w:rsidR="00282D5C">
        <w:t xml:space="preserve"> </w:t>
      </w:r>
    </w:p>
    <w:p w:rsidR="00400B0F" w:rsidRPr="00C61187" w:rsidRDefault="00400B0F" w:rsidP="008C2F58">
      <w:r w:rsidRPr="00C61187">
        <w:t xml:space="preserve">Describe progress made against management </w:t>
      </w:r>
      <w:r w:rsidR="00A54034">
        <w:t>actions</w:t>
      </w:r>
      <w:r w:rsidRPr="00C61187">
        <w:t xml:space="preserve"> in 201</w:t>
      </w:r>
      <w:r w:rsidR="00510FAB">
        <w:t>5</w:t>
      </w:r>
      <w:r w:rsidRPr="00C61187">
        <w:t>-1</w:t>
      </w:r>
      <w:r w:rsidR="00510FAB">
        <w:t>6</w:t>
      </w:r>
      <w:r w:rsidRPr="00C61187">
        <w:t xml:space="preserve"> report</w:t>
      </w:r>
    </w:p>
    <w:tbl>
      <w:tblPr>
        <w:tblStyle w:val="APPR"/>
        <w:tblpPr w:leftFromText="180" w:rightFromText="180" w:vertAnchor="text" w:tblpY="1"/>
        <w:tblW w:w="5351" w:type="pct"/>
        <w:tblLayout w:type="fixed"/>
        <w:tblLook w:val="0000" w:firstRow="0" w:lastRow="0" w:firstColumn="0" w:lastColumn="0" w:noHBand="0" w:noVBand="0"/>
      </w:tblPr>
      <w:tblGrid>
        <w:gridCol w:w="6804"/>
        <w:gridCol w:w="993"/>
        <w:gridCol w:w="7371"/>
      </w:tblGrid>
      <w:tr w:rsidR="00400B0F"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400B0F" w:rsidRPr="00880004" w:rsidRDefault="00400B0F" w:rsidP="00AE19B5">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 xml:space="preserve">Management </w:t>
            </w:r>
            <w:r w:rsidR="00A54034">
              <w:rPr>
                <w:rFonts w:asciiTheme="minorHAnsi" w:eastAsia="Times New Roman" w:hAnsiTheme="minorHAnsi"/>
                <w:b/>
                <w:iCs/>
                <w:szCs w:val="17"/>
                <w:lang w:eastAsia="en-US"/>
              </w:rPr>
              <w:t>actions</w:t>
            </w:r>
            <w:r w:rsidRPr="00880004">
              <w:rPr>
                <w:rFonts w:asciiTheme="minorHAnsi" w:eastAsia="Times New Roman" w:hAnsiTheme="minorHAnsi"/>
                <w:b/>
                <w:iCs/>
                <w:szCs w:val="17"/>
                <w:lang w:eastAsia="en-US"/>
              </w:rPr>
              <w:t xml:space="preserve"> identified in 20</w:t>
            </w:r>
            <w:r w:rsidR="00AE19B5">
              <w:rPr>
                <w:rFonts w:asciiTheme="minorHAnsi" w:eastAsia="Times New Roman" w:hAnsiTheme="minorHAnsi"/>
                <w:b/>
                <w:iCs/>
                <w:szCs w:val="17"/>
                <w:lang w:eastAsia="en-US"/>
              </w:rPr>
              <w:t xml:space="preserve">17-18 </w:t>
            </w:r>
            <w:r w:rsidRPr="00880004">
              <w:rPr>
                <w:rFonts w:asciiTheme="minorHAnsi" w:eastAsia="Times New Roman" w:hAnsiTheme="minorHAnsi"/>
                <w:b/>
                <w:iCs/>
                <w:szCs w:val="17"/>
                <w:lang w:eastAsia="en-US"/>
              </w:rPr>
              <w:t>APPR</w:t>
            </w:r>
            <w:r w:rsidRPr="00880004">
              <w:rPr>
                <w:rFonts w:asciiTheme="minorHAnsi" w:eastAsia="Times New Roman" w:hAnsiTheme="minorHAnsi"/>
                <w:b/>
                <w:iCs/>
                <w:szCs w:val="17"/>
                <w:lang w:eastAsia="en-US"/>
              </w:rPr>
              <w:tab/>
            </w:r>
          </w:p>
        </w:tc>
        <w:tc>
          <w:tcPr>
            <w:tcW w:w="965" w:type="dxa"/>
          </w:tcPr>
          <w:p w:rsidR="00400B0F" w:rsidRPr="00880004" w:rsidRDefault="00400B0F" w:rsidP="006F27B1">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Rating</w:t>
            </w:r>
          </w:p>
        </w:tc>
        <w:tc>
          <w:tcPr>
            <w:tcW w:w="7329" w:type="dxa"/>
          </w:tcPr>
          <w:p w:rsidR="00400B0F" w:rsidRPr="00880004" w:rsidRDefault="004D775B" w:rsidP="00EE1F4D">
            <w:pPr>
              <w:keepLines/>
              <w:spacing w:before="80" w:after="80" w:line="200" w:lineRule="atLeast"/>
              <w:jc w:val="center"/>
              <w:rPr>
                <w:rFonts w:asciiTheme="minorHAnsi" w:eastAsia="Times New Roman" w:hAnsiTheme="minorHAnsi"/>
                <w:b/>
                <w:iCs/>
                <w:szCs w:val="17"/>
                <w:lang w:eastAsia="en-US"/>
              </w:rPr>
            </w:pPr>
            <w:r>
              <w:rPr>
                <w:rFonts w:asciiTheme="minorHAnsi" w:eastAsia="Times New Roman" w:hAnsiTheme="minorHAnsi"/>
                <w:b/>
                <w:iCs/>
                <w:szCs w:val="17"/>
                <w:lang w:eastAsia="en-US"/>
              </w:rPr>
              <w:t xml:space="preserve">Progress made  in </w:t>
            </w:r>
            <w:r w:rsidR="00B15E76">
              <w:rPr>
                <w:rFonts w:asciiTheme="minorHAnsi" w:eastAsia="Times New Roman" w:hAnsiTheme="minorHAnsi"/>
                <w:b/>
                <w:iCs/>
                <w:szCs w:val="17"/>
                <w:lang w:eastAsia="en-US"/>
              </w:rPr>
              <w:t>2018-19</w:t>
            </w:r>
          </w:p>
        </w:tc>
      </w:tr>
      <w:tr w:rsidR="00400B0F"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400B0F" w:rsidRPr="00880004" w:rsidRDefault="00AE19B5" w:rsidP="000650AE">
            <w:pPr>
              <w:keepLines/>
              <w:spacing w:before="40" w:after="40" w:line="200" w:lineRule="atLeast"/>
              <w:rPr>
                <w:rFonts w:asciiTheme="minorHAnsi" w:eastAsia="Times New Roman" w:hAnsiTheme="minorHAnsi"/>
                <w:iCs/>
                <w:szCs w:val="17"/>
                <w:lang w:eastAsia="en-US"/>
              </w:rPr>
            </w:pPr>
            <w:r>
              <w:t xml:space="preserve">1.  </w:t>
            </w:r>
            <w:r w:rsidRPr="00994E03">
              <w:t xml:space="preserve">To improve performance against </w:t>
            </w:r>
            <w:r w:rsidR="000650AE">
              <w:rPr>
                <w:b/>
              </w:rPr>
              <w:t>O</w:t>
            </w:r>
            <w:r w:rsidRPr="00994E03">
              <w:rPr>
                <w:b/>
              </w:rPr>
              <w:t xml:space="preserve">utcome </w:t>
            </w:r>
            <w:r w:rsidR="000650AE">
              <w:rPr>
                <w:b/>
              </w:rPr>
              <w:t>2</w:t>
            </w:r>
            <w:r w:rsidRPr="00994E03">
              <w:t xml:space="preserve"> (infrastructure is better planned, delivered and maintained) in 2018-19 we have already negotiated a performance clause making future Aust</w:t>
            </w:r>
            <w:r>
              <w:t>ralia support PRIM pilot depende</w:t>
            </w:r>
            <w:r w:rsidRPr="00994E03">
              <w:t>nt on the Indonesian Government providing a budget allocation for the rollout of the national HJD program in 2019.</w:t>
            </w:r>
          </w:p>
        </w:tc>
        <w:tc>
          <w:tcPr>
            <w:tcW w:w="965" w:type="dxa"/>
            <w:shd w:val="clear" w:color="auto" w:fill="72AF2F"/>
          </w:tcPr>
          <w:p w:rsidR="00400B0F" w:rsidRPr="00880004" w:rsidRDefault="00400B0F" w:rsidP="006F27B1">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7329" w:type="dxa"/>
          </w:tcPr>
          <w:p w:rsidR="00400B0F" w:rsidRPr="00880004" w:rsidRDefault="00187D6B" w:rsidP="00206EE2">
            <w:pPr>
              <w:keepLines/>
              <w:spacing w:before="40" w:after="40" w:line="200" w:lineRule="atLeast"/>
              <w:rPr>
                <w:rFonts w:asciiTheme="minorHAnsi" w:eastAsia="Times New Roman" w:hAnsiTheme="minorHAnsi"/>
                <w:iCs/>
                <w:color w:val="92D050"/>
                <w:szCs w:val="17"/>
                <w:lang w:eastAsia="en-US"/>
              </w:rPr>
            </w:pPr>
            <w:r w:rsidRPr="00187D6B">
              <w:t xml:space="preserve">Following five years of the Provincial Road Improvement and Maintenance (PRIM) Pilot Program, a results-based grants program to improve road maintenance at the sub-national level, the </w:t>
            </w:r>
            <w:r w:rsidR="00801BD9">
              <w:t>Indonesian government</w:t>
            </w:r>
            <w:r w:rsidRPr="00187D6B">
              <w:t xml:space="preserve"> approved AUD$50 million in its 2019 budget to replicate </w:t>
            </w:r>
            <w:r w:rsidR="00206EE2">
              <w:t>this</w:t>
            </w:r>
            <w:r w:rsidRPr="00187D6B">
              <w:t xml:space="preserve"> approach across six D</w:t>
            </w:r>
            <w:r w:rsidR="00801BD9">
              <w:t xml:space="preserve">istricts in four Provinces. This approach </w:t>
            </w:r>
            <w:r w:rsidRPr="00187D6B">
              <w:t xml:space="preserve">has successfully demonstrated a viable </w:t>
            </w:r>
            <w:r w:rsidR="00801BD9">
              <w:t>model</w:t>
            </w:r>
            <w:r w:rsidRPr="00187D6B">
              <w:t xml:space="preserve"> for Indonesia’s Central Government to incentivise better</w:t>
            </w:r>
            <w:r>
              <w:t xml:space="preserve"> </w:t>
            </w:r>
            <w:r w:rsidR="00801BD9">
              <w:t>road</w:t>
            </w:r>
            <w:r>
              <w:t xml:space="preserve"> maintenance across the country.</w:t>
            </w:r>
          </w:p>
        </w:tc>
      </w:tr>
      <w:tr w:rsidR="00400B0F"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400B0F" w:rsidRPr="00880004" w:rsidRDefault="00AE19B5" w:rsidP="000650AE">
            <w:pPr>
              <w:keepLines/>
              <w:spacing w:before="40" w:after="40" w:line="200" w:lineRule="atLeast"/>
              <w:rPr>
                <w:rFonts w:asciiTheme="minorHAnsi" w:eastAsia="Times New Roman" w:hAnsiTheme="minorHAnsi"/>
                <w:iCs/>
                <w:szCs w:val="17"/>
                <w:lang w:eastAsia="en-US"/>
              </w:rPr>
            </w:pPr>
            <w:r>
              <w:t xml:space="preserve">2.  </w:t>
            </w:r>
            <w:r w:rsidRPr="0018598E">
              <w:t xml:space="preserve">To improve performance against </w:t>
            </w:r>
            <w:r w:rsidR="000650AE">
              <w:rPr>
                <w:b/>
              </w:rPr>
              <w:t>Outcome 9</w:t>
            </w:r>
            <w:r w:rsidRPr="0018598E">
              <w:t xml:space="preserve"> (marginalised groups can advocate for and access basic services), we will continue to support </w:t>
            </w:r>
            <w:r>
              <w:t>CSOs</w:t>
            </w:r>
            <w:r w:rsidRPr="0018598E">
              <w:t xml:space="preserve"> to advocate the implementation of Indonesia’s Disability Law at national and local level and improve access to services for other marginalised groups. This will include: continuing work with relevant government agencies to finalise the disability regulations; supporting local governments to draft and implement accessible and inclusive services; and monitoring access to services for marginalised groups. To address specific challenges in implementing the disability law we will involve a broader range of </w:t>
            </w:r>
            <w:r>
              <w:t>Australian development</w:t>
            </w:r>
            <w:r w:rsidRPr="0018598E">
              <w:t xml:space="preserve"> programs to influence agencies with responsibility for </w:t>
            </w:r>
            <w:r w:rsidRPr="00914DCC">
              <w:t>regulations.</w:t>
            </w:r>
          </w:p>
        </w:tc>
        <w:tc>
          <w:tcPr>
            <w:tcW w:w="965" w:type="dxa"/>
            <w:shd w:val="clear" w:color="auto" w:fill="E36C0A"/>
          </w:tcPr>
          <w:p w:rsidR="00400B0F" w:rsidRPr="00880004" w:rsidRDefault="00187D6B" w:rsidP="006F27B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 xml:space="preserve">Partly </w:t>
            </w:r>
            <w:r w:rsidR="00400B0F" w:rsidRPr="00880004">
              <w:rPr>
                <w:rFonts w:asciiTheme="minorHAnsi" w:eastAsia="Times New Roman" w:hAnsiTheme="minorHAnsi"/>
                <w:iCs/>
                <w:color w:val="FFFFFF" w:themeColor="background1"/>
                <w:szCs w:val="17"/>
                <w:lang w:eastAsia="en-US"/>
              </w:rPr>
              <w:t>Achieved</w:t>
            </w:r>
            <w:r w:rsidR="00400B0F" w:rsidRPr="00880004">
              <w:rPr>
                <w:rFonts w:eastAsia="Times New Roman"/>
                <w:iCs/>
                <w:color w:val="FFFFFF" w:themeColor="background1"/>
                <w:szCs w:val="17"/>
              </w:rPr>
              <w:fldChar w:fldCharType="begin"/>
            </w:r>
            <w:r w:rsidR="00400B0F" w:rsidRPr="00880004">
              <w:rPr>
                <w:rFonts w:asciiTheme="minorHAnsi" w:eastAsia="Times New Roman" w:hAnsiTheme="minorHAnsi"/>
                <w:iCs/>
                <w:color w:val="FFFFFF" w:themeColor="background1"/>
                <w:szCs w:val="17"/>
                <w:lang w:eastAsia="en-US"/>
              </w:rPr>
              <w:instrText xml:space="preserve"> AUTOTEXTLIST  \s "Rating bullet"\t "Right click to choose a rating" \* MERGEFORMAT </w:instrText>
            </w:r>
            <w:r w:rsidR="00400B0F" w:rsidRPr="00880004">
              <w:rPr>
                <w:rFonts w:eastAsia="Times New Roman"/>
                <w:iCs/>
                <w:color w:val="FFFFFF" w:themeColor="background1"/>
                <w:szCs w:val="17"/>
              </w:rPr>
              <w:fldChar w:fldCharType="end"/>
            </w:r>
          </w:p>
        </w:tc>
        <w:tc>
          <w:tcPr>
            <w:tcW w:w="7329" w:type="dxa"/>
          </w:tcPr>
          <w:p w:rsidR="00400B0F" w:rsidRPr="00880004" w:rsidRDefault="00992FD9" w:rsidP="00657915">
            <w:pPr>
              <w:keepLines/>
              <w:spacing w:before="40" w:after="40" w:line="200" w:lineRule="atLeast"/>
              <w:rPr>
                <w:rFonts w:asciiTheme="minorHAnsi" w:eastAsia="Times New Roman" w:hAnsiTheme="minorHAnsi"/>
                <w:iCs/>
                <w:color w:val="92D050"/>
                <w:szCs w:val="17"/>
                <w:lang w:eastAsia="en-US"/>
              </w:rPr>
            </w:pPr>
            <w:r>
              <w:t>O</w:t>
            </w:r>
            <w:r w:rsidR="00801BD9">
              <w:t>nly four of the seven regulations to implement the disability law</w:t>
            </w:r>
            <w:r>
              <w:t xml:space="preserve"> were</w:t>
            </w:r>
            <w:r w:rsidR="00801BD9">
              <w:t xml:space="preserve"> achieved.</w:t>
            </w:r>
            <w:r w:rsidR="00187D6B" w:rsidRPr="00187D6B">
              <w:t xml:space="preserve"> </w:t>
            </w:r>
            <w:r>
              <w:t xml:space="preserve"> Finalising the</w:t>
            </w:r>
            <w:r w:rsidRPr="00187D6B">
              <w:t xml:space="preserve"> National Action Plan f</w:t>
            </w:r>
            <w:r>
              <w:t xml:space="preserve">or Countering Violent Extremism was delayed, partially due to differences among government and civil society stakeholders on how to best prevent violent extremism.  </w:t>
            </w:r>
            <w:r w:rsidR="00187D6B" w:rsidRPr="00187D6B">
              <w:t xml:space="preserve">A plan to monitor and evaluate the implementation of the disability law, </w:t>
            </w:r>
            <w:r w:rsidR="00084A7D">
              <w:t>and</w:t>
            </w:r>
            <w:r w:rsidR="00187D6B" w:rsidRPr="00187D6B">
              <w:t xml:space="preserve"> a National Action Plan for Countering Violent Extremism have been drafted </w:t>
            </w:r>
            <w:r w:rsidR="00084A7D">
              <w:t>but</w:t>
            </w:r>
            <w:r w:rsidR="00187D6B" w:rsidRPr="00187D6B">
              <w:t xml:space="preserve"> </w:t>
            </w:r>
            <w:r>
              <w:t>both expect</w:t>
            </w:r>
            <w:r w:rsidR="00187D6B" w:rsidRPr="00187D6B">
              <w:t xml:space="preserve"> to be finalised in late 2019. </w:t>
            </w:r>
            <w:r w:rsidR="002D02FD">
              <w:t xml:space="preserve">Good progress was achieved through </w:t>
            </w:r>
            <w:r w:rsidR="00657915">
              <w:t xml:space="preserve">our social inclusion program </w:t>
            </w:r>
            <w:r w:rsidR="00187D6B" w:rsidRPr="00187D6B">
              <w:t xml:space="preserve">and its CSO partners to give effect to the Constitutional Court’s decision </w:t>
            </w:r>
            <w:r w:rsidR="002D02FD">
              <w:t>to</w:t>
            </w:r>
            <w:r w:rsidR="00187D6B" w:rsidRPr="00187D6B">
              <w:t xml:space="preserve"> enable followers of local beliefs to gain access to legal recognition</w:t>
            </w:r>
            <w:r w:rsidR="002D02FD">
              <w:t xml:space="preserve">.  </w:t>
            </w:r>
          </w:p>
        </w:tc>
      </w:tr>
      <w:tr w:rsidR="00400B0F"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400B0F" w:rsidRPr="00880004" w:rsidRDefault="00AE19B5" w:rsidP="000650AE">
            <w:pPr>
              <w:keepLines/>
              <w:spacing w:before="40" w:after="40" w:line="200" w:lineRule="atLeast"/>
              <w:rPr>
                <w:rFonts w:asciiTheme="minorHAnsi" w:eastAsia="Times New Roman" w:hAnsiTheme="minorHAnsi"/>
                <w:iCs/>
                <w:szCs w:val="17"/>
                <w:lang w:eastAsia="en-US"/>
              </w:rPr>
            </w:pPr>
            <w:r>
              <w:t xml:space="preserve">3.  </w:t>
            </w:r>
            <w:r w:rsidRPr="00914DCC">
              <w:t xml:space="preserve">To improve performance against </w:t>
            </w:r>
            <w:r w:rsidR="000650AE">
              <w:rPr>
                <w:b/>
              </w:rPr>
              <w:t>O</w:t>
            </w:r>
            <w:r w:rsidRPr="00914DCC">
              <w:rPr>
                <w:b/>
              </w:rPr>
              <w:t xml:space="preserve">utcome </w:t>
            </w:r>
            <w:r w:rsidR="000650AE">
              <w:rPr>
                <w:b/>
              </w:rPr>
              <w:t>10</w:t>
            </w:r>
            <w:r w:rsidRPr="00914DCC">
              <w:t xml:space="preserve"> (climate change impacts are lessened through improved environmental governance) we will undertake a mid-term review of the Environmental Governance Program in the second half of 2018 to examine the efficiency and effectiveness of the program and its management. SLM-MDTF will also work with an established group of senior Indonesian Government officials to provide a more structured coordination role on landscape management. Australia will no longer report against the milestone for mobilising finance for peatland restoration.</w:t>
            </w:r>
          </w:p>
        </w:tc>
        <w:tc>
          <w:tcPr>
            <w:tcW w:w="965" w:type="dxa"/>
            <w:shd w:val="clear" w:color="auto" w:fill="E36C0A"/>
          </w:tcPr>
          <w:p w:rsidR="00084A7D" w:rsidRDefault="00084A7D" w:rsidP="006F27B1">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Partly</w:t>
            </w:r>
          </w:p>
          <w:p w:rsidR="00400B0F" w:rsidRPr="00880004" w:rsidRDefault="00400B0F" w:rsidP="006F27B1">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7329" w:type="dxa"/>
          </w:tcPr>
          <w:p w:rsidR="00400B0F" w:rsidRPr="00E45244" w:rsidRDefault="00C3758E" w:rsidP="00992FD9">
            <w:pPr>
              <w:keepLines/>
              <w:spacing w:before="40" w:after="40" w:line="200" w:lineRule="atLeast"/>
              <w:rPr>
                <w:rFonts w:asciiTheme="minorHAnsi" w:eastAsia="Times New Roman" w:hAnsiTheme="minorHAnsi"/>
                <w:iCs/>
                <w:color w:val="92D050"/>
                <w:szCs w:val="17"/>
                <w:highlight w:val="yellow"/>
                <w:lang w:eastAsia="en-US"/>
              </w:rPr>
            </w:pPr>
            <w:r w:rsidRPr="006609A2">
              <w:t>This o</w:t>
            </w:r>
            <w:r w:rsidR="00F6618A" w:rsidRPr="006609A2">
              <w:t xml:space="preserve">utcome has made strong progress to </w:t>
            </w:r>
            <w:r w:rsidRPr="006609A2">
              <w:t>leverage</w:t>
            </w:r>
            <w:r w:rsidR="00F6618A" w:rsidRPr="006609A2">
              <w:t xml:space="preserve"> an additional AUD269</w:t>
            </w:r>
            <w:r w:rsidRPr="006609A2">
              <w:t xml:space="preserve"> million </w:t>
            </w:r>
            <w:r w:rsidR="00F6618A" w:rsidRPr="006609A2">
              <w:t xml:space="preserve">of financing for sustainable landscape management, as well as supported the investigation of </w:t>
            </w:r>
            <w:r w:rsidR="00657915" w:rsidRPr="006609A2">
              <w:t>five cases using the Multi-Door</w:t>
            </w:r>
            <w:r w:rsidR="00F6618A" w:rsidRPr="006609A2">
              <w:t xml:space="preserve"> Approach (MDA).  However, the MDA is still limited to</w:t>
            </w:r>
            <w:r w:rsidR="00992FD9" w:rsidRPr="006609A2">
              <w:t xml:space="preserve"> the</w:t>
            </w:r>
            <w:r w:rsidR="00F6618A" w:rsidRPr="006609A2">
              <w:t xml:space="preserve"> investigation </w:t>
            </w:r>
            <w:r w:rsidRPr="006609A2">
              <w:t>stage</w:t>
            </w:r>
            <w:r w:rsidR="00F6618A" w:rsidRPr="006609A2">
              <w:t xml:space="preserve"> and </w:t>
            </w:r>
            <w:r w:rsidR="00992FD9" w:rsidRPr="006609A2">
              <w:t>to be fully effective, further strengthening is needed</w:t>
            </w:r>
            <w:r w:rsidR="00F6618A" w:rsidRPr="006609A2">
              <w:t xml:space="preserve"> </w:t>
            </w:r>
            <w:r w:rsidRPr="006609A2">
              <w:t xml:space="preserve">to </w:t>
            </w:r>
            <w:r w:rsidR="00992FD9" w:rsidRPr="006609A2">
              <w:t>ensure</w:t>
            </w:r>
            <w:r w:rsidRPr="006609A2">
              <w:t xml:space="preserve"> </w:t>
            </w:r>
            <w:r w:rsidR="00992FD9" w:rsidRPr="006609A2">
              <w:t xml:space="preserve">all </w:t>
            </w:r>
            <w:r w:rsidRPr="006609A2">
              <w:t xml:space="preserve">cases </w:t>
            </w:r>
            <w:r w:rsidR="00992FD9" w:rsidRPr="006609A2">
              <w:t xml:space="preserve">proceed </w:t>
            </w:r>
            <w:r w:rsidR="00DB0B7F">
              <w:t xml:space="preserve">to </w:t>
            </w:r>
            <w:r w:rsidR="00992FD9" w:rsidRPr="006609A2">
              <w:t>the</w:t>
            </w:r>
            <w:r w:rsidR="00F6618A" w:rsidRPr="006609A2">
              <w:t xml:space="preserve"> prosecution stage.</w:t>
            </w:r>
            <w:r w:rsidR="006609A2">
              <w:t xml:space="preserve"> </w:t>
            </w:r>
            <w:r w:rsidR="006609A2" w:rsidRPr="006609A2">
              <w:t>We reviewed our Environmental Governance Program and are working with partners to strengthen implementation and linkages across investments. The findings will also inform our future strategic approach to climate change across Australia’s investments.</w:t>
            </w:r>
          </w:p>
        </w:tc>
      </w:tr>
      <w:tr w:rsidR="00400B0F"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400B0F" w:rsidRPr="00461428" w:rsidRDefault="00AE19B5" w:rsidP="00AE19B5">
            <w:pPr>
              <w:keepLines/>
              <w:spacing w:before="40" w:after="40" w:line="200" w:lineRule="atLeast"/>
              <w:rPr>
                <w:rFonts w:asciiTheme="minorHAnsi" w:eastAsia="Times New Roman" w:hAnsiTheme="minorHAnsi"/>
                <w:iCs/>
                <w:szCs w:val="17"/>
                <w:lang w:eastAsia="en-US"/>
              </w:rPr>
            </w:pPr>
            <w:r w:rsidRPr="00461428">
              <w:t>4.  Strategy:  2018-19 marks the preparation of our next Aid Investment Plan. We will continue to engage closely with the Indonesian Government on how best to position Australia’s assistance going forward, drawing on results and lessons from our existing portfolio of investments. We will also look at how to adjust the program to respond to Indonesia’s changing needs, informed by the development of Indonesia’s next medium-term development plan and Australia’s own White Paper priorities.</w:t>
            </w:r>
          </w:p>
        </w:tc>
        <w:tc>
          <w:tcPr>
            <w:tcW w:w="965" w:type="dxa"/>
            <w:shd w:val="clear" w:color="auto" w:fill="E36C0A"/>
          </w:tcPr>
          <w:p w:rsidR="00400B0F" w:rsidRPr="00880004" w:rsidRDefault="00400B0F" w:rsidP="006F27B1">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Partly achieved</w:t>
            </w:r>
          </w:p>
        </w:tc>
        <w:tc>
          <w:tcPr>
            <w:tcW w:w="7329" w:type="dxa"/>
          </w:tcPr>
          <w:p w:rsidR="00400B0F" w:rsidRPr="00880004" w:rsidRDefault="00456996" w:rsidP="00E40FFF">
            <w:pPr>
              <w:keepLines/>
              <w:spacing w:before="40" w:after="40" w:line="200" w:lineRule="atLeast"/>
              <w:rPr>
                <w:rFonts w:asciiTheme="minorHAnsi" w:eastAsia="Times New Roman" w:hAnsiTheme="minorHAnsi"/>
                <w:iCs/>
                <w:color w:val="409F68" w:themeColor="accent6"/>
                <w:szCs w:val="17"/>
                <w:lang w:eastAsia="en-US"/>
              </w:rPr>
            </w:pPr>
            <w:r>
              <w:t xml:space="preserve">Australia and Indonesia agreed to explore options to better align the new Aid Investment Plan with priorities under the Indonesian National Medium-Term Development Plan 2020-24.  </w:t>
            </w:r>
          </w:p>
        </w:tc>
      </w:tr>
      <w:tr w:rsidR="00084A7D"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084A7D" w:rsidRPr="00461428" w:rsidRDefault="00084A7D" w:rsidP="00084A7D">
            <w:pPr>
              <w:keepLines/>
              <w:spacing w:before="40" w:after="40" w:line="200" w:lineRule="atLeast"/>
              <w:rPr>
                <w:rFonts w:asciiTheme="minorHAnsi" w:eastAsia="Times New Roman" w:hAnsiTheme="minorHAnsi"/>
                <w:iCs/>
                <w:szCs w:val="17"/>
                <w:lang w:eastAsia="en-US"/>
              </w:rPr>
            </w:pPr>
            <w:r w:rsidRPr="00461428">
              <w:t>5.  Gender equality:  Despite a slight dip in performance this year, most programs maintained their satisfactory ratings on gender equality. To ensure we continue to achieve our target and that all programs make strategic and effective contributions to gender equality and women’s empowerment, we will provide staff with ongoing training drawing on expertise from within the Gender Equality Branch. We will review our flagship gender equality program, MAMPU, and we will continue to share lessons and good practice models to assist underperforming investments to achieve gender equality outcomes.</w:t>
            </w:r>
          </w:p>
        </w:tc>
        <w:tc>
          <w:tcPr>
            <w:tcW w:w="965" w:type="dxa"/>
            <w:shd w:val="clear" w:color="auto" w:fill="72AF2F"/>
          </w:tcPr>
          <w:p w:rsidR="00084A7D" w:rsidRPr="00880004" w:rsidRDefault="00084A7D" w:rsidP="00084A7D">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7329" w:type="dxa"/>
          </w:tcPr>
          <w:p w:rsidR="00084A7D" w:rsidRPr="00880004" w:rsidRDefault="00992FD9" w:rsidP="00992FD9">
            <w:pPr>
              <w:keepLines/>
              <w:spacing w:before="40" w:after="40" w:line="200" w:lineRule="atLeast"/>
              <w:rPr>
                <w:rFonts w:asciiTheme="minorHAnsi" w:eastAsia="Times New Roman" w:hAnsiTheme="minorHAnsi"/>
                <w:iCs/>
                <w:color w:val="409F68" w:themeColor="accent6"/>
                <w:szCs w:val="17"/>
                <w:lang w:eastAsia="en-US"/>
              </w:rPr>
            </w:pPr>
            <w:r>
              <w:t>T</w:t>
            </w:r>
            <w:r w:rsidR="004828E3" w:rsidRPr="004828E3">
              <w:t>he gender performance of our programs</w:t>
            </w:r>
            <w:r>
              <w:t xml:space="preserve"> reached 85 per cent and</w:t>
            </w:r>
            <w:r w:rsidR="004828E3" w:rsidRPr="004828E3">
              <w:t xml:space="preserve"> has exceeded Australia’s target of 80 per cent of programs effectively addressing gender </w:t>
            </w:r>
            <w:r w:rsidR="00FA371A">
              <w:t xml:space="preserve">equality </w:t>
            </w:r>
            <w:r w:rsidR="004828E3" w:rsidRPr="004828E3">
              <w:t xml:space="preserve">as rated through the Aid Quality Check (AQC) process. This is a slight increase from the 2017-18 rating of 83 per cent. This is largely due to programs establishing and implementing Gender Equality and Social Inclusion (GESI) strategies to </w:t>
            </w:r>
            <w:r>
              <w:t>holistically</w:t>
            </w:r>
            <w:r w:rsidR="004828E3" w:rsidRPr="004828E3">
              <w:t xml:space="preserve"> address gender</w:t>
            </w:r>
            <w:r>
              <w:t xml:space="preserve"> and vulnerability</w:t>
            </w:r>
            <w:r w:rsidR="004828E3" w:rsidRPr="004828E3">
              <w:t xml:space="preserve"> gaps identified through previous year’s AQC process</w:t>
            </w:r>
          </w:p>
        </w:tc>
      </w:tr>
      <w:tr w:rsidR="00BD37DA" w:rsidRPr="00C61187" w:rsidTr="00456996">
        <w:trPr>
          <w:cnfStyle w:val="000000010000" w:firstRow="0" w:lastRow="0" w:firstColumn="0" w:lastColumn="0" w:oddVBand="0" w:evenVBand="0" w:oddHBand="0" w:evenHBand="1" w:firstRowFirstColumn="0" w:firstRowLastColumn="0" w:lastRowFirstColumn="0" w:lastRowLastColumn="0"/>
        </w:trPr>
        <w:tc>
          <w:tcPr>
            <w:tcW w:w="6762" w:type="dxa"/>
          </w:tcPr>
          <w:p w:rsidR="00BD37DA" w:rsidRDefault="00BD37DA" w:rsidP="00BD37DA">
            <w:pPr>
              <w:keepLines/>
              <w:spacing w:before="40" w:after="40" w:line="200" w:lineRule="atLeast"/>
              <w:rPr>
                <w:b/>
              </w:rPr>
            </w:pPr>
            <w:r w:rsidRPr="00461428">
              <w:rPr>
                <w:bCs/>
              </w:rPr>
              <w:t>6.  Performance:</w:t>
            </w:r>
            <w:r w:rsidRPr="00914DCC">
              <w:rPr>
                <w:b/>
                <w:bCs/>
              </w:rPr>
              <w:t xml:space="preserve"> </w:t>
            </w:r>
            <w:r w:rsidRPr="00914DCC">
              <w:t>A recent internal review of program management in the Indonesia program recommended adjusting the performance assessment system to ensure it remains appropriate and manageable within current resources. We will continue to refine the performance system to ensure it focuses on providing timely and accurate information to inform program management.</w:t>
            </w:r>
          </w:p>
        </w:tc>
        <w:tc>
          <w:tcPr>
            <w:tcW w:w="965" w:type="dxa"/>
            <w:shd w:val="clear" w:color="auto" w:fill="72AF2F"/>
          </w:tcPr>
          <w:p w:rsidR="00BD37DA" w:rsidRPr="00880004" w:rsidRDefault="00BD37DA" w:rsidP="00BD37DA">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7329" w:type="dxa"/>
          </w:tcPr>
          <w:p w:rsidR="00BD37DA" w:rsidRPr="00880004" w:rsidRDefault="00FA371A" w:rsidP="00456996">
            <w:pPr>
              <w:keepLines/>
              <w:spacing w:before="40" w:after="40" w:line="200" w:lineRule="atLeast"/>
              <w:rPr>
                <w:rFonts w:eastAsia="Times New Roman"/>
                <w:iCs/>
                <w:color w:val="409F68" w:themeColor="accent6"/>
                <w:szCs w:val="17"/>
              </w:rPr>
            </w:pPr>
            <w:r>
              <w:t>T</w:t>
            </w:r>
            <w:r w:rsidRPr="004828E3">
              <w:t>he</w:t>
            </w:r>
            <w:r>
              <w:t xml:space="preserve"> Performance Assessment Framework was streamlined, significantly reducing the </w:t>
            </w:r>
            <w:r w:rsidRPr="00C56AEA">
              <w:t xml:space="preserve">number of indicators and </w:t>
            </w:r>
            <w:r>
              <w:t>focusing</w:t>
            </w:r>
            <w:r w:rsidRPr="00C56AEA">
              <w:t xml:space="preserve"> performance</w:t>
            </w:r>
            <w:r>
              <w:t xml:space="preserve"> assessment on </w:t>
            </w:r>
            <w:r w:rsidRPr="00C56AEA">
              <w:t>policy</w:t>
            </w:r>
            <w:r>
              <w:t xml:space="preserve"> influence, leverage of funding, and achievement of performance milestones</w:t>
            </w:r>
            <w:r w:rsidRPr="00C56AEA">
              <w:t>. To reduce th</w:t>
            </w:r>
            <w:r>
              <w:t>e administrative burden</w:t>
            </w:r>
            <w:r w:rsidRPr="00C56AEA">
              <w:t xml:space="preserve">, </w:t>
            </w:r>
            <w:r>
              <w:t xml:space="preserve">a </w:t>
            </w:r>
            <w:r w:rsidRPr="00C56AEA">
              <w:t xml:space="preserve">shortlisting </w:t>
            </w:r>
            <w:r>
              <w:t>process for</w:t>
            </w:r>
            <w:r w:rsidRPr="00C56AEA">
              <w:t xml:space="preserve"> </w:t>
            </w:r>
            <w:r>
              <w:t>SPC</w:t>
            </w:r>
            <w:r w:rsidRPr="00C56AEA">
              <w:t xml:space="preserve"> case studies </w:t>
            </w:r>
            <w:r>
              <w:t>was introduced</w:t>
            </w:r>
            <w:r w:rsidRPr="00C56AEA">
              <w:t xml:space="preserve">. </w:t>
            </w:r>
            <w:r>
              <w:t>The PAF also included</w:t>
            </w:r>
            <w:r w:rsidRPr="00C56AEA">
              <w:t xml:space="preserve"> a trial of Pilots to Scale case studies to </w:t>
            </w:r>
            <w:r>
              <w:t>support program learning.</w:t>
            </w:r>
          </w:p>
        </w:tc>
      </w:tr>
    </w:tbl>
    <w:p w:rsidR="00FA371A" w:rsidRDefault="00FA371A" w:rsidP="00400B0F">
      <w:pPr>
        <w:spacing w:before="20" w:after="20" w:line="180" w:lineRule="atLeast"/>
        <w:jc w:val="both"/>
        <w:rPr>
          <w:rFonts w:eastAsia="Times New Roman"/>
          <w:b/>
          <w:sz w:val="16"/>
          <w:szCs w:val="14"/>
        </w:rPr>
      </w:pP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  Significant progress has been made in addressing the issue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  Some progress has been made in addressing the issue, but the issue has not been resolved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in addressing the issue has been significantly below expectations</w:t>
      </w:r>
    </w:p>
    <w:p w:rsidR="00400B0F" w:rsidRPr="00C61187" w:rsidRDefault="00400B0F" w:rsidP="00400B0F">
      <w:pPr>
        <w:spacing w:after="160" w:line="280" w:lineRule="exact"/>
        <w:rPr>
          <w:rFonts w:ascii="Franklin Gothic Book" w:eastAsia="Times New Roman" w:hAnsi="Franklin Gothic Book"/>
          <w:sz w:val="21"/>
        </w:rPr>
      </w:pPr>
    </w:p>
    <w:p w:rsidR="00033AB7" w:rsidRDefault="002A51CA" w:rsidP="00400B0F">
      <w:pPr>
        <w:pStyle w:val="Subtitle"/>
        <w:numPr>
          <w:ilvl w:val="0"/>
          <w:numId w:val="0"/>
        </w:numPr>
      </w:pPr>
      <w:r w:rsidRPr="00C61187">
        <w:rPr>
          <w:rFonts w:ascii="Franklin Gothic Book" w:eastAsia="Times New Roman" w:hAnsi="Franklin Gothic Book"/>
          <w:sz w:val="21"/>
        </w:rPr>
        <w:t xml:space="preserve"> </w:t>
      </w:r>
      <w:r w:rsidR="00400B0F" w:rsidRPr="00400B0F">
        <w:t xml:space="preserve">Annex B </w:t>
      </w:r>
      <w:r w:rsidR="00033AB7">
        <w:t>–</w:t>
      </w:r>
      <w:r w:rsidR="00400B0F" w:rsidRPr="00400B0F">
        <w:t xml:space="preserve"> </w:t>
      </w:r>
      <w:r w:rsidR="00033AB7">
        <w:t>PERFORMANCE BENCHMARKS</w:t>
      </w:r>
      <w:r w:rsidR="00282D5C">
        <w:t xml:space="preserve"> </w:t>
      </w:r>
    </w:p>
    <w:p w:rsidR="00320251" w:rsidRPr="00320251" w:rsidRDefault="00320251" w:rsidP="00CE5DF0">
      <w:pPr>
        <w:rPr>
          <w:rFonts w:ascii="Franklin Gothic Book" w:eastAsia="Times New Roman" w:hAnsi="Franklin Gothic Book"/>
          <w:b/>
          <w:sz w:val="24"/>
          <w:szCs w:val="24"/>
        </w:rPr>
      </w:pPr>
      <w:r w:rsidRPr="00320251">
        <w:rPr>
          <w:rFonts w:ascii="Franklin Gothic Book" w:eastAsia="Times New Roman" w:hAnsi="Franklin Gothic Book"/>
          <w:b/>
          <w:sz w:val="24"/>
          <w:szCs w:val="24"/>
        </w:rPr>
        <w:t>Progress towards Performance Benchmarks in 20</w:t>
      </w:r>
      <w:r w:rsidR="00BD37DA">
        <w:rPr>
          <w:rFonts w:ascii="Franklin Gothic Book" w:eastAsia="Times New Roman" w:hAnsi="Franklin Gothic Book"/>
          <w:b/>
          <w:sz w:val="24"/>
          <w:szCs w:val="24"/>
        </w:rPr>
        <w:t>18-19</w:t>
      </w:r>
    </w:p>
    <w:tbl>
      <w:tblPr>
        <w:tblStyle w:val="DFATTable"/>
        <w:tblW w:w="5000" w:type="pct"/>
        <w:tblLook w:val="04A0" w:firstRow="1" w:lastRow="0" w:firstColumn="1" w:lastColumn="0" w:noHBand="0" w:noVBand="1"/>
      </w:tblPr>
      <w:tblGrid>
        <w:gridCol w:w="2211"/>
        <w:gridCol w:w="5020"/>
        <w:gridCol w:w="992"/>
        <w:gridCol w:w="5950"/>
      </w:tblGrid>
      <w:tr w:rsidR="00400B0F" w:rsidRPr="00C61187" w:rsidTr="005E0867">
        <w:trPr>
          <w:tblHeader/>
        </w:trPr>
        <w:tc>
          <w:tcPr>
            <w:tcW w:w="780" w:type="pct"/>
            <w:tcMar>
              <w:top w:w="57" w:type="dxa"/>
              <w:bottom w:w="57" w:type="dxa"/>
            </w:tcMar>
          </w:tcPr>
          <w:p w:rsidR="00400B0F" w:rsidRPr="00880004" w:rsidRDefault="00400B0F" w:rsidP="006F27B1">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Aid objective</w:t>
            </w:r>
          </w:p>
        </w:tc>
        <w:tc>
          <w:tcPr>
            <w:tcW w:w="1771" w:type="pct"/>
          </w:tcPr>
          <w:p w:rsidR="00400B0F" w:rsidRPr="00880004" w:rsidRDefault="00320251" w:rsidP="00320251">
            <w:pPr>
              <w:keepLines/>
              <w:spacing w:before="80" w:after="80" w:line="200" w:lineRule="atLeast"/>
              <w:rPr>
                <w:rFonts w:asciiTheme="minorHAnsi" w:eastAsia="Times New Roman" w:hAnsiTheme="minorHAnsi"/>
                <w:b/>
                <w:iCs/>
                <w:szCs w:val="17"/>
                <w:lang w:eastAsia="en-US"/>
              </w:rPr>
            </w:pPr>
            <w:r>
              <w:rPr>
                <w:rFonts w:asciiTheme="minorHAnsi" w:eastAsia="Times New Roman" w:hAnsiTheme="minorHAnsi"/>
                <w:b/>
                <w:iCs/>
                <w:szCs w:val="17"/>
                <w:lang w:eastAsia="en-US"/>
              </w:rPr>
              <w:t>Performance B</w:t>
            </w:r>
            <w:r w:rsidR="00400B0F" w:rsidRPr="00880004">
              <w:rPr>
                <w:rFonts w:asciiTheme="minorHAnsi" w:eastAsia="Times New Roman" w:hAnsiTheme="minorHAnsi"/>
                <w:b/>
                <w:iCs/>
                <w:szCs w:val="17"/>
                <w:lang w:eastAsia="en-US"/>
              </w:rPr>
              <w:t xml:space="preserve">enchmark </w:t>
            </w:r>
          </w:p>
        </w:tc>
        <w:tc>
          <w:tcPr>
            <w:tcW w:w="350" w:type="pct"/>
          </w:tcPr>
          <w:p w:rsidR="00400B0F" w:rsidRPr="00880004" w:rsidRDefault="00400B0F" w:rsidP="009E7BB8">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Rating</w:t>
            </w:r>
          </w:p>
        </w:tc>
        <w:tc>
          <w:tcPr>
            <w:tcW w:w="2099" w:type="pct"/>
          </w:tcPr>
          <w:p w:rsidR="00400B0F" w:rsidRPr="00880004" w:rsidRDefault="00400B0F">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Progress in 201</w:t>
            </w:r>
            <w:r w:rsidR="00B15E76">
              <w:rPr>
                <w:rFonts w:asciiTheme="minorHAnsi" w:eastAsia="Times New Roman" w:hAnsiTheme="minorHAnsi"/>
                <w:b/>
                <w:iCs/>
                <w:szCs w:val="17"/>
                <w:lang w:eastAsia="en-US"/>
              </w:rPr>
              <w:t>8-19</w:t>
            </w:r>
          </w:p>
        </w:tc>
      </w:tr>
      <w:tr w:rsidR="00400B0F" w:rsidRPr="00EE4ED4" w:rsidTr="005E0867">
        <w:tc>
          <w:tcPr>
            <w:tcW w:w="780" w:type="pct"/>
            <w:tcMar>
              <w:top w:w="57" w:type="dxa"/>
              <w:bottom w:w="57" w:type="dxa"/>
            </w:tcMar>
          </w:tcPr>
          <w:p w:rsidR="00400B0F" w:rsidRPr="00880004" w:rsidRDefault="00BD37DA" w:rsidP="00320251">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 xml:space="preserve">Objective 1:  Effective Economic Institutions and Infrastructure </w:t>
            </w:r>
          </w:p>
        </w:tc>
        <w:tc>
          <w:tcPr>
            <w:tcW w:w="1771" w:type="pct"/>
          </w:tcPr>
          <w:p w:rsidR="00400B0F" w:rsidRPr="00880004" w:rsidRDefault="00FB06F8" w:rsidP="006F27B1">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AUD1 billion dollars in additional financing is leveraged.</w:t>
            </w:r>
          </w:p>
        </w:tc>
        <w:tc>
          <w:tcPr>
            <w:tcW w:w="350" w:type="pct"/>
            <w:shd w:val="clear" w:color="auto" w:fill="92D050"/>
          </w:tcPr>
          <w:p w:rsidR="00400B0F" w:rsidRPr="00880004" w:rsidRDefault="00400B0F" w:rsidP="006F27B1">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400B0F" w:rsidRPr="00880004" w:rsidRDefault="00EE4ED4" w:rsidP="00323C8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Australia has helped Indonesia to attract</w:t>
            </w:r>
            <w:r w:rsidRPr="00EE4ED4">
              <w:rPr>
                <w:rFonts w:asciiTheme="minorHAnsi" w:eastAsia="Times New Roman" w:hAnsiTheme="minorHAnsi"/>
                <w:iCs/>
                <w:szCs w:val="17"/>
                <w:lang w:eastAsia="en-US"/>
              </w:rPr>
              <w:t xml:space="preserve"> over AUD 2 billion of additional finance to help address Indonesia’s significant infrastructure gap. </w:t>
            </w:r>
            <w:r>
              <w:rPr>
                <w:rFonts w:asciiTheme="minorHAnsi" w:eastAsia="Times New Roman" w:hAnsiTheme="minorHAnsi"/>
                <w:iCs/>
                <w:szCs w:val="17"/>
                <w:lang w:eastAsia="en-US"/>
              </w:rPr>
              <w:t xml:space="preserve">This is twice as much as expected </w:t>
            </w:r>
            <w:r w:rsidR="00323C86">
              <w:rPr>
                <w:rFonts w:asciiTheme="minorHAnsi" w:eastAsia="Times New Roman" w:hAnsiTheme="minorHAnsi"/>
                <w:iCs/>
                <w:szCs w:val="17"/>
                <w:lang w:eastAsia="en-US"/>
              </w:rPr>
              <w:t xml:space="preserve">and </w:t>
            </w:r>
            <w:r w:rsidRPr="00EE4ED4">
              <w:rPr>
                <w:rFonts w:asciiTheme="minorHAnsi" w:eastAsia="Times New Roman" w:hAnsiTheme="minorHAnsi"/>
                <w:iCs/>
                <w:szCs w:val="17"/>
                <w:lang w:eastAsia="en-US"/>
              </w:rPr>
              <w:t>helped leverage more fun</w:t>
            </w:r>
            <w:r w:rsidR="00323C86">
              <w:rPr>
                <w:rFonts w:asciiTheme="minorHAnsi" w:eastAsia="Times New Roman" w:hAnsiTheme="minorHAnsi"/>
                <w:iCs/>
                <w:szCs w:val="17"/>
                <w:lang w:eastAsia="en-US"/>
              </w:rPr>
              <w:t>ding to improve agrarian reform, improve urban water access</w:t>
            </w:r>
            <w:r w:rsidRPr="00EE4ED4">
              <w:rPr>
                <w:rFonts w:asciiTheme="minorHAnsi" w:eastAsia="Times New Roman" w:hAnsiTheme="minorHAnsi"/>
                <w:iCs/>
                <w:szCs w:val="17"/>
                <w:lang w:eastAsia="en-US"/>
              </w:rPr>
              <w:t>, and strengthen irrigation systems</w:t>
            </w:r>
            <w:r w:rsidR="00400B0F" w:rsidRPr="00880004">
              <w:rPr>
                <w:rFonts w:asciiTheme="minorHAnsi" w:eastAsia="Times New Roman" w:hAnsiTheme="minorHAnsi"/>
                <w:iCs/>
                <w:szCs w:val="17"/>
                <w:lang w:eastAsia="en-US"/>
              </w:rPr>
              <w:t>.</w:t>
            </w:r>
          </w:p>
        </w:tc>
      </w:tr>
      <w:tr w:rsidR="006B747E" w:rsidRPr="00C61187" w:rsidTr="005E0867">
        <w:tc>
          <w:tcPr>
            <w:tcW w:w="780" w:type="pct"/>
            <w:tcMar>
              <w:top w:w="57" w:type="dxa"/>
              <w:bottom w:w="57" w:type="dxa"/>
            </w:tcMar>
          </w:tcPr>
          <w:p w:rsidR="006B747E" w:rsidRDefault="006B747E" w:rsidP="006B747E">
            <w:pPr>
              <w:keepLines/>
              <w:spacing w:before="40" w:after="40" w:line="200" w:lineRule="atLeast"/>
              <w:rPr>
                <w:rFonts w:eastAsia="Times New Roman"/>
                <w:iCs/>
                <w:szCs w:val="17"/>
              </w:rPr>
            </w:pPr>
          </w:p>
        </w:tc>
        <w:tc>
          <w:tcPr>
            <w:tcW w:w="1771" w:type="pct"/>
          </w:tcPr>
          <w:p w:rsidR="006B747E" w:rsidRPr="006B747E" w:rsidRDefault="00FB06F8" w:rsidP="006B747E">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300,000 cumulative farm households can access markets and increase their incomes by 30 per cent</w:t>
            </w:r>
            <w:r w:rsidR="006B747E" w:rsidRPr="006B747E">
              <w:rPr>
                <w:rFonts w:asciiTheme="minorHAnsi" w:eastAsia="Times New Roman" w:hAnsiTheme="minorHAnsi"/>
                <w:iCs/>
                <w:szCs w:val="17"/>
                <w:lang w:eastAsia="en-US"/>
              </w:rPr>
              <w:t>.</w:t>
            </w:r>
          </w:p>
        </w:tc>
        <w:tc>
          <w:tcPr>
            <w:tcW w:w="350" w:type="pct"/>
            <w:shd w:val="clear" w:color="auto" w:fill="92D050"/>
          </w:tcPr>
          <w:p w:rsidR="006B747E" w:rsidRPr="00880004" w:rsidRDefault="006B747E" w:rsidP="006B747E">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6B747E" w:rsidRPr="00880004" w:rsidRDefault="00323C86" w:rsidP="006B747E">
            <w:pPr>
              <w:keepLines/>
              <w:spacing w:before="40" w:after="40" w:line="200" w:lineRule="atLeast"/>
              <w:rPr>
                <w:rFonts w:eastAsia="Times New Roman"/>
                <w:iCs/>
                <w:szCs w:val="17"/>
              </w:rPr>
            </w:pPr>
            <w:r w:rsidRPr="00323C86">
              <w:rPr>
                <w:rFonts w:asciiTheme="minorHAnsi" w:eastAsia="Times New Roman" w:hAnsiTheme="minorHAnsi"/>
                <w:iCs/>
                <w:szCs w:val="17"/>
                <w:lang w:eastAsia="en-US"/>
              </w:rPr>
              <w:t>Australia helped to increase incomes of 345,001 smallholder farming households, comprising of 1,006,862 individual farmers (424,269 female, 571,867 men and 10,726 gender unknown), by 252 per cent.  This translates to an increase of around AUD500 per farm household during cropping season.</w:t>
            </w:r>
          </w:p>
        </w:tc>
      </w:tr>
      <w:tr w:rsidR="00323C86" w:rsidRPr="00C61187" w:rsidTr="00323C86">
        <w:tc>
          <w:tcPr>
            <w:tcW w:w="780" w:type="pct"/>
            <w:tcMar>
              <w:top w:w="57" w:type="dxa"/>
              <w:bottom w:w="57" w:type="dxa"/>
            </w:tcMar>
          </w:tcPr>
          <w:p w:rsidR="00323C86" w:rsidRPr="00880004" w:rsidRDefault="00323C86" w:rsidP="00323C86">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Objective 2:  Human Development for a Productive and Healthy Society</w:t>
            </w:r>
            <w:r w:rsidRPr="00880004">
              <w:rPr>
                <w:rFonts w:asciiTheme="minorHAnsi" w:eastAsia="Times New Roman" w:hAnsiTheme="minorHAnsi"/>
                <w:iCs/>
                <w:szCs w:val="17"/>
                <w:lang w:eastAsia="en-US"/>
              </w:rPr>
              <w:t xml:space="preserve"> </w:t>
            </w:r>
          </w:p>
        </w:tc>
        <w:tc>
          <w:tcPr>
            <w:tcW w:w="1771" w:type="pct"/>
          </w:tcPr>
          <w:p w:rsidR="00323C86" w:rsidRPr="00880004" w:rsidRDefault="00323C86" w:rsidP="00323C86">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150 district/city governments (60 new) identify and target excluded women and men for potential inclusion in social protection programs.</w:t>
            </w:r>
          </w:p>
        </w:tc>
        <w:tc>
          <w:tcPr>
            <w:tcW w:w="350" w:type="pct"/>
            <w:shd w:val="clear" w:color="auto" w:fill="92D050"/>
          </w:tcPr>
          <w:p w:rsidR="00323C86" w:rsidRPr="00880004" w:rsidRDefault="00323C86" w:rsidP="00323C86">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323C86" w:rsidRPr="00880004" w:rsidRDefault="00323C86" w:rsidP="006937C2">
            <w:pPr>
              <w:keepLines/>
              <w:spacing w:before="40" w:after="40" w:line="200" w:lineRule="atLeast"/>
              <w:rPr>
                <w:rFonts w:asciiTheme="minorHAnsi" w:eastAsia="Times New Roman" w:hAnsiTheme="minorHAnsi"/>
                <w:iCs/>
                <w:szCs w:val="17"/>
                <w:lang w:eastAsia="en-US"/>
              </w:rPr>
            </w:pPr>
            <w:r w:rsidRPr="00323C86">
              <w:rPr>
                <w:rFonts w:asciiTheme="minorHAnsi" w:eastAsia="Times New Roman" w:hAnsiTheme="minorHAnsi"/>
                <w:iCs/>
                <w:szCs w:val="17"/>
                <w:lang w:eastAsia="en-US"/>
              </w:rPr>
              <w:t xml:space="preserve">Australia also supported a team of technical experts to strengthen the Ministry of Social Affairs integrated-referral system (SLRT), a national level system that help </w:t>
            </w:r>
            <w:r w:rsidR="006937C2">
              <w:rPr>
                <w:rFonts w:asciiTheme="minorHAnsi" w:eastAsia="Times New Roman" w:hAnsiTheme="minorHAnsi"/>
                <w:iCs/>
                <w:szCs w:val="17"/>
                <w:lang w:eastAsia="en-US"/>
              </w:rPr>
              <w:t>159</w:t>
            </w:r>
            <w:r w:rsidRPr="00323C86">
              <w:rPr>
                <w:rFonts w:asciiTheme="minorHAnsi" w:eastAsia="Times New Roman" w:hAnsiTheme="minorHAnsi"/>
                <w:iCs/>
                <w:szCs w:val="17"/>
                <w:lang w:eastAsia="en-US"/>
              </w:rPr>
              <w:t xml:space="preserve"> district governments, including 65 new districts, to connect poor people to local-level social assistance programs and services such as health insurance and school grants.</w:t>
            </w:r>
            <w:r>
              <w:rPr>
                <w:rFonts w:asciiTheme="minorHAnsi" w:hAnsiTheme="minorHAnsi"/>
                <w:color w:val="auto"/>
                <w:sz w:val="22"/>
                <w:lang w:val="en-AU"/>
              </w:rPr>
              <w:t xml:space="preserve">  </w:t>
            </w:r>
          </w:p>
        </w:tc>
      </w:tr>
      <w:tr w:rsidR="00E82367" w:rsidRPr="00C61187" w:rsidTr="00E82367">
        <w:tc>
          <w:tcPr>
            <w:tcW w:w="780" w:type="pct"/>
            <w:tcMar>
              <w:top w:w="57" w:type="dxa"/>
              <w:bottom w:w="57" w:type="dxa"/>
            </w:tcMar>
          </w:tcPr>
          <w:p w:rsidR="00E82367" w:rsidRDefault="00E82367" w:rsidP="00E82367">
            <w:pPr>
              <w:keepLines/>
              <w:spacing w:before="40" w:after="40" w:line="200" w:lineRule="atLeast"/>
              <w:rPr>
                <w:rFonts w:eastAsia="Times New Roman"/>
                <w:iCs/>
                <w:szCs w:val="17"/>
              </w:rPr>
            </w:pPr>
          </w:p>
        </w:tc>
        <w:tc>
          <w:tcPr>
            <w:tcW w:w="1771" w:type="pct"/>
          </w:tcPr>
          <w:p w:rsidR="00E82367" w:rsidRPr="006B747E" w:rsidRDefault="00E82367" w:rsidP="00E82367">
            <w:pPr>
              <w:keepLines/>
              <w:spacing w:before="40" w:after="40" w:line="200" w:lineRule="atLeast"/>
              <w:rPr>
                <w:rFonts w:asciiTheme="minorHAnsi" w:eastAsia="Times New Roman" w:hAnsiTheme="minorHAnsi"/>
                <w:iCs/>
                <w:szCs w:val="17"/>
                <w:lang w:eastAsia="en-US"/>
              </w:rPr>
            </w:pPr>
            <w:r w:rsidRPr="006B747E">
              <w:rPr>
                <w:rFonts w:asciiTheme="minorHAnsi" w:eastAsia="Times New Roman" w:hAnsiTheme="minorHAnsi"/>
                <w:iCs/>
                <w:szCs w:val="17"/>
                <w:lang w:eastAsia="en-US"/>
              </w:rPr>
              <w:t>10,000 people with disabilities in rural areas benefit from disability inclusive-designed water and sanitation infrastructure.</w:t>
            </w:r>
          </w:p>
        </w:tc>
        <w:tc>
          <w:tcPr>
            <w:tcW w:w="350" w:type="pct"/>
            <w:shd w:val="clear" w:color="auto" w:fill="92D050"/>
          </w:tcPr>
          <w:p w:rsidR="00E82367" w:rsidRPr="00880004" w:rsidRDefault="00E82367" w:rsidP="00E82367">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E82367" w:rsidRPr="00880004" w:rsidRDefault="00E82367" w:rsidP="00E82367">
            <w:pPr>
              <w:keepLines/>
              <w:spacing w:before="40" w:after="40" w:line="200" w:lineRule="atLeast"/>
              <w:rPr>
                <w:rFonts w:eastAsia="Times New Roman"/>
                <w:iCs/>
                <w:szCs w:val="17"/>
              </w:rPr>
            </w:pPr>
            <w:r w:rsidRPr="00E82367">
              <w:rPr>
                <w:rFonts w:asciiTheme="minorHAnsi" w:eastAsia="Times New Roman" w:hAnsiTheme="minorHAnsi"/>
                <w:iCs/>
                <w:szCs w:val="17"/>
                <w:lang w:eastAsia="en-US"/>
              </w:rPr>
              <w:t>Our technical assistance provided disability inclusive infrastructure that resulted in 1,949 villages installed with public water taps, and sanitation facilities in 1,100 schools using disability-inclusive infrastructure that gave approximately 12,567 people with disability</w:t>
            </w:r>
            <w:r>
              <w:rPr>
                <w:rFonts w:asciiTheme="minorHAnsi" w:eastAsia="Times New Roman" w:hAnsiTheme="minorHAnsi"/>
                <w:iCs/>
                <w:szCs w:val="17"/>
                <w:lang w:eastAsia="en-US"/>
              </w:rPr>
              <w:t xml:space="preserve"> </w:t>
            </w:r>
            <w:r w:rsidRPr="00E82367">
              <w:rPr>
                <w:rFonts w:asciiTheme="minorHAnsi" w:eastAsia="Times New Roman" w:hAnsiTheme="minorHAnsi"/>
                <w:iCs/>
                <w:szCs w:val="17"/>
                <w:lang w:eastAsia="en-US"/>
              </w:rPr>
              <w:t>access to water and sanitation.</w:t>
            </w:r>
          </w:p>
        </w:tc>
      </w:tr>
      <w:tr w:rsidR="00E82367" w:rsidRPr="00C61187" w:rsidTr="009D0433">
        <w:tc>
          <w:tcPr>
            <w:tcW w:w="780" w:type="pct"/>
            <w:tcMar>
              <w:top w:w="57" w:type="dxa"/>
              <w:bottom w:w="57" w:type="dxa"/>
            </w:tcMar>
          </w:tcPr>
          <w:p w:rsidR="00E82367" w:rsidRDefault="00E82367" w:rsidP="00E82367">
            <w:pPr>
              <w:keepLines/>
              <w:spacing w:before="40" w:after="40" w:line="200" w:lineRule="atLeast"/>
              <w:rPr>
                <w:rFonts w:eastAsia="Times New Roman"/>
                <w:iCs/>
                <w:szCs w:val="17"/>
              </w:rPr>
            </w:pPr>
          </w:p>
        </w:tc>
        <w:tc>
          <w:tcPr>
            <w:tcW w:w="1771" w:type="pct"/>
          </w:tcPr>
          <w:p w:rsidR="00E82367" w:rsidRPr="00880004" w:rsidRDefault="00E82367" w:rsidP="00E82367">
            <w:pPr>
              <w:keepLines/>
              <w:spacing w:before="40" w:after="40" w:line="200" w:lineRule="atLeast"/>
              <w:rPr>
                <w:rFonts w:eastAsia="Times New Roman"/>
                <w:iCs/>
                <w:szCs w:val="17"/>
              </w:rPr>
            </w:pPr>
            <w:r w:rsidRPr="00FB06F8">
              <w:rPr>
                <w:rFonts w:asciiTheme="minorHAnsi" w:eastAsia="Times New Roman" w:hAnsiTheme="minorHAnsi"/>
                <w:iCs/>
                <w:szCs w:val="17"/>
                <w:lang w:eastAsia="en-US"/>
              </w:rPr>
              <w:t>Literacy and numeracy scores increase for girls and boys in target communities relative to baseline.</w:t>
            </w:r>
          </w:p>
        </w:tc>
        <w:tc>
          <w:tcPr>
            <w:tcW w:w="350" w:type="pct"/>
            <w:shd w:val="clear" w:color="auto" w:fill="92D050"/>
          </w:tcPr>
          <w:p w:rsidR="00E82367" w:rsidRPr="00880004" w:rsidRDefault="00E82367" w:rsidP="00E82367">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E82367" w:rsidRPr="00880004" w:rsidRDefault="00E82367" w:rsidP="006937C2">
            <w:pPr>
              <w:keepLines/>
              <w:spacing w:before="40" w:after="40" w:line="200" w:lineRule="atLeast"/>
              <w:rPr>
                <w:rFonts w:eastAsia="Times New Roman"/>
                <w:iCs/>
                <w:szCs w:val="17"/>
              </w:rPr>
            </w:pPr>
            <w:r w:rsidRPr="00E82367">
              <w:rPr>
                <w:rFonts w:asciiTheme="minorHAnsi" w:eastAsia="Times New Roman" w:hAnsiTheme="minorHAnsi"/>
                <w:iCs/>
                <w:szCs w:val="17"/>
                <w:lang w:eastAsia="en-US"/>
              </w:rPr>
              <w:t>Australia worked with more than 200 schools and 550 teachers across seven provinces to improve the quality of classroom learning by supporting teachers to develop teaching competencies rel</w:t>
            </w:r>
            <w:r w:rsidR="006937C2">
              <w:rPr>
                <w:rFonts w:asciiTheme="minorHAnsi" w:eastAsia="Times New Roman" w:hAnsiTheme="minorHAnsi"/>
                <w:iCs/>
                <w:szCs w:val="17"/>
                <w:lang w:eastAsia="en-US"/>
              </w:rPr>
              <w:t xml:space="preserve">evant to their school context. </w:t>
            </w:r>
            <w:r w:rsidRPr="00E82367">
              <w:rPr>
                <w:rFonts w:asciiTheme="minorHAnsi" w:eastAsia="Times New Roman" w:hAnsiTheme="minorHAnsi"/>
                <w:iCs/>
                <w:szCs w:val="17"/>
                <w:lang w:eastAsia="en-US"/>
              </w:rPr>
              <w:t xml:space="preserve">These approaches resulted in 67 per cent (670) of boys and 60 per cent (555) or girls </w:t>
            </w:r>
            <w:r w:rsidR="006937C2">
              <w:rPr>
                <w:rFonts w:asciiTheme="minorHAnsi" w:eastAsia="Times New Roman" w:hAnsiTheme="minorHAnsi"/>
                <w:iCs/>
                <w:szCs w:val="17"/>
                <w:lang w:eastAsia="en-US"/>
              </w:rPr>
              <w:t>increasing</w:t>
            </w:r>
            <w:r w:rsidRPr="00E82367">
              <w:rPr>
                <w:rFonts w:asciiTheme="minorHAnsi" w:eastAsia="Times New Roman" w:hAnsiTheme="minorHAnsi"/>
                <w:iCs/>
                <w:szCs w:val="17"/>
                <w:lang w:eastAsia="en-US"/>
              </w:rPr>
              <w:t xml:space="preserve"> their literacy scores, and 49 per cent (488) of boys and 41 per cent of girls (382) </w:t>
            </w:r>
            <w:r w:rsidR="006937C2">
              <w:rPr>
                <w:rFonts w:asciiTheme="minorHAnsi" w:eastAsia="Times New Roman" w:hAnsiTheme="minorHAnsi"/>
                <w:iCs/>
                <w:szCs w:val="17"/>
                <w:lang w:eastAsia="en-US"/>
              </w:rPr>
              <w:t>increasing</w:t>
            </w:r>
            <w:r w:rsidRPr="00E82367">
              <w:rPr>
                <w:rFonts w:asciiTheme="minorHAnsi" w:eastAsia="Times New Roman" w:hAnsiTheme="minorHAnsi"/>
                <w:iCs/>
                <w:szCs w:val="17"/>
                <w:lang w:eastAsia="en-US"/>
              </w:rPr>
              <w:t xml:space="preserve"> their numeracy scores</w:t>
            </w:r>
            <w:r>
              <w:rPr>
                <w:rFonts w:asciiTheme="minorHAnsi" w:eastAsia="Times New Roman" w:hAnsiTheme="minorHAnsi"/>
                <w:iCs/>
                <w:szCs w:val="17"/>
                <w:lang w:eastAsia="en-US"/>
              </w:rPr>
              <w:t>.</w:t>
            </w:r>
          </w:p>
        </w:tc>
      </w:tr>
      <w:tr w:rsidR="009D0433" w:rsidRPr="00C61187" w:rsidTr="009D0433">
        <w:tc>
          <w:tcPr>
            <w:tcW w:w="780" w:type="pct"/>
            <w:tcMar>
              <w:top w:w="57" w:type="dxa"/>
              <w:bottom w:w="57" w:type="dxa"/>
            </w:tcMar>
          </w:tcPr>
          <w:p w:rsidR="009D0433" w:rsidRPr="00880004" w:rsidRDefault="009D0433" w:rsidP="009D0433">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Objective 3:  An Inclusive Society Through Effective Governance</w:t>
            </w:r>
          </w:p>
        </w:tc>
        <w:tc>
          <w:tcPr>
            <w:tcW w:w="1771" w:type="pct"/>
          </w:tcPr>
          <w:p w:rsidR="009D0433" w:rsidRPr="00880004" w:rsidRDefault="009D0433" w:rsidP="009D0433">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Villages in target areas allocate at least 20 per cent of Village Funds for basic services (health, education, legal identity, and basic infrastructure)</w:t>
            </w:r>
          </w:p>
        </w:tc>
        <w:tc>
          <w:tcPr>
            <w:tcW w:w="350" w:type="pct"/>
            <w:shd w:val="clear" w:color="auto" w:fill="92D050"/>
          </w:tcPr>
          <w:p w:rsidR="009D0433" w:rsidRPr="00880004" w:rsidRDefault="009D0433" w:rsidP="009D0433">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9D0433" w:rsidRPr="00880004" w:rsidRDefault="009D0433" w:rsidP="004F2B7A">
            <w:pPr>
              <w:keepLines/>
              <w:spacing w:before="40" w:after="40" w:line="200" w:lineRule="atLeast"/>
              <w:rPr>
                <w:rFonts w:asciiTheme="minorHAnsi" w:eastAsia="Times New Roman" w:hAnsiTheme="minorHAnsi"/>
                <w:iCs/>
                <w:szCs w:val="17"/>
                <w:lang w:eastAsia="en-US"/>
              </w:rPr>
            </w:pPr>
            <w:r w:rsidRPr="00E82367">
              <w:rPr>
                <w:rFonts w:asciiTheme="minorHAnsi" w:eastAsia="Times New Roman" w:hAnsiTheme="minorHAnsi"/>
                <w:iCs/>
                <w:szCs w:val="17"/>
                <w:lang w:eastAsia="en-US"/>
              </w:rPr>
              <w:t>Australia’s technical support helped to establish village governance units to develop work plans and budgets with a strong focus on increasing a</w:t>
            </w:r>
            <w:r w:rsidR="006937C2">
              <w:rPr>
                <w:rFonts w:asciiTheme="minorHAnsi" w:eastAsia="Times New Roman" w:hAnsiTheme="minorHAnsi"/>
                <w:iCs/>
                <w:szCs w:val="17"/>
                <w:lang w:eastAsia="en-US"/>
              </w:rPr>
              <w:t xml:space="preserve">llocations </w:t>
            </w:r>
            <w:r w:rsidR="004F2B7A">
              <w:rPr>
                <w:rFonts w:asciiTheme="minorHAnsi" w:eastAsia="Times New Roman" w:hAnsiTheme="minorHAnsi"/>
                <w:iCs/>
                <w:szCs w:val="17"/>
                <w:lang w:eastAsia="en-US"/>
              </w:rPr>
              <w:t xml:space="preserve">of at least by 20 per cent </w:t>
            </w:r>
            <w:r w:rsidR="006937C2">
              <w:rPr>
                <w:rFonts w:asciiTheme="minorHAnsi" w:eastAsia="Times New Roman" w:hAnsiTheme="minorHAnsi"/>
                <w:iCs/>
                <w:szCs w:val="17"/>
                <w:lang w:eastAsia="en-US"/>
              </w:rPr>
              <w:t>for basic services</w:t>
            </w:r>
            <w:r w:rsidR="004F2B7A">
              <w:rPr>
                <w:rFonts w:asciiTheme="minorHAnsi" w:eastAsia="Times New Roman" w:hAnsiTheme="minorHAnsi"/>
                <w:iCs/>
                <w:szCs w:val="17"/>
                <w:lang w:eastAsia="en-US"/>
              </w:rPr>
              <w:t>, with some villages increasing by up to 50 per cent</w:t>
            </w:r>
            <w:r w:rsidR="006937C2">
              <w:rPr>
                <w:rFonts w:asciiTheme="minorHAnsi" w:eastAsia="Times New Roman" w:hAnsiTheme="minorHAnsi"/>
                <w:iCs/>
                <w:szCs w:val="17"/>
                <w:lang w:eastAsia="en-US"/>
              </w:rPr>
              <w:t>. D</w:t>
            </w:r>
            <w:r w:rsidRPr="00E82367">
              <w:rPr>
                <w:rFonts w:asciiTheme="minorHAnsi" w:eastAsia="Times New Roman" w:hAnsiTheme="minorHAnsi"/>
                <w:iCs/>
                <w:szCs w:val="17"/>
                <w:lang w:eastAsia="en-US"/>
              </w:rPr>
              <w:t xml:space="preserve">istricts and villages </w:t>
            </w:r>
            <w:r w:rsidR="006937C2">
              <w:rPr>
                <w:rFonts w:asciiTheme="minorHAnsi" w:eastAsia="Times New Roman" w:hAnsiTheme="minorHAnsi"/>
                <w:iCs/>
                <w:szCs w:val="17"/>
                <w:lang w:eastAsia="en-US"/>
              </w:rPr>
              <w:t>increased</w:t>
            </w:r>
            <w:r w:rsidRPr="00E82367">
              <w:rPr>
                <w:rFonts w:asciiTheme="minorHAnsi" w:eastAsia="Times New Roman" w:hAnsiTheme="minorHAnsi"/>
                <w:iCs/>
                <w:szCs w:val="17"/>
                <w:lang w:eastAsia="en-US"/>
              </w:rPr>
              <w:t xml:space="preserve"> consultation with women and marginalised groups to have their needs included </w:t>
            </w:r>
            <w:r w:rsidR="006937C2">
              <w:rPr>
                <w:rFonts w:asciiTheme="minorHAnsi" w:eastAsia="Times New Roman" w:hAnsiTheme="minorHAnsi"/>
                <w:iCs/>
                <w:szCs w:val="17"/>
                <w:lang w:eastAsia="en-US"/>
              </w:rPr>
              <w:t xml:space="preserve">in </w:t>
            </w:r>
            <w:r w:rsidRPr="00E82367">
              <w:rPr>
                <w:rFonts w:asciiTheme="minorHAnsi" w:eastAsia="Times New Roman" w:hAnsiTheme="minorHAnsi"/>
                <w:iCs/>
                <w:szCs w:val="17"/>
                <w:lang w:eastAsia="en-US"/>
              </w:rPr>
              <w:t xml:space="preserve">local budgets.  </w:t>
            </w:r>
          </w:p>
        </w:tc>
      </w:tr>
      <w:tr w:rsidR="009D0433" w:rsidRPr="00C61187" w:rsidTr="009D0433">
        <w:tc>
          <w:tcPr>
            <w:tcW w:w="780" w:type="pct"/>
            <w:tcMar>
              <w:top w:w="57" w:type="dxa"/>
              <w:bottom w:w="57" w:type="dxa"/>
            </w:tcMar>
          </w:tcPr>
          <w:p w:rsidR="009D0433" w:rsidRDefault="009D0433" w:rsidP="009D0433">
            <w:pPr>
              <w:keepLines/>
              <w:spacing w:before="40" w:after="40" w:line="200" w:lineRule="atLeast"/>
              <w:rPr>
                <w:rFonts w:eastAsia="Times New Roman"/>
                <w:iCs/>
                <w:szCs w:val="17"/>
              </w:rPr>
            </w:pPr>
          </w:p>
        </w:tc>
        <w:tc>
          <w:tcPr>
            <w:tcW w:w="1771" w:type="pct"/>
          </w:tcPr>
          <w:p w:rsidR="009D0433" w:rsidRPr="00796C4B" w:rsidRDefault="009D0433" w:rsidP="009D0433">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More than 10,000 women and men receive legal identity documents through DFAT-funded approaches and models.</w:t>
            </w:r>
          </w:p>
        </w:tc>
        <w:tc>
          <w:tcPr>
            <w:tcW w:w="350" w:type="pct"/>
            <w:shd w:val="clear" w:color="auto" w:fill="92D050"/>
          </w:tcPr>
          <w:p w:rsidR="009D0433" w:rsidRPr="00880004" w:rsidRDefault="009D0433" w:rsidP="009D0433">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9D0433" w:rsidRPr="00880004" w:rsidRDefault="009D0433" w:rsidP="009D0433">
            <w:pPr>
              <w:pStyle w:val="TableTextEntries"/>
              <w:keepNext/>
              <w:rPr>
                <w:rFonts w:asciiTheme="minorHAnsi" w:hAnsiTheme="minorHAnsi" w:cstheme="minorBidi"/>
                <w:color w:val="495965" w:themeColor="text2"/>
                <w:lang w:val="en-GB"/>
              </w:rPr>
            </w:pPr>
            <w:r w:rsidRPr="009D0433">
              <w:rPr>
                <w:rFonts w:asciiTheme="minorHAnsi" w:hAnsiTheme="minorHAnsi" w:cstheme="minorBidi"/>
                <w:color w:val="495965" w:themeColor="text2"/>
                <w:lang w:val="en-GB" w:eastAsia="en-US"/>
              </w:rPr>
              <w:t>Australia worked with local government and CSOs that helped an additional 123,091 Indonesian women, men and children received legal identity documents like birth certificates and national identity cards</w:t>
            </w:r>
            <w:r>
              <w:rPr>
                <w:rFonts w:asciiTheme="minorHAnsi" w:hAnsiTheme="minorHAnsi" w:cstheme="minorBidi"/>
                <w:color w:val="495965" w:themeColor="text2"/>
                <w:lang w:val="en-GB" w:eastAsia="en-US"/>
              </w:rPr>
              <w:t>.</w:t>
            </w:r>
          </w:p>
        </w:tc>
      </w:tr>
      <w:tr w:rsidR="009D0433" w:rsidRPr="00C61187" w:rsidTr="009D0433">
        <w:tc>
          <w:tcPr>
            <w:tcW w:w="780" w:type="pct"/>
            <w:tcMar>
              <w:top w:w="57" w:type="dxa"/>
              <w:bottom w:w="57" w:type="dxa"/>
            </w:tcMar>
          </w:tcPr>
          <w:p w:rsidR="009D0433" w:rsidRDefault="009D0433" w:rsidP="009D0433">
            <w:pPr>
              <w:keepLines/>
              <w:spacing w:before="40" w:after="40" w:line="200" w:lineRule="atLeast"/>
              <w:rPr>
                <w:rFonts w:eastAsia="Times New Roman"/>
                <w:iCs/>
                <w:szCs w:val="17"/>
              </w:rPr>
            </w:pPr>
          </w:p>
        </w:tc>
        <w:tc>
          <w:tcPr>
            <w:tcW w:w="1771" w:type="pct"/>
          </w:tcPr>
          <w:p w:rsidR="009D0433" w:rsidRPr="00FB06F8" w:rsidRDefault="009D0433" w:rsidP="009D0433">
            <w:pPr>
              <w:keepLines/>
              <w:spacing w:before="40" w:after="40" w:line="200" w:lineRule="atLeast"/>
              <w:rPr>
                <w:rFonts w:asciiTheme="minorHAnsi" w:eastAsia="Times New Roman" w:hAnsiTheme="minorHAnsi"/>
                <w:iCs/>
                <w:szCs w:val="17"/>
                <w:lang w:eastAsia="en-US"/>
              </w:rPr>
            </w:pPr>
            <w:r w:rsidRPr="00FB06F8">
              <w:rPr>
                <w:rFonts w:asciiTheme="minorHAnsi" w:eastAsia="Times New Roman" w:hAnsiTheme="minorHAnsi"/>
                <w:iCs/>
                <w:szCs w:val="17"/>
                <w:lang w:eastAsia="en-US"/>
              </w:rPr>
              <w:t>A majority of directly supported civil society organisations and networks have demonstrated improved capacity to increase women’s participation in decision-making processes.</w:t>
            </w:r>
          </w:p>
        </w:tc>
        <w:tc>
          <w:tcPr>
            <w:tcW w:w="350" w:type="pct"/>
            <w:shd w:val="clear" w:color="auto" w:fill="92D050"/>
          </w:tcPr>
          <w:p w:rsidR="009D0433" w:rsidRPr="00880004" w:rsidRDefault="009D0433" w:rsidP="009D0433">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099" w:type="pct"/>
          </w:tcPr>
          <w:p w:rsidR="009D0433" w:rsidRPr="00880004" w:rsidRDefault="009D0433" w:rsidP="00DB0B7F">
            <w:pPr>
              <w:pStyle w:val="TableTextEntries"/>
              <w:keepNext/>
              <w:rPr>
                <w:rFonts w:asciiTheme="minorHAnsi" w:hAnsiTheme="minorHAnsi" w:cstheme="minorBidi"/>
                <w:color w:val="495965" w:themeColor="text2"/>
                <w:lang w:val="en-GB"/>
              </w:rPr>
            </w:pPr>
            <w:r w:rsidRPr="009D0433">
              <w:rPr>
                <w:rFonts w:asciiTheme="minorHAnsi" w:hAnsiTheme="minorHAnsi" w:cstheme="minorBidi"/>
                <w:color w:val="495965" w:themeColor="text2"/>
                <w:lang w:val="en-GB" w:eastAsia="en-US"/>
              </w:rPr>
              <w:t>Australia supported 125 civil society organisations that have formed almost 200 additional village level groups between</w:t>
            </w:r>
            <w:r w:rsidR="004F2B7A">
              <w:rPr>
                <w:rFonts w:asciiTheme="minorHAnsi" w:hAnsiTheme="minorHAnsi" w:cstheme="minorBidi"/>
                <w:color w:val="495965" w:themeColor="text2"/>
                <w:lang w:val="en-GB" w:eastAsia="en-US"/>
              </w:rPr>
              <w:t xml:space="preserve"> September 2018 </w:t>
            </w:r>
            <w:r w:rsidR="00DB0B7F">
              <w:rPr>
                <w:rFonts w:asciiTheme="minorHAnsi" w:hAnsiTheme="minorHAnsi" w:cstheme="minorBidi"/>
                <w:color w:val="495965" w:themeColor="text2"/>
                <w:lang w:val="en-GB" w:eastAsia="en-US"/>
              </w:rPr>
              <w:t>and</w:t>
            </w:r>
            <w:r w:rsidR="004F2B7A">
              <w:rPr>
                <w:rFonts w:asciiTheme="minorHAnsi" w:hAnsiTheme="minorHAnsi" w:cstheme="minorBidi"/>
                <w:color w:val="495965" w:themeColor="text2"/>
                <w:lang w:val="en-GB" w:eastAsia="en-US"/>
              </w:rPr>
              <w:t xml:space="preserve"> March 2019. </w:t>
            </w:r>
            <w:r w:rsidRPr="009D0433">
              <w:rPr>
                <w:rFonts w:asciiTheme="minorHAnsi" w:hAnsiTheme="minorHAnsi" w:cstheme="minorBidi"/>
                <w:color w:val="495965" w:themeColor="text2"/>
                <w:lang w:val="en-GB" w:eastAsia="en-US"/>
              </w:rPr>
              <w:t>Overall, a total of 1,012 groups established have been established since January 2017, with a membership of 16,406 women and 437 men participating in important decision making processes like village development planning and budgeting</w:t>
            </w:r>
          </w:p>
        </w:tc>
      </w:tr>
    </w:tbl>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  Significant progress has been made and the performance benchmark was achieved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  Some progress has been made towards achieving the performance benchmark, but progress was less than anticipated. </w:t>
      </w:r>
    </w:p>
    <w:p w:rsidR="00400B0F" w:rsidRPr="00880004" w:rsidRDefault="00400B0F" w:rsidP="00400B0F">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towards the performance benchmark has been significantly below expectations</w:t>
      </w:r>
    </w:p>
    <w:p w:rsidR="0042289C" w:rsidRDefault="0042289C" w:rsidP="007B4865">
      <w:pPr>
        <w:rPr>
          <w:rFonts w:ascii="Franklin Gothic Book" w:eastAsia="Times New Roman" w:hAnsi="Franklin Gothic Book"/>
          <w:b/>
          <w:sz w:val="24"/>
          <w:szCs w:val="24"/>
        </w:rPr>
      </w:pPr>
    </w:p>
    <w:p w:rsidR="00CE5DF0" w:rsidRDefault="00CE5DF0" w:rsidP="007B4865">
      <w:pPr>
        <w:rPr>
          <w:rFonts w:ascii="Franklin Gothic Book" w:eastAsia="Times New Roman" w:hAnsi="Franklin Gothic Book"/>
          <w:b/>
          <w:sz w:val="24"/>
          <w:szCs w:val="24"/>
        </w:rPr>
      </w:pPr>
      <w:r w:rsidRPr="007B4865">
        <w:rPr>
          <w:rFonts w:ascii="Franklin Gothic Book" w:eastAsia="Times New Roman" w:hAnsi="Franklin Gothic Book"/>
          <w:b/>
          <w:sz w:val="24"/>
          <w:szCs w:val="24"/>
        </w:rPr>
        <w:t xml:space="preserve">Performance Benchmarks </w:t>
      </w:r>
      <w:r w:rsidR="00320251" w:rsidRPr="007B4865">
        <w:rPr>
          <w:rFonts w:ascii="Franklin Gothic Book" w:eastAsia="Times New Roman" w:hAnsi="Franklin Gothic Book"/>
          <w:b/>
          <w:sz w:val="24"/>
          <w:szCs w:val="24"/>
        </w:rPr>
        <w:t>for remainder of A</w:t>
      </w:r>
      <w:r w:rsidR="007B4865">
        <w:rPr>
          <w:rFonts w:ascii="Franklin Gothic Book" w:eastAsia="Times New Roman" w:hAnsi="Franklin Gothic Book"/>
          <w:b/>
          <w:sz w:val="24"/>
          <w:szCs w:val="24"/>
        </w:rPr>
        <w:t xml:space="preserve">id </w:t>
      </w:r>
      <w:r w:rsidR="00320251" w:rsidRPr="007B4865">
        <w:rPr>
          <w:rFonts w:ascii="Franklin Gothic Book" w:eastAsia="Times New Roman" w:hAnsi="Franklin Gothic Book"/>
          <w:b/>
          <w:sz w:val="24"/>
          <w:szCs w:val="24"/>
        </w:rPr>
        <w:t>I</w:t>
      </w:r>
      <w:r w:rsidR="007B4865">
        <w:rPr>
          <w:rFonts w:ascii="Franklin Gothic Book" w:eastAsia="Times New Roman" w:hAnsi="Franklin Gothic Book"/>
          <w:b/>
          <w:sz w:val="24"/>
          <w:szCs w:val="24"/>
        </w:rPr>
        <w:t xml:space="preserve">nvestment </w:t>
      </w:r>
      <w:r w:rsidR="00320251" w:rsidRPr="007B4865">
        <w:rPr>
          <w:rFonts w:ascii="Franklin Gothic Book" w:eastAsia="Times New Roman" w:hAnsi="Franklin Gothic Book"/>
          <w:b/>
          <w:sz w:val="24"/>
          <w:szCs w:val="24"/>
        </w:rPr>
        <w:t>P</w:t>
      </w:r>
      <w:r w:rsidR="007B4865">
        <w:rPr>
          <w:rFonts w:ascii="Franklin Gothic Book" w:eastAsia="Times New Roman" w:hAnsi="Franklin Gothic Book"/>
          <w:b/>
          <w:sz w:val="24"/>
          <w:szCs w:val="24"/>
        </w:rPr>
        <w:t xml:space="preserve">lan </w:t>
      </w:r>
      <w:r w:rsidR="00320251" w:rsidRPr="007B4865">
        <w:rPr>
          <w:rFonts w:ascii="Franklin Gothic Book" w:eastAsia="Times New Roman" w:hAnsi="Franklin Gothic Book"/>
          <w:b/>
          <w:sz w:val="24"/>
          <w:szCs w:val="24"/>
        </w:rPr>
        <w:t xml:space="preserve"> </w:t>
      </w:r>
      <w:r w:rsidRPr="007B4865">
        <w:rPr>
          <w:rFonts w:ascii="Franklin Gothic Book" w:eastAsia="Times New Roman" w:hAnsi="Franklin Gothic Book"/>
          <w:b/>
          <w:sz w:val="24"/>
          <w:szCs w:val="24"/>
        </w:rPr>
        <w:t xml:space="preserve"> </w:t>
      </w:r>
    </w:p>
    <w:tbl>
      <w:tblPr>
        <w:tblStyle w:val="DFATTable"/>
        <w:tblW w:w="4946" w:type="pct"/>
        <w:tblLook w:val="04A0" w:firstRow="1" w:lastRow="0" w:firstColumn="1" w:lastColumn="0" w:noHBand="0" w:noVBand="1"/>
      </w:tblPr>
      <w:tblGrid>
        <w:gridCol w:w="2246"/>
        <w:gridCol w:w="4231"/>
        <w:gridCol w:w="2243"/>
        <w:gridCol w:w="2852"/>
        <w:gridCol w:w="2448"/>
      </w:tblGrid>
      <w:tr w:rsidR="00320251" w:rsidTr="005C10E1">
        <w:trPr>
          <w:trHeight w:val="331"/>
        </w:trPr>
        <w:tc>
          <w:tcPr>
            <w:tcW w:w="801" w:type="pct"/>
            <w:tcBorders>
              <w:top w:val="single" w:sz="12" w:space="0" w:color="auto"/>
              <w:left w:val="nil"/>
              <w:bottom w:val="nil"/>
              <w:right w:val="nil"/>
            </w:tcBorders>
          </w:tcPr>
          <w:p w:rsidR="00320251" w:rsidRPr="00BE6C6D" w:rsidRDefault="00320251" w:rsidP="00320251">
            <w:pPr>
              <w:pStyle w:val="NormalIndented"/>
              <w:rPr>
                <w:rFonts w:asciiTheme="minorHAnsi" w:hAnsiTheme="minorHAnsi"/>
              </w:rPr>
            </w:pPr>
            <w:r w:rsidRPr="00880004">
              <w:rPr>
                <w:rFonts w:asciiTheme="minorHAnsi" w:eastAsia="Times New Roman" w:hAnsiTheme="minorHAnsi"/>
                <w:b/>
                <w:iCs/>
                <w:szCs w:val="17"/>
                <w:lang w:eastAsia="en-US"/>
              </w:rPr>
              <w:t>Aid objective</w:t>
            </w:r>
          </w:p>
        </w:tc>
        <w:tc>
          <w:tcPr>
            <w:tcW w:w="1509" w:type="pct"/>
            <w:tcBorders>
              <w:top w:val="single" w:sz="12" w:space="0" w:color="auto"/>
              <w:left w:val="nil"/>
              <w:bottom w:val="nil"/>
              <w:right w:val="nil"/>
            </w:tcBorders>
          </w:tcPr>
          <w:p w:rsidR="00320251" w:rsidRPr="00BE6C6D" w:rsidRDefault="00320251" w:rsidP="00320251">
            <w:pPr>
              <w:pStyle w:val="NormalIndented"/>
              <w:rPr>
                <w:rFonts w:asciiTheme="minorHAnsi" w:hAnsiTheme="minorHAnsi"/>
              </w:rPr>
            </w:pPr>
            <w:r>
              <w:rPr>
                <w:rFonts w:asciiTheme="minorHAnsi" w:eastAsia="Times New Roman" w:hAnsiTheme="minorHAnsi"/>
                <w:b/>
                <w:iCs/>
                <w:szCs w:val="17"/>
                <w:lang w:eastAsia="en-US"/>
              </w:rPr>
              <w:t>Performance B</w:t>
            </w:r>
            <w:r w:rsidRPr="00880004">
              <w:rPr>
                <w:rFonts w:asciiTheme="minorHAnsi" w:eastAsia="Times New Roman" w:hAnsiTheme="minorHAnsi"/>
                <w:b/>
                <w:iCs/>
                <w:szCs w:val="17"/>
                <w:lang w:eastAsia="en-US"/>
              </w:rPr>
              <w:t xml:space="preserve">enchmark </w:t>
            </w:r>
            <w:r w:rsidR="00B15E76">
              <w:rPr>
                <w:rFonts w:asciiTheme="minorHAnsi" w:eastAsia="Times New Roman" w:hAnsiTheme="minorHAnsi"/>
                <w:b/>
                <w:iCs/>
                <w:szCs w:val="17"/>
                <w:lang w:eastAsia="en-US"/>
              </w:rPr>
              <w:t>2019-2020</w:t>
            </w:r>
          </w:p>
        </w:tc>
        <w:tc>
          <w:tcPr>
            <w:tcW w:w="800" w:type="pct"/>
            <w:tcBorders>
              <w:top w:val="single" w:sz="12" w:space="0" w:color="auto"/>
              <w:left w:val="nil"/>
              <w:bottom w:val="nil"/>
              <w:right w:val="nil"/>
            </w:tcBorders>
          </w:tcPr>
          <w:p w:rsidR="00320251" w:rsidRPr="00BE6C6D" w:rsidRDefault="00320251" w:rsidP="00320251">
            <w:pPr>
              <w:pStyle w:val="NormalIndented"/>
              <w:ind w:left="0"/>
              <w:jc w:val="center"/>
              <w:rPr>
                <w:rFonts w:asciiTheme="minorHAnsi" w:hAnsiTheme="minorHAnsi"/>
                <w:b/>
              </w:rPr>
            </w:pPr>
          </w:p>
        </w:tc>
        <w:tc>
          <w:tcPr>
            <w:tcW w:w="1017" w:type="pct"/>
            <w:tcBorders>
              <w:top w:val="single" w:sz="12" w:space="0" w:color="auto"/>
              <w:left w:val="nil"/>
              <w:bottom w:val="nil"/>
              <w:right w:val="nil"/>
            </w:tcBorders>
          </w:tcPr>
          <w:p w:rsidR="00320251" w:rsidRPr="00BE6C6D" w:rsidRDefault="00320251" w:rsidP="00320251">
            <w:pPr>
              <w:pStyle w:val="NormalIndented"/>
              <w:ind w:left="33"/>
              <w:jc w:val="center"/>
              <w:rPr>
                <w:rFonts w:asciiTheme="minorHAnsi" w:hAnsiTheme="minorHAnsi"/>
                <w:b/>
              </w:rPr>
            </w:pPr>
          </w:p>
        </w:tc>
        <w:tc>
          <w:tcPr>
            <w:tcW w:w="873" w:type="pct"/>
            <w:tcBorders>
              <w:top w:val="single" w:sz="12" w:space="0" w:color="auto"/>
              <w:left w:val="nil"/>
              <w:bottom w:val="nil"/>
              <w:right w:val="nil"/>
            </w:tcBorders>
          </w:tcPr>
          <w:p w:rsidR="00320251" w:rsidRPr="00BE6C6D" w:rsidRDefault="00320251" w:rsidP="00320251">
            <w:pPr>
              <w:pStyle w:val="NormalIndented"/>
              <w:ind w:left="34"/>
              <w:jc w:val="center"/>
              <w:rPr>
                <w:rFonts w:asciiTheme="minorHAnsi" w:hAnsiTheme="minorHAnsi"/>
                <w:b/>
              </w:rPr>
            </w:pPr>
          </w:p>
        </w:tc>
      </w:tr>
      <w:tr w:rsidR="00320251" w:rsidTr="005C10E1">
        <w:trPr>
          <w:gridAfter w:val="1"/>
          <w:wAfter w:w="873" w:type="pct"/>
          <w:trHeight w:val="425"/>
        </w:trPr>
        <w:tc>
          <w:tcPr>
            <w:tcW w:w="801" w:type="pct"/>
            <w:tcBorders>
              <w:top w:val="nil"/>
              <w:left w:val="nil"/>
              <w:bottom w:val="nil"/>
              <w:right w:val="nil"/>
            </w:tcBorders>
            <w:hideMark/>
          </w:tcPr>
          <w:p w:rsidR="00320251" w:rsidRPr="00BE6C6D" w:rsidRDefault="00320251" w:rsidP="00320251">
            <w:pPr>
              <w:pStyle w:val="NormalIndented"/>
              <w:rPr>
                <w:rFonts w:asciiTheme="minorHAnsi" w:hAnsiTheme="minorHAnsi"/>
                <w:i/>
                <w:color w:val="808080" w:themeColor="background1" w:themeShade="80"/>
                <w:sz w:val="18"/>
              </w:rPr>
            </w:pPr>
          </w:p>
        </w:tc>
        <w:tc>
          <w:tcPr>
            <w:tcW w:w="3326" w:type="pct"/>
            <w:gridSpan w:val="3"/>
            <w:tcBorders>
              <w:top w:val="nil"/>
              <w:left w:val="nil"/>
              <w:bottom w:val="nil"/>
            </w:tcBorders>
          </w:tcPr>
          <w:p w:rsidR="00320251" w:rsidRPr="00BE6C6D" w:rsidRDefault="00320251" w:rsidP="00320251">
            <w:pPr>
              <w:pStyle w:val="NormalIndented"/>
              <w:rPr>
                <w:i/>
                <w:color w:val="808080" w:themeColor="background1" w:themeShade="80"/>
              </w:rPr>
            </w:pPr>
          </w:p>
        </w:tc>
      </w:tr>
      <w:tr w:rsidR="005C10E1" w:rsidTr="005C10E1">
        <w:trPr>
          <w:trHeight w:val="708"/>
        </w:trPr>
        <w:tc>
          <w:tcPr>
            <w:tcW w:w="801" w:type="pct"/>
            <w:tcBorders>
              <w:top w:val="nil"/>
              <w:left w:val="nil"/>
              <w:bottom w:val="nil"/>
              <w:right w:val="nil"/>
            </w:tcBorders>
          </w:tcPr>
          <w:p w:rsidR="005C10E1" w:rsidRPr="00880004" w:rsidRDefault="005C10E1" w:rsidP="00FB06F8">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 xml:space="preserve">Objective 1:  Effective Economic Institutions and Infrastructure </w:t>
            </w:r>
          </w:p>
        </w:tc>
        <w:tc>
          <w:tcPr>
            <w:tcW w:w="4199" w:type="pct"/>
            <w:gridSpan w:val="4"/>
            <w:tcBorders>
              <w:top w:val="nil"/>
              <w:left w:val="nil"/>
              <w:bottom w:val="nil"/>
            </w:tcBorders>
          </w:tcPr>
          <w:p w:rsidR="005C10E1" w:rsidRPr="00BE6C6D" w:rsidRDefault="005C10E1" w:rsidP="005C10E1">
            <w:pPr>
              <w:pStyle w:val="NormalIndented"/>
              <w:ind w:left="0"/>
              <w:rPr>
                <w:rFonts w:asciiTheme="minorHAnsi" w:hAnsiTheme="minorHAnsi"/>
                <w:i/>
                <w:color w:val="808080" w:themeColor="background1" w:themeShade="80"/>
                <w:szCs w:val="20"/>
                <w:lang w:eastAsia="en-US"/>
              </w:rPr>
            </w:pPr>
            <w:r w:rsidRPr="009B5604">
              <w:rPr>
                <w:rFonts w:asciiTheme="minorHAnsi" w:eastAsia="Times New Roman" w:hAnsiTheme="minorHAnsi"/>
                <w:iCs/>
                <w:szCs w:val="17"/>
                <w:lang w:eastAsia="en-US"/>
              </w:rPr>
              <w:t>Indonesia’s second tax expenditure report expands in coverage and improves in examining tax exemptions.</w:t>
            </w:r>
          </w:p>
        </w:tc>
      </w:tr>
      <w:tr w:rsidR="005C10E1" w:rsidTr="005C10E1">
        <w:trPr>
          <w:trHeight w:val="438"/>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9B5604">
              <w:rPr>
                <w:rFonts w:asciiTheme="minorHAnsi" w:eastAsia="Times New Roman" w:hAnsiTheme="minorHAnsi"/>
                <w:iCs/>
                <w:szCs w:val="17"/>
                <w:lang w:eastAsia="en-US"/>
              </w:rPr>
              <w:t>AUD 1.5 billion in additional financing is leveraged</w:t>
            </w:r>
          </w:p>
        </w:tc>
      </w:tr>
      <w:tr w:rsidR="005C10E1" w:rsidTr="005C10E1">
        <w:trPr>
          <w:trHeight w:val="984"/>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9B5604">
              <w:rPr>
                <w:rFonts w:asciiTheme="minorHAnsi" w:eastAsia="Times New Roman" w:hAnsiTheme="minorHAnsi"/>
                <w:iCs/>
                <w:szCs w:val="17"/>
                <w:lang w:eastAsia="en-US"/>
              </w:rPr>
              <w:t>Over 373,000 cumulative smallholder farming households can access markets and increase their incomes by 30 per cent</w:t>
            </w:r>
          </w:p>
        </w:tc>
      </w:tr>
      <w:tr w:rsidR="005C10E1" w:rsidTr="005C10E1">
        <w:trPr>
          <w:trHeight w:val="614"/>
        </w:trPr>
        <w:tc>
          <w:tcPr>
            <w:tcW w:w="801" w:type="pct"/>
            <w:tcBorders>
              <w:top w:val="nil"/>
              <w:left w:val="nil"/>
              <w:bottom w:val="nil"/>
              <w:right w:val="nil"/>
            </w:tcBorders>
          </w:tcPr>
          <w:p w:rsidR="005C10E1" w:rsidRPr="00880004" w:rsidRDefault="005C10E1" w:rsidP="00FB06F8">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Objective 2:  Human Development for a Productive and Healthy Society</w:t>
            </w:r>
            <w:r w:rsidRPr="00880004">
              <w:rPr>
                <w:rFonts w:asciiTheme="minorHAnsi" w:eastAsia="Times New Roman" w:hAnsiTheme="minorHAnsi"/>
                <w:iCs/>
                <w:szCs w:val="17"/>
                <w:lang w:eastAsia="en-US"/>
              </w:rPr>
              <w:t xml:space="preserve"> </w:t>
            </w:r>
          </w:p>
        </w:tc>
        <w:tc>
          <w:tcPr>
            <w:tcW w:w="4199" w:type="pct"/>
            <w:gridSpan w:val="4"/>
            <w:tcBorders>
              <w:top w:val="nil"/>
              <w:left w:val="nil"/>
              <w:bottom w:val="nil"/>
              <w:right w:val="nil"/>
            </w:tcBorders>
          </w:tcPr>
          <w:p w:rsidR="005C10E1" w:rsidRPr="00BE6C6D" w:rsidRDefault="005C10E1" w:rsidP="005C10E1">
            <w:pPr>
              <w:pStyle w:val="NormalIndented"/>
              <w:ind w:left="0"/>
              <w:rPr>
                <w:rFonts w:asciiTheme="minorHAnsi" w:hAnsiTheme="minorHAnsi"/>
                <w:i/>
                <w:color w:val="808080" w:themeColor="background1" w:themeShade="80"/>
                <w:szCs w:val="20"/>
                <w:lang w:eastAsia="en-US"/>
              </w:rPr>
            </w:pPr>
            <w:r w:rsidRPr="009B5604">
              <w:rPr>
                <w:rFonts w:asciiTheme="minorHAnsi" w:eastAsia="Times New Roman" w:hAnsiTheme="minorHAnsi"/>
                <w:iCs/>
                <w:szCs w:val="17"/>
                <w:lang w:eastAsia="en-US"/>
              </w:rPr>
              <w:t>Indonesia improves the coverage and/or quality of national social protection programs</w:t>
            </w:r>
          </w:p>
        </w:tc>
      </w:tr>
      <w:tr w:rsidR="005C10E1" w:rsidTr="005C10E1">
        <w:trPr>
          <w:trHeight w:val="511"/>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9B5604">
              <w:rPr>
                <w:rFonts w:asciiTheme="minorHAnsi" w:eastAsia="Times New Roman" w:hAnsiTheme="minorHAnsi"/>
                <w:iCs/>
                <w:szCs w:val="17"/>
                <w:lang w:eastAsia="en-US"/>
              </w:rPr>
              <w:t>150,000 women and men have improved access to basic sanitation</w:t>
            </w:r>
          </w:p>
        </w:tc>
      </w:tr>
      <w:tr w:rsidR="005C10E1" w:rsidTr="005C10E1">
        <w:trPr>
          <w:trHeight w:val="577"/>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9B5604">
              <w:rPr>
                <w:rFonts w:asciiTheme="minorHAnsi" w:eastAsia="Times New Roman" w:hAnsiTheme="minorHAnsi"/>
                <w:iCs/>
                <w:szCs w:val="17"/>
                <w:lang w:eastAsia="en-US"/>
              </w:rPr>
              <w:t xml:space="preserve">Literacy and numeracy scores increase for girls and boys in partner schools across four provinces.  </w:t>
            </w:r>
          </w:p>
        </w:tc>
      </w:tr>
      <w:tr w:rsidR="005C10E1" w:rsidTr="005C10E1">
        <w:trPr>
          <w:trHeight w:val="614"/>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r>
              <w:rPr>
                <w:rFonts w:asciiTheme="minorHAnsi" w:eastAsia="Times New Roman" w:hAnsiTheme="minorHAnsi"/>
                <w:iCs/>
                <w:szCs w:val="17"/>
                <w:lang w:eastAsia="en-US"/>
              </w:rPr>
              <w:t>Objective 3:  An Inclusive Society Through Effective Governance</w:t>
            </w: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5C10E1">
              <w:rPr>
                <w:rFonts w:asciiTheme="minorHAnsi" w:eastAsia="Times New Roman" w:hAnsiTheme="minorHAnsi"/>
                <w:iCs/>
                <w:szCs w:val="17"/>
                <w:lang w:eastAsia="en-US"/>
              </w:rPr>
              <w:t>100 districts have increased coverage of birth certificates through DFAT supported technical assistance and outreach services</w:t>
            </w:r>
          </w:p>
        </w:tc>
      </w:tr>
      <w:tr w:rsidR="005C10E1" w:rsidTr="005C10E1">
        <w:trPr>
          <w:trHeight w:val="614"/>
        </w:trPr>
        <w:tc>
          <w:tcPr>
            <w:tcW w:w="801" w:type="pct"/>
            <w:tcBorders>
              <w:top w:val="nil"/>
              <w:left w:val="nil"/>
              <w:bottom w:val="nil"/>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nil"/>
              <w:right w:val="nil"/>
            </w:tcBorders>
          </w:tcPr>
          <w:p w:rsidR="005C10E1" w:rsidRPr="00BE6C6D" w:rsidRDefault="005C10E1" w:rsidP="005C10E1">
            <w:pPr>
              <w:pStyle w:val="NormalIndented"/>
              <w:ind w:left="0"/>
              <w:rPr>
                <w:i/>
                <w:color w:val="808080" w:themeColor="background1" w:themeShade="80"/>
                <w:szCs w:val="20"/>
              </w:rPr>
            </w:pPr>
            <w:r w:rsidRPr="005C10E1">
              <w:rPr>
                <w:rFonts w:asciiTheme="minorHAnsi" w:eastAsia="Times New Roman" w:hAnsiTheme="minorHAnsi"/>
                <w:iCs/>
                <w:szCs w:val="17"/>
                <w:lang w:eastAsia="en-US"/>
              </w:rPr>
              <w:t>A year on year increase in the number of policy decisions influenced by organisations and networks supported by Australia that improved women’s access to jobs and services</w:t>
            </w:r>
          </w:p>
        </w:tc>
      </w:tr>
      <w:tr w:rsidR="005C10E1" w:rsidTr="005C10E1">
        <w:trPr>
          <w:trHeight w:val="614"/>
        </w:trPr>
        <w:tc>
          <w:tcPr>
            <w:tcW w:w="801" w:type="pct"/>
            <w:tcBorders>
              <w:top w:val="nil"/>
              <w:left w:val="nil"/>
              <w:bottom w:val="single" w:sz="12" w:space="0" w:color="auto"/>
              <w:right w:val="nil"/>
            </w:tcBorders>
          </w:tcPr>
          <w:p w:rsidR="005C10E1" w:rsidRDefault="005C10E1" w:rsidP="00FB06F8">
            <w:pPr>
              <w:keepLines/>
              <w:spacing w:before="40" w:after="40" w:line="200" w:lineRule="atLeast"/>
              <w:rPr>
                <w:rFonts w:eastAsia="Times New Roman"/>
                <w:iCs/>
                <w:szCs w:val="17"/>
              </w:rPr>
            </w:pPr>
          </w:p>
        </w:tc>
        <w:tc>
          <w:tcPr>
            <w:tcW w:w="4199" w:type="pct"/>
            <w:gridSpan w:val="4"/>
            <w:tcBorders>
              <w:top w:val="nil"/>
              <w:left w:val="nil"/>
              <w:bottom w:val="single" w:sz="12" w:space="0" w:color="auto"/>
              <w:right w:val="nil"/>
            </w:tcBorders>
          </w:tcPr>
          <w:p w:rsidR="005C10E1" w:rsidRPr="00BE6C6D" w:rsidRDefault="005C10E1" w:rsidP="005C10E1">
            <w:pPr>
              <w:pStyle w:val="NormalIndented"/>
              <w:ind w:left="0"/>
              <w:rPr>
                <w:i/>
                <w:color w:val="808080" w:themeColor="background1" w:themeShade="80"/>
                <w:szCs w:val="20"/>
              </w:rPr>
            </w:pPr>
            <w:r w:rsidRPr="005C10E1">
              <w:rPr>
                <w:rFonts w:asciiTheme="minorHAnsi" w:eastAsia="Times New Roman" w:hAnsiTheme="minorHAnsi"/>
                <w:iCs/>
                <w:szCs w:val="17"/>
                <w:lang w:eastAsia="en-US"/>
              </w:rPr>
              <w:t>Four implementing regulations (RPP) of the disability law (access to justice, social welfare, rehabilitation, and planning and budgeting) are adopted and a plan to monitor and evaluate their implementation is finalised</w:t>
            </w:r>
          </w:p>
        </w:tc>
      </w:tr>
    </w:tbl>
    <w:p w:rsidR="00393B21" w:rsidRDefault="00393B21" w:rsidP="00F317B1">
      <w:pPr>
        <w:spacing w:after="120" w:line="280" w:lineRule="exact"/>
        <w:rPr>
          <w:rFonts w:ascii="Franklin Gothic Book" w:eastAsia="Times New Roman" w:hAnsi="Franklin Gothic Book"/>
          <w:sz w:val="21"/>
        </w:rPr>
      </w:pPr>
    </w:p>
    <w:p w:rsidR="00400B0F" w:rsidRPr="00784031" w:rsidRDefault="00400B0F" w:rsidP="00784031">
      <w:pPr>
        <w:pStyle w:val="Subtitle"/>
        <w:numPr>
          <w:ilvl w:val="0"/>
          <w:numId w:val="0"/>
        </w:numPr>
      </w:pPr>
      <w:r w:rsidRPr="00784031">
        <w:t>Annex C - Evaluation Planning</w:t>
      </w:r>
      <w:r w:rsidR="00282D5C">
        <w:t xml:space="preserve"> </w:t>
      </w:r>
    </w:p>
    <w:p w:rsidR="00400B0F" w:rsidRPr="008C2F58" w:rsidRDefault="00400B0F" w:rsidP="008C2F58">
      <w:pPr>
        <w:rPr>
          <w:b/>
          <w:sz w:val="24"/>
        </w:rPr>
      </w:pPr>
      <w:r w:rsidRPr="008C2F58">
        <w:rPr>
          <w:b/>
          <w:sz w:val="24"/>
        </w:rPr>
        <w:t xml:space="preserve">List of evaluations completed in the reporting period </w:t>
      </w:r>
    </w:p>
    <w:tbl>
      <w:tblPr>
        <w:tblStyle w:val="APPR"/>
        <w:tblW w:w="14876" w:type="dxa"/>
        <w:tblLayout w:type="fixed"/>
        <w:tblLook w:val="04A0" w:firstRow="1" w:lastRow="0" w:firstColumn="1" w:lastColumn="0" w:noHBand="0" w:noVBand="1"/>
      </w:tblPr>
      <w:tblGrid>
        <w:gridCol w:w="3106"/>
        <w:gridCol w:w="4685"/>
        <w:gridCol w:w="1423"/>
        <w:gridCol w:w="1981"/>
        <w:gridCol w:w="1699"/>
        <w:gridCol w:w="1982"/>
      </w:tblGrid>
      <w:tr w:rsidR="00400B0F" w:rsidRPr="00C61187" w:rsidTr="00D36DBE">
        <w:trPr>
          <w:cnfStyle w:val="100000000000" w:firstRow="1" w:lastRow="0" w:firstColumn="0" w:lastColumn="0" w:oddVBand="0" w:evenVBand="0" w:oddHBand="0" w:evenHBand="0" w:firstRowFirstColumn="0" w:firstRowLastColumn="0" w:lastRowFirstColumn="0" w:lastRowLastColumn="0"/>
        </w:trPr>
        <w:tc>
          <w:tcPr>
            <w:tcW w:w="3064" w:type="dxa"/>
          </w:tcPr>
          <w:p w:rsidR="00400B0F" w:rsidRPr="001D59F2"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 xml:space="preserve">Investment number and name </w:t>
            </w:r>
          </w:p>
        </w:tc>
        <w:tc>
          <w:tcPr>
            <w:tcW w:w="4657" w:type="dxa"/>
          </w:tcPr>
          <w:p w:rsidR="00400B0F" w:rsidRPr="00880004"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Name of evaluation</w:t>
            </w:r>
          </w:p>
        </w:tc>
        <w:tc>
          <w:tcPr>
            <w:tcW w:w="1395" w:type="dxa"/>
          </w:tcPr>
          <w:p w:rsidR="00400B0F" w:rsidRPr="00880004"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completed</w:t>
            </w:r>
          </w:p>
        </w:tc>
        <w:tc>
          <w:tcPr>
            <w:tcW w:w="1953" w:type="dxa"/>
          </w:tcPr>
          <w:p w:rsidR="00400B0F" w:rsidRPr="00880004"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Evaluation report Uploaded into AidWorks</w:t>
            </w:r>
          </w:p>
        </w:tc>
        <w:tc>
          <w:tcPr>
            <w:tcW w:w="1671" w:type="dxa"/>
          </w:tcPr>
          <w:p w:rsidR="00400B0F" w:rsidRPr="00880004"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Management response uploaded into AidWorks</w:t>
            </w:r>
          </w:p>
        </w:tc>
        <w:tc>
          <w:tcPr>
            <w:tcW w:w="1940" w:type="dxa"/>
          </w:tcPr>
          <w:p w:rsidR="00400B0F" w:rsidRPr="00880004" w:rsidRDefault="00400B0F" w:rsidP="006F27B1">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Published on website</w:t>
            </w:r>
          </w:p>
        </w:tc>
      </w:tr>
      <w:tr w:rsidR="007E1E0C" w:rsidRPr="009F726E" w:rsidTr="00D36DBE">
        <w:trPr>
          <w:cnfStyle w:val="100000000000" w:firstRow="1" w:lastRow="0" w:firstColumn="0" w:lastColumn="0" w:oddVBand="0" w:evenVBand="0" w:oddHBand="0" w:evenHBand="0" w:firstRowFirstColumn="0" w:firstRowLastColumn="0" w:lastRowFirstColumn="0" w:lastRowLastColumn="0"/>
        </w:trPr>
        <w:tc>
          <w:tcPr>
            <w:tcW w:w="3064" w:type="dxa"/>
          </w:tcPr>
          <w:p w:rsidR="007E1E0C" w:rsidRPr="00716158" w:rsidRDefault="00645053"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INL923 AIP Gender Equality &amp; Women Empowerment (MAMPU) Phase 2</w:t>
            </w:r>
          </w:p>
        </w:tc>
        <w:tc>
          <w:tcPr>
            <w:tcW w:w="4657" w:type="dxa"/>
          </w:tcPr>
          <w:p w:rsidR="007E1E0C" w:rsidRPr="00716158" w:rsidRDefault="00645053"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MAMPU Phase 2 Independent Strategic Review</w:t>
            </w:r>
          </w:p>
        </w:tc>
        <w:tc>
          <w:tcPr>
            <w:tcW w:w="1395" w:type="dxa"/>
          </w:tcPr>
          <w:p w:rsidR="007E1E0C" w:rsidRPr="00716158" w:rsidRDefault="007E1E0C">
            <w:pPr>
              <w:keepLines/>
              <w:spacing w:before="40" w:after="40" w:line="200" w:lineRule="atLeast"/>
              <w:rPr>
                <w:rFonts w:ascii="Calibri Light" w:eastAsia="Times New Roman" w:hAnsi="Calibri Light"/>
                <w:b w:val="0"/>
                <w:iCs/>
                <w:color w:val="002060"/>
                <w:sz w:val="18"/>
                <w:szCs w:val="18"/>
                <w:lang w:eastAsia="en-US"/>
              </w:rPr>
            </w:pPr>
            <w:r w:rsidRPr="00362101">
              <w:rPr>
                <w:rFonts w:ascii="Calibri Light" w:eastAsia="Times New Roman" w:hAnsi="Calibri Light"/>
                <w:b w:val="0"/>
                <w:iCs/>
                <w:color w:val="002060"/>
                <w:sz w:val="18"/>
                <w:szCs w:val="18"/>
              </w:rPr>
              <w:t>February 201</w:t>
            </w:r>
            <w:r w:rsidR="00AD4A21">
              <w:rPr>
                <w:rFonts w:ascii="Calibri Light" w:eastAsia="Times New Roman" w:hAnsi="Calibri Light"/>
                <w:b w:val="0"/>
                <w:iCs/>
                <w:color w:val="002060"/>
                <w:sz w:val="18"/>
                <w:szCs w:val="18"/>
              </w:rPr>
              <w:t>9</w:t>
            </w:r>
          </w:p>
        </w:tc>
        <w:tc>
          <w:tcPr>
            <w:tcW w:w="1953" w:type="dxa"/>
          </w:tcPr>
          <w:p w:rsidR="007E1E0C" w:rsidRPr="00716158" w:rsidRDefault="00645053" w:rsidP="007E1E0C">
            <w:pPr>
              <w:keepLines/>
              <w:spacing w:before="40" w:after="40" w:line="200" w:lineRule="atLeast"/>
              <w:rPr>
                <w:rFonts w:ascii="Calibri Light" w:eastAsia="Times New Roman" w:hAnsi="Calibri Light"/>
                <w:b w:val="0"/>
                <w:iCs/>
                <w:color w:val="002060"/>
                <w:sz w:val="18"/>
                <w:szCs w:val="18"/>
                <w:lang w:eastAsia="en-US"/>
              </w:rPr>
            </w:pPr>
            <w:r>
              <w:rPr>
                <w:rFonts w:ascii="Calibri Light" w:eastAsia="Times New Roman" w:hAnsi="Calibri Light"/>
                <w:b w:val="0"/>
                <w:iCs/>
                <w:color w:val="002060"/>
                <w:sz w:val="18"/>
                <w:szCs w:val="18"/>
              </w:rPr>
              <w:t>April</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671" w:type="dxa"/>
          </w:tcPr>
          <w:p w:rsidR="007E1E0C" w:rsidRPr="00716158" w:rsidRDefault="00645053" w:rsidP="00645053">
            <w:pPr>
              <w:keepLines/>
              <w:spacing w:before="40" w:after="40" w:line="200" w:lineRule="atLeast"/>
              <w:rPr>
                <w:rFonts w:ascii="Calibri Light" w:eastAsia="Times New Roman" w:hAnsi="Calibri Light"/>
                <w:b w:val="0"/>
                <w:iCs/>
                <w:color w:val="002060"/>
                <w:sz w:val="18"/>
                <w:szCs w:val="18"/>
                <w:lang w:eastAsia="en-US"/>
              </w:rPr>
            </w:pPr>
            <w:r>
              <w:rPr>
                <w:rFonts w:ascii="Calibri Light" w:eastAsia="Times New Roman" w:hAnsi="Calibri Light"/>
                <w:b w:val="0"/>
                <w:iCs/>
                <w:color w:val="002060"/>
                <w:sz w:val="18"/>
                <w:szCs w:val="18"/>
              </w:rPr>
              <w:t xml:space="preserve">April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940" w:type="dxa"/>
          </w:tcPr>
          <w:p w:rsidR="007E1E0C" w:rsidRPr="00716158" w:rsidRDefault="007E1E0C" w:rsidP="007E1E0C">
            <w:pPr>
              <w:keepLines/>
              <w:spacing w:before="40" w:after="40" w:line="200" w:lineRule="atLeast"/>
              <w:rPr>
                <w:rFonts w:ascii="Calibri Light" w:eastAsia="Times New Roman" w:hAnsi="Calibri Light"/>
                <w:b w:val="0"/>
                <w:iCs/>
                <w:color w:val="002060"/>
                <w:sz w:val="18"/>
                <w:szCs w:val="18"/>
                <w:lang w:eastAsia="en-US"/>
              </w:rPr>
            </w:pPr>
            <w:r w:rsidRPr="00362101">
              <w:rPr>
                <w:rFonts w:ascii="Calibri Light" w:eastAsia="Times New Roman" w:hAnsi="Calibri Light"/>
                <w:b w:val="0"/>
                <w:iCs/>
                <w:color w:val="002060"/>
                <w:sz w:val="18"/>
                <w:szCs w:val="18"/>
              </w:rPr>
              <w:t>April 201</w:t>
            </w:r>
            <w:r w:rsidR="00645053">
              <w:rPr>
                <w:rFonts w:ascii="Calibri Light" w:eastAsia="Times New Roman" w:hAnsi="Calibri Light"/>
                <w:b w:val="0"/>
                <w:iCs/>
                <w:color w:val="002060"/>
                <w:sz w:val="18"/>
                <w:szCs w:val="18"/>
              </w:rPr>
              <w:t>9</w:t>
            </w:r>
            <w:r w:rsidRPr="00362101">
              <w:rPr>
                <w:rFonts w:ascii="Calibri Light" w:eastAsia="Times New Roman" w:hAnsi="Calibri Light"/>
                <w:b w:val="0"/>
                <w:iCs/>
                <w:color w:val="002060"/>
                <w:sz w:val="18"/>
                <w:szCs w:val="18"/>
              </w:rPr>
              <w:t xml:space="preserve"> </w:t>
            </w:r>
          </w:p>
        </w:tc>
      </w:tr>
      <w:tr w:rsidR="007E1E0C" w:rsidRPr="009F726E" w:rsidTr="00D36DBE">
        <w:trPr>
          <w:cnfStyle w:val="100000000000" w:firstRow="1" w:lastRow="0" w:firstColumn="0" w:lastColumn="0" w:oddVBand="0" w:evenVBand="0" w:oddHBand="0" w:evenHBand="0" w:firstRowFirstColumn="0" w:firstRowLastColumn="0" w:lastRowFirstColumn="0" w:lastRowLastColumn="0"/>
        </w:trPr>
        <w:tc>
          <w:tcPr>
            <w:tcW w:w="3064" w:type="dxa"/>
          </w:tcPr>
          <w:p w:rsidR="009F0197" w:rsidRPr="00716158" w:rsidRDefault="00645053"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INL512 Innovation for Indonesia’s School</w:t>
            </w:r>
            <w:r w:rsidR="009F0197">
              <w:rPr>
                <w:rFonts w:ascii="Calibri Light" w:hAnsi="Calibri Light"/>
                <w:b w:val="0"/>
                <w:iCs/>
                <w:color w:val="002060"/>
                <w:sz w:val="18"/>
                <w:szCs w:val="18"/>
              </w:rPr>
              <w:br/>
              <w:t>INL672 Education Technical Assistance Program</w:t>
            </w:r>
            <w:r w:rsidR="009F0197">
              <w:rPr>
                <w:rFonts w:ascii="Calibri Light" w:hAnsi="Calibri Light"/>
                <w:b w:val="0"/>
                <w:iCs/>
                <w:color w:val="002060"/>
                <w:sz w:val="18"/>
                <w:szCs w:val="18"/>
              </w:rPr>
              <w:br/>
              <w:t>INL931 World Bank TF-Teaching &amp; Education</w:t>
            </w:r>
          </w:p>
        </w:tc>
        <w:tc>
          <w:tcPr>
            <w:tcW w:w="4657" w:type="dxa"/>
          </w:tcPr>
          <w:p w:rsidR="007E1E0C" w:rsidRPr="00716158" w:rsidRDefault="009F0197"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Strategic Review Australia’s Investment in Basic Education</w:t>
            </w:r>
          </w:p>
        </w:tc>
        <w:tc>
          <w:tcPr>
            <w:tcW w:w="1395"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June</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953"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July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671"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July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940"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lang w:eastAsia="en-US"/>
              </w:rPr>
            </w:pPr>
            <w:r>
              <w:rPr>
                <w:rFonts w:ascii="Calibri Light" w:eastAsia="Times New Roman" w:hAnsi="Calibri Light"/>
                <w:b w:val="0"/>
                <w:iCs/>
                <w:color w:val="002060"/>
                <w:sz w:val="18"/>
                <w:szCs w:val="18"/>
              </w:rPr>
              <w:t>July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r>
      <w:tr w:rsidR="007E1E0C" w:rsidRPr="009F726E" w:rsidTr="00D36DBE">
        <w:trPr>
          <w:cnfStyle w:val="100000000000" w:firstRow="1" w:lastRow="0" w:firstColumn="0" w:lastColumn="0" w:oddVBand="0" w:evenVBand="0" w:oddHBand="0" w:evenHBand="0" w:firstRowFirstColumn="0" w:firstRowLastColumn="0" w:lastRowFirstColumn="0" w:lastRowLastColumn="0"/>
        </w:trPr>
        <w:tc>
          <w:tcPr>
            <w:tcW w:w="3064" w:type="dxa"/>
          </w:tcPr>
          <w:p w:rsidR="007E1E0C" w:rsidRPr="00716158" w:rsidRDefault="009F0197"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INJ498 AIP Rural Economic Development Program</w:t>
            </w:r>
          </w:p>
        </w:tc>
        <w:tc>
          <w:tcPr>
            <w:tcW w:w="4657" w:type="dxa"/>
          </w:tcPr>
          <w:p w:rsidR="007E1E0C" w:rsidRPr="00716158" w:rsidRDefault="009F0197"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AIP Rural End of Program Review</w:t>
            </w:r>
          </w:p>
        </w:tc>
        <w:tc>
          <w:tcPr>
            <w:tcW w:w="1395" w:type="dxa"/>
          </w:tcPr>
          <w:p w:rsidR="007E1E0C" w:rsidRPr="00716158" w:rsidRDefault="00AD4A21">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January</w:t>
            </w:r>
            <w:r w:rsidR="009F0197"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953"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January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671"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July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p>
        </w:tc>
        <w:tc>
          <w:tcPr>
            <w:tcW w:w="1940"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lang w:eastAsia="en-US"/>
              </w:rPr>
            </w:pPr>
            <w:r>
              <w:rPr>
                <w:rFonts w:ascii="Calibri Light" w:eastAsia="Times New Roman" w:hAnsi="Calibri Light"/>
                <w:b w:val="0"/>
                <w:iCs/>
                <w:color w:val="002060"/>
                <w:sz w:val="18"/>
                <w:szCs w:val="18"/>
              </w:rPr>
              <w:t>July</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r w:rsidR="007E1E0C" w:rsidRPr="00362101">
              <w:rPr>
                <w:rFonts w:ascii="Calibri Light" w:eastAsia="Times New Roman" w:hAnsi="Calibri Light"/>
                <w:b w:val="0"/>
                <w:iCs/>
                <w:color w:val="002060"/>
                <w:sz w:val="18"/>
                <w:szCs w:val="18"/>
              </w:rPr>
              <w:t xml:space="preserve"> </w:t>
            </w:r>
          </w:p>
        </w:tc>
      </w:tr>
      <w:tr w:rsidR="007E1E0C" w:rsidRPr="009F726E" w:rsidTr="00D36DBE">
        <w:trPr>
          <w:cnfStyle w:val="100000000000" w:firstRow="1" w:lastRow="0" w:firstColumn="0" w:lastColumn="0" w:oddVBand="0" w:evenVBand="0" w:oddHBand="0" w:evenHBand="0" w:firstRowFirstColumn="0" w:firstRowLastColumn="0" w:lastRowFirstColumn="0" w:lastRowLastColumn="0"/>
        </w:trPr>
        <w:tc>
          <w:tcPr>
            <w:tcW w:w="3064" w:type="dxa"/>
          </w:tcPr>
          <w:p w:rsidR="007E1E0C" w:rsidRPr="00716158" w:rsidRDefault="009F0197" w:rsidP="009F0197">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INL470 Australia Indonesia Partnership for Justice Ph</w:t>
            </w:r>
            <w:r w:rsidR="00A322E9">
              <w:rPr>
                <w:rFonts w:ascii="Calibri Light" w:hAnsi="Calibri Light"/>
                <w:b w:val="0"/>
                <w:iCs/>
                <w:color w:val="002060"/>
                <w:sz w:val="18"/>
                <w:szCs w:val="18"/>
              </w:rPr>
              <w:t>ase</w:t>
            </w:r>
            <w:r>
              <w:rPr>
                <w:rFonts w:ascii="Calibri Light" w:hAnsi="Calibri Light"/>
                <w:b w:val="0"/>
                <w:iCs/>
                <w:color w:val="002060"/>
                <w:sz w:val="18"/>
                <w:szCs w:val="18"/>
              </w:rPr>
              <w:t xml:space="preserve"> 2</w:t>
            </w:r>
          </w:p>
        </w:tc>
        <w:tc>
          <w:tcPr>
            <w:tcW w:w="4657" w:type="dxa"/>
          </w:tcPr>
          <w:p w:rsidR="007E1E0C" w:rsidRPr="00716158" w:rsidRDefault="009F0197" w:rsidP="007E1E0C">
            <w:pPr>
              <w:keepLines/>
              <w:spacing w:line="200" w:lineRule="atLeast"/>
              <w:rPr>
                <w:rFonts w:ascii="Calibri Light" w:hAnsi="Calibri Light"/>
                <w:b w:val="0"/>
                <w:iCs/>
                <w:color w:val="002060"/>
                <w:sz w:val="18"/>
                <w:szCs w:val="18"/>
              </w:rPr>
            </w:pPr>
            <w:r>
              <w:rPr>
                <w:rFonts w:ascii="Calibri Light" w:hAnsi="Calibri Light"/>
                <w:b w:val="0"/>
                <w:iCs/>
                <w:color w:val="002060"/>
                <w:sz w:val="18"/>
                <w:szCs w:val="18"/>
              </w:rPr>
              <w:t>AIPJ II Mid Term Review</w:t>
            </w:r>
          </w:p>
        </w:tc>
        <w:tc>
          <w:tcPr>
            <w:tcW w:w="1395" w:type="dxa"/>
          </w:tcPr>
          <w:p w:rsidR="007E1E0C" w:rsidRPr="00716158" w:rsidRDefault="00205F9C" w:rsidP="00D36DBE">
            <w:pPr>
              <w:keepLines/>
              <w:spacing w:before="40" w:after="40" w:line="200" w:lineRule="atLeast"/>
              <w:ind w:right="-266"/>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September</w:t>
            </w:r>
            <w:r w:rsidR="009F0197"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sidR="009F0197">
              <w:rPr>
                <w:rFonts w:ascii="Calibri Light" w:eastAsia="Times New Roman" w:hAnsi="Calibri Light"/>
                <w:b w:val="0"/>
                <w:iCs/>
                <w:color w:val="002060"/>
                <w:sz w:val="18"/>
                <w:szCs w:val="18"/>
              </w:rPr>
              <w:t>9</w:t>
            </w:r>
          </w:p>
        </w:tc>
        <w:tc>
          <w:tcPr>
            <w:tcW w:w="1953" w:type="dxa"/>
          </w:tcPr>
          <w:p w:rsidR="007E1E0C" w:rsidRPr="00716158" w:rsidRDefault="00AD4A21"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October</w:t>
            </w:r>
            <w:r w:rsidR="007E1E0C" w:rsidRPr="00362101">
              <w:rPr>
                <w:rFonts w:ascii="Calibri Light" w:eastAsia="Times New Roman" w:hAnsi="Calibri Light"/>
                <w:b w:val="0"/>
                <w:iCs/>
                <w:color w:val="002060"/>
                <w:sz w:val="18"/>
                <w:szCs w:val="18"/>
              </w:rPr>
              <w:t xml:space="preserve"> </w:t>
            </w:r>
            <w:r w:rsidR="009F0197">
              <w:rPr>
                <w:rFonts w:ascii="Calibri Light" w:eastAsia="Times New Roman" w:hAnsi="Calibri Light"/>
                <w:b w:val="0"/>
                <w:iCs/>
                <w:color w:val="002060"/>
                <w:sz w:val="18"/>
                <w:szCs w:val="18"/>
              </w:rPr>
              <w:t>2019</w:t>
            </w:r>
          </w:p>
        </w:tc>
        <w:tc>
          <w:tcPr>
            <w:tcW w:w="1671"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rPr>
            </w:pPr>
            <w:r>
              <w:rPr>
                <w:rFonts w:ascii="Calibri Light" w:eastAsia="Times New Roman" w:hAnsi="Calibri Light"/>
                <w:b w:val="0"/>
                <w:iCs/>
                <w:color w:val="002060"/>
                <w:sz w:val="18"/>
                <w:szCs w:val="18"/>
              </w:rPr>
              <w:t>December 2019</w:t>
            </w:r>
          </w:p>
        </w:tc>
        <w:tc>
          <w:tcPr>
            <w:tcW w:w="1940" w:type="dxa"/>
          </w:tcPr>
          <w:p w:rsidR="007E1E0C" w:rsidRPr="00716158" w:rsidRDefault="009F0197" w:rsidP="007E1E0C">
            <w:pPr>
              <w:keepLines/>
              <w:spacing w:before="40" w:after="40" w:line="200" w:lineRule="atLeast"/>
              <w:rPr>
                <w:rFonts w:ascii="Calibri Light" w:eastAsia="Times New Roman" w:hAnsi="Calibri Light"/>
                <w:b w:val="0"/>
                <w:iCs/>
                <w:color w:val="002060"/>
                <w:sz w:val="18"/>
                <w:szCs w:val="18"/>
                <w:lang w:eastAsia="en-US"/>
              </w:rPr>
            </w:pPr>
            <w:r>
              <w:rPr>
                <w:rFonts w:ascii="Calibri Light" w:eastAsia="Times New Roman" w:hAnsi="Calibri Light"/>
                <w:b w:val="0"/>
                <w:iCs/>
                <w:color w:val="002060"/>
                <w:sz w:val="18"/>
                <w:szCs w:val="18"/>
              </w:rPr>
              <w:t>December</w:t>
            </w:r>
            <w:r w:rsidRPr="00362101">
              <w:rPr>
                <w:rFonts w:ascii="Calibri Light" w:eastAsia="Times New Roman" w:hAnsi="Calibri Light"/>
                <w:b w:val="0"/>
                <w:iCs/>
                <w:color w:val="002060"/>
                <w:sz w:val="18"/>
                <w:szCs w:val="18"/>
              </w:rPr>
              <w:t xml:space="preserve"> </w:t>
            </w:r>
            <w:r w:rsidR="007E1E0C" w:rsidRPr="00362101">
              <w:rPr>
                <w:rFonts w:ascii="Calibri Light" w:eastAsia="Times New Roman" w:hAnsi="Calibri Light"/>
                <w:b w:val="0"/>
                <w:iCs/>
                <w:color w:val="002060"/>
                <w:sz w:val="18"/>
                <w:szCs w:val="18"/>
              </w:rPr>
              <w:t>201</w:t>
            </w:r>
            <w:r>
              <w:rPr>
                <w:rFonts w:ascii="Calibri Light" w:eastAsia="Times New Roman" w:hAnsi="Calibri Light"/>
                <w:b w:val="0"/>
                <w:iCs/>
                <w:color w:val="002060"/>
                <w:sz w:val="18"/>
                <w:szCs w:val="18"/>
              </w:rPr>
              <w:t>9</w:t>
            </w:r>
            <w:r w:rsidR="007E1E0C" w:rsidRPr="00362101">
              <w:rPr>
                <w:rFonts w:ascii="Calibri Light" w:eastAsia="Times New Roman" w:hAnsi="Calibri Light"/>
                <w:b w:val="0"/>
                <w:iCs/>
                <w:color w:val="002060"/>
                <w:sz w:val="18"/>
                <w:szCs w:val="18"/>
              </w:rPr>
              <w:t xml:space="preserve"> (est)</w:t>
            </w:r>
          </w:p>
        </w:tc>
      </w:tr>
    </w:tbl>
    <w:p w:rsidR="0042289C" w:rsidRDefault="0042289C" w:rsidP="009C78AE">
      <w:pPr>
        <w:suppressAutoHyphens w:val="0"/>
        <w:spacing w:before="0" w:after="0" w:line="440" w:lineRule="atLeast"/>
        <w:rPr>
          <w:b/>
          <w:sz w:val="24"/>
        </w:rPr>
      </w:pPr>
    </w:p>
    <w:p w:rsidR="00582023" w:rsidRDefault="00582023" w:rsidP="009C78AE">
      <w:pPr>
        <w:suppressAutoHyphens w:val="0"/>
        <w:spacing w:before="0" w:after="0" w:line="440" w:lineRule="atLeast"/>
        <w:rPr>
          <w:b/>
          <w:sz w:val="24"/>
        </w:rPr>
      </w:pPr>
    </w:p>
    <w:p w:rsidR="00582023" w:rsidRDefault="00582023" w:rsidP="009C78AE">
      <w:pPr>
        <w:suppressAutoHyphens w:val="0"/>
        <w:spacing w:before="0" w:after="0" w:line="440" w:lineRule="atLeast"/>
        <w:rPr>
          <w:b/>
          <w:sz w:val="24"/>
        </w:rPr>
      </w:pPr>
    </w:p>
    <w:p w:rsidR="00582023" w:rsidRDefault="00582023" w:rsidP="009C78AE">
      <w:pPr>
        <w:suppressAutoHyphens w:val="0"/>
        <w:spacing w:before="0" w:after="0" w:line="440" w:lineRule="atLeast"/>
        <w:rPr>
          <w:b/>
          <w:sz w:val="24"/>
        </w:rPr>
      </w:pPr>
    </w:p>
    <w:p w:rsidR="00582023" w:rsidRDefault="00582023" w:rsidP="009C78AE">
      <w:pPr>
        <w:suppressAutoHyphens w:val="0"/>
        <w:spacing w:before="0" w:after="0" w:line="440" w:lineRule="atLeast"/>
        <w:rPr>
          <w:b/>
          <w:sz w:val="24"/>
        </w:rPr>
      </w:pPr>
    </w:p>
    <w:p w:rsidR="00582023" w:rsidRDefault="00582023" w:rsidP="009C78AE">
      <w:pPr>
        <w:suppressAutoHyphens w:val="0"/>
        <w:spacing w:before="0" w:after="0" w:line="440" w:lineRule="atLeast"/>
        <w:rPr>
          <w:b/>
          <w:sz w:val="24"/>
        </w:rPr>
      </w:pPr>
    </w:p>
    <w:p w:rsidR="0042289C" w:rsidRDefault="0042289C" w:rsidP="009C78AE">
      <w:pPr>
        <w:suppressAutoHyphens w:val="0"/>
        <w:spacing w:before="0" w:after="0" w:line="440" w:lineRule="atLeast"/>
        <w:rPr>
          <w:b/>
          <w:sz w:val="24"/>
        </w:rPr>
      </w:pPr>
      <w:r w:rsidRPr="008C2F58">
        <w:rPr>
          <w:b/>
          <w:sz w:val="24"/>
        </w:rPr>
        <w:t xml:space="preserve">List of program prioritised evaluations planned for the next 12 months </w:t>
      </w:r>
    </w:p>
    <w:tbl>
      <w:tblPr>
        <w:tblStyle w:val="APPR1"/>
        <w:tblpPr w:leftFromText="180" w:rightFromText="180" w:vertAnchor="page" w:horzAnchor="margin" w:tblpY="1726"/>
        <w:tblW w:w="15026" w:type="dxa"/>
        <w:tblBorders>
          <w:top w:val="none" w:sz="0" w:space="0" w:color="auto"/>
          <w:bottom w:val="none" w:sz="0" w:space="0" w:color="auto"/>
        </w:tblBorders>
        <w:tblLook w:val="0600" w:firstRow="0" w:lastRow="0" w:firstColumn="0" w:lastColumn="0" w:noHBand="1" w:noVBand="1"/>
      </w:tblPr>
      <w:tblGrid>
        <w:gridCol w:w="2482"/>
        <w:gridCol w:w="2360"/>
        <w:gridCol w:w="1679"/>
        <w:gridCol w:w="1843"/>
        <w:gridCol w:w="3543"/>
        <w:gridCol w:w="3119"/>
      </w:tblGrid>
      <w:tr w:rsidR="0042289C" w:rsidRPr="006175DF" w:rsidTr="00582023">
        <w:tc>
          <w:tcPr>
            <w:tcW w:w="2440" w:type="dxa"/>
            <w:tcBorders>
              <w:top w:val="single" w:sz="12" w:space="0" w:color="auto"/>
            </w:tcBorders>
          </w:tcPr>
          <w:p w:rsidR="0042289C" w:rsidRPr="006175DF" w:rsidRDefault="0042289C" w:rsidP="0042289C">
            <w:pPr>
              <w:keepLines/>
              <w:spacing w:before="80" w:after="80" w:line="200" w:lineRule="atLeast"/>
              <w:rPr>
                <w:rFonts w:asciiTheme="minorHAnsi" w:eastAsia="Times New Roman" w:hAnsiTheme="minorHAnsi"/>
                <w:b/>
                <w:iCs/>
                <w:sz w:val="18"/>
                <w:szCs w:val="18"/>
                <w:lang w:eastAsia="en-US"/>
              </w:rPr>
            </w:pPr>
            <w:r>
              <w:rPr>
                <w:b/>
                <w:sz w:val="24"/>
              </w:rPr>
              <w:br w:type="page"/>
            </w:r>
            <w:r>
              <w:rPr>
                <w:rFonts w:eastAsia="Times New Roman"/>
                <w:b/>
                <w:iCs/>
                <w:sz w:val="18"/>
                <w:szCs w:val="18"/>
              </w:rPr>
              <w:t>Eva</w:t>
            </w:r>
            <w:r w:rsidRPr="006175DF">
              <w:rPr>
                <w:rFonts w:eastAsia="Times New Roman"/>
                <w:b/>
                <w:iCs/>
                <w:sz w:val="18"/>
                <w:szCs w:val="18"/>
              </w:rPr>
              <w:t>luation title</w:t>
            </w:r>
          </w:p>
        </w:tc>
        <w:tc>
          <w:tcPr>
            <w:tcW w:w="2332" w:type="dxa"/>
            <w:tcBorders>
              <w:top w:val="single" w:sz="12" w:space="0" w:color="auto"/>
            </w:tcBorders>
          </w:tcPr>
          <w:p w:rsidR="0042289C" w:rsidRPr="006175DF" w:rsidRDefault="0042289C" w:rsidP="0042289C">
            <w:pPr>
              <w:keepLines/>
              <w:spacing w:before="80" w:after="80" w:line="200" w:lineRule="atLeast"/>
              <w:rPr>
                <w:rFonts w:asciiTheme="minorHAnsi" w:eastAsia="Times New Roman" w:hAnsiTheme="minorHAnsi"/>
                <w:b/>
                <w:iCs/>
                <w:sz w:val="18"/>
                <w:szCs w:val="18"/>
                <w:lang w:eastAsia="en-US"/>
              </w:rPr>
            </w:pPr>
            <w:r w:rsidRPr="006175DF">
              <w:rPr>
                <w:rFonts w:eastAsia="Times New Roman"/>
                <w:b/>
                <w:iCs/>
                <w:sz w:val="18"/>
                <w:szCs w:val="18"/>
              </w:rPr>
              <w:t xml:space="preserve">Investment number and name (if applicable) </w:t>
            </w:r>
          </w:p>
        </w:tc>
        <w:tc>
          <w:tcPr>
            <w:tcW w:w="1651" w:type="dxa"/>
            <w:tcBorders>
              <w:top w:val="single" w:sz="12" w:space="0" w:color="auto"/>
            </w:tcBorders>
          </w:tcPr>
          <w:p w:rsidR="0042289C" w:rsidRPr="006175DF" w:rsidRDefault="0042289C" w:rsidP="0042289C">
            <w:pPr>
              <w:keepLines/>
              <w:spacing w:before="80" w:after="80" w:line="200" w:lineRule="atLeast"/>
              <w:rPr>
                <w:rFonts w:asciiTheme="minorHAnsi" w:eastAsia="Times New Roman" w:hAnsiTheme="minorHAnsi"/>
                <w:b/>
                <w:iCs/>
                <w:sz w:val="18"/>
                <w:szCs w:val="18"/>
                <w:lang w:eastAsia="en-US"/>
              </w:rPr>
            </w:pPr>
            <w:r w:rsidRPr="006175DF">
              <w:rPr>
                <w:rFonts w:eastAsia="Times New Roman"/>
                <w:b/>
                <w:iCs/>
                <w:sz w:val="18"/>
                <w:szCs w:val="18"/>
              </w:rPr>
              <w:t>Date – planned commencement (month/year)</w:t>
            </w:r>
          </w:p>
        </w:tc>
        <w:tc>
          <w:tcPr>
            <w:tcW w:w="1815" w:type="dxa"/>
            <w:tcBorders>
              <w:top w:val="single" w:sz="12" w:space="0" w:color="auto"/>
            </w:tcBorders>
          </w:tcPr>
          <w:p w:rsidR="0042289C" w:rsidRPr="006175DF" w:rsidRDefault="0042289C" w:rsidP="0042289C">
            <w:pPr>
              <w:keepLines/>
              <w:spacing w:before="80" w:after="80" w:line="200" w:lineRule="atLeast"/>
              <w:ind w:right="388"/>
              <w:rPr>
                <w:rFonts w:asciiTheme="minorHAnsi" w:eastAsia="Times New Roman" w:hAnsiTheme="minorHAnsi"/>
                <w:b/>
                <w:iCs/>
                <w:sz w:val="18"/>
                <w:szCs w:val="18"/>
                <w:lang w:eastAsia="en-US"/>
              </w:rPr>
            </w:pPr>
            <w:r w:rsidRPr="006175DF">
              <w:rPr>
                <w:rFonts w:eastAsia="Times New Roman"/>
                <w:b/>
                <w:iCs/>
                <w:sz w:val="18"/>
                <w:szCs w:val="18"/>
              </w:rPr>
              <w:t>Date – planned completion (month/year)</w:t>
            </w:r>
          </w:p>
        </w:tc>
        <w:tc>
          <w:tcPr>
            <w:tcW w:w="3515" w:type="dxa"/>
            <w:tcBorders>
              <w:top w:val="single" w:sz="12" w:space="0" w:color="auto"/>
            </w:tcBorders>
          </w:tcPr>
          <w:p w:rsidR="0042289C" w:rsidRPr="006175DF" w:rsidRDefault="0042289C" w:rsidP="0042289C">
            <w:pPr>
              <w:keepLines/>
              <w:spacing w:before="80" w:after="80" w:line="200" w:lineRule="atLeast"/>
              <w:rPr>
                <w:rFonts w:asciiTheme="minorHAnsi" w:eastAsia="Times New Roman" w:hAnsiTheme="minorHAnsi"/>
                <w:b/>
                <w:iCs/>
                <w:sz w:val="18"/>
                <w:szCs w:val="18"/>
                <w:lang w:eastAsia="en-US"/>
              </w:rPr>
            </w:pPr>
            <w:r w:rsidRPr="006175DF">
              <w:rPr>
                <w:rFonts w:eastAsia="Times New Roman"/>
                <w:b/>
                <w:iCs/>
                <w:sz w:val="18"/>
                <w:szCs w:val="18"/>
              </w:rPr>
              <w:t>Purpose of evaluation</w:t>
            </w:r>
          </w:p>
        </w:tc>
        <w:tc>
          <w:tcPr>
            <w:tcW w:w="3077" w:type="dxa"/>
            <w:tcBorders>
              <w:top w:val="single" w:sz="12" w:space="0" w:color="auto"/>
            </w:tcBorders>
          </w:tcPr>
          <w:p w:rsidR="0042289C" w:rsidRPr="006175DF" w:rsidRDefault="0042289C" w:rsidP="0042289C">
            <w:pPr>
              <w:keepLines/>
              <w:spacing w:before="80" w:after="80" w:line="200" w:lineRule="atLeast"/>
              <w:rPr>
                <w:rFonts w:asciiTheme="minorHAnsi" w:eastAsia="Times New Roman" w:hAnsiTheme="minorHAnsi"/>
                <w:b/>
                <w:iCs/>
                <w:sz w:val="18"/>
                <w:szCs w:val="18"/>
                <w:lang w:eastAsia="en-US"/>
              </w:rPr>
            </w:pPr>
            <w:r w:rsidRPr="006175DF">
              <w:rPr>
                <w:rFonts w:eastAsia="Times New Roman"/>
                <w:b/>
                <w:iCs/>
                <w:sz w:val="18"/>
                <w:szCs w:val="18"/>
              </w:rPr>
              <w:t>Evaluation type</w:t>
            </w:r>
          </w:p>
        </w:tc>
      </w:tr>
      <w:tr w:rsidR="00464594" w:rsidRPr="00464594" w:rsidTr="00A3405F">
        <w:tc>
          <w:tcPr>
            <w:tcW w:w="2440" w:type="dxa"/>
          </w:tcPr>
          <w:p w:rsidR="00464594" w:rsidRPr="00464594" w:rsidRDefault="00464594" w:rsidP="003253C5">
            <w:pPr>
              <w:keepLines/>
              <w:spacing w:before="40" w:after="40" w:line="200" w:lineRule="atLeast"/>
              <w:rPr>
                <w:rFonts w:ascii="Calibri Light" w:hAnsi="Calibri Light"/>
                <w:iCs/>
                <w:color w:val="002060"/>
                <w:sz w:val="18"/>
                <w:szCs w:val="18"/>
              </w:rPr>
            </w:pPr>
            <w:r w:rsidRPr="00464594">
              <w:rPr>
                <w:rFonts w:ascii="Calibri Light" w:hAnsi="Calibri Light"/>
                <w:iCs/>
                <w:color w:val="002060"/>
                <w:sz w:val="18"/>
                <w:szCs w:val="18"/>
              </w:rPr>
              <w:t xml:space="preserve">Policy </w:t>
            </w:r>
            <w:r w:rsidR="003253C5">
              <w:rPr>
                <w:rFonts w:ascii="Calibri Light" w:hAnsi="Calibri Light"/>
                <w:iCs/>
                <w:color w:val="002060"/>
                <w:sz w:val="18"/>
                <w:szCs w:val="18"/>
              </w:rPr>
              <w:t>Engagement</w:t>
            </w:r>
            <w:r w:rsidRPr="00464594">
              <w:rPr>
                <w:rFonts w:ascii="Calibri Light" w:hAnsi="Calibri Light"/>
                <w:iCs/>
                <w:color w:val="002060"/>
                <w:sz w:val="18"/>
                <w:szCs w:val="18"/>
              </w:rPr>
              <w:t xml:space="preserve"> Review</w:t>
            </w:r>
          </w:p>
        </w:tc>
        <w:tc>
          <w:tcPr>
            <w:tcW w:w="2332" w:type="dxa"/>
          </w:tcPr>
          <w:p w:rsidR="00464594" w:rsidRPr="00464594" w:rsidRDefault="00464594" w:rsidP="00464594">
            <w:pPr>
              <w:keepLines/>
              <w:spacing w:before="40" w:after="40" w:line="200" w:lineRule="atLeast"/>
              <w:rPr>
                <w:rFonts w:ascii="Calibri Light" w:hAnsi="Calibri Light"/>
                <w:iCs/>
                <w:color w:val="002060"/>
                <w:sz w:val="18"/>
                <w:szCs w:val="18"/>
              </w:rPr>
            </w:pPr>
            <w:r w:rsidRPr="00464594">
              <w:rPr>
                <w:rFonts w:ascii="Calibri Light" w:hAnsi="Calibri Light"/>
                <w:iCs/>
                <w:color w:val="002060"/>
                <w:sz w:val="18"/>
                <w:szCs w:val="18"/>
              </w:rPr>
              <w:t>Indonesia Program</w:t>
            </w:r>
          </w:p>
        </w:tc>
        <w:tc>
          <w:tcPr>
            <w:tcW w:w="1651" w:type="dxa"/>
          </w:tcPr>
          <w:p w:rsidR="00464594" w:rsidRPr="00464594" w:rsidRDefault="00F35901" w:rsidP="00464594">
            <w:pPr>
              <w:keepLines/>
              <w:spacing w:before="40" w:after="40" w:line="200" w:lineRule="atLeast"/>
              <w:rPr>
                <w:rFonts w:ascii="Calibri Light" w:hAnsi="Calibri Light"/>
                <w:iCs/>
                <w:color w:val="002060"/>
                <w:sz w:val="18"/>
                <w:szCs w:val="18"/>
              </w:rPr>
            </w:pPr>
            <w:r>
              <w:rPr>
                <w:rFonts w:ascii="Calibri Light" w:hAnsi="Calibri Light"/>
                <w:iCs/>
                <w:color w:val="002060"/>
                <w:sz w:val="18"/>
                <w:szCs w:val="18"/>
              </w:rPr>
              <w:t>December</w:t>
            </w:r>
            <w:r w:rsidR="00464594">
              <w:rPr>
                <w:rFonts w:ascii="Calibri Light" w:hAnsi="Calibri Light"/>
                <w:iCs/>
                <w:color w:val="002060"/>
                <w:sz w:val="18"/>
                <w:szCs w:val="18"/>
              </w:rPr>
              <w:t xml:space="preserve"> 2019</w:t>
            </w:r>
          </w:p>
        </w:tc>
        <w:tc>
          <w:tcPr>
            <w:tcW w:w="1815" w:type="dxa"/>
          </w:tcPr>
          <w:p w:rsidR="00464594" w:rsidRPr="00464594" w:rsidRDefault="00F35901" w:rsidP="00464594">
            <w:pPr>
              <w:keepLines/>
              <w:spacing w:before="40" w:after="40" w:line="200" w:lineRule="atLeast"/>
              <w:rPr>
                <w:rFonts w:ascii="Calibri Light" w:hAnsi="Calibri Light"/>
                <w:iCs/>
                <w:color w:val="002060"/>
                <w:sz w:val="18"/>
                <w:szCs w:val="18"/>
              </w:rPr>
            </w:pPr>
            <w:r>
              <w:rPr>
                <w:rFonts w:ascii="Calibri Light" w:hAnsi="Calibri Light"/>
                <w:iCs/>
                <w:color w:val="002060"/>
                <w:sz w:val="18"/>
                <w:szCs w:val="18"/>
              </w:rPr>
              <w:t>December</w:t>
            </w:r>
            <w:r w:rsidR="00464594">
              <w:rPr>
                <w:rFonts w:ascii="Calibri Light" w:hAnsi="Calibri Light"/>
                <w:iCs/>
                <w:color w:val="002060"/>
                <w:sz w:val="18"/>
                <w:szCs w:val="18"/>
              </w:rPr>
              <w:t xml:space="preserve"> 2020</w:t>
            </w:r>
          </w:p>
        </w:tc>
        <w:tc>
          <w:tcPr>
            <w:tcW w:w="3515" w:type="dxa"/>
          </w:tcPr>
          <w:p w:rsidR="00464594" w:rsidRPr="00464594" w:rsidRDefault="00DB0B7F" w:rsidP="00E41C13">
            <w:pPr>
              <w:keepLines/>
              <w:spacing w:before="40" w:after="40" w:line="200" w:lineRule="atLeast"/>
              <w:rPr>
                <w:rFonts w:ascii="Calibri Light" w:hAnsi="Calibri Light"/>
                <w:iCs/>
                <w:color w:val="002060"/>
                <w:sz w:val="18"/>
                <w:szCs w:val="18"/>
              </w:rPr>
            </w:pPr>
            <w:r>
              <w:rPr>
                <w:rFonts w:ascii="Calibri Light" w:hAnsi="Calibri Light"/>
                <w:iCs/>
                <w:color w:val="002060"/>
                <w:sz w:val="18"/>
                <w:szCs w:val="18"/>
              </w:rPr>
              <w:t>Review</w:t>
            </w:r>
            <w:r w:rsidR="00E41C13">
              <w:rPr>
                <w:rFonts w:ascii="Calibri Light" w:hAnsi="Calibri Light"/>
                <w:iCs/>
                <w:color w:val="002060"/>
                <w:sz w:val="18"/>
                <w:szCs w:val="18"/>
              </w:rPr>
              <w:t xml:space="preserve"> the program’s work in policy reform to identify the key drivers of success and </w:t>
            </w:r>
            <w:r w:rsidR="00F35901">
              <w:rPr>
                <w:rFonts w:ascii="Calibri Light" w:hAnsi="Calibri Light"/>
                <w:iCs/>
                <w:color w:val="002060"/>
                <w:sz w:val="18"/>
                <w:szCs w:val="18"/>
              </w:rPr>
              <w:t>consider barriers and challenges.</w:t>
            </w:r>
          </w:p>
        </w:tc>
        <w:tc>
          <w:tcPr>
            <w:tcW w:w="3077" w:type="dxa"/>
          </w:tcPr>
          <w:p w:rsidR="00464594" w:rsidRPr="00464594" w:rsidRDefault="00F35901" w:rsidP="00464594">
            <w:pPr>
              <w:keepLines/>
              <w:spacing w:before="40" w:after="40" w:line="200" w:lineRule="atLeast"/>
              <w:rPr>
                <w:rFonts w:ascii="Calibri Light" w:hAnsi="Calibri Light"/>
                <w:iCs/>
                <w:color w:val="002060"/>
                <w:sz w:val="18"/>
                <w:szCs w:val="18"/>
              </w:rPr>
            </w:pPr>
            <w:r>
              <w:rPr>
                <w:rFonts w:ascii="Calibri Light" w:hAnsi="Calibri Light"/>
                <w:iCs/>
                <w:color w:val="002060"/>
                <w:sz w:val="18"/>
                <w:szCs w:val="18"/>
              </w:rPr>
              <w:t>DFAT led</w:t>
            </w:r>
          </w:p>
        </w:tc>
      </w:tr>
      <w:tr w:rsidR="0042289C" w:rsidRPr="009208A1" w:rsidTr="00582023">
        <w:tc>
          <w:tcPr>
            <w:tcW w:w="2440" w:type="dxa"/>
          </w:tcPr>
          <w:p w:rsidR="0042289C" w:rsidRDefault="0042289C" w:rsidP="0042289C">
            <w:pPr>
              <w:keepLines/>
              <w:spacing w:before="40" w:after="40" w:line="200" w:lineRule="atLeast"/>
              <w:rPr>
                <w:rFonts w:eastAsia="Times New Roman"/>
                <w:iCs/>
                <w:sz w:val="18"/>
                <w:szCs w:val="18"/>
              </w:rPr>
            </w:pPr>
            <w:r w:rsidRPr="00582023">
              <w:rPr>
                <w:rFonts w:ascii="Calibri Light" w:hAnsi="Calibri Light"/>
                <w:iCs/>
                <w:color w:val="002060"/>
                <w:sz w:val="18"/>
                <w:szCs w:val="18"/>
              </w:rPr>
              <w:t>Indonesia Project Completion Review</w:t>
            </w:r>
          </w:p>
        </w:tc>
        <w:tc>
          <w:tcPr>
            <w:tcW w:w="2332"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INI035 Indonesia Project</w:t>
            </w:r>
          </w:p>
        </w:tc>
        <w:tc>
          <w:tcPr>
            <w:tcW w:w="1651"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June 2019</w:t>
            </w:r>
          </w:p>
        </w:tc>
        <w:tc>
          <w:tcPr>
            <w:tcW w:w="1815"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December 2019</w:t>
            </w:r>
          </w:p>
        </w:tc>
        <w:tc>
          <w:tcPr>
            <w:tcW w:w="3515"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Inform the design of next phase investment (phase 5)</w:t>
            </w:r>
          </w:p>
        </w:tc>
        <w:tc>
          <w:tcPr>
            <w:tcW w:w="3077"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DFAT led</w:t>
            </w:r>
          </w:p>
        </w:tc>
      </w:tr>
      <w:tr w:rsidR="0042289C" w:rsidRPr="009208A1" w:rsidTr="00582023">
        <w:tc>
          <w:tcPr>
            <w:tcW w:w="2440" w:type="dxa"/>
          </w:tcPr>
          <w:p w:rsidR="0042289C" w:rsidRPr="00582023" w:rsidRDefault="000650AE" w:rsidP="003253C5">
            <w:pPr>
              <w:keepLines/>
              <w:spacing w:before="40" w:after="40" w:line="200" w:lineRule="atLeast"/>
              <w:rPr>
                <w:rFonts w:ascii="Calibri Light" w:hAnsi="Calibri Light"/>
                <w:iCs/>
                <w:color w:val="002060"/>
                <w:sz w:val="18"/>
                <w:szCs w:val="18"/>
              </w:rPr>
            </w:pPr>
            <w:r>
              <w:rPr>
                <w:rFonts w:ascii="Calibri Light" w:hAnsi="Calibri Light"/>
                <w:iCs/>
                <w:color w:val="002060"/>
                <w:sz w:val="18"/>
                <w:szCs w:val="18"/>
              </w:rPr>
              <w:t>Mid-</w:t>
            </w:r>
            <w:r w:rsidR="0042289C" w:rsidRPr="00582023">
              <w:rPr>
                <w:rFonts w:ascii="Calibri Light" w:hAnsi="Calibri Light"/>
                <w:iCs/>
                <w:color w:val="002060"/>
                <w:sz w:val="18"/>
                <w:szCs w:val="18"/>
              </w:rPr>
              <w:t>Term Review of Knowledge Sector Initiative</w:t>
            </w:r>
            <w:r w:rsidR="003253C5">
              <w:rPr>
                <w:rFonts w:ascii="Calibri Light" w:hAnsi="Calibri Light"/>
                <w:iCs/>
                <w:color w:val="002060"/>
                <w:sz w:val="18"/>
                <w:szCs w:val="18"/>
              </w:rPr>
              <w:t xml:space="preserve">, </w:t>
            </w:r>
            <w:r w:rsidR="003253C5" w:rsidRPr="00582023">
              <w:rPr>
                <w:rFonts w:ascii="Calibri Light" w:hAnsi="Calibri Light"/>
                <w:iCs/>
                <w:color w:val="002060"/>
                <w:sz w:val="18"/>
                <w:szCs w:val="18"/>
              </w:rPr>
              <w:t xml:space="preserve"> </w:t>
            </w:r>
          </w:p>
        </w:tc>
        <w:tc>
          <w:tcPr>
            <w:tcW w:w="2332"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INK640 Knowledge Sector Initiative</w:t>
            </w:r>
          </w:p>
        </w:tc>
        <w:tc>
          <w:tcPr>
            <w:tcW w:w="1651"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June 2020</w:t>
            </w:r>
          </w:p>
        </w:tc>
        <w:tc>
          <w:tcPr>
            <w:tcW w:w="1815"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September 2020</w:t>
            </w:r>
          </w:p>
        </w:tc>
        <w:tc>
          <w:tcPr>
            <w:tcW w:w="3515"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Assess effectiveness &amp; results, continued relevance of ‘knowledge sector’ in Indonesia; and inform design of new investment</w:t>
            </w:r>
          </w:p>
        </w:tc>
        <w:tc>
          <w:tcPr>
            <w:tcW w:w="3077" w:type="dxa"/>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 xml:space="preserve">DFAT led </w:t>
            </w:r>
          </w:p>
        </w:tc>
      </w:tr>
      <w:tr w:rsidR="00326D1A" w:rsidRPr="009208A1" w:rsidTr="00582023">
        <w:tc>
          <w:tcPr>
            <w:tcW w:w="2440" w:type="dxa"/>
          </w:tcPr>
          <w:p w:rsidR="00326D1A" w:rsidRPr="00582023" w:rsidRDefault="00326D1A" w:rsidP="0042289C">
            <w:pPr>
              <w:keepLines/>
              <w:spacing w:before="40" w:after="40" w:line="200" w:lineRule="atLeast"/>
              <w:rPr>
                <w:rFonts w:ascii="Calibri Light" w:hAnsi="Calibri Light"/>
                <w:iCs/>
                <w:color w:val="002060"/>
                <w:sz w:val="18"/>
                <w:szCs w:val="18"/>
              </w:rPr>
            </w:pPr>
          </w:p>
        </w:tc>
        <w:tc>
          <w:tcPr>
            <w:tcW w:w="2332" w:type="dxa"/>
          </w:tcPr>
          <w:p w:rsidR="00326D1A" w:rsidRPr="00582023" w:rsidRDefault="00326D1A" w:rsidP="0042289C">
            <w:pPr>
              <w:keepLines/>
              <w:spacing w:before="40" w:after="40" w:line="200" w:lineRule="atLeast"/>
              <w:rPr>
                <w:rFonts w:ascii="Calibri Light" w:hAnsi="Calibri Light"/>
                <w:iCs/>
                <w:color w:val="002060"/>
                <w:sz w:val="18"/>
                <w:szCs w:val="18"/>
              </w:rPr>
            </w:pPr>
          </w:p>
        </w:tc>
        <w:tc>
          <w:tcPr>
            <w:tcW w:w="1651" w:type="dxa"/>
          </w:tcPr>
          <w:p w:rsidR="00326D1A" w:rsidRPr="00582023" w:rsidRDefault="00326D1A" w:rsidP="0042289C">
            <w:pPr>
              <w:keepLines/>
              <w:spacing w:before="40" w:after="40" w:line="200" w:lineRule="atLeast"/>
              <w:rPr>
                <w:rFonts w:ascii="Calibri Light" w:hAnsi="Calibri Light"/>
                <w:iCs/>
                <w:color w:val="002060"/>
                <w:sz w:val="18"/>
                <w:szCs w:val="18"/>
              </w:rPr>
            </w:pPr>
          </w:p>
        </w:tc>
        <w:tc>
          <w:tcPr>
            <w:tcW w:w="1815" w:type="dxa"/>
          </w:tcPr>
          <w:p w:rsidR="00326D1A" w:rsidRPr="00582023" w:rsidRDefault="00326D1A" w:rsidP="0042289C">
            <w:pPr>
              <w:keepLines/>
              <w:spacing w:before="40" w:after="40" w:line="200" w:lineRule="atLeast"/>
              <w:rPr>
                <w:rFonts w:ascii="Calibri Light" w:hAnsi="Calibri Light"/>
                <w:iCs/>
                <w:color w:val="002060"/>
                <w:sz w:val="18"/>
                <w:szCs w:val="18"/>
              </w:rPr>
            </w:pPr>
          </w:p>
        </w:tc>
        <w:tc>
          <w:tcPr>
            <w:tcW w:w="3515" w:type="dxa"/>
          </w:tcPr>
          <w:p w:rsidR="00326D1A" w:rsidRPr="00582023" w:rsidRDefault="00326D1A" w:rsidP="0042289C">
            <w:pPr>
              <w:keepLines/>
              <w:spacing w:before="40" w:after="40" w:line="200" w:lineRule="atLeast"/>
              <w:rPr>
                <w:rFonts w:ascii="Calibri Light" w:hAnsi="Calibri Light"/>
                <w:iCs/>
                <w:color w:val="002060"/>
                <w:sz w:val="18"/>
                <w:szCs w:val="18"/>
              </w:rPr>
            </w:pPr>
          </w:p>
        </w:tc>
        <w:tc>
          <w:tcPr>
            <w:tcW w:w="3077" w:type="dxa"/>
          </w:tcPr>
          <w:p w:rsidR="00326D1A" w:rsidRPr="00582023" w:rsidRDefault="00326D1A" w:rsidP="0042289C">
            <w:pPr>
              <w:keepLines/>
              <w:spacing w:before="40" w:after="40" w:line="200" w:lineRule="atLeast"/>
              <w:rPr>
                <w:rFonts w:ascii="Calibri Light" w:hAnsi="Calibri Light"/>
                <w:iCs/>
                <w:color w:val="002060"/>
                <w:sz w:val="18"/>
                <w:szCs w:val="18"/>
              </w:rPr>
            </w:pPr>
          </w:p>
        </w:tc>
      </w:tr>
      <w:tr w:rsidR="0042289C" w:rsidRPr="00D31BE8" w:rsidTr="00582023">
        <w:tc>
          <w:tcPr>
            <w:tcW w:w="2440" w:type="dxa"/>
            <w:tcBorders>
              <w:bottom w:val="single" w:sz="12" w:space="0" w:color="auto"/>
            </w:tcBorders>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Inf</w:t>
            </w:r>
            <w:r w:rsidR="000650AE">
              <w:rPr>
                <w:rFonts w:ascii="Calibri Light" w:hAnsi="Calibri Light"/>
                <w:iCs/>
                <w:color w:val="002060"/>
                <w:sz w:val="18"/>
                <w:szCs w:val="18"/>
              </w:rPr>
              <w:t>rastructure Facility (KIAT) Mid-</w:t>
            </w:r>
            <w:r w:rsidRPr="00582023">
              <w:rPr>
                <w:rFonts w:ascii="Calibri Light" w:hAnsi="Calibri Light"/>
                <w:iCs/>
                <w:color w:val="002060"/>
                <w:sz w:val="18"/>
                <w:szCs w:val="18"/>
              </w:rPr>
              <w:t>Term Review</w:t>
            </w:r>
          </w:p>
        </w:tc>
        <w:tc>
          <w:tcPr>
            <w:tcW w:w="2332" w:type="dxa"/>
            <w:tcBorders>
              <w:bottom w:val="single" w:sz="12" w:space="0" w:color="auto"/>
            </w:tcBorders>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INL952 Indonesia Infrastructure Program (KIAT) Phase 1</w:t>
            </w:r>
          </w:p>
        </w:tc>
        <w:tc>
          <w:tcPr>
            <w:tcW w:w="1651" w:type="dxa"/>
            <w:tcBorders>
              <w:bottom w:val="single" w:sz="12" w:space="0" w:color="auto"/>
            </w:tcBorders>
          </w:tcPr>
          <w:p w:rsidR="0042289C" w:rsidRPr="00582023" w:rsidRDefault="00206EE2"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January 2020</w:t>
            </w:r>
          </w:p>
        </w:tc>
        <w:tc>
          <w:tcPr>
            <w:tcW w:w="1815" w:type="dxa"/>
            <w:tcBorders>
              <w:bottom w:val="single" w:sz="12" w:space="0" w:color="auto"/>
            </w:tcBorders>
          </w:tcPr>
          <w:p w:rsidR="0042289C" w:rsidRPr="00582023" w:rsidRDefault="00206EE2"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June 2020</w:t>
            </w:r>
          </w:p>
        </w:tc>
        <w:tc>
          <w:tcPr>
            <w:tcW w:w="3515" w:type="dxa"/>
            <w:tcBorders>
              <w:bottom w:val="single" w:sz="12" w:space="0" w:color="auto"/>
            </w:tcBorders>
          </w:tcPr>
          <w:p w:rsidR="0042289C" w:rsidRPr="00582023" w:rsidRDefault="00206EE2" w:rsidP="00206EE2">
            <w:pPr>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Independent review to inform a new design, demonstrate results, verify performance, improve existing investment, and examine value for money</w:t>
            </w:r>
          </w:p>
        </w:tc>
        <w:tc>
          <w:tcPr>
            <w:tcW w:w="3077" w:type="dxa"/>
            <w:tcBorders>
              <w:bottom w:val="single" w:sz="12" w:space="0" w:color="auto"/>
            </w:tcBorders>
          </w:tcPr>
          <w:p w:rsidR="0042289C" w:rsidRPr="00582023" w:rsidRDefault="0042289C" w:rsidP="0042289C">
            <w:pPr>
              <w:keepLines/>
              <w:spacing w:before="40" w:after="40" w:line="200" w:lineRule="atLeast"/>
              <w:rPr>
                <w:rFonts w:ascii="Calibri Light" w:hAnsi="Calibri Light"/>
                <w:iCs/>
                <w:color w:val="002060"/>
                <w:sz w:val="18"/>
                <w:szCs w:val="18"/>
              </w:rPr>
            </w:pPr>
            <w:r w:rsidRPr="00582023">
              <w:rPr>
                <w:rFonts w:ascii="Calibri Light" w:hAnsi="Calibri Light"/>
                <w:iCs/>
                <w:color w:val="002060"/>
                <w:sz w:val="18"/>
                <w:szCs w:val="18"/>
              </w:rPr>
              <w:t>DFAT led</w:t>
            </w:r>
          </w:p>
        </w:tc>
      </w:tr>
    </w:tbl>
    <w:p w:rsidR="0042289C" w:rsidRDefault="0042289C" w:rsidP="009C78AE">
      <w:pPr>
        <w:suppressAutoHyphens w:val="0"/>
        <w:spacing w:before="0" w:after="0" w:line="440" w:lineRule="atLeast"/>
        <w:rPr>
          <w:b/>
          <w:sz w:val="24"/>
        </w:rPr>
      </w:pPr>
    </w:p>
    <w:p w:rsidR="00400B0F" w:rsidRPr="00C61187" w:rsidRDefault="00400B0F" w:rsidP="00400B0F">
      <w:pPr>
        <w:rPr>
          <w:b/>
        </w:rPr>
        <w:sectPr w:rsidR="00400B0F" w:rsidRPr="00C61187" w:rsidSect="00687711">
          <w:headerReference w:type="even" r:id="rId40"/>
          <w:headerReference w:type="default" r:id="rId41"/>
          <w:headerReference w:type="first" r:id="rId42"/>
          <w:footerReference w:type="first" r:id="rId43"/>
          <w:footnotePr>
            <w:numRestart w:val="eachPage"/>
          </w:footnotePr>
          <w:type w:val="continuous"/>
          <w:pgSz w:w="16838" w:h="11906" w:orient="landscape" w:code="9"/>
          <w:pgMar w:top="993" w:right="1814" w:bottom="709" w:left="851" w:header="709" w:footer="230" w:gutter="0"/>
          <w:cols w:space="708"/>
          <w:titlePg/>
          <w:docGrid w:linePitch="360"/>
        </w:sectPr>
      </w:pPr>
    </w:p>
    <w:p w:rsidR="00400B0F" w:rsidRPr="00784031" w:rsidRDefault="00400B0F" w:rsidP="00400B0F">
      <w:pPr>
        <w:keepNext/>
        <w:tabs>
          <w:tab w:val="left" w:pos="1560"/>
        </w:tabs>
        <w:spacing w:before="360" w:after="120"/>
        <w:outlineLvl w:val="1"/>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t>Annex D - Aid Quality Check ratings</w:t>
      </w:r>
    </w:p>
    <w:p w:rsidR="00FE4541" w:rsidRPr="00F55597" w:rsidRDefault="00FE4541" w:rsidP="00FE4541">
      <w:pPr>
        <w:keepNext/>
        <w:numPr>
          <w:ilvl w:val="2"/>
          <w:numId w:val="0"/>
        </w:numPr>
        <w:spacing w:before="240" w:after="120"/>
        <w:outlineLvl w:val="2"/>
        <w:rPr>
          <w:rFonts w:asciiTheme="majorHAnsi" w:eastAsiaTheme="majorEastAsia" w:hAnsiTheme="majorHAnsi" w:cstheme="majorBidi"/>
          <w:b/>
          <w:caps/>
          <w:sz w:val="38"/>
          <w:szCs w:val="26"/>
        </w:rPr>
      </w:pPr>
      <w:r w:rsidRPr="00F55597">
        <w:rPr>
          <w:rFonts w:asciiTheme="majorHAnsi" w:eastAsiaTheme="majorEastAsia" w:hAnsiTheme="majorHAnsi" w:cstheme="majorBidi"/>
          <w:b/>
          <w:caps/>
          <w:sz w:val="38"/>
          <w:szCs w:val="26"/>
        </w:rPr>
        <w:t>AQC ratings</w:t>
      </w:r>
    </w:p>
    <w:p w:rsidR="00507B08" w:rsidRDefault="00FE4541" w:rsidP="00FE4541">
      <w:r w:rsidRPr="00C61187">
        <w:t>AQC investment performance over the previous 12 months and where available last year’s AQC ratings are included.</w:t>
      </w:r>
    </w:p>
    <w:tbl>
      <w:tblPr>
        <w:tblW w:w="10920" w:type="dxa"/>
        <w:jc w:val="center"/>
        <w:tblLook w:val="04A0" w:firstRow="1" w:lastRow="0" w:firstColumn="1" w:lastColumn="0" w:noHBand="0" w:noVBand="1"/>
      </w:tblPr>
      <w:tblGrid>
        <w:gridCol w:w="460"/>
        <w:gridCol w:w="5900"/>
        <w:gridCol w:w="1340"/>
        <w:gridCol w:w="1120"/>
        <w:gridCol w:w="700"/>
        <w:gridCol w:w="700"/>
        <w:gridCol w:w="700"/>
      </w:tblGrid>
      <w:tr w:rsidR="00A2007F" w:rsidRPr="00A2007F" w:rsidTr="00D36DBE">
        <w:trPr>
          <w:trHeight w:val="300"/>
          <w:jc w:val="center"/>
        </w:trPr>
        <w:tc>
          <w:tcPr>
            <w:tcW w:w="460" w:type="dxa"/>
            <w:vMerge w:val="restart"/>
            <w:tcBorders>
              <w:top w:val="single" w:sz="4" w:space="0" w:color="808080"/>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No</w:t>
            </w:r>
          </w:p>
        </w:tc>
        <w:tc>
          <w:tcPr>
            <w:tcW w:w="5900" w:type="dxa"/>
            <w:vMerge w:val="restart"/>
            <w:tcBorders>
              <w:top w:val="single" w:sz="4" w:space="0" w:color="808080"/>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Investment Name</w:t>
            </w:r>
          </w:p>
        </w:tc>
        <w:tc>
          <w:tcPr>
            <w:tcW w:w="1340" w:type="dxa"/>
            <w:vMerge w:val="restart"/>
            <w:tcBorders>
              <w:top w:val="single" w:sz="4" w:space="0" w:color="808080"/>
              <w:left w:val="nil"/>
              <w:bottom w:val="single" w:sz="4" w:space="0" w:color="808080"/>
              <w:right w:val="nil"/>
            </w:tcBorders>
            <w:shd w:val="clear" w:color="auto" w:fill="auto"/>
            <w:textDirection w:val="btLr"/>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Approved budget and duration</w:t>
            </w:r>
            <w:r w:rsidRPr="00A2007F">
              <w:rPr>
                <w:rFonts w:ascii="Calibri Light" w:eastAsia="Times New Roman" w:hAnsi="Calibri Light" w:cs="Calibri Light"/>
                <w:b/>
                <w:bCs/>
                <w:color w:val="44546A"/>
                <w:lang w:val="en-AU" w:eastAsia="en-AU"/>
              </w:rPr>
              <w:t xml:space="preserve"> </w:t>
            </w:r>
          </w:p>
        </w:tc>
        <w:tc>
          <w:tcPr>
            <w:tcW w:w="1120" w:type="dxa"/>
            <w:vMerge w:val="restart"/>
            <w:tcBorders>
              <w:top w:val="single" w:sz="4" w:space="0" w:color="808080"/>
              <w:left w:val="nil"/>
              <w:bottom w:val="single" w:sz="4" w:space="0" w:color="808080"/>
              <w:right w:val="nil"/>
            </w:tcBorders>
            <w:shd w:val="clear" w:color="auto" w:fill="auto"/>
            <w:textDirection w:val="btLr"/>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AQC Year</w:t>
            </w:r>
          </w:p>
        </w:tc>
        <w:tc>
          <w:tcPr>
            <w:tcW w:w="700" w:type="dxa"/>
            <w:vMerge w:val="restart"/>
            <w:tcBorders>
              <w:top w:val="single" w:sz="4" w:space="0" w:color="808080"/>
              <w:left w:val="nil"/>
              <w:bottom w:val="single" w:sz="4" w:space="0" w:color="808080"/>
              <w:right w:val="nil"/>
            </w:tcBorders>
            <w:shd w:val="clear" w:color="auto" w:fill="auto"/>
            <w:textDirection w:val="btLr"/>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Effectiveness</w:t>
            </w:r>
          </w:p>
        </w:tc>
        <w:tc>
          <w:tcPr>
            <w:tcW w:w="700" w:type="dxa"/>
            <w:vMerge w:val="restart"/>
            <w:tcBorders>
              <w:top w:val="single" w:sz="4" w:space="0" w:color="808080"/>
              <w:left w:val="nil"/>
              <w:bottom w:val="single" w:sz="4" w:space="0" w:color="808080"/>
              <w:right w:val="nil"/>
            </w:tcBorders>
            <w:shd w:val="clear" w:color="auto" w:fill="auto"/>
            <w:textDirection w:val="btLr"/>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Efficiency</w:t>
            </w:r>
          </w:p>
        </w:tc>
        <w:tc>
          <w:tcPr>
            <w:tcW w:w="700" w:type="dxa"/>
            <w:vMerge w:val="restart"/>
            <w:tcBorders>
              <w:top w:val="single" w:sz="4" w:space="0" w:color="808080"/>
              <w:left w:val="nil"/>
              <w:bottom w:val="single" w:sz="4" w:space="0" w:color="808080"/>
              <w:right w:val="nil"/>
            </w:tcBorders>
            <w:shd w:val="clear" w:color="auto" w:fill="auto"/>
            <w:textDirection w:val="btLr"/>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A2007F">
              <w:rPr>
                <w:rFonts w:ascii="Calibri Light" w:eastAsia="Times New Roman" w:hAnsi="Calibri Light" w:cs="Calibri Light"/>
                <w:b/>
                <w:bCs/>
                <w:color w:val="44546A"/>
                <w:sz w:val="20"/>
                <w:szCs w:val="20"/>
                <w:lang w:val="en-AU" w:eastAsia="en-AU"/>
              </w:rPr>
              <w:t>Gender equality</w:t>
            </w:r>
          </w:p>
        </w:tc>
      </w:tr>
      <w:tr w:rsidR="00A2007F" w:rsidRPr="00A2007F" w:rsidTr="00D36DBE">
        <w:trPr>
          <w:trHeight w:val="560"/>
          <w:jc w:val="center"/>
        </w:trPr>
        <w:tc>
          <w:tcPr>
            <w:tcW w:w="46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9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34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12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A2007F" w:rsidRPr="00A2007F" w:rsidTr="00D36DBE">
        <w:trPr>
          <w:trHeight w:val="780"/>
          <w:jc w:val="center"/>
        </w:trPr>
        <w:tc>
          <w:tcPr>
            <w:tcW w:w="46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9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34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12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00" w:type="dxa"/>
            <w:vMerge/>
            <w:tcBorders>
              <w:top w:val="single" w:sz="4" w:space="0" w:color="808080"/>
              <w:left w:val="nil"/>
              <w:bottom w:val="single" w:sz="4" w:space="0" w:color="808080"/>
              <w:right w:val="nil"/>
            </w:tcBorders>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A2007F" w:rsidRPr="00A2007F" w:rsidTr="00D36DBE">
        <w:trPr>
          <w:trHeight w:val="51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INL873 - Towards a Strong and Prosperous Indonesian Society (MAHKOTA)</w:t>
            </w:r>
          </w:p>
        </w:tc>
        <w:tc>
          <w:tcPr>
            <w:tcW w:w="1340" w:type="dxa"/>
            <w:tcBorders>
              <w:top w:val="nil"/>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$63,001,000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nil"/>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nil"/>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nil"/>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2015 - 2019</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51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INL923 - Empowering Indonesian Women for Poverty Reduction (MAMPU Phase II)</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$51,900,000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2016 - 2020</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3</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INM040 - Support to Marginalised Group (PEDULI Phase II)</w:t>
            </w:r>
          </w:p>
        </w:tc>
        <w:tc>
          <w:tcPr>
            <w:tcW w:w="1340" w:type="dxa"/>
            <w:tcBorders>
              <w:top w:val="nil"/>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$17,609,711</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2016 - 2019</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4</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INL631 - Governance for Growth (KOMPAK)</w:t>
            </w:r>
          </w:p>
        </w:tc>
        <w:tc>
          <w:tcPr>
            <w:tcW w:w="1340" w:type="dxa"/>
            <w:tcBorders>
              <w:top w:val="single" w:sz="4" w:space="0" w:color="808080"/>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$179,750,189</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2015 - 2022</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5</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INK640 - AIP 4: The Knowledge Sector Initiative (KSI)</w:t>
            </w:r>
          </w:p>
        </w:tc>
        <w:tc>
          <w:tcPr>
            <w:tcW w:w="1340" w:type="dxa"/>
            <w:tcBorders>
              <w:top w:val="nil"/>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$109,257,328</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2012 - 2022</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6</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INM289 - Poverty Action Lab South East Asia - Phase II</w:t>
            </w:r>
          </w:p>
        </w:tc>
        <w:tc>
          <w:tcPr>
            <w:tcW w:w="1340" w:type="dxa"/>
            <w:tcBorders>
              <w:top w:val="single" w:sz="4" w:space="0" w:color="808080"/>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$10,053,310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2017 - 2022</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nil"/>
              <w:left w:val="single" w:sz="4" w:space="0" w:color="808080"/>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7</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INL931 - World Bank TF - Teaching and Education</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$9,000,000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2016- 2019</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bl>
    <w:p w:rsidR="00A2007F" w:rsidRDefault="00A2007F" w:rsidP="00FE4541"/>
    <w:tbl>
      <w:tblPr>
        <w:tblW w:w="10920" w:type="dxa"/>
        <w:jc w:val="center"/>
        <w:tblLook w:val="04A0" w:firstRow="1" w:lastRow="0" w:firstColumn="1" w:lastColumn="0" w:noHBand="0" w:noVBand="1"/>
      </w:tblPr>
      <w:tblGrid>
        <w:gridCol w:w="460"/>
        <w:gridCol w:w="5900"/>
        <w:gridCol w:w="1340"/>
        <w:gridCol w:w="1120"/>
        <w:gridCol w:w="700"/>
        <w:gridCol w:w="700"/>
        <w:gridCol w:w="700"/>
      </w:tblGrid>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8</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INL131 - Australia Awards in Indonesia (AAI)</w:t>
            </w:r>
          </w:p>
        </w:tc>
        <w:tc>
          <w:tcPr>
            <w:tcW w:w="1340" w:type="dxa"/>
            <w:tcBorders>
              <w:top w:val="single" w:sz="4" w:space="0" w:color="808080"/>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$163,648,559</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2014 – 2022</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9</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INJ247 - Scholarships Jakarta (ADS) Intake 2011</w:t>
            </w:r>
          </w:p>
        </w:tc>
        <w:tc>
          <w:tcPr>
            <w:tcW w:w="1340" w:type="dxa"/>
            <w:tcBorders>
              <w:top w:val="nil"/>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$107,422,323</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2010 – 2018</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10</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INL086 - UNICEF Papua Rural &amp; Remote Education</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$16,811,364</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2014 - 2019</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11</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INL512 - Innovation for Indonesia's School Children (INOVASI)</w:t>
            </w:r>
          </w:p>
        </w:tc>
        <w:tc>
          <w:tcPr>
            <w:tcW w:w="1340" w:type="dxa"/>
            <w:tcBorders>
              <w:top w:val="nil"/>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$56,623,846</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2014 - 2019</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12</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INK993 - PAMSIMAS 2</w:t>
            </w:r>
          </w:p>
        </w:tc>
        <w:tc>
          <w:tcPr>
            <w:tcW w:w="1340" w:type="dxa"/>
            <w:tcBorders>
              <w:top w:val="single" w:sz="4" w:space="0" w:color="808080"/>
              <w:left w:val="nil"/>
              <w:bottom w:val="nil"/>
              <w:right w:val="nil"/>
            </w:tcBorders>
            <w:shd w:val="clear" w:color="auto" w:fill="auto"/>
            <w:noWrap/>
            <w:vAlign w:val="bottom"/>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$35,020,936</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00B05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6</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2013 - 2018</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00B05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6</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13</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INM115 - PAMSIMAS 3</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$20,100,000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00B05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6</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2016 - 2022</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00B05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6</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14</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INJ149 - Water and Sanitation Hibah Phase 2</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$119,656,290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2009 - 2019</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15</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INK886 - Infrastructure Grants Municipal Sanitation (sAIIG)</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$40,000,250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2012 - 2020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16</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INM147 - Palembang City Sewerage Project</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$45,000,200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 xml:space="preserve">2017 - 2022 </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nil"/>
              <w:left w:val="single" w:sz="4" w:space="0" w:color="808080"/>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17</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INL082 - MDB Infrastructure Assistance Program (MDB-IAP)</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$60,500,656</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 xml:space="preserve">2013 - 2019 </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18</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INL337 - Provincial Road Improvement &amp; Maintenance (PRIM)</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$37,730,067</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00B05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6</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2014 - 2021</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19</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INK331 - Support Enhance Macro Economy &amp; Fiscal Policy Analysis</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$7,333,601</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2011 – 2020</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 - 487 AI Economic Cooperation Partnership (PROSPERA)</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$145,000,000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w:eastAsia="Times New Roman" w:hAnsi="Calibri" w:cs="Calibri"/>
                <w:color w:val="000000"/>
                <w:lang w:val="en-AU" w:eastAsia="en-AU"/>
              </w:rPr>
            </w:pPr>
            <w:r w:rsidRPr="00A2007F">
              <w:rPr>
                <w:rFonts w:ascii="Calibri" w:eastAsia="Times New Roman" w:hAnsi="Calibri" w:cs="Calibri"/>
                <w:color w:val="00000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2018 - 2023</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nil"/>
              <w:left w:val="single" w:sz="4" w:space="0" w:color="808080"/>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c>
          <w:tcPr>
            <w:tcW w:w="700" w:type="dxa"/>
            <w:tcBorders>
              <w:top w:val="nil"/>
              <w:left w:val="nil"/>
              <w:bottom w:val="single" w:sz="4" w:space="0" w:color="808080"/>
              <w:right w:val="single" w:sz="4" w:space="0" w:color="808080"/>
            </w:tcBorders>
            <w:shd w:val="clear" w:color="auto" w:fill="auto"/>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N/A</w:t>
            </w:r>
          </w:p>
        </w:tc>
      </w:tr>
    </w:tbl>
    <w:p w:rsidR="00A2007F" w:rsidRDefault="00A2007F" w:rsidP="00FE4541"/>
    <w:p w:rsidR="00A2007F" w:rsidRDefault="00A2007F" w:rsidP="00FE4541"/>
    <w:tbl>
      <w:tblPr>
        <w:tblW w:w="10920" w:type="dxa"/>
        <w:jc w:val="center"/>
        <w:tblLook w:val="04A0" w:firstRow="1" w:lastRow="0" w:firstColumn="1" w:lastColumn="0" w:noHBand="0" w:noVBand="1"/>
      </w:tblPr>
      <w:tblGrid>
        <w:gridCol w:w="460"/>
        <w:gridCol w:w="5900"/>
        <w:gridCol w:w="1340"/>
        <w:gridCol w:w="1120"/>
        <w:gridCol w:w="700"/>
        <w:gridCol w:w="700"/>
        <w:gridCol w:w="700"/>
      </w:tblGrid>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21</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INL486 - Red Meat and Cattle Partnership (RMCP)</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$37,126,736</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2013 - 2024</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22</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INK550 - Indobeef Project</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$13,005,000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2012 - 2021</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23</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INI035 - The Indonesian Project (ANU)</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$12,555,383</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2008 - 2020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24</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xml:space="preserve">INL470 – Australia Indonesia Partnership for Justice (AIPJ II) </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$40,000,000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2014 - 2022</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25</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INL952 – Indonesia Infrastructure Program (KIAT) Phase 1</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$146,108,527</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2016 – 2021</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26</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xml:space="preserve">INL947 – Environmental Governance </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$10,178,222</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2015 – 2020</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27</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INL548 – Micronutrient</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$4,727,560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2015 – 2020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28</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INM001 – Partnership for Knowledge-based Poverty Reduction (PKPR)</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$4,905,000</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2016 – 2019</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29</w:t>
            </w: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INI506 – Local Solutions to Poverty (LSP)</w:t>
            </w: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$226,354,872</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p>
        </w:tc>
        <w:tc>
          <w:tcPr>
            <w:tcW w:w="590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Times New Roman" w:eastAsia="Times New Roman" w:hAnsi="Times New Roman" w:cs="Times New Roman"/>
                <w:color w:val="auto"/>
                <w:sz w:val="20"/>
                <w:szCs w:val="20"/>
                <w:lang w:val="en-AU" w:eastAsia="en-AU"/>
              </w:rPr>
            </w:pPr>
          </w:p>
        </w:tc>
        <w:tc>
          <w:tcPr>
            <w:tcW w:w="134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2009 – 2020</w:t>
            </w:r>
          </w:p>
        </w:tc>
        <w:tc>
          <w:tcPr>
            <w:tcW w:w="1120" w:type="dxa"/>
            <w:tcBorders>
              <w:top w:val="nil"/>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E66914"/>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3</w:t>
            </w:r>
          </w:p>
        </w:tc>
      </w:tr>
      <w:tr w:rsidR="00A2007F" w:rsidRPr="00A2007F" w:rsidTr="00D36DBE">
        <w:trPr>
          <w:trHeight w:val="300"/>
          <w:jc w:val="center"/>
        </w:trPr>
        <w:tc>
          <w:tcPr>
            <w:tcW w:w="460" w:type="dxa"/>
            <w:tcBorders>
              <w:top w:val="single" w:sz="4" w:space="0" w:color="808080"/>
              <w:left w:val="nil"/>
              <w:bottom w:val="nil"/>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30</w:t>
            </w:r>
          </w:p>
        </w:tc>
        <w:tc>
          <w:tcPr>
            <w:tcW w:w="590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INL672 – Education Technical Assistance Program – Indonesia (TASS)</w:t>
            </w:r>
          </w:p>
        </w:tc>
        <w:tc>
          <w:tcPr>
            <w:tcW w:w="134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A2007F">
              <w:rPr>
                <w:rFonts w:ascii="Calibri Light" w:eastAsia="Times New Roman" w:hAnsi="Calibri Light" w:cs="Calibri Light"/>
                <w:color w:val="auto"/>
                <w:sz w:val="20"/>
                <w:szCs w:val="20"/>
                <w:lang w:val="en-AU" w:eastAsia="en-AU"/>
              </w:rPr>
              <w:t>$15,674,463</w:t>
            </w:r>
          </w:p>
        </w:tc>
        <w:tc>
          <w:tcPr>
            <w:tcW w:w="1120" w:type="dxa"/>
            <w:tcBorders>
              <w:top w:val="single" w:sz="4" w:space="0" w:color="808080"/>
              <w:left w:val="nil"/>
              <w:bottom w:val="nil"/>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2019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r w:rsidR="00A2007F" w:rsidRPr="00A2007F" w:rsidTr="00D36DBE">
        <w:trPr>
          <w:trHeight w:val="300"/>
          <w:jc w:val="center"/>
        </w:trPr>
        <w:tc>
          <w:tcPr>
            <w:tcW w:w="460" w:type="dxa"/>
            <w:tcBorders>
              <w:top w:val="nil"/>
              <w:left w:val="nil"/>
              <w:bottom w:val="single" w:sz="4" w:space="0" w:color="808080"/>
              <w:right w:val="nil"/>
            </w:tcBorders>
            <w:shd w:val="clear" w:color="auto" w:fill="auto"/>
            <w:noWrap/>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590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 </w:t>
            </w:r>
          </w:p>
        </w:tc>
        <w:tc>
          <w:tcPr>
            <w:tcW w:w="134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A2007F">
              <w:rPr>
                <w:rFonts w:ascii="Calibri Light" w:eastAsia="Times New Roman" w:hAnsi="Calibri Light" w:cs="Calibri Light"/>
                <w:color w:val="000000"/>
                <w:sz w:val="20"/>
                <w:szCs w:val="20"/>
                <w:lang w:val="en-AU" w:eastAsia="en-AU"/>
              </w:rPr>
              <w:t>2015 – 2020</w:t>
            </w:r>
          </w:p>
        </w:tc>
        <w:tc>
          <w:tcPr>
            <w:tcW w:w="1120" w:type="dxa"/>
            <w:tcBorders>
              <w:top w:val="nil"/>
              <w:left w:val="nil"/>
              <w:bottom w:val="single" w:sz="4" w:space="0" w:color="808080"/>
              <w:right w:val="nil"/>
            </w:tcBorders>
            <w:shd w:val="clear" w:color="auto" w:fill="auto"/>
            <w:vAlign w:val="center"/>
            <w:hideMark/>
          </w:tcPr>
          <w:p w:rsidR="00A2007F" w:rsidRPr="00A2007F" w:rsidRDefault="00A2007F" w:rsidP="00A2007F">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A2007F">
              <w:rPr>
                <w:rFonts w:ascii="Calibri Light" w:eastAsia="Times New Roman" w:hAnsi="Calibri Light" w:cs="Calibri Light"/>
                <w:color w:val="1F497D"/>
                <w:sz w:val="20"/>
                <w:szCs w:val="20"/>
                <w:lang w:val="en-AU" w:eastAsia="en-AU"/>
              </w:rPr>
              <w:t>2018 AQC</w:t>
            </w:r>
          </w:p>
        </w:tc>
        <w:tc>
          <w:tcPr>
            <w:tcW w:w="700" w:type="dxa"/>
            <w:tcBorders>
              <w:top w:val="single" w:sz="4" w:space="0" w:color="808080"/>
              <w:left w:val="single" w:sz="4" w:space="0" w:color="808080"/>
              <w:bottom w:val="single" w:sz="4" w:space="0" w:color="808080"/>
              <w:right w:val="single" w:sz="4" w:space="0" w:color="808080"/>
            </w:tcBorders>
            <w:shd w:val="clear" w:color="000000" w:fill="80CE6A"/>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5</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c>
          <w:tcPr>
            <w:tcW w:w="700" w:type="dxa"/>
            <w:tcBorders>
              <w:top w:val="single" w:sz="4" w:space="0" w:color="808080"/>
              <w:left w:val="single" w:sz="4" w:space="0" w:color="808080"/>
              <w:bottom w:val="single" w:sz="4" w:space="0" w:color="808080"/>
              <w:right w:val="single" w:sz="4" w:space="0" w:color="808080"/>
            </w:tcBorders>
            <w:shd w:val="clear" w:color="000000" w:fill="FFFF00"/>
            <w:noWrap/>
            <w:hideMark/>
          </w:tcPr>
          <w:p w:rsidR="00A2007F" w:rsidRPr="00A2007F" w:rsidRDefault="00A2007F" w:rsidP="00A2007F">
            <w:pPr>
              <w:suppressAutoHyphens w:val="0"/>
              <w:spacing w:before="0" w:after="0" w:line="240" w:lineRule="auto"/>
              <w:jc w:val="center"/>
              <w:rPr>
                <w:rFonts w:ascii="Calibri" w:eastAsia="Times New Roman" w:hAnsi="Calibri" w:cs="Calibri"/>
                <w:color w:val="000000"/>
                <w:sz w:val="20"/>
                <w:szCs w:val="20"/>
                <w:lang w:val="en-AU" w:eastAsia="en-AU"/>
              </w:rPr>
            </w:pPr>
            <w:r w:rsidRPr="00A2007F">
              <w:rPr>
                <w:rFonts w:ascii="Calibri" w:eastAsia="Times New Roman" w:hAnsi="Calibri" w:cs="Calibri"/>
                <w:color w:val="000000"/>
                <w:sz w:val="20"/>
                <w:szCs w:val="20"/>
                <w:lang w:val="en-AU" w:eastAsia="en-AU"/>
              </w:rPr>
              <w:t>4</w:t>
            </w:r>
          </w:p>
        </w:tc>
      </w:tr>
    </w:tbl>
    <w:p w:rsidR="00507B08" w:rsidRDefault="00507B08" w:rsidP="00FE4541"/>
    <w:p w:rsidR="00FE4541" w:rsidRPr="003002B8" w:rsidRDefault="00FE4541" w:rsidP="00FE4541">
      <w:pPr>
        <w:spacing w:before="20" w:after="20" w:line="180" w:lineRule="atLeast"/>
        <w:jc w:val="both"/>
        <w:rPr>
          <w:rFonts w:eastAsia="Times New Roman"/>
          <w:b/>
          <w:sz w:val="20"/>
          <w:szCs w:val="20"/>
        </w:rPr>
      </w:pPr>
      <w:r w:rsidRPr="003002B8">
        <w:rPr>
          <w:rFonts w:eastAsia="Times New Roman"/>
          <w:b/>
          <w:sz w:val="20"/>
          <w:szCs w:val="20"/>
        </w:rPr>
        <w:t>Definitions of rating scale:</w:t>
      </w:r>
      <w:r w:rsidRPr="003002B8">
        <w:rPr>
          <w:rFonts w:eastAsia="Times New Roman"/>
          <w:b/>
          <w:sz w:val="20"/>
          <w:szCs w:val="20"/>
        </w:rPr>
        <w:tab/>
      </w:r>
    </w:p>
    <w:p w:rsidR="00FE4541" w:rsidRDefault="00FE4541" w:rsidP="00FE4541">
      <w:pPr>
        <w:spacing w:before="20" w:after="20" w:line="180" w:lineRule="atLeast"/>
        <w:jc w:val="both"/>
        <w:rPr>
          <w:rFonts w:eastAsia="Times New Roman"/>
          <w:b/>
          <w:sz w:val="18"/>
          <w:szCs w:val="20"/>
        </w:rPr>
      </w:pPr>
    </w:p>
    <w:p w:rsidR="00FE4541" w:rsidRPr="003002B8" w:rsidRDefault="00FE4541" w:rsidP="00FE4541">
      <w:pPr>
        <w:spacing w:before="20" w:after="20" w:line="180" w:lineRule="atLeast"/>
        <w:jc w:val="both"/>
        <w:rPr>
          <w:rFonts w:eastAsia="Times New Roman"/>
          <w:b/>
          <w:sz w:val="18"/>
          <w:szCs w:val="20"/>
        </w:rPr>
      </w:pPr>
      <w:r w:rsidRPr="003002B8">
        <w:rPr>
          <w:rFonts w:eastAsia="Times New Roman"/>
          <w:b/>
          <w:sz w:val="18"/>
          <w:szCs w:val="20"/>
        </w:rPr>
        <w:t>Satisfactory (4, 5 and 6)</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72AF2F"/>
          <w:sz w:val="18"/>
          <w:szCs w:val="20"/>
        </w:rPr>
        <w:sym w:font="Webdings" w:char="F067"/>
      </w:r>
      <w:r w:rsidRPr="003002B8">
        <w:rPr>
          <w:rFonts w:eastAsia="Times New Roman"/>
          <w:sz w:val="18"/>
          <w:szCs w:val="20"/>
        </w:rPr>
        <w:t xml:space="preserve"> 6 = Very good; satisfies criteria in all areas.  </w:t>
      </w:r>
      <w:r w:rsidRPr="003002B8">
        <w:rPr>
          <w:rFonts w:eastAsia="Times New Roman"/>
          <w:color w:val="72AF2F"/>
          <w:sz w:val="18"/>
          <w:szCs w:val="20"/>
        </w:rPr>
        <w:sym w:font="Webdings" w:char="F067"/>
      </w:r>
      <w:r w:rsidRPr="003002B8">
        <w:rPr>
          <w:rFonts w:eastAsia="Times New Roman"/>
          <w:sz w:val="18"/>
          <w:szCs w:val="20"/>
        </w:rPr>
        <w:t xml:space="preserve"> 5 = Good; satisfies criteria in almost all areas.</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FFFF00"/>
          <w:sz w:val="18"/>
          <w:szCs w:val="20"/>
        </w:rPr>
        <w:sym w:font="Webdings" w:char="F067"/>
      </w:r>
      <w:r w:rsidRPr="003002B8">
        <w:rPr>
          <w:rFonts w:eastAsia="Times New Roman"/>
          <w:sz w:val="18"/>
          <w:szCs w:val="20"/>
        </w:rPr>
        <w:t xml:space="preserve"> 4 = Adequate; on balance, satisfies criteria; does not fail in any major area.</w:t>
      </w:r>
    </w:p>
    <w:p w:rsidR="00FE4541" w:rsidRPr="003002B8" w:rsidRDefault="00FE4541" w:rsidP="00FE4541">
      <w:pPr>
        <w:spacing w:before="20" w:after="20" w:line="180" w:lineRule="atLeast"/>
        <w:jc w:val="both"/>
        <w:rPr>
          <w:rFonts w:eastAsia="Times New Roman"/>
          <w:b/>
          <w:sz w:val="18"/>
          <w:szCs w:val="20"/>
        </w:rPr>
      </w:pPr>
    </w:p>
    <w:p w:rsidR="00FE4541" w:rsidRPr="003002B8" w:rsidRDefault="00FE4541" w:rsidP="00FE4541">
      <w:pPr>
        <w:spacing w:before="20" w:after="20" w:line="180" w:lineRule="atLeast"/>
        <w:jc w:val="both"/>
        <w:rPr>
          <w:rFonts w:eastAsia="Times New Roman"/>
          <w:b/>
          <w:sz w:val="18"/>
          <w:szCs w:val="20"/>
        </w:rPr>
      </w:pPr>
      <w:r w:rsidRPr="003002B8">
        <w:rPr>
          <w:rFonts w:eastAsia="Times New Roman"/>
          <w:b/>
          <w:sz w:val="18"/>
          <w:szCs w:val="20"/>
        </w:rPr>
        <w:t>Less than satisfactory (1, 2 and 3)</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E36C0A"/>
          <w:sz w:val="18"/>
          <w:szCs w:val="20"/>
        </w:rPr>
        <w:sym w:font="Webdings" w:char="F067"/>
      </w:r>
      <w:r w:rsidRPr="003002B8">
        <w:rPr>
          <w:rFonts w:eastAsia="Times New Roman"/>
          <w:color w:val="E36C0A"/>
          <w:sz w:val="18"/>
          <w:szCs w:val="20"/>
        </w:rPr>
        <w:t xml:space="preserve"> </w:t>
      </w:r>
      <w:r w:rsidRPr="003002B8">
        <w:rPr>
          <w:rFonts w:eastAsia="Times New Roman"/>
          <w:sz w:val="18"/>
          <w:szCs w:val="20"/>
        </w:rPr>
        <w:t>3 = Less than adequate; on balance does not satisfy criteria and/or fails in at least one major area.</w:t>
      </w:r>
    </w:p>
    <w:p w:rsidR="00FE4541" w:rsidRPr="003002B8" w:rsidRDefault="00FE4541" w:rsidP="00FE4541">
      <w:pPr>
        <w:spacing w:before="20" w:after="20" w:line="180" w:lineRule="atLeast"/>
        <w:rPr>
          <w:rFonts w:eastAsia="Times New Roman"/>
          <w:sz w:val="18"/>
          <w:szCs w:val="20"/>
        </w:rPr>
      </w:pPr>
      <w:r w:rsidRPr="003002B8">
        <w:rPr>
          <w:rFonts w:eastAsia="Times New Roman"/>
          <w:color w:val="FF0000"/>
          <w:sz w:val="18"/>
          <w:szCs w:val="20"/>
        </w:rPr>
        <w:sym w:font="Webdings" w:char="F067"/>
      </w:r>
      <w:r w:rsidRPr="003002B8">
        <w:rPr>
          <w:rFonts w:eastAsia="Times New Roman"/>
          <w:sz w:val="18"/>
          <w:szCs w:val="20"/>
        </w:rPr>
        <w:t xml:space="preserve"> 2 = Poor; does not satisfy criteria in major areas.  </w:t>
      </w:r>
      <w:r w:rsidRPr="003002B8">
        <w:rPr>
          <w:rFonts w:eastAsia="Times New Roman"/>
          <w:color w:val="FF0000"/>
          <w:sz w:val="18"/>
          <w:szCs w:val="20"/>
        </w:rPr>
        <w:sym w:font="Webdings" w:char="F067"/>
      </w:r>
      <w:r w:rsidRPr="003002B8">
        <w:rPr>
          <w:rFonts w:eastAsia="Times New Roman"/>
          <w:sz w:val="18"/>
          <w:szCs w:val="20"/>
        </w:rPr>
        <w:t xml:space="preserve"> 1 = Very poor; does not satisfy criteria in many major area.</w:t>
      </w:r>
    </w:p>
    <w:p w:rsidR="00F33481" w:rsidRPr="00F55597" w:rsidRDefault="00FE4541" w:rsidP="00F33481">
      <w:pPr>
        <w:keepNext/>
        <w:numPr>
          <w:ilvl w:val="2"/>
          <w:numId w:val="0"/>
        </w:numPr>
        <w:spacing w:before="240" w:after="120"/>
        <w:outlineLvl w:val="2"/>
        <w:rPr>
          <w:rFonts w:asciiTheme="majorHAnsi" w:eastAsiaTheme="majorEastAsia" w:hAnsiTheme="majorHAnsi" w:cstheme="majorBidi"/>
          <w:b/>
          <w:caps/>
          <w:sz w:val="38"/>
          <w:szCs w:val="26"/>
        </w:rPr>
      </w:pPr>
      <w:r w:rsidRPr="003002B8">
        <w:rPr>
          <w:rFonts w:asciiTheme="majorHAnsi" w:eastAsiaTheme="majorEastAsia" w:hAnsiTheme="majorHAnsi" w:cstheme="majorBidi"/>
          <w:caps/>
          <w:sz w:val="18"/>
          <w:szCs w:val="20"/>
        </w:rPr>
        <w:br w:type="page"/>
      </w:r>
      <w:r w:rsidR="00F33481">
        <w:rPr>
          <w:rFonts w:asciiTheme="majorHAnsi" w:eastAsiaTheme="majorEastAsia" w:hAnsiTheme="majorHAnsi" w:cstheme="majorBidi"/>
          <w:b/>
          <w:caps/>
          <w:sz w:val="38"/>
          <w:szCs w:val="26"/>
        </w:rPr>
        <w:t>HA</w:t>
      </w:r>
      <w:r w:rsidR="00F33481" w:rsidRPr="00F55597">
        <w:rPr>
          <w:rFonts w:asciiTheme="majorHAnsi" w:eastAsiaTheme="majorEastAsia" w:hAnsiTheme="majorHAnsi" w:cstheme="majorBidi"/>
          <w:b/>
          <w:caps/>
          <w:sz w:val="38"/>
          <w:szCs w:val="26"/>
        </w:rPr>
        <w:t>QC ratings</w:t>
      </w:r>
    </w:p>
    <w:p w:rsidR="00F33481" w:rsidRDefault="00F33481" w:rsidP="00F33481">
      <w:r w:rsidRPr="00C61187">
        <w:t>AQC investment performance over the previous 12 months and where available last year’s AQC ratings are included.</w:t>
      </w:r>
    </w:p>
    <w:tbl>
      <w:tblPr>
        <w:tblW w:w="14060" w:type="dxa"/>
        <w:tblLook w:val="04A0" w:firstRow="1" w:lastRow="0" w:firstColumn="1" w:lastColumn="0" w:noHBand="0" w:noVBand="1"/>
      </w:tblPr>
      <w:tblGrid>
        <w:gridCol w:w="460"/>
        <w:gridCol w:w="5300"/>
        <w:gridCol w:w="1600"/>
        <w:gridCol w:w="1520"/>
        <w:gridCol w:w="740"/>
        <w:gridCol w:w="740"/>
        <w:gridCol w:w="740"/>
        <w:gridCol w:w="740"/>
        <w:gridCol w:w="740"/>
        <w:gridCol w:w="740"/>
        <w:gridCol w:w="740"/>
      </w:tblGrid>
      <w:tr w:rsidR="00F33481" w:rsidRPr="00F33481" w:rsidTr="00F33481">
        <w:trPr>
          <w:trHeight w:val="495"/>
        </w:trPr>
        <w:tc>
          <w:tcPr>
            <w:tcW w:w="460" w:type="dxa"/>
            <w:vMerge w:val="restart"/>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No</w:t>
            </w:r>
          </w:p>
        </w:tc>
        <w:tc>
          <w:tcPr>
            <w:tcW w:w="5300" w:type="dxa"/>
            <w:vMerge w:val="restart"/>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Investment Name</w:t>
            </w:r>
          </w:p>
        </w:tc>
        <w:tc>
          <w:tcPr>
            <w:tcW w:w="160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Approved budget and duration </w:t>
            </w:r>
          </w:p>
        </w:tc>
        <w:tc>
          <w:tcPr>
            <w:tcW w:w="1520" w:type="dxa"/>
            <w:vMerge w:val="restart"/>
            <w:tcBorders>
              <w:top w:val="single" w:sz="4" w:space="0" w:color="808080"/>
              <w:left w:val="nil"/>
              <w:bottom w:val="single" w:sz="4" w:space="0" w:color="808080"/>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HAQC Year</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Effectiveness</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Efficiency</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Relevance </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Gender Equality</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M&amp;E </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Protection</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Connectedness</w:t>
            </w:r>
          </w:p>
        </w:tc>
      </w:tr>
      <w:tr w:rsidR="00F33481" w:rsidRPr="00F33481" w:rsidTr="00F33481">
        <w:trPr>
          <w:trHeight w:val="660"/>
        </w:trPr>
        <w:tc>
          <w:tcPr>
            <w:tcW w:w="46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3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6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52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F33481" w:rsidRPr="00F33481" w:rsidTr="00F33481">
        <w:trPr>
          <w:trHeight w:val="600"/>
        </w:trPr>
        <w:tc>
          <w:tcPr>
            <w:tcW w:w="46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3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6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52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F33481" w:rsidRPr="00F33481" w:rsidTr="00F33481">
        <w:trPr>
          <w:trHeight w:val="390"/>
        </w:trPr>
        <w:tc>
          <w:tcPr>
            <w:tcW w:w="460" w:type="dxa"/>
            <w:vMerge w:val="restart"/>
            <w:tcBorders>
              <w:top w:val="single" w:sz="4" w:space="0" w:color="808080"/>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1</w:t>
            </w:r>
          </w:p>
        </w:tc>
        <w:tc>
          <w:tcPr>
            <w:tcW w:w="5300" w:type="dxa"/>
            <w:vMerge w:val="restart"/>
            <w:tcBorders>
              <w:top w:val="single" w:sz="4" w:space="0" w:color="808080"/>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INM649 - Central Sulawesi Response 2018</w:t>
            </w:r>
          </w:p>
        </w:tc>
        <w:tc>
          <w:tcPr>
            <w:tcW w:w="1600" w:type="dxa"/>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$9,750,000</w:t>
            </w:r>
          </w:p>
        </w:tc>
        <w:tc>
          <w:tcPr>
            <w:tcW w:w="1520" w:type="dxa"/>
            <w:tcBorders>
              <w:top w:val="nil"/>
              <w:left w:val="nil"/>
              <w:bottom w:val="nil"/>
              <w:right w:val="single" w:sz="4" w:space="0" w:color="808080"/>
            </w:tcBorders>
            <w:shd w:val="clear" w:color="auto" w:fill="auto"/>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AQC</w:t>
            </w:r>
          </w:p>
        </w:tc>
        <w:tc>
          <w:tcPr>
            <w:tcW w:w="740" w:type="dxa"/>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5</w:t>
            </w:r>
          </w:p>
        </w:tc>
        <w:tc>
          <w:tcPr>
            <w:tcW w:w="740" w:type="dxa"/>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4</w:t>
            </w:r>
          </w:p>
        </w:tc>
        <w:tc>
          <w:tcPr>
            <w:tcW w:w="740" w:type="dxa"/>
            <w:tcBorders>
              <w:top w:val="single" w:sz="4" w:space="0" w:color="808080"/>
              <w:left w:val="single" w:sz="4" w:space="0" w:color="808080"/>
              <w:bottom w:val="single" w:sz="4" w:space="0" w:color="808080"/>
              <w:right w:val="single" w:sz="4" w:space="0" w:color="808080"/>
            </w:tcBorders>
            <w:shd w:val="clear" w:color="000000" w:fill="00B050"/>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6</w:t>
            </w:r>
          </w:p>
        </w:tc>
        <w:tc>
          <w:tcPr>
            <w:tcW w:w="740" w:type="dxa"/>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4</w:t>
            </w:r>
          </w:p>
        </w:tc>
        <w:tc>
          <w:tcPr>
            <w:tcW w:w="740" w:type="dxa"/>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4</w:t>
            </w:r>
          </w:p>
        </w:tc>
        <w:tc>
          <w:tcPr>
            <w:tcW w:w="740" w:type="dxa"/>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5</w:t>
            </w:r>
          </w:p>
        </w:tc>
        <w:tc>
          <w:tcPr>
            <w:tcW w:w="740" w:type="dxa"/>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5</w:t>
            </w:r>
          </w:p>
        </w:tc>
      </w:tr>
      <w:tr w:rsidR="00F33481" w:rsidRPr="00F33481" w:rsidTr="00F33481">
        <w:trPr>
          <w:trHeight w:val="390"/>
        </w:trPr>
        <w:tc>
          <w:tcPr>
            <w:tcW w:w="46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2018 - 2020</w:t>
            </w:r>
          </w:p>
        </w:tc>
        <w:tc>
          <w:tcPr>
            <w:tcW w:w="1520" w:type="dxa"/>
            <w:tcBorders>
              <w:top w:val="nil"/>
              <w:left w:val="nil"/>
              <w:bottom w:val="single" w:sz="4" w:space="0" w:color="808080"/>
              <w:right w:val="single" w:sz="4" w:space="0" w:color="808080"/>
            </w:tcBorders>
            <w:shd w:val="clear" w:color="auto" w:fill="auto"/>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2018 AQC</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c>
          <w:tcPr>
            <w:tcW w:w="740" w:type="dxa"/>
            <w:tcBorders>
              <w:top w:val="nil"/>
              <w:left w:val="nil"/>
              <w:bottom w:val="single" w:sz="4" w:space="0" w:color="808080"/>
              <w:right w:val="single" w:sz="4" w:space="0" w:color="808080"/>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w:eastAsia="Times New Roman" w:hAnsi="Calibri" w:cs="Calibri"/>
                <w:color w:val="000000"/>
                <w:sz w:val="20"/>
                <w:szCs w:val="20"/>
                <w:lang w:val="en-AU" w:eastAsia="en-AU"/>
              </w:rPr>
            </w:pPr>
            <w:r w:rsidRPr="00F33481">
              <w:rPr>
                <w:rFonts w:ascii="Calibri" w:eastAsia="Times New Roman" w:hAnsi="Calibri" w:cs="Calibri"/>
                <w:color w:val="000000"/>
                <w:sz w:val="20"/>
                <w:szCs w:val="20"/>
                <w:lang w:val="en-AU" w:eastAsia="en-AU"/>
              </w:rPr>
              <w:t>N/A</w:t>
            </w:r>
          </w:p>
        </w:tc>
      </w:tr>
    </w:tbl>
    <w:p w:rsidR="00F33481" w:rsidRPr="003002B8" w:rsidRDefault="00F33481" w:rsidP="00F33481">
      <w:pPr>
        <w:spacing w:before="20" w:after="20" w:line="180" w:lineRule="atLeast"/>
        <w:jc w:val="both"/>
        <w:rPr>
          <w:rFonts w:eastAsia="Times New Roman"/>
          <w:b/>
          <w:sz w:val="20"/>
          <w:szCs w:val="20"/>
        </w:rPr>
      </w:pPr>
      <w:r w:rsidRPr="003002B8">
        <w:rPr>
          <w:rFonts w:eastAsia="Times New Roman"/>
          <w:b/>
          <w:sz w:val="20"/>
          <w:szCs w:val="20"/>
        </w:rPr>
        <w:t>Definitions of rating scale:</w:t>
      </w:r>
      <w:r w:rsidRPr="003002B8">
        <w:rPr>
          <w:rFonts w:eastAsia="Times New Roman"/>
          <w:b/>
          <w:sz w:val="20"/>
          <w:szCs w:val="20"/>
        </w:rPr>
        <w:tab/>
      </w:r>
    </w:p>
    <w:p w:rsidR="00F33481" w:rsidRDefault="00F33481" w:rsidP="00F33481">
      <w:pPr>
        <w:spacing w:before="20" w:after="20" w:line="180" w:lineRule="atLeast"/>
        <w:jc w:val="both"/>
        <w:rPr>
          <w:rFonts w:eastAsia="Times New Roman"/>
          <w:b/>
          <w:sz w:val="18"/>
          <w:szCs w:val="20"/>
        </w:rPr>
      </w:pPr>
    </w:p>
    <w:p w:rsidR="00F33481" w:rsidRPr="003002B8" w:rsidRDefault="00F33481" w:rsidP="00F33481">
      <w:pPr>
        <w:spacing w:before="20" w:after="20" w:line="180" w:lineRule="atLeast"/>
        <w:jc w:val="both"/>
        <w:rPr>
          <w:rFonts w:eastAsia="Times New Roman"/>
          <w:b/>
          <w:sz w:val="18"/>
          <w:szCs w:val="20"/>
        </w:rPr>
      </w:pPr>
      <w:r w:rsidRPr="003002B8">
        <w:rPr>
          <w:rFonts w:eastAsia="Times New Roman"/>
          <w:b/>
          <w:sz w:val="18"/>
          <w:szCs w:val="20"/>
        </w:rPr>
        <w:t>Satisfactory (4, 5 and 6)</w:t>
      </w:r>
    </w:p>
    <w:p w:rsidR="00F33481" w:rsidRPr="003002B8" w:rsidRDefault="00F33481" w:rsidP="00F33481">
      <w:pPr>
        <w:spacing w:before="20" w:after="20" w:line="180" w:lineRule="atLeast"/>
        <w:jc w:val="both"/>
        <w:rPr>
          <w:rFonts w:eastAsia="Times New Roman"/>
          <w:sz w:val="18"/>
          <w:szCs w:val="20"/>
        </w:rPr>
      </w:pPr>
      <w:r w:rsidRPr="003002B8">
        <w:rPr>
          <w:rFonts w:eastAsia="Times New Roman"/>
          <w:color w:val="72AF2F"/>
          <w:sz w:val="18"/>
          <w:szCs w:val="20"/>
        </w:rPr>
        <w:sym w:font="Webdings" w:char="F067"/>
      </w:r>
      <w:r w:rsidRPr="003002B8">
        <w:rPr>
          <w:rFonts w:eastAsia="Times New Roman"/>
          <w:sz w:val="18"/>
          <w:szCs w:val="20"/>
        </w:rPr>
        <w:t xml:space="preserve"> 6 = Very good; satisfies criteria in all areas.  </w:t>
      </w:r>
      <w:r w:rsidRPr="003002B8">
        <w:rPr>
          <w:rFonts w:eastAsia="Times New Roman"/>
          <w:color w:val="72AF2F"/>
          <w:sz w:val="18"/>
          <w:szCs w:val="20"/>
        </w:rPr>
        <w:sym w:font="Webdings" w:char="F067"/>
      </w:r>
      <w:r w:rsidRPr="003002B8">
        <w:rPr>
          <w:rFonts w:eastAsia="Times New Roman"/>
          <w:sz w:val="18"/>
          <w:szCs w:val="20"/>
        </w:rPr>
        <w:t xml:space="preserve"> 5 = Good; satisfies criteria in almost all areas.</w:t>
      </w:r>
    </w:p>
    <w:p w:rsidR="00F33481" w:rsidRPr="003002B8" w:rsidRDefault="00F33481" w:rsidP="00F33481">
      <w:pPr>
        <w:spacing w:before="20" w:after="20" w:line="180" w:lineRule="atLeast"/>
        <w:jc w:val="both"/>
        <w:rPr>
          <w:rFonts w:eastAsia="Times New Roman"/>
          <w:sz w:val="18"/>
          <w:szCs w:val="20"/>
        </w:rPr>
      </w:pPr>
      <w:r w:rsidRPr="003002B8">
        <w:rPr>
          <w:rFonts w:eastAsia="Times New Roman"/>
          <w:color w:val="FFFF00"/>
          <w:sz w:val="18"/>
          <w:szCs w:val="20"/>
        </w:rPr>
        <w:sym w:font="Webdings" w:char="F067"/>
      </w:r>
      <w:r w:rsidRPr="003002B8">
        <w:rPr>
          <w:rFonts w:eastAsia="Times New Roman"/>
          <w:sz w:val="18"/>
          <w:szCs w:val="20"/>
        </w:rPr>
        <w:t xml:space="preserve"> 4 = Adequate; on balance, satisfies criteria; does not fail in any major area.</w:t>
      </w:r>
    </w:p>
    <w:p w:rsidR="00F33481" w:rsidRPr="003002B8" w:rsidRDefault="00F33481" w:rsidP="00F33481">
      <w:pPr>
        <w:spacing w:before="20" w:after="20" w:line="180" w:lineRule="atLeast"/>
        <w:jc w:val="both"/>
        <w:rPr>
          <w:rFonts w:eastAsia="Times New Roman"/>
          <w:b/>
          <w:sz w:val="18"/>
          <w:szCs w:val="20"/>
        </w:rPr>
      </w:pPr>
    </w:p>
    <w:p w:rsidR="00F33481" w:rsidRPr="003002B8" w:rsidRDefault="00F33481" w:rsidP="00F33481">
      <w:pPr>
        <w:spacing w:before="20" w:after="20" w:line="180" w:lineRule="atLeast"/>
        <w:jc w:val="both"/>
        <w:rPr>
          <w:rFonts w:eastAsia="Times New Roman"/>
          <w:b/>
          <w:sz w:val="18"/>
          <w:szCs w:val="20"/>
        </w:rPr>
      </w:pPr>
      <w:r w:rsidRPr="003002B8">
        <w:rPr>
          <w:rFonts w:eastAsia="Times New Roman"/>
          <w:b/>
          <w:sz w:val="18"/>
          <w:szCs w:val="20"/>
        </w:rPr>
        <w:t>Less than satisfactory (1, 2 and 3)</w:t>
      </w:r>
    </w:p>
    <w:p w:rsidR="00F33481" w:rsidRPr="003002B8" w:rsidRDefault="00F33481" w:rsidP="00F33481">
      <w:pPr>
        <w:spacing w:before="20" w:after="20" w:line="180" w:lineRule="atLeast"/>
        <w:jc w:val="both"/>
        <w:rPr>
          <w:rFonts w:eastAsia="Times New Roman"/>
          <w:sz w:val="18"/>
          <w:szCs w:val="20"/>
        </w:rPr>
      </w:pPr>
      <w:r w:rsidRPr="003002B8">
        <w:rPr>
          <w:rFonts w:eastAsia="Times New Roman"/>
          <w:color w:val="E36C0A"/>
          <w:sz w:val="18"/>
          <w:szCs w:val="20"/>
        </w:rPr>
        <w:sym w:font="Webdings" w:char="F067"/>
      </w:r>
      <w:r w:rsidRPr="003002B8">
        <w:rPr>
          <w:rFonts w:eastAsia="Times New Roman"/>
          <w:color w:val="E36C0A"/>
          <w:sz w:val="18"/>
          <w:szCs w:val="20"/>
        </w:rPr>
        <w:t xml:space="preserve"> </w:t>
      </w:r>
      <w:r w:rsidRPr="003002B8">
        <w:rPr>
          <w:rFonts w:eastAsia="Times New Roman"/>
          <w:sz w:val="18"/>
          <w:szCs w:val="20"/>
        </w:rPr>
        <w:t>3 = Less than adequate; on balance does not satisfy criteria and/or fails in at least one major area.</w:t>
      </w:r>
    </w:p>
    <w:p w:rsidR="00F33481" w:rsidRPr="003002B8" w:rsidRDefault="00F33481" w:rsidP="00F33481">
      <w:pPr>
        <w:spacing w:before="20" w:after="20" w:line="180" w:lineRule="atLeast"/>
        <w:rPr>
          <w:rFonts w:eastAsia="Times New Roman"/>
          <w:sz w:val="18"/>
          <w:szCs w:val="20"/>
        </w:rPr>
      </w:pPr>
      <w:r w:rsidRPr="003002B8">
        <w:rPr>
          <w:rFonts w:eastAsia="Times New Roman"/>
          <w:color w:val="FF0000"/>
          <w:sz w:val="18"/>
          <w:szCs w:val="20"/>
        </w:rPr>
        <w:sym w:font="Webdings" w:char="F067"/>
      </w:r>
      <w:r w:rsidRPr="003002B8">
        <w:rPr>
          <w:rFonts w:eastAsia="Times New Roman"/>
          <w:sz w:val="18"/>
          <w:szCs w:val="20"/>
        </w:rPr>
        <w:t xml:space="preserve"> 2 = Poor; does not satisfy criteria in major areas.  </w:t>
      </w:r>
      <w:r w:rsidRPr="003002B8">
        <w:rPr>
          <w:rFonts w:eastAsia="Times New Roman"/>
          <w:color w:val="FF0000"/>
          <w:sz w:val="18"/>
          <w:szCs w:val="20"/>
        </w:rPr>
        <w:sym w:font="Webdings" w:char="F067"/>
      </w:r>
      <w:r w:rsidRPr="003002B8">
        <w:rPr>
          <w:rFonts w:eastAsia="Times New Roman"/>
          <w:sz w:val="18"/>
          <w:szCs w:val="20"/>
        </w:rPr>
        <w:t xml:space="preserve"> 1 = Very poor; does not satisfy criteria in many major area.</w:t>
      </w:r>
    </w:p>
    <w:p w:rsidR="00FE4541" w:rsidRPr="003002B8" w:rsidRDefault="00FE4541" w:rsidP="00FE4541">
      <w:pPr>
        <w:suppressAutoHyphens w:val="0"/>
        <w:spacing w:before="0" w:after="120" w:line="440" w:lineRule="atLeast"/>
        <w:rPr>
          <w:rFonts w:asciiTheme="majorHAnsi" w:eastAsiaTheme="majorEastAsia" w:hAnsiTheme="majorHAnsi" w:cstheme="majorBidi"/>
          <w:caps/>
          <w:sz w:val="18"/>
          <w:szCs w:val="20"/>
        </w:rPr>
      </w:pPr>
    </w:p>
    <w:p w:rsidR="00A22045" w:rsidRPr="00D36DBE" w:rsidRDefault="00A22045" w:rsidP="00D36DBE">
      <w:pPr>
        <w:keepNext/>
        <w:numPr>
          <w:ilvl w:val="2"/>
          <w:numId w:val="0"/>
        </w:numPr>
        <w:spacing w:before="240" w:after="120"/>
        <w:outlineLvl w:val="2"/>
        <w:rPr>
          <w:rFonts w:asciiTheme="majorHAnsi" w:eastAsiaTheme="majorEastAsia" w:hAnsiTheme="majorHAnsi" w:cstheme="majorBidi"/>
          <w:b/>
          <w:caps/>
          <w:sz w:val="38"/>
          <w:szCs w:val="26"/>
        </w:rPr>
      </w:pPr>
      <w:r>
        <w:rPr>
          <w:rFonts w:asciiTheme="majorHAnsi" w:eastAsiaTheme="majorEastAsia" w:hAnsiTheme="majorHAnsi" w:cstheme="majorBidi"/>
          <w:caps/>
          <w:sz w:val="38"/>
          <w:szCs w:val="26"/>
        </w:rPr>
        <w:br w:type="page"/>
      </w:r>
      <w:r w:rsidRPr="00D36DBE">
        <w:rPr>
          <w:rFonts w:asciiTheme="majorHAnsi" w:eastAsiaTheme="majorEastAsia" w:hAnsiTheme="majorHAnsi" w:cstheme="majorBidi"/>
          <w:b/>
          <w:caps/>
          <w:sz w:val="38"/>
          <w:szCs w:val="26"/>
        </w:rPr>
        <w:t>FAQC ratings</w:t>
      </w:r>
    </w:p>
    <w:p w:rsidR="00FE4541" w:rsidRDefault="00FE4541" w:rsidP="00FE4541">
      <w:r w:rsidRPr="00C61187">
        <w:t xml:space="preserve">Final AQCs assess performance over </w:t>
      </w:r>
      <w:r>
        <w:t>the lifetime of the investment.</w:t>
      </w:r>
    </w:p>
    <w:tbl>
      <w:tblPr>
        <w:tblW w:w="14060" w:type="dxa"/>
        <w:tblLayout w:type="fixed"/>
        <w:tblLook w:val="04A0" w:firstRow="1" w:lastRow="0" w:firstColumn="1" w:lastColumn="0" w:noHBand="0" w:noVBand="1"/>
      </w:tblPr>
      <w:tblGrid>
        <w:gridCol w:w="460"/>
        <w:gridCol w:w="5300"/>
        <w:gridCol w:w="1600"/>
        <w:gridCol w:w="1520"/>
        <w:gridCol w:w="740"/>
        <w:gridCol w:w="740"/>
        <w:gridCol w:w="740"/>
        <w:gridCol w:w="740"/>
        <w:gridCol w:w="740"/>
        <w:gridCol w:w="740"/>
        <w:gridCol w:w="740"/>
      </w:tblGrid>
      <w:tr w:rsidR="00F33481" w:rsidRPr="00F33481" w:rsidTr="00F33481">
        <w:trPr>
          <w:trHeight w:val="510"/>
        </w:trPr>
        <w:tc>
          <w:tcPr>
            <w:tcW w:w="460" w:type="dxa"/>
            <w:vMerge w:val="restart"/>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No</w:t>
            </w:r>
          </w:p>
        </w:tc>
        <w:tc>
          <w:tcPr>
            <w:tcW w:w="5300" w:type="dxa"/>
            <w:vMerge w:val="restart"/>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Investment Name</w:t>
            </w:r>
          </w:p>
        </w:tc>
        <w:tc>
          <w:tcPr>
            <w:tcW w:w="160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Approved budget and duration </w:t>
            </w:r>
          </w:p>
        </w:tc>
        <w:tc>
          <w:tcPr>
            <w:tcW w:w="152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AQC Year</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Overall Rating</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Effectiveness</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Efficiency</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Relevance </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Gender Equality</w:t>
            </w:r>
          </w:p>
        </w:tc>
        <w:tc>
          <w:tcPr>
            <w:tcW w:w="740" w:type="dxa"/>
            <w:vMerge w:val="restart"/>
            <w:tcBorders>
              <w:top w:val="single" w:sz="4" w:space="0" w:color="808080"/>
              <w:left w:val="nil"/>
              <w:bottom w:val="nil"/>
              <w:right w:val="nil"/>
            </w:tcBorders>
            <w:shd w:val="clear" w:color="auto" w:fill="auto"/>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 xml:space="preserve">M&amp;E </w:t>
            </w:r>
          </w:p>
        </w:tc>
        <w:tc>
          <w:tcPr>
            <w:tcW w:w="740" w:type="dxa"/>
            <w:vMerge w:val="restart"/>
            <w:tcBorders>
              <w:top w:val="single" w:sz="4" w:space="0" w:color="808080"/>
              <w:left w:val="nil"/>
              <w:bottom w:val="nil"/>
              <w:right w:val="nil"/>
            </w:tcBorders>
            <w:shd w:val="clear" w:color="auto" w:fill="auto"/>
            <w:noWrap/>
            <w:textDirection w:val="btLr"/>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b/>
                <w:bCs/>
                <w:color w:val="44546A"/>
                <w:sz w:val="20"/>
                <w:szCs w:val="20"/>
                <w:lang w:val="en-AU" w:eastAsia="en-AU"/>
              </w:rPr>
            </w:pPr>
            <w:r w:rsidRPr="00F33481">
              <w:rPr>
                <w:rFonts w:ascii="Calibri Light" w:eastAsia="Times New Roman" w:hAnsi="Calibri Light" w:cs="Calibri Light"/>
                <w:b/>
                <w:bCs/>
                <w:color w:val="44546A"/>
                <w:sz w:val="20"/>
                <w:szCs w:val="20"/>
                <w:lang w:val="en-AU" w:eastAsia="en-AU"/>
              </w:rPr>
              <w:t>Sustainability</w:t>
            </w:r>
          </w:p>
        </w:tc>
      </w:tr>
      <w:tr w:rsidR="00F33481" w:rsidRPr="00F33481" w:rsidTr="00F33481">
        <w:trPr>
          <w:trHeight w:val="560"/>
        </w:trPr>
        <w:tc>
          <w:tcPr>
            <w:tcW w:w="46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3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6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52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F33481" w:rsidRPr="00F33481" w:rsidTr="00F33481">
        <w:trPr>
          <w:trHeight w:val="560"/>
        </w:trPr>
        <w:tc>
          <w:tcPr>
            <w:tcW w:w="46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53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60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152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c>
          <w:tcPr>
            <w:tcW w:w="740" w:type="dxa"/>
            <w:vMerge/>
            <w:tcBorders>
              <w:top w:val="single" w:sz="4" w:space="0" w:color="808080"/>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b/>
                <w:bCs/>
                <w:color w:val="44546A"/>
                <w:sz w:val="20"/>
                <w:szCs w:val="20"/>
                <w:lang w:val="en-AU" w:eastAsia="en-AU"/>
              </w:rPr>
            </w:pPr>
          </w:p>
        </w:tc>
      </w:tr>
      <w:tr w:rsidR="00F33481" w:rsidRPr="00F33481" w:rsidTr="00F33481">
        <w:trPr>
          <w:trHeight w:val="360"/>
        </w:trPr>
        <w:tc>
          <w:tcPr>
            <w:tcW w:w="460" w:type="dxa"/>
            <w:vMerge w:val="restart"/>
            <w:tcBorders>
              <w:top w:val="single" w:sz="4" w:space="0" w:color="808080"/>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1</w:t>
            </w:r>
          </w:p>
        </w:tc>
        <w:tc>
          <w:tcPr>
            <w:tcW w:w="5300" w:type="dxa"/>
            <w:vMerge w:val="restart"/>
            <w:tcBorders>
              <w:top w:val="single" w:sz="4" w:space="0" w:color="808080"/>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INL808 - AIP - Emerging Infectious Diseases 2015-2018</w:t>
            </w:r>
          </w:p>
        </w:tc>
        <w:tc>
          <w:tcPr>
            <w:tcW w:w="1600" w:type="dxa"/>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$10,007,000</w:t>
            </w:r>
          </w:p>
        </w:tc>
        <w:tc>
          <w:tcPr>
            <w:tcW w:w="1520" w:type="dxa"/>
            <w:vMerge w:val="restart"/>
            <w:tcBorders>
              <w:top w:val="single" w:sz="4" w:space="0" w:color="808080"/>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FAQC</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r>
      <w:tr w:rsidR="00F33481" w:rsidRPr="00F33481" w:rsidTr="00F33481">
        <w:trPr>
          <w:trHeight w:val="360"/>
        </w:trPr>
        <w:tc>
          <w:tcPr>
            <w:tcW w:w="46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2015 - 2019</w:t>
            </w:r>
          </w:p>
        </w:tc>
        <w:tc>
          <w:tcPr>
            <w:tcW w:w="152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r>
      <w:tr w:rsidR="00F33481" w:rsidRPr="00F33481" w:rsidTr="00F33481">
        <w:trPr>
          <w:trHeight w:val="360"/>
        </w:trPr>
        <w:tc>
          <w:tcPr>
            <w:tcW w:w="460" w:type="dxa"/>
            <w:vMerge w:val="restart"/>
            <w:tcBorders>
              <w:top w:val="nil"/>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w:t>
            </w:r>
          </w:p>
        </w:tc>
        <w:tc>
          <w:tcPr>
            <w:tcW w:w="5300" w:type="dxa"/>
            <w:vMerge w:val="restart"/>
            <w:tcBorders>
              <w:top w:val="nil"/>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INJ859 - Building Relation through Intercultural Dialogue</w:t>
            </w:r>
          </w:p>
        </w:tc>
        <w:tc>
          <w:tcPr>
            <w:tcW w:w="1600" w:type="dxa"/>
            <w:tcBorders>
              <w:top w:val="nil"/>
              <w:left w:val="nil"/>
              <w:bottom w:val="nil"/>
              <w:right w:val="nil"/>
            </w:tcBorders>
            <w:shd w:val="clear" w:color="auto" w:fill="auto"/>
            <w:noWrap/>
            <w:vAlign w:val="bottom"/>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$7,204,294</w:t>
            </w:r>
          </w:p>
        </w:tc>
        <w:tc>
          <w:tcPr>
            <w:tcW w:w="1520" w:type="dxa"/>
            <w:vMerge w:val="restart"/>
            <w:tcBorders>
              <w:top w:val="nil"/>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FAQC</w:t>
            </w:r>
          </w:p>
        </w:tc>
        <w:tc>
          <w:tcPr>
            <w:tcW w:w="740" w:type="dxa"/>
            <w:vMerge w:val="restart"/>
            <w:tcBorders>
              <w:top w:val="nil"/>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nil"/>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nil"/>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nil"/>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nil"/>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nil"/>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nil"/>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r>
      <w:tr w:rsidR="00F33481" w:rsidRPr="00F33481" w:rsidTr="00F33481">
        <w:trPr>
          <w:trHeight w:val="360"/>
        </w:trPr>
        <w:tc>
          <w:tcPr>
            <w:tcW w:w="460" w:type="dxa"/>
            <w:vMerge/>
            <w:tcBorders>
              <w:top w:val="nil"/>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nil"/>
              <w:right w:val="nil"/>
            </w:tcBorders>
            <w:shd w:val="clear" w:color="auto" w:fill="auto"/>
            <w:noWrap/>
            <w:vAlign w:val="bottom"/>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2011- 2019</w:t>
            </w:r>
          </w:p>
        </w:tc>
        <w:tc>
          <w:tcPr>
            <w:tcW w:w="1520" w:type="dxa"/>
            <w:vMerge/>
            <w:tcBorders>
              <w:top w:val="nil"/>
              <w:left w:val="nil"/>
              <w:bottom w:val="nil"/>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nil"/>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r>
      <w:tr w:rsidR="00F33481" w:rsidRPr="00F33481" w:rsidTr="00F33481">
        <w:trPr>
          <w:trHeight w:val="360"/>
        </w:trPr>
        <w:tc>
          <w:tcPr>
            <w:tcW w:w="460" w:type="dxa"/>
            <w:vMerge w:val="restart"/>
            <w:tcBorders>
              <w:top w:val="single" w:sz="4" w:space="0" w:color="808080"/>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3</w:t>
            </w:r>
          </w:p>
        </w:tc>
        <w:tc>
          <w:tcPr>
            <w:tcW w:w="5300" w:type="dxa"/>
            <w:vMerge w:val="restart"/>
            <w:tcBorders>
              <w:top w:val="nil"/>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INJ498 - AIP Rural Economic Development Program</w:t>
            </w:r>
          </w:p>
        </w:tc>
        <w:tc>
          <w:tcPr>
            <w:tcW w:w="1600" w:type="dxa"/>
            <w:tcBorders>
              <w:top w:val="single" w:sz="4" w:space="0" w:color="808080"/>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$112,000,000</w:t>
            </w:r>
          </w:p>
        </w:tc>
        <w:tc>
          <w:tcPr>
            <w:tcW w:w="1520" w:type="dxa"/>
            <w:vMerge w:val="restart"/>
            <w:tcBorders>
              <w:top w:val="single" w:sz="4" w:space="0" w:color="808080"/>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FAQC</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00B05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6</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00B05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6</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r>
      <w:tr w:rsidR="00F33481" w:rsidRPr="00F33481" w:rsidTr="00F33481">
        <w:trPr>
          <w:trHeight w:val="360"/>
        </w:trPr>
        <w:tc>
          <w:tcPr>
            <w:tcW w:w="46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2010 - 2019</w:t>
            </w:r>
          </w:p>
        </w:tc>
        <w:tc>
          <w:tcPr>
            <w:tcW w:w="1520" w:type="dxa"/>
            <w:vMerge/>
            <w:tcBorders>
              <w:top w:val="single" w:sz="4" w:space="0" w:color="808080"/>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r>
      <w:tr w:rsidR="00F33481" w:rsidRPr="00F33481" w:rsidTr="00F33481">
        <w:trPr>
          <w:trHeight w:val="360"/>
        </w:trPr>
        <w:tc>
          <w:tcPr>
            <w:tcW w:w="460" w:type="dxa"/>
            <w:vMerge w:val="restart"/>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4</w:t>
            </w:r>
          </w:p>
        </w:tc>
        <w:tc>
          <w:tcPr>
            <w:tcW w:w="5300" w:type="dxa"/>
            <w:vMerge w:val="restart"/>
            <w:tcBorders>
              <w:top w:val="nil"/>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INJ689 - Government Partnership Fund Phase (GPF) II</w:t>
            </w:r>
          </w:p>
        </w:tc>
        <w:tc>
          <w:tcPr>
            <w:tcW w:w="1600" w:type="dxa"/>
            <w:tcBorders>
              <w:top w:val="nil"/>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$129,684,300</w:t>
            </w:r>
          </w:p>
        </w:tc>
        <w:tc>
          <w:tcPr>
            <w:tcW w:w="1520" w:type="dxa"/>
            <w:vMerge w:val="restart"/>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FAQC</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E66914"/>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3</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00B05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6</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E66914"/>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3</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E66914"/>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3</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r>
      <w:tr w:rsidR="00F33481" w:rsidRPr="00F33481" w:rsidTr="00F33481">
        <w:trPr>
          <w:trHeight w:val="360"/>
        </w:trPr>
        <w:tc>
          <w:tcPr>
            <w:tcW w:w="46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auto"/>
                <w:sz w:val="20"/>
                <w:szCs w:val="20"/>
                <w:lang w:val="en-AU" w:eastAsia="en-AU"/>
              </w:rPr>
            </w:pPr>
            <w:r w:rsidRPr="00F33481">
              <w:rPr>
                <w:rFonts w:ascii="Calibri Light" w:eastAsia="Times New Roman" w:hAnsi="Calibri Light" w:cs="Calibri Light"/>
                <w:color w:val="auto"/>
                <w:sz w:val="20"/>
                <w:szCs w:val="20"/>
                <w:lang w:val="en-AU" w:eastAsia="en-AU"/>
              </w:rPr>
              <w:t>2011 - 2018</w:t>
            </w:r>
          </w:p>
        </w:tc>
        <w:tc>
          <w:tcPr>
            <w:tcW w:w="152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r>
      <w:tr w:rsidR="00F33481" w:rsidRPr="00F33481" w:rsidTr="00F33481">
        <w:trPr>
          <w:trHeight w:val="360"/>
        </w:trPr>
        <w:tc>
          <w:tcPr>
            <w:tcW w:w="460" w:type="dxa"/>
            <w:vMerge w:val="restart"/>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5</w:t>
            </w:r>
          </w:p>
        </w:tc>
        <w:tc>
          <w:tcPr>
            <w:tcW w:w="5300" w:type="dxa"/>
            <w:vMerge w:val="restart"/>
            <w:tcBorders>
              <w:top w:val="nil"/>
              <w:left w:val="nil"/>
              <w:bottom w:val="single" w:sz="4" w:space="0" w:color="808080"/>
              <w:right w:val="nil"/>
            </w:tcBorders>
            <w:shd w:val="clear" w:color="auto" w:fill="auto"/>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ING406 - AIPRD: EINRIP - Impl, Planning, &amp; Support Facility</w:t>
            </w:r>
          </w:p>
        </w:tc>
        <w:tc>
          <w:tcPr>
            <w:tcW w:w="1600" w:type="dxa"/>
            <w:tcBorders>
              <w:top w:val="nil"/>
              <w:left w:val="nil"/>
              <w:bottom w:val="nil"/>
              <w:right w:val="nil"/>
            </w:tcBorders>
            <w:shd w:val="clear" w:color="auto" w:fill="auto"/>
            <w:noWrap/>
            <w:vAlign w:val="center"/>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$38,954,077</w:t>
            </w:r>
          </w:p>
        </w:tc>
        <w:tc>
          <w:tcPr>
            <w:tcW w:w="1520" w:type="dxa"/>
            <w:vMerge w:val="restart"/>
            <w:tcBorders>
              <w:top w:val="nil"/>
              <w:left w:val="nil"/>
              <w:bottom w:val="single" w:sz="4" w:space="0" w:color="808080"/>
              <w:right w:val="nil"/>
            </w:tcBorders>
            <w:shd w:val="clear" w:color="auto" w:fill="auto"/>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1F497D"/>
                <w:sz w:val="20"/>
                <w:szCs w:val="20"/>
                <w:lang w:val="en-AU" w:eastAsia="en-AU"/>
              </w:rPr>
            </w:pPr>
            <w:r w:rsidRPr="00F33481">
              <w:rPr>
                <w:rFonts w:ascii="Calibri Light" w:eastAsia="Times New Roman" w:hAnsi="Calibri Light" w:cs="Calibri Light"/>
                <w:color w:val="1F497D"/>
                <w:sz w:val="20"/>
                <w:szCs w:val="20"/>
                <w:lang w:val="en-AU" w:eastAsia="en-AU"/>
              </w:rPr>
              <w:t>2019 FAQC</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00B05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6</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FFFF00"/>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4</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c>
          <w:tcPr>
            <w:tcW w:w="740" w:type="dxa"/>
            <w:vMerge w:val="restart"/>
            <w:tcBorders>
              <w:top w:val="single" w:sz="4" w:space="0" w:color="808080"/>
              <w:left w:val="single" w:sz="4" w:space="0" w:color="808080"/>
              <w:bottom w:val="single" w:sz="4" w:space="0" w:color="808080"/>
              <w:right w:val="single" w:sz="4" w:space="0" w:color="808080"/>
            </w:tcBorders>
            <w:shd w:val="clear" w:color="000000" w:fill="80CE6A"/>
            <w:noWrap/>
            <w:vAlign w:val="center"/>
            <w:hideMark/>
          </w:tcPr>
          <w:p w:rsidR="00F33481" w:rsidRPr="00F33481" w:rsidRDefault="00F33481" w:rsidP="00F33481">
            <w:pPr>
              <w:suppressAutoHyphens w:val="0"/>
              <w:spacing w:before="0" w:after="0" w:line="240" w:lineRule="auto"/>
              <w:jc w:val="center"/>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5</w:t>
            </w:r>
          </w:p>
        </w:tc>
      </w:tr>
      <w:tr w:rsidR="00F33481" w:rsidRPr="00F33481" w:rsidTr="00F33481">
        <w:trPr>
          <w:trHeight w:val="360"/>
        </w:trPr>
        <w:tc>
          <w:tcPr>
            <w:tcW w:w="46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530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1600" w:type="dxa"/>
            <w:tcBorders>
              <w:top w:val="nil"/>
              <w:left w:val="nil"/>
              <w:bottom w:val="single" w:sz="4" w:space="0" w:color="808080"/>
              <w:right w:val="nil"/>
            </w:tcBorders>
            <w:shd w:val="clear" w:color="auto" w:fill="auto"/>
            <w:noWrap/>
            <w:vAlign w:val="bottom"/>
            <w:hideMark/>
          </w:tcPr>
          <w:p w:rsidR="00F33481" w:rsidRPr="00F33481" w:rsidRDefault="00F33481" w:rsidP="00F33481">
            <w:pPr>
              <w:suppressAutoHyphens w:val="0"/>
              <w:spacing w:before="0" w:after="0" w:line="240" w:lineRule="auto"/>
              <w:jc w:val="right"/>
              <w:rPr>
                <w:rFonts w:ascii="Calibri Light" w:eastAsia="Times New Roman" w:hAnsi="Calibri Light" w:cs="Calibri Light"/>
                <w:color w:val="000000"/>
                <w:sz w:val="20"/>
                <w:szCs w:val="20"/>
                <w:lang w:val="en-AU" w:eastAsia="en-AU"/>
              </w:rPr>
            </w:pPr>
            <w:r w:rsidRPr="00F33481">
              <w:rPr>
                <w:rFonts w:ascii="Calibri Light" w:eastAsia="Times New Roman" w:hAnsi="Calibri Light" w:cs="Calibri Light"/>
                <w:color w:val="000000"/>
                <w:sz w:val="20"/>
                <w:szCs w:val="20"/>
                <w:lang w:val="en-AU" w:eastAsia="en-AU"/>
              </w:rPr>
              <w:t>2005 - 2019</w:t>
            </w:r>
          </w:p>
        </w:tc>
        <w:tc>
          <w:tcPr>
            <w:tcW w:w="1520" w:type="dxa"/>
            <w:vMerge/>
            <w:tcBorders>
              <w:top w:val="nil"/>
              <w:left w:val="nil"/>
              <w:bottom w:val="single" w:sz="4" w:space="0" w:color="808080"/>
              <w:right w:val="nil"/>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1F497D"/>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c>
          <w:tcPr>
            <w:tcW w:w="740" w:type="dxa"/>
            <w:vMerge/>
            <w:tcBorders>
              <w:top w:val="single" w:sz="4" w:space="0" w:color="808080"/>
              <w:left w:val="single" w:sz="4" w:space="0" w:color="808080"/>
              <w:bottom w:val="single" w:sz="4" w:space="0" w:color="808080"/>
              <w:right w:val="single" w:sz="4" w:space="0" w:color="808080"/>
            </w:tcBorders>
            <w:vAlign w:val="center"/>
            <w:hideMark/>
          </w:tcPr>
          <w:p w:rsidR="00F33481" w:rsidRPr="00F33481" w:rsidRDefault="00F33481" w:rsidP="00F33481">
            <w:pPr>
              <w:suppressAutoHyphens w:val="0"/>
              <w:spacing w:before="0" w:after="0" w:line="240" w:lineRule="auto"/>
              <w:rPr>
                <w:rFonts w:ascii="Calibri Light" w:eastAsia="Times New Roman" w:hAnsi="Calibri Light" w:cs="Calibri Light"/>
                <w:color w:val="000000"/>
                <w:sz w:val="20"/>
                <w:szCs w:val="20"/>
                <w:lang w:val="en-AU" w:eastAsia="en-AU"/>
              </w:rPr>
            </w:pPr>
          </w:p>
        </w:tc>
      </w:tr>
    </w:tbl>
    <w:p w:rsidR="00F33481" w:rsidRDefault="00F33481" w:rsidP="00FE4541">
      <w:pPr>
        <w:spacing w:before="20" w:after="20" w:line="180" w:lineRule="atLeast"/>
        <w:jc w:val="both"/>
        <w:rPr>
          <w:rFonts w:eastAsia="Times New Roman"/>
          <w:b/>
          <w:sz w:val="16"/>
          <w:szCs w:val="14"/>
        </w:rPr>
      </w:pPr>
    </w:p>
    <w:p w:rsidR="00FE4541" w:rsidRPr="003002B8" w:rsidRDefault="00FE4541" w:rsidP="00FE4541">
      <w:pPr>
        <w:spacing w:before="20" w:after="20" w:line="180" w:lineRule="atLeast"/>
        <w:jc w:val="both"/>
        <w:rPr>
          <w:rFonts w:eastAsia="Times New Roman"/>
          <w:b/>
          <w:sz w:val="20"/>
          <w:szCs w:val="20"/>
        </w:rPr>
      </w:pPr>
      <w:r w:rsidRPr="003002B8">
        <w:rPr>
          <w:rFonts w:eastAsia="Times New Roman"/>
          <w:b/>
          <w:sz w:val="20"/>
          <w:szCs w:val="20"/>
        </w:rPr>
        <w:t>Definitions of rating scale:</w:t>
      </w:r>
      <w:r w:rsidRPr="003002B8">
        <w:rPr>
          <w:rFonts w:eastAsia="Times New Roman"/>
          <w:b/>
          <w:sz w:val="20"/>
          <w:szCs w:val="20"/>
        </w:rPr>
        <w:tab/>
      </w:r>
    </w:p>
    <w:p w:rsidR="00FE4541" w:rsidRDefault="00FE4541" w:rsidP="00FE4541">
      <w:pPr>
        <w:spacing w:before="20" w:after="20" w:line="180" w:lineRule="atLeast"/>
        <w:jc w:val="both"/>
        <w:rPr>
          <w:rFonts w:eastAsia="Times New Roman"/>
          <w:b/>
          <w:sz w:val="18"/>
          <w:szCs w:val="20"/>
        </w:rPr>
      </w:pPr>
    </w:p>
    <w:p w:rsidR="00FE4541" w:rsidRPr="003002B8" w:rsidRDefault="00FE4541" w:rsidP="00FE4541">
      <w:pPr>
        <w:spacing w:before="20" w:after="20" w:line="180" w:lineRule="atLeast"/>
        <w:jc w:val="both"/>
        <w:rPr>
          <w:rFonts w:eastAsia="Times New Roman"/>
          <w:b/>
          <w:sz w:val="18"/>
          <w:szCs w:val="20"/>
        </w:rPr>
      </w:pPr>
      <w:r w:rsidRPr="003002B8">
        <w:rPr>
          <w:rFonts w:eastAsia="Times New Roman"/>
          <w:b/>
          <w:sz w:val="18"/>
          <w:szCs w:val="20"/>
        </w:rPr>
        <w:t>Satisfactory (4, 5 and 6)</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72AF2F"/>
          <w:sz w:val="18"/>
          <w:szCs w:val="20"/>
        </w:rPr>
        <w:sym w:font="Webdings" w:char="F067"/>
      </w:r>
      <w:r w:rsidRPr="003002B8">
        <w:rPr>
          <w:rFonts w:eastAsia="Times New Roman"/>
          <w:sz w:val="18"/>
          <w:szCs w:val="20"/>
        </w:rPr>
        <w:t xml:space="preserve"> 6 = Very good; satisfies criteria in all areas.  </w:t>
      </w:r>
      <w:r w:rsidRPr="003002B8">
        <w:rPr>
          <w:rFonts w:eastAsia="Times New Roman"/>
          <w:color w:val="72AF2F"/>
          <w:sz w:val="18"/>
          <w:szCs w:val="20"/>
        </w:rPr>
        <w:sym w:font="Webdings" w:char="F067"/>
      </w:r>
      <w:r w:rsidRPr="003002B8">
        <w:rPr>
          <w:rFonts w:eastAsia="Times New Roman"/>
          <w:sz w:val="18"/>
          <w:szCs w:val="20"/>
        </w:rPr>
        <w:t xml:space="preserve"> 5 = Good; satisfies criteria in almost all areas.</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FFFF00"/>
          <w:sz w:val="18"/>
          <w:szCs w:val="20"/>
        </w:rPr>
        <w:sym w:font="Webdings" w:char="F067"/>
      </w:r>
      <w:r w:rsidRPr="003002B8">
        <w:rPr>
          <w:rFonts w:eastAsia="Times New Roman"/>
          <w:sz w:val="18"/>
          <w:szCs w:val="20"/>
        </w:rPr>
        <w:t xml:space="preserve"> 4 = Adequate; on balance, satisfies criteria; does not fail in any major area.</w:t>
      </w:r>
    </w:p>
    <w:p w:rsidR="00AB455B" w:rsidRDefault="00AB455B" w:rsidP="00FE4541">
      <w:pPr>
        <w:spacing w:before="20" w:after="20" w:line="180" w:lineRule="atLeast"/>
        <w:jc w:val="both"/>
        <w:rPr>
          <w:rFonts w:eastAsia="Times New Roman"/>
          <w:b/>
          <w:sz w:val="18"/>
          <w:szCs w:val="20"/>
        </w:rPr>
      </w:pPr>
    </w:p>
    <w:p w:rsidR="00FE4541" w:rsidRPr="003002B8" w:rsidRDefault="00FE4541" w:rsidP="00FE4541">
      <w:pPr>
        <w:spacing w:before="20" w:after="20" w:line="180" w:lineRule="atLeast"/>
        <w:jc w:val="both"/>
        <w:rPr>
          <w:rFonts w:eastAsia="Times New Roman"/>
          <w:b/>
          <w:sz w:val="18"/>
          <w:szCs w:val="20"/>
        </w:rPr>
      </w:pPr>
      <w:r w:rsidRPr="003002B8">
        <w:rPr>
          <w:rFonts w:eastAsia="Times New Roman"/>
          <w:b/>
          <w:sz w:val="18"/>
          <w:szCs w:val="20"/>
        </w:rPr>
        <w:t>Less than satisfactory (1, 2 and 3)</w:t>
      </w:r>
    </w:p>
    <w:p w:rsidR="00FE4541" w:rsidRPr="003002B8" w:rsidRDefault="00FE4541" w:rsidP="00FE4541">
      <w:pPr>
        <w:spacing w:before="20" w:after="20" w:line="180" w:lineRule="atLeast"/>
        <w:jc w:val="both"/>
        <w:rPr>
          <w:rFonts w:eastAsia="Times New Roman"/>
          <w:sz w:val="18"/>
          <w:szCs w:val="20"/>
        </w:rPr>
      </w:pPr>
      <w:r w:rsidRPr="003002B8">
        <w:rPr>
          <w:rFonts w:eastAsia="Times New Roman"/>
          <w:color w:val="E36C0A"/>
          <w:sz w:val="18"/>
          <w:szCs w:val="20"/>
        </w:rPr>
        <w:sym w:font="Webdings" w:char="F067"/>
      </w:r>
      <w:r w:rsidRPr="003002B8">
        <w:rPr>
          <w:rFonts w:eastAsia="Times New Roman"/>
          <w:color w:val="E36C0A"/>
          <w:sz w:val="18"/>
          <w:szCs w:val="20"/>
        </w:rPr>
        <w:t xml:space="preserve"> </w:t>
      </w:r>
      <w:r w:rsidRPr="003002B8">
        <w:rPr>
          <w:rFonts w:eastAsia="Times New Roman"/>
          <w:sz w:val="18"/>
          <w:szCs w:val="20"/>
        </w:rPr>
        <w:t>3 = Less than adequate; on balance does not satisfy criteria and/or fails in at least one major area.</w:t>
      </w:r>
    </w:p>
    <w:p w:rsidR="00FE4541" w:rsidRPr="003002B8" w:rsidRDefault="00FE4541" w:rsidP="00FE4541">
      <w:pPr>
        <w:spacing w:before="20" w:after="20" w:line="180" w:lineRule="atLeast"/>
        <w:rPr>
          <w:rFonts w:eastAsia="Times New Roman"/>
          <w:sz w:val="18"/>
          <w:szCs w:val="20"/>
        </w:rPr>
      </w:pPr>
      <w:r w:rsidRPr="003002B8">
        <w:rPr>
          <w:rFonts w:eastAsia="Times New Roman"/>
          <w:color w:val="FF0000"/>
          <w:sz w:val="18"/>
          <w:szCs w:val="20"/>
        </w:rPr>
        <w:sym w:font="Webdings" w:char="F067"/>
      </w:r>
      <w:r w:rsidRPr="003002B8">
        <w:rPr>
          <w:rFonts w:eastAsia="Times New Roman"/>
          <w:sz w:val="18"/>
          <w:szCs w:val="20"/>
        </w:rPr>
        <w:t xml:space="preserve"> 2 = Poor; does not satisfy criteria in major areas.  </w:t>
      </w:r>
      <w:r w:rsidRPr="003002B8">
        <w:rPr>
          <w:rFonts w:eastAsia="Times New Roman"/>
          <w:color w:val="FF0000"/>
          <w:sz w:val="18"/>
          <w:szCs w:val="20"/>
        </w:rPr>
        <w:sym w:font="Webdings" w:char="F067"/>
      </w:r>
      <w:r w:rsidRPr="003002B8">
        <w:rPr>
          <w:rFonts w:eastAsia="Times New Roman"/>
          <w:sz w:val="18"/>
          <w:szCs w:val="20"/>
        </w:rPr>
        <w:t xml:space="preserve"> 1 = Very poor; does not satisfy criteria in many major area.</w:t>
      </w:r>
    </w:p>
    <w:p w:rsidR="00FE4541" w:rsidRPr="003002B8" w:rsidRDefault="00FE4541" w:rsidP="00FE4541">
      <w:pPr>
        <w:rPr>
          <w:sz w:val="18"/>
          <w:szCs w:val="20"/>
        </w:rPr>
      </w:pPr>
    </w:p>
    <w:p w:rsidR="00400B0F" w:rsidRPr="00784031" w:rsidRDefault="004E0264" w:rsidP="00D36DBE">
      <w:pPr>
        <w:rPr>
          <w:rFonts w:eastAsiaTheme="majorEastAsia" w:cstheme="majorBidi"/>
          <w:bCs/>
          <w:iCs/>
          <w:caps/>
          <w:spacing w:val="-10"/>
          <w:kern w:val="28"/>
          <w:sz w:val="38"/>
          <w:szCs w:val="24"/>
        </w:rPr>
      </w:pPr>
      <w:r>
        <w:br w:type="page"/>
      </w:r>
      <w:r w:rsidR="00400B0F" w:rsidRPr="00784031">
        <w:rPr>
          <w:rFonts w:eastAsiaTheme="majorEastAsia" w:cstheme="majorBidi"/>
          <w:bCs/>
          <w:iCs/>
          <w:caps/>
          <w:spacing w:val="-10"/>
          <w:kern w:val="28"/>
          <w:sz w:val="38"/>
          <w:szCs w:val="24"/>
        </w:rPr>
        <w:t>Annex E – Performance Assessment Framework</w:t>
      </w:r>
      <w:r w:rsidR="00282D5C">
        <w:rPr>
          <w:rFonts w:eastAsiaTheme="majorEastAsia" w:cstheme="majorBidi"/>
          <w:bCs/>
          <w:iCs/>
          <w:caps/>
          <w:spacing w:val="-10"/>
          <w:kern w:val="28"/>
          <w:sz w:val="38"/>
          <w:szCs w:val="24"/>
        </w:rPr>
        <w:t xml:space="preserve"> </w:t>
      </w:r>
    </w:p>
    <w:tbl>
      <w:tblPr>
        <w:tblStyle w:val="TableGrid"/>
        <w:tblW w:w="5000" w:type="pct"/>
        <w:tblLook w:val="04A0" w:firstRow="1" w:lastRow="0" w:firstColumn="1" w:lastColumn="0" w:noHBand="0" w:noVBand="1"/>
        <w:tblCaption w:val="Annex E - Performance Assessment Framework"/>
        <w:tblDescription w:val="Outlines Objectives, Outcomes and Milestones of program performance for the Australian aid program in Indonesia"/>
      </w:tblPr>
      <w:tblGrid>
        <w:gridCol w:w="2782"/>
        <w:gridCol w:w="3708"/>
        <w:gridCol w:w="3980"/>
        <w:gridCol w:w="3980"/>
      </w:tblGrid>
      <w:tr w:rsidR="002A309B" w:rsidRPr="003E3CFC" w:rsidTr="002A309B">
        <w:trPr>
          <w:trHeight w:val="444"/>
        </w:trPr>
        <w:tc>
          <w:tcPr>
            <w:tcW w:w="963" w:type="pct"/>
            <w:shd w:val="clear" w:color="auto" w:fill="D6E5FA"/>
          </w:tcPr>
          <w:p w:rsidR="002A309B" w:rsidRPr="003E3CFC" w:rsidRDefault="002A309B" w:rsidP="002A309B">
            <w:pPr>
              <w:spacing w:before="40" w:afterLines="40" w:after="96" w:line="240" w:lineRule="auto"/>
              <w:rPr>
                <w:rFonts w:cs="Helvetica"/>
              </w:rPr>
            </w:pPr>
            <w:r w:rsidRPr="003E3CFC">
              <w:rPr>
                <w:rFonts w:cs="Helvetica"/>
                <w:b/>
              </w:rPr>
              <w:t>Objective / Outcome</w:t>
            </w:r>
          </w:p>
        </w:tc>
        <w:tc>
          <w:tcPr>
            <w:tcW w:w="1283" w:type="pct"/>
            <w:shd w:val="clear" w:color="auto" w:fill="D6E5FA"/>
          </w:tcPr>
          <w:p w:rsidR="002A309B" w:rsidRPr="003E3CFC" w:rsidRDefault="002A309B" w:rsidP="002A309B">
            <w:pPr>
              <w:spacing w:before="40" w:afterLines="40" w:after="96" w:line="240" w:lineRule="auto"/>
              <w:rPr>
                <w:rFonts w:cs="Helvetica"/>
              </w:rPr>
            </w:pPr>
            <w:r w:rsidRPr="003E3CFC">
              <w:rPr>
                <w:rFonts w:cs="Helvetica"/>
                <w:b/>
              </w:rPr>
              <w:t>Milestones 2017/18</w:t>
            </w:r>
          </w:p>
        </w:tc>
        <w:tc>
          <w:tcPr>
            <w:tcW w:w="1377" w:type="pct"/>
            <w:shd w:val="clear" w:color="auto" w:fill="D6E5FA"/>
          </w:tcPr>
          <w:p w:rsidR="002A309B" w:rsidRPr="003E3CFC" w:rsidRDefault="002A309B" w:rsidP="002A309B">
            <w:pPr>
              <w:spacing w:before="40" w:afterLines="40" w:after="96" w:line="240" w:lineRule="auto"/>
              <w:rPr>
                <w:rFonts w:cs="Helvetica"/>
                <w:b/>
              </w:rPr>
            </w:pPr>
            <w:r w:rsidRPr="003E3CFC">
              <w:rPr>
                <w:rFonts w:cs="Helvetica"/>
                <w:b/>
              </w:rPr>
              <w:t>Milestones 2018/19</w:t>
            </w:r>
          </w:p>
        </w:tc>
        <w:tc>
          <w:tcPr>
            <w:tcW w:w="1377" w:type="pct"/>
            <w:shd w:val="clear" w:color="auto" w:fill="D6E5FA"/>
          </w:tcPr>
          <w:p w:rsidR="002A309B" w:rsidRPr="003E3CFC" w:rsidRDefault="002A309B" w:rsidP="002A309B">
            <w:pPr>
              <w:spacing w:before="40" w:afterLines="40" w:after="96" w:line="240" w:lineRule="auto"/>
              <w:rPr>
                <w:rFonts w:cs="Helvetica"/>
                <w:b/>
              </w:rPr>
            </w:pPr>
            <w:r w:rsidRPr="003E3CFC">
              <w:rPr>
                <w:rFonts w:cs="Helvetica"/>
                <w:b/>
              </w:rPr>
              <w:t>Milestones 2019/2020</w:t>
            </w:r>
          </w:p>
        </w:tc>
      </w:tr>
      <w:tr w:rsidR="002A309B" w:rsidRPr="003E3CFC" w:rsidTr="002A309B">
        <w:trPr>
          <w:trHeight w:val="1130"/>
        </w:trPr>
        <w:tc>
          <w:tcPr>
            <w:tcW w:w="963" w:type="pct"/>
          </w:tcPr>
          <w:p w:rsidR="002A309B" w:rsidRPr="003E3CFC" w:rsidRDefault="002A309B" w:rsidP="002A309B">
            <w:pPr>
              <w:pStyle w:val="NumberedList1"/>
              <w:numPr>
                <w:ilvl w:val="0"/>
                <w:numId w:val="23"/>
              </w:numPr>
            </w:pPr>
            <w:r w:rsidRPr="003E3CFC">
              <w:t xml:space="preserve">Stronger economic institutions </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Indonesia improves budget transparency giving citizens a greater say in resource allocations. </w:t>
            </w:r>
          </w:p>
          <w:p w:rsidR="002A309B" w:rsidRPr="003E3CFC" w:rsidRDefault="002A309B" w:rsidP="002A309B">
            <w:pPr>
              <w:spacing w:before="40" w:afterLines="40" w:after="96" w:line="240" w:lineRule="auto"/>
              <w:rPr>
                <w:rFonts w:cs="Helvetica"/>
              </w:rPr>
            </w:pPr>
            <w:r w:rsidRPr="003E3CFC">
              <w:rPr>
                <w:rFonts w:cs="Helvetica"/>
              </w:rPr>
              <w:t>Better supervision of conglomerates decreases the risk of financial system instability.</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More public resources are available to infrastructure and socio-economic outcomes through a year-on-year decrease in money spent on administration.</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Indonesia improves the quality of its performance and financial auditing in line with international standards</w:t>
            </w:r>
          </w:p>
          <w:p w:rsidR="002A309B" w:rsidRPr="003E3CFC" w:rsidRDefault="002A309B" w:rsidP="002A309B">
            <w:pPr>
              <w:spacing w:before="40" w:afterLines="40" w:after="96" w:line="240" w:lineRule="auto"/>
              <w:rPr>
                <w:rFonts w:cs="Helvetica"/>
              </w:rPr>
            </w:pPr>
            <w:r w:rsidRPr="003E3CFC">
              <w:rPr>
                <w:rFonts w:cs="Helvetica"/>
              </w:rPr>
              <w:t>Indonesia’s second tax expenditure report expands in coverage and improves in examining tax exemptions</w:t>
            </w:r>
          </w:p>
          <w:p w:rsidR="002A309B" w:rsidRPr="003E3CFC" w:rsidRDefault="002A309B" w:rsidP="002A309B">
            <w:pPr>
              <w:spacing w:before="40" w:afterLines="40" w:after="96" w:line="240" w:lineRule="auto"/>
              <w:rPr>
                <w:rFonts w:cs="Helvetica"/>
              </w:rPr>
            </w:pPr>
            <w:r w:rsidRPr="003E3CFC">
              <w:rPr>
                <w:rFonts w:cs="Helvetica"/>
              </w:rPr>
              <w:t xml:space="preserve">Indonesia strengthens testing of solid bulk cargo in the shipping industry </w:t>
            </w:r>
          </w:p>
        </w:tc>
      </w:tr>
      <w:tr w:rsidR="002A309B" w:rsidRPr="003E3CFC" w:rsidTr="002A309B">
        <w:trPr>
          <w:trHeight w:val="605"/>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Infrastructure is better planned, delivered and maintained</w:t>
            </w:r>
          </w:p>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 w:rsidR="002A309B" w:rsidRPr="003E3CFC" w:rsidRDefault="002A309B" w:rsidP="002A309B">
            <w:pPr>
              <w:ind w:firstLine="720"/>
            </w:pP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High quality projects </w:t>
            </w:r>
            <w:r w:rsidR="000650AE">
              <w:rPr>
                <w:rFonts w:cs="Helvetica"/>
              </w:rPr>
              <w:t xml:space="preserve">are </w:t>
            </w:r>
            <w:r w:rsidRPr="003E3CFC">
              <w:rPr>
                <w:rFonts w:cs="Helvetica"/>
              </w:rPr>
              <w:t xml:space="preserve">prepared and financed by the Indonesian Government, the private sector and / or multilateral development banks. </w:t>
            </w:r>
          </w:p>
          <w:p w:rsidR="002A309B" w:rsidRPr="003E3CFC" w:rsidRDefault="002A309B" w:rsidP="002A309B">
            <w:pPr>
              <w:spacing w:before="40" w:afterLines="40" w:after="96" w:line="240" w:lineRule="auto"/>
              <w:rPr>
                <w:rFonts w:cs="Helvetica"/>
              </w:rPr>
            </w:pPr>
            <w:r w:rsidRPr="003E3CFC">
              <w:rPr>
                <w:rFonts w:cs="Helvetica"/>
              </w:rPr>
              <w:t>A national performance-based road maintenance program is rolled out.</w:t>
            </w:r>
          </w:p>
          <w:p w:rsidR="002A309B" w:rsidRPr="003E3CFC" w:rsidRDefault="002A309B" w:rsidP="002A309B">
            <w:pPr>
              <w:spacing w:before="40" w:afterLines="40" w:after="96" w:line="240" w:lineRule="auto"/>
              <w:rPr>
                <w:rFonts w:cs="Helvetica"/>
              </w:rPr>
            </w:pPr>
            <w:r w:rsidRPr="003E3CFC">
              <w:rPr>
                <w:rFonts w:cs="Helvetica"/>
              </w:rPr>
              <w:t xml:space="preserve">National roads database (for asset management) rolled out. </w:t>
            </w:r>
          </w:p>
          <w:p w:rsidR="002A309B" w:rsidRPr="003E3CFC" w:rsidRDefault="002A309B" w:rsidP="002A309B">
            <w:pPr>
              <w:spacing w:before="40" w:afterLines="40" w:after="96" w:line="240" w:lineRule="auto"/>
              <w:rPr>
                <w:rFonts w:cs="Helvetica"/>
              </w:rPr>
            </w:pPr>
            <w:r w:rsidRPr="003E3CFC">
              <w:rPr>
                <w:rFonts w:cs="Helvetica"/>
              </w:rPr>
              <w:t xml:space="preserve">AUD600m dollars in additional financing is leveraged. </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AUD1 billion dollars in additional financing is leveraged.</w:t>
            </w:r>
          </w:p>
          <w:p w:rsidR="002A309B" w:rsidRPr="003E3CFC" w:rsidRDefault="002A309B" w:rsidP="002A309B">
            <w:pPr>
              <w:spacing w:before="40" w:afterLines="40" w:after="96" w:line="240" w:lineRule="auto"/>
              <w:rPr>
                <w:rFonts w:cs="Helvetica"/>
              </w:rPr>
            </w:pPr>
            <w:r w:rsidRPr="003E3CFC">
              <w:rPr>
                <w:rFonts w:cs="Helvetica"/>
              </w:rPr>
              <w:t>A national performance based-road maintenance program is included in the state budget (APBN 2019).</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AUD 1.5 billion in additional financing is leveraged</w:t>
            </w:r>
          </w:p>
          <w:p w:rsidR="002A309B" w:rsidRPr="003E3CFC" w:rsidRDefault="002A309B" w:rsidP="002A309B">
            <w:pPr>
              <w:spacing w:before="40" w:afterLines="40" w:after="96" w:line="240" w:lineRule="auto"/>
              <w:rPr>
                <w:rFonts w:cs="Helvetica"/>
              </w:rPr>
            </w:pPr>
            <w:r w:rsidRPr="003E3CFC">
              <w:rPr>
                <w:rFonts w:cs="Helvetica"/>
              </w:rPr>
              <w:t>A national performance-based road maintenance program continues to be piloted in the 4 target provinces and 6 target districts in 2020</w:t>
            </w:r>
          </w:p>
        </w:tc>
      </w:tr>
      <w:tr w:rsidR="002A309B" w:rsidRPr="003E3CFC" w:rsidTr="002A309B">
        <w:trPr>
          <w:trHeight w:val="2191"/>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More jobs and higher incomes, especially for poor households</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Further reforms are adopted to make it easier to do business, including by local governments and courts. </w:t>
            </w:r>
          </w:p>
          <w:p w:rsidR="002A309B" w:rsidRPr="003E3CFC" w:rsidRDefault="002A309B" w:rsidP="002A309B">
            <w:pPr>
              <w:spacing w:before="40" w:afterLines="40" w:after="96" w:line="240" w:lineRule="auto"/>
              <w:rPr>
                <w:rFonts w:cs="Helvetica"/>
              </w:rPr>
            </w:pPr>
            <w:r w:rsidRPr="003E3CFC">
              <w:rPr>
                <w:rFonts w:cs="Helvetica"/>
              </w:rPr>
              <w:t xml:space="preserve">Growth in international investment is observed in targeted areas. </w:t>
            </w:r>
          </w:p>
          <w:p w:rsidR="002A309B" w:rsidRPr="003E3CFC" w:rsidRDefault="002A309B" w:rsidP="002A309B">
            <w:pPr>
              <w:spacing w:before="40" w:afterLines="40" w:after="96" w:line="240" w:lineRule="auto"/>
              <w:rPr>
                <w:rFonts w:cs="Helvetica"/>
              </w:rPr>
            </w:pPr>
            <w:r w:rsidRPr="003E3CFC">
              <w:rPr>
                <w:rFonts w:cs="Helvetica"/>
              </w:rPr>
              <w:t xml:space="preserve">124,000 cumulative farm households can access markets and increase their incomes by 30 per cent. </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Improved policy settings in at least one area (financial services, vocational training, digital economy or VAT status) in the services sector through targeted advocacy with the private sector.</w:t>
            </w:r>
          </w:p>
          <w:p w:rsidR="002A309B" w:rsidRPr="003E3CFC" w:rsidRDefault="002A309B" w:rsidP="002A309B">
            <w:pPr>
              <w:spacing w:before="40" w:afterLines="40" w:after="96" w:line="240" w:lineRule="auto"/>
              <w:rPr>
                <w:rFonts w:cs="Helvetica"/>
              </w:rPr>
            </w:pPr>
            <w:r w:rsidRPr="003E3CFC">
              <w:rPr>
                <w:rFonts w:cs="Helvetica"/>
              </w:rPr>
              <w:t xml:space="preserve">300,000 cumulative farm households can access markets and increase their incomes by 30 per cent. </w:t>
            </w:r>
          </w:p>
          <w:p w:rsidR="002A309B" w:rsidRPr="003E3CFC" w:rsidRDefault="002A309B" w:rsidP="002A309B">
            <w:pPr>
              <w:spacing w:before="40" w:afterLines="40" w:after="96" w:line="240" w:lineRule="auto"/>
              <w:rPr>
                <w:rFonts w:cs="Helvetica"/>
              </w:rPr>
            </w:pPr>
          </w:p>
          <w:p w:rsidR="002A309B" w:rsidRPr="003E3CFC" w:rsidRDefault="002A309B" w:rsidP="002A309B">
            <w:pPr>
              <w:spacing w:before="40" w:afterLines="40" w:after="96" w:line="240" w:lineRule="auto"/>
              <w:rPr>
                <w:rFonts w:cs="Helvetica"/>
              </w:rPr>
            </w:pPr>
          </w:p>
          <w:p w:rsidR="002A309B" w:rsidRPr="003E3CFC" w:rsidRDefault="002A309B" w:rsidP="002A309B">
            <w:pPr>
              <w:spacing w:before="40" w:afterLines="40" w:after="96" w:line="240" w:lineRule="auto"/>
              <w:rPr>
                <w:rFonts w:cs="Helvetica"/>
              </w:rPr>
            </w:pP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Over 373,000 cumulative smallholder farming households can access markets and increase their incomes by 30 per cent</w:t>
            </w:r>
          </w:p>
          <w:p w:rsidR="002A309B" w:rsidRPr="003E3CFC" w:rsidRDefault="002A309B" w:rsidP="002A309B">
            <w:pPr>
              <w:spacing w:before="40" w:afterLines="40" w:after="96" w:line="240" w:lineRule="auto"/>
              <w:rPr>
                <w:rFonts w:cs="Helvetica"/>
              </w:rPr>
            </w:pPr>
            <w:r w:rsidRPr="003E3CFC">
              <w:rPr>
                <w:rFonts w:cs="Helvetica"/>
              </w:rPr>
              <w:t xml:space="preserve">Indonesia adopts and implements at least two policy changes to improve the business enabling environment  </w:t>
            </w:r>
          </w:p>
        </w:tc>
      </w:tr>
      <w:tr w:rsidR="002A309B" w:rsidRPr="003E3CFC" w:rsidTr="002A309B">
        <w:trPr>
          <w:trHeight w:val="1550"/>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 xml:space="preserve">Government spending is better targeted to reduce poverty </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More poor families are purchasing rice from market (in lieu of subsidised rice distribution).</w:t>
            </w:r>
          </w:p>
          <w:p w:rsidR="002A309B" w:rsidRPr="003E3CFC" w:rsidRDefault="002A309B" w:rsidP="002A309B">
            <w:pPr>
              <w:spacing w:before="40" w:afterLines="40" w:after="96" w:line="240" w:lineRule="auto"/>
              <w:rPr>
                <w:rFonts w:cs="Helvetica"/>
              </w:rPr>
            </w:pPr>
            <w:r w:rsidRPr="003E3CFC">
              <w:rPr>
                <w:rFonts w:cs="Helvetica"/>
              </w:rPr>
              <w:t>Indonesia develops mechanism to dynamically update poverty data.</w:t>
            </w:r>
          </w:p>
          <w:p w:rsidR="002A309B" w:rsidRPr="003E3CFC" w:rsidRDefault="002A309B" w:rsidP="002A309B">
            <w:pPr>
              <w:spacing w:before="40" w:afterLines="40" w:after="96" w:line="240" w:lineRule="auto"/>
              <w:rPr>
                <w:rFonts w:cs="Helvetica"/>
              </w:rPr>
            </w:pPr>
            <w:r w:rsidRPr="003E3CFC">
              <w:rPr>
                <w:rFonts w:cs="Helvetica"/>
              </w:rPr>
              <w:t xml:space="preserve">More poor people receive social assistance payments through bank accounts. </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Improved delivery systems enable better quality expansion of key social protection programs (PKH and BPNT).</w:t>
            </w:r>
          </w:p>
          <w:p w:rsidR="002A309B" w:rsidRPr="003E3CFC" w:rsidRDefault="002A309B" w:rsidP="002A309B">
            <w:pPr>
              <w:spacing w:before="40" w:afterLines="40" w:after="96" w:line="240" w:lineRule="auto"/>
              <w:rPr>
                <w:rFonts w:cs="Helvetica"/>
              </w:rPr>
            </w:pPr>
            <w:r w:rsidRPr="003E3CFC">
              <w:rPr>
                <w:rFonts w:cs="Helvetica"/>
              </w:rPr>
              <w:t>150 district/city governments (60 new) identify and target excluded women and men for potential inclusion in social protection programs.</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Indonesia improves the coverage and/or quality of national social protection programs</w:t>
            </w:r>
          </w:p>
          <w:p w:rsidR="002A309B" w:rsidRPr="003E3CFC" w:rsidRDefault="002A309B" w:rsidP="002A309B">
            <w:pPr>
              <w:spacing w:before="40" w:afterLines="40" w:after="96" w:line="240" w:lineRule="auto"/>
              <w:rPr>
                <w:rFonts w:cs="Helvetica"/>
              </w:rPr>
            </w:pPr>
            <w:r w:rsidRPr="003E3CFC">
              <w:rPr>
                <w:rFonts w:cs="Helvetica"/>
              </w:rPr>
              <w:t xml:space="preserve">Indonesia’s poverty targeting infrastructure (UDB, PK-S and SLRT) is increasingly embedded within government </w:t>
            </w:r>
          </w:p>
        </w:tc>
      </w:tr>
      <w:tr w:rsidR="002A309B" w:rsidRPr="003E3CFC" w:rsidTr="002A309B">
        <w:trPr>
          <w:trHeight w:val="1166"/>
        </w:trPr>
        <w:tc>
          <w:tcPr>
            <w:tcW w:w="963" w:type="pct"/>
          </w:tcPr>
          <w:p w:rsidR="002A309B" w:rsidRPr="003E3CFC" w:rsidRDefault="002A309B" w:rsidP="002A309B">
            <w:pPr>
              <w:pStyle w:val="TableNumberedList1"/>
              <w:numPr>
                <w:ilvl w:val="0"/>
                <w:numId w:val="2"/>
              </w:numPr>
              <w:rPr>
                <w:rFonts w:asciiTheme="minorHAnsi" w:hAnsiTheme="minorHAnsi"/>
                <w:sz w:val="22"/>
                <w:lang w:eastAsia="en-AU"/>
              </w:rPr>
            </w:pPr>
            <w:r w:rsidRPr="003E3CFC">
              <w:rPr>
                <w:rFonts w:asciiTheme="minorHAnsi" w:hAnsiTheme="minorHAnsi"/>
                <w:sz w:val="22"/>
                <w:lang w:eastAsia="en-AU"/>
              </w:rPr>
              <w:t>More households can access water and sanitation</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lang w:eastAsia="en-AU"/>
              </w:rPr>
            </w:pPr>
            <w:r w:rsidRPr="003E3CFC">
              <w:rPr>
                <w:rFonts w:cs="Helvetica"/>
                <w:lang w:eastAsia="en-AU"/>
              </w:rPr>
              <w:t>200,000 women and men have improved access to safe water and basic sanitation.</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strike/>
                <w:color w:val="FF0000"/>
                <w:lang w:eastAsia="en-AU"/>
              </w:rPr>
            </w:pPr>
            <w:r w:rsidRPr="003E3CFC">
              <w:rPr>
                <w:rFonts w:cs="Helvetica"/>
              </w:rPr>
              <w:t>10,000 people with disabilities in rural areas benefit from disability inclusive-designed water and sanitation infrastructure.</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150,000 women and men have improved access to basic sanitation </w:t>
            </w:r>
          </w:p>
          <w:p w:rsidR="002A309B" w:rsidRPr="003E3CFC" w:rsidRDefault="002A309B" w:rsidP="002A309B">
            <w:pPr>
              <w:spacing w:before="40" w:afterLines="40" w:after="96" w:line="240" w:lineRule="auto"/>
              <w:rPr>
                <w:rFonts w:cs="Helvetica"/>
              </w:rPr>
            </w:pPr>
            <w:r w:rsidRPr="003E3CFC">
              <w:rPr>
                <w:rFonts w:cs="Helvetica"/>
              </w:rPr>
              <w:t>163,000 women and men have improved access to water</w:t>
            </w:r>
          </w:p>
          <w:p w:rsidR="002A309B" w:rsidRPr="003E3CFC" w:rsidRDefault="002A309B" w:rsidP="002A309B">
            <w:pPr>
              <w:spacing w:before="40" w:afterLines="40" w:after="96" w:line="240" w:lineRule="auto"/>
              <w:rPr>
                <w:rFonts w:cs="Helvetica"/>
              </w:rPr>
            </w:pPr>
            <w:r w:rsidRPr="003E3CFC">
              <w:rPr>
                <w:rFonts w:cs="Helvetica"/>
              </w:rPr>
              <w:t xml:space="preserve">10,000 people with disabilities in rural areas benefit from disability-inclusive designed water and sanitation infrastructure </w:t>
            </w:r>
          </w:p>
        </w:tc>
      </w:tr>
      <w:tr w:rsidR="002A309B" w:rsidRPr="003E3CFC" w:rsidTr="002A309B">
        <w:trPr>
          <w:trHeight w:val="2023"/>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Children have improved literacy and numeracy</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Pilot programs for improving learning outcomes are implemented.</w:t>
            </w:r>
          </w:p>
          <w:p w:rsidR="002A309B" w:rsidRPr="003E3CFC" w:rsidRDefault="002A309B" w:rsidP="002A309B">
            <w:pPr>
              <w:spacing w:before="40" w:afterLines="40" w:after="96" w:line="240" w:lineRule="auto"/>
              <w:rPr>
                <w:rFonts w:cs="Helvetica"/>
              </w:rPr>
            </w:pPr>
            <w:r w:rsidRPr="003E3CFC">
              <w:rPr>
                <w:rFonts w:cs="Helvetica"/>
              </w:rPr>
              <w:t>Indonesia allocates budget to activities supporting improved learning outcomes.</w:t>
            </w:r>
          </w:p>
          <w:p w:rsidR="002A309B" w:rsidRPr="003E3CFC" w:rsidRDefault="002A309B" w:rsidP="002A309B">
            <w:pPr>
              <w:spacing w:before="40" w:afterLines="40" w:after="96" w:line="240" w:lineRule="auto"/>
              <w:rPr>
                <w:rFonts w:cs="Helvetica"/>
              </w:rPr>
            </w:pPr>
            <w:r w:rsidRPr="003E3CFC">
              <w:rPr>
                <w:rFonts w:cs="Helvetica"/>
              </w:rPr>
              <w:t>An evaluation of pilots of teacher performance incentives is expanded from 10 to 33 sub</w:t>
            </w:r>
            <w:r w:rsidRPr="003E3CFC">
              <w:rPr>
                <w:rFonts w:cs="Helvetica"/>
              </w:rPr>
              <w:noBreakHyphen/>
              <w:t>districts.</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Indonesia adopts improved systems and practices for the professional development of teachers, using evidence from pilots. </w:t>
            </w:r>
          </w:p>
          <w:p w:rsidR="002A309B" w:rsidRPr="003E3CFC" w:rsidRDefault="002A309B" w:rsidP="002A309B">
            <w:pPr>
              <w:spacing w:before="40" w:afterLines="40" w:after="96" w:line="240" w:lineRule="auto"/>
              <w:rPr>
                <w:rFonts w:cs="Helvetica"/>
              </w:rPr>
            </w:pPr>
            <w:r w:rsidRPr="003E3CFC">
              <w:rPr>
                <w:rFonts w:cs="Helvetica"/>
              </w:rPr>
              <w:t>Literacy and numeracy scores increase for girls and boys in target communities relative to baseline.</w:t>
            </w:r>
          </w:p>
          <w:p w:rsidR="002A309B" w:rsidRPr="003E3CFC" w:rsidRDefault="002A309B" w:rsidP="002A309B">
            <w:pPr>
              <w:spacing w:before="40" w:afterLines="40" w:after="96" w:line="240" w:lineRule="auto"/>
              <w:rPr>
                <w:rFonts w:cs="Helvetica"/>
              </w:rPr>
            </w:pPr>
            <w:r w:rsidRPr="003E3CFC">
              <w:rPr>
                <w:rFonts w:cs="Helvetica"/>
              </w:rPr>
              <w:t>80 per cent of sub</w:t>
            </w:r>
            <w:r w:rsidR="000650AE">
              <w:rPr>
                <w:rFonts w:cs="Helvetica"/>
              </w:rPr>
              <w:t>-</w:t>
            </w:r>
            <w:r w:rsidRPr="003E3CFC">
              <w:rPr>
                <w:rFonts w:cs="Helvetica"/>
              </w:rPr>
              <w:t>national government (districts) that we work in partnership with allocate budget to activities supporting improved learning outcomes.</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MoRA implements the ministerial regulation on continuous professional development</w:t>
            </w:r>
          </w:p>
          <w:p w:rsidR="002A309B" w:rsidRPr="003E3CFC" w:rsidRDefault="002A309B" w:rsidP="002A309B">
            <w:pPr>
              <w:spacing w:before="40" w:afterLines="40" w:after="96" w:line="240" w:lineRule="auto"/>
              <w:rPr>
                <w:rFonts w:cs="Helvetica"/>
              </w:rPr>
            </w:pPr>
            <w:bookmarkStart w:id="1" w:name="_Hlk12957033"/>
            <w:r w:rsidRPr="003E3CFC">
              <w:rPr>
                <w:rFonts w:cs="Helvetica"/>
              </w:rPr>
              <w:t>Literacy and numeracy scores increase for girls and boys in partner schools across four provinces</w:t>
            </w:r>
          </w:p>
          <w:bookmarkEnd w:id="1"/>
          <w:p w:rsidR="002A309B" w:rsidRPr="003E3CFC" w:rsidRDefault="002A309B" w:rsidP="002A309B">
            <w:pPr>
              <w:spacing w:before="40" w:afterLines="40" w:after="96" w:line="240" w:lineRule="auto"/>
              <w:rPr>
                <w:rFonts w:cs="Helvetica"/>
              </w:rPr>
            </w:pPr>
            <w:r w:rsidRPr="003E3CFC">
              <w:rPr>
                <w:rFonts w:cs="Helvetica"/>
              </w:rPr>
              <w:t>80 per cent of partner district governments (15 in total) expend their budget allocations for activities that support improved learning outcomes</w:t>
            </w:r>
          </w:p>
          <w:p w:rsidR="002A309B" w:rsidRPr="003E3CFC" w:rsidRDefault="002A309B" w:rsidP="002A309B">
            <w:pPr>
              <w:spacing w:before="40" w:afterLines="40" w:after="96" w:line="240" w:lineRule="auto"/>
              <w:rPr>
                <w:rFonts w:cs="Helvetica"/>
              </w:rPr>
            </w:pPr>
          </w:p>
        </w:tc>
      </w:tr>
      <w:tr w:rsidR="002A309B" w:rsidRPr="003E3CFC" w:rsidTr="002A309B">
        <w:trPr>
          <w:trHeight w:val="1904"/>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Governments – national and local – deliver the services communities need</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Local governments in targeted areas improve policies and budget management. </w:t>
            </w:r>
          </w:p>
          <w:p w:rsidR="002A309B" w:rsidRPr="003E3CFC" w:rsidRDefault="002A309B" w:rsidP="002A309B">
            <w:pPr>
              <w:spacing w:before="40" w:afterLines="40" w:after="96" w:line="240" w:lineRule="auto"/>
              <w:rPr>
                <w:rFonts w:cs="Helvetica"/>
              </w:rPr>
            </w:pPr>
            <w:r w:rsidRPr="003E3CFC">
              <w:rPr>
                <w:rFonts w:cs="Helvetica"/>
              </w:rPr>
              <w:t xml:space="preserve">Villages in target areas are using Village funds to invest in health and education. </w:t>
            </w:r>
          </w:p>
          <w:p w:rsidR="002A309B" w:rsidRPr="003E3CFC" w:rsidRDefault="002A309B" w:rsidP="002A309B">
            <w:pPr>
              <w:spacing w:before="40" w:afterLines="40" w:after="96" w:line="240" w:lineRule="auto"/>
              <w:rPr>
                <w:rFonts w:cs="Helvetica"/>
              </w:rPr>
            </w:pPr>
            <w:r w:rsidRPr="003E3CFC">
              <w:rPr>
                <w:rFonts w:cs="Helvetica"/>
              </w:rPr>
              <w:t xml:space="preserve">Target areas make improvements in service delivery. </w:t>
            </w:r>
          </w:p>
          <w:p w:rsidR="002A309B" w:rsidRPr="003E3CFC" w:rsidRDefault="002A309B" w:rsidP="002A309B">
            <w:pPr>
              <w:spacing w:before="40" w:afterLines="40" w:after="96" w:line="240" w:lineRule="auto"/>
              <w:rPr>
                <w:rFonts w:cs="Helvetica"/>
              </w:rPr>
            </w:pPr>
            <w:r w:rsidRPr="003E3CFC">
              <w:rPr>
                <w:rFonts w:cs="Helvetica"/>
              </w:rPr>
              <w:t xml:space="preserve">Poor people are accessing local programs and services through referral. </w:t>
            </w:r>
          </w:p>
          <w:p w:rsidR="002A309B" w:rsidRPr="003E3CFC" w:rsidRDefault="002A309B" w:rsidP="002A309B">
            <w:pPr>
              <w:spacing w:before="40" w:afterLines="40" w:after="96" w:line="240" w:lineRule="auto"/>
              <w:rPr>
                <w:rFonts w:cs="Helvetica"/>
              </w:rPr>
            </w:pPr>
            <w:r w:rsidRPr="003E3CFC">
              <w:rPr>
                <w:rFonts w:cs="Helvetica"/>
              </w:rPr>
              <w:t>More people can access identity cards and services.</w:t>
            </w:r>
          </w:p>
          <w:p w:rsidR="002A309B" w:rsidRPr="003E3CFC" w:rsidRDefault="002A309B" w:rsidP="002A309B">
            <w:pPr>
              <w:spacing w:before="40" w:afterLines="40" w:after="96" w:line="240" w:lineRule="auto"/>
              <w:rPr>
                <w:rFonts w:cs="Helvetica"/>
              </w:rPr>
            </w:pPr>
            <w:r w:rsidRPr="003E3CFC">
              <w:rPr>
                <w:rFonts w:cs="Helvetica"/>
              </w:rPr>
              <w:t>Child grant pilot established in 3 districts in Papua Province.</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Villages in target areas allocate at least 20 per cent of Village Funds for basic services (</w:t>
            </w:r>
            <w:r w:rsidRPr="003E3CFC">
              <w:t>health, education, legal identity, and basic infrastructure)</w:t>
            </w:r>
            <w:r w:rsidRPr="003E3CFC">
              <w:rPr>
                <w:rFonts w:cs="Helvetica"/>
              </w:rPr>
              <w:t xml:space="preserve">. </w:t>
            </w:r>
          </w:p>
          <w:p w:rsidR="002A309B" w:rsidRPr="003E3CFC" w:rsidRDefault="002A309B" w:rsidP="002A309B">
            <w:pPr>
              <w:spacing w:before="40" w:afterLines="40" w:after="96" w:line="240" w:lineRule="auto"/>
              <w:rPr>
                <w:rFonts w:cs="Helvetica"/>
              </w:rPr>
            </w:pPr>
            <w:r w:rsidRPr="003E3CFC">
              <w:rPr>
                <w:rFonts w:cs="Helvetica"/>
              </w:rPr>
              <w:t>More than 10,000 women and men receive legal identity documents through DFAT-funded approaches and models.</w:t>
            </w:r>
          </w:p>
          <w:p w:rsidR="002A309B" w:rsidRPr="003E3CFC" w:rsidRDefault="002A309B" w:rsidP="002A309B">
            <w:pPr>
              <w:spacing w:before="40" w:afterLines="40" w:after="96" w:line="240" w:lineRule="auto"/>
              <w:rPr>
                <w:rFonts w:cs="Helvetica"/>
              </w:rPr>
            </w:pPr>
            <w:r w:rsidRPr="003E3CFC">
              <w:rPr>
                <w:rFonts w:cs="Helvetica"/>
              </w:rPr>
              <w:t>Families in three districts start to receive regular child grant transfers from the Papua Provincial Government.</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bookmarkStart w:id="2" w:name="_Hlk12958194"/>
            <w:r w:rsidRPr="003E3CFC">
              <w:rPr>
                <w:rFonts w:cs="Helvetica"/>
              </w:rPr>
              <w:t>755 villages are using information systems to improve planning, budgeting and service delivery</w:t>
            </w:r>
            <w:bookmarkEnd w:id="2"/>
          </w:p>
          <w:p w:rsidR="002A309B" w:rsidRPr="003E3CFC" w:rsidRDefault="002A309B" w:rsidP="002A309B">
            <w:pPr>
              <w:spacing w:before="40" w:afterLines="40" w:after="96" w:line="240" w:lineRule="auto"/>
              <w:rPr>
                <w:rFonts w:cs="Helvetica"/>
              </w:rPr>
            </w:pPr>
            <w:r w:rsidRPr="003E3CFC">
              <w:rPr>
                <w:rFonts w:cs="Helvetica"/>
              </w:rPr>
              <w:t>100 districts have increased coverage of birth certificates through DFAT supported technical assistance and outreach services</w:t>
            </w:r>
          </w:p>
          <w:p w:rsidR="002A309B" w:rsidRPr="003E3CFC" w:rsidRDefault="002A309B" w:rsidP="002A309B">
            <w:pPr>
              <w:spacing w:before="40" w:afterLines="40" w:after="96" w:line="240" w:lineRule="auto"/>
              <w:rPr>
                <w:rFonts w:cs="Helvetica"/>
              </w:rPr>
            </w:pPr>
            <w:r w:rsidRPr="003E3CFC">
              <w:rPr>
                <w:rFonts w:cs="Helvetica"/>
              </w:rPr>
              <w:t>The delivery system for the child grant program in Papua is strengthened in the following areas: payments, registration and governance</w:t>
            </w:r>
          </w:p>
          <w:p w:rsidR="002A309B" w:rsidRPr="003E3CFC" w:rsidRDefault="002A309B" w:rsidP="002A309B">
            <w:pPr>
              <w:spacing w:before="40" w:afterLines="40" w:after="96" w:line="240" w:lineRule="auto"/>
              <w:rPr>
                <w:rFonts w:cs="Helvetica"/>
              </w:rPr>
            </w:pPr>
          </w:p>
        </w:tc>
      </w:tr>
      <w:tr w:rsidR="002A309B" w:rsidRPr="003E3CFC" w:rsidTr="002A309B">
        <w:trPr>
          <w:trHeight w:val="2232"/>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 xml:space="preserve">Women have a voice in decision-making and access to better jobs and services </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Government adopts models to help women access services and safer work in target districts. </w:t>
            </w:r>
          </w:p>
          <w:p w:rsidR="002A309B" w:rsidRPr="003E3CFC" w:rsidRDefault="002A309B" w:rsidP="002A309B">
            <w:pPr>
              <w:spacing w:before="40" w:afterLines="40" w:after="96" w:line="240" w:lineRule="auto"/>
              <w:rPr>
                <w:rFonts w:cs="Helvetica"/>
              </w:rPr>
            </w:pPr>
            <w:r w:rsidRPr="003E3CFC">
              <w:rPr>
                <w:rFonts w:cs="Helvetica"/>
              </w:rPr>
              <w:t xml:space="preserve">Increased engagement between civil society and government contributes to policies that better reflect the needs of women. </w:t>
            </w:r>
          </w:p>
          <w:p w:rsidR="002A309B" w:rsidRPr="003E3CFC" w:rsidRDefault="002A309B" w:rsidP="002A309B">
            <w:pPr>
              <w:spacing w:before="40" w:afterLines="40" w:after="96" w:line="240" w:lineRule="auto"/>
              <w:rPr>
                <w:rFonts w:cs="Helvetica"/>
              </w:rPr>
            </w:pPr>
            <w:r w:rsidRPr="003E3CFC">
              <w:rPr>
                <w:rFonts w:cs="Helvetica"/>
              </w:rPr>
              <w:t>More women in target locations are actively involved in village level development planning.</w:t>
            </w:r>
          </w:p>
          <w:p w:rsidR="002A309B" w:rsidRPr="003E3CFC" w:rsidRDefault="002A309B" w:rsidP="002A309B">
            <w:pPr>
              <w:spacing w:before="40" w:afterLines="40" w:after="96" w:line="240" w:lineRule="auto"/>
              <w:rPr>
                <w:rFonts w:cs="Helvetica"/>
              </w:rPr>
            </w:pPr>
            <w:r w:rsidRPr="003E3CFC">
              <w:rPr>
                <w:rFonts w:cs="Helvetica"/>
              </w:rPr>
              <w:t>Targeted impact investors incorporate gender into investment decision-making, and investment in women’s small medium enterprises (WSMEs).</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Impact investing partners make investments into at least two women’s small and medium enterprises (WSMEs) in Indonesia.</w:t>
            </w:r>
          </w:p>
          <w:p w:rsidR="002A309B" w:rsidRPr="003E3CFC" w:rsidRDefault="002A309B" w:rsidP="002A309B">
            <w:pPr>
              <w:spacing w:before="40" w:afterLines="40" w:after="96" w:line="240" w:lineRule="auto"/>
              <w:rPr>
                <w:rFonts w:cs="Helvetica"/>
              </w:rPr>
            </w:pPr>
            <w:r w:rsidRPr="003E3CFC">
              <w:rPr>
                <w:rFonts w:cs="Helvetica"/>
              </w:rPr>
              <w:t>A year-on-year increase in the number of female migrant workers accessing improved migration support services in targeted areas.</w:t>
            </w:r>
          </w:p>
          <w:p w:rsidR="002A309B" w:rsidRPr="003E3CFC" w:rsidRDefault="002A309B" w:rsidP="002A309B">
            <w:pPr>
              <w:spacing w:before="40" w:afterLines="40" w:after="96" w:line="240" w:lineRule="auto"/>
              <w:rPr>
                <w:rFonts w:cs="Helvetica"/>
              </w:rPr>
            </w:pPr>
            <w:r w:rsidRPr="003E3CFC">
              <w:rPr>
                <w:rFonts w:cs="Helvetica"/>
              </w:rPr>
              <w:t>A majority of directly supported civil society organisations and networks have demonstrated improved capacity to increase women’s participation in decision-making processes.</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A year on year rise in the number of districts where more women participated in village-level decision-making</w:t>
            </w:r>
          </w:p>
          <w:p w:rsidR="002A309B" w:rsidRPr="003E3CFC" w:rsidRDefault="002A309B" w:rsidP="002A309B">
            <w:pPr>
              <w:spacing w:before="40" w:afterLines="40" w:after="96" w:line="240" w:lineRule="auto"/>
              <w:rPr>
                <w:rFonts w:cs="Helvetica"/>
              </w:rPr>
            </w:pPr>
            <w:r w:rsidRPr="003E3CFC">
              <w:rPr>
                <w:rFonts w:cs="Helvetica"/>
              </w:rPr>
              <w:t>A year on year increase in the number of policy decisions influenced by organisations and networks supported by Australia that improved women’s access to jobs and services</w:t>
            </w:r>
          </w:p>
          <w:p w:rsidR="002A309B" w:rsidRPr="003E3CFC" w:rsidRDefault="002A309B" w:rsidP="002A309B">
            <w:pPr>
              <w:spacing w:before="40" w:afterLines="40" w:after="96" w:line="240" w:lineRule="auto"/>
              <w:rPr>
                <w:rFonts w:cs="Helvetica"/>
              </w:rPr>
            </w:pPr>
            <w:bookmarkStart w:id="3" w:name="_Hlk12962601"/>
            <w:r w:rsidRPr="003E3CFC">
              <w:rPr>
                <w:rFonts w:cs="Helvetica"/>
              </w:rPr>
              <w:t xml:space="preserve">At least two women’s small and medium sized enterprises receive investment from impact investing partners </w:t>
            </w:r>
          </w:p>
          <w:bookmarkEnd w:id="3"/>
          <w:p w:rsidR="002A309B" w:rsidRPr="003E3CFC" w:rsidRDefault="002A309B" w:rsidP="002A309B">
            <w:pPr>
              <w:spacing w:before="40" w:afterLines="40" w:after="96" w:line="240" w:lineRule="auto"/>
              <w:rPr>
                <w:rFonts w:cs="Helvetica"/>
              </w:rPr>
            </w:pPr>
          </w:p>
        </w:tc>
      </w:tr>
      <w:tr w:rsidR="002A309B" w:rsidRPr="003E3CFC" w:rsidTr="002A309B">
        <w:trPr>
          <w:trHeight w:val="1647"/>
        </w:trPr>
        <w:tc>
          <w:tcPr>
            <w:tcW w:w="963" w:type="pct"/>
          </w:tcPr>
          <w:p w:rsidR="002A309B" w:rsidRPr="003E3CFC" w:rsidRDefault="002A309B" w:rsidP="002A309B">
            <w:pPr>
              <w:pStyle w:val="TableNumberedList1"/>
              <w:numPr>
                <w:ilvl w:val="0"/>
                <w:numId w:val="2"/>
              </w:numPr>
              <w:rPr>
                <w:rFonts w:asciiTheme="minorHAnsi" w:hAnsiTheme="minorHAnsi"/>
                <w:sz w:val="22"/>
              </w:rPr>
            </w:pPr>
            <w:r w:rsidRPr="003E3CFC">
              <w:rPr>
                <w:rFonts w:asciiTheme="minorHAnsi" w:hAnsiTheme="minorHAnsi"/>
                <w:sz w:val="22"/>
              </w:rPr>
              <w:t xml:space="preserve">Marginalised groups can advocate for and access basic services </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Implementation of the Disability Law remains on track and a greater number of persons with disability can access services. </w:t>
            </w:r>
          </w:p>
          <w:p w:rsidR="002A309B" w:rsidRPr="003E3CFC" w:rsidRDefault="002A309B" w:rsidP="002A309B">
            <w:pPr>
              <w:spacing w:before="40" w:afterLines="40" w:after="96" w:line="240" w:lineRule="auto"/>
              <w:rPr>
                <w:rFonts w:cs="Helvetica"/>
              </w:rPr>
            </w:pPr>
            <w:r w:rsidRPr="003E3CFC">
              <w:rPr>
                <w:rFonts w:cs="Helvetica"/>
              </w:rPr>
              <w:t xml:space="preserve">Increased Indonesian Government funding for inclusive programs. </w:t>
            </w:r>
          </w:p>
          <w:p w:rsidR="002A309B" w:rsidRPr="003E3CFC" w:rsidRDefault="002A309B" w:rsidP="002A309B">
            <w:pPr>
              <w:spacing w:before="40" w:afterLines="40" w:after="96" w:line="240" w:lineRule="auto"/>
              <w:rPr>
                <w:rFonts w:cs="Helvetica"/>
              </w:rPr>
            </w:pPr>
            <w:r w:rsidRPr="003E3CFC">
              <w:rPr>
                <w:rFonts w:cs="Helvetica"/>
              </w:rPr>
              <w:t>Civil society actors assist in countering radicalisation through public discourse.</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iCs/>
                <w:lang w:eastAsia="en-AU"/>
              </w:rPr>
            </w:pPr>
            <w:r w:rsidRPr="003E3CFC">
              <w:rPr>
                <w:rFonts w:cs="Helvetica"/>
                <w:iCs/>
                <w:lang w:eastAsia="en-AU"/>
              </w:rPr>
              <w:t>Civil society input ensures a plan is in place to monitor and evaluate implementation of the disability law and a greater number of people with disability can access services.</w:t>
            </w:r>
          </w:p>
          <w:p w:rsidR="002A309B" w:rsidRPr="003E3CFC" w:rsidRDefault="002A309B" w:rsidP="002A309B">
            <w:pPr>
              <w:spacing w:before="40" w:afterLines="40" w:after="96" w:line="240" w:lineRule="auto"/>
              <w:rPr>
                <w:rFonts w:cs="Helvetica"/>
                <w:iCs/>
                <w:lang w:eastAsia="en-AU"/>
              </w:rPr>
            </w:pPr>
            <w:r w:rsidRPr="003E3CFC">
              <w:rPr>
                <w:rFonts w:cs="Helvetica"/>
                <w:iCs/>
                <w:lang w:eastAsia="en-AU"/>
              </w:rPr>
              <w:t xml:space="preserve">Strengthened civil society advocacy for followers of local beliefs, following the Constitutional Court decision, to ensure legal recognition by the government. </w:t>
            </w:r>
          </w:p>
          <w:p w:rsidR="002A309B" w:rsidRPr="003E3CFC" w:rsidRDefault="002A309B" w:rsidP="002A309B">
            <w:pPr>
              <w:spacing w:before="40" w:afterLines="40" w:after="96" w:line="240" w:lineRule="auto"/>
              <w:rPr>
                <w:rFonts w:cs="Helvetica"/>
                <w:iCs/>
                <w:lang w:eastAsia="en-AU"/>
              </w:rPr>
            </w:pPr>
            <w:r w:rsidRPr="003E3CFC">
              <w:rPr>
                <w:rFonts w:cs="Helvetica"/>
                <w:iCs/>
                <w:lang w:eastAsia="en-AU"/>
              </w:rPr>
              <w:t>A National Action Plan for Countering Violent Extremism, with input from civil society, is finalised.</w:t>
            </w:r>
          </w:p>
        </w:tc>
        <w:tc>
          <w:tcPr>
            <w:tcW w:w="1377" w:type="pct"/>
            <w:shd w:val="clear" w:color="auto" w:fill="F2F2F2" w:themeFill="background1" w:themeFillShade="F2"/>
          </w:tcPr>
          <w:p w:rsidR="00495D6C" w:rsidRPr="003E3CFC" w:rsidRDefault="00495D6C" w:rsidP="002A309B">
            <w:pPr>
              <w:spacing w:before="40" w:afterLines="40" w:after="96" w:line="240" w:lineRule="auto"/>
              <w:rPr>
                <w:rFonts w:cs="Helvetica"/>
              </w:rPr>
            </w:pPr>
            <w:r w:rsidRPr="003E3CFC">
              <w:rPr>
                <w:rFonts w:cs="Helvetica"/>
              </w:rPr>
              <w:t xml:space="preserve">Four implementing regulations (RPP) of the disability law (access to justice, social welfare, rehabilitation, and planning and budgeting) are adopted and a plan to monitor and evaluate their implementation is finalised, including three inclusive court pilots. </w:t>
            </w:r>
          </w:p>
          <w:p w:rsidR="00495D6C" w:rsidRPr="003E3CFC" w:rsidRDefault="00495D6C" w:rsidP="002A309B">
            <w:pPr>
              <w:spacing w:before="40" w:afterLines="40" w:after="96" w:line="240" w:lineRule="auto"/>
              <w:rPr>
                <w:rFonts w:cs="Helvetica"/>
              </w:rPr>
            </w:pPr>
            <w:r w:rsidRPr="003E3CFC">
              <w:rPr>
                <w:rFonts w:cs="Helvetica"/>
              </w:rPr>
              <w:t>An implementing regulation (RPP) to support CT Law implementation is adopted, the National Action Plan on Combatting Violent Extremism is finalised or incorporated into new regulations and three sub</w:t>
            </w:r>
            <w:r w:rsidR="000650AE">
              <w:rPr>
                <w:rFonts w:cs="Helvetica"/>
              </w:rPr>
              <w:t>-</w:t>
            </w:r>
            <w:r w:rsidRPr="003E3CFC">
              <w:rPr>
                <w:rFonts w:cs="Helvetica"/>
              </w:rPr>
              <w:t>national initiatives are being endorsed by Government</w:t>
            </w:r>
          </w:p>
          <w:p w:rsidR="002A309B" w:rsidRPr="003E3CFC" w:rsidRDefault="002A309B" w:rsidP="002A309B">
            <w:pPr>
              <w:spacing w:before="40" w:afterLines="40" w:after="96" w:line="240" w:lineRule="auto"/>
              <w:rPr>
                <w:rFonts w:cs="Helvetica"/>
              </w:rPr>
            </w:pPr>
            <w:r w:rsidRPr="003E3CFC">
              <w:rPr>
                <w:rFonts w:cs="Helvetica"/>
              </w:rPr>
              <w:t xml:space="preserve">MoEC adopts regulation on providing education services to children of followers of local beliefs </w:t>
            </w:r>
          </w:p>
          <w:p w:rsidR="002A309B" w:rsidRPr="003E3CFC" w:rsidRDefault="002A309B" w:rsidP="002A309B">
            <w:pPr>
              <w:spacing w:before="40" w:afterLines="40" w:after="96" w:line="240" w:lineRule="auto"/>
              <w:rPr>
                <w:rFonts w:cs="Helvetica"/>
              </w:rPr>
            </w:pPr>
            <w:r w:rsidRPr="003E3CFC">
              <w:rPr>
                <w:rFonts w:cs="Helvetica"/>
              </w:rPr>
              <w:t xml:space="preserve">MoRA adopts a regulation on improving the accessibility of Islamic institutions to people with disabilities </w:t>
            </w:r>
          </w:p>
          <w:p w:rsidR="002A309B" w:rsidRPr="003E3CFC" w:rsidRDefault="002A309B" w:rsidP="002A309B">
            <w:pPr>
              <w:spacing w:before="40" w:afterLines="40" w:after="96" w:line="240" w:lineRule="auto"/>
              <w:rPr>
                <w:rFonts w:cs="Helvetica"/>
              </w:rPr>
            </w:pPr>
          </w:p>
        </w:tc>
      </w:tr>
      <w:tr w:rsidR="002A309B" w:rsidRPr="003E3CFC" w:rsidTr="002A309B">
        <w:trPr>
          <w:trHeight w:val="1381"/>
        </w:trPr>
        <w:tc>
          <w:tcPr>
            <w:tcW w:w="963" w:type="pct"/>
          </w:tcPr>
          <w:p w:rsidR="002A309B" w:rsidRPr="003E3CFC" w:rsidRDefault="002A309B" w:rsidP="002A309B">
            <w:pPr>
              <w:pStyle w:val="TableNumberedList1"/>
              <w:numPr>
                <w:ilvl w:val="0"/>
                <w:numId w:val="2"/>
              </w:numPr>
              <w:ind w:left="447" w:hanging="425"/>
              <w:rPr>
                <w:rFonts w:asciiTheme="minorHAnsi" w:hAnsiTheme="minorHAnsi"/>
                <w:sz w:val="22"/>
              </w:rPr>
            </w:pPr>
            <w:r w:rsidRPr="003E3CFC">
              <w:rPr>
                <w:rFonts w:asciiTheme="minorHAnsi" w:hAnsiTheme="minorHAnsi"/>
                <w:sz w:val="22"/>
              </w:rPr>
              <w:br w:type="page"/>
            </w:r>
            <w:r w:rsidRPr="003E3CFC">
              <w:rPr>
                <w:rFonts w:asciiTheme="minorHAnsi" w:hAnsiTheme="minorHAnsi"/>
                <w:sz w:val="22"/>
              </w:rPr>
              <w:br w:type="page"/>
              <w:t>Increased resilience to economic shocks through improved environmental governance, disaster risk management and health security</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lang w:eastAsia="en-AU"/>
              </w:rPr>
            </w:pPr>
            <w:r w:rsidRPr="003E3CFC">
              <w:rPr>
                <w:rFonts w:cs="Helvetica"/>
                <w:lang w:eastAsia="en-AU"/>
              </w:rPr>
              <w:t>National Grand Design for Forest, Plantation and Land Fire Prevention is launched</w:t>
            </w:r>
          </w:p>
          <w:p w:rsidR="002A309B" w:rsidRPr="003E3CFC" w:rsidRDefault="002A309B" w:rsidP="002A309B">
            <w:pPr>
              <w:spacing w:before="40" w:afterLines="40" w:after="96" w:line="240" w:lineRule="auto"/>
              <w:rPr>
                <w:rFonts w:cs="Helvetica"/>
                <w:iCs/>
                <w:lang w:eastAsia="en-AU"/>
              </w:rPr>
            </w:pPr>
            <w:r w:rsidRPr="003E3CFC">
              <w:rPr>
                <w:rFonts w:cs="Helvetica"/>
                <w:lang w:eastAsia="en-AU"/>
              </w:rPr>
              <w:t>N</w:t>
            </w:r>
            <w:r w:rsidRPr="003E3CFC">
              <w:rPr>
                <w:rFonts w:cs="Helvetica"/>
                <w:iCs/>
                <w:lang w:eastAsia="en-AU"/>
              </w:rPr>
              <w:t xml:space="preserve">ational platform for coordination on landscape management is established. </w:t>
            </w:r>
          </w:p>
          <w:p w:rsidR="002A309B" w:rsidRPr="003E3CFC" w:rsidRDefault="002A309B" w:rsidP="002A309B">
            <w:pPr>
              <w:spacing w:before="40" w:afterLines="40" w:after="96" w:line="240" w:lineRule="auto"/>
              <w:rPr>
                <w:rFonts w:cs="Helvetica"/>
              </w:rPr>
            </w:pPr>
            <w:r w:rsidRPr="003E3CFC">
              <w:rPr>
                <w:rFonts w:cs="Helvetica"/>
                <w:iCs/>
                <w:lang w:eastAsia="en-AU"/>
              </w:rPr>
              <w:t xml:space="preserve">Finance is mobilized for peatland restoration. </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iCs/>
                <w:lang w:eastAsia="en-AU"/>
              </w:rPr>
            </w:pPr>
            <w:r w:rsidRPr="003E3CFC">
              <w:rPr>
                <w:rFonts w:cs="Helvetica"/>
                <w:iCs/>
                <w:lang w:eastAsia="en-AU"/>
              </w:rPr>
              <w:t>At least AUD200 million is leveraged to support sustainable landscape management.</w:t>
            </w:r>
          </w:p>
          <w:p w:rsidR="002A309B" w:rsidRPr="003E3CFC" w:rsidRDefault="002A309B" w:rsidP="002A309B">
            <w:pPr>
              <w:spacing w:before="40" w:afterLines="40" w:after="96" w:line="240" w:lineRule="auto"/>
              <w:rPr>
                <w:rFonts w:cs="Helvetica"/>
                <w:iCs/>
                <w:lang w:eastAsia="en-AU"/>
              </w:rPr>
            </w:pPr>
            <w:r w:rsidRPr="003E3CFC">
              <w:rPr>
                <w:rFonts w:cs="Helvetica"/>
                <w:iCs/>
                <w:lang w:eastAsia="en-AU"/>
              </w:rPr>
              <w:t>At least one environmental crime is investigated using the Multi-Door Approach.</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At least 100 million is leveraged to support sustainable landscape management</w:t>
            </w:r>
          </w:p>
          <w:p w:rsidR="002A309B" w:rsidRPr="003E3CFC" w:rsidRDefault="002A309B" w:rsidP="002A309B">
            <w:pPr>
              <w:spacing w:before="40" w:afterLines="40" w:after="96" w:line="240" w:lineRule="auto"/>
              <w:rPr>
                <w:rFonts w:cs="Helvetica"/>
              </w:rPr>
            </w:pPr>
            <w:r w:rsidRPr="003E3CFC">
              <w:rPr>
                <w:rFonts w:cs="Helvetica"/>
              </w:rPr>
              <w:t xml:space="preserve">At least 3 environmental crime cases are investigated using the Multi-Door approach </w:t>
            </w:r>
          </w:p>
        </w:tc>
      </w:tr>
      <w:tr w:rsidR="002A309B" w:rsidRPr="003E3CFC" w:rsidTr="002A309B">
        <w:trPr>
          <w:trHeight w:val="1456"/>
        </w:trPr>
        <w:tc>
          <w:tcPr>
            <w:tcW w:w="963" w:type="pct"/>
          </w:tcPr>
          <w:p w:rsidR="002A309B" w:rsidRPr="003E3CFC" w:rsidRDefault="002A309B" w:rsidP="002A309B">
            <w:pPr>
              <w:pStyle w:val="TableNumberedList1"/>
              <w:numPr>
                <w:ilvl w:val="0"/>
                <w:numId w:val="2"/>
              </w:numPr>
              <w:ind w:left="447" w:hanging="447"/>
              <w:rPr>
                <w:rFonts w:asciiTheme="minorHAnsi" w:hAnsiTheme="minorHAnsi"/>
                <w:sz w:val="22"/>
              </w:rPr>
            </w:pPr>
            <w:r w:rsidRPr="003E3CFC">
              <w:rPr>
                <w:rFonts w:asciiTheme="minorHAnsi" w:hAnsiTheme="minorHAnsi"/>
                <w:sz w:val="22"/>
              </w:rPr>
              <w:t>Public policies are informed by</w:t>
            </w:r>
            <w:r w:rsidRPr="003E3CFC">
              <w:rPr>
                <w:rFonts w:asciiTheme="minorHAnsi" w:hAnsiTheme="minorHAnsi"/>
                <w:b/>
                <w:sz w:val="22"/>
              </w:rPr>
              <w:t xml:space="preserve"> </w:t>
            </w:r>
            <w:r w:rsidRPr="003E3CFC">
              <w:rPr>
                <w:rFonts w:asciiTheme="minorHAnsi" w:hAnsiTheme="minorHAnsi"/>
                <w:sz w:val="22"/>
              </w:rPr>
              <w:t>evidence</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Evidence, including from pilots, is used in key reforms and to improve policies and programs.</w:t>
            </w:r>
          </w:p>
          <w:p w:rsidR="002A309B" w:rsidRPr="003E3CFC" w:rsidRDefault="002A309B" w:rsidP="002A309B">
            <w:pPr>
              <w:spacing w:before="40" w:afterLines="40" w:after="96" w:line="240" w:lineRule="auto"/>
              <w:rPr>
                <w:rFonts w:cs="Helvetica"/>
              </w:rPr>
            </w:pPr>
            <w:r w:rsidRPr="003E3CFC">
              <w:rPr>
                <w:rFonts w:cs="Helvetica"/>
              </w:rPr>
              <w:t xml:space="preserve">Indonesian research organisations, including universities, play a stronger role in public policy making. </w:t>
            </w:r>
          </w:p>
          <w:p w:rsidR="002A309B" w:rsidRPr="003E3CFC" w:rsidRDefault="002A309B" w:rsidP="002A309B">
            <w:pPr>
              <w:spacing w:before="40" w:afterLines="40" w:after="96" w:line="240" w:lineRule="auto"/>
              <w:rPr>
                <w:rFonts w:cs="Helvetica"/>
              </w:rPr>
            </w:pP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 xml:space="preserve">Tools to support implementation of the procurement regulation, such as an e-catalogue of research providers, are in place. </w:t>
            </w:r>
          </w:p>
          <w:p w:rsidR="002A309B" w:rsidRPr="003E3CFC" w:rsidRDefault="002A309B" w:rsidP="002A309B">
            <w:pPr>
              <w:spacing w:before="40" w:afterLines="40" w:after="96" w:line="240" w:lineRule="auto"/>
              <w:rPr>
                <w:rFonts w:cs="Helvetica"/>
              </w:rPr>
            </w:pPr>
            <w:r w:rsidRPr="003E3CFC">
              <w:rPr>
                <w:rFonts w:cs="Helvetica"/>
              </w:rPr>
              <w:t>Lessons and evidence, including from pilots, are use</w:t>
            </w:r>
            <w:r w:rsidR="002A202F">
              <w:rPr>
                <w:rFonts w:cs="Helvetica"/>
              </w:rPr>
              <w:t>d to inform the national medium-</w:t>
            </w:r>
            <w:r w:rsidRPr="003E3CFC">
              <w:rPr>
                <w:rFonts w:cs="Helvetica"/>
              </w:rPr>
              <w:t>term development plan (RPJMN).</w:t>
            </w: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The final national medium-term development plan is informed by lessons and evidence from Australian programs in at least three of the following areas: education and research, poverty and inequality, social inclusion, law reform, infrastructure, decentralisation, and jobs and skills</w:t>
            </w:r>
          </w:p>
          <w:p w:rsidR="002A309B" w:rsidRPr="003E3CFC" w:rsidRDefault="002A309B" w:rsidP="002A309B">
            <w:pPr>
              <w:spacing w:before="40" w:afterLines="40" w:after="96" w:line="240" w:lineRule="auto"/>
              <w:rPr>
                <w:rFonts w:cs="Helvetica"/>
              </w:rPr>
            </w:pPr>
            <w:r w:rsidRPr="003E3CFC">
              <w:rPr>
                <w:rFonts w:cs="Helvetica"/>
              </w:rPr>
              <w:t>At least two pilots are implemented under the new procurement regulation (Perpres 16/2018) with government funding</w:t>
            </w:r>
          </w:p>
          <w:p w:rsidR="002A309B" w:rsidRPr="003E3CFC" w:rsidRDefault="002A309B" w:rsidP="002A309B">
            <w:pPr>
              <w:spacing w:before="40" w:afterLines="40" w:after="96" w:line="240" w:lineRule="auto"/>
              <w:rPr>
                <w:rFonts w:cs="Helvetica"/>
              </w:rPr>
            </w:pPr>
            <w:r w:rsidRPr="003E3CFC">
              <w:rPr>
                <w:rFonts w:cs="Helvetica"/>
              </w:rPr>
              <w:t>The implementation of a new law for Indonesia’s national research, science and innovation system (RUU Sisnas Iptek) is informed by lessons, evidence and advocacy support from the Australian program in three main areas: research funding, governance, and incentives for researchers</w:t>
            </w:r>
          </w:p>
        </w:tc>
      </w:tr>
      <w:tr w:rsidR="002A309B" w:rsidRPr="003E3CFC" w:rsidTr="002A309B">
        <w:trPr>
          <w:trHeight w:val="906"/>
        </w:trPr>
        <w:tc>
          <w:tcPr>
            <w:tcW w:w="963" w:type="pct"/>
          </w:tcPr>
          <w:p w:rsidR="002A309B" w:rsidRPr="003E3CFC" w:rsidRDefault="002A309B" w:rsidP="002A309B">
            <w:pPr>
              <w:pStyle w:val="TableNumberedList1"/>
              <w:numPr>
                <w:ilvl w:val="0"/>
                <w:numId w:val="2"/>
              </w:numPr>
              <w:ind w:left="447" w:hanging="447"/>
              <w:rPr>
                <w:rFonts w:asciiTheme="minorHAnsi" w:hAnsiTheme="minorHAnsi"/>
                <w:sz w:val="22"/>
              </w:rPr>
            </w:pPr>
            <w:r w:rsidRPr="003E3CFC">
              <w:rPr>
                <w:rFonts w:asciiTheme="minorHAnsi" w:hAnsiTheme="minorHAnsi"/>
                <w:sz w:val="22"/>
              </w:rPr>
              <w:t xml:space="preserve">DFAT delivers effective programs in Indonesia </w:t>
            </w:r>
          </w:p>
        </w:tc>
        <w:tc>
          <w:tcPr>
            <w:tcW w:w="1283" w:type="pct"/>
            <w:shd w:val="clear" w:color="auto" w:fill="F2F2F2" w:themeFill="background1" w:themeFillShade="F2"/>
          </w:tcPr>
          <w:p w:rsidR="002A309B" w:rsidRPr="003E3CFC" w:rsidRDefault="002A309B" w:rsidP="002A309B">
            <w:pPr>
              <w:spacing w:before="40" w:afterLines="40" w:after="96" w:line="240" w:lineRule="auto"/>
              <w:rPr>
                <w:rFonts w:cs="Helvetica"/>
              </w:rPr>
            </w:pPr>
            <w:r w:rsidRPr="003E3CFC">
              <w:rPr>
                <w:rFonts w:cs="Helvetica"/>
              </w:rPr>
              <w:t>PAF implementation continues to improve and contributes to decision-making. Planning is underway for new Aid Investment Plan.</w:t>
            </w:r>
          </w:p>
        </w:tc>
        <w:tc>
          <w:tcPr>
            <w:tcW w:w="1377" w:type="pct"/>
            <w:shd w:val="clear" w:color="auto" w:fill="F2F2F2" w:themeFill="background1" w:themeFillShade="F2"/>
          </w:tcPr>
          <w:p w:rsidR="002A309B" w:rsidRPr="000650AE" w:rsidRDefault="002A309B" w:rsidP="002A309B">
            <w:pPr>
              <w:spacing w:before="40" w:afterLines="40" w:after="96" w:line="240" w:lineRule="auto"/>
              <w:rPr>
                <w:rFonts w:cs="Helvetica"/>
              </w:rPr>
            </w:pPr>
            <w:r w:rsidRPr="000650AE">
              <w:rPr>
                <w:rFonts w:cs="Helvetica"/>
              </w:rPr>
              <w:t xml:space="preserve">Ministerial targets to 2020 are achieved. </w:t>
            </w:r>
          </w:p>
          <w:p w:rsidR="002A309B" w:rsidRPr="000650AE" w:rsidRDefault="002A309B" w:rsidP="002A309B">
            <w:pPr>
              <w:spacing w:before="40" w:afterLines="40" w:after="96" w:line="240" w:lineRule="auto"/>
              <w:rPr>
                <w:rFonts w:cs="Helvetica"/>
                <w:color w:val="auto"/>
              </w:rPr>
            </w:pPr>
          </w:p>
        </w:tc>
        <w:tc>
          <w:tcPr>
            <w:tcW w:w="1377" w:type="pct"/>
            <w:shd w:val="clear" w:color="auto" w:fill="F2F2F2" w:themeFill="background1" w:themeFillShade="F2"/>
          </w:tcPr>
          <w:p w:rsidR="002A309B" w:rsidRPr="003E3CFC" w:rsidRDefault="002A309B" w:rsidP="002A309B">
            <w:pPr>
              <w:spacing w:before="40" w:afterLines="40" w:after="96" w:line="240" w:lineRule="auto"/>
              <w:rPr>
                <w:rFonts w:cs="Helvetica"/>
              </w:rPr>
            </w:pPr>
          </w:p>
        </w:tc>
      </w:tr>
    </w:tbl>
    <w:p w:rsidR="00CA7DD8" w:rsidRDefault="00CA7DD8" w:rsidP="00784031"/>
    <w:p w:rsidR="00CA7DD8" w:rsidRDefault="00CA7DD8" w:rsidP="00784031">
      <w:pPr>
        <w:sectPr w:rsidR="00CA7DD8" w:rsidSect="008E3474">
          <w:headerReference w:type="default" r:id="rId44"/>
          <w:pgSz w:w="16838" w:h="11906" w:orient="landscape" w:code="9"/>
          <w:pgMar w:top="1134" w:right="1527" w:bottom="1134" w:left="851" w:header="1418" w:footer="267" w:gutter="0"/>
          <w:cols w:space="397"/>
          <w:docGrid w:linePitch="360"/>
        </w:sectPr>
      </w:pPr>
    </w:p>
    <w:p w:rsidR="006C4F09" w:rsidRPr="00EE1F4D" w:rsidRDefault="00334B3E" w:rsidP="00EE1F4D">
      <w:pPr>
        <w:spacing w:before="20" w:after="20" w:line="180" w:lineRule="atLeast"/>
        <w:rPr>
          <w:rFonts w:eastAsiaTheme="majorEastAsia" w:cstheme="majorBidi"/>
          <w:bCs/>
          <w:iCs/>
          <w:caps/>
          <w:spacing w:val="-10"/>
          <w:kern w:val="28"/>
          <w:sz w:val="38"/>
          <w:szCs w:val="24"/>
        </w:rPr>
      </w:pPr>
      <w:r w:rsidRPr="00715AB5">
        <w:rPr>
          <w:rFonts w:eastAsiaTheme="majorEastAsia" w:cstheme="majorBidi"/>
          <w:bCs/>
          <w:iCs/>
          <w:caps/>
          <w:spacing w:val="-10"/>
          <w:kern w:val="28"/>
          <w:sz w:val="38"/>
          <w:szCs w:val="24"/>
        </w:rPr>
        <w:t>ENDNOTES</w:t>
      </w:r>
    </w:p>
    <w:sectPr w:rsidR="006C4F09" w:rsidRPr="00EE1F4D" w:rsidSect="00CA7DD8">
      <w:headerReference w:type="default" r:id="rId45"/>
      <w:pgSz w:w="11906" w:h="16838" w:code="9"/>
      <w:pgMar w:top="1527" w:right="1134" w:bottom="851" w:left="1134" w:header="1418" w:footer="2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45F" w:rsidRDefault="0049045F" w:rsidP="00EF4574">
      <w:pPr>
        <w:spacing w:before="0" w:after="0" w:line="240" w:lineRule="auto"/>
      </w:pPr>
      <w:r>
        <w:separator/>
      </w:r>
    </w:p>
  </w:endnote>
  <w:endnote w:type="continuationSeparator" w:id="0">
    <w:p w:rsidR="0049045F" w:rsidRDefault="0049045F" w:rsidP="00EF4574">
      <w:pPr>
        <w:spacing w:before="0" w:after="0" w:line="240" w:lineRule="auto"/>
      </w:pPr>
      <w:r>
        <w:continuationSeparator/>
      </w:r>
    </w:p>
  </w:endnote>
  <w:endnote w:id="1">
    <w:p w:rsidR="0049045F" w:rsidRPr="00201AD7" w:rsidRDefault="0049045F">
      <w:pPr>
        <w:pStyle w:val="EndnoteText"/>
        <w:rPr>
          <w:lang w:val="en-AU"/>
        </w:rPr>
      </w:pPr>
      <w:r>
        <w:rPr>
          <w:rStyle w:val="EndnoteReference"/>
        </w:rPr>
        <w:endnoteRef/>
      </w:r>
      <w:r>
        <w:t xml:space="preserve"> </w:t>
      </w:r>
      <w:r>
        <w:rPr>
          <w:lang w:val="en-AU"/>
        </w:rPr>
        <w:t xml:space="preserve">Australian Government Foreign Policy White Paper 2017, </w:t>
      </w:r>
      <w:hyperlink r:id="rId1" w:history="1">
        <w:r w:rsidRPr="00401B79">
          <w:rPr>
            <w:rStyle w:val="Hyperlink"/>
            <w:rFonts w:cstheme="minorBidi"/>
            <w:lang w:val="en-AU"/>
          </w:rPr>
          <w:t>https://www.fpwhitepaper.gov.au/foreign-policy-white-paper</w:t>
        </w:r>
      </w:hyperlink>
    </w:p>
  </w:endnote>
  <w:endnote w:id="2">
    <w:p w:rsidR="0049045F" w:rsidRPr="00F612EC" w:rsidRDefault="0049045F">
      <w:pPr>
        <w:pStyle w:val="EndnoteText"/>
        <w:rPr>
          <w:lang w:val="en-AU"/>
        </w:rPr>
      </w:pPr>
      <w:r w:rsidRPr="00DB0B7F">
        <w:rPr>
          <w:rStyle w:val="EndnoteReference"/>
        </w:rPr>
        <w:endnoteRef/>
      </w:r>
      <w:r w:rsidRPr="00DB0B7F">
        <w:t xml:space="preserve"> </w:t>
      </w:r>
      <w:r w:rsidRPr="00DB0B7F">
        <w:rPr>
          <w:lang w:val="en-AU"/>
        </w:rPr>
        <w:t xml:space="preserve">Key Issues, International Monetary Fund Indonesia Staff Report for the 2019 Article IV Consultation: </w:t>
      </w:r>
      <w:hyperlink r:id="rId2" w:history="1">
        <w:r w:rsidRPr="00DB0B7F">
          <w:rPr>
            <w:rStyle w:val="Hyperlink"/>
            <w:rFonts w:cstheme="minorBidi"/>
            <w:lang w:val="en-AU"/>
          </w:rPr>
          <w:t>https://www.imf.org/en/Publications/CR/Issues/2019/07/30/Indonesia-2019-Article-IV-Consultation-Press-Release-Staff-Report-and-Statement-by-the-48535</w:t>
        </w:r>
      </w:hyperlink>
      <w:r>
        <w:rPr>
          <w:rStyle w:val="Hyperlink"/>
          <w:rFonts w:cstheme="minorBidi"/>
          <w:lang w:val="en-AU"/>
        </w:rPr>
        <w:t xml:space="preserve"> </w:t>
      </w:r>
    </w:p>
  </w:endnote>
  <w:endnote w:id="3">
    <w:p w:rsidR="0049045F" w:rsidRPr="00EE1F4D" w:rsidRDefault="0049045F">
      <w:pPr>
        <w:pStyle w:val="EndnoteText"/>
        <w:rPr>
          <w:rFonts w:cstheme="minorHAnsi"/>
          <w:lang w:val="en-AU"/>
        </w:rPr>
      </w:pPr>
      <w:r w:rsidRPr="00EE1F4D">
        <w:rPr>
          <w:rStyle w:val="EndnoteReference"/>
          <w:rFonts w:cstheme="minorHAnsi"/>
        </w:rPr>
        <w:endnoteRef/>
      </w:r>
      <w:r w:rsidRPr="00EE1F4D">
        <w:rPr>
          <w:rFonts w:cstheme="minorHAnsi"/>
        </w:rPr>
        <w:t xml:space="preserve"> </w:t>
      </w:r>
      <w:hyperlink r:id="rId3" w:history="1">
        <w:r w:rsidRPr="00EE1F4D">
          <w:rPr>
            <w:rStyle w:val="Hyperlink"/>
            <w:rFonts w:cstheme="minorHAnsi"/>
          </w:rPr>
          <w:t>https://jakartaglobe.id/context/most-indonesians-consider-2019-elections-honest-and-fair-survey</w:t>
        </w:r>
      </w:hyperlink>
    </w:p>
  </w:endnote>
  <w:endnote w:id="4">
    <w:p w:rsidR="0049045F" w:rsidRPr="00786D6E" w:rsidRDefault="0049045F">
      <w:pPr>
        <w:pStyle w:val="EndnoteText"/>
        <w:rPr>
          <w:lang w:val="en-AU"/>
        </w:rPr>
      </w:pPr>
      <w:r>
        <w:rPr>
          <w:rStyle w:val="EndnoteReference"/>
        </w:rPr>
        <w:endnoteRef/>
      </w:r>
      <w:r>
        <w:t xml:space="preserve"> </w:t>
      </w:r>
      <w:hyperlink r:id="rId4" w:history="1">
        <w:r w:rsidRPr="00401B79">
          <w:rPr>
            <w:rStyle w:val="Hyperlink"/>
            <w:rFonts w:cstheme="minorBidi"/>
          </w:rPr>
          <w:t>https://databank.worldbank.org/data/download/hci/HCI_2pager_IDN.pdf</w:t>
        </w:r>
      </w:hyperlink>
      <w:r>
        <w:t xml:space="preserve"> </w:t>
      </w:r>
    </w:p>
  </w:endnote>
  <w:endnote w:id="5">
    <w:p w:rsidR="0049045F" w:rsidRPr="00334B3E" w:rsidRDefault="0049045F">
      <w:pPr>
        <w:pStyle w:val="EndnoteText"/>
        <w:rPr>
          <w:lang w:val="en-AU"/>
        </w:rPr>
      </w:pPr>
      <w:r w:rsidRPr="00334B3E">
        <w:rPr>
          <w:rStyle w:val="EndnoteReference"/>
        </w:rPr>
        <w:endnoteRef/>
      </w:r>
      <w:r w:rsidRPr="00334B3E">
        <w:t xml:space="preserve"> </w:t>
      </w:r>
      <w:r w:rsidRPr="00334B3E">
        <w:rPr>
          <w:lang w:val="en-AU"/>
        </w:rPr>
        <w:t>World Bank</w:t>
      </w:r>
      <w:r>
        <w:rPr>
          <w:lang w:val="en-AU"/>
        </w:rPr>
        <w:t>:</w:t>
      </w:r>
      <w:r w:rsidRPr="00334B3E">
        <w:rPr>
          <w:lang w:val="en-AU"/>
        </w:rPr>
        <w:t xml:space="preserve"> Indonesia Economic Quarterly Report </w:t>
      </w:r>
      <w:r>
        <w:rPr>
          <w:lang w:val="en-AU"/>
        </w:rPr>
        <w:t>June 2018</w:t>
      </w:r>
    </w:p>
  </w:endnote>
  <w:endnote w:id="6">
    <w:p w:rsidR="0049045F" w:rsidRPr="00EE1F4D" w:rsidRDefault="0049045F">
      <w:pPr>
        <w:pStyle w:val="EndnoteText"/>
        <w:rPr>
          <w:rFonts w:cstheme="minorHAnsi"/>
        </w:rPr>
      </w:pPr>
      <w:r w:rsidRPr="00EE1F4D">
        <w:rPr>
          <w:rStyle w:val="EndnoteReference"/>
          <w:rFonts w:cstheme="minorHAnsi"/>
        </w:rPr>
        <w:endnoteRef/>
      </w:r>
      <w:r w:rsidRPr="00EE1F4D">
        <w:rPr>
          <w:rFonts w:cstheme="minorHAnsi"/>
        </w:rPr>
        <w:t xml:space="preserve"> </w:t>
      </w:r>
      <w:hyperlink r:id="rId5" w:history="1">
        <w:r w:rsidRPr="00EE1F4D">
          <w:rPr>
            <w:rStyle w:val="Hyperlink"/>
            <w:rFonts w:cstheme="minorHAnsi"/>
          </w:rPr>
          <w:t>http://dibi.bnpb.go.id/dibi/</w:t>
        </w:r>
      </w:hyperlink>
      <w:r w:rsidRPr="00EE1F4D">
        <w:rPr>
          <w:rFonts w:cstheme="minorHAnsi"/>
        </w:rPr>
        <w:t xml:space="preserve">; </w:t>
      </w:r>
      <w:hyperlink r:id="rId6" w:history="1">
        <w:r w:rsidRPr="00EE1F4D">
          <w:rPr>
            <w:rStyle w:val="Hyperlink"/>
            <w:rFonts w:cstheme="minorHAnsi"/>
          </w:rPr>
          <w:t>https://reliefweb.int/report/indonesia/indonesia-and-un-work-closely-disaster-prevention-following-2018-disaster-death</w:t>
        </w:r>
      </w:hyperlink>
    </w:p>
  </w:endnote>
  <w:endnote w:id="7">
    <w:p w:rsidR="0049045F" w:rsidRPr="00EE1F4D" w:rsidRDefault="0049045F">
      <w:pPr>
        <w:pStyle w:val="EndnoteText"/>
        <w:rPr>
          <w:rFonts w:cstheme="minorHAnsi"/>
          <w:lang w:val="en-AU"/>
        </w:rPr>
      </w:pPr>
      <w:r w:rsidRPr="00EE1F4D">
        <w:rPr>
          <w:rStyle w:val="EndnoteReference"/>
          <w:rFonts w:cstheme="minorHAnsi"/>
        </w:rPr>
        <w:endnoteRef/>
      </w:r>
      <w:r w:rsidRPr="00EE1F4D">
        <w:rPr>
          <w:rFonts w:cstheme="minorHAnsi"/>
        </w:rPr>
        <w:t xml:space="preserve"> </w:t>
      </w:r>
      <w:hyperlink r:id="rId7" w:history="1">
        <w:r w:rsidRPr="00EE1F4D">
          <w:rPr>
            <w:rStyle w:val="Hyperlink"/>
            <w:rFonts w:cstheme="minorHAnsi"/>
          </w:rPr>
          <w:t>https://reliefweb.int/report/indonesia/impact-lombok-earthquake-460-died-and-idr-745-trillion-economic-loss</w:t>
        </w:r>
      </w:hyperlink>
    </w:p>
  </w:endnote>
  <w:endnote w:id="8">
    <w:p w:rsidR="0049045F" w:rsidRPr="00EE1F4D" w:rsidRDefault="0049045F">
      <w:pPr>
        <w:pStyle w:val="EndnoteText"/>
        <w:rPr>
          <w:rFonts w:cstheme="minorHAnsi"/>
          <w:lang w:val="en-AU"/>
        </w:rPr>
      </w:pPr>
      <w:r w:rsidRPr="00EE1F4D">
        <w:rPr>
          <w:rStyle w:val="EndnoteReference"/>
          <w:rFonts w:cstheme="minorHAnsi"/>
        </w:rPr>
        <w:endnoteRef/>
      </w:r>
      <w:r w:rsidRPr="00EE1F4D">
        <w:rPr>
          <w:rFonts w:cstheme="minorHAnsi"/>
        </w:rPr>
        <w:t xml:space="preserve"> </w:t>
      </w:r>
      <w:hyperlink r:id="rId8" w:history="1">
        <w:r w:rsidRPr="00EE1F4D">
          <w:rPr>
            <w:rStyle w:val="Hyperlink"/>
            <w:rFonts w:cstheme="minorHAnsi"/>
          </w:rPr>
          <w:t>https://reliefweb.int/report/indonesia/central-sulawesi-recovery-will-take-3-years-official-says</w:t>
        </w:r>
      </w:hyperlink>
    </w:p>
  </w:endnote>
  <w:endnote w:id="9">
    <w:p w:rsidR="0049045F" w:rsidRPr="00EE1F4D" w:rsidRDefault="0049045F" w:rsidP="00EE1F4D">
      <w:pPr>
        <w:spacing w:before="0" w:after="0"/>
        <w:rPr>
          <w:sz w:val="20"/>
          <w:szCs w:val="20"/>
          <w:lang w:val="en-AU"/>
        </w:rPr>
      </w:pPr>
      <w:r w:rsidRPr="00EE1F4D">
        <w:rPr>
          <w:rStyle w:val="EndnoteReference"/>
          <w:sz w:val="20"/>
          <w:szCs w:val="20"/>
        </w:rPr>
        <w:endnoteRef/>
      </w:r>
      <w:r w:rsidRPr="00EE1F4D">
        <w:rPr>
          <w:sz w:val="20"/>
          <w:szCs w:val="20"/>
        </w:rPr>
        <w:t xml:space="preserve"> </w:t>
      </w:r>
      <w:r w:rsidRPr="00EE1F4D">
        <w:rPr>
          <w:rFonts w:cstheme="minorHAnsi"/>
          <w:sz w:val="20"/>
          <w:szCs w:val="20"/>
        </w:rPr>
        <w:t xml:space="preserve">IMF 2019 </w:t>
      </w:r>
      <w:hyperlink r:id="rId9" w:history="1">
        <w:r w:rsidRPr="00EE1F4D">
          <w:rPr>
            <w:rFonts w:cstheme="minorHAnsi"/>
            <w:sz w:val="20"/>
            <w:szCs w:val="20"/>
          </w:rPr>
          <w:t>https://www.imf.org/en/Publications/CR/Issues/2019/07/30/Indonesia-2019-Article-IV-Consultation-Press-Release-Staff-Report-and-Statement-by-the-48535</w:t>
        </w:r>
      </w:hyperlink>
      <w:r w:rsidRPr="00EE1F4D">
        <w:rPr>
          <w:rFonts w:cstheme="minorHAnsi"/>
          <w:sz w:val="20"/>
          <w:szCs w:val="20"/>
        </w:rPr>
        <w:t xml:space="preserve"> </w:t>
      </w:r>
    </w:p>
  </w:endnote>
  <w:endnote w:id="10">
    <w:p w:rsidR="0049045F" w:rsidRPr="00F55115" w:rsidRDefault="0049045F">
      <w:pPr>
        <w:pStyle w:val="EndnoteText"/>
        <w:rPr>
          <w:lang w:val="en-AU"/>
        </w:rPr>
      </w:pPr>
      <w:r>
        <w:rPr>
          <w:rStyle w:val="EndnoteReference"/>
        </w:rPr>
        <w:endnoteRef/>
      </w:r>
      <w:r>
        <w:t xml:space="preserve"> </w:t>
      </w:r>
      <w:r w:rsidRPr="00F55115">
        <w:t>A</w:t>
      </w:r>
      <w:r>
        <w:t>ustralia-</w:t>
      </w:r>
      <w:r w:rsidRPr="00F55115">
        <w:t>I</w:t>
      </w:r>
      <w:r>
        <w:t>ndonesia</w:t>
      </w:r>
      <w:r w:rsidRPr="00F55115">
        <w:t xml:space="preserve"> Economic Cooperation Partnership (PROSPERA)</w:t>
      </w:r>
      <w:r>
        <w:t>, 2018-2023, AUD145,000,000</w:t>
      </w:r>
    </w:p>
  </w:endnote>
  <w:endnote w:id="11">
    <w:p w:rsidR="0049045F" w:rsidRPr="00EE1F4D" w:rsidRDefault="0049045F">
      <w:pPr>
        <w:pStyle w:val="EndnoteText"/>
        <w:rPr>
          <w:lang w:val="en-AU"/>
        </w:rPr>
      </w:pPr>
      <w:r w:rsidRPr="00334B3E">
        <w:rPr>
          <w:rStyle w:val="EndnoteReference"/>
        </w:rPr>
        <w:endnoteRef/>
      </w:r>
      <w:r w:rsidRPr="00334B3E">
        <w:rPr>
          <w:lang w:val="en-AU"/>
        </w:rPr>
        <w:t xml:space="preserve">The World Bank Indonesia Economic Quarterly, </w:t>
      </w:r>
      <w:r w:rsidRPr="004338FA">
        <w:rPr>
          <w:i/>
        </w:rPr>
        <w:t>Closing the Gap</w:t>
      </w:r>
      <w:r w:rsidRPr="00334B3E">
        <w:rPr>
          <w:lang w:val="en-AU"/>
        </w:rPr>
        <w:t xml:space="preserve"> 2017</w:t>
      </w:r>
    </w:p>
  </w:endnote>
  <w:endnote w:id="12">
    <w:p w:rsidR="0049045F" w:rsidRPr="00BF4F0B" w:rsidRDefault="0049045F">
      <w:pPr>
        <w:pStyle w:val="EndnoteText"/>
        <w:rPr>
          <w:lang w:val="en-AU"/>
        </w:rPr>
      </w:pPr>
      <w:r>
        <w:rPr>
          <w:rStyle w:val="EndnoteReference"/>
        </w:rPr>
        <w:endnoteRef/>
      </w:r>
      <w:r>
        <w:t xml:space="preserve"> Indonesia Infrastructure Program (KIAT) 2016-2021,</w:t>
      </w:r>
      <w:r w:rsidRPr="00BF4F0B">
        <w:t xml:space="preserve"> </w:t>
      </w:r>
      <w:r>
        <w:t>AUD150,000,000; Water &amp; Sanitation Hibah Phase 2, 2009-2019, $119,656,290; Infrastructure Grants Municipal Sanitation (SAIIG), 2012-2020, AUD40,000,250; Palembang City Sewerage Project, 2017-2022, AUD45,000,200; and Provincial Road Improvement &amp; Maintenance (PRIM), 2014-2021, AUD378,730,067.</w:t>
      </w:r>
    </w:p>
  </w:endnote>
  <w:endnote w:id="13">
    <w:p w:rsidR="0049045F" w:rsidRPr="00EE1F4D" w:rsidRDefault="0049045F" w:rsidP="00EE1F4D">
      <w:pPr>
        <w:spacing w:before="0" w:after="0" w:line="240" w:lineRule="auto"/>
        <w:rPr>
          <w:sz w:val="20"/>
          <w:szCs w:val="20"/>
        </w:rPr>
      </w:pPr>
      <w:r w:rsidRPr="00EE1F4D">
        <w:rPr>
          <w:rStyle w:val="EndnoteReference"/>
          <w:sz w:val="20"/>
          <w:szCs w:val="20"/>
        </w:rPr>
        <w:endnoteRef/>
      </w:r>
      <w:r w:rsidRPr="00EE1F4D">
        <w:rPr>
          <w:sz w:val="20"/>
          <w:szCs w:val="20"/>
        </w:rPr>
        <w:t xml:space="preserve"> </w:t>
      </w:r>
      <w:r>
        <w:rPr>
          <w:rFonts w:cstheme="minorHAnsi"/>
          <w:sz w:val="20"/>
          <w:szCs w:val="20"/>
        </w:rPr>
        <w:t>Australian support has</w:t>
      </w:r>
      <w:r w:rsidRPr="00EE1F4D">
        <w:rPr>
          <w:rFonts w:cstheme="minorHAnsi"/>
          <w:sz w:val="20"/>
          <w:szCs w:val="20"/>
        </w:rPr>
        <w:t xml:space="preserve"> helped Indonesian government programs to leverage more funding to improve agrarian reform (AUD284 million from IBRD and AUD57 million from the Indonesian government), improve urban water access (AUD142 million from </w:t>
      </w:r>
      <w:r>
        <w:rPr>
          <w:rFonts w:cstheme="minorHAnsi"/>
          <w:sz w:val="20"/>
          <w:szCs w:val="20"/>
        </w:rPr>
        <w:t>the World Bank’s International Bank for Reconstruction and Development (</w:t>
      </w:r>
      <w:r w:rsidRPr="00EE1F4D">
        <w:rPr>
          <w:rFonts w:cstheme="minorHAnsi"/>
          <w:sz w:val="20"/>
          <w:szCs w:val="20"/>
        </w:rPr>
        <w:t>IBRD</w:t>
      </w:r>
      <w:r>
        <w:rPr>
          <w:rFonts w:cstheme="minorHAnsi"/>
          <w:sz w:val="20"/>
          <w:szCs w:val="20"/>
        </w:rPr>
        <w:t>)</w:t>
      </w:r>
      <w:r w:rsidRPr="00EE1F4D">
        <w:rPr>
          <w:rFonts w:cstheme="minorHAnsi"/>
          <w:sz w:val="20"/>
          <w:szCs w:val="20"/>
        </w:rPr>
        <w:t xml:space="preserve"> and AUD714 million from the Indonesian government), and strengthen irrigation systems (AUD355 million from IBDR, AUD355 million from the Asia Development Bank, and AUD111 million from the Indonesian government).</w:t>
      </w:r>
    </w:p>
  </w:endnote>
  <w:endnote w:id="14">
    <w:p w:rsidR="0049045F" w:rsidRPr="008E7399" w:rsidRDefault="0049045F">
      <w:pPr>
        <w:pStyle w:val="EndnoteText"/>
        <w:rPr>
          <w:lang w:val="en-AU"/>
        </w:rPr>
      </w:pPr>
      <w:r>
        <w:rPr>
          <w:rStyle w:val="EndnoteReference"/>
        </w:rPr>
        <w:endnoteRef/>
      </w:r>
      <w:r>
        <w:t xml:space="preserve"> </w:t>
      </w:r>
      <w:r>
        <w:rPr>
          <w:lang w:val="en-AU"/>
        </w:rPr>
        <w:t>PRIM</w:t>
      </w:r>
    </w:p>
  </w:endnote>
  <w:endnote w:id="15">
    <w:p w:rsidR="0049045F" w:rsidRPr="00EE1F4D" w:rsidRDefault="0049045F">
      <w:pPr>
        <w:pStyle w:val="EndnoteText"/>
        <w:rPr>
          <w:rFonts w:cstheme="minorHAnsi"/>
        </w:rPr>
      </w:pPr>
      <w:r w:rsidRPr="00EE1F4D">
        <w:rPr>
          <w:rStyle w:val="EndnoteReference"/>
          <w:rFonts w:cstheme="minorHAnsi"/>
        </w:rPr>
        <w:endnoteRef/>
      </w:r>
      <w:r w:rsidRPr="00EE1F4D">
        <w:rPr>
          <w:rFonts w:cstheme="minorHAnsi"/>
        </w:rPr>
        <w:t xml:space="preserve"> IMF (2017), </w:t>
      </w:r>
      <w:r w:rsidRPr="00EE1F4D">
        <w:rPr>
          <w:rFonts w:cstheme="minorHAnsi"/>
          <w:i/>
        </w:rPr>
        <w:t>Indonesia : 2017 Article IV Consultation-Press Release; Staff Report; and Statement by the Executive Director for Indonesia</w:t>
      </w:r>
      <w:r w:rsidRPr="00EE1F4D">
        <w:rPr>
          <w:rFonts w:cstheme="minorHAnsi"/>
        </w:rPr>
        <w:t xml:space="preserve">, </w:t>
      </w:r>
      <w:hyperlink r:id="rId10" w:history="1">
        <w:r w:rsidRPr="00EE1F4D">
          <w:rPr>
            <w:rStyle w:val="Hyperlink"/>
            <w:rFonts w:cstheme="minorHAnsi"/>
          </w:rPr>
          <w:t>https://www.imf.org/~/media/Files/Publications/CR/2018/cr1832.ashx</w:t>
        </w:r>
      </w:hyperlink>
    </w:p>
  </w:endnote>
  <w:endnote w:id="16">
    <w:p w:rsidR="0049045F" w:rsidRPr="00EE1F4D" w:rsidRDefault="0049045F">
      <w:pPr>
        <w:pStyle w:val="EndnoteText"/>
        <w:rPr>
          <w:rFonts w:cstheme="minorHAnsi"/>
        </w:rPr>
      </w:pPr>
      <w:r w:rsidRPr="00EE1F4D">
        <w:rPr>
          <w:rStyle w:val="EndnoteReference"/>
          <w:rFonts w:cstheme="minorHAnsi"/>
        </w:rPr>
        <w:endnoteRef/>
      </w:r>
      <w:r w:rsidRPr="00EE1F4D">
        <w:rPr>
          <w:rFonts w:cstheme="minorHAnsi"/>
        </w:rPr>
        <w:t xml:space="preserve"> </w:t>
      </w:r>
      <w:r>
        <w:rPr>
          <w:rFonts w:cstheme="minorHAnsi"/>
        </w:rPr>
        <w:t>The Asia Development Bank</w:t>
      </w:r>
      <w:r w:rsidRPr="00EE1F4D">
        <w:rPr>
          <w:rFonts w:cstheme="minorHAnsi"/>
        </w:rPr>
        <w:t xml:space="preserve"> (2016), </w:t>
      </w:r>
      <w:r w:rsidRPr="00EE1F4D">
        <w:rPr>
          <w:rFonts w:cstheme="minorHAnsi"/>
          <w:i/>
        </w:rPr>
        <w:t>Analysis of Trends and Challenges in the Indonesian Labor Market</w:t>
      </w:r>
      <w:r w:rsidRPr="00EE1F4D">
        <w:rPr>
          <w:rFonts w:cstheme="minorHAnsi"/>
        </w:rPr>
        <w:t xml:space="preserve">, </w:t>
      </w:r>
      <w:hyperlink r:id="rId11" w:history="1">
        <w:r w:rsidRPr="00EE1F4D">
          <w:rPr>
            <w:rStyle w:val="Hyperlink"/>
            <w:rFonts w:cstheme="minorHAnsi"/>
          </w:rPr>
          <w:t>https://www.adb.org/publications/analysis-trends-and-challenges-indonesian-labor-market</w:t>
        </w:r>
      </w:hyperlink>
    </w:p>
  </w:endnote>
  <w:endnote w:id="17">
    <w:p w:rsidR="0049045F" w:rsidRPr="00EE1F4D" w:rsidRDefault="0049045F">
      <w:pPr>
        <w:pStyle w:val="EndnoteText"/>
        <w:rPr>
          <w:rFonts w:cstheme="minorHAnsi"/>
        </w:rPr>
      </w:pPr>
      <w:r w:rsidRPr="00EE1F4D">
        <w:rPr>
          <w:rStyle w:val="EndnoteReference"/>
          <w:rFonts w:cstheme="minorHAnsi"/>
        </w:rPr>
        <w:endnoteRef/>
      </w:r>
      <w:r w:rsidRPr="00EE1F4D">
        <w:rPr>
          <w:rFonts w:cstheme="minorHAnsi"/>
        </w:rPr>
        <w:t xml:space="preserve"> McKinsey (2016), </w:t>
      </w:r>
      <w:r w:rsidRPr="00EE1F4D">
        <w:rPr>
          <w:rFonts w:cstheme="minorHAnsi"/>
          <w:i/>
        </w:rPr>
        <w:t>Unlocking Indonesia’s digital opportunity</w:t>
      </w:r>
      <w:r w:rsidRPr="00EE1F4D">
        <w:rPr>
          <w:rFonts w:cstheme="minorHAnsi"/>
        </w:rPr>
        <w:t xml:space="preserve">, </w:t>
      </w:r>
      <w:hyperlink r:id="rId12" w:history="1">
        <w:r w:rsidRPr="00EE1F4D">
          <w:rPr>
            <w:rStyle w:val="Hyperlink"/>
            <w:rFonts w:cstheme="minorHAnsi"/>
          </w:rPr>
          <w:t>https://www.mckinsey.com/featured-insights/asia-pacific/unlocking-indonesias-digital-opportunity</w:t>
        </w:r>
      </w:hyperlink>
      <w:r w:rsidRPr="00EE1F4D">
        <w:rPr>
          <w:rStyle w:val="Hyperlink"/>
          <w:rFonts w:cstheme="minorHAnsi"/>
        </w:rPr>
        <w:t xml:space="preserve"> </w:t>
      </w:r>
    </w:p>
  </w:endnote>
  <w:endnote w:id="18">
    <w:p w:rsidR="0049045F" w:rsidRPr="008E7399" w:rsidRDefault="0049045F">
      <w:pPr>
        <w:pStyle w:val="EndnoteText"/>
        <w:rPr>
          <w:lang w:val="en-AU"/>
        </w:rPr>
      </w:pPr>
      <w:r>
        <w:rPr>
          <w:rStyle w:val="EndnoteReference"/>
        </w:rPr>
        <w:endnoteRef/>
      </w:r>
      <w:r>
        <w:t xml:space="preserve"> </w:t>
      </w:r>
      <w:r>
        <w:rPr>
          <w:lang w:val="en-AU"/>
        </w:rPr>
        <w:t>PROSPERA</w:t>
      </w:r>
    </w:p>
  </w:endnote>
  <w:endnote w:id="19">
    <w:p w:rsidR="0049045F" w:rsidRPr="00F758AF" w:rsidRDefault="0049045F" w:rsidP="00DC0AB2">
      <w:pPr>
        <w:pStyle w:val="EndnoteText"/>
        <w:rPr>
          <w:lang w:val="en-AU"/>
        </w:rPr>
      </w:pPr>
      <w:r>
        <w:rPr>
          <w:rStyle w:val="EndnoteReference"/>
        </w:rPr>
        <w:endnoteRef/>
      </w:r>
      <w:r>
        <w:t xml:space="preserve"> </w:t>
      </w:r>
      <w:r w:rsidRPr="00F758AF">
        <w:t>AIP Rural Economic Development Program</w:t>
      </w:r>
      <w:r>
        <w:t>, 2010-2019, AUD112,000,000</w:t>
      </w:r>
    </w:p>
  </w:endnote>
  <w:endnote w:id="20">
    <w:p w:rsidR="0049045F" w:rsidRPr="008E7399" w:rsidRDefault="0049045F" w:rsidP="00DC0AB2">
      <w:pPr>
        <w:pStyle w:val="EndnoteText"/>
        <w:rPr>
          <w:rFonts w:cstheme="minorHAnsi"/>
        </w:rPr>
      </w:pPr>
      <w:r w:rsidRPr="00334B3E">
        <w:rPr>
          <w:rStyle w:val="EndnoteReference"/>
        </w:rPr>
        <w:endnoteRef/>
      </w:r>
      <w:r w:rsidRPr="00334B3E">
        <w:t xml:space="preserve"> </w:t>
      </w:r>
      <w:r w:rsidRPr="00EE1F4D">
        <w:rPr>
          <w:rFonts w:cstheme="minorHAnsi"/>
        </w:rPr>
        <w:t>345,001 households comprises 1,006,862 individual farmers (424,269 female, 571,867 men and 10,726 gender unknown).</w:t>
      </w:r>
      <w:r w:rsidRPr="00334B3E">
        <w:t xml:space="preserve">  </w:t>
      </w:r>
    </w:p>
  </w:endnote>
  <w:endnote w:id="21">
    <w:p w:rsidR="0049045F" w:rsidRPr="00576369" w:rsidRDefault="0049045F">
      <w:pPr>
        <w:pStyle w:val="EndnoteText"/>
        <w:rPr>
          <w:lang w:val="en-AU"/>
        </w:rPr>
      </w:pPr>
      <w:r>
        <w:rPr>
          <w:rStyle w:val="EndnoteReference"/>
        </w:rPr>
        <w:endnoteRef/>
      </w:r>
      <w:r>
        <w:t xml:space="preserve"> </w:t>
      </w:r>
      <w:r w:rsidRPr="006D1F86">
        <w:rPr>
          <w:i/>
        </w:rPr>
        <w:t>AIP Rural l</w:t>
      </w:r>
      <w:r w:rsidRPr="006D1F86">
        <w:rPr>
          <w:i/>
          <w:lang w:val="en-AU"/>
        </w:rPr>
        <w:t>ink to be added</w:t>
      </w:r>
    </w:p>
  </w:endnote>
  <w:endnote w:id="22">
    <w:p w:rsidR="0049045F" w:rsidRPr="00EE1F4D" w:rsidRDefault="0049045F" w:rsidP="0050410E">
      <w:pPr>
        <w:pStyle w:val="EndnoteText"/>
        <w:rPr>
          <w:rFonts w:cstheme="minorHAnsi"/>
        </w:rPr>
      </w:pPr>
      <w:r w:rsidRPr="00EE1F4D">
        <w:rPr>
          <w:rStyle w:val="EndnoteReference"/>
          <w:rFonts w:cstheme="minorHAnsi"/>
        </w:rPr>
        <w:endnoteRef/>
      </w:r>
      <w:r w:rsidRPr="00EE1F4D">
        <w:rPr>
          <w:rFonts w:cstheme="minorHAnsi"/>
        </w:rPr>
        <w:t xml:space="preserve"> The I</w:t>
      </w:r>
      <w:r>
        <w:rPr>
          <w:rFonts w:cstheme="minorHAnsi"/>
        </w:rPr>
        <w:t>ndonesian national poverty line</w:t>
      </w:r>
      <w:r w:rsidRPr="00EE1F4D">
        <w:rPr>
          <w:rFonts w:cstheme="minorHAnsi"/>
        </w:rPr>
        <w:t xml:space="preserve"> is a weighted average of rural and urban provincial poverty lines, based on the average cost of</w:t>
      </w:r>
      <w:r>
        <w:rPr>
          <w:rFonts w:cstheme="minorHAnsi"/>
        </w:rPr>
        <w:t xml:space="preserve"> basic needs in each location. </w:t>
      </w:r>
      <w:r w:rsidRPr="00EE1F4D">
        <w:rPr>
          <w:rFonts w:cstheme="minorHAnsi"/>
        </w:rPr>
        <w:t>Poor are defined as those who spend l</w:t>
      </w:r>
      <w:r>
        <w:rPr>
          <w:rFonts w:cstheme="minorHAnsi"/>
        </w:rPr>
        <w:t xml:space="preserve">ess than IDR 420,250 per month. </w:t>
      </w:r>
      <w:r w:rsidRPr="00EE1F4D">
        <w:rPr>
          <w:rFonts w:cstheme="minorHAnsi"/>
        </w:rPr>
        <w:t>In March 2018, Indonesia’s poverty rated dropped to single digits for the first time.</w:t>
      </w:r>
      <w:r w:rsidRPr="00334B3E">
        <w:t xml:space="preserve">  </w:t>
      </w:r>
    </w:p>
  </w:endnote>
  <w:endnote w:id="23">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World Bank</w:t>
      </w:r>
      <w:r>
        <w:rPr>
          <w:rFonts w:cstheme="minorHAnsi"/>
        </w:rPr>
        <w:t>: Indonesia Poverty &amp; Equity Brief April 2019</w:t>
      </w:r>
      <w:r>
        <w:t xml:space="preserve"> </w:t>
      </w:r>
      <w:r w:rsidRPr="00834289">
        <w:rPr>
          <w:rFonts w:cstheme="minorHAnsi"/>
        </w:rPr>
        <w:t>http://povertydata.worldbank.org/poverty/country/IDN</w:t>
      </w:r>
    </w:p>
  </w:endnote>
  <w:endnote w:id="24">
    <w:p w:rsidR="0049045F" w:rsidRPr="00F758AF" w:rsidRDefault="0049045F">
      <w:pPr>
        <w:pStyle w:val="EndnoteText"/>
        <w:rPr>
          <w:lang w:val="en-AU"/>
        </w:rPr>
      </w:pPr>
      <w:r>
        <w:rPr>
          <w:rStyle w:val="EndnoteReference"/>
        </w:rPr>
        <w:endnoteRef/>
      </w:r>
      <w:r>
        <w:t xml:space="preserve"> Towards a Strong and Prosperous Indonesian Society (MAHKOTA), 2015-2019, AUD63,001,000</w:t>
      </w:r>
    </w:p>
  </w:endnote>
  <w:endnote w:id="25">
    <w:p w:rsidR="0049045F" w:rsidRPr="00F758AF" w:rsidRDefault="0049045F">
      <w:pPr>
        <w:pStyle w:val="EndnoteText"/>
        <w:rPr>
          <w:lang w:val="en-AU"/>
        </w:rPr>
      </w:pPr>
      <w:r>
        <w:rPr>
          <w:rStyle w:val="EndnoteReference"/>
        </w:rPr>
        <w:endnoteRef/>
      </w:r>
      <w:r>
        <w:t xml:space="preserve"> </w:t>
      </w:r>
      <w:r>
        <w:rPr>
          <w:lang w:val="en-AU"/>
        </w:rPr>
        <w:t xml:space="preserve">MAHKOTA; </w:t>
      </w:r>
      <w:r w:rsidRPr="00F758AF">
        <w:rPr>
          <w:lang w:val="en-AU"/>
        </w:rPr>
        <w:t>Partnership for Knowledge-based Poverty Reduction</w:t>
      </w:r>
      <w:r>
        <w:rPr>
          <w:lang w:val="en-AU"/>
        </w:rPr>
        <w:t xml:space="preserve"> (PKPR), 2016-2019, AUD4,905,00</w:t>
      </w:r>
    </w:p>
  </w:endnote>
  <w:endnote w:id="26">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w:t>
      </w:r>
      <w:r w:rsidRPr="00EE1F4D">
        <w:rPr>
          <w:rFonts w:cstheme="minorHAnsi"/>
          <w:lang w:val="en-US"/>
        </w:rPr>
        <w:t>BPNT operations assessment, microsave consulting Jan 2019</w:t>
      </w:r>
    </w:p>
  </w:endnote>
  <w:endnote w:id="27">
    <w:p w:rsidR="0049045F" w:rsidRPr="008968DE" w:rsidRDefault="0049045F">
      <w:pPr>
        <w:pStyle w:val="EndnoteText"/>
        <w:rPr>
          <w:lang w:val="en-AU"/>
        </w:rPr>
      </w:pPr>
      <w:r>
        <w:rPr>
          <w:rStyle w:val="EndnoteReference"/>
        </w:rPr>
        <w:endnoteRef/>
      </w:r>
      <w:r>
        <w:t xml:space="preserve"> </w:t>
      </w:r>
      <w:r>
        <w:rPr>
          <w:lang w:val="en-AU"/>
        </w:rPr>
        <w:t>PKPR</w:t>
      </w:r>
    </w:p>
  </w:endnote>
  <w:endnote w:id="28">
    <w:p w:rsidR="0049045F" w:rsidRPr="00EE1F4D" w:rsidRDefault="0049045F" w:rsidP="0075230C">
      <w:pPr>
        <w:pStyle w:val="EndnoteText"/>
        <w:rPr>
          <w:rFonts w:cstheme="minorHAnsi"/>
        </w:rPr>
      </w:pPr>
      <w:r w:rsidRPr="00EE1F4D">
        <w:rPr>
          <w:rStyle w:val="EndnoteReference"/>
          <w:rFonts w:cstheme="minorHAnsi"/>
        </w:rPr>
        <w:endnoteRef/>
      </w:r>
      <w:r w:rsidRPr="00EE1F4D">
        <w:rPr>
          <w:rFonts w:cstheme="minorHAnsi"/>
        </w:rPr>
        <w:t xml:space="preserve"> </w:t>
      </w:r>
      <w:r w:rsidRPr="00EE1F4D">
        <w:rPr>
          <w:rFonts w:cstheme="minorHAnsi"/>
          <w:lang w:val="en-US"/>
        </w:rPr>
        <w:t>Cahyadi et al (2018) Cumulative impacts of Conditional Cash Transfer programs: experimental evidence from Indonesia</w:t>
      </w:r>
    </w:p>
  </w:endnote>
  <w:endnote w:id="29">
    <w:p w:rsidR="0049045F" w:rsidRPr="00334B3E" w:rsidRDefault="0049045F">
      <w:pPr>
        <w:pStyle w:val="EndnoteText"/>
        <w:rPr>
          <w:lang w:val="en-AU"/>
        </w:rPr>
      </w:pPr>
      <w:r w:rsidRPr="00334B3E">
        <w:rPr>
          <w:rStyle w:val="EndnoteReference"/>
        </w:rPr>
        <w:endnoteRef/>
      </w:r>
      <w:r w:rsidRPr="007400A5">
        <w:rPr>
          <w:sz w:val="18"/>
          <w:szCs w:val="18"/>
        </w:rPr>
        <w:t xml:space="preserve">Targeting poverty under complementarities: Evidence from Indonesia's unified targeting system, Journal of Development Economics, </w:t>
      </w:r>
      <w:hyperlink r:id="rId13" w:anchor="appsec1" w:history="1">
        <w:r w:rsidRPr="007400A5">
          <w:rPr>
            <w:rStyle w:val="Hyperlink"/>
            <w:sz w:val="18"/>
            <w:szCs w:val="18"/>
          </w:rPr>
          <w:t>https://www.sciencedirect.com/science/article/pii/S030438781830573X#appsec1</w:t>
        </w:r>
      </w:hyperlink>
      <w:r>
        <w:rPr>
          <w:rStyle w:val="Hyperlink"/>
          <w:sz w:val="18"/>
          <w:szCs w:val="18"/>
        </w:rPr>
        <w:t xml:space="preserve"> </w:t>
      </w:r>
    </w:p>
  </w:endnote>
  <w:endnote w:id="30">
    <w:p w:rsidR="0049045F" w:rsidRPr="00334B3E" w:rsidRDefault="0049045F">
      <w:pPr>
        <w:pStyle w:val="EndnoteText"/>
        <w:rPr>
          <w:lang w:val="en-AU"/>
        </w:rPr>
      </w:pPr>
      <w:r w:rsidRPr="00334B3E">
        <w:rPr>
          <w:rStyle w:val="EndnoteReference"/>
        </w:rPr>
        <w:endnoteRef/>
      </w:r>
      <w:r w:rsidRPr="00334B3E">
        <w:t xml:space="preserve"> </w:t>
      </w:r>
      <w:r w:rsidRPr="00EE1F4D">
        <w:rPr>
          <w:rFonts w:cstheme="minorHAnsi"/>
        </w:rPr>
        <w:t>Of which 45.2 per cent were women, 45.3 per cent were men, and 9.5 per cent unknown.</w:t>
      </w:r>
    </w:p>
  </w:endnote>
  <w:endnote w:id="31">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Statistical Yearbook of Indonesia 2018, Central Bureau for Statistics (Badan Pusat Statistik/BPS), Ministry of Public Works and Housing presentation on Policy for Management of Urban Sanitation</w:t>
      </w:r>
    </w:p>
  </w:endnote>
  <w:endnote w:id="32">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w:t>
      </w:r>
      <w:hyperlink r:id="rId14" w:history="1">
        <w:r w:rsidRPr="00EE1F4D">
          <w:rPr>
            <w:rStyle w:val="Hyperlink"/>
            <w:rFonts w:cstheme="minorHAnsi"/>
          </w:rPr>
          <w:t>http://www.kesmas.kemkes.go.id/assets/upload/dir_519d41d8cd98f00/files/Hasil-riskesdas-2018_1274.pdf</w:t>
        </w:r>
      </w:hyperlink>
    </w:p>
  </w:endnote>
  <w:endnote w:id="33">
    <w:p w:rsidR="0049045F" w:rsidRPr="00EE1F4D" w:rsidRDefault="0049045F" w:rsidP="009671AC">
      <w:pPr>
        <w:pStyle w:val="EndnoteText"/>
        <w:rPr>
          <w:rFonts w:cstheme="minorHAnsi"/>
        </w:rPr>
      </w:pPr>
      <w:r w:rsidRPr="00EE1F4D">
        <w:rPr>
          <w:rStyle w:val="EndnoteReference"/>
          <w:rFonts w:cstheme="minorHAnsi"/>
        </w:rPr>
        <w:endnoteRef/>
      </w:r>
      <w:r w:rsidRPr="00EE1F4D">
        <w:rPr>
          <w:rFonts w:cstheme="minorHAnsi"/>
        </w:rPr>
        <w:t xml:space="preserve"> </w:t>
      </w:r>
      <w:r>
        <w:rPr>
          <w:rFonts w:cstheme="minorHAnsi"/>
        </w:rPr>
        <w:t xml:space="preserve">PAMSIMAS-3, 2016-2022, AUD20,100,000.  </w:t>
      </w:r>
      <w:r w:rsidRPr="00EE1F4D">
        <w:rPr>
          <w:rFonts w:cstheme="minorHAnsi"/>
        </w:rPr>
        <w:t>PAMSIMAS has been operating (and supported by DFAT) since 2008 and incorporates three phases: PAMSIMAS I (2008-2012), PAMSIMAS II (2013-2018) and PAMSIMAS III (2017-2022)</w:t>
      </w:r>
    </w:p>
  </w:endnote>
  <w:endnote w:id="34">
    <w:p w:rsidR="0049045F" w:rsidRPr="00EE1F4D" w:rsidRDefault="0049045F" w:rsidP="00196C69">
      <w:pPr>
        <w:pStyle w:val="EndnoteText"/>
        <w:rPr>
          <w:rFonts w:cstheme="minorHAnsi"/>
        </w:rPr>
      </w:pPr>
      <w:r w:rsidRPr="00EE1F4D">
        <w:rPr>
          <w:rStyle w:val="EndnoteReference"/>
          <w:rFonts w:cstheme="minorHAnsi"/>
        </w:rPr>
        <w:endnoteRef/>
      </w:r>
      <w:r w:rsidRPr="00EE1F4D">
        <w:rPr>
          <w:rFonts w:cstheme="minorHAnsi"/>
        </w:rPr>
        <w:t xml:space="preserve"> </w:t>
      </w:r>
      <w:hyperlink r:id="rId15" w:history="1">
        <w:r w:rsidRPr="00EE1F4D">
          <w:rPr>
            <w:rStyle w:val="Hyperlink"/>
            <w:rFonts w:cstheme="minorHAnsi"/>
          </w:rPr>
          <w:t>http://documents.worldbank.org/curated/en/938961468195535278/pdf/101178-WP-P085375-PUBLIC-Box393259B-PAMSIMAS.pdf</w:t>
        </w:r>
      </w:hyperlink>
    </w:p>
  </w:endnote>
  <w:endnote w:id="35">
    <w:p w:rsidR="0049045F" w:rsidRPr="0069543A" w:rsidRDefault="0049045F">
      <w:pPr>
        <w:pStyle w:val="EndnoteText"/>
        <w:rPr>
          <w:lang w:val="en-AU"/>
        </w:rPr>
      </w:pPr>
      <w:r>
        <w:rPr>
          <w:rStyle w:val="EndnoteReference"/>
        </w:rPr>
        <w:endnoteRef/>
      </w:r>
      <w:r>
        <w:t xml:space="preserve"> </w:t>
      </w:r>
      <w:r>
        <w:rPr>
          <w:lang w:val="en-AU"/>
        </w:rPr>
        <w:t>Water and Sanitation Hibah Phase 2</w:t>
      </w:r>
    </w:p>
  </w:endnote>
  <w:endnote w:id="36">
    <w:p w:rsidR="0049045F" w:rsidRPr="00F52543" w:rsidRDefault="0049045F">
      <w:pPr>
        <w:pStyle w:val="EndnoteText"/>
        <w:rPr>
          <w:lang w:val="en-AU"/>
        </w:rPr>
      </w:pPr>
      <w:r>
        <w:rPr>
          <w:rStyle w:val="EndnoteReference"/>
        </w:rPr>
        <w:endnoteRef/>
      </w:r>
      <w:r>
        <w:t xml:space="preserve"> </w:t>
      </w:r>
      <w:r>
        <w:rPr>
          <w:lang w:val="en-AU"/>
        </w:rPr>
        <w:t>SAIIG</w:t>
      </w:r>
    </w:p>
  </w:endnote>
  <w:endnote w:id="37">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MOEC 2019. Available online: </w:t>
      </w:r>
      <w:hyperlink r:id="rId16" w:history="1">
        <w:r w:rsidRPr="00EE1F4D">
          <w:rPr>
            <w:rStyle w:val="Hyperlink"/>
            <w:rFonts w:cstheme="minorHAnsi"/>
            <w:lang w:val="en-ID"/>
          </w:rPr>
          <w:t>http://jendela.data.kemdikbud.go.id/jendela/</w:t>
        </w:r>
      </w:hyperlink>
      <w:r w:rsidRPr="00EE1F4D">
        <w:rPr>
          <w:rFonts w:cstheme="minorHAnsi"/>
          <w:lang w:val="en-ID"/>
        </w:rPr>
        <w:t xml:space="preserve">; MORA Education Management Information System 2019. Available online: </w:t>
      </w:r>
      <w:hyperlink r:id="rId17" w:history="1">
        <w:r w:rsidRPr="00EE1F4D">
          <w:rPr>
            <w:rStyle w:val="Hyperlink"/>
            <w:rFonts w:cstheme="minorHAnsi"/>
            <w:lang w:val="en-ID"/>
          </w:rPr>
          <w:t>http://emispendis.kemenag.go.id/emis2016v1/</w:t>
        </w:r>
      </w:hyperlink>
      <w:r w:rsidRPr="00EE1F4D">
        <w:rPr>
          <w:rFonts w:cstheme="minorHAnsi"/>
          <w:lang w:val="en-ID"/>
        </w:rPr>
        <w:t xml:space="preserve"> [2018-9 figures as of 1 April 2019]</w:t>
      </w:r>
    </w:p>
  </w:endnote>
  <w:endnote w:id="38">
    <w:p w:rsidR="0049045F" w:rsidRPr="00EE1F4D" w:rsidRDefault="0049045F" w:rsidP="00022BD8">
      <w:pPr>
        <w:pStyle w:val="EndnoteText"/>
        <w:rPr>
          <w:rFonts w:cstheme="minorHAnsi"/>
        </w:rPr>
      </w:pPr>
      <w:r w:rsidRPr="00EE1F4D">
        <w:rPr>
          <w:rStyle w:val="EndnoteReference"/>
          <w:rFonts w:cstheme="minorHAnsi"/>
        </w:rPr>
        <w:endnoteRef/>
      </w:r>
      <w:r w:rsidRPr="00EE1F4D">
        <w:rPr>
          <w:rFonts w:cstheme="minorHAnsi"/>
        </w:rPr>
        <w:t xml:space="preserve"> World Bank Human Capital Index Indonesia report 2018.  This Index quantifies the contribution of health and education to the productivity of the next generation of workers</w:t>
      </w:r>
    </w:p>
  </w:endnote>
  <w:endnote w:id="39">
    <w:p w:rsidR="0049045F" w:rsidRPr="0069543A" w:rsidRDefault="0049045F">
      <w:pPr>
        <w:pStyle w:val="EndnoteText"/>
        <w:rPr>
          <w:lang w:val="en-AU"/>
        </w:rPr>
      </w:pPr>
      <w:r>
        <w:rPr>
          <w:rStyle w:val="EndnoteReference"/>
        </w:rPr>
        <w:endnoteRef/>
      </w:r>
      <w:r>
        <w:t xml:space="preserve"> </w:t>
      </w:r>
      <w:r>
        <w:rPr>
          <w:lang w:val="en-AU"/>
        </w:rPr>
        <w:t>World Bank Trust Fund – Teaching and Education (ID-TEMAN), 2016-2019, AUD9,000,000</w:t>
      </w:r>
    </w:p>
  </w:endnote>
  <w:endnote w:id="40">
    <w:p w:rsidR="0049045F" w:rsidRPr="00334B3E" w:rsidRDefault="0049045F" w:rsidP="008464B2">
      <w:pPr>
        <w:pStyle w:val="EndnoteText"/>
        <w:rPr>
          <w:lang w:val="en-AU"/>
        </w:rPr>
      </w:pPr>
      <w:r w:rsidRPr="00334B3E">
        <w:rPr>
          <w:rStyle w:val="EndnoteReference"/>
        </w:rPr>
        <w:endnoteRef/>
      </w:r>
      <w:r w:rsidRPr="00334B3E">
        <w:t xml:space="preserve"> </w:t>
      </w:r>
      <w:r>
        <w:rPr>
          <w:lang w:val="en-AU"/>
        </w:rPr>
        <w:t>Education Technical Assistance Program (TASS), 2015-2020, AUD15,674,463</w:t>
      </w:r>
    </w:p>
  </w:endnote>
  <w:endnote w:id="41">
    <w:p w:rsidR="0049045F" w:rsidRPr="00EE1F4D" w:rsidRDefault="0049045F">
      <w:pPr>
        <w:pStyle w:val="EndnoteText"/>
        <w:rPr>
          <w:lang w:val="en-AU"/>
        </w:rPr>
      </w:pPr>
      <w:r>
        <w:rPr>
          <w:rStyle w:val="EndnoteReference"/>
        </w:rPr>
        <w:endnoteRef/>
      </w:r>
      <w:r>
        <w:t xml:space="preserve"> </w:t>
      </w:r>
      <w:r w:rsidRPr="00CE6E52">
        <w:t xml:space="preserve">Innovation for Indonesia’s School Children </w:t>
      </w:r>
      <w:r>
        <w:t>(</w:t>
      </w:r>
      <w:r>
        <w:rPr>
          <w:lang w:val="en-AU"/>
        </w:rPr>
        <w:t>INOVASI), 2014-2019, AUD56,623,846</w:t>
      </w:r>
    </w:p>
  </w:endnote>
  <w:endnote w:id="42">
    <w:p w:rsidR="0049045F" w:rsidRPr="00334B3E" w:rsidRDefault="0049045F" w:rsidP="006568FB">
      <w:pPr>
        <w:pStyle w:val="EndnoteText"/>
        <w:rPr>
          <w:lang w:val="en-AU"/>
        </w:rPr>
      </w:pPr>
      <w:r w:rsidRPr="00334B3E">
        <w:rPr>
          <w:rStyle w:val="EndnoteReference"/>
        </w:rPr>
        <w:endnoteRef/>
      </w:r>
      <w:r w:rsidRPr="00334B3E">
        <w:t xml:space="preserve"> </w:t>
      </w:r>
      <w:r w:rsidRPr="00334B3E">
        <w:rPr>
          <w:lang w:val="en-AU"/>
        </w:rPr>
        <w:t>Guru BAIK and Gema Literasi</w:t>
      </w:r>
    </w:p>
  </w:endnote>
  <w:endnote w:id="43">
    <w:p w:rsidR="0049045F" w:rsidRPr="00334B3E" w:rsidRDefault="0049045F" w:rsidP="007674BA">
      <w:pPr>
        <w:pStyle w:val="EndnoteText"/>
        <w:rPr>
          <w:lang w:val="en-AU"/>
        </w:rPr>
      </w:pPr>
      <w:r w:rsidRPr="00334B3E">
        <w:rPr>
          <w:rStyle w:val="EndnoteReference"/>
        </w:rPr>
        <w:endnoteRef/>
      </w:r>
      <w:r w:rsidRPr="00334B3E">
        <w:t xml:space="preserve"> </w:t>
      </w:r>
      <w:r w:rsidRPr="00334B3E">
        <w:rPr>
          <w:lang w:val="en-AU"/>
        </w:rPr>
        <w:t>KIAT Guru, through Local Solutions to Poverty Initiative</w:t>
      </w:r>
    </w:p>
  </w:endnote>
  <w:endnote w:id="44">
    <w:p w:rsidR="0049045F" w:rsidRPr="00EE1F4D" w:rsidRDefault="0049045F" w:rsidP="006568FB">
      <w:pPr>
        <w:pStyle w:val="EndnoteText"/>
        <w:rPr>
          <w:rFonts w:cstheme="minorHAnsi"/>
        </w:rPr>
      </w:pPr>
      <w:r w:rsidRPr="00EE1F4D">
        <w:rPr>
          <w:rStyle w:val="EndnoteReference"/>
          <w:rFonts w:cstheme="minorHAnsi"/>
        </w:rPr>
        <w:endnoteRef/>
      </w:r>
      <w:r w:rsidRPr="00EE1F4D">
        <w:rPr>
          <w:rFonts w:cstheme="minorHAnsi"/>
        </w:rPr>
        <w:t xml:space="preserve"> Guru KIAT reporting:  July 2017 – May 2018</w:t>
      </w:r>
    </w:p>
  </w:endnote>
  <w:endnote w:id="45">
    <w:p w:rsidR="0049045F" w:rsidRPr="00334B3E" w:rsidRDefault="0049045F" w:rsidP="00E43057">
      <w:pPr>
        <w:pStyle w:val="EndnoteText"/>
        <w:rPr>
          <w:lang w:val="en-AU"/>
        </w:rPr>
      </w:pPr>
      <w:r w:rsidRPr="00334B3E">
        <w:rPr>
          <w:rStyle w:val="EndnoteReference"/>
        </w:rPr>
        <w:endnoteRef/>
      </w:r>
      <w:r w:rsidRPr="00334B3E">
        <w:t xml:space="preserve"> </w:t>
      </w:r>
      <w:r w:rsidRPr="00334B3E">
        <w:rPr>
          <w:lang w:val="en-AU"/>
        </w:rPr>
        <w:t>INOVASI, LSP, UNICEF Papua</w:t>
      </w:r>
    </w:p>
  </w:endnote>
  <w:endnote w:id="46">
    <w:p w:rsidR="0049045F" w:rsidRPr="00334B3E" w:rsidRDefault="0049045F" w:rsidP="00CE6E52">
      <w:pPr>
        <w:pStyle w:val="EndnoteText"/>
        <w:rPr>
          <w:lang w:val="en-AU"/>
        </w:rPr>
      </w:pPr>
      <w:r w:rsidRPr="00334B3E">
        <w:rPr>
          <w:rStyle w:val="EndnoteReference"/>
        </w:rPr>
        <w:endnoteRef/>
      </w:r>
      <w:r w:rsidRPr="00334B3E">
        <w:t xml:space="preserve"> 2019 “</w:t>
      </w:r>
      <w:r w:rsidRPr="003750E5">
        <w:rPr>
          <w:lang w:val="en-AU"/>
        </w:rPr>
        <w:t>Strategic Review: Australia’s Investments in Basic Education” [forthcomin</w:t>
      </w:r>
      <w:r>
        <w:rPr>
          <w:lang w:val="en-AU"/>
        </w:rPr>
        <w:t xml:space="preserve">g publication by DFAT in Aug </w:t>
      </w:r>
      <w:r w:rsidRPr="003750E5">
        <w:rPr>
          <w:lang w:val="en-AU"/>
        </w:rPr>
        <w:t>2019]</w:t>
      </w:r>
    </w:p>
  </w:endnote>
  <w:endnote w:id="47">
    <w:p w:rsidR="0049045F" w:rsidRPr="00E07F55" w:rsidRDefault="0049045F">
      <w:pPr>
        <w:pStyle w:val="EndnoteText"/>
        <w:rPr>
          <w:lang w:val="en-AU"/>
        </w:rPr>
      </w:pPr>
      <w:r>
        <w:rPr>
          <w:rStyle w:val="EndnoteReference"/>
        </w:rPr>
        <w:endnoteRef/>
      </w:r>
      <w:r>
        <w:t xml:space="preserve"> </w:t>
      </w:r>
      <w:r w:rsidRPr="00E07F55">
        <w:t xml:space="preserve">Governance for Growth </w:t>
      </w:r>
      <w:r>
        <w:t>(</w:t>
      </w:r>
      <w:r w:rsidRPr="00E07F55">
        <w:t>KOMPAK</w:t>
      </w:r>
      <w:r>
        <w:t>), 2015-2018, AUD96,205,794</w:t>
      </w:r>
    </w:p>
  </w:endnote>
  <w:endnote w:id="48">
    <w:p w:rsidR="0049045F" w:rsidRPr="00EE1F4D" w:rsidRDefault="0049045F" w:rsidP="007D7832">
      <w:pPr>
        <w:pStyle w:val="EndnoteText"/>
        <w:rPr>
          <w:rFonts w:cstheme="minorHAnsi"/>
        </w:rPr>
      </w:pPr>
      <w:r w:rsidRPr="00EE1F4D">
        <w:rPr>
          <w:rFonts w:cstheme="minorHAnsi"/>
        </w:rPr>
        <w:endnoteRef/>
      </w:r>
      <w:r w:rsidRPr="00EE1F4D">
        <w:rPr>
          <w:rFonts w:cstheme="minorHAnsi"/>
        </w:rPr>
        <w:t xml:space="preserve"> This is based on detailed analysis of 50 villages through a WB report which our KOMPAK leaders tell us is representative of the work KOMPAK has been doing</w:t>
      </w:r>
    </w:p>
  </w:endnote>
  <w:endnote w:id="49">
    <w:p w:rsidR="0049045F" w:rsidRPr="00E07F55" w:rsidRDefault="0049045F">
      <w:pPr>
        <w:pStyle w:val="EndnoteText"/>
        <w:rPr>
          <w:lang w:val="en-AU"/>
        </w:rPr>
      </w:pPr>
      <w:r>
        <w:rPr>
          <w:rStyle w:val="EndnoteReference"/>
        </w:rPr>
        <w:endnoteRef/>
      </w:r>
      <w:r>
        <w:t xml:space="preserve"> </w:t>
      </w:r>
      <w:r>
        <w:rPr>
          <w:lang w:val="en-AU"/>
        </w:rPr>
        <w:t xml:space="preserve">KOMPAK; </w:t>
      </w:r>
      <w:r w:rsidRPr="00E07F55">
        <w:rPr>
          <w:lang w:val="en-AU"/>
        </w:rPr>
        <w:t xml:space="preserve">AIP Gender Equality &amp; Women's Empowerment </w:t>
      </w:r>
      <w:r>
        <w:rPr>
          <w:lang w:val="en-AU"/>
        </w:rPr>
        <w:t>(</w:t>
      </w:r>
      <w:r w:rsidRPr="00E07F55">
        <w:rPr>
          <w:lang w:val="en-AU"/>
        </w:rPr>
        <w:t>MAMP</w:t>
      </w:r>
      <w:r>
        <w:rPr>
          <w:lang w:val="en-AU"/>
        </w:rPr>
        <w:t>)</w:t>
      </w:r>
      <w:r w:rsidRPr="00E07F55">
        <w:rPr>
          <w:lang w:val="en-AU"/>
        </w:rPr>
        <w:t>U II</w:t>
      </w:r>
      <w:r>
        <w:rPr>
          <w:lang w:val="en-AU"/>
        </w:rPr>
        <w:t>, 2016-2020, AUD51,900,000; MAHKOTA; Support to Marginalised Groups (Peduli), 2016-2019, $17,609,711</w:t>
      </w:r>
    </w:p>
  </w:endnote>
  <w:endnote w:id="50">
    <w:p w:rsidR="0049045F" w:rsidRPr="00EE1F4D" w:rsidRDefault="0049045F" w:rsidP="00E0358A">
      <w:pPr>
        <w:pStyle w:val="EndnoteText"/>
        <w:rPr>
          <w:rFonts w:cstheme="minorHAnsi"/>
        </w:rPr>
      </w:pPr>
      <w:r w:rsidRPr="003D28C5">
        <w:rPr>
          <w:rStyle w:val="EndnoteReference"/>
        </w:rPr>
        <w:endnoteRef/>
      </w:r>
      <w:r w:rsidRPr="00EE1F4D">
        <w:rPr>
          <w:rFonts w:cstheme="minorHAnsi"/>
        </w:rPr>
        <w:t xml:space="preserve"> BPS 2015</w:t>
      </w:r>
    </w:p>
  </w:endnote>
  <w:endnote w:id="51">
    <w:p w:rsidR="0049045F" w:rsidRPr="003D28C5" w:rsidRDefault="0049045F">
      <w:pPr>
        <w:pStyle w:val="EndnoteText"/>
        <w:rPr>
          <w:lang w:val="en-AU"/>
        </w:rPr>
      </w:pPr>
      <w:r>
        <w:rPr>
          <w:rStyle w:val="EndnoteReference"/>
        </w:rPr>
        <w:endnoteRef/>
      </w:r>
      <w:r>
        <w:t xml:space="preserve"> </w:t>
      </w:r>
      <w:r>
        <w:rPr>
          <w:lang w:val="en-AU"/>
        </w:rPr>
        <w:t>MAHKOTA</w:t>
      </w:r>
    </w:p>
  </w:endnote>
  <w:endnote w:id="52">
    <w:p w:rsidR="0049045F" w:rsidRPr="00EE1F4D" w:rsidRDefault="0049045F" w:rsidP="003C3FC6">
      <w:pPr>
        <w:pStyle w:val="EndnoteText"/>
        <w:rPr>
          <w:rFonts w:cstheme="minorHAnsi"/>
        </w:rPr>
      </w:pPr>
      <w:r w:rsidRPr="003D28C5">
        <w:rPr>
          <w:rStyle w:val="EndnoteReference"/>
        </w:rPr>
        <w:endnoteRef/>
      </w:r>
      <w:r w:rsidRPr="003D28C5">
        <w:rPr>
          <w:rStyle w:val="EndnoteReference"/>
        </w:rPr>
        <w:t xml:space="preserve"> </w:t>
      </w:r>
      <w:r w:rsidRPr="00EE1F4D">
        <w:rPr>
          <w:rFonts w:cstheme="minorHAnsi"/>
        </w:rPr>
        <w:t>In August 2018, KLIK, a mobile clinic for social protection and legal identity piloted by women’s organisation PEKKA was incorporated into a new regulation on SLRT in Sukabumi district, West Java. The regulation mandates the use of the approach twice a year in all 386 villages, home to more than 2.3 million Indonesians</w:t>
      </w:r>
    </w:p>
  </w:endnote>
  <w:endnote w:id="53">
    <w:p w:rsidR="0049045F" w:rsidRPr="003D28C5" w:rsidRDefault="0049045F" w:rsidP="00BE1F1C">
      <w:pPr>
        <w:pStyle w:val="EndnoteText"/>
        <w:rPr>
          <w:lang w:val="en-AU"/>
        </w:rPr>
      </w:pPr>
      <w:r>
        <w:rPr>
          <w:rStyle w:val="EndnoteReference"/>
        </w:rPr>
        <w:endnoteRef/>
      </w:r>
      <w:r>
        <w:t xml:space="preserve"> </w:t>
      </w:r>
      <w:r>
        <w:rPr>
          <w:lang w:val="en-AU"/>
        </w:rPr>
        <w:t>KOMPAK and MAMPU</w:t>
      </w:r>
    </w:p>
  </w:endnote>
  <w:endnote w:id="54">
    <w:p w:rsidR="0049045F" w:rsidRPr="00EE1F4D" w:rsidRDefault="0049045F" w:rsidP="00E76046">
      <w:pPr>
        <w:pStyle w:val="EndnoteText"/>
        <w:rPr>
          <w:rFonts w:cstheme="minorHAnsi"/>
          <w:lang w:val="en-AU"/>
        </w:rPr>
      </w:pPr>
      <w:r w:rsidRPr="00EE1F4D">
        <w:rPr>
          <w:rStyle w:val="EndnoteReference"/>
          <w:rFonts w:cstheme="minorHAnsi"/>
        </w:rPr>
        <w:endnoteRef/>
      </w:r>
      <w:r w:rsidRPr="00EE1F4D">
        <w:rPr>
          <w:rFonts w:cstheme="minorHAnsi"/>
        </w:rPr>
        <w:t xml:space="preserve"> Policy Note: Economic Gains from Boosting Female Labour Participation, Australia Indonesia Partnership for Economic Governance, August 2017 and Gonzales C. et al (2015), Catalyst for Change: Empowering Women and Tackling Income Inequality, IMF Staff Discussion Note</w:t>
      </w:r>
    </w:p>
  </w:endnote>
  <w:endnote w:id="55">
    <w:p w:rsidR="0049045F" w:rsidRPr="00EE1F4D" w:rsidRDefault="0049045F" w:rsidP="00E76046">
      <w:pPr>
        <w:pStyle w:val="EndnoteText"/>
        <w:rPr>
          <w:rFonts w:cstheme="minorHAnsi"/>
          <w:lang w:val="en-AU"/>
        </w:rPr>
      </w:pPr>
      <w:r w:rsidRPr="00EE1F4D">
        <w:rPr>
          <w:rStyle w:val="EndnoteReference"/>
          <w:rFonts w:cstheme="minorHAnsi"/>
        </w:rPr>
        <w:endnoteRef/>
      </w:r>
      <w:r w:rsidRPr="00EE1F4D">
        <w:rPr>
          <w:rFonts w:cstheme="minorHAnsi"/>
        </w:rPr>
        <w:t xml:space="preserve"> Investing in Women </w:t>
      </w:r>
      <w:r>
        <w:rPr>
          <w:rFonts w:cstheme="minorHAnsi"/>
        </w:rPr>
        <w:t xml:space="preserve">Phase 1, 2016-2019, AUD43,800,000   </w:t>
      </w:r>
      <w:hyperlink r:id="rId18" w:history="1">
        <w:r w:rsidRPr="00401B79">
          <w:rPr>
            <w:rStyle w:val="Hyperlink"/>
            <w:rFonts w:cstheme="minorHAnsi"/>
          </w:rPr>
          <w:t>https://investinginwomen.asia/</w:t>
        </w:r>
      </w:hyperlink>
      <w:r>
        <w:rPr>
          <w:rFonts w:cstheme="minorHAnsi"/>
        </w:rPr>
        <w:t xml:space="preserve"> </w:t>
      </w:r>
    </w:p>
  </w:endnote>
  <w:endnote w:id="56">
    <w:p w:rsidR="0049045F" w:rsidRPr="00EE1F4D" w:rsidRDefault="0049045F" w:rsidP="003C3FC6">
      <w:pPr>
        <w:pStyle w:val="EndnoteText"/>
        <w:rPr>
          <w:rFonts w:cstheme="minorHAnsi"/>
          <w:lang w:val="en-AU"/>
        </w:rPr>
      </w:pPr>
      <w:r w:rsidRPr="00EE1F4D">
        <w:rPr>
          <w:rStyle w:val="EndnoteReference"/>
          <w:rFonts w:cstheme="minorHAnsi"/>
        </w:rPr>
        <w:endnoteRef/>
      </w:r>
      <w:r w:rsidRPr="00EE1F4D">
        <w:rPr>
          <w:rFonts w:cstheme="minorHAnsi"/>
        </w:rPr>
        <w:t xml:space="preserve"> </w:t>
      </w:r>
      <w:hyperlink r:id="rId19" w:history="1">
        <w:r w:rsidRPr="00EE1F4D">
          <w:rPr>
            <w:rStyle w:val="Hyperlink"/>
            <w:rFonts w:cstheme="minorHAnsi"/>
          </w:rPr>
          <w:t>https://thegiin.org/assets/Indonesia_GIIN_SEAL_report_webfile.pdf</w:t>
        </w:r>
      </w:hyperlink>
    </w:p>
  </w:endnote>
  <w:endnote w:id="57">
    <w:p w:rsidR="0049045F" w:rsidRPr="00EE1F4D" w:rsidRDefault="0049045F" w:rsidP="005E0547">
      <w:pPr>
        <w:pStyle w:val="EndnoteText"/>
        <w:rPr>
          <w:rFonts w:cstheme="minorHAnsi"/>
          <w:lang w:val="en-AU"/>
        </w:rPr>
      </w:pPr>
      <w:r w:rsidRPr="00EE1F4D">
        <w:rPr>
          <w:rStyle w:val="EndnoteReference"/>
          <w:rFonts w:cstheme="minorHAnsi"/>
        </w:rPr>
        <w:endnoteRef/>
      </w:r>
      <w:r w:rsidRPr="00EE1F4D">
        <w:rPr>
          <w:rFonts w:cstheme="minorHAnsi"/>
        </w:rPr>
        <w:t xml:space="preserve"> World Bank (2017), Indonesia’s Global Workers:  Juggling Opportunities and Risks, Policy Report, Jakarta</w:t>
      </w:r>
    </w:p>
  </w:endnote>
  <w:endnote w:id="58">
    <w:p w:rsidR="0049045F" w:rsidRPr="00EE1F4D" w:rsidRDefault="0049045F" w:rsidP="00C737D4">
      <w:pPr>
        <w:pStyle w:val="EndnoteText"/>
        <w:rPr>
          <w:rFonts w:cstheme="minorHAnsi"/>
          <w:lang w:val="en-AU"/>
        </w:rPr>
      </w:pPr>
      <w:r w:rsidRPr="00EE1F4D">
        <w:rPr>
          <w:rStyle w:val="EndnoteReference"/>
          <w:rFonts w:cstheme="minorHAnsi"/>
        </w:rPr>
        <w:endnoteRef/>
      </w:r>
      <w:r w:rsidRPr="00EE1F4D">
        <w:rPr>
          <w:rFonts w:cstheme="minorHAnsi"/>
        </w:rPr>
        <w:t xml:space="preserve"> </w:t>
      </w:r>
      <w:hyperlink r:id="rId20" w:history="1">
        <w:r w:rsidRPr="00EE1F4D">
          <w:rPr>
            <w:rStyle w:val="Hyperlink"/>
            <w:rFonts w:cstheme="minorHAnsi"/>
          </w:rPr>
          <w:t>https://thediplomat.com/2015/03/indonesias-migrant-workers-dreams-and-tears/</w:t>
        </w:r>
      </w:hyperlink>
    </w:p>
  </w:endnote>
  <w:endnote w:id="59">
    <w:p w:rsidR="0049045F" w:rsidRPr="00EE1F4D" w:rsidRDefault="0049045F" w:rsidP="00C737D4">
      <w:pPr>
        <w:pStyle w:val="EndnoteText"/>
        <w:rPr>
          <w:rFonts w:cstheme="minorHAnsi"/>
          <w:lang w:val="en-AU"/>
        </w:rPr>
      </w:pPr>
      <w:r w:rsidRPr="00EE1F4D">
        <w:rPr>
          <w:rStyle w:val="EndnoteReference"/>
          <w:rFonts w:cstheme="minorHAnsi"/>
        </w:rPr>
        <w:endnoteRef/>
      </w:r>
      <w:r w:rsidRPr="00EE1F4D">
        <w:rPr>
          <w:rFonts w:cstheme="minorHAnsi"/>
        </w:rPr>
        <w:t xml:space="preserve"> World Bank (2017), Indonesia’s Global Workers:  Juggling Opportunities and Risks, Policy Report, Jakarta</w:t>
      </w:r>
    </w:p>
  </w:endnote>
  <w:endnote w:id="60">
    <w:p w:rsidR="0049045F" w:rsidRPr="00EE1F4D" w:rsidRDefault="0049045F" w:rsidP="00C737D4">
      <w:pPr>
        <w:pStyle w:val="EndnoteText"/>
        <w:rPr>
          <w:rFonts w:cstheme="minorHAnsi"/>
          <w:lang w:val="en-AU"/>
        </w:rPr>
      </w:pPr>
      <w:r w:rsidRPr="00EE1F4D">
        <w:rPr>
          <w:rStyle w:val="EndnoteReference"/>
          <w:rFonts w:cstheme="minorHAnsi"/>
        </w:rPr>
        <w:endnoteRef/>
      </w:r>
      <w:r w:rsidRPr="00EE1F4D">
        <w:rPr>
          <w:rFonts w:cstheme="minorHAnsi"/>
        </w:rPr>
        <w:t xml:space="preserve"> Bazzi S. and M. Bintoro (2015), Review of Policy-Oriented Research on Indonesian Overseas Migrant Workers, Jakarta:  MAMPU.  See also Farbenblum, B., Taylor-Nicholson, E., and Paoletti, S. (2013). Migrant Workers’ Access to Justice at Home, Indonesia:  Open Society Foundation.</w:t>
      </w:r>
    </w:p>
  </w:endnote>
  <w:endnote w:id="61">
    <w:p w:rsidR="0049045F" w:rsidRPr="00EE1F4D" w:rsidRDefault="0049045F" w:rsidP="003C3FC6">
      <w:pPr>
        <w:pStyle w:val="EndnoteText"/>
        <w:rPr>
          <w:rFonts w:cstheme="minorHAnsi"/>
          <w:lang w:val="en-AU"/>
        </w:rPr>
      </w:pPr>
      <w:r w:rsidRPr="00EE1F4D">
        <w:rPr>
          <w:rStyle w:val="EndnoteReference"/>
          <w:rFonts w:cstheme="minorHAnsi"/>
        </w:rPr>
        <w:endnoteRef/>
      </w:r>
      <w:r>
        <w:rPr>
          <w:rFonts w:cstheme="minorHAnsi"/>
        </w:rPr>
        <w:t xml:space="preserve"> MAMPU</w:t>
      </w:r>
    </w:p>
  </w:endnote>
  <w:endnote w:id="62">
    <w:p w:rsidR="0049045F" w:rsidRPr="00EE1F4D" w:rsidRDefault="0049045F" w:rsidP="003C3FC6">
      <w:pPr>
        <w:pStyle w:val="EndnoteText"/>
        <w:rPr>
          <w:rFonts w:cstheme="minorHAnsi"/>
          <w:lang w:val="en-AU"/>
        </w:rPr>
      </w:pPr>
      <w:r w:rsidRPr="00EE1F4D">
        <w:rPr>
          <w:rStyle w:val="EndnoteReference"/>
          <w:rFonts w:cstheme="minorHAnsi"/>
        </w:rPr>
        <w:endnoteRef/>
      </w:r>
      <w:r w:rsidRPr="00EE1F4D">
        <w:rPr>
          <w:rFonts w:cstheme="minorHAnsi"/>
        </w:rPr>
        <w:t xml:space="preserve"> Migrant CARE has branches in 5 districts in Indonesia (Kebumen, Jember, Banyuwangi, Indramayu, Karawang); and works with local NGOs in 3 districts (Lombok Tengah, Lembata and Wonosobo) to work under MAMPU.  It has also a branch in Kuala Lumpur, Malaysia.</w:t>
      </w:r>
    </w:p>
  </w:endnote>
  <w:endnote w:id="63">
    <w:p w:rsidR="0049045F" w:rsidRPr="00EE1F4D" w:rsidRDefault="0049045F" w:rsidP="003C3FC6">
      <w:pPr>
        <w:pStyle w:val="EndnoteText"/>
        <w:rPr>
          <w:rFonts w:cstheme="minorHAnsi"/>
        </w:rPr>
      </w:pPr>
      <w:r w:rsidRPr="00EE1F4D">
        <w:rPr>
          <w:rStyle w:val="EndnoteReference"/>
          <w:rFonts w:cstheme="minorHAnsi"/>
        </w:rPr>
        <w:endnoteRef/>
      </w:r>
      <w:r w:rsidRPr="00EE1F4D">
        <w:rPr>
          <w:rFonts w:cstheme="minorHAnsi"/>
        </w:rPr>
        <w:t xml:space="preserve"> Intercensal Population Survey, 2015</w:t>
      </w:r>
    </w:p>
  </w:endnote>
  <w:endnote w:id="64">
    <w:p w:rsidR="0049045F" w:rsidRPr="00EE1F4D" w:rsidRDefault="0049045F" w:rsidP="003C3FC6">
      <w:pPr>
        <w:pStyle w:val="EndnoteText"/>
        <w:rPr>
          <w:rFonts w:cstheme="minorHAnsi"/>
        </w:rPr>
      </w:pPr>
      <w:r w:rsidRPr="00EE1F4D">
        <w:rPr>
          <w:rStyle w:val="EndnoteReference"/>
          <w:rFonts w:cstheme="minorHAnsi"/>
        </w:rPr>
        <w:endnoteRef/>
      </w:r>
      <w:r w:rsidRPr="00EE1F4D">
        <w:rPr>
          <w:rFonts w:cstheme="minorHAnsi"/>
        </w:rPr>
        <w:t xml:space="preserve"> TAF, 2016, Understanding Social Exclusion in Indonesia (pp 18-27) </w:t>
      </w:r>
      <w:hyperlink r:id="rId21" w:history="1">
        <w:r w:rsidRPr="00EE1F4D">
          <w:rPr>
            <w:rStyle w:val="Hyperlink"/>
            <w:rFonts w:cstheme="minorHAnsi"/>
          </w:rPr>
          <w:t>https://dfat.gov.au/about-us/publications/Pages/indonesia-understanding-social-exclusion-meta-analysis-peduli.aspx</w:t>
        </w:r>
      </w:hyperlink>
    </w:p>
  </w:endnote>
  <w:endnote w:id="65">
    <w:p w:rsidR="0049045F" w:rsidRPr="003750E5" w:rsidRDefault="0049045F">
      <w:pPr>
        <w:pStyle w:val="EndnoteText"/>
        <w:rPr>
          <w:lang w:val="en-AU"/>
        </w:rPr>
      </w:pPr>
      <w:r>
        <w:rPr>
          <w:rStyle w:val="EndnoteReference"/>
        </w:rPr>
        <w:endnoteRef/>
      </w:r>
      <w:r>
        <w:t xml:space="preserve"> </w:t>
      </w:r>
      <w:r w:rsidRPr="003750E5">
        <w:rPr>
          <w:lang w:val="en-AU"/>
        </w:rPr>
        <w:t>Australia Indonesia Partnership for Justice II</w:t>
      </w:r>
      <w:r>
        <w:rPr>
          <w:lang w:val="en-AU"/>
        </w:rPr>
        <w:t>, 2014-2022, $40,000,000; Peduli</w:t>
      </w:r>
    </w:p>
  </w:endnote>
  <w:endnote w:id="66">
    <w:p w:rsidR="0049045F" w:rsidRPr="00EE1F4D" w:rsidRDefault="0049045F" w:rsidP="003C3FC6">
      <w:pPr>
        <w:pStyle w:val="EndnoteText"/>
        <w:rPr>
          <w:rFonts w:cstheme="minorHAnsi"/>
        </w:rPr>
      </w:pPr>
      <w:r w:rsidRPr="00EE1F4D">
        <w:rPr>
          <w:rStyle w:val="EndnoteReference"/>
          <w:rFonts w:cstheme="minorHAnsi"/>
        </w:rPr>
        <w:endnoteRef/>
      </w:r>
      <w:r w:rsidRPr="00EE1F4D">
        <w:rPr>
          <w:rFonts w:cstheme="minorHAnsi"/>
        </w:rPr>
        <w:t xml:space="preserve"> Yogyakarta, Sukoharjo, Situbondo, Klaten, West Sumba, Bone, Gowa and Banjarmasin</w:t>
      </w:r>
    </w:p>
  </w:endnote>
  <w:endnote w:id="67">
    <w:p w:rsidR="0049045F" w:rsidRPr="00EE1F4D" w:rsidRDefault="0049045F" w:rsidP="008075AE">
      <w:pPr>
        <w:pStyle w:val="EndnoteText"/>
        <w:rPr>
          <w:rFonts w:cstheme="minorHAnsi"/>
        </w:rPr>
      </w:pPr>
      <w:r w:rsidRPr="00EE1F4D">
        <w:rPr>
          <w:rStyle w:val="EndnoteReference"/>
          <w:rFonts w:cstheme="minorHAnsi"/>
        </w:rPr>
        <w:endnoteRef/>
      </w:r>
      <w:r w:rsidRPr="00EE1F4D">
        <w:rPr>
          <w:rFonts w:cstheme="minorHAnsi"/>
        </w:rPr>
        <w:t xml:space="preserve"> Peduli Bi-Annual Report, July – December 2018.</w:t>
      </w:r>
    </w:p>
  </w:endnote>
  <w:endnote w:id="68">
    <w:p w:rsidR="0049045F" w:rsidRPr="00EE1F4D" w:rsidRDefault="0049045F" w:rsidP="00612FC3">
      <w:pPr>
        <w:pStyle w:val="EndnoteText"/>
        <w:rPr>
          <w:rFonts w:cstheme="minorHAnsi"/>
        </w:rPr>
      </w:pPr>
      <w:r w:rsidRPr="00EE1F4D">
        <w:rPr>
          <w:rStyle w:val="EndnoteReference"/>
          <w:rFonts w:cstheme="minorHAnsi"/>
        </w:rPr>
        <w:endnoteRef/>
      </w:r>
      <w:r w:rsidRPr="00EE1F4D">
        <w:rPr>
          <w:rFonts w:cstheme="minorHAnsi"/>
        </w:rPr>
        <w:t xml:space="preserve"> Bappenas Press Release – Indonesian government Committed to Mainstream Low Carbon Development and Green Economy, 11 October 2018</w:t>
      </w:r>
    </w:p>
  </w:endnote>
  <w:endnote w:id="69">
    <w:p w:rsidR="0049045F" w:rsidRPr="009D6865" w:rsidRDefault="0049045F">
      <w:pPr>
        <w:pStyle w:val="EndnoteText"/>
        <w:rPr>
          <w:lang w:val="en-AU"/>
        </w:rPr>
      </w:pPr>
      <w:r>
        <w:rPr>
          <w:rStyle w:val="EndnoteReference"/>
        </w:rPr>
        <w:endnoteRef/>
      </w:r>
      <w:r>
        <w:t xml:space="preserve"> Environmental Governance, 2015-2020, AUD10,178,222</w:t>
      </w:r>
    </w:p>
  </w:endnote>
  <w:endnote w:id="70">
    <w:p w:rsidR="0049045F" w:rsidRPr="004D614E" w:rsidRDefault="0049045F" w:rsidP="000C1ACE">
      <w:pPr>
        <w:pStyle w:val="EndnoteText"/>
        <w:rPr>
          <w:rFonts w:cstheme="minorHAnsi"/>
          <w:sz w:val="16"/>
          <w:szCs w:val="16"/>
        </w:rPr>
      </w:pPr>
      <w:r w:rsidRPr="00EE1F4D">
        <w:rPr>
          <w:rStyle w:val="EndnoteReference"/>
          <w:rFonts w:cstheme="minorHAnsi"/>
        </w:rPr>
        <w:endnoteRef/>
      </w:r>
      <w:r w:rsidRPr="00EE1F4D">
        <w:rPr>
          <w:rFonts w:cstheme="minorHAnsi"/>
        </w:rPr>
        <w:t xml:space="preserve"> World Bank’s Sustainable Landscape Management Multi-Donor Trust Fund comprises 43 per cent Australian and 57 per cent Norwegian funds, with an overall total of USD10,884,324</w:t>
      </w:r>
    </w:p>
  </w:endnote>
  <w:endnote w:id="71">
    <w:p w:rsidR="0049045F" w:rsidRPr="00596812" w:rsidRDefault="0049045F">
      <w:pPr>
        <w:pStyle w:val="EndnoteText"/>
        <w:rPr>
          <w:lang w:val="en-AU"/>
        </w:rPr>
      </w:pPr>
      <w:r>
        <w:rPr>
          <w:rStyle w:val="EndnoteReference"/>
        </w:rPr>
        <w:endnoteRef/>
      </w:r>
      <w:r>
        <w:t xml:space="preserve"> </w:t>
      </w:r>
      <w:r>
        <w:rPr>
          <w:lang w:val="en-AU"/>
        </w:rPr>
        <w:t>Knowledge Sector Initiative (KSI), 2012-2020, AUD109,257,237</w:t>
      </w:r>
    </w:p>
  </w:endnote>
  <w:endnote w:id="72">
    <w:p w:rsidR="0049045F" w:rsidRPr="0037103F" w:rsidRDefault="0049045F">
      <w:pPr>
        <w:pStyle w:val="EndnoteText"/>
        <w:rPr>
          <w:lang w:val="en-AU"/>
        </w:rPr>
      </w:pPr>
      <w:r>
        <w:rPr>
          <w:rStyle w:val="EndnoteReference"/>
        </w:rPr>
        <w:endnoteRef/>
      </w:r>
      <w:r>
        <w:t xml:space="preserve"> </w:t>
      </w:r>
      <w:r>
        <w:rPr>
          <w:lang w:val="en-AU"/>
        </w:rPr>
        <w:t>MAMPU</w:t>
      </w:r>
    </w:p>
  </w:endnote>
  <w:endnote w:id="73">
    <w:p w:rsidR="0049045F" w:rsidRPr="0037103F" w:rsidRDefault="0049045F">
      <w:pPr>
        <w:pStyle w:val="EndnoteText"/>
        <w:rPr>
          <w:lang w:val="en-AU"/>
        </w:rPr>
      </w:pPr>
      <w:r>
        <w:rPr>
          <w:rStyle w:val="EndnoteReference"/>
        </w:rPr>
        <w:endnoteRef/>
      </w:r>
      <w:r>
        <w:t xml:space="preserve"> </w:t>
      </w:r>
      <w:r>
        <w:rPr>
          <w:lang w:val="en-AU"/>
        </w:rPr>
        <w:t>KSI</w:t>
      </w:r>
    </w:p>
  </w:endnote>
  <w:endnote w:id="74">
    <w:p w:rsidR="0049045F" w:rsidRPr="00D06714" w:rsidRDefault="0049045F">
      <w:pPr>
        <w:pStyle w:val="EndnoteText"/>
        <w:rPr>
          <w:lang w:val="en-AU"/>
        </w:rPr>
      </w:pPr>
      <w:r>
        <w:rPr>
          <w:rStyle w:val="EndnoteReference"/>
        </w:rPr>
        <w:endnoteRef/>
      </w:r>
      <w:r>
        <w:t xml:space="preserve"> </w:t>
      </w:r>
      <w:hyperlink r:id="rId22" w:history="1">
        <w:r w:rsidRPr="00401B79">
          <w:rPr>
            <w:rStyle w:val="Hyperlink"/>
            <w:rFonts w:cstheme="minorBidi"/>
          </w:rPr>
          <w:t>https://dfat.gov.au/about-us/publications/Pages/making-performance-count-enhancing-the-accountability-and-effectiveness-of-australian-aid.aspx</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16B" w:rsidRDefault="00BF0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965869"/>
      <w:docPartObj>
        <w:docPartGallery w:val="Page Numbers (Bottom of Page)"/>
        <w:docPartUnique/>
      </w:docPartObj>
    </w:sdtPr>
    <w:sdtEndPr>
      <w:rPr>
        <w:noProof/>
      </w:rPr>
    </w:sdtEndPr>
    <w:sdtContent>
      <w:p w:rsidR="0049045F" w:rsidRDefault="0049045F">
        <w:pPr>
          <w:pStyle w:val="Footer"/>
        </w:pPr>
        <w:r>
          <w:fldChar w:fldCharType="begin"/>
        </w:r>
        <w:r>
          <w:instrText xml:space="preserve"> PAGE   \* MERGEFORMAT </w:instrText>
        </w:r>
        <w:r>
          <w:fldChar w:fldCharType="separate"/>
        </w:r>
        <w:r w:rsidR="00BF016B">
          <w:rPr>
            <w:noProof/>
          </w:rPr>
          <w:t>4</w:t>
        </w:r>
        <w:r>
          <w:rPr>
            <w:noProof/>
          </w:rPr>
          <w:fldChar w:fldCharType="end"/>
        </w:r>
      </w:p>
    </w:sdtContent>
  </w:sdt>
  <w:p w:rsidR="0049045F" w:rsidRDefault="004904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16B" w:rsidRDefault="00BF01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CD0E4B" w:rsidRDefault="0049045F" w:rsidP="00784031">
    <w:pPr>
      <w:pStyle w:val="Footer"/>
    </w:pPr>
    <w:r w:rsidRPr="00CD0E4B">
      <w:rPr>
        <w:noProof/>
        <w:lang w:val="en-AU" w:eastAsia="en-AU"/>
      </w:rPr>
      <w:drawing>
        <wp:inline distT="0" distB="0" distL="0" distR="0" wp14:anchorId="5A968D83" wp14:editId="5CBFC24A">
          <wp:extent cx="90000" cy="74520"/>
          <wp:effectExtent l="0" t="0" r="5715"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49045F" w:rsidRPr="00CD0E4B" w:rsidRDefault="0049045F"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45F" w:rsidRPr="008C5A0E" w:rsidRDefault="0049045F" w:rsidP="001D663E">
      <w:pPr>
        <w:pStyle w:val="Footer"/>
        <w:pBdr>
          <w:top w:val="single" w:sz="4" w:space="1" w:color="495965" w:themeColor="text2"/>
        </w:pBdr>
      </w:pPr>
    </w:p>
  </w:footnote>
  <w:footnote w:type="continuationSeparator" w:id="0">
    <w:p w:rsidR="0049045F" w:rsidRDefault="0049045F" w:rsidP="00EF45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16B" w:rsidRDefault="00BF0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333501" w:rsidRDefault="0049045F" w:rsidP="008F56A8">
    <w:pPr>
      <w:pStyle w:val="Header"/>
      <w:jc w:val="left"/>
    </w:pPr>
    <w:r>
      <w:rPr>
        <w:noProof/>
        <w:lang w:val="en-AU" w:eastAsia="en-AU"/>
      </w:rPr>
      <w:drawing>
        <wp:anchor distT="0" distB="0" distL="114300" distR="114300" simplePos="0" relativeHeight="251681792" behindDoc="1" locked="1" layoutInCell="1" allowOverlap="1" wp14:anchorId="415BD601" wp14:editId="7B2DAADE">
          <wp:simplePos x="0" y="0"/>
          <wp:positionH relativeFrom="page">
            <wp:posOffset>7620</wp:posOffset>
          </wp:positionH>
          <wp:positionV relativeFrom="page">
            <wp:posOffset>55880</wp:posOffset>
          </wp:positionV>
          <wp:extent cx="7545705" cy="1070229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16B" w:rsidRDefault="00BF01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Default="004904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333501" w:rsidRDefault="0049045F" w:rsidP="008F56A8">
    <w:pPr>
      <w:pStyle w:val="Header"/>
      <w:jc w:val="left"/>
    </w:pPr>
    <w:r>
      <w:rPr>
        <w:noProof/>
        <w:lang w:val="en-AU" w:eastAsia="en-AU"/>
      </w:rPr>
      <w:drawing>
        <wp:anchor distT="0" distB="0" distL="114300" distR="114300" simplePos="0" relativeHeight="251697152" behindDoc="1" locked="1" layoutInCell="1" allowOverlap="1" wp14:anchorId="5C9DBE4D" wp14:editId="2A9A75F4">
          <wp:simplePos x="0" y="0"/>
          <wp:positionH relativeFrom="page">
            <wp:posOffset>160020</wp:posOffset>
          </wp:positionH>
          <wp:positionV relativeFrom="page">
            <wp:posOffset>160020</wp:posOffset>
          </wp:positionV>
          <wp:extent cx="10662285" cy="7545705"/>
          <wp:effectExtent l="0" t="0" r="5715"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3D352D" w:rsidRDefault="0049045F" w:rsidP="003D352D">
    <w:pPr>
      <w:pStyle w:val="Header"/>
      <w:jc w:val="left"/>
    </w:pPr>
    <w:r>
      <w:rPr>
        <w:noProof/>
        <w:lang w:val="en-AU" w:eastAsia="en-AU"/>
      </w:rPr>
      <w:drawing>
        <wp:anchor distT="0" distB="0" distL="114300" distR="114300" simplePos="0" relativeHeight="251695104" behindDoc="1" locked="1" layoutInCell="1" allowOverlap="1" wp14:anchorId="02ABCD4A" wp14:editId="13EF337A">
          <wp:simplePos x="0" y="0"/>
          <wp:positionH relativeFrom="page">
            <wp:posOffset>7620</wp:posOffset>
          </wp:positionH>
          <wp:positionV relativeFrom="page">
            <wp:posOffset>7620</wp:posOffset>
          </wp:positionV>
          <wp:extent cx="10662285" cy="7545705"/>
          <wp:effectExtent l="0" t="0" r="5715" b="0"/>
          <wp:wrapNone/>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333501" w:rsidRDefault="0049045F" w:rsidP="008F56A8">
    <w:pPr>
      <w:pStyle w:val="Header"/>
      <w:jc w:val="left"/>
    </w:pPr>
    <w:r>
      <w:rPr>
        <w:noProof/>
        <w:lang w:val="en-AU" w:eastAsia="en-AU"/>
      </w:rPr>
      <w:drawing>
        <wp:anchor distT="0" distB="0" distL="114300" distR="114300" simplePos="0" relativeHeight="251683840" behindDoc="1" locked="1" layoutInCell="1" allowOverlap="1" wp14:anchorId="438D79B5" wp14:editId="2582F304">
          <wp:simplePos x="0" y="0"/>
          <wp:positionH relativeFrom="page">
            <wp:posOffset>7620</wp:posOffset>
          </wp:positionH>
          <wp:positionV relativeFrom="page">
            <wp:posOffset>57785</wp:posOffset>
          </wp:positionV>
          <wp:extent cx="10800000" cy="7560000"/>
          <wp:effectExtent l="0" t="0" r="1905" b="3175"/>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800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5F" w:rsidRPr="00333501" w:rsidRDefault="0049045F" w:rsidP="008F56A8">
    <w:pPr>
      <w:pStyle w:val="Header"/>
      <w:jc w:val="left"/>
    </w:pPr>
    <w:r>
      <w:rPr>
        <w:noProof/>
        <w:lang w:val="en-AU" w:eastAsia="en-AU"/>
      </w:rPr>
      <w:drawing>
        <wp:anchor distT="0" distB="0" distL="114300" distR="114300" simplePos="0" relativeHeight="251701248" behindDoc="1" locked="1" layoutInCell="1" allowOverlap="1" wp14:anchorId="5FECBB43" wp14:editId="17D8DFEB">
          <wp:simplePos x="0" y="0"/>
          <wp:positionH relativeFrom="page">
            <wp:align>right</wp:align>
          </wp:positionH>
          <wp:positionV relativeFrom="page">
            <wp:align>top</wp:align>
          </wp:positionV>
          <wp:extent cx="7559040" cy="11025505"/>
          <wp:effectExtent l="0" t="0" r="3810"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1025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BD776F2"/>
    <w:multiLevelType w:val="hybridMultilevel"/>
    <w:tmpl w:val="F6AE1AF8"/>
    <w:lvl w:ilvl="0" w:tplc="0CBA8E3E">
      <w:numFmt w:val="bullet"/>
      <w:lvlText w:val="-"/>
      <w:lvlJc w:val="left"/>
      <w:pPr>
        <w:ind w:left="363" w:hanging="360"/>
      </w:pPr>
      <w:rPr>
        <w:rFonts w:ascii="Calibri" w:eastAsia="Calibri" w:hAnsi="Calibri" w:cs="Calibri" w:hint="default"/>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start w:val="1"/>
      <w:numFmt w:val="bullet"/>
      <w:lvlText w:val=""/>
      <w:lvlJc w:val="left"/>
      <w:pPr>
        <w:ind w:left="2523" w:hanging="360"/>
      </w:pPr>
      <w:rPr>
        <w:rFonts w:ascii="Symbol" w:hAnsi="Symbol" w:hint="default"/>
      </w:rPr>
    </w:lvl>
    <w:lvl w:ilvl="4" w:tplc="0C090003">
      <w:start w:val="1"/>
      <w:numFmt w:val="bullet"/>
      <w:lvlText w:val="o"/>
      <w:lvlJc w:val="left"/>
      <w:pPr>
        <w:ind w:left="3243" w:hanging="360"/>
      </w:pPr>
      <w:rPr>
        <w:rFonts w:ascii="Courier New" w:hAnsi="Courier New" w:cs="Courier New" w:hint="default"/>
      </w:rPr>
    </w:lvl>
    <w:lvl w:ilvl="5" w:tplc="0C090005">
      <w:start w:val="1"/>
      <w:numFmt w:val="bullet"/>
      <w:lvlText w:val=""/>
      <w:lvlJc w:val="left"/>
      <w:pPr>
        <w:ind w:left="3963" w:hanging="360"/>
      </w:pPr>
      <w:rPr>
        <w:rFonts w:ascii="Wingdings" w:hAnsi="Wingdings" w:hint="default"/>
      </w:rPr>
    </w:lvl>
    <w:lvl w:ilvl="6" w:tplc="0C090001">
      <w:start w:val="1"/>
      <w:numFmt w:val="bullet"/>
      <w:lvlText w:val=""/>
      <w:lvlJc w:val="left"/>
      <w:pPr>
        <w:ind w:left="4683" w:hanging="360"/>
      </w:pPr>
      <w:rPr>
        <w:rFonts w:ascii="Symbol" w:hAnsi="Symbol" w:hint="default"/>
      </w:rPr>
    </w:lvl>
    <w:lvl w:ilvl="7" w:tplc="0C090003">
      <w:start w:val="1"/>
      <w:numFmt w:val="bullet"/>
      <w:lvlText w:val="o"/>
      <w:lvlJc w:val="left"/>
      <w:pPr>
        <w:ind w:left="5403" w:hanging="360"/>
      </w:pPr>
      <w:rPr>
        <w:rFonts w:ascii="Courier New" w:hAnsi="Courier New" w:cs="Courier New" w:hint="default"/>
      </w:rPr>
    </w:lvl>
    <w:lvl w:ilvl="8" w:tplc="0C090005">
      <w:start w:val="1"/>
      <w:numFmt w:val="bullet"/>
      <w:lvlText w:val=""/>
      <w:lvlJc w:val="left"/>
      <w:pPr>
        <w:ind w:left="6123" w:hanging="360"/>
      </w:pPr>
      <w:rPr>
        <w:rFonts w:ascii="Wingdings" w:hAnsi="Wingdings" w:hint="default"/>
      </w:rPr>
    </w:lvl>
  </w:abstractNum>
  <w:abstractNum w:abstractNumId="2"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2DF019AC"/>
    <w:multiLevelType w:val="hybridMultilevel"/>
    <w:tmpl w:val="216C8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DF958A2"/>
    <w:multiLevelType w:val="hybridMultilevel"/>
    <w:tmpl w:val="0E7AA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5E3915"/>
    <w:multiLevelType w:val="hybridMultilevel"/>
    <w:tmpl w:val="483EB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F2DB9"/>
    <w:multiLevelType w:val="hybridMultilevel"/>
    <w:tmpl w:val="DB4692CC"/>
    <w:lvl w:ilvl="0" w:tplc="C00AB15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C63DAA"/>
    <w:multiLevelType w:val="hybridMultilevel"/>
    <w:tmpl w:val="090A3B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93278CA">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C8019A"/>
    <w:multiLevelType w:val="hybridMultilevel"/>
    <w:tmpl w:val="9CC4A4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E417978"/>
    <w:multiLevelType w:val="hybridMultilevel"/>
    <w:tmpl w:val="727C5DEC"/>
    <w:lvl w:ilvl="0" w:tplc="5692766E">
      <w:numFmt w:val="bullet"/>
      <w:lvlText w:val="-"/>
      <w:lvlJc w:val="left"/>
      <w:pPr>
        <w:ind w:left="360" w:hanging="360"/>
      </w:pPr>
      <w:rPr>
        <w:rFonts w:ascii="Calibri Light" w:eastAsiaTheme="minorHAnsi" w:hAnsi="Calibri Light" w:cstheme="minorBidi" w:hint="default"/>
      </w:rPr>
    </w:lvl>
    <w:lvl w:ilvl="1" w:tplc="5692766E">
      <w:numFmt w:val="bullet"/>
      <w:lvlText w:val="-"/>
      <w:lvlJc w:val="left"/>
      <w:pPr>
        <w:ind w:left="1080" w:hanging="360"/>
      </w:pPr>
      <w:rPr>
        <w:rFonts w:ascii="Calibri Light" w:eastAsiaTheme="minorHAnsi" w:hAnsi="Calibri Light" w:cstheme="minorBid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4E1A7D"/>
    <w:multiLevelType w:val="hybridMultilevel"/>
    <w:tmpl w:val="A9D4B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9A30A3C"/>
    <w:multiLevelType w:val="hybridMultilevel"/>
    <w:tmpl w:val="70B43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D3C1EA7"/>
    <w:multiLevelType w:val="multilevel"/>
    <w:tmpl w:val="43428892"/>
    <w:numStyleLink w:val="BulletsList"/>
  </w:abstractNum>
  <w:abstractNum w:abstractNumId="16" w15:restartNumberingAfterBreak="0">
    <w:nsid w:val="5D473326"/>
    <w:multiLevelType w:val="hybridMultilevel"/>
    <w:tmpl w:val="7CDEC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6082245A"/>
    <w:multiLevelType w:val="hybridMultilevel"/>
    <w:tmpl w:val="C7E40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EF51ED"/>
    <w:multiLevelType w:val="hybridMultilevel"/>
    <w:tmpl w:val="8ED8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AB6728"/>
    <w:multiLevelType w:val="hybridMultilevel"/>
    <w:tmpl w:val="60B6B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DBF521F"/>
    <w:multiLevelType w:val="hybridMultilevel"/>
    <w:tmpl w:val="7B60B5CE"/>
    <w:lvl w:ilvl="0" w:tplc="5692766E">
      <w:numFmt w:val="bullet"/>
      <w:lvlText w:val="-"/>
      <w:lvlJc w:val="left"/>
      <w:pPr>
        <w:ind w:left="360" w:hanging="360"/>
      </w:pPr>
      <w:rPr>
        <w:rFonts w:ascii="Calibri Light" w:eastAsiaTheme="minorHAnsi" w:hAnsi="Calibri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0"/>
  </w:num>
  <w:num w:numId="3">
    <w:abstractNumId w:val="3"/>
  </w:num>
  <w:num w:numId="4">
    <w:abstractNumId w:val="13"/>
  </w:num>
  <w:num w:numId="5">
    <w:abstractNumId w:val="17"/>
  </w:num>
  <w:num w:numId="6">
    <w:abstractNumId w:val="3"/>
  </w:num>
  <w:num w:numId="7">
    <w:abstractNumId w:val="15"/>
  </w:num>
  <w:num w:numId="8">
    <w:abstractNumId w:val="0"/>
  </w:num>
  <w:num w:numId="9">
    <w:abstractNumId w:val="12"/>
  </w:num>
  <w:num w:numId="10">
    <w:abstractNumId w:val="2"/>
  </w:num>
  <w:num w:numId="11">
    <w:abstractNumId w:val="19"/>
  </w:num>
  <w:num w:numId="12">
    <w:abstractNumId w:val="11"/>
  </w:num>
  <w:num w:numId="13">
    <w:abstractNumId w:val="18"/>
  </w:num>
  <w:num w:numId="14">
    <w:abstractNumId w:val="22"/>
  </w:num>
  <w:num w:numId="15">
    <w:abstractNumId w:val="6"/>
  </w:num>
  <w:num w:numId="16">
    <w:abstractNumId w:val="10"/>
  </w:num>
  <w:num w:numId="17">
    <w:abstractNumId w:val="7"/>
  </w:num>
  <w:num w:numId="18">
    <w:abstractNumId w:val="8"/>
  </w:num>
  <w:num w:numId="19">
    <w:abstractNumId w:val="1"/>
  </w:num>
  <w:num w:numId="20">
    <w:abstractNumId w:val="16"/>
  </w:num>
  <w:num w:numId="21">
    <w:abstractNumId w:val="4"/>
  </w:num>
  <w:num w:numId="22">
    <w:abstractNumId w:val="2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4"/>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573"/>
    <w:rsid w:val="00001DA8"/>
    <w:rsid w:val="000065B0"/>
    <w:rsid w:val="00007834"/>
    <w:rsid w:val="00010E30"/>
    <w:rsid w:val="0001168E"/>
    <w:rsid w:val="0001341F"/>
    <w:rsid w:val="0001389A"/>
    <w:rsid w:val="000148F3"/>
    <w:rsid w:val="000149C9"/>
    <w:rsid w:val="00015316"/>
    <w:rsid w:val="000201E8"/>
    <w:rsid w:val="00020705"/>
    <w:rsid w:val="0002080A"/>
    <w:rsid w:val="00022BD8"/>
    <w:rsid w:val="000266E5"/>
    <w:rsid w:val="0002782F"/>
    <w:rsid w:val="00027F29"/>
    <w:rsid w:val="00031512"/>
    <w:rsid w:val="00032F15"/>
    <w:rsid w:val="00033AB7"/>
    <w:rsid w:val="00033E37"/>
    <w:rsid w:val="000364F9"/>
    <w:rsid w:val="0004364B"/>
    <w:rsid w:val="000457A9"/>
    <w:rsid w:val="00051107"/>
    <w:rsid w:val="00054E4D"/>
    <w:rsid w:val="00055EAA"/>
    <w:rsid w:val="00060073"/>
    <w:rsid w:val="00060268"/>
    <w:rsid w:val="00062E0E"/>
    <w:rsid w:val="00063457"/>
    <w:rsid w:val="000637CB"/>
    <w:rsid w:val="00063911"/>
    <w:rsid w:val="00063DCE"/>
    <w:rsid w:val="0006418A"/>
    <w:rsid w:val="00064EF9"/>
    <w:rsid w:val="00064F6C"/>
    <w:rsid w:val="000650AE"/>
    <w:rsid w:val="00075060"/>
    <w:rsid w:val="00075D04"/>
    <w:rsid w:val="00075D92"/>
    <w:rsid w:val="00080CF1"/>
    <w:rsid w:val="00083616"/>
    <w:rsid w:val="00084483"/>
    <w:rsid w:val="00084A7D"/>
    <w:rsid w:val="00093770"/>
    <w:rsid w:val="0009389C"/>
    <w:rsid w:val="00094885"/>
    <w:rsid w:val="00097C8A"/>
    <w:rsid w:val="000A0080"/>
    <w:rsid w:val="000A224D"/>
    <w:rsid w:val="000A3F2E"/>
    <w:rsid w:val="000A4EC1"/>
    <w:rsid w:val="000A53A5"/>
    <w:rsid w:val="000A637F"/>
    <w:rsid w:val="000A72FC"/>
    <w:rsid w:val="000B0FA0"/>
    <w:rsid w:val="000B2614"/>
    <w:rsid w:val="000C1ACE"/>
    <w:rsid w:val="000C251B"/>
    <w:rsid w:val="000C41C9"/>
    <w:rsid w:val="000C6B86"/>
    <w:rsid w:val="000C6EBD"/>
    <w:rsid w:val="000D1F9C"/>
    <w:rsid w:val="000D66D6"/>
    <w:rsid w:val="000D73C5"/>
    <w:rsid w:val="000E1193"/>
    <w:rsid w:val="000E28C7"/>
    <w:rsid w:val="000E2A59"/>
    <w:rsid w:val="000E314A"/>
    <w:rsid w:val="000E34E0"/>
    <w:rsid w:val="000E6006"/>
    <w:rsid w:val="000F109C"/>
    <w:rsid w:val="000F2DFD"/>
    <w:rsid w:val="000F3478"/>
    <w:rsid w:val="000F39B2"/>
    <w:rsid w:val="000F3F56"/>
    <w:rsid w:val="000F616C"/>
    <w:rsid w:val="000F67D4"/>
    <w:rsid w:val="00104186"/>
    <w:rsid w:val="00104B69"/>
    <w:rsid w:val="001062AB"/>
    <w:rsid w:val="001103E6"/>
    <w:rsid w:val="001127AE"/>
    <w:rsid w:val="00113068"/>
    <w:rsid w:val="00117A87"/>
    <w:rsid w:val="001206AB"/>
    <w:rsid w:val="001209A6"/>
    <w:rsid w:val="00123B90"/>
    <w:rsid w:val="001258F7"/>
    <w:rsid w:val="001274E0"/>
    <w:rsid w:val="001302EE"/>
    <w:rsid w:val="00130591"/>
    <w:rsid w:val="0013316C"/>
    <w:rsid w:val="00133539"/>
    <w:rsid w:val="001340B6"/>
    <w:rsid w:val="00136682"/>
    <w:rsid w:val="00137553"/>
    <w:rsid w:val="001414B1"/>
    <w:rsid w:val="001419F8"/>
    <w:rsid w:val="00142520"/>
    <w:rsid w:val="00143B9B"/>
    <w:rsid w:val="001465A8"/>
    <w:rsid w:val="001541EA"/>
    <w:rsid w:val="001559EC"/>
    <w:rsid w:val="00157B9D"/>
    <w:rsid w:val="00161FB1"/>
    <w:rsid w:val="00162218"/>
    <w:rsid w:val="0016562E"/>
    <w:rsid w:val="00166962"/>
    <w:rsid w:val="00167CE6"/>
    <w:rsid w:val="001734E8"/>
    <w:rsid w:val="001744A5"/>
    <w:rsid w:val="00174A09"/>
    <w:rsid w:val="00174B8C"/>
    <w:rsid w:val="00175988"/>
    <w:rsid w:val="00175ADC"/>
    <w:rsid w:val="0018057C"/>
    <w:rsid w:val="00184818"/>
    <w:rsid w:val="00186EA3"/>
    <w:rsid w:val="00187D6B"/>
    <w:rsid w:val="0019150F"/>
    <w:rsid w:val="00192136"/>
    <w:rsid w:val="00194A60"/>
    <w:rsid w:val="001964C3"/>
    <w:rsid w:val="00196C69"/>
    <w:rsid w:val="001A035F"/>
    <w:rsid w:val="001A0521"/>
    <w:rsid w:val="001A5885"/>
    <w:rsid w:val="001A732D"/>
    <w:rsid w:val="001B1BC2"/>
    <w:rsid w:val="001B5019"/>
    <w:rsid w:val="001B77DA"/>
    <w:rsid w:val="001B7D49"/>
    <w:rsid w:val="001C197B"/>
    <w:rsid w:val="001C27CB"/>
    <w:rsid w:val="001C2887"/>
    <w:rsid w:val="001C3771"/>
    <w:rsid w:val="001C3BDA"/>
    <w:rsid w:val="001C3D7E"/>
    <w:rsid w:val="001C49FF"/>
    <w:rsid w:val="001D0086"/>
    <w:rsid w:val="001D4AA2"/>
    <w:rsid w:val="001D59F2"/>
    <w:rsid w:val="001D663E"/>
    <w:rsid w:val="001E1BC0"/>
    <w:rsid w:val="001E1C4A"/>
    <w:rsid w:val="001E1DC0"/>
    <w:rsid w:val="001E4046"/>
    <w:rsid w:val="001E5970"/>
    <w:rsid w:val="001E5EC6"/>
    <w:rsid w:val="001E789F"/>
    <w:rsid w:val="001F2B23"/>
    <w:rsid w:val="001F48CB"/>
    <w:rsid w:val="001F5E83"/>
    <w:rsid w:val="00200FF9"/>
    <w:rsid w:val="00201AD7"/>
    <w:rsid w:val="0020300F"/>
    <w:rsid w:val="0020363F"/>
    <w:rsid w:val="00203D08"/>
    <w:rsid w:val="00205F65"/>
    <w:rsid w:val="00205F9C"/>
    <w:rsid w:val="0020644A"/>
    <w:rsid w:val="00206EE2"/>
    <w:rsid w:val="00207A17"/>
    <w:rsid w:val="00211CA4"/>
    <w:rsid w:val="0021549D"/>
    <w:rsid w:val="00225533"/>
    <w:rsid w:val="002309D8"/>
    <w:rsid w:val="00236A53"/>
    <w:rsid w:val="00236FC5"/>
    <w:rsid w:val="00243938"/>
    <w:rsid w:val="002443C8"/>
    <w:rsid w:val="00251006"/>
    <w:rsid w:val="00251B22"/>
    <w:rsid w:val="002523E3"/>
    <w:rsid w:val="00265228"/>
    <w:rsid w:val="00265CC6"/>
    <w:rsid w:val="0026679D"/>
    <w:rsid w:val="0026770F"/>
    <w:rsid w:val="00270D12"/>
    <w:rsid w:val="0027380D"/>
    <w:rsid w:val="00275DB7"/>
    <w:rsid w:val="0027602A"/>
    <w:rsid w:val="002773F2"/>
    <w:rsid w:val="0027749D"/>
    <w:rsid w:val="00281D3A"/>
    <w:rsid w:val="00282D5C"/>
    <w:rsid w:val="00284957"/>
    <w:rsid w:val="00284FB7"/>
    <w:rsid w:val="0028602A"/>
    <w:rsid w:val="00286E45"/>
    <w:rsid w:val="002901FA"/>
    <w:rsid w:val="00290E3F"/>
    <w:rsid w:val="002912DC"/>
    <w:rsid w:val="002918CC"/>
    <w:rsid w:val="00291FBF"/>
    <w:rsid w:val="00295B6C"/>
    <w:rsid w:val="00296018"/>
    <w:rsid w:val="002A202F"/>
    <w:rsid w:val="002A309B"/>
    <w:rsid w:val="002A4290"/>
    <w:rsid w:val="002A5174"/>
    <w:rsid w:val="002A51CA"/>
    <w:rsid w:val="002A5D92"/>
    <w:rsid w:val="002A6AC8"/>
    <w:rsid w:val="002A7FEC"/>
    <w:rsid w:val="002B3E95"/>
    <w:rsid w:val="002B5E10"/>
    <w:rsid w:val="002B62EA"/>
    <w:rsid w:val="002B6CC8"/>
    <w:rsid w:val="002B7C3A"/>
    <w:rsid w:val="002C093B"/>
    <w:rsid w:val="002C1DC9"/>
    <w:rsid w:val="002C3CAA"/>
    <w:rsid w:val="002C46B2"/>
    <w:rsid w:val="002C4B9B"/>
    <w:rsid w:val="002C58FA"/>
    <w:rsid w:val="002C7600"/>
    <w:rsid w:val="002D02FD"/>
    <w:rsid w:val="002D0C33"/>
    <w:rsid w:val="002D17CB"/>
    <w:rsid w:val="002D2B16"/>
    <w:rsid w:val="002D7E54"/>
    <w:rsid w:val="002E370E"/>
    <w:rsid w:val="002E38E6"/>
    <w:rsid w:val="002E6AFF"/>
    <w:rsid w:val="002E7004"/>
    <w:rsid w:val="002E7B5E"/>
    <w:rsid w:val="002F43F6"/>
    <w:rsid w:val="003002C0"/>
    <w:rsid w:val="00300AEA"/>
    <w:rsid w:val="00300C3E"/>
    <w:rsid w:val="00301144"/>
    <w:rsid w:val="0030375B"/>
    <w:rsid w:val="0030689D"/>
    <w:rsid w:val="00312615"/>
    <w:rsid w:val="003148B7"/>
    <w:rsid w:val="003158C3"/>
    <w:rsid w:val="00317010"/>
    <w:rsid w:val="00320251"/>
    <w:rsid w:val="003216CD"/>
    <w:rsid w:val="00323955"/>
    <w:rsid w:val="00323C86"/>
    <w:rsid w:val="00324651"/>
    <w:rsid w:val="003253C5"/>
    <w:rsid w:val="00326D1A"/>
    <w:rsid w:val="00326EC9"/>
    <w:rsid w:val="003274CD"/>
    <w:rsid w:val="00331B00"/>
    <w:rsid w:val="00332EC9"/>
    <w:rsid w:val="00333501"/>
    <w:rsid w:val="00334B3E"/>
    <w:rsid w:val="003448D8"/>
    <w:rsid w:val="003457C4"/>
    <w:rsid w:val="0035119D"/>
    <w:rsid w:val="00354407"/>
    <w:rsid w:val="00355383"/>
    <w:rsid w:val="0035626C"/>
    <w:rsid w:val="00356B93"/>
    <w:rsid w:val="00356EE6"/>
    <w:rsid w:val="00357702"/>
    <w:rsid w:val="00362101"/>
    <w:rsid w:val="00365382"/>
    <w:rsid w:val="0036690F"/>
    <w:rsid w:val="00367569"/>
    <w:rsid w:val="00370D26"/>
    <w:rsid w:val="0037103F"/>
    <w:rsid w:val="003716DF"/>
    <w:rsid w:val="00373FF9"/>
    <w:rsid w:val="003750E5"/>
    <w:rsid w:val="00375BC4"/>
    <w:rsid w:val="00381CA0"/>
    <w:rsid w:val="00381EFB"/>
    <w:rsid w:val="0038506E"/>
    <w:rsid w:val="003856CD"/>
    <w:rsid w:val="003856DB"/>
    <w:rsid w:val="0038595B"/>
    <w:rsid w:val="00385BB0"/>
    <w:rsid w:val="00385DFD"/>
    <w:rsid w:val="00386351"/>
    <w:rsid w:val="00386EA9"/>
    <w:rsid w:val="0039080B"/>
    <w:rsid w:val="00392890"/>
    <w:rsid w:val="00393B21"/>
    <w:rsid w:val="003967CB"/>
    <w:rsid w:val="003A35FC"/>
    <w:rsid w:val="003A44F8"/>
    <w:rsid w:val="003A6893"/>
    <w:rsid w:val="003B13CA"/>
    <w:rsid w:val="003B33F6"/>
    <w:rsid w:val="003B3538"/>
    <w:rsid w:val="003B4EC0"/>
    <w:rsid w:val="003B4F12"/>
    <w:rsid w:val="003B629A"/>
    <w:rsid w:val="003B65F5"/>
    <w:rsid w:val="003B7C3C"/>
    <w:rsid w:val="003C3CAB"/>
    <w:rsid w:val="003C3FC6"/>
    <w:rsid w:val="003C4A58"/>
    <w:rsid w:val="003C5C26"/>
    <w:rsid w:val="003C680E"/>
    <w:rsid w:val="003C76F9"/>
    <w:rsid w:val="003D1320"/>
    <w:rsid w:val="003D28C5"/>
    <w:rsid w:val="003D2CD8"/>
    <w:rsid w:val="003D352D"/>
    <w:rsid w:val="003D4153"/>
    <w:rsid w:val="003D73E0"/>
    <w:rsid w:val="003E25AB"/>
    <w:rsid w:val="003E3CFC"/>
    <w:rsid w:val="003E6670"/>
    <w:rsid w:val="00400B0F"/>
    <w:rsid w:val="0040195B"/>
    <w:rsid w:val="00401BCB"/>
    <w:rsid w:val="00402ACC"/>
    <w:rsid w:val="00404EAB"/>
    <w:rsid w:val="00405C0C"/>
    <w:rsid w:val="00405CD0"/>
    <w:rsid w:val="00407042"/>
    <w:rsid w:val="004120EC"/>
    <w:rsid w:val="0041483B"/>
    <w:rsid w:val="00415C13"/>
    <w:rsid w:val="0042289C"/>
    <w:rsid w:val="00423540"/>
    <w:rsid w:val="00423986"/>
    <w:rsid w:val="00423B74"/>
    <w:rsid w:val="00423F31"/>
    <w:rsid w:val="004249C2"/>
    <w:rsid w:val="004275A8"/>
    <w:rsid w:val="00431899"/>
    <w:rsid w:val="00431E2C"/>
    <w:rsid w:val="0043479B"/>
    <w:rsid w:val="0043564E"/>
    <w:rsid w:val="00436D3D"/>
    <w:rsid w:val="004405E8"/>
    <w:rsid w:val="00440EF0"/>
    <w:rsid w:val="00445E65"/>
    <w:rsid w:val="00446E44"/>
    <w:rsid w:val="0045548D"/>
    <w:rsid w:val="00456996"/>
    <w:rsid w:val="004570D4"/>
    <w:rsid w:val="00461428"/>
    <w:rsid w:val="004615BC"/>
    <w:rsid w:val="00463FE3"/>
    <w:rsid w:val="00464594"/>
    <w:rsid w:val="00465EFF"/>
    <w:rsid w:val="00472FAD"/>
    <w:rsid w:val="004740AB"/>
    <w:rsid w:val="0047411B"/>
    <w:rsid w:val="0047585E"/>
    <w:rsid w:val="0047619C"/>
    <w:rsid w:val="004767D9"/>
    <w:rsid w:val="0047757E"/>
    <w:rsid w:val="00481155"/>
    <w:rsid w:val="00481E38"/>
    <w:rsid w:val="004828E3"/>
    <w:rsid w:val="00484333"/>
    <w:rsid w:val="00486804"/>
    <w:rsid w:val="0049045F"/>
    <w:rsid w:val="004915E0"/>
    <w:rsid w:val="00494062"/>
    <w:rsid w:val="00495D6C"/>
    <w:rsid w:val="004961BF"/>
    <w:rsid w:val="00496824"/>
    <w:rsid w:val="0049755C"/>
    <w:rsid w:val="004977A1"/>
    <w:rsid w:val="00497C1A"/>
    <w:rsid w:val="004A25E2"/>
    <w:rsid w:val="004B0D37"/>
    <w:rsid w:val="004B3775"/>
    <w:rsid w:val="004B657E"/>
    <w:rsid w:val="004B7E31"/>
    <w:rsid w:val="004C1501"/>
    <w:rsid w:val="004C2B92"/>
    <w:rsid w:val="004C5D93"/>
    <w:rsid w:val="004C5E71"/>
    <w:rsid w:val="004C67FC"/>
    <w:rsid w:val="004D0AFC"/>
    <w:rsid w:val="004D0BA0"/>
    <w:rsid w:val="004D398C"/>
    <w:rsid w:val="004D43F3"/>
    <w:rsid w:val="004D5C5B"/>
    <w:rsid w:val="004D614E"/>
    <w:rsid w:val="004D775B"/>
    <w:rsid w:val="004E0264"/>
    <w:rsid w:val="004E02F1"/>
    <w:rsid w:val="004E058F"/>
    <w:rsid w:val="004E0D7B"/>
    <w:rsid w:val="004E2F7C"/>
    <w:rsid w:val="004E3B87"/>
    <w:rsid w:val="004F1239"/>
    <w:rsid w:val="004F2B7A"/>
    <w:rsid w:val="004F3DEA"/>
    <w:rsid w:val="004F4021"/>
    <w:rsid w:val="004F437F"/>
    <w:rsid w:val="004F43F8"/>
    <w:rsid w:val="004F58C8"/>
    <w:rsid w:val="004F6A34"/>
    <w:rsid w:val="00500ADA"/>
    <w:rsid w:val="005014D3"/>
    <w:rsid w:val="005017AF"/>
    <w:rsid w:val="00503D56"/>
    <w:rsid w:val="00503F9A"/>
    <w:rsid w:val="0050410E"/>
    <w:rsid w:val="0050554B"/>
    <w:rsid w:val="00507059"/>
    <w:rsid w:val="00507B08"/>
    <w:rsid w:val="00507D2F"/>
    <w:rsid w:val="0051090B"/>
    <w:rsid w:val="00510921"/>
    <w:rsid w:val="00510AD3"/>
    <w:rsid w:val="00510FAB"/>
    <w:rsid w:val="0051178C"/>
    <w:rsid w:val="00513348"/>
    <w:rsid w:val="00513C84"/>
    <w:rsid w:val="005218A1"/>
    <w:rsid w:val="005232B0"/>
    <w:rsid w:val="005239F9"/>
    <w:rsid w:val="00532F13"/>
    <w:rsid w:val="00533B5D"/>
    <w:rsid w:val="00534F83"/>
    <w:rsid w:val="00535FDC"/>
    <w:rsid w:val="00537DA5"/>
    <w:rsid w:val="00541E15"/>
    <w:rsid w:val="0054596A"/>
    <w:rsid w:val="005511BF"/>
    <w:rsid w:val="0055143D"/>
    <w:rsid w:val="00553E45"/>
    <w:rsid w:val="005558E8"/>
    <w:rsid w:val="00555A80"/>
    <w:rsid w:val="0055702B"/>
    <w:rsid w:val="00576369"/>
    <w:rsid w:val="00581437"/>
    <w:rsid w:val="00582023"/>
    <w:rsid w:val="00584D32"/>
    <w:rsid w:val="00585222"/>
    <w:rsid w:val="00587E50"/>
    <w:rsid w:val="0059146A"/>
    <w:rsid w:val="0059150F"/>
    <w:rsid w:val="00591B7E"/>
    <w:rsid w:val="00591BF4"/>
    <w:rsid w:val="00591FFE"/>
    <w:rsid w:val="005925E2"/>
    <w:rsid w:val="0059273E"/>
    <w:rsid w:val="00593D4B"/>
    <w:rsid w:val="00595F5C"/>
    <w:rsid w:val="00596812"/>
    <w:rsid w:val="005A08DD"/>
    <w:rsid w:val="005A6513"/>
    <w:rsid w:val="005B05BE"/>
    <w:rsid w:val="005B1577"/>
    <w:rsid w:val="005B49B1"/>
    <w:rsid w:val="005B5769"/>
    <w:rsid w:val="005B626D"/>
    <w:rsid w:val="005B7386"/>
    <w:rsid w:val="005B76A1"/>
    <w:rsid w:val="005C10E1"/>
    <w:rsid w:val="005C4B98"/>
    <w:rsid w:val="005C4FA5"/>
    <w:rsid w:val="005C516F"/>
    <w:rsid w:val="005C7B42"/>
    <w:rsid w:val="005D0A89"/>
    <w:rsid w:val="005D3655"/>
    <w:rsid w:val="005D38AD"/>
    <w:rsid w:val="005D414C"/>
    <w:rsid w:val="005D5D59"/>
    <w:rsid w:val="005D6183"/>
    <w:rsid w:val="005E0547"/>
    <w:rsid w:val="005E0867"/>
    <w:rsid w:val="005E0D9E"/>
    <w:rsid w:val="005E2D01"/>
    <w:rsid w:val="005E4F7A"/>
    <w:rsid w:val="005E5824"/>
    <w:rsid w:val="005E6000"/>
    <w:rsid w:val="005E606B"/>
    <w:rsid w:val="005E7712"/>
    <w:rsid w:val="005F14EE"/>
    <w:rsid w:val="005F2598"/>
    <w:rsid w:val="005F442C"/>
    <w:rsid w:val="005F739B"/>
    <w:rsid w:val="00600479"/>
    <w:rsid w:val="00607357"/>
    <w:rsid w:val="00607767"/>
    <w:rsid w:val="006121AC"/>
    <w:rsid w:val="00612FC3"/>
    <w:rsid w:val="00614154"/>
    <w:rsid w:val="00615669"/>
    <w:rsid w:val="00615FC4"/>
    <w:rsid w:val="00616148"/>
    <w:rsid w:val="006165CE"/>
    <w:rsid w:val="00616AB4"/>
    <w:rsid w:val="00620046"/>
    <w:rsid w:val="00620766"/>
    <w:rsid w:val="00623283"/>
    <w:rsid w:val="00623BA1"/>
    <w:rsid w:val="00626203"/>
    <w:rsid w:val="00632FD5"/>
    <w:rsid w:val="006346BC"/>
    <w:rsid w:val="00636046"/>
    <w:rsid w:val="00636527"/>
    <w:rsid w:val="00641C63"/>
    <w:rsid w:val="00643934"/>
    <w:rsid w:val="00644903"/>
    <w:rsid w:val="00645053"/>
    <w:rsid w:val="00645672"/>
    <w:rsid w:val="00646F9F"/>
    <w:rsid w:val="006541F8"/>
    <w:rsid w:val="0065543A"/>
    <w:rsid w:val="006568FB"/>
    <w:rsid w:val="00657915"/>
    <w:rsid w:val="00657AEE"/>
    <w:rsid w:val="006609A2"/>
    <w:rsid w:val="00660F20"/>
    <w:rsid w:val="00664BCC"/>
    <w:rsid w:val="0066652A"/>
    <w:rsid w:val="00667AB0"/>
    <w:rsid w:val="00667F7E"/>
    <w:rsid w:val="00671073"/>
    <w:rsid w:val="00671D61"/>
    <w:rsid w:val="00672712"/>
    <w:rsid w:val="00675FF7"/>
    <w:rsid w:val="00676C9C"/>
    <w:rsid w:val="00680522"/>
    <w:rsid w:val="00681F08"/>
    <w:rsid w:val="00682167"/>
    <w:rsid w:val="006850E5"/>
    <w:rsid w:val="00687711"/>
    <w:rsid w:val="006926A1"/>
    <w:rsid w:val="006937C2"/>
    <w:rsid w:val="0069543A"/>
    <w:rsid w:val="00696B1B"/>
    <w:rsid w:val="00696BC5"/>
    <w:rsid w:val="006A1E32"/>
    <w:rsid w:val="006A49BC"/>
    <w:rsid w:val="006A53C8"/>
    <w:rsid w:val="006A5EFB"/>
    <w:rsid w:val="006B2F03"/>
    <w:rsid w:val="006B370C"/>
    <w:rsid w:val="006B747E"/>
    <w:rsid w:val="006C0F59"/>
    <w:rsid w:val="006C10CA"/>
    <w:rsid w:val="006C40E5"/>
    <w:rsid w:val="006C42AF"/>
    <w:rsid w:val="006C4AB0"/>
    <w:rsid w:val="006C4F09"/>
    <w:rsid w:val="006C6912"/>
    <w:rsid w:val="006C6B4E"/>
    <w:rsid w:val="006C7EFB"/>
    <w:rsid w:val="006D119C"/>
    <w:rsid w:val="006D1F86"/>
    <w:rsid w:val="006D3587"/>
    <w:rsid w:val="006D3BD0"/>
    <w:rsid w:val="006D4943"/>
    <w:rsid w:val="006D5055"/>
    <w:rsid w:val="006E1236"/>
    <w:rsid w:val="006E2004"/>
    <w:rsid w:val="006E347F"/>
    <w:rsid w:val="006E3DEC"/>
    <w:rsid w:val="006E42A3"/>
    <w:rsid w:val="006E4965"/>
    <w:rsid w:val="006E547C"/>
    <w:rsid w:val="006E5EEA"/>
    <w:rsid w:val="006F0C64"/>
    <w:rsid w:val="006F27B1"/>
    <w:rsid w:val="006F2CFB"/>
    <w:rsid w:val="006F35B7"/>
    <w:rsid w:val="006F4053"/>
    <w:rsid w:val="006F4D3B"/>
    <w:rsid w:val="00700D87"/>
    <w:rsid w:val="00701C90"/>
    <w:rsid w:val="007032E8"/>
    <w:rsid w:val="00703614"/>
    <w:rsid w:val="00703859"/>
    <w:rsid w:val="007068E8"/>
    <w:rsid w:val="00711D8E"/>
    <w:rsid w:val="00712672"/>
    <w:rsid w:val="00715E51"/>
    <w:rsid w:val="00716158"/>
    <w:rsid w:val="00722CA0"/>
    <w:rsid w:val="00723B62"/>
    <w:rsid w:val="00726C30"/>
    <w:rsid w:val="00727C58"/>
    <w:rsid w:val="007311BF"/>
    <w:rsid w:val="0073120D"/>
    <w:rsid w:val="007349C2"/>
    <w:rsid w:val="00734E3F"/>
    <w:rsid w:val="00736985"/>
    <w:rsid w:val="0074089B"/>
    <w:rsid w:val="007415BF"/>
    <w:rsid w:val="0074204E"/>
    <w:rsid w:val="007433D2"/>
    <w:rsid w:val="007453B5"/>
    <w:rsid w:val="00745DF5"/>
    <w:rsid w:val="00751DC3"/>
    <w:rsid w:val="0075230C"/>
    <w:rsid w:val="0075396A"/>
    <w:rsid w:val="00754B01"/>
    <w:rsid w:val="00755899"/>
    <w:rsid w:val="00760943"/>
    <w:rsid w:val="007612E7"/>
    <w:rsid w:val="0076250F"/>
    <w:rsid w:val="00765DEE"/>
    <w:rsid w:val="007674BA"/>
    <w:rsid w:val="00767A1A"/>
    <w:rsid w:val="0077079F"/>
    <w:rsid w:val="00771015"/>
    <w:rsid w:val="00771B53"/>
    <w:rsid w:val="00772CC6"/>
    <w:rsid w:val="00773549"/>
    <w:rsid w:val="007749C9"/>
    <w:rsid w:val="00774DE9"/>
    <w:rsid w:val="00775776"/>
    <w:rsid w:val="007776E4"/>
    <w:rsid w:val="00780F21"/>
    <w:rsid w:val="00783E36"/>
    <w:rsid w:val="00784031"/>
    <w:rsid w:val="0078587D"/>
    <w:rsid w:val="00786D6E"/>
    <w:rsid w:val="00787D46"/>
    <w:rsid w:val="007909E9"/>
    <w:rsid w:val="00793D6D"/>
    <w:rsid w:val="007943F5"/>
    <w:rsid w:val="00796C4B"/>
    <w:rsid w:val="007A4063"/>
    <w:rsid w:val="007B03EC"/>
    <w:rsid w:val="007B0BA9"/>
    <w:rsid w:val="007B27BE"/>
    <w:rsid w:val="007B2AA1"/>
    <w:rsid w:val="007B314F"/>
    <w:rsid w:val="007B3A0B"/>
    <w:rsid w:val="007B43AC"/>
    <w:rsid w:val="007B4865"/>
    <w:rsid w:val="007B603C"/>
    <w:rsid w:val="007B6200"/>
    <w:rsid w:val="007B7E73"/>
    <w:rsid w:val="007C0990"/>
    <w:rsid w:val="007C2540"/>
    <w:rsid w:val="007C2912"/>
    <w:rsid w:val="007C7418"/>
    <w:rsid w:val="007D0299"/>
    <w:rsid w:val="007D1389"/>
    <w:rsid w:val="007D28EC"/>
    <w:rsid w:val="007D2E25"/>
    <w:rsid w:val="007D39D8"/>
    <w:rsid w:val="007D4540"/>
    <w:rsid w:val="007D5192"/>
    <w:rsid w:val="007D7832"/>
    <w:rsid w:val="007E1E0C"/>
    <w:rsid w:val="007F0A94"/>
    <w:rsid w:val="007F0F34"/>
    <w:rsid w:val="007F3395"/>
    <w:rsid w:val="007F5EA3"/>
    <w:rsid w:val="007F61B7"/>
    <w:rsid w:val="007F796B"/>
    <w:rsid w:val="00801B9F"/>
    <w:rsid w:val="00801BD9"/>
    <w:rsid w:val="008024EF"/>
    <w:rsid w:val="00802CFA"/>
    <w:rsid w:val="00803FA1"/>
    <w:rsid w:val="008057FD"/>
    <w:rsid w:val="00806678"/>
    <w:rsid w:val="0080748A"/>
    <w:rsid w:val="008075AE"/>
    <w:rsid w:val="00807664"/>
    <w:rsid w:val="00810FD8"/>
    <w:rsid w:val="008136DA"/>
    <w:rsid w:val="0081650E"/>
    <w:rsid w:val="00817F15"/>
    <w:rsid w:val="008214F0"/>
    <w:rsid w:val="00824534"/>
    <w:rsid w:val="008319F8"/>
    <w:rsid w:val="00834289"/>
    <w:rsid w:val="008350EE"/>
    <w:rsid w:val="00842EA5"/>
    <w:rsid w:val="008437A1"/>
    <w:rsid w:val="00845C34"/>
    <w:rsid w:val="008464B2"/>
    <w:rsid w:val="008475F0"/>
    <w:rsid w:val="00847D1E"/>
    <w:rsid w:val="00847F0C"/>
    <w:rsid w:val="008518C3"/>
    <w:rsid w:val="008543A6"/>
    <w:rsid w:val="00857897"/>
    <w:rsid w:val="00860480"/>
    <w:rsid w:val="00864210"/>
    <w:rsid w:val="00866D45"/>
    <w:rsid w:val="00866D4F"/>
    <w:rsid w:val="008715C6"/>
    <w:rsid w:val="008718BD"/>
    <w:rsid w:val="00877C1C"/>
    <w:rsid w:val="00880004"/>
    <w:rsid w:val="008818E6"/>
    <w:rsid w:val="00884D45"/>
    <w:rsid w:val="008859BA"/>
    <w:rsid w:val="00886073"/>
    <w:rsid w:val="00891631"/>
    <w:rsid w:val="008918EF"/>
    <w:rsid w:val="008968DE"/>
    <w:rsid w:val="008A14DC"/>
    <w:rsid w:val="008A524A"/>
    <w:rsid w:val="008A5AFE"/>
    <w:rsid w:val="008A5E56"/>
    <w:rsid w:val="008A76BD"/>
    <w:rsid w:val="008B1297"/>
    <w:rsid w:val="008B188E"/>
    <w:rsid w:val="008B2815"/>
    <w:rsid w:val="008B3757"/>
    <w:rsid w:val="008B55C6"/>
    <w:rsid w:val="008B616F"/>
    <w:rsid w:val="008B68D7"/>
    <w:rsid w:val="008B7D42"/>
    <w:rsid w:val="008C019A"/>
    <w:rsid w:val="008C0CCF"/>
    <w:rsid w:val="008C1E54"/>
    <w:rsid w:val="008C2F58"/>
    <w:rsid w:val="008C41BD"/>
    <w:rsid w:val="008C5A0E"/>
    <w:rsid w:val="008D1BF0"/>
    <w:rsid w:val="008D485E"/>
    <w:rsid w:val="008D4DD7"/>
    <w:rsid w:val="008D5262"/>
    <w:rsid w:val="008D58A5"/>
    <w:rsid w:val="008D7043"/>
    <w:rsid w:val="008E051B"/>
    <w:rsid w:val="008E3474"/>
    <w:rsid w:val="008E5292"/>
    <w:rsid w:val="008E7399"/>
    <w:rsid w:val="008F0C31"/>
    <w:rsid w:val="008F12EE"/>
    <w:rsid w:val="008F50D9"/>
    <w:rsid w:val="008F56A8"/>
    <w:rsid w:val="008F5A02"/>
    <w:rsid w:val="008F7325"/>
    <w:rsid w:val="008F7BBB"/>
    <w:rsid w:val="00901D6F"/>
    <w:rsid w:val="00911CE7"/>
    <w:rsid w:val="0092202F"/>
    <w:rsid w:val="009247B9"/>
    <w:rsid w:val="0092743F"/>
    <w:rsid w:val="00927E9B"/>
    <w:rsid w:val="00933CAA"/>
    <w:rsid w:val="00937D65"/>
    <w:rsid w:val="00942037"/>
    <w:rsid w:val="00942EC8"/>
    <w:rsid w:val="009473CA"/>
    <w:rsid w:val="00947DFD"/>
    <w:rsid w:val="009516B5"/>
    <w:rsid w:val="0095186C"/>
    <w:rsid w:val="0095299A"/>
    <w:rsid w:val="009540BB"/>
    <w:rsid w:val="00960BF4"/>
    <w:rsid w:val="009614CB"/>
    <w:rsid w:val="00961659"/>
    <w:rsid w:val="0096460E"/>
    <w:rsid w:val="0096506E"/>
    <w:rsid w:val="009671AC"/>
    <w:rsid w:val="00970924"/>
    <w:rsid w:val="00970F95"/>
    <w:rsid w:val="009713B6"/>
    <w:rsid w:val="00973298"/>
    <w:rsid w:val="00974C8A"/>
    <w:rsid w:val="0097534D"/>
    <w:rsid w:val="00977275"/>
    <w:rsid w:val="00982BD3"/>
    <w:rsid w:val="00984EDF"/>
    <w:rsid w:val="009903F3"/>
    <w:rsid w:val="00991897"/>
    <w:rsid w:val="00992C76"/>
    <w:rsid w:val="00992FD9"/>
    <w:rsid w:val="00993550"/>
    <w:rsid w:val="00993574"/>
    <w:rsid w:val="00996ECB"/>
    <w:rsid w:val="009A11A7"/>
    <w:rsid w:val="009A7E28"/>
    <w:rsid w:val="009B3BCB"/>
    <w:rsid w:val="009B46B3"/>
    <w:rsid w:val="009B4D3B"/>
    <w:rsid w:val="009B5046"/>
    <w:rsid w:val="009B5604"/>
    <w:rsid w:val="009B5B0A"/>
    <w:rsid w:val="009C1CF9"/>
    <w:rsid w:val="009C5863"/>
    <w:rsid w:val="009C78AE"/>
    <w:rsid w:val="009D0433"/>
    <w:rsid w:val="009D4E8A"/>
    <w:rsid w:val="009D6865"/>
    <w:rsid w:val="009D6E84"/>
    <w:rsid w:val="009D7407"/>
    <w:rsid w:val="009E0866"/>
    <w:rsid w:val="009E309E"/>
    <w:rsid w:val="009E3DDE"/>
    <w:rsid w:val="009E42D0"/>
    <w:rsid w:val="009E48D5"/>
    <w:rsid w:val="009E7BB8"/>
    <w:rsid w:val="009E7EDA"/>
    <w:rsid w:val="009F0197"/>
    <w:rsid w:val="009F0659"/>
    <w:rsid w:val="009F07B0"/>
    <w:rsid w:val="009F1D72"/>
    <w:rsid w:val="009F4EA9"/>
    <w:rsid w:val="009F5488"/>
    <w:rsid w:val="009F6087"/>
    <w:rsid w:val="009F6423"/>
    <w:rsid w:val="009F6FCA"/>
    <w:rsid w:val="009F726E"/>
    <w:rsid w:val="00A01B65"/>
    <w:rsid w:val="00A02594"/>
    <w:rsid w:val="00A04E01"/>
    <w:rsid w:val="00A04FB7"/>
    <w:rsid w:val="00A070BB"/>
    <w:rsid w:val="00A07AEE"/>
    <w:rsid w:val="00A1005D"/>
    <w:rsid w:val="00A11FF4"/>
    <w:rsid w:val="00A144A4"/>
    <w:rsid w:val="00A14E76"/>
    <w:rsid w:val="00A16644"/>
    <w:rsid w:val="00A2007F"/>
    <w:rsid w:val="00A22045"/>
    <w:rsid w:val="00A24A62"/>
    <w:rsid w:val="00A25BAA"/>
    <w:rsid w:val="00A2657D"/>
    <w:rsid w:val="00A2677A"/>
    <w:rsid w:val="00A30889"/>
    <w:rsid w:val="00A315E9"/>
    <w:rsid w:val="00A31720"/>
    <w:rsid w:val="00A31C9F"/>
    <w:rsid w:val="00A322E9"/>
    <w:rsid w:val="00A32391"/>
    <w:rsid w:val="00A3405F"/>
    <w:rsid w:val="00A365A0"/>
    <w:rsid w:val="00A365BF"/>
    <w:rsid w:val="00A37B24"/>
    <w:rsid w:val="00A4144F"/>
    <w:rsid w:val="00A41BCF"/>
    <w:rsid w:val="00A44D35"/>
    <w:rsid w:val="00A44F33"/>
    <w:rsid w:val="00A50FD0"/>
    <w:rsid w:val="00A528B6"/>
    <w:rsid w:val="00A53A42"/>
    <w:rsid w:val="00A54034"/>
    <w:rsid w:val="00A555BD"/>
    <w:rsid w:val="00A55B9F"/>
    <w:rsid w:val="00A56F14"/>
    <w:rsid w:val="00A5774C"/>
    <w:rsid w:val="00A57D87"/>
    <w:rsid w:val="00A62C2C"/>
    <w:rsid w:val="00A63353"/>
    <w:rsid w:val="00A63FB4"/>
    <w:rsid w:val="00A64885"/>
    <w:rsid w:val="00A64B39"/>
    <w:rsid w:val="00A67E0E"/>
    <w:rsid w:val="00A803BC"/>
    <w:rsid w:val="00A80F95"/>
    <w:rsid w:val="00A8197B"/>
    <w:rsid w:val="00A81F24"/>
    <w:rsid w:val="00A870CE"/>
    <w:rsid w:val="00A92F96"/>
    <w:rsid w:val="00A94F97"/>
    <w:rsid w:val="00AA1B6B"/>
    <w:rsid w:val="00AA4926"/>
    <w:rsid w:val="00AA4F0A"/>
    <w:rsid w:val="00AA7BE3"/>
    <w:rsid w:val="00AA7F63"/>
    <w:rsid w:val="00AB007E"/>
    <w:rsid w:val="00AB455B"/>
    <w:rsid w:val="00AB5E7F"/>
    <w:rsid w:val="00AB6EE8"/>
    <w:rsid w:val="00AC164A"/>
    <w:rsid w:val="00AC1F84"/>
    <w:rsid w:val="00AC2946"/>
    <w:rsid w:val="00AC2CD4"/>
    <w:rsid w:val="00AC302F"/>
    <w:rsid w:val="00AC3D0D"/>
    <w:rsid w:val="00AC66FF"/>
    <w:rsid w:val="00AD48FF"/>
    <w:rsid w:val="00AD4A21"/>
    <w:rsid w:val="00AD515D"/>
    <w:rsid w:val="00AD517E"/>
    <w:rsid w:val="00AD54C3"/>
    <w:rsid w:val="00AD7096"/>
    <w:rsid w:val="00AE19B5"/>
    <w:rsid w:val="00AE671D"/>
    <w:rsid w:val="00AF1B85"/>
    <w:rsid w:val="00AF2050"/>
    <w:rsid w:val="00AF2E9A"/>
    <w:rsid w:val="00AF33FA"/>
    <w:rsid w:val="00AF4C56"/>
    <w:rsid w:val="00B01A0B"/>
    <w:rsid w:val="00B03CA8"/>
    <w:rsid w:val="00B0583E"/>
    <w:rsid w:val="00B06584"/>
    <w:rsid w:val="00B06E1F"/>
    <w:rsid w:val="00B14255"/>
    <w:rsid w:val="00B14B1B"/>
    <w:rsid w:val="00B15E76"/>
    <w:rsid w:val="00B16213"/>
    <w:rsid w:val="00B24A11"/>
    <w:rsid w:val="00B251E5"/>
    <w:rsid w:val="00B3170C"/>
    <w:rsid w:val="00B31E27"/>
    <w:rsid w:val="00B325D7"/>
    <w:rsid w:val="00B32D8B"/>
    <w:rsid w:val="00B331DC"/>
    <w:rsid w:val="00B37C19"/>
    <w:rsid w:val="00B40814"/>
    <w:rsid w:val="00B40A08"/>
    <w:rsid w:val="00B438D3"/>
    <w:rsid w:val="00B51A32"/>
    <w:rsid w:val="00B52464"/>
    <w:rsid w:val="00B54459"/>
    <w:rsid w:val="00B556B1"/>
    <w:rsid w:val="00B55E19"/>
    <w:rsid w:val="00B60693"/>
    <w:rsid w:val="00B63145"/>
    <w:rsid w:val="00B637D8"/>
    <w:rsid w:val="00B6549E"/>
    <w:rsid w:val="00B66E7E"/>
    <w:rsid w:val="00B6778E"/>
    <w:rsid w:val="00B67BAC"/>
    <w:rsid w:val="00B70708"/>
    <w:rsid w:val="00B71D38"/>
    <w:rsid w:val="00B71D47"/>
    <w:rsid w:val="00B80A54"/>
    <w:rsid w:val="00B83C15"/>
    <w:rsid w:val="00B84261"/>
    <w:rsid w:val="00B8487D"/>
    <w:rsid w:val="00B8584C"/>
    <w:rsid w:val="00B85C1E"/>
    <w:rsid w:val="00B8672A"/>
    <w:rsid w:val="00B902D6"/>
    <w:rsid w:val="00B92301"/>
    <w:rsid w:val="00B92306"/>
    <w:rsid w:val="00BA0315"/>
    <w:rsid w:val="00BA2477"/>
    <w:rsid w:val="00BA4B6D"/>
    <w:rsid w:val="00BA53C9"/>
    <w:rsid w:val="00BB1CEA"/>
    <w:rsid w:val="00BB254C"/>
    <w:rsid w:val="00BB26C5"/>
    <w:rsid w:val="00BB2EA9"/>
    <w:rsid w:val="00BB67BA"/>
    <w:rsid w:val="00BB747E"/>
    <w:rsid w:val="00BC337C"/>
    <w:rsid w:val="00BC35E5"/>
    <w:rsid w:val="00BC5545"/>
    <w:rsid w:val="00BC6950"/>
    <w:rsid w:val="00BD2818"/>
    <w:rsid w:val="00BD37DA"/>
    <w:rsid w:val="00BD5A81"/>
    <w:rsid w:val="00BE1F1C"/>
    <w:rsid w:val="00BE2E0C"/>
    <w:rsid w:val="00BE4275"/>
    <w:rsid w:val="00BE4786"/>
    <w:rsid w:val="00BE4F7D"/>
    <w:rsid w:val="00BE5B3B"/>
    <w:rsid w:val="00BE62AB"/>
    <w:rsid w:val="00BE64E7"/>
    <w:rsid w:val="00BE6C6D"/>
    <w:rsid w:val="00BE737D"/>
    <w:rsid w:val="00BE7959"/>
    <w:rsid w:val="00BF016B"/>
    <w:rsid w:val="00BF4DE6"/>
    <w:rsid w:val="00BF4F0B"/>
    <w:rsid w:val="00BF622C"/>
    <w:rsid w:val="00C00905"/>
    <w:rsid w:val="00C055A1"/>
    <w:rsid w:val="00C11022"/>
    <w:rsid w:val="00C12418"/>
    <w:rsid w:val="00C12DD1"/>
    <w:rsid w:val="00C15658"/>
    <w:rsid w:val="00C16B2E"/>
    <w:rsid w:val="00C21D1F"/>
    <w:rsid w:val="00C225B9"/>
    <w:rsid w:val="00C22BEC"/>
    <w:rsid w:val="00C249F3"/>
    <w:rsid w:val="00C255D7"/>
    <w:rsid w:val="00C27F54"/>
    <w:rsid w:val="00C32980"/>
    <w:rsid w:val="00C3298B"/>
    <w:rsid w:val="00C33684"/>
    <w:rsid w:val="00C3758E"/>
    <w:rsid w:val="00C37B55"/>
    <w:rsid w:val="00C40558"/>
    <w:rsid w:val="00C406F0"/>
    <w:rsid w:val="00C409F8"/>
    <w:rsid w:val="00C4170E"/>
    <w:rsid w:val="00C429ED"/>
    <w:rsid w:val="00C42CB0"/>
    <w:rsid w:val="00C42CDE"/>
    <w:rsid w:val="00C4545D"/>
    <w:rsid w:val="00C500D7"/>
    <w:rsid w:val="00C5182A"/>
    <w:rsid w:val="00C53148"/>
    <w:rsid w:val="00C61596"/>
    <w:rsid w:val="00C61B69"/>
    <w:rsid w:val="00C63EE9"/>
    <w:rsid w:val="00C6626C"/>
    <w:rsid w:val="00C719E7"/>
    <w:rsid w:val="00C72C2E"/>
    <w:rsid w:val="00C734C3"/>
    <w:rsid w:val="00C737D4"/>
    <w:rsid w:val="00C81E49"/>
    <w:rsid w:val="00C839ED"/>
    <w:rsid w:val="00C84AD0"/>
    <w:rsid w:val="00C854A9"/>
    <w:rsid w:val="00C8738E"/>
    <w:rsid w:val="00C90AA1"/>
    <w:rsid w:val="00C958C8"/>
    <w:rsid w:val="00C9673B"/>
    <w:rsid w:val="00CA2966"/>
    <w:rsid w:val="00CA37B1"/>
    <w:rsid w:val="00CA61E4"/>
    <w:rsid w:val="00CA6B51"/>
    <w:rsid w:val="00CA7DD8"/>
    <w:rsid w:val="00CB1959"/>
    <w:rsid w:val="00CB71D0"/>
    <w:rsid w:val="00CC0DAD"/>
    <w:rsid w:val="00CC1498"/>
    <w:rsid w:val="00CC2BEC"/>
    <w:rsid w:val="00CC4E3F"/>
    <w:rsid w:val="00CC4F91"/>
    <w:rsid w:val="00CC5BC8"/>
    <w:rsid w:val="00CD0E4B"/>
    <w:rsid w:val="00CD3E81"/>
    <w:rsid w:val="00CD3EAA"/>
    <w:rsid w:val="00CD57E9"/>
    <w:rsid w:val="00CE0155"/>
    <w:rsid w:val="00CE38C2"/>
    <w:rsid w:val="00CE4404"/>
    <w:rsid w:val="00CE5DF0"/>
    <w:rsid w:val="00CE6E52"/>
    <w:rsid w:val="00CE75E1"/>
    <w:rsid w:val="00CF4692"/>
    <w:rsid w:val="00CF6A7B"/>
    <w:rsid w:val="00D00802"/>
    <w:rsid w:val="00D00B2F"/>
    <w:rsid w:val="00D01BA4"/>
    <w:rsid w:val="00D0296C"/>
    <w:rsid w:val="00D06418"/>
    <w:rsid w:val="00D06714"/>
    <w:rsid w:val="00D11998"/>
    <w:rsid w:val="00D146A2"/>
    <w:rsid w:val="00D14B40"/>
    <w:rsid w:val="00D15A00"/>
    <w:rsid w:val="00D23457"/>
    <w:rsid w:val="00D2441D"/>
    <w:rsid w:val="00D24F86"/>
    <w:rsid w:val="00D25012"/>
    <w:rsid w:val="00D25373"/>
    <w:rsid w:val="00D25D4F"/>
    <w:rsid w:val="00D26198"/>
    <w:rsid w:val="00D268BC"/>
    <w:rsid w:val="00D26F5B"/>
    <w:rsid w:val="00D306E0"/>
    <w:rsid w:val="00D30CA1"/>
    <w:rsid w:val="00D312DE"/>
    <w:rsid w:val="00D3315E"/>
    <w:rsid w:val="00D33BF8"/>
    <w:rsid w:val="00D33D9C"/>
    <w:rsid w:val="00D3490E"/>
    <w:rsid w:val="00D36DBE"/>
    <w:rsid w:val="00D40AEB"/>
    <w:rsid w:val="00D41DFD"/>
    <w:rsid w:val="00D42449"/>
    <w:rsid w:val="00D44D6C"/>
    <w:rsid w:val="00D44FA3"/>
    <w:rsid w:val="00D460DC"/>
    <w:rsid w:val="00D468DF"/>
    <w:rsid w:val="00D474E0"/>
    <w:rsid w:val="00D47875"/>
    <w:rsid w:val="00D507CF"/>
    <w:rsid w:val="00D52340"/>
    <w:rsid w:val="00D537A9"/>
    <w:rsid w:val="00D5437A"/>
    <w:rsid w:val="00D600BF"/>
    <w:rsid w:val="00D6115F"/>
    <w:rsid w:val="00D62FAE"/>
    <w:rsid w:val="00D63533"/>
    <w:rsid w:val="00D63EAF"/>
    <w:rsid w:val="00D64BD1"/>
    <w:rsid w:val="00D6514E"/>
    <w:rsid w:val="00D70A9E"/>
    <w:rsid w:val="00D71544"/>
    <w:rsid w:val="00D72760"/>
    <w:rsid w:val="00D737D1"/>
    <w:rsid w:val="00D73EFE"/>
    <w:rsid w:val="00D82F83"/>
    <w:rsid w:val="00D86954"/>
    <w:rsid w:val="00D8710C"/>
    <w:rsid w:val="00D8732A"/>
    <w:rsid w:val="00D907DA"/>
    <w:rsid w:val="00D908B1"/>
    <w:rsid w:val="00D96F4C"/>
    <w:rsid w:val="00D971DA"/>
    <w:rsid w:val="00DA040F"/>
    <w:rsid w:val="00DA1A14"/>
    <w:rsid w:val="00DA2110"/>
    <w:rsid w:val="00DA2F00"/>
    <w:rsid w:val="00DA51D4"/>
    <w:rsid w:val="00DA5BD1"/>
    <w:rsid w:val="00DB0B7F"/>
    <w:rsid w:val="00DC0AB2"/>
    <w:rsid w:val="00DC4B84"/>
    <w:rsid w:val="00DC5884"/>
    <w:rsid w:val="00DC5994"/>
    <w:rsid w:val="00DD1986"/>
    <w:rsid w:val="00DD4676"/>
    <w:rsid w:val="00DD6296"/>
    <w:rsid w:val="00DD67CF"/>
    <w:rsid w:val="00DD70B0"/>
    <w:rsid w:val="00DD7E85"/>
    <w:rsid w:val="00DE0666"/>
    <w:rsid w:val="00DE084C"/>
    <w:rsid w:val="00DE2B7D"/>
    <w:rsid w:val="00DE7BE3"/>
    <w:rsid w:val="00DF203D"/>
    <w:rsid w:val="00DF308C"/>
    <w:rsid w:val="00DF47E3"/>
    <w:rsid w:val="00E003BA"/>
    <w:rsid w:val="00E005DA"/>
    <w:rsid w:val="00E00ED7"/>
    <w:rsid w:val="00E02069"/>
    <w:rsid w:val="00E02866"/>
    <w:rsid w:val="00E0358A"/>
    <w:rsid w:val="00E0714F"/>
    <w:rsid w:val="00E0719C"/>
    <w:rsid w:val="00E0739A"/>
    <w:rsid w:val="00E07F55"/>
    <w:rsid w:val="00E1328F"/>
    <w:rsid w:val="00E2131E"/>
    <w:rsid w:val="00E232EB"/>
    <w:rsid w:val="00E245D7"/>
    <w:rsid w:val="00E3171C"/>
    <w:rsid w:val="00E31A85"/>
    <w:rsid w:val="00E323D8"/>
    <w:rsid w:val="00E357B7"/>
    <w:rsid w:val="00E36C6B"/>
    <w:rsid w:val="00E36F91"/>
    <w:rsid w:val="00E400AC"/>
    <w:rsid w:val="00E40FFF"/>
    <w:rsid w:val="00E416B7"/>
    <w:rsid w:val="00E41868"/>
    <w:rsid w:val="00E41C13"/>
    <w:rsid w:val="00E43057"/>
    <w:rsid w:val="00E45244"/>
    <w:rsid w:val="00E47CE3"/>
    <w:rsid w:val="00E505C0"/>
    <w:rsid w:val="00E505E4"/>
    <w:rsid w:val="00E5178C"/>
    <w:rsid w:val="00E527D8"/>
    <w:rsid w:val="00E53744"/>
    <w:rsid w:val="00E53800"/>
    <w:rsid w:val="00E544CB"/>
    <w:rsid w:val="00E6081F"/>
    <w:rsid w:val="00E717A3"/>
    <w:rsid w:val="00E76046"/>
    <w:rsid w:val="00E7692F"/>
    <w:rsid w:val="00E80C09"/>
    <w:rsid w:val="00E82367"/>
    <w:rsid w:val="00E8326A"/>
    <w:rsid w:val="00E8430C"/>
    <w:rsid w:val="00E84898"/>
    <w:rsid w:val="00E86210"/>
    <w:rsid w:val="00E9348A"/>
    <w:rsid w:val="00E93D52"/>
    <w:rsid w:val="00EA04B2"/>
    <w:rsid w:val="00EA08B0"/>
    <w:rsid w:val="00EA20F3"/>
    <w:rsid w:val="00EA5BEA"/>
    <w:rsid w:val="00EA6434"/>
    <w:rsid w:val="00EB1864"/>
    <w:rsid w:val="00EB24DC"/>
    <w:rsid w:val="00EB24F2"/>
    <w:rsid w:val="00EB2D0F"/>
    <w:rsid w:val="00EB7DDB"/>
    <w:rsid w:val="00EC15DD"/>
    <w:rsid w:val="00EC29D6"/>
    <w:rsid w:val="00EC4A22"/>
    <w:rsid w:val="00EC5601"/>
    <w:rsid w:val="00ED076C"/>
    <w:rsid w:val="00ED25DD"/>
    <w:rsid w:val="00ED2831"/>
    <w:rsid w:val="00ED43D1"/>
    <w:rsid w:val="00EE0C49"/>
    <w:rsid w:val="00EE1F4D"/>
    <w:rsid w:val="00EE3EBC"/>
    <w:rsid w:val="00EE4ED4"/>
    <w:rsid w:val="00EE4EE1"/>
    <w:rsid w:val="00EE512E"/>
    <w:rsid w:val="00EF313B"/>
    <w:rsid w:val="00EF39A4"/>
    <w:rsid w:val="00EF4574"/>
    <w:rsid w:val="00EF6543"/>
    <w:rsid w:val="00F007A4"/>
    <w:rsid w:val="00F00B9F"/>
    <w:rsid w:val="00F01C03"/>
    <w:rsid w:val="00F03C95"/>
    <w:rsid w:val="00F10744"/>
    <w:rsid w:val="00F15632"/>
    <w:rsid w:val="00F17042"/>
    <w:rsid w:val="00F201D7"/>
    <w:rsid w:val="00F2684E"/>
    <w:rsid w:val="00F27678"/>
    <w:rsid w:val="00F30E2F"/>
    <w:rsid w:val="00F317B1"/>
    <w:rsid w:val="00F33481"/>
    <w:rsid w:val="00F35901"/>
    <w:rsid w:val="00F37349"/>
    <w:rsid w:val="00F41B26"/>
    <w:rsid w:val="00F47E9C"/>
    <w:rsid w:val="00F506A6"/>
    <w:rsid w:val="00F50C40"/>
    <w:rsid w:val="00F52543"/>
    <w:rsid w:val="00F5312C"/>
    <w:rsid w:val="00F5404C"/>
    <w:rsid w:val="00F54180"/>
    <w:rsid w:val="00F54209"/>
    <w:rsid w:val="00F549F9"/>
    <w:rsid w:val="00F55115"/>
    <w:rsid w:val="00F55A84"/>
    <w:rsid w:val="00F5660A"/>
    <w:rsid w:val="00F612EC"/>
    <w:rsid w:val="00F65FFD"/>
    <w:rsid w:val="00F6618A"/>
    <w:rsid w:val="00F67E55"/>
    <w:rsid w:val="00F729EF"/>
    <w:rsid w:val="00F7368C"/>
    <w:rsid w:val="00F74AD0"/>
    <w:rsid w:val="00F758AF"/>
    <w:rsid w:val="00F77CAE"/>
    <w:rsid w:val="00F77ECA"/>
    <w:rsid w:val="00F82271"/>
    <w:rsid w:val="00F83428"/>
    <w:rsid w:val="00F908A9"/>
    <w:rsid w:val="00F9453E"/>
    <w:rsid w:val="00F95CBF"/>
    <w:rsid w:val="00F96BB9"/>
    <w:rsid w:val="00FA03C2"/>
    <w:rsid w:val="00FA1E77"/>
    <w:rsid w:val="00FA371A"/>
    <w:rsid w:val="00FA6FFF"/>
    <w:rsid w:val="00FA7526"/>
    <w:rsid w:val="00FB001F"/>
    <w:rsid w:val="00FB06F8"/>
    <w:rsid w:val="00FB4985"/>
    <w:rsid w:val="00FB4D45"/>
    <w:rsid w:val="00FC6C40"/>
    <w:rsid w:val="00FD6D4B"/>
    <w:rsid w:val="00FE0C7B"/>
    <w:rsid w:val="00FE4541"/>
    <w:rsid w:val="00FE4EE2"/>
    <w:rsid w:val="00FE5B4C"/>
    <w:rsid w:val="00FE5C35"/>
    <w:rsid w:val="00FE641E"/>
    <w:rsid w:val="00FE69FF"/>
    <w:rsid w:val="00FE6D51"/>
    <w:rsid w:val="00FE78FE"/>
    <w:rsid w:val="00FF09F3"/>
    <w:rsid w:val="00FF11D2"/>
    <w:rsid w:val="00FF381E"/>
    <w:rsid w:val="00FF565D"/>
    <w:rsid w:val="00FF7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7"/>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8"/>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before="480"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9"/>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0"/>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basedOn w:val="DefaultParagraphFont"/>
    <w:link w:val="ListParagraph"/>
    <w:uiPriority w:val="34"/>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character" w:styleId="CommentReference">
    <w:name w:val="annotation reference"/>
    <w:basedOn w:val="DefaultParagraphFont"/>
    <w:uiPriority w:val="99"/>
    <w:semiHidden/>
    <w:unhideWhenUsed/>
    <w:rsid w:val="000D1F9C"/>
    <w:rPr>
      <w:sz w:val="16"/>
      <w:szCs w:val="16"/>
    </w:rPr>
  </w:style>
  <w:style w:type="paragraph" w:styleId="CommentText">
    <w:name w:val="annotation text"/>
    <w:basedOn w:val="Normal"/>
    <w:link w:val="CommentTextChar"/>
    <w:uiPriority w:val="99"/>
    <w:unhideWhenUsed/>
    <w:rsid w:val="000D1F9C"/>
    <w:pPr>
      <w:spacing w:line="240" w:lineRule="auto"/>
    </w:pPr>
    <w:rPr>
      <w:sz w:val="20"/>
      <w:szCs w:val="20"/>
    </w:rPr>
  </w:style>
  <w:style w:type="character" w:customStyle="1" w:styleId="CommentTextChar">
    <w:name w:val="Comment Text Char"/>
    <w:basedOn w:val="DefaultParagraphFont"/>
    <w:link w:val="CommentText"/>
    <w:uiPriority w:val="99"/>
    <w:rsid w:val="000D1F9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0D1F9C"/>
    <w:rPr>
      <w:b/>
      <w:bCs/>
    </w:rPr>
  </w:style>
  <w:style w:type="character" w:customStyle="1" w:styleId="CommentSubjectChar">
    <w:name w:val="Comment Subject Char"/>
    <w:basedOn w:val="CommentTextChar"/>
    <w:link w:val="CommentSubject"/>
    <w:uiPriority w:val="99"/>
    <w:semiHidden/>
    <w:rsid w:val="000D1F9C"/>
    <w:rPr>
      <w:b/>
      <w:bCs/>
      <w:color w:val="495965" w:themeColor="text2"/>
      <w:sz w:val="20"/>
      <w:szCs w:val="20"/>
      <w:lang w:val="en-GB"/>
    </w:rPr>
  </w:style>
  <w:style w:type="paragraph" w:styleId="NoSpacing">
    <w:name w:val="No Spacing"/>
    <w:uiPriority w:val="1"/>
    <w:qFormat/>
    <w:rsid w:val="00A41BCF"/>
    <w:pPr>
      <w:spacing w:after="0" w:line="240" w:lineRule="auto"/>
    </w:pPr>
    <w:rPr>
      <w:rFonts w:ascii="Times New Roman" w:hAnsi="Times New Roman" w:cs="Times New Roman"/>
      <w:sz w:val="24"/>
      <w:szCs w:val="24"/>
      <w:lang w:eastAsia="en-AU"/>
    </w:rPr>
  </w:style>
  <w:style w:type="paragraph" w:customStyle="1" w:styleId="Default">
    <w:name w:val="Default"/>
    <w:uiPriority w:val="99"/>
    <w:rsid w:val="002E7B5E"/>
    <w:pPr>
      <w:autoSpaceDE w:val="0"/>
      <w:autoSpaceDN w:val="0"/>
      <w:adjustRightInd w:val="0"/>
      <w:spacing w:after="0" w:line="240" w:lineRule="auto"/>
    </w:pPr>
    <w:rPr>
      <w:rFonts w:ascii="Calibri" w:hAnsi="Calibri" w:cs="Calibri"/>
      <w:color w:val="000000"/>
      <w:sz w:val="24"/>
      <w:szCs w:val="24"/>
    </w:rPr>
  </w:style>
  <w:style w:type="table" w:customStyle="1" w:styleId="APPR1">
    <w:name w:val="APPR1"/>
    <w:basedOn w:val="TableNormal"/>
    <w:uiPriority w:val="99"/>
    <w:rsid w:val="002E7004"/>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2E7004"/>
    <w:pPr>
      <w:spacing w:after="0" w:line="240" w:lineRule="auto"/>
    </w:pPr>
    <w:rPr>
      <w:color w:val="495965" w:themeColor="text2"/>
      <w:lang w:val="en-GB"/>
    </w:rPr>
  </w:style>
  <w:style w:type="paragraph" w:styleId="EndnoteText">
    <w:name w:val="endnote text"/>
    <w:basedOn w:val="Normal"/>
    <w:link w:val="EndnoteTextChar"/>
    <w:uiPriority w:val="99"/>
    <w:unhideWhenUsed/>
    <w:rsid w:val="00D70A9E"/>
    <w:pPr>
      <w:spacing w:before="0" w:after="0" w:line="240" w:lineRule="auto"/>
    </w:pPr>
    <w:rPr>
      <w:sz w:val="20"/>
      <w:szCs w:val="20"/>
    </w:rPr>
  </w:style>
  <w:style w:type="character" w:customStyle="1" w:styleId="EndnoteTextChar">
    <w:name w:val="Endnote Text Char"/>
    <w:basedOn w:val="DefaultParagraphFont"/>
    <w:link w:val="EndnoteText"/>
    <w:uiPriority w:val="99"/>
    <w:rsid w:val="00D70A9E"/>
    <w:rPr>
      <w:color w:val="495965" w:themeColor="text2"/>
      <w:sz w:val="20"/>
      <w:szCs w:val="20"/>
      <w:lang w:val="en-GB"/>
    </w:rPr>
  </w:style>
  <w:style w:type="character" w:styleId="EndnoteReference">
    <w:name w:val="endnote reference"/>
    <w:basedOn w:val="DefaultParagraphFont"/>
    <w:uiPriority w:val="99"/>
    <w:semiHidden/>
    <w:unhideWhenUsed/>
    <w:rsid w:val="00D70A9E"/>
    <w:rPr>
      <w:vertAlign w:val="superscript"/>
    </w:rPr>
  </w:style>
  <w:style w:type="character" w:styleId="IntenseReference">
    <w:name w:val="Intense Reference"/>
    <w:basedOn w:val="DefaultParagraphFont"/>
    <w:uiPriority w:val="32"/>
    <w:qFormat/>
    <w:rsid w:val="00A803BC"/>
    <w:rPr>
      <w:b/>
      <w:bCs/>
      <w:smallCaps/>
      <w:color w:val="65C5B4" w:themeColor="accent1"/>
      <w:spacing w:val="5"/>
    </w:rPr>
  </w:style>
  <w:style w:type="paragraph" w:styleId="NormalWeb">
    <w:name w:val="Normal (Web)"/>
    <w:basedOn w:val="Normal"/>
    <w:uiPriority w:val="99"/>
    <w:semiHidden/>
    <w:unhideWhenUsed/>
    <w:rsid w:val="00C737D4"/>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31341">
      <w:bodyDiv w:val="1"/>
      <w:marLeft w:val="0"/>
      <w:marRight w:val="0"/>
      <w:marTop w:val="0"/>
      <w:marBottom w:val="0"/>
      <w:divBdr>
        <w:top w:val="none" w:sz="0" w:space="0" w:color="auto"/>
        <w:left w:val="none" w:sz="0" w:space="0" w:color="auto"/>
        <w:bottom w:val="none" w:sz="0" w:space="0" w:color="auto"/>
        <w:right w:val="none" w:sz="0" w:space="0" w:color="auto"/>
      </w:divBdr>
    </w:div>
    <w:div w:id="169608411">
      <w:bodyDiv w:val="1"/>
      <w:marLeft w:val="0"/>
      <w:marRight w:val="0"/>
      <w:marTop w:val="0"/>
      <w:marBottom w:val="0"/>
      <w:divBdr>
        <w:top w:val="none" w:sz="0" w:space="0" w:color="auto"/>
        <w:left w:val="none" w:sz="0" w:space="0" w:color="auto"/>
        <w:bottom w:val="none" w:sz="0" w:space="0" w:color="auto"/>
        <w:right w:val="none" w:sz="0" w:space="0" w:color="auto"/>
      </w:divBdr>
    </w:div>
    <w:div w:id="215049745">
      <w:bodyDiv w:val="1"/>
      <w:marLeft w:val="0"/>
      <w:marRight w:val="0"/>
      <w:marTop w:val="0"/>
      <w:marBottom w:val="0"/>
      <w:divBdr>
        <w:top w:val="none" w:sz="0" w:space="0" w:color="auto"/>
        <w:left w:val="none" w:sz="0" w:space="0" w:color="auto"/>
        <w:bottom w:val="none" w:sz="0" w:space="0" w:color="auto"/>
        <w:right w:val="none" w:sz="0" w:space="0" w:color="auto"/>
      </w:divBdr>
    </w:div>
    <w:div w:id="222566572">
      <w:bodyDiv w:val="1"/>
      <w:marLeft w:val="0"/>
      <w:marRight w:val="0"/>
      <w:marTop w:val="0"/>
      <w:marBottom w:val="0"/>
      <w:divBdr>
        <w:top w:val="none" w:sz="0" w:space="0" w:color="auto"/>
        <w:left w:val="none" w:sz="0" w:space="0" w:color="auto"/>
        <w:bottom w:val="none" w:sz="0" w:space="0" w:color="auto"/>
        <w:right w:val="none" w:sz="0" w:space="0" w:color="auto"/>
      </w:divBdr>
    </w:div>
    <w:div w:id="254439575">
      <w:bodyDiv w:val="1"/>
      <w:marLeft w:val="0"/>
      <w:marRight w:val="0"/>
      <w:marTop w:val="0"/>
      <w:marBottom w:val="0"/>
      <w:divBdr>
        <w:top w:val="none" w:sz="0" w:space="0" w:color="auto"/>
        <w:left w:val="none" w:sz="0" w:space="0" w:color="auto"/>
        <w:bottom w:val="none" w:sz="0" w:space="0" w:color="auto"/>
        <w:right w:val="none" w:sz="0" w:space="0" w:color="auto"/>
      </w:divBdr>
    </w:div>
    <w:div w:id="300162082">
      <w:bodyDiv w:val="1"/>
      <w:marLeft w:val="0"/>
      <w:marRight w:val="0"/>
      <w:marTop w:val="0"/>
      <w:marBottom w:val="0"/>
      <w:divBdr>
        <w:top w:val="none" w:sz="0" w:space="0" w:color="auto"/>
        <w:left w:val="none" w:sz="0" w:space="0" w:color="auto"/>
        <w:bottom w:val="none" w:sz="0" w:space="0" w:color="auto"/>
        <w:right w:val="none" w:sz="0" w:space="0" w:color="auto"/>
      </w:divBdr>
    </w:div>
    <w:div w:id="345140235">
      <w:bodyDiv w:val="1"/>
      <w:marLeft w:val="0"/>
      <w:marRight w:val="0"/>
      <w:marTop w:val="0"/>
      <w:marBottom w:val="0"/>
      <w:divBdr>
        <w:top w:val="none" w:sz="0" w:space="0" w:color="auto"/>
        <w:left w:val="none" w:sz="0" w:space="0" w:color="auto"/>
        <w:bottom w:val="none" w:sz="0" w:space="0" w:color="auto"/>
        <w:right w:val="none" w:sz="0" w:space="0" w:color="auto"/>
      </w:divBdr>
    </w:div>
    <w:div w:id="407653976">
      <w:bodyDiv w:val="1"/>
      <w:marLeft w:val="0"/>
      <w:marRight w:val="0"/>
      <w:marTop w:val="0"/>
      <w:marBottom w:val="0"/>
      <w:divBdr>
        <w:top w:val="none" w:sz="0" w:space="0" w:color="auto"/>
        <w:left w:val="none" w:sz="0" w:space="0" w:color="auto"/>
        <w:bottom w:val="none" w:sz="0" w:space="0" w:color="auto"/>
        <w:right w:val="none" w:sz="0" w:space="0" w:color="auto"/>
      </w:divBdr>
    </w:div>
    <w:div w:id="464853939">
      <w:bodyDiv w:val="1"/>
      <w:marLeft w:val="0"/>
      <w:marRight w:val="0"/>
      <w:marTop w:val="0"/>
      <w:marBottom w:val="0"/>
      <w:divBdr>
        <w:top w:val="none" w:sz="0" w:space="0" w:color="auto"/>
        <w:left w:val="none" w:sz="0" w:space="0" w:color="auto"/>
        <w:bottom w:val="none" w:sz="0" w:space="0" w:color="auto"/>
        <w:right w:val="none" w:sz="0" w:space="0" w:color="auto"/>
      </w:divBdr>
      <w:divsChild>
        <w:div w:id="1197082356">
          <w:marLeft w:val="0"/>
          <w:marRight w:val="0"/>
          <w:marTop w:val="0"/>
          <w:marBottom w:val="0"/>
          <w:divBdr>
            <w:top w:val="none" w:sz="0" w:space="0" w:color="auto"/>
            <w:left w:val="none" w:sz="0" w:space="0" w:color="auto"/>
            <w:bottom w:val="none" w:sz="0" w:space="0" w:color="auto"/>
            <w:right w:val="none" w:sz="0" w:space="0" w:color="auto"/>
          </w:divBdr>
          <w:divsChild>
            <w:div w:id="1056783246">
              <w:marLeft w:val="0"/>
              <w:marRight w:val="0"/>
              <w:marTop w:val="0"/>
              <w:marBottom w:val="0"/>
              <w:divBdr>
                <w:top w:val="none" w:sz="0" w:space="0" w:color="auto"/>
                <w:left w:val="none" w:sz="0" w:space="0" w:color="auto"/>
                <w:bottom w:val="none" w:sz="0" w:space="0" w:color="auto"/>
                <w:right w:val="none" w:sz="0" w:space="0" w:color="auto"/>
              </w:divBdr>
              <w:divsChild>
                <w:div w:id="1239442354">
                  <w:marLeft w:val="0"/>
                  <w:marRight w:val="0"/>
                  <w:marTop w:val="0"/>
                  <w:marBottom w:val="0"/>
                  <w:divBdr>
                    <w:top w:val="none" w:sz="0" w:space="0" w:color="auto"/>
                    <w:left w:val="none" w:sz="0" w:space="0" w:color="auto"/>
                    <w:bottom w:val="none" w:sz="0" w:space="0" w:color="auto"/>
                    <w:right w:val="none" w:sz="0" w:space="0" w:color="auto"/>
                  </w:divBdr>
                  <w:divsChild>
                    <w:div w:id="441611221">
                      <w:marLeft w:val="0"/>
                      <w:marRight w:val="0"/>
                      <w:marTop w:val="0"/>
                      <w:marBottom w:val="0"/>
                      <w:divBdr>
                        <w:top w:val="none" w:sz="0" w:space="0" w:color="auto"/>
                        <w:left w:val="none" w:sz="0" w:space="0" w:color="auto"/>
                        <w:bottom w:val="none" w:sz="0" w:space="0" w:color="auto"/>
                        <w:right w:val="none" w:sz="0" w:space="0" w:color="auto"/>
                      </w:divBdr>
                      <w:divsChild>
                        <w:div w:id="1647856746">
                          <w:marLeft w:val="0"/>
                          <w:marRight w:val="0"/>
                          <w:marTop w:val="0"/>
                          <w:marBottom w:val="0"/>
                          <w:divBdr>
                            <w:top w:val="none" w:sz="0" w:space="0" w:color="auto"/>
                            <w:left w:val="none" w:sz="0" w:space="0" w:color="auto"/>
                            <w:bottom w:val="none" w:sz="0" w:space="0" w:color="auto"/>
                            <w:right w:val="none" w:sz="0" w:space="0" w:color="auto"/>
                          </w:divBdr>
                        </w:div>
                        <w:div w:id="5259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09195">
          <w:marLeft w:val="0"/>
          <w:marRight w:val="0"/>
          <w:marTop w:val="0"/>
          <w:marBottom w:val="0"/>
          <w:divBdr>
            <w:top w:val="none" w:sz="0" w:space="0" w:color="auto"/>
            <w:left w:val="none" w:sz="0" w:space="0" w:color="auto"/>
            <w:bottom w:val="none" w:sz="0" w:space="0" w:color="auto"/>
            <w:right w:val="none" w:sz="0" w:space="0" w:color="auto"/>
          </w:divBdr>
          <w:divsChild>
            <w:div w:id="346640394">
              <w:marLeft w:val="0"/>
              <w:marRight w:val="0"/>
              <w:marTop w:val="0"/>
              <w:marBottom w:val="0"/>
              <w:divBdr>
                <w:top w:val="none" w:sz="0" w:space="0" w:color="auto"/>
                <w:left w:val="none" w:sz="0" w:space="0" w:color="auto"/>
                <w:bottom w:val="none" w:sz="0" w:space="0" w:color="auto"/>
                <w:right w:val="none" w:sz="0" w:space="0" w:color="auto"/>
              </w:divBdr>
              <w:divsChild>
                <w:div w:id="1121537843">
                  <w:marLeft w:val="0"/>
                  <w:marRight w:val="0"/>
                  <w:marTop w:val="0"/>
                  <w:marBottom w:val="0"/>
                  <w:divBdr>
                    <w:top w:val="none" w:sz="0" w:space="0" w:color="auto"/>
                    <w:left w:val="none" w:sz="0" w:space="0" w:color="auto"/>
                    <w:bottom w:val="none" w:sz="0" w:space="0" w:color="auto"/>
                    <w:right w:val="none" w:sz="0" w:space="0" w:color="auto"/>
                  </w:divBdr>
                </w:div>
                <w:div w:id="70662219">
                  <w:marLeft w:val="0"/>
                  <w:marRight w:val="0"/>
                  <w:marTop w:val="0"/>
                  <w:marBottom w:val="0"/>
                  <w:divBdr>
                    <w:top w:val="none" w:sz="0" w:space="0" w:color="auto"/>
                    <w:left w:val="none" w:sz="0" w:space="0" w:color="auto"/>
                    <w:bottom w:val="none" w:sz="0" w:space="0" w:color="auto"/>
                    <w:right w:val="none" w:sz="0" w:space="0" w:color="auto"/>
                  </w:divBdr>
                </w:div>
                <w:div w:id="1381058250">
                  <w:marLeft w:val="0"/>
                  <w:marRight w:val="0"/>
                  <w:marTop w:val="0"/>
                  <w:marBottom w:val="0"/>
                  <w:divBdr>
                    <w:top w:val="none" w:sz="0" w:space="0" w:color="auto"/>
                    <w:left w:val="none" w:sz="0" w:space="0" w:color="auto"/>
                    <w:bottom w:val="none" w:sz="0" w:space="0" w:color="auto"/>
                    <w:right w:val="none" w:sz="0" w:space="0" w:color="auto"/>
                  </w:divBdr>
                  <w:divsChild>
                    <w:div w:id="1884293933">
                      <w:marLeft w:val="0"/>
                      <w:marRight w:val="0"/>
                      <w:marTop w:val="0"/>
                      <w:marBottom w:val="0"/>
                      <w:divBdr>
                        <w:top w:val="none" w:sz="0" w:space="0" w:color="auto"/>
                        <w:left w:val="none" w:sz="0" w:space="0" w:color="auto"/>
                        <w:bottom w:val="none" w:sz="0" w:space="0" w:color="auto"/>
                        <w:right w:val="none" w:sz="0" w:space="0" w:color="auto"/>
                      </w:divBdr>
                      <w:divsChild>
                        <w:div w:id="1798334464">
                          <w:marLeft w:val="0"/>
                          <w:marRight w:val="0"/>
                          <w:marTop w:val="0"/>
                          <w:marBottom w:val="0"/>
                          <w:divBdr>
                            <w:top w:val="none" w:sz="0" w:space="0" w:color="auto"/>
                            <w:left w:val="none" w:sz="0" w:space="0" w:color="auto"/>
                            <w:bottom w:val="none" w:sz="0" w:space="0" w:color="auto"/>
                            <w:right w:val="none" w:sz="0" w:space="0" w:color="auto"/>
                          </w:divBdr>
                          <w:divsChild>
                            <w:div w:id="620112124">
                              <w:marLeft w:val="0"/>
                              <w:marRight w:val="0"/>
                              <w:marTop w:val="0"/>
                              <w:marBottom w:val="0"/>
                              <w:divBdr>
                                <w:top w:val="none" w:sz="0" w:space="0" w:color="auto"/>
                                <w:left w:val="none" w:sz="0" w:space="0" w:color="auto"/>
                                <w:bottom w:val="none" w:sz="0" w:space="0" w:color="auto"/>
                                <w:right w:val="none" w:sz="0" w:space="0" w:color="auto"/>
                              </w:divBdr>
                              <w:divsChild>
                                <w:div w:id="1533416730">
                                  <w:marLeft w:val="0"/>
                                  <w:marRight w:val="0"/>
                                  <w:marTop w:val="0"/>
                                  <w:marBottom w:val="0"/>
                                  <w:divBdr>
                                    <w:top w:val="none" w:sz="0" w:space="0" w:color="auto"/>
                                    <w:left w:val="none" w:sz="0" w:space="0" w:color="auto"/>
                                    <w:bottom w:val="none" w:sz="0" w:space="0" w:color="auto"/>
                                    <w:right w:val="none" w:sz="0" w:space="0" w:color="auto"/>
                                  </w:divBdr>
                                  <w:divsChild>
                                    <w:div w:id="1934318864">
                                      <w:marLeft w:val="0"/>
                                      <w:marRight w:val="0"/>
                                      <w:marTop w:val="0"/>
                                      <w:marBottom w:val="0"/>
                                      <w:divBdr>
                                        <w:top w:val="none" w:sz="0" w:space="0" w:color="auto"/>
                                        <w:left w:val="none" w:sz="0" w:space="0" w:color="auto"/>
                                        <w:bottom w:val="none" w:sz="0" w:space="0" w:color="auto"/>
                                        <w:right w:val="none" w:sz="0" w:space="0" w:color="auto"/>
                                      </w:divBdr>
                                      <w:divsChild>
                                        <w:div w:id="17195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750682">
                  <w:marLeft w:val="0"/>
                  <w:marRight w:val="0"/>
                  <w:marTop w:val="0"/>
                  <w:marBottom w:val="0"/>
                  <w:divBdr>
                    <w:top w:val="none" w:sz="0" w:space="0" w:color="auto"/>
                    <w:left w:val="none" w:sz="0" w:space="0" w:color="auto"/>
                    <w:bottom w:val="none" w:sz="0" w:space="0" w:color="auto"/>
                    <w:right w:val="none" w:sz="0" w:space="0" w:color="auto"/>
                  </w:divBdr>
                  <w:divsChild>
                    <w:div w:id="864833587">
                      <w:marLeft w:val="0"/>
                      <w:marRight w:val="0"/>
                      <w:marTop w:val="0"/>
                      <w:marBottom w:val="0"/>
                      <w:divBdr>
                        <w:top w:val="none" w:sz="0" w:space="0" w:color="auto"/>
                        <w:left w:val="none" w:sz="0" w:space="0" w:color="auto"/>
                        <w:bottom w:val="none" w:sz="0" w:space="0" w:color="auto"/>
                        <w:right w:val="none" w:sz="0" w:space="0" w:color="auto"/>
                      </w:divBdr>
                      <w:divsChild>
                        <w:div w:id="1230382010">
                          <w:marLeft w:val="0"/>
                          <w:marRight w:val="0"/>
                          <w:marTop w:val="0"/>
                          <w:marBottom w:val="0"/>
                          <w:divBdr>
                            <w:top w:val="none" w:sz="0" w:space="0" w:color="auto"/>
                            <w:left w:val="none" w:sz="0" w:space="0" w:color="auto"/>
                            <w:bottom w:val="none" w:sz="0" w:space="0" w:color="auto"/>
                            <w:right w:val="none" w:sz="0" w:space="0" w:color="auto"/>
                          </w:divBdr>
                          <w:divsChild>
                            <w:div w:id="10799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8942">
                      <w:marLeft w:val="0"/>
                      <w:marRight w:val="0"/>
                      <w:marTop w:val="0"/>
                      <w:marBottom w:val="0"/>
                      <w:divBdr>
                        <w:top w:val="none" w:sz="0" w:space="0" w:color="auto"/>
                        <w:left w:val="none" w:sz="0" w:space="0" w:color="auto"/>
                        <w:bottom w:val="none" w:sz="0" w:space="0" w:color="auto"/>
                        <w:right w:val="none" w:sz="0" w:space="0" w:color="auto"/>
                      </w:divBdr>
                      <w:divsChild>
                        <w:div w:id="1915697648">
                          <w:marLeft w:val="0"/>
                          <w:marRight w:val="0"/>
                          <w:marTop w:val="0"/>
                          <w:marBottom w:val="0"/>
                          <w:divBdr>
                            <w:top w:val="none" w:sz="0" w:space="0" w:color="auto"/>
                            <w:left w:val="none" w:sz="0" w:space="0" w:color="auto"/>
                            <w:bottom w:val="none" w:sz="0" w:space="0" w:color="auto"/>
                            <w:right w:val="none" w:sz="0" w:space="0" w:color="auto"/>
                          </w:divBdr>
                          <w:divsChild>
                            <w:div w:id="11835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6649">
          <w:marLeft w:val="0"/>
          <w:marRight w:val="0"/>
          <w:marTop w:val="0"/>
          <w:marBottom w:val="0"/>
          <w:divBdr>
            <w:top w:val="none" w:sz="0" w:space="0" w:color="auto"/>
            <w:left w:val="none" w:sz="0" w:space="0" w:color="auto"/>
            <w:bottom w:val="none" w:sz="0" w:space="0" w:color="auto"/>
            <w:right w:val="none" w:sz="0" w:space="0" w:color="auto"/>
          </w:divBdr>
          <w:divsChild>
            <w:div w:id="165486575">
              <w:marLeft w:val="0"/>
              <w:marRight w:val="0"/>
              <w:marTop w:val="0"/>
              <w:marBottom w:val="0"/>
              <w:divBdr>
                <w:top w:val="none" w:sz="0" w:space="0" w:color="auto"/>
                <w:left w:val="none" w:sz="0" w:space="0" w:color="auto"/>
                <w:bottom w:val="none" w:sz="0" w:space="0" w:color="auto"/>
                <w:right w:val="none" w:sz="0" w:space="0" w:color="auto"/>
              </w:divBdr>
              <w:divsChild>
                <w:div w:id="1786731877">
                  <w:marLeft w:val="0"/>
                  <w:marRight w:val="0"/>
                  <w:marTop w:val="0"/>
                  <w:marBottom w:val="0"/>
                  <w:divBdr>
                    <w:top w:val="none" w:sz="0" w:space="0" w:color="auto"/>
                    <w:left w:val="none" w:sz="0" w:space="0" w:color="auto"/>
                    <w:bottom w:val="none" w:sz="0" w:space="0" w:color="auto"/>
                    <w:right w:val="none" w:sz="0" w:space="0" w:color="auto"/>
                  </w:divBdr>
                  <w:divsChild>
                    <w:div w:id="1634482995">
                      <w:marLeft w:val="0"/>
                      <w:marRight w:val="0"/>
                      <w:marTop w:val="0"/>
                      <w:marBottom w:val="0"/>
                      <w:divBdr>
                        <w:top w:val="none" w:sz="0" w:space="0" w:color="auto"/>
                        <w:left w:val="none" w:sz="0" w:space="0" w:color="auto"/>
                        <w:bottom w:val="none" w:sz="0" w:space="0" w:color="auto"/>
                        <w:right w:val="none" w:sz="0" w:space="0" w:color="auto"/>
                      </w:divBdr>
                      <w:divsChild>
                        <w:div w:id="350231407">
                          <w:marLeft w:val="0"/>
                          <w:marRight w:val="0"/>
                          <w:marTop w:val="0"/>
                          <w:marBottom w:val="0"/>
                          <w:divBdr>
                            <w:top w:val="none" w:sz="0" w:space="0" w:color="auto"/>
                            <w:left w:val="none" w:sz="0" w:space="0" w:color="auto"/>
                            <w:bottom w:val="none" w:sz="0" w:space="0" w:color="auto"/>
                            <w:right w:val="none" w:sz="0" w:space="0" w:color="auto"/>
                          </w:divBdr>
                          <w:divsChild>
                            <w:div w:id="1442532538">
                              <w:marLeft w:val="0"/>
                              <w:marRight w:val="0"/>
                              <w:marTop w:val="0"/>
                              <w:marBottom w:val="0"/>
                              <w:divBdr>
                                <w:top w:val="none" w:sz="0" w:space="0" w:color="auto"/>
                                <w:left w:val="none" w:sz="0" w:space="0" w:color="auto"/>
                                <w:bottom w:val="none" w:sz="0" w:space="0" w:color="auto"/>
                                <w:right w:val="none" w:sz="0" w:space="0" w:color="auto"/>
                              </w:divBdr>
                              <w:divsChild>
                                <w:div w:id="1759935772">
                                  <w:marLeft w:val="0"/>
                                  <w:marRight w:val="0"/>
                                  <w:marTop w:val="0"/>
                                  <w:marBottom w:val="0"/>
                                  <w:divBdr>
                                    <w:top w:val="none" w:sz="0" w:space="0" w:color="auto"/>
                                    <w:left w:val="none" w:sz="0" w:space="0" w:color="auto"/>
                                    <w:bottom w:val="none" w:sz="0" w:space="0" w:color="auto"/>
                                    <w:right w:val="none" w:sz="0" w:space="0" w:color="auto"/>
                                  </w:divBdr>
                                  <w:divsChild>
                                    <w:div w:id="249849596">
                                      <w:marLeft w:val="0"/>
                                      <w:marRight w:val="0"/>
                                      <w:marTop w:val="0"/>
                                      <w:marBottom w:val="0"/>
                                      <w:divBdr>
                                        <w:top w:val="none" w:sz="0" w:space="0" w:color="auto"/>
                                        <w:left w:val="none" w:sz="0" w:space="0" w:color="auto"/>
                                        <w:bottom w:val="none" w:sz="0" w:space="0" w:color="auto"/>
                                        <w:right w:val="none" w:sz="0" w:space="0" w:color="auto"/>
                                      </w:divBdr>
                                      <w:divsChild>
                                        <w:div w:id="2105222150">
                                          <w:marLeft w:val="0"/>
                                          <w:marRight w:val="0"/>
                                          <w:marTop w:val="0"/>
                                          <w:marBottom w:val="0"/>
                                          <w:divBdr>
                                            <w:top w:val="none" w:sz="0" w:space="0" w:color="auto"/>
                                            <w:left w:val="none" w:sz="0" w:space="0" w:color="auto"/>
                                            <w:bottom w:val="none" w:sz="0" w:space="0" w:color="auto"/>
                                            <w:right w:val="none" w:sz="0" w:space="0" w:color="auto"/>
                                          </w:divBdr>
                                          <w:divsChild>
                                            <w:div w:id="1167594344">
                                              <w:marLeft w:val="0"/>
                                              <w:marRight w:val="0"/>
                                              <w:marTop w:val="0"/>
                                              <w:marBottom w:val="0"/>
                                              <w:divBdr>
                                                <w:top w:val="none" w:sz="0" w:space="0" w:color="auto"/>
                                                <w:left w:val="none" w:sz="0" w:space="0" w:color="auto"/>
                                                <w:bottom w:val="none" w:sz="0" w:space="0" w:color="auto"/>
                                                <w:right w:val="none" w:sz="0" w:space="0" w:color="auto"/>
                                              </w:divBdr>
                                              <w:divsChild>
                                                <w:div w:id="8005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420203">
                          <w:marLeft w:val="0"/>
                          <w:marRight w:val="0"/>
                          <w:marTop w:val="0"/>
                          <w:marBottom w:val="0"/>
                          <w:divBdr>
                            <w:top w:val="none" w:sz="0" w:space="0" w:color="auto"/>
                            <w:left w:val="none" w:sz="0" w:space="0" w:color="auto"/>
                            <w:bottom w:val="none" w:sz="0" w:space="0" w:color="auto"/>
                            <w:right w:val="none" w:sz="0" w:space="0" w:color="auto"/>
                          </w:divBdr>
                          <w:divsChild>
                            <w:div w:id="1919249838">
                              <w:marLeft w:val="0"/>
                              <w:marRight w:val="0"/>
                              <w:marTop w:val="0"/>
                              <w:marBottom w:val="0"/>
                              <w:divBdr>
                                <w:top w:val="none" w:sz="0" w:space="0" w:color="auto"/>
                                <w:left w:val="none" w:sz="0" w:space="0" w:color="auto"/>
                                <w:bottom w:val="none" w:sz="0" w:space="0" w:color="auto"/>
                                <w:right w:val="none" w:sz="0" w:space="0" w:color="auto"/>
                              </w:divBdr>
                            </w:div>
                          </w:divsChild>
                        </w:div>
                        <w:div w:id="1894539960">
                          <w:marLeft w:val="0"/>
                          <w:marRight w:val="0"/>
                          <w:marTop w:val="0"/>
                          <w:marBottom w:val="0"/>
                          <w:divBdr>
                            <w:top w:val="none" w:sz="0" w:space="0" w:color="auto"/>
                            <w:left w:val="none" w:sz="0" w:space="0" w:color="auto"/>
                            <w:bottom w:val="none" w:sz="0" w:space="0" w:color="auto"/>
                            <w:right w:val="none" w:sz="0" w:space="0" w:color="auto"/>
                          </w:divBdr>
                          <w:divsChild>
                            <w:div w:id="776868224">
                              <w:marLeft w:val="0"/>
                              <w:marRight w:val="0"/>
                              <w:marTop w:val="0"/>
                              <w:marBottom w:val="0"/>
                              <w:divBdr>
                                <w:top w:val="none" w:sz="0" w:space="0" w:color="auto"/>
                                <w:left w:val="none" w:sz="0" w:space="0" w:color="auto"/>
                                <w:bottom w:val="none" w:sz="0" w:space="0" w:color="auto"/>
                                <w:right w:val="none" w:sz="0" w:space="0" w:color="auto"/>
                              </w:divBdr>
                              <w:divsChild>
                                <w:div w:id="289672327">
                                  <w:marLeft w:val="0"/>
                                  <w:marRight w:val="0"/>
                                  <w:marTop w:val="0"/>
                                  <w:marBottom w:val="0"/>
                                  <w:divBdr>
                                    <w:top w:val="none" w:sz="0" w:space="0" w:color="auto"/>
                                    <w:left w:val="none" w:sz="0" w:space="0" w:color="auto"/>
                                    <w:bottom w:val="none" w:sz="0" w:space="0" w:color="auto"/>
                                    <w:right w:val="none" w:sz="0" w:space="0" w:color="auto"/>
                                  </w:divBdr>
                                  <w:divsChild>
                                    <w:div w:id="1981036976">
                                      <w:marLeft w:val="0"/>
                                      <w:marRight w:val="0"/>
                                      <w:marTop w:val="0"/>
                                      <w:marBottom w:val="0"/>
                                      <w:divBdr>
                                        <w:top w:val="none" w:sz="0" w:space="0" w:color="auto"/>
                                        <w:left w:val="none" w:sz="0" w:space="0" w:color="auto"/>
                                        <w:bottom w:val="none" w:sz="0" w:space="0" w:color="auto"/>
                                        <w:right w:val="none" w:sz="0" w:space="0" w:color="auto"/>
                                      </w:divBdr>
                                    </w:div>
                                    <w:div w:id="8920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20895">
                      <w:marLeft w:val="0"/>
                      <w:marRight w:val="0"/>
                      <w:marTop w:val="0"/>
                      <w:marBottom w:val="0"/>
                      <w:divBdr>
                        <w:top w:val="none" w:sz="0" w:space="0" w:color="auto"/>
                        <w:left w:val="none" w:sz="0" w:space="0" w:color="auto"/>
                        <w:bottom w:val="none" w:sz="0" w:space="0" w:color="auto"/>
                        <w:right w:val="none" w:sz="0" w:space="0" w:color="auto"/>
                      </w:divBdr>
                      <w:divsChild>
                        <w:div w:id="1736120995">
                          <w:marLeft w:val="0"/>
                          <w:marRight w:val="0"/>
                          <w:marTop w:val="0"/>
                          <w:marBottom w:val="0"/>
                          <w:divBdr>
                            <w:top w:val="none" w:sz="0" w:space="0" w:color="auto"/>
                            <w:left w:val="none" w:sz="0" w:space="0" w:color="auto"/>
                            <w:bottom w:val="none" w:sz="0" w:space="0" w:color="auto"/>
                            <w:right w:val="none" w:sz="0" w:space="0" w:color="auto"/>
                          </w:divBdr>
                          <w:divsChild>
                            <w:div w:id="1128817620">
                              <w:marLeft w:val="0"/>
                              <w:marRight w:val="0"/>
                              <w:marTop w:val="0"/>
                              <w:marBottom w:val="0"/>
                              <w:divBdr>
                                <w:top w:val="none" w:sz="0" w:space="0" w:color="auto"/>
                                <w:left w:val="none" w:sz="0" w:space="0" w:color="auto"/>
                                <w:bottom w:val="none" w:sz="0" w:space="0" w:color="auto"/>
                                <w:right w:val="none" w:sz="0" w:space="0" w:color="auto"/>
                              </w:divBdr>
                              <w:divsChild>
                                <w:div w:id="1565140122">
                                  <w:marLeft w:val="0"/>
                                  <w:marRight w:val="0"/>
                                  <w:marTop w:val="0"/>
                                  <w:marBottom w:val="0"/>
                                  <w:divBdr>
                                    <w:top w:val="none" w:sz="0" w:space="0" w:color="auto"/>
                                    <w:left w:val="none" w:sz="0" w:space="0" w:color="auto"/>
                                    <w:bottom w:val="none" w:sz="0" w:space="0" w:color="auto"/>
                                    <w:right w:val="none" w:sz="0" w:space="0" w:color="auto"/>
                                  </w:divBdr>
                                  <w:divsChild>
                                    <w:div w:id="715664898">
                                      <w:marLeft w:val="0"/>
                                      <w:marRight w:val="0"/>
                                      <w:marTop w:val="0"/>
                                      <w:marBottom w:val="0"/>
                                      <w:divBdr>
                                        <w:top w:val="none" w:sz="0" w:space="0" w:color="auto"/>
                                        <w:left w:val="none" w:sz="0" w:space="0" w:color="auto"/>
                                        <w:bottom w:val="none" w:sz="0" w:space="0" w:color="auto"/>
                                        <w:right w:val="none" w:sz="0" w:space="0" w:color="auto"/>
                                      </w:divBdr>
                                    </w:div>
                                    <w:div w:id="271669924">
                                      <w:marLeft w:val="0"/>
                                      <w:marRight w:val="0"/>
                                      <w:marTop w:val="0"/>
                                      <w:marBottom w:val="0"/>
                                      <w:divBdr>
                                        <w:top w:val="none" w:sz="0" w:space="0" w:color="auto"/>
                                        <w:left w:val="none" w:sz="0" w:space="0" w:color="auto"/>
                                        <w:bottom w:val="none" w:sz="0" w:space="0" w:color="auto"/>
                                        <w:right w:val="none" w:sz="0" w:space="0" w:color="auto"/>
                                      </w:divBdr>
                                    </w:div>
                                    <w:div w:id="16560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7432">
                              <w:marLeft w:val="0"/>
                              <w:marRight w:val="0"/>
                              <w:marTop w:val="0"/>
                              <w:marBottom w:val="0"/>
                              <w:divBdr>
                                <w:top w:val="none" w:sz="0" w:space="0" w:color="auto"/>
                                <w:left w:val="none" w:sz="0" w:space="0" w:color="auto"/>
                                <w:bottom w:val="none" w:sz="0" w:space="0" w:color="auto"/>
                                <w:right w:val="none" w:sz="0" w:space="0" w:color="auto"/>
                              </w:divBdr>
                              <w:divsChild>
                                <w:div w:id="1838185769">
                                  <w:marLeft w:val="0"/>
                                  <w:marRight w:val="0"/>
                                  <w:marTop w:val="0"/>
                                  <w:marBottom w:val="0"/>
                                  <w:divBdr>
                                    <w:top w:val="none" w:sz="0" w:space="0" w:color="auto"/>
                                    <w:left w:val="none" w:sz="0" w:space="0" w:color="auto"/>
                                    <w:bottom w:val="none" w:sz="0" w:space="0" w:color="auto"/>
                                    <w:right w:val="none" w:sz="0" w:space="0" w:color="auto"/>
                                  </w:divBdr>
                                  <w:divsChild>
                                    <w:div w:id="1835605681">
                                      <w:marLeft w:val="0"/>
                                      <w:marRight w:val="0"/>
                                      <w:marTop w:val="0"/>
                                      <w:marBottom w:val="0"/>
                                      <w:divBdr>
                                        <w:top w:val="none" w:sz="0" w:space="0" w:color="auto"/>
                                        <w:left w:val="none" w:sz="0" w:space="0" w:color="auto"/>
                                        <w:bottom w:val="none" w:sz="0" w:space="0" w:color="auto"/>
                                        <w:right w:val="none" w:sz="0" w:space="0" w:color="auto"/>
                                      </w:divBdr>
                                    </w:div>
                                  </w:divsChild>
                                </w:div>
                                <w:div w:id="2063286116">
                                  <w:marLeft w:val="0"/>
                                  <w:marRight w:val="0"/>
                                  <w:marTop w:val="0"/>
                                  <w:marBottom w:val="0"/>
                                  <w:divBdr>
                                    <w:top w:val="none" w:sz="0" w:space="0" w:color="auto"/>
                                    <w:left w:val="none" w:sz="0" w:space="0" w:color="auto"/>
                                    <w:bottom w:val="none" w:sz="0" w:space="0" w:color="auto"/>
                                    <w:right w:val="none" w:sz="0" w:space="0" w:color="auto"/>
                                  </w:divBdr>
                                  <w:divsChild>
                                    <w:div w:id="8533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3531">
                          <w:marLeft w:val="0"/>
                          <w:marRight w:val="0"/>
                          <w:marTop w:val="0"/>
                          <w:marBottom w:val="0"/>
                          <w:divBdr>
                            <w:top w:val="none" w:sz="0" w:space="0" w:color="auto"/>
                            <w:left w:val="none" w:sz="0" w:space="0" w:color="auto"/>
                            <w:bottom w:val="none" w:sz="0" w:space="0" w:color="auto"/>
                            <w:right w:val="none" w:sz="0" w:space="0" w:color="auto"/>
                          </w:divBdr>
                          <w:divsChild>
                            <w:div w:id="685518664">
                              <w:marLeft w:val="0"/>
                              <w:marRight w:val="0"/>
                              <w:marTop w:val="0"/>
                              <w:marBottom w:val="0"/>
                              <w:divBdr>
                                <w:top w:val="none" w:sz="0" w:space="0" w:color="auto"/>
                                <w:left w:val="none" w:sz="0" w:space="0" w:color="auto"/>
                                <w:bottom w:val="none" w:sz="0" w:space="0" w:color="auto"/>
                                <w:right w:val="none" w:sz="0" w:space="0" w:color="auto"/>
                              </w:divBdr>
                              <w:divsChild>
                                <w:div w:id="982655293">
                                  <w:marLeft w:val="0"/>
                                  <w:marRight w:val="0"/>
                                  <w:marTop w:val="0"/>
                                  <w:marBottom w:val="0"/>
                                  <w:divBdr>
                                    <w:top w:val="none" w:sz="0" w:space="0" w:color="auto"/>
                                    <w:left w:val="none" w:sz="0" w:space="0" w:color="auto"/>
                                    <w:bottom w:val="none" w:sz="0" w:space="0" w:color="auto"/>
                                    <w:right w:val="none" w:sz="0" w:space="0" w:color="auto"/>
                                  </w:divBdr>
                                  <w:divsChild>
                                    <w:div w:id="838078333">
                                      <w:marLeft w:val="0"/>
                                      <w:marRight w:val="0"/>
                                      <w:marTop w:val="0"/>
                                      <w:marBottom w:val="0"/>
                                      <w:divBdr>
                                        <w:top w:val="none" w:sz="0" w:space="0" w:color="auto"/>
                                        <w:left w:val="none" w:sz="0" w:space="0" w:color="auto"/>
                                        <w:bottom w:val="none" w:sz="0" w:space="0" w:color="auto"/>
                                        <w:right w:val="none" w:sz="0" w:space="0" w:color="auto"/>
                                      </w:divBdr>
                                      <w:divsChild>
                                        <w:div w:id="1441336412">
                                          <w:marLeft w:val="0"/>
                                          <w:marRight w:val="0"/>
                                          <w:marTop w:val="0"/>
                                          <w:marBottom w:val="0"/>
                                          <w:divBdr>
                                            <w:top w:val="none" w:sz="0" w:space="0" w:color="auto"/>
                                            <w:left w:val="none" w:sz="0" w:space="0" w:color="auto"/>
                                            <w:bottom w:val="none" w:sz="0" w:space="0" w:color="auto"/>
                                            <w:right w:val="none" w:sz="0" w:space="0" w:color="auto"/>
                                          </w:divBdr>
                                          <w:divsChild>
                                            <w:div w:id="1922980162">
                                              <w:marLeft w:val="0"/>
                                              <w:marRight w:val="0"/>
                                              <w:marTop w:val="0"/>
                                              <w:marBottom w:val="0"/>
                                              <w:divBdr>
                                                <w:top w:val="none" w:sz="0" w:space="0" w:color="auto"/>
                                                <w:left w:val="none" w:sz="0" w:space="0" w:color="auto"/>
                                                <w:bottom w:val="none" w:sz="0" w:space="0" w:color="auto"/>
                                                <w:right w:val="none" w:sz="0" w:space="0" w:color="auto"/>
                                              </w:divBdr>
                                            </w:div>
                                            <w:div w:id="718749893">
                                              <w:marLeft w:val="0"/>
                                              <w:marRight w:val="0"/>
                                              <w:marTop w:val="0"/>
                                              <w:marBottom w:val="0"/>
                                              <w:divBdr>
                                                <w:top w:val="none" w:sz="0" w:space="0" w:color="auto"/>
                                                <w:left w:val="none" w:sz="0" w:space="0" w:color="auto"/>
                                                <w:bottom w:val="none" w:sz="0" w:space="0" w:color="auto"/>
                                                <w:right w:val="none" w:sz="0" w:space="0" w:color="auto"/>
                                              </w:divBdr>
                                              <w:divsChild>
                                                <w:div w:id="1736660032">
                                                  <w:marLeft w:val="0"/>
                                                  <w:marRight w:val="0"/>
                                                  <w:marTop w:val="0"/>
                                                  <w:marBottom w:val="0"/>
                                                  <w:divBdr>
                                                    <w:top w:val="none" w:sz="0" w:space="0" w:color="auto"/>
                                                    <w:left w:val="none" w:sz="0" w:space="0" w:color="auto"/>
                                                    <w:bottom w:val="none" w:sz="0" w:space="0" w:color="auto"/>
                                                    <w:right w:val="none" w:sz="0" w:space="0" w:color="auto"/>
                                                  </w:divBdr>
                                                  <w:divsChild>
                                                    <w:div w:id="12999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7465">
                          <w:marLeft w:val="0"/>
                          <w:marRight w:val="0"/>
                          <w:marTop w:val="0"/>
                          <w:marBottom w:val="0"/>
                          <w:divBdr>
                            <w:top w:val="none" w:sz="0" w:space="0" w:color="auto"/>
                            <w:left w:val="none" w:sz="0" w:space="0" w:color="auto"/>
                            <w:bottom w:val="none" w:sz="0" w:space="0" w:color="auto"/>
                            <w:right w:val="none" w:sz="0" w:space="0" w:color="auto"/>
                          </w:divBdr>
                          <w:divsChild>
                            <w:div w:id="1694768400">
                              <w:marLeft w:val="0"/>
                              <w:marRight w:val="0"/>
                              <w:marTop w:val="0"/>
                              <w:marBottom w:val="0"/>
                              <w:divBdr>
                                <w:top w:val="none" w:sz="0" w:space="0" w:color="auto"/>
                                <w:left w:val="none" w:sz="0" w:space="0" w:color="auto"/>
                                <w:bottom w:val="none" w:sz="0" w:space="0" w:color="auto"/>
                                <w:right w:val="none" w:sz="0" w:space="0" w:color="auto"/>
                              </w:divBdr>
                              <w:divsChild>
                                <w:div w:id="11697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1671">
                          <w:marLeft w:val="0"/>
                          <w:marRight w:val="0"/>
                          <w:marTop w:val="0"/>
                          <w:marBottom w:val="0"/>
                          <w:divBdr>
                            <w:top w:val="none" w:sz="0" w:space="0" w:color="auto"/>
                            <w:left w:val="none" w:sz="0" w:space="0" w:color="auto"/>
                            <w:bottom w:val="none" w:sz="0" w:space="0" w:color="auto"/>
                            <w:right w:val="none" w:sz="0" w:space="0" w:color="auto"/>
                          </w:divBdr>
                          <w:divsChild>
                            <w:div w:id="17016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95488">
          <w:marLeft w:val="0"/>
          <w:marRight w:val="0"/>
          <w:marTop w:val="0"/>
          <w:marBottom w:val="0"/>
          <w:divBdr>
            <w:top w:val="none" w:sz="0" w:space="0" w:color="auto"/>
            <w:left w:val="none" w:sz="0" w:space="0" w:color="auto"/>
            <w:bottom w:val="none" w:sz="0" w:space="0" w:color="auto"/>
            <w:right w:val="none" w:sz="0" w:space="0" w:color="auto"/>
          </w:divBdr>
          <w:divsChild>
            <w:div w:id="661086775">
              <w:marLeft w:val="0"/>
              <w:marRight w:val="0"/>
              <w:marTop w:val="0"/>
              <w:marBottom w:val="0"/>
              <w:divBdr>
                <w:top w:val="none" w:sz="0" w:space="0" w:color="auto"/>
                <w:left w:val="none" w:sz="0" w:space="0" w:color="auto"/>
                <w:bottom w:val="none" w:sz="0" w:space="0" w:color="auto"/>
                <w:right w:val="none" w:sz="0" w:space="0" w:color="auto"/>
              </w:divBdr>
            </w:div>
            <w:div w:id="1827671056">
              <w:marLeft w:val="0"/>
              <w:marRight w:val="0"/>
              <w:marTop w:val="0"/>
              <w:marBottom w:val="0"/>
              <w:divBdr>
                <w:top w:val="none" w:sz="0" w:space="0" w:color="auto"/>
                <w:left w:val="none" w:sz="0" w:space="0" w:color="auto"/>
                <w:bottom w:val="none" w:sz="0" w:space="0" w:color="auto"/>
                <w:right w:val="none" w:sz="0" w:space="0" w:color="auto"/>
              </w:divBdr>
              <w:divsChild>
                <w:div w:id="636030013">
                  <w:marLeft w:val="0"/>
                  <w:marRight w:val="0"/>
                  <w:marTop w:val="0"/>
                  <w:marBottom w:val="0"/>
                  <w:divBdr>
                    <w:top w:val="none" w:sz="0" w:space="0" w:color="auto"/>
                    <w:left w:val="none" w:sz="0" w:space="0" w:color="auto"/>
                    <w:bottom w:val="none" w:sz="0" w:space="0" w:color="auto"/>
                    <w:right w:val="none" w:sz="0" w:space="0" w:color="auto"/>
                  </w:divBdr>
                </w:div>
                <w:div w:id="427429503">
                  <w:marLeft w:val="0"/>
                  <w:marRight w:val="0"/>
                  <w:marTop w:val="0"/>
                  <w:marBottom w:val="0"/>
                  <w:divBdr>
                    <w:top w:val="none" w:sz="0" w:space="0" w:color="auto"/>
                    <w:left w:val="none" w:sz="0" w:space="0" w:color="auto"/>
                    <w:bottom w:val="none" w:sz="0" w:space="0" w:color="auto"/>
                    <w:right w:val="none" w:sz="0" w:space="0" w:color="auto"/>
                  </w:divBdr>
                </w:div>
                <w:div w:id="19563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6221">
          <w:marLeft w:val="0"/>
          <w:marRight w:val="0"/>
          <w:marTop w:val="0"/>
          <w:marBottom w:val="0"/>
          <w:divBdr>
            <w:top w:val="none" w:sz="0" w:space="0" w:color="auto"/>
            <w:left w:val="none" w:sz="0" w:space="0" w:color="auto"/>
            <w:bottom w:val="none" w:sz="0" w:space="0" w:color="auto"/>
            <w:right w:val="none" w:sz="0" w:space="0" w:color="auto"/>
          </w:divBdr>
          <w:divsChild>
            <w:div w:id="11132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3232">
      <w:bodyDiv w:val="1"/>
      <w:marLeft w:val="0"/>
      <w:marRight w:val="0"/>
      <w:marTop w:val="0"/>
      <w:marBottom w:val="0"/>
      <w:divBdr>
        <w:top w:val="none" w:sz="0" w:space="0" w:color="auto"/>
        <w:left w:val="none" w:sz="0" w:space="0" w:color="auto"/>
        <w:bottom w:val="none" w:sz="0" w:space="0" w:color="auto"/>
        <w:right w:val="none" w:sz="0" w:space="0" w:color="auto"/>
      </w:divBdr>
    </w:div>
    <w:div w:id="548302559">
      <w:bodyDiv w:val="1"/>
      <w:marLeft w:val="0"/>
      <w:marRight w:val="0"/>
      <w:marTop w:val="0"/>
      <w:marBottom w:val="0"/>
      <w:divBdr>
        <w:top w:val="none" w:sz="0" w:space="0" w:color="auto"/>
        <w:left w:val="none" w:sz="0" w:space="0" w:color="auto"/>
        <w:bottom w:val="none" w:sz="0" w:space="0" w:color="auto"/>
        <w:right w:val="none" w:sz="0" w:space="0" w:color="auto"/>
      </w:divBdr>
      <w:divsChild>
        <w:div w:id="1953588200">
          <w:marLeft w:val="0"/>
          <w:marRight w:val="0"/>
          <w:marTop w:val="0"/>
          <w:marBottom w:val="0"/>
          <w:divBdr>
            <w:top w:val="none" w:sz="0" w:space="0" w:color="auto"/>
            <w:left w:val="none" w:sz="0" w:space="0" w:color="auto"/>
            <w:bottom w:val="none" w:sz="0" w:space="0" w:color="auto"/>
            <w:right w:val="none" w:sz="0" w:space="0" w:color="auto"/>
          </w:divBdr>
          <w:divsChild>
            <w:div w:id="1158305194">
              <w:marLeft w:val="0"/>
              <w:marRight w:val="0"/>
              <w:marTop w:val="0"/>
              <w:marBottom w:val="0"/>
              <w:divBdr>
                <w:top w:val="none" w:sz="0" w:space="0" w:color="auto"/>
                <w:left w:val="none" w:sz="0" w:space="0" w:color="auto"/>
                <w:bottom w:val="none" w:sz="0" w:space="0" w:color="auto"/>
                <w:right w:val="none" w:sz="0" w:space="0" w:color="auto"/>
              </w:divBdr>
              <w:divsChild>
                <w:div w:id="509107618">
                  <w:marLeft w:val="0"/>
                  <w:marRight w:val="0"/>
                  <w:marTop w:val="0"/>
                  <w:marBottom w:val="0"/>
                  <w:divBdr>
                    <w:top w:val="none" w:sz="0" w:space="0" w:color="auto"/>
                    <w:left w:val="none" w:sz="0" w:space="0" w:color="auto"/>
                    <w:bottom w:val="none" w:sz="0" w:space="0" w:color="auto"/>
                    <w:right w:val="none" w:sz="0" w:space="0" w:color="auto"/>
                  </w:divBdr>
                  <w:divsChild>
                    <w:div w:id="317273709">
                      <w:marLeft w:val="0"/>
                      <w:marRight w:val="0"/>
                      <w:marTop w:val="0"/>
                      <w:marBottom w:val="0"/>
                      <w:divBdr>
                        <w:top w:val="none" w:sz="0" w:space="0" w:color="auto"/>
                        <w:left w:val="none" w:sz="0" w:space="0" w:color="auto"/>
                        <w:bottom w:val="none" w:sz="0" w:space="0" w:color="auto"/>
                        <w:right w:val="none" w:sz="0" w:space="0" w:color="auto"/>
                      </w:divBdr>
                      <w:divsChild>
                        <w:div w:id="1338921949">
                          <w:marLeft w:val="0"/>
                          <w:marRight w:val="0"/>
                          <w:marTop w:val="0"/>
                          <w:marBottom w:val="0"/>
                          <w:divBdr>
                            <w:top w:val="none" w:sz="0" w:space="0" w:color="auto"/>
                            <w:left w:val="none" w:sz="0" w:space="0" w:color="auto"/>
                            <w:bottom w:val="none" w:sz="0" w:space="0" w:color="auto"/>
                            <w:right w:val="none" w:sz="0" w:space="0" w:color="auto"/>
                          </w:divBdr>
                        </w:div>
                        <w:div w:id="15535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5027">
          <w:marLeft w:val="0"/>
          <w:marRight w:val="0"/>
          <w:marTop w:val="0"/>
          <w:marBottom w:val="0"/>
          <w:divBdr>
            <w:top w:val="none" w:sz="0" w:space="0" w:color="auto"/>
            <w:left w:val="none" w:sz="0" w:space="0" w:color="auto"/>
            <w:bottom w:val="none" w:sz="0" w:space="0" w:color="auto"/>
            <w:right w:val="none" w:sz="0" w:space="0" w:color="auto"/>
          </w:divBdr>
          <w:divsChild>
            <w:div w:id="1896307769">
              <w:marLeft w:val="0"/>
              <w:marRight w:val="0"/>
              <w:marTop w:val="0"/>
              <w:marBottom w:val="0"/>
              <w:divBdr>
                <w:top w:val="none" w:sz="0" w:space="0" w:color="auto"/>
                <w:left w:val="none" w:sz="0" w:space="0" w:color="auto"/>
                <w:bottom w:val="none" w:sz="0" w:space="0" w:color="auto"/>
                <w:right w:val="none" w:sz="0" w:space="0" w:color="auto"/>
              </w:divBdr>
              <w:divsChild>
                <w:div w:id="1394036050">
                  <w:marLeft w:val="0"/>
                  <w:marRight w:val="0"/>
                  <w:marTop w:val="0"/>
                  <w:marBottom w:val="0"/>
                  <w:divBdr>
                    <w:top w:val="none" w:sz="0" w:space="0" w:color="auto"/>
                    <w:left w:val="none" w:sz="0" w:space="0" w:color="auto"/>
                    <w:bottom w:val="none" w:sz="0" w:space="0" w:color="auto"/>
                    <w:right w:val="none" w:sz="0" w:space="0" w:color="auto"/>
                  </w:divBdr>
                </w:div>
                <w:div w:id="1778987375">
                  <w:marLeft w:val="0"/>
                  <w:marRight w:val="0"/>
                  <w:marTop w:val="0"/>
                  <w:marBottom w:val="0"/>
                  <w:divBdr>
                    <w:top w:val="none" w:sz="0" w:space="0" w:color="auto"/>
                    <w:left w:val="none" w:sz="0" w:space="0" w:color="auto"/>
                    <w:bottom w:val="none" w:sz="0" w:space="0" w:color="auto"/>
                    <w:right w:val="none" w:sz="0" w:space="0" w:color="auto"/>
                  </w:divBdr>
                </w:div>
                <w:div w:id="851530469">
                  <w:marLeft w:val="0"/>
                  <w:marRight w:val="0"/>
                  <w:marTop w:val="0"/>
                  <w:marBottom w:val="0"/>
                  <w:divBdr>
                    <w:top w:val="none" w:sz="0" w:space="0" w:color="auto"/>
                    <w:left w:val="none" w:sz="0" w:space="0" w:color="auto"/>
                    <w:bottom w:val="none" w:sz="0" w:space="0" w:color="auto"/>
                    <w:right w:val="none" w:sz="0" w:space="0" w:color="auto"/>
                  </w:divBdr>
                  <w:divsChild>
                    <w:div w:id="44106420">
                      <w:marLeft w:val="0"/>
                      <w:marRight w:val="0"/>
                      <w:marTop w:val="0"/>
                      <w:marBottom w:val="0"/>
                      <w:divBdr>
                        <w:top w:val="none" w:sz="0" w:space="0" w:color="auto"/>
                        <w:left w:val="none" w:sz="0" w:space="0" w:color="auto"/>
                        <w:bottom w:val="none" w:sz="0" w:space="0" w:color="auto"/>
                        <w:right w:val="none" w:sz="0" w:space="0" w:color="auto"/>
                      </w:divBdr>
                      <w:divsChild>
                        <w:div w:id="311370604">
                          <w:marLeft w:val="0"/>
                          <w:marRight w:val="0"/>
                          <w:marTop w:val="0"/>
                          <w:marBottom w:val="0"/>
                          <w:divBdr>
                            <w:top w:val="none" w:sz="0" w:space="0" w:color="auto"/>
                            <w:left w:val="none" w:sz="0" w:space="0" w:color="auto"/>
                            <w:bottom w:val="none" w:sz="0" w:space="0" w:color="auto"/>
                            <w:right w:val="none" w:sz="0" w:space="0" w:color="auto"/>
                          </w:divBdr>
                          <w:divsChild>
                            <w:div w:id="868026803">
                              <w:marLeft w:val="0"/>
                              <w:marRight w:val="0"/>
                              <w:marTop w:val="0"/>
                              <w:marBottom w:val="0"/>
                              <w:divBdr>
                                <w:top w:val="none" w:sz="0" w:space="0" w:color="auto"/>
                                <w:left w:val="none" w:sz="0" w:space="0" w:color="auto"/>
                                <w:bottom w:val="none" w:sz="0" w:space="0" w:color="auto"/>
                                <w:right w:val="none" w:sz="0" w:space="0" w:color="auto"/>
                              </w:divBdr>
                              <w:divsChild>
                                <w:div w:id="534268160">
                                  <w:marLeft w:val="0"/>
                                  <w:marRight w:val="0"/>
                                  <w:marTop w:val="0"/>
                                  <w:marBottom w:val="0"/>
                                  <w:divBdr>
                                    <w:top w:val="none" w:sz="0" w:space="0" w:color="auto"/>
                                    <w:left w:val="none" w:sz="0" w:space="0" w:color="auto"/>
                                    <w:bottom w:val="none" w:sz="0" w:space="0" w:color="auto"/>
                                    <w:right w:val="none" w:sz="0" w:space="0" w:color="auto"/>
                                  </w:divBdr>
                                  <w:divsChild>
                                    <w:div w:id="781000944">
                                      <w:marLeft w:val="0"/>
                                      <w:marRight w:val="0"/>
                                      <w:marTop w:val="0"/>
                                      <w:marBottom w:val="0"/>
                                      <w:divBdr>
                                        <w:top w:val="none" w:sz="0" w:space="0" w:color="auto"/>
                                        <w:left w:val="none" w:sz="0" w:space="0" w:color="auto"/>
                                        <w:bottom w:val="none" w:sz="0" w:space="0" w:color="auto"/>
                                        <w:right w:val="none" w:sz="0" w:space="0" w:color="auto"/>
                                      </w:divBdr>
                                      <w:divsChild>
                                        <w:div w:id="121963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42831">
                  <w:marLeft w:val="0"/>
                  <w:marRight w:val="0"/>
                  <w:marTop w:val="0"/>
                  <w:marBottom w:val="0"/>
                  <w:divBdr>
                    <w:top w:val="none" w:sz="0" w:space="0" w:color="auto"/>
                    <w:left w:val="none" w:sz="0" w:space="0" w:color="auto"/>
                    <w:bottom w:val="none" w:sz="0" w:space="0" w:color="auto"/>
                    <w:right w:val="none" w:sz="0" w:space="0" w:color="auto"/>
                  </w:divBdr>
                  <w:divsChild>
                    <w:div w:id="1439987884">
                      <w:marLeft w:val="0"/>
                      <w:marRight w:val="0"/>
                      <w:marTop w:val="0"/>
                      <w:marBottom w:val="0"/>
                      <w:divBdr>
                        <w:top w:val="none" w:sz="0" w:space="0" w:color="auto"/>
                        <w:left w:val="none" w:sz="0" w:space="0" w:color="auto"/>
                        <w:bottom w:val="none" w:sz="0" w:space="0" w:color="auto"/>
                        <w:right w:val="none" w:sz="0" w:space="0" w:color="auto"/>
                      </w:divBdr>
                      <w:divsChild>
                        <w:div w:id="980962008">
                          <w:marLeft w:val="0"/>
                          <w:marRight w:val="0"/>
                          <w:marTop w:val="0"/>
                          <w:marBottom w:val="0"/>
                          <w:divBdr>
                            <w:top w:val="none" w:sz="0" w:space="0" w:color="auto"/>
                            <w:left w:val="none" w:sz="0" w:space="0" w:color="auto"/>
                            <w:bottom w:val="none" w:sz="0" w:space="0" w:color="auto"/>
                            <w:right w:val="none" w:sz="0" w:space="0" w:color="auto"/>
                          </w:divBdr>
                          <w:divsChild>
                            <w:div w:id="207716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6719">
                      <w:marLeft w:val="0"/>
                      <w:marRight w:val="0"/>
                      <w:marTop w:val="0"/>
                      <w:marBottom w:val="0"/>
                      <w:divBdr>
                        <w:top w:val="none" w:sz="0" w:space="0" w:color="auto"/>
                        <w:left w:val="none" w:sz="0" w:space="0" w:color="auto"/>
                        <w:bottom w:val="none" w:sz="0" w:space="0" w:color="auto"/>
                        <w:right w:val="none" w:sz="0" w:space="0" w:color="auto"/>
                      </w:divBdr>
                      <w:divsChild>
                        <w:div w:id="1117723014">
                          <w:marLeft w:val="0"/>
                          <w:marRight w:val="0"/>
                          <w:marTop w:val="0"/>
                          <w:marBottom w:val="0"/>
                          <w:divBdr>
                            <w:top w:val="none" w:sz="0" w:space="0" w:color="auto"/>
                            <w:left w:val="none" w:sz="0" w:space="0" w:color="auto"/>
                            <w:bottom w:val="none" w:sz="0" w:space="0" w:color="auto"/>
                            <w:right w:val="none" w:sz="0" w:space="0" w:color="auto"/>
                          </w:divBdr>
                          <w:divsChild>
                            <w:div w:id="2205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4439">
          <w:marLeft w:val="0"/>
          <w:marRight w:val="0"/>
          <w:marTop w:val="0"/>
          <w:marBottom w:val="0"/>
          <w:divBdr>
            <w:top w:val="none" w:sz="0" w:space="0" w:color="auto"/>
            <w:left w:val="none" w:sz="0" w:space="0" w:color="auto"/>
            <w:bottom w:val="none" w:sz="0" w:space="0" w:color="auto"/>
            <w:right w:val="none" w:sz="0" w:space="0" w:color="auto"/>
          </w:divBdr>
          <w:divsChild>
            <w:div w:id="1077556459">
              <w:marLeft w:val="0"/>
              <w:marRight w:val="0"/>
              <w:marTop w:val="0"/>
              <w:marBottom w:val="0"/>
              <w:divBdr>
                <w:top w:val="none" w:sz="0" w:space="0" w:color="auto"/>
                <w:left w:val="none" w:sz="0" w:space="0" w:color="auto"/>
                <w:bottom w:val="none" w:sz="0" w:space="0" w:color="auto"/>
                <w:right w:val="none" w:sz="0" w:space="0" w:color="auto"/>
              </w:divBdr>
              <w:divsChild>
                <w:div w:id="1856730128">
                  <w:marLeft w:val="0"/>
                  <w:marRight w:val="0"/>
                  <w:marTop w:val="0"/>
                  <w:marBottom w:val="0"/>
                  <w:divBdr>
                    <w:top w:val="none" w:sz="0" w:space="0" w:color="auto"/>
                    <w:left w:val="none" w:sz="0" w:space="0" w:color="auto"/>
                    <w:bottom w:val="none" w:sz="0" w:space="0" w:color="auto"/>
                    <w:right w:val="none" w:sz="0" w:space="0" w:color="auto"/>
                  </w:divBdr>
                  <w:divsChild>
                    <w:div w:id="611670544">
                      <w:marLeft w:val="0"/>
                      <w:marRight w:val="0"/>
                      <w:marTop w:val="0"/>
                      <w:marBottom w:val="0"/>
                      <w:divBdr>
                        <w:top w:val="none" w:sz="0" w:space="0" w:color="auto"/>
                        <w:left w:val="none" w:sz="0" w:space="0" w:color="auto"/>
                        <w:bottom w:val="none" w:sz="0" w:space="0" w:color="auto"/>
                        <w:right w:val="none" w:sz="0" w:space="0" w:color="auto"/>
                      </w:divBdr>
                      <w:divsChild>
                        <w:div w:id="466053671">
                          <w:marLeft w:val="0"/>
                          <w:marRight w:val="0"/>
                          <w:marTop w:val="0"/>
                          <w:marBottom w:val="0"/>
                          <w:divBdr>
                            <w:top w:val="none" w:sz="0" w:space="0" w:color="auto"/>
                            <w:left w:val="none" w:sz="0" w:space="0" w:color="auto"/>
                            <w:bottom w:val="none" w:sz="0" w:space="0" w:color="auto"/>
                            <w:right w:val="none" w:sz="0" w:space="0" w:color="auto"/>
                          </w:divBdr>
                          <w:divsChild>
                            <w:div w:id="1868449067">
                              <w:marLeft w:val="0"/>
                              <w:marRight w:val="0"/>
                              <w:marTop w:val="0"/>
                              <w:marBottom w:val="0"/>
                              <w:divBdr>
                                <w:top w:val="none" w:sz="0" w:space="0" w:color="auto"/>
                                <w:left w:val="none" w:sz="0" w:space="0" w:color="auto"/>
                                <w:bottom w:val="none" w:sz="0" w:space="0" w:color="auto"/>
                                <w:right w:val="none" w:sz="0" w:space="0" w:color="auto"/>
                              </w:divBdr>
                              <w:divsChild>
                                <w:div w:id="1852796678">
                                  <w:marLeft w:val="0"/>
                                  <w:marRight w:val="0"/>
                                  <w:marTop w:val="0"/>
                                  <w:marBottom w:val="0"/>
                                  <w:divBdr>
                                    <w:top w:val="none" w:sz="0" w:space="0" w:color="auto"/>
                                    <w:left w:val="none" w:sz="0" w:space="0" w:color="auto"/>
                                    <w:bottom w:val="none" w:sz="0" w:space="0" w:color="auto"/>
                                    <w:right w:val="none" w:sz="0" w:space="0" w:color="auto"/>
                                  </w:divBdr>
                                  <w:divsChild>
                                    <w:div w:id="886143664">
                                      <w:marLeft w:val="0"/>
                                      <w:marRight w:val="0"/>
                                      <w:marTop w:val="0"/>
                                      <w:marBottom w:val="0"/>
                                      <w:divBdr>
                                        <w:top w:val="none" w:sz="0" w:space="0" w:color="auto"/>
                                        <w:left w:val="none" w:sz="0" w:space="0" w:color="auto"/>
                                        <w:bottom w:val="none" w:sz="0" w:space="0" w:color="auto"/>
                                        <w:right w:val="none" w:sz="0" w:space="0" w:color="auto"/>
                                      </w:divBdr>
                                      <w:divsChild>
                                        <w:div w:id="151801920">
                                          <w:marLeft w:val="0"/>
                                          <w:marRight w:val="0"/>
                                          <w:marTop w:val="0"/>
                                          <w:marBottom w:val="0"/>
                                          <w:divBdr>
                                            <w:top w:val="none" w:sz="0" w:space="0" w:color="auto"/>
                                            <w:left w:val="none" w:sz="0" w:space="0" w:color="auto"/>
                                            <w:bottom w:val="none" w:sz="0" w:space="0" w:color="auto"/>
                                            <w:right w:val="none" w:sz="0" w:space="0" w:color="auto"/>
                                          </w:divBdr>
                                          <w:divsChild>
                                            <w:div w:id="607784934">
                                              <w:marLeft w:val="0"/>
                                              <w:marRight w:val="0"/>
                                              <w:marTop w:val="0"/>
                                              <w:marBottom w:val="0"/>
                                              <w:divBdr>
                                                <w:top w:val="none" w:sz="0" w:space="0" w:color="auto"/>
                                                <w:left w:val="none" w:sz="0" w:space="0" w:color="auto"/>
                                                <w:bottom w:val="none" w:sz="0" w:space="0" w:color="auto"/>
                                                <w:right w:val="none" w:sz="0" w:space="0" w:color="auto"/>
                                              </w:divBdr>
                                              <w:divsChild>
                                                <w:div w:id="498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726072">
                          <w:marLeft w:val="0"/>
                          <w:marRight w:val="0"/>
                          <w:marTop w:val="0"/>
                          <w:marBottom w:val="0"/>
                          <w:divBdr>
                            <w:top w:val="none" w:sz="0" w:space="0" w:color="auto"/>
                            <w:left w:val="none" w:sz="0" w:space="0" w:color="auto"/>
                            <w:bottom w:val="none" w:sz="0" w:space="0" w:color="auto"/>
                            <w:right w:val="none" w:sz="0" w:space="0" w:color="auto"/>
                          </w:divBdr>
                          <w:divsChild>
                            <w:div w:id="82726398">
                              <w:marLeft w:val="0"/>
                              <w:marRight w:val="0"/>
                              <w:marTop w:val="0"/>
                              <w:marBottom w:val="0"/>
                              <w:divBdr>
                                <w:top w:val="none" w:sz="0" w:space="0" w:color="auto"/>
                                <w:left w:val="none" w:sz="0" w:space="0" w:color="auto"/>
                                <w:bottom w:val="none" w:sz="0" w:space="0" w:color="auto"/>
                                <w:right w:val="none" w:sz="0" w:space="0" w:color="auto"/>
                              </w:divBdr>
                            </w:div>
                          </w:divsChild>
                        </w:div>
                        <w:div w:id="527571964">
                          <w:marLeft w:val="0"/>
                          <w:marRight w:val="0"/>
                          <w:marTop w:val="0"/>
                          <w:marBottom w:val="0"/>
                          <w:divBdr>
                            <w:top w:val="none" w:sz="0" w:space="0" w:color="auto"/>
                            <w:left w:val="none" w:sz="0" w:space="0" w:color="auto"/>
                            <w:bottom w:val="none" w:sz="0" w:space="0" w:color="auto"/>
                            <w:right w:val="none" w:sz="0" w:space="0" w:color="auto"/>
                          </w:divBdr>
                          <w:divsChild>
                            <w:div w:id="629172229">
                              <w:marLeft w:val="0"/>
                              <w:marRight w:val="0"/>
                              <w:marTop w:val="0"/>
                              <w:marBottom w:val="0"/>
                              <w:divBdr>
                                <w:top w:val="none" w:sz="0" w:space="0" w:color="auto"/>
                                <w:left w:val="none" w:sz="0" w:space="0" w:color="auto"/>
                                <w:bottom w:val="none" w:sz="0" w:space="0" w:color="auto"/>
                                <w:right w:val="none" w:sz="0" w:space="0" w:color="auto"/>
                              </w:divBdr>
                              <w:divsChild>
                                <w:div w:id="954411722">
                                  <w:marLeft w:val="0"/>
                                  <w:marRight w:val="0"/>
                                  <w:marTop w:val="0"/>
                                  <w:marBottom w:val="0"/>
                                  <w:divBdr>
                                    <w:top w:val="none" w:sz="0" w:space="0" w:color="auto"/>
                                    <w:left w:val="none" w:sz="0" w:space="0" w:color="auto"/>
                                    <w:bottom w:val="none" w:sz="0" w:space="0" w:color="auto"/>
                                    <w:right w:val="none" w:sz="0" w:space="0" w:color="auto"/>
                                  </w:divBdr>
                                  <w:divsChild>
                                    <w:div w:id="563949986">
                                      <w:marLeft w:val="0"/>
                                      <w:marRight w:val="0"/>
                                      <w:marTop w:val="0"/>
                                      <w:marBottom w:val="0"/>
                                      <w:divBdr>
                                        <w:top w:val="none" w:sz="0" w:space="0" w:color="auto"/>
                                        <w:left w:val="none" w:sz="0" w:space="0" w:color="auto"/>
                                        <w:bottom w:val="none" w:sz="0" w:space="0" w:color="auto"/>
                                        <w:right w:val="none" w:sz="0" w:space="0" w:color="auto"/>
                                      </w:divBdr>
                                    </w:div>
                                    <w:div w:id="7362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86631">
                      <w:marLeft w:val="0"/>
                      <w:marRight w:val="0"/>
                      <w:marTop w:val="0"/>
                      <w:marBottom w:val="0"/>
                      <w:divBdr>
                        <w:top w:val="none" w:sz="0" w:space="0" w:color="auto"/>
                        <w:left w:val="none" w:sz="0" w:space="0" w:color="auto"/>
                        <w:bottom w:val="none" w:sz="0" w:space="0" w:color="auto"/>
                        <w:right w:val="none" w:sz="0" w:space="0" w:color="auto"/>
                      </w:divBdr>
                      <w:divsChild>
                        <w:div w:id="1167866312">
                          <w:marLeft w:val="0"/>
                          <w:marRight w:val="0"/>
                          <w:marTop w:val="0"/>
                          <w:marBottom w:val="0"/>
                          <w:divBdr>
                            <w:top w:val="none" w:sz="0" w:space="0" w:color="auto"/>
                            <w:left w:val="none" w:sz="0" w:space="0" w:color="auto"/>
                            <w:bottom w:val="none" w:sz="0" w:space="0" w:color="auto"/>
                            <w:right w:val="none" w:sz="0" w:space="0" w:color="auto"/>
                          </w:divBdr>
                          <w:divsChild>
                            <w:div w:id="795177067">
                              <w:marLeft w:val="0"/>
                              <w:marRight w:val="0"/>
                              <w:marTop w:val="0"/>
                              <w:marBottom w:val="0"/>
                              <w:divBdr>
                                <w:top w:val="none" w:sz="0" w:space="0" w:color="auto"/>
                                <w:left w:val="none" w:sz="0" w:space="0" w:color="auto"/>
                                <w:bottom w:val="none" w:sz="0" w:space="0" w:color="auto"/>
                                <w:right w:val="none" w:sz="0" w:space="0" w:color="auto"/>
                              </w:divBdr>
                              <w:divsChild>
                                <w:div w:id="1595170190">
                                  <w:marLeft w:val="0"/>
                                  <w:marRight w:val="0"/>
                                  <w:marTop w:val="0"/>
                                  <w:marBottom w:val="0"/>
                                  <w:divBdr>
                                    <w:top w:val="none" w:sz="0" w:space="0" w:color="auto"/>
                                    <w:left w:val="none" w:sz="0" w:space="0" w:color="auto"/>
                                    <w:bottom w:val="none" w:sz="0" w:space="0" w:color="auto"/>
                                    <w:right w:val="none" w:sz="0" w:space="0" w:color="auto"/>
                                  </w:divBdr>
                                  <w:divsChild>
                                    <w:div w:id="1264730360">
                                      <w:marLeft w:val="0"/>
                                      <w:marRight w:val="0"/>
                                      <w:marTop w:val="0"/>
                                      <w:marBottom w:val="0"/>
                                      <w:divBdr>
                                        <w:top w:val="none" w:sz="0" w:space="0" w:color="auto"/>
                                        <w:left w:val="none" w:sz="0" w:space="0" w:color="auto"/>
                                        <w:bottom w:val="none" w:sz="0" w:space="0" w:color="auto"/>
                                        <w:right w:val="none" w:sz="0" w:space="0" w:color="auto"/>
                                      </w:divBdr>
                                    </w:div>
                                    <w:div w:id="1945115175">
                                      <w:marLeft w:val="0"/>
                                      <w:marRight w:val="0"/>
                                      <w:marTop w:val="0"/>
                                      <w:marBottom w:val="0"/>
                                      <w:divBdr>
                                        <w:top w:val="none" w:sz="0" w:space="0" w:color="auto"/>
                                        <w:left w:val="none" w:sz="0" w:space="0" w:color="auto"/>
                                        <w:bottom w:val="none" w:sz="0" w:space="0" w:color="auto"/>
                                        <w:right w:val="none" w:sz="0" w:space="0" w:color="auto"/>
                                      </w:divBdr>
                                    </w:div>
                                    <w:div w:id="16670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3478">
                              <w:marLeft w:val="0"/>
                              <w:marRight w:val="0"/>
                              <w:marTop w:val="0"/>
                              <w:marBottom w:val="0"/>
                              <w:divBdr>
                                <w:top w:val="none" w:sz="0" w:space="0" w:color="auto"/>
                                <w:left w:val="none" w:sz="0" w:space="0" w:color="auto"/>
                                <w:bottom w:val="none" w:sz="0" w:space="0" w:color="auto"/>
                                <w:right w:val="none" w:sz="0" w:space="0" w:color="auto"/>
                              </w:divBdr>
                              <w:divsChild>
                                <w:div w:id="16278176">
                                  <w:marLeft w:val="0"/>
                                  <w:marRight w:val="0"/>
                                  <w:marTop w:val="0"/>
                                  <w:marBottom w:val="0"/>
                                  <w:divBdr>
                                    <w:top w:val="none" w:sz="0" w:space="0" w:color="auto"/>
                                    <w:left w:val="none" w:sz="0" w:space="0" w:color="auto"/>
                                    <w:bottom w:val="none" w:sz="0" w:space="0" w:color="auto"/>
                                    <w:right w:val="none" w:sz="0" w:space="0" w:color="auto"/>
                                  </w:divBdr>
                                  <w:divsChild>
                                    <w:div w:id="1588268443">
                                      <w:marLeft w:val="0"/>
                                      <w:marRight w:val="0"/>
                                      <w:marTop w:val="0"/>
                                      <w:marBottom w:val="0"/>
                                      <w:divBdr>
                                        <w:top w:val="none" w:sz="0" w:space="0" w:color="auto"/>
                                        <w:left w:val="none" w:sz="0" w:space="0" w:color="auto"/>
                                        <w:bottom w:val="none" w:sz="0" w:space="0" w:color="auto"/>
                                        <w:right w:val="none" w:sz="0" w:space="0" w:color="auto"/>
                                      </w:divBdr>
                                    </w:div>
                                  </w:divsChild>
                                </w:div>
                                <w:div w:id="1918244002">
                                  <w:marLeft w:val="0"/>
                                  <w:marRight w:val="0"/>
                                  <w:marTop w:val="0"/>
                                  <w:marBottom w:val="0"/>
                                  <w:divBdr>
                                    <w:top w:val="none" w:sz="0" w:space="0" w:color="auto"/>
                                    <w:left w:val="none" w:sz="0" w:space="0" w:color="auto"/>
                                    <w:bottom w:val="none" w:sz="0" w:space="0" w:color="auto"/>
                                    <w:right w:val="none" w:sz="0" w:space="0" w:color="auto"/>
                                  </w:divBdr>
                                  <w:divsChild>
                                    <w:div w:id="10317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5608">
                          <w:marLeft w:val="0"/>
                          <w:marRight w:val="0"/>
                          <w:marTop w:val="0"/>
                          <w:marBottom w:val="0"/>
                          <w:divBdr>
                            <w:top w:val="none" w:sz="0" w:space="0" w:color="auto"/>
                            <w:left w:val="none" w:sz="0" w:space="0" w:color="auto"/>
                            <w:bottom w:val="none" w:sz="0" w:space="0" w:color="auto"/>
                            <w:right w:val="none" w:sz="0" w:space="0" w:color="auto"/>
                          </w:divBdr>
                          <w:divsChild>
                            <w:div w:id="2040471902">
                              <w:marLeft w:val="0"/>
                              <w:marRight w:val="0"/>
                              <w:marTop w:val="0"/>
                              <w:marBottom w:val="0"/>
                              <w:divBdr>
                                <w:top w:val="none" w:sz="0" w:space="0" w:color="auto"/>
                                <w:left w:val="none" w:sz="0" w:space="0" w:color="auto"/>
                                <w:bottom w:val="none" w:sz="0" w:space="0" w:color="auto"/>
                                <w:right w:val="none" w:sz="0" w:space="0" w:color="auto"/>
                              </w:divBdr>
                              <w:divsChild>
                                <w:div w:id="1875997817">
                                  <w:marLeft w:val="0"/>
                                  <w:marRight w:val="0"/>
                                  <w:marTop w:val="0"/>
                                  <w:marBottom w:val="0"/>
                                  <w:divBdr>
                                    <w:top w:val="none" w:sz="0" w:space="0" w:color="auto"/>
                                    <w:left w:val="none" w:sz="0" w:space="0" w:color="auto"/>
                                    <w:bottom w:val="none" w:sz="0" w:space="0" w:color="auto"/>
                                    <w:right w:val="none" w:sz="0" w:space="0" w:color="auto"/>
                                  </w:divBdr>
                                  <w:divsChild>
                                    <w:div w:id="2028175215">
                                      <w:marLeft w:val="0"/>
                                      <w:marRight w:val="0"/>
                                      <w:marTop w:val="0"/>
                                      <w:marBottom w:val="0"/>
                                      <w:divBdr>
                                        <w:top w:val="none" w:sz="0" w:space="0" w:color="auto"/>
                                        <w:left w:val="none" w:sz="0" w:space="0" w:color="auto"/>
                                        <w:bottom w:val="none" w:sz="0" w:space="0" w:color="auto"/>
                                        <w:right w:val="none" w:sz="0" w:space="0" w:color="auto"/>
                                      </w:divBdr>
                                      <w:divsChild>
                                        <w:div w:id="1036125344">
                                          <w:marLeft w:val="0"/>
                                          <w:marRight w:val="0"/>
                                          <w:marTop w:val="0"/>
                                          <w:marBottom w:val="0"/>
                                          <w:divBdr>
                                            <w:top w:val="none" w:sz="0" w:space="0" w:color="auto"/>
                                            <w:left w:val="none" w:sz="0" w:space="0" w:color="auto"/>
                                            <w:bottom w:val="none" w:sz="0" w:space="0" w:color="auto"/>
                                            <w:right w:val="none" w:sz="0" w:space="0" w:color="auto"/>
                                          </w:divBdr>
                                          <w:divsChild>
                                            <w:div w:id="621811672">
                                              <w:marLeft w:val="0"/>
                                              <w:marRight w:val="0"/>
                                              <w:marTop w:val="0"/>
                                              <w:marBottom w:val="0"/>
                                              <w:divBdr>
                                                <w:top w:val="none" w:sz="0" w:space="0" w:color="auto"/>
                                                <w:left w:val="none" w:sz="0" w:space="0" w:color="auto"/>
                                                <w:bottom w:val="none" w:sz="0" w:space="0" w:color="auto"/>
                                                <w:right w:val="none" w:sz="0" w:space="0" w:color="auto"/>
                                              </w:divBdr>
                                            </w:div>
                                            <w:div w:id="411926211">
                                              <w:marLeft w:val="0"/>
                                              <w:marRight w:val="0"/>
                                              <w:marTop w:val="0"/>
                                              <w:marBottom w:val="0"/>
                                              <w:divBdr>
                                                <w:top w:val="none" w:sz="0" w:space="0" w:color="auto"/>
                                                <w:left w:val="none" w:sz="0" w:space="0" w:color="auto"/>
                                                <w:bottom w:val="none" w:sz="0" w:space="0" w:color="auto"/>
                                                <w:right w:val="none" w:sz="0" w:space="0" w:color="auto"/>
                                              </w:divBdr>
                                              <w:divsChild>
                                                <w:div w:id="1258712960">
                                                  <w:marLeft w:val="0"/>
                                                  <w:marRight w:val="0"/>
                                                  <w:marTop w:val="0"/>
                                                  <w:marBottom w:val="0"/>
                                                  <w:divBdr>
                                                    <w:top w:val="none" w:sz="0" w:space="0" w:color="auto"/>
                                                    <w:left w:val="none" w:sz="0" w:space="0" w:color="auto"/>
                                                    <w:bottom w:val="none" w:sz="0" w:space="0" w:color="auto"/>
                                                    <w:right w:val="none" w:sz="0" w:space="0" w:color="auto"/>
                                                  </w:divBdr>
                                                  <w:divsChild>
                                                    <w:div w:id="14653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835418">
                          <w:marLeft w:val="0"/>
                          <w:marRight w:val="0"/>
                          <w:marTop w:val="0"/>
                          <w:marBottom w:val="0"/>
                          <w:divBdr>
                            <w:top w:val="none" w:sz="0" w:space="0" w:color="auto"/>
                            <w:left w:val="none" w:sz="0" w:space="0" w:color="auto"/>
                            <w:bottom w:val="none" w:sz="0" w:space="0" w:color="auto"/>
                            <w:right w:val="none" w:sz="0" w:space="0" w:color="auto"/>
                          </w:divBdr>
                          <w:divsChild>
                            <w:div w:id="1832209783">
                              <w:marLeft w:val="0"/>
                              <w:marRight w:val="0"/>
                              <w:marTop w:val="0"/>
                              <w:marBottom w:val="0"/>
                              <w:divBdr>
                                <w:top w:val="none" w:sz="0" w:space="0" w:color="auto"/>
                                <w:left w:val="none" w:sz="0" w:space="0" w:color="auto"/>
                                <w:bottom w:val="none" w:sz="0" w:space="0" w:color="auto"/>
                                <w:right w:val="none" w:sz="0" w:space="0" w:color="auto"/>
                              </w:divBdr>
                              <w:divsChild>
                                <w:div w:id="6731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8907">
                          <w:marLeft w:val="0"/>
                          <w:marRight w:val="0"/>
                          <w:marTop w:val="0"/>
                          <w:marBottom w:val="0"/>
                          <w:divBdr>
                            <w:top w:val="none" w:sz="0" w:space="0" w:color="auto"/>
                            <w:left w:val="none" w:sz="0" w:space="0" w:color="auto"/>
                            <w:bottom w:val="none" w:sz="0" w:space="0" w:color="auto"/>
                            <w:right w:val="none" w:sz="0" w:space="0" w:color="auto"/>
                          </w:divBdr>
                          <w:divsChild>
                            <w:div w:id="20063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502124">
          <w:marLeft w:val="0"/>
          <w:marRight w:val="0"/>
          <w:marTop w:val="0"/>
          <w:marBottom w:val="0"/>
          <w:divBdr>
            <w:top w:val="none" w:sz="0" w:space="0" w:color="auto"/>
            <w:left w:val="none" w:sz="0" w:space="0" w:color="auto"/>
            <w:bottom w:val="none" w:sz="0" w:space="0" w:color="auto"/>
            <w:right w:val="none" w:sz="0" w:space="0" w:color="auto"/>
          </w:divBdr>
          <w:divsChild>
            <w:div w:id="1422792618">
              <w:marLeft w:val="0"/>
              <w:marRight w:val="0"/>
              <w:marTop w:val="0"/>
              <w:marBottom w:val="0"/>
              <w:divBdr>
                <w:top w:val="none" w:sz="0" w:space="0" w:color="auto"/>
                <w:left w:val="none" w:sz="0" w:space="0" w:color="auto"/>
                <w:bottom w:val="none" w:sz="0" w:space="0" w:color="auto"/>
                <w:right w:val="none" w:sz="0" w:space="0" w:color="auto"/>
              </w:divBdr>
            </w:div>
            <w:div w:id="1479565823">
              <w:marLeft w:val="0"/>
              <w:marRight w:val="0"/>
              <w:marTop w:val="0"/>
              <w:marBottom w:val="0"/>
              <w:divBdr>
                <w:top w:val="none" w:sz="0" w:space="0" w:color="auto"/>
                <w:left w:val="none" w:sz="0" w:space="0" w:color="auto"/>
                <w:bottom w:val="none" w:sz="0" w:space="0" w:color="auto"/>
                <w:right w:val="none" w:sz="0" w:space="0" w:color="auto"/>
              </w:divBdr>
              <w:divsChild>
                <w:div w:id="459425831">
                  <w:marLeft w:val="0"/>
                  <w:marRight w:val="0"/>
                  <w:marTop w:val="0"/>
                  <w:marBottom w:val="0"/>
                  <w:divBdr>
                    <w:top w:val="none" w:sz="0" w:space="0" w:color="auto"/>
                    <w:left w:val="none" w:sz="0" w:space="0" w:color="auto"/>
                    <w:bottom w:val="none" w:sz="0" w:space="0" w:color="auto"/>
                    <w:right w:val="none" w:sz="0" w:space="0" w:color="auto"/>
                  </w:divBdr>
                </w:div>
                <w:div w:id="388459728">
                  <w:marLeft w:val="0"/>
                  <w:marRight w:val="0"/>
                  <w:marTop w:val="0"/>
                  <w:marBottom w:val="0"/>
                  <w:divBdr>
                    <w:top w:val="none" w:sz="0" w:space="0" w:color="auto"/>
                    <w:left w:val="none" w:sz="0" w:space="0" w:color="auto"/>
                    <w:bottom w:val="none" w:sz="0" w:space="0" w:color="auto"/>
                    <w:right w:val="none" w:sz="0" w:space="0" w:color="auto"/>
                  </w:divBdr>
                </w:div>
                <w:div w:id="13074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0159">
          <w:marLeft w:val="0"/>
          <w:marRight w:val="0"/>
          <w:marTop w:val="0"/>
          <w:marBottom w:val="0"/>
          <w:divBdr>
            <w:top w:val="none" w:sz="0" w:space="0" w:color="auto"/>
            <w:left w:val="none" w:sz="0" w:space="0" w:color="auto"/>
            <w:bottom w:val="none" w:sz="0" w:space="0" w:color="auto"/>
            <w:right w:val="none" w:sz="0" w:space="0" w:color="auto"/>
          </w:divBdr>
          <w:divsChild>
            <w:div w:id="8636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18740">
      <w:bodyDiv w:val="1"/>
      <w:marLeft w:val="0"/>
      <w:marRight w:val="0"/>
      <w:marTop w:val="0"/>
      <w:marBottom w:val="0"/>
      <w:divBdr>
        <w:top w:val="none" w:sz="0" w:space="0" w:color="auto"/>
        <w:left w:val="none" w:sz="0" w:space="0" w:color="auto"/>
        <w:bottom w:val="none" w:sz="0" w:space="0" w:color="auto"/>
        <w:right w:val="none" w:sz="0" w:space="0" w:color="auto"/>
      </w:divBdr>
    </w:div>
    <w:div w:id="586547864">
      <w:bodyDiv w:val="1"/>
      <w:marLeft w:val="0"/>
      <w:marRight w:val="0"/>
      <w:marTop w:val="0"/>
      <w:marBottom w:val="0"/>
      <w:divBdr>
        <w:top w:val="none" w:sz="0" w:space="0" w:color="auto"/>
        <w:left w:val="none" w:sz="0" w:space="0" w:color="auto"/>
        <w:bottom w:val="none" w:sz="0" w:space="0" w:color="auto"/>
        <w:right w:val="none" w:sz="0" w:space="0" w:color="auto"/>
      </w:divBdr>
    </w:div>
    <w:div w:id="641349105">
      <w:bodyDiv w:val="1"/>
      <w:marLeft w:val="0"/>
      <w:marRight w:val="0"/>
      <w:marTop w:val="0"/>
      <w:marBottom w:val="0"/>
      <w:divBdr>
        <w:top w:val="none" w:sz="0" w:space="0" w:color="auto"/>
        <w:left w:val="none" w:sz="0" w:space="0" w:color="auto"/>
        <w:bottom w:val="none" w:sz="0" w:space="0" w:color="auto"/>
        <w:right w:val="none" w:sz="0" w:space="0" w:color="auto"/>
      </w:divBdr>
    </w:div>
    <w:div w:id="663779789">
      <w:bodyDiv w:val="1"/>
      <w:marLeft w:val="0"/>
      <w:marRight w:val="0"/>
      <w:marTop w:val="0"/>
      <w:marBottom w:val="0"/>
      <w:divBdr>
        <w:top w:val="none" w:sz="0" w:space="0" w:color="auto"/>
        <w:left w:val="none" w:sz="0" w:space="0" w:color="auto"/>
        <w:bottom w:val="none" w:sz="0" w:space="0" w:color="auto"/>
        <w:right w:val="none" w:sz="0" w:space="0" w:color="auto"/>
      </w:divBdr>
    </w:div>
    <w:div w:id="672798979">
      <w:bodyDiv w:val="1"/>
      <w:marLeft w:val="0"/>
      <w:marRight w:val="0"/>
      <w:marTop w:val="0"/>
      <w:marBottom w:val="0"/>
      <w:divBdr>
        <w:top w:val="none" w:sz="0" w:space="0" w:color="auto"/>
        <w:left w:val="none" w:sz="0" w:space="0" w:color="auto"/>
        <w:bottom w:val="none" w:sz="0" w:space="0" w:color="auto"/>
        <w:right w:val="none" w:sz="0" w:space="0" w:color="auto"/>
      </w:divBdr>
    </w:div>
    <w:div w:id="775635776">
      <w:bodyDiv w:val="1"/>
      <w:marLeft w:val="0"/>
      <w:marRight w:val="0"/>
      <w:marTop w:val="0"/>
      <w:marBottom w:val="0"/>
      <w:divBdr>
        <w:top w:val="none" w:sz="0" w:space="0" w:color="auto"/>
        <w:left w:val="none" w:sz="0" w:space="0" w:color="auto"/>
        <w:bottom w:val="none" w:sz="0" w:space="0" w:color="auto"/>
        <w:right w:val="none" w:sz="0" w:space="0" w:color="auto"/>
      </w:divBdr>
    </w:div>
    <w:div w:id="809515778">
      <w:bodyDiv w:val="1"/>
      <w:marLeft w:val="0"/>
      <w:marRight w:val="0"/>
      <w:marTop w:val="0"/>
      <w:marBottom w:val="0"/>
      <w:divBdr>
        <w:top w:val="none" w:sz="0" w:space="0" w:color="auto"/>
        <w:left w:val="none" w:sz="0" w:space="0" w:color="auto"/>
        <w:bottom w:val="none" w:sz="0" w:space="0" w:color="auto"/>
        <w:right w:val="none" w:sz="0" w:space="0" w:color="auto"/>
      </w:divBdr>
    </w:div>
    <w:div w:id="815680439">
      <w:bodyDiv w:val="1"/>
      <w:marLeft w:val="0"/>
      <w:marRight w:val="0"/>
      <w:marTop w:val="0"/>
      <w:marBottom w:val="0"/>
      <w:divBdr>
        <w:top w:val="none" w:sz="0" w:space="0" w:color="auto"/>
        <w:left w:val="none" w:sz="0" w:space="0" w:color="auto"/>
        <w:bottom w:val="none" w:sz="0" w:space="0" w:color="auto"/>
        <w:right w:val="none" w:sz="0" w:space="0" w:color="auto"/>
      </w:divBdr>
    </w:div>
    <w:div w:id="824007153">
      <w:bodyDiv w:val="1"/>
      <w:marLeft w:val="0"/>
      <w:marRight w:val="0"/>
      <w:marTop w:val="0"/>
      <w:marBottom w:val="0"/>
      <w:divBdr>
        <w:top w:val="none" w:sz="0" w:space="0" w:color="auto"/>
        <w:left w:val="none" w:sz="0" w:space="0" w:color="auto"/>
        <w:bottom w:val="none" w:sz="0" w:space="0" w:color="auto"/>
        <w:right w:val="none" w:sz="0" w:space="0" w:color="auto"/>
      </w:divBdr>
    </w:div>
    <w:div w:id="965964887">
      <w:bodyDiv w:val="1"/>
      <w:marLeft w:val="0"/>
      <w:marRight w:val="0"/>
      <w:marTop w:val="0"/>
      <w:marBottom w:val="0"/>
      <w:divBdr>
        <w:top w:val="none" w:sz="0" w:space="0" w:color="auto"/>
        <w:left w:val="none" w:sz="0" w:space="0" w:color="auto"/>
        <w:bottom w:val="none" w:sz="0" w:space="0" w:color="auto"/>
        <w:right w:val="none" w:sz="0" w:space="0" w:color="auto"/>
      </w:divBdr>
    </w:div>
    <w:div w:id="968819040">
      <w:bodyDiv w:val="1"/>
      <w:marLeft w:val="0"/>
      <w:marRight w:val="0"/>
      <w:marTop w:val="0"/>
      <w:marBottom w:val="0"/>
      <w:divBdr>
        <w:top w:val="none" w:sz="0" w:space="0" w:color="auto"/>
        <w:left w:val="none" w:sz="0" w:space="0" w:color="auto"/>
        <w:bottom w:val="none" w:sz="0" w:space="0" w:color="auto"/>
        <w:right w:val="none" w:sz="0" w:space="0" w:color="auto"/>
      </w:divBdr>
    </w:div>
    <w:div w:id="993529007">
      <w:bodyDiv w:val="1"/>
      <w:marLeft w:val="0"/>
      <w:marRight w:val="0"/>
      <w:marTop w:val="0"/>
      <w:marBottom w:val="0"/>
      <w:divBdr>
        <w:top w:val="none" w:sz="0" w:space="0" w:color="auto"/>
        <w:left w:val="none" w:sz="0" w:space="0" w:color="auto"/>
        <w:bottom w:val="none" w:sz="0" w:space="0" w:color="auto"/>
        <w:right w:val="none" w:sz="0" w:space="0" w:color="auto"/>
      </w:divBdr>
      <w:divsChild>
        <w:div w:id="310017851">
          <w:marLeft w:val="547"/>
          <w:marRight w:val="0"/>
          <w:marTop w:val="0"/>
          <w:marBottom w:val="0"/>
          <w:divBdr>
            <w:top w:val="none" w:sz="0" w:space="0" w:color="auto"/>
            <w:left w:val="none" w:sz="0" w:space="0" w:color="auto"/>
            <w:bottom w:val="none" w:sz="0" w:space="0" w:color="auto"/>
            <w:right w:val="none" w:sz="0" w:space="0" w:color="auto"/>
          </w:divBdr>
        </w:div>
      </w:divsChild>
    </w:div>
    <w:div w:id="1032998894">
      <w:bodyDiv w:val="1"/>
      <w:marLeft w:val="0"/>
      <w:marRight w:val="0"/>
      <w:marTop w:val="0"/>
      <w:marBottom w:val="0"/>
      <w:divBdr>
        <w:top w:val="none" w:sz="0" w:space="0" w:color="auto"/>
        <w:left w:val="none" w:sz="0" w:space="0" w:color="auto"/>
        <w:bottom w:val="none" w:sz="0" w:space="0" w:color="auto"/>
        <w:right w:val="none" w:sz="0" w:space="0" w:color="auto"/>
      </w:divBdr>
    </w:div>
    <w:div w:id="1040324458">
      <w:bodyDiv w:val="1"/>
      <w:marLeft w:val="0"/>
      <w:marRight w:val="0"/>
      <w:marTop w:val="0"/>
      <w:marBottom w:val="0"/>
      <w:divBdr>
        <w:top w:val="none" w:sz="0" w:space="0" w:color="auto"/>
        <w:left w:val="none" w:sz="0" w:space="0" w:color="auto"/>
        <w:bottom w:val="none" w:sz="0" w:space="0" w:color="auto"/>
        <w:right w:val="none" w:sz="0" w:space="0" w:color="auto"/>
      </w:divBdr>
    </w:div>
    <w:div w:id="1114858969">
      <w:bodyDiv w:val="1"/>
      <w:marLeft w:val="0"/>
      <w:marRight w:val="0"/>
      <w:marTop w:val="0"/>
      <w:marBottom w:val="0"/>
      <w:divBdr>
        <w:top w:val="none" w:sz="0" w:space="0" w:color="auto"/>
        <w:left w:val="none" w:sz="0" w:space="0" w:color="auto"/>
        <w:bottom w:val="none" w:sz="0" w:space="0" w:color="auto"/>
        <w:right w:val="none" w:sz="0" w:space="0" w:color="auto"/>
      </w:divBdr>
    </w:div>
    <w:div w:id="1165778810">
      <w:bodyDiv w:val="1"/>
      <w:marLeft w:val="0"/>
      <w:marRight w:val="0"/>
      <w:marTop w:val="0"/>
      <w:marBottom w:val="0"/>
      <w:divBdr>
        <w:top w:val="none" w:sz="0" w:space="0" w:color="auto"/>
        <w:left w:val="none" w:sz="0" w:space="0" w:color="auto"/>
        <w:bottom w:val="none" w:sz="0" w:space="0" w:color="auto"/>
        <w:right w:val="none" w:sz="0" w:space="0" w:color="auto"/>
      </w:divBdr>
    </w:div>
    <w:div w:id="1176656471">
      <w:bodyDiv w:val="1"/>
      <w:marLeft w:val="0"/>
      <w:marRight w:val="0"/>
      <w:marTop w:val="0"/>
      <w:marBottom w:val="0"/>
      <w:divBdr>
        <w:top w:val="none" w:sz="0" w:space="0" w:color="auto"/>
        <w:left w:val="none" w:sz="0" w:space="0" w:color="auto"/>
        <w:bottom w:val="none" w:sz="0" w:space="0" w:color="auto"/>
        <w:right w:val="none" w:sz="0" w:space="0" w:color="auto"/>
      </w:divBdr>
    </w:div>
    <w:div w:id="1223642582">
      <w:bodyDiv w:val="1"/>
      <w:marLeft w:val="0"/>
      <w:marRight w:val="0"/>
      <w:marTop w:val="0"/>
      <w:marBottom w:val="0"/>
      <w:divBdr>
        <w:top w:val="none" w:sz="0" w:space="0" w:color="auto"/>
        <w:left w:val="none" w:sz="0" w:space="0" w:color="auto"/>
        <w:bottom w:val="none" w:sz="0" w:space="0" w:color="auto"/>
        <w:right w:val="none" w:sz="0" w:space="0" w:color="auto"/>
      </w:divBdr>
    </w:div>
    <w:div w:id="1312902295">
      <w:bodyDiv w:val="1"/>
      <w:marLeft w:val="0"/>
      <w:marRight w:val="0"/>
      <w:marTop w:val="0"/>
      <w:marBottom w:val="0"/>
      <w:divBdr>
        <w:top w:val="none" w:sz="0" w:space="0" w:color="auto"/>
        <w:left w:val="none" w:sz="0" w:space="0" w:color="auto"/>
        <w:bottom w:val="none" w:sz="0" w:space="0" w:color="auto"/>
        <w:right w:val="none" w:sz="0" w:space="0" w:color="auto"/>
      </w:divBdr>
    </w:div>
    <w:div w:id="1315834881">
      <w:bodyDiv w:val="1"/>
      <w:marLeft w:val="0"/>
      <w:marRight w:val="0"/>
      <w:marTop w:val="0"/>
      <w:marBottom w:val="0"/>
      <w:divBdr>
        <w:top w:val="none" w:sz="0" w:space="0" w:color="auto"/>
        <w:left w:val="none" w:sz="0" w:space="0" w:color="auto"/>
        <w:bottom w:val="none" w:sz="0" w:space="0" w:color="auto"/>
        <w:right w:val="none" w:sz="0" w:space="0" w:color="auto"/>
      </w:divBdr>
    </w:div>
    <w:div w:id="1381250898">
      <w:bodyDiv w:val="1"/>
      <w:marLeft w:val="0"/>
      <w:marRight w:val="0"/>
      <w:marTop w:val="0"/>
      <w:marBottom w:val="0"/>
      <w:divBdr>
        <w:top w:val="none" w:sz="0" w:space="0" w:color="auto"/>
        <w:left w:val="none" w:sz="0" w:space="0" w:color="auto"/>
        <w:bottom w:val="none" w:sz="0" w:space="0" w:color="auto"/>
        <w:right w:val="none" w:sz="0" w:space="0" w:color="auto"/>
      </w:divBdr>
    </w:div>
    <w:div w:id="1496073797">
      <w:bodyDiv w:val="1"/>
      <w:marLeft w:val="0"/>
      <w:marRight w:val="0"/>
      <w:marTop w:val="0"/>
      <w:marBottom w:val="0"/>
      <w:divBdr>
        <w:top w:val="none" w:sz="0" w:space="0" w:color="auto"/>
        <w:left w:val="none" w:sz="0" w:space="0" w:color="auto"/>
        <w:bottom w:val="none" w:sz="0" w:space="0" w:color="auto"/>
        <w:right w:val="none" w:sz="0" w:space="0" w:color="auto"/>
      </w:divBdr>
    </w:div>
    <w:div w:id="1551653074">
      <w:bodyDiv w:val="1"/>
      <w:marLeft w:val="0"/>
      <w:marRight w:val="0"/>
      <w:marTop w:val="0"/>
      <w:marBottom w:val="0"/>
      <w:divBdr>
        <w:top w:val="none" w:sz="0" w:space="0" w:color="auto"/>
        <w:left w:val="none" w:sz="0" w:space="0" w:color="auto"/>
        <w:bottom w:val="none" w:sz="0" w:space="0" w:color="auto"/>
        <w:right w:val="none" w:sz="0" w:space="0" w:color="auto"/>
      </w:divBdr>
    </w:div>
    <w:div w:id="1582712403">
      <w:bodyDiv w:val="1"/>
      <w:marLeft w:val="0"/>
      <w:marRight w:val="0"/>
      <w:marTop w:val="0"/>
      <w:marBottom w:val="0"/>
      <w:divBdr>
        <w:top w:val="none" w:sz="0" w:space="0" w:color="auto"/>
        <w:left w:val="none" w:sz="0" w:space="0" w:color="auto"/>
        <w:bottom w:val="none" w:sz="0" w:space="0" w:color="auto"/>
        <w:right w:val="none" w:sz="0" w:space="0" w:color="auto"/>
      </w:divBdr>
      <w:divsChild>
        <w:div w:id="526721582">
          <w:marLeft w:val="547"/>
          <w:marRight w:val="0"/>
          <w:marTop w:val="0"/>
          <w:marBottom w:val="0"/>
          <w:divBdr>
            <w:top w:val="none" w:sz="0" w:space="0" w:color="auto"/>
            <w:left w:val="none" w:sz="0" w:space="0" w:color="auto"/>
            <w:bottom w:val="none" w:sz="0" w:space="0" w:color="auto"/>
            <w:right w:val="none" w:sz="0" w:space="0" w:color="auto"/>
          </w:divBdr>
        </w:div>
      </w:divsChild>
    </w:div>
    <w:div w:id="1619675802">
      <w:bodyDiv w:val="1"/>
      <w:marLeft w:val="0"/>
      <w:marRight w:val="0"/>
      <w:marTop w:val="0"/>
      <w:marBottom w:val="0"/>
      <w:divBdr>
        <w:top w:val="none" w:sz="0" w:space="0" w:color="auto"/>
        <w:left w:val="none" w:sz="0" w:space="0" w:color="auto"/>
        <w:bottom w:val="none" w:sz="0" w:space="0" w:color="auto"/>
        <w:right w:val="none" w:sz="0" w:space="0" w:color="auto"/>
      </w:divBdr>
    </w:div>
    <w:div w:id="1661035041">
      <w:bodyDiv w:val="1"/>
      <w:marLeft w:val="0"/>
      <w:marRight w:val="0"/>
      <w:marTop w:val="0"/>
      <w:marBottom w:val="0"/>
      <w:divBdr>
        <w:top w:val="none" w:sz="0" w:space="0" w:color="auto"/>
        <w:left w:val="none" w:sz="0" w:space="0" w:color="auto"/>
        <w:bottom w:val="none" w:sz="0" w:space="0" w:color="auto"/>
        <w:right w:val="none" w:sz="0" w:space="0" w:color="auto"/>
      </w:divBdr>
    </w:div>
    <w:div w:id="1751192975">
      <w:bodyDiv w:val="1"/>
      <w:marLeft w:val="0"/>
      <w:marRight w:val="0"/>
      <w:marTop w:val="0"/>
      <w:marBottom w:val="0"/>
      <w:divBdr>
        <w:top w:val="none" w:sz="0" w:space="0" w:color="auto"/>
        <w:left w:val="none" w:sz="0" w:space="0" w:color="auto"/>
        <w:bottom w:val="none" w:sz="0" w:space="0" w:color="auto"/>
        <w:right w:val="none" w:sz="0" w:space="0" w:color="auto"/>
      </w:divBdr>
    </w:div>
    <w:div w:id="1798373410">
      <w:bodyDiv w:val="1"/>
      <w:marLeft w:val="0"/>
      <w:marRight w:val="0"/>
      <w:marTop w:val="0"/>
      <w:marBottom w:val="0"/>
      <w:divBdr>
        <w:top w:val="none" w:sz="0" w:space="0" w:color="auto"/>
        <w:left w:val="none" w:sz="0" w:space="0" w:color="auto"/>
        <w:bottom w:val="none" w:sz="0" w:space="0" w:color="auto"/>
        <w:right w:val="none" w:sz="0" w:space="0" w:color="auto"/>
      </w:divBdr>
    </w:div>
    <w:div w:id="1804927590">
      <w:bodyDiv w:val="1"/>
      <w:marLeft w:val="0"/>
      <w:marRight w:val="0"/>
      <w:marTop w:val="0"/>
      <w:marBottom w:val="0"/>
      <w:divBdr>
        <w:top w:val="none" w:sz="0" w:space="0" w:color="auto"/>
        <w:left w:val="none" w:sz="0" w:space="0" w:color="auto"/>
        <w:bottom w:val="none" w:sz="0" w:space="0" w:color="auto"/>
        <w:right w:val="none" w:sz="0" w:space="0" w:color="auto"/>
      </w:divBdr>
    </w:div>
    <w:div w:id="1867599677">
      <w:bodyDiv w:val="1"/>
      <w:marLeft w:val="0"/>
      <w:marRight w:val="0"/>
      <w:marTop w:val="0"/>
      <w:marBottom w:val="0"/>
      <w:divBdr>
        <w:top w:val="none" w:sz="0" w:space="0" w:color="auto"/>
        <w:left w:val="none" w:sz="0" w:space="0" w:color="auto"/>
        <w:bottom w:val="none" w:sz="0" w:space="0" w:color="auto"/>
        <w:right w:val="none" w:sz="0" w:space="0" w:color="auto"/>
      </w:divBdr>
    </w:div>
    <w:div w:id="1867786768">
      <w:bodyDiv w:val="1"/>
      <w:marLeft w:val="0"/>
      <w:marRight w:val="0"/>
      <w:marTop w:val="0"/>
      <w:marBottom w:val="0"/>
      <w:divBdr>
        <w:top w:val="none" w:sz="0" w:space="0" w:color="auto"/>
        <w:left w:val="none" w:sz="0" w:space="0" w:color="auto"/>
        <w:bottom w:val="none" w:sz="0" w:space="0" w:color="auto"/>
        <w:right w:val="none" w:sz="0" w:space="0" w:color="auto"/>
      </w:divBdr>
      <w:divsChild>
        <w:div w:id="694623981">
          <w:marLeft w:val="0"/>
          <w:marRight w:val="0"/>
          <w:marTop w:val="0"/>
          <w:marBottom w:val="0"/>
          <w:divBdr>
            <w:top w:val="none" w:sz="0" w:space="0" w:color="auto"/>
            <w:left w:val="none" w:sz="0" w:space="0" w:color="auto"/>
            <w:bottom w:val="none" w:sz="0" w:space="0" w:color="auto"/>
            <w:right w:val="none" w:sz="0" w:space="0" w:color="auto"/>
          </w:divBdr>
        </w:div>
      </w:divsChild>
    </w:div>
    <w:div w:id="1868369320">
      <w:bodyDiv w:val="1"/>
      <w:marLeft w:val="0"/>
      <w:marRight w:val="0"/>
      <w:marTop w:val="0"/>
      <w:marBottom w:val="0"/>
      <w:divBdr>
        <w:top w:val="none" w:sz="0" w:space="0" w:color="auto"/>
        <w:left w:val="none" w:sz="0" w:space="0" w:color="auto"/>
        <w:bottom w:val="none" w:sz="0" w:space="0" w:color="auto"/>
        <w:right w:val="none" w:sz="0" w:space="0" w:color="auto"/>
      </w:divBdr>
    </w:div>
    <w:div w:id="1905680122">
      <w:bodyDiv w:val="1"/>
      <w:marLeft w:val="0"/>
      <w:marRight w:val="0"/>
      <w:marTop w:val="0"/>
      <w:marBottom w:val="0"/>
      <w:divBdr>
        <w:top w:val="none" w:sz="0" w:space="0" w:color="auto"/>
        <w:left w:val="none" w:sz="0" w:space="0" w:color="auto"/>
        <w:bottom w:val="none" w:sz="0" w:space="0" w:color="auto"/>
        <w:right w:val="none" w:sz="0" w:space="0" w:color="auto"/>
      </w:divBdr>
    </w:div>
    <w:div w:id="1922250215">
      <w:bodyDiv w:val="1"/>
      <w:marLeft w:val="0"/>
      <w:marRight w:val="0"/>
      <w:marTop w:val="0"/>
      <w:marBottom w:val="0"/>
      <w:divBdr>
        <w:top w:val="none" w:sz="0" w:space="0" w:color="auto"/>
        <w:left w:val="none" w:sz="0" w:space="0" w:color="auto"/>
        <w:bottom w:val="none" w:sz="0" w:space="0" w:color="auto"/>
        <w:right w:val="none" w:sz="0" w:space="0" w:color="auto"/>
      </w:divBdr>
    </w:div>
    <w:div w:id="2035573229">
      <w:bodyDiv w:val="1"/>
      <w:marLeft w:val="0"/>
      <w:marRight w:val="0"/>
      <w:marTop w:val="0"/>
      <w:marBottom w:val="0"/>
      <w:divBdr>
        <w:top w:val="none" w:sz="0" w:space="0" w:color="auto"/>
        <w:left w:val="none" w:sz="0" w:space="0" w:color="auto"/>
        <w:bottom w:val="none" w:sz="0" w:space="0" w:color="auto"/>
        <w:right w:val="none" w:sz="0" w:space="0" w:color="auto"/>
      </w:divBdr>
    </w:div>
    <w:div w:id="209119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40.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6.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0.png"/><Relationship Id="rId36" Type="http://schemas.openxmlformats.org/officeDocument/2006/relationships/image" Target="media/image220.png"/><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reliefweb.int/report/indonesia/central-sulawesi-recovery-will-take-3-years-official-says" TargetMode="External"/><Relationship Id="rId13" Type="http://schemas.openxmlformats.org/officeDocument/2006/relationships/hyperlink" Target="https://www.sciencedirect.com/science/article/pii/S030438781830573X" TargetMode="External"/><Relationship Id="rId18" Type="http://schemas.openxmlformats.org/officeDocument/2006/relationships/hyperlink" Target="https://investinginwomen.asia/" TargetMode="External"/><Relationship Id="rId3" Type="http://schemas.openxmlformats.org/officeDocument/2006/relationships/hyperlink" Target="https://jakartaglobe.id/context/most-indonesians-consider-2019-elections-honest-and-fair-survey" TargetMode="External"/><Relationship Id="rId21" Type="http://schemas.openxmlformats.org/officeDocument/2006/relationships/hyperlink" Target="https://dfat.gov.au/about-us/publications/Pages/indonesia-understanding-social-exclusion-meta-analysis-peduli.aspx" TargetMode="External"/><Relationship Id="rId7" Type="http://schemas.openxmlformats.org/officeDocument/2006/relationships/hyperlink" Target="https://reliefweb.int/report/indonesia/impact-lombok-earthquake-460-died-and-idr-745-trillion-economic-loss" TargetMode="External"/><Relationship Id="rId12" Type="http://schemas.openxmlformats.org/officeDocument/2006/relationships/hyperlink" Target="https://www.mckinsey.com/featured-insights/asia-pacific/unlocking-indonesias-digital-opportunity" TargetMode="External"/><Relationship Id="rId17" Type="http://schemas.openxmlformats.org/officeDocument/2006/relationships/hyperlink" Target="http://emispendis.kemenag.go.id/emis2016v1/" TargetMode="External"/><Relationship Id="rId2" Type="http://schemas.openxmlformats.org/officeDocument/2006/relationships/hyperlink" Target="https://www.imf.org/en/Publications/CR/Issues/2019/07/30/Indonesia-2019-Article-IV-Consultation-Press-Release-Staff-Report-and-Statement-by-the-48535" TargetMode="External"/><Relationship Id="rId16" Type="http://schemas.openxmlformats.org/officeDocument/2006/relationships/hyperlink" Target="http://jendela.data.kemdikbud.go.id/jendela/" TargetMode="External"/><Relationship Id="rId20" Type="http://schemas.openxmlformats.org/officeDocument/2006/relationships/hyperlink" Target="https://thediplomat.com/2015/03/indonesias-migrant-workers-dreams-and-tears/" TargetMode="External"/><Relationship Id="rId1" Type="http://schemas.openxmlformats.org/officeDocument/2006/relationships/hyperlink" Target="https://www.fpwhitepaper.gov.au/foreign-policy-white-paper" TargetMode="External"/><Relationship Id="rId6" Type="http://schemas.openxmlformats.org/officeDocument/2006/relationships/hyperlink" Target="https://reliefweb.int/report/indonesia/indonesia-and-un-work-closely-disaster-prevention-following-2018-disaster-death" TargetMode="External"/><Relationship Id="rId11" Type="http://schemas.openxmlformats.org/officeDocument/2006/relationships/hyperlink" Target="https://www.adb.org/publications/analysis-trends-and-challenges-indonesian-labor-market" TargetMode="External"/><Relationship Id="rId5" Type="http://schemas.openxmlformats.org/officeDocument/2006/relationships/hyperlink" Target="http://dibi.bnpb.go.id/dibi/" TargetMode="External"/><Relationship Id="rId15" Type="http://schemas.openxmlformats.org/officeDocument/2006/relationships/hyperlink" Target="http://documents.worldbank.org/curated/en/938961468195535278/pdf/101178-WP-P085375-PUBLIC-Box393259B-PAMSIMAS.pdf" TargetMode="External"/><Relationship Id="rId10" Type="http://schemas.openxmlformats.org/officeDocument/2006/relationships/hyperlink" Target="https://www.imf.org/~/media/Files/Publications/CR/2018/cr1832.ashx" TargetMode="External"/><Relationship Id="rId19" Type="http://schemas.openxmlformats.org/officeDocument/2006/relationships/hyperlink" Target="https://thegiin.org/assets/Indonesia_GIIN_SEAL_report_webfile.pdf" TargetMode="External"/><Relationship Id="rId4" Type="http://schemas.openxmlformats.org/officeDocument/2006/relationships/hyperlink" Target="https://databank.worldbank.org/data/download/hci/HCI_2pager_IDN.pdf" TargetMode="External"/><Relationship Id="rId9" Type="http://schemas.openxmlformats.org/officeDocument/2006/relationships/hyperlink" Target="https://www.imf.org/en/Publications/CR/Issues/2019/07/30/Indonesia-2019-Article-IV-Consultation-Press-Release-Staff-Report-and-Statement-by-the-48535" TargetMode="External"/><Relationship Id="rId14" Type="http://schemas.openxmlformats.org/officeDocument/2006/relationships/hyperlink" Target="http://www.kesmas.kemkes.go.id/assets/upload/dir_519d41d8cd98f00/files/Hasil-riskesdas-2018_1274.pdf" TargetMode="External"/><Relationship Id="rId22" Type="http://schemas.openxmlformats.org/officeDocument/2006/relationships/hyperlink" Target="https://dfat.gov.au/about-us/publications/Pages/making-performance-count-enhancing-the-accountability-and-effectiveness-of-australian-aid.aspx"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2AA39A0-CCA9-4CB0-81B7-F730C402DCC9}"/>
</file>

<file path=customXml/itemProps2.xml><?xml version="1.0" encoding="utf-8"?>
<ds:datastoreItem xmlns:ds="http://schemas.openxmlformats.org/officeDocument/2006/customXml" ds:itemID="{44CD61ED-2824-4759-A2FA-754B13D572D7}"/>
</file>

<file path=customXml/itemProps3.xml><?xml version="1.0" encoding="utf-8"?>
<ds:datastoreItem xmlns:ds="http://schemas.openxmlformats.org/officeDocument/2006/customXml" ds:itemID="{396055A2-921B-4E60-9284-DBE5EEDC5FBA}"/>
</file>

<file path=customXml/itemProps4.xml><?xml version="1.0" encoding="utf-8"?>
<ds:datastoreItem xmlns:ds="http://schemas.openxmlformats.org/officeDocument/2006/customXml" ds:itemID="{C2047CE7-61E6-442A-927A-895FF46FB652}"/>
</file>

<file path=docProps/app.xml><?xml version="1.0" encoding="utf-8"?>
<Properties xmlns="http://schemas.openxmlformats.org/officeDocument/2006/extended-properties" xmlns:vt="http://schemas.openxmlformats.org/officeDocument/2006/docPropsVTypes">
  <Template>Normal.dotm</Template>
  <TotalTime>0</TotalTime>
  <Pages>45</Pages>
  <Words>18490</Words>
  <Characters>105398</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2019-09-19T23:53:00Z</dcterms:created>
  <dcterms:modified xsi:type="dcterms:W3CDTF">2019-09-19T23:53:00Z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77f7df4e-7e15-4322-9bea-611480d93c98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1262800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