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16" w:rsidRPr="000D178B" w:rsidRDefault="00015316" w:rsidP="000D178B">
      <w:pPr>
        <w:sectPr w:rsidR="00015316" w:rsidRPr="000D178B" w:rsidSect="00D76558">
          <w:footerReference w:type="default" r:id="rId8"/>
          <w:headerReference w:type="first" r:id="rId9"/>
          <w:footerReference w:type="first" r:id="rId10"/>
          <w:type w:val="continuous"/>
          <w:pgSz w:w="11906" w:h="16838" w:code="9"/>
          <w:pgMar w:top="1950" w:right="1134" w:bottom="851" w:left="1134" w:header="1559" w:footer="567" w:gutter="0"/>
          <w:cols w:space="397"/>
          <w:docGrid w:linePitch="360"/>
        </w:sectPr>
      </w:pPr>
    </w:p>
    <w:p w:rsidR="00F37193" w:rsidRDefault="00F37193" w:rsidP="005B5769">
      <w:pPr>
        <w:pStyle w:val="ListBullet"/>
        <w:tabs>
          <w:tab w:val="clear" w:pos="284"/>
        </w:tabs>
        <w:sectPr w:rsidR="00F37193" w:rsidSect="00F37193">
          <w:headerReference w:type="default" r:id="rId11"/>
          <w:type w:val="continuous"/>
          <w:pgSz w:w="11906" w:h="16838" w:code="9"/>
          <w:pgMar w:top="1952" w:right="1134" w:bottom="851" w:left="1134" w:header="1814" w:footer="567" w:gutter="0"/>
          <w:cols w:space="397"/>
          <w:docGrid w:linePitch="360"/>
        </w:sectPr>
      </w:pPr>
    </w:p>
    <w:p w:rsidR="0059146A" w:rsidRDefault="0059146A" w:rsidP="005B5769">
      <w:pPr>
        <w:pStyle w:val="ListBullet"/>
        <w:tabs>
          <w:tab w:val="clear" w:pos="284"/>
        </w:tabs>
      </w:pP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D64950" w:rsidP="002A51CA">
      <w:pPr>
        <w:pStyle w:val="Title"/>
        <w:spacing w:after="120" w:line="600" w:lineRule="exact"/>
        <w:rPr>
          <w:spacing w:val="-20"/>
          <w:sz w:val="60"/>
        </w:rPr>
      </w:pPr>
      <w:r>
        <w:rPr>
          <w:noProof/>
          <w:lang w:val="en-AU" w:eastAsia="en-AU"/>
        </w:rPr>
        <w:drawing>
          <wp:anchor distT="0" distB="0" distL="114300" distR="114300" simplePos="0" relativeHeight="251652096" behindDoc="1" locked="1" layoutInCell="1" allowOverlap="1">
            <wp:simplePos x="0" y="0"/>
            <wp:positionH relativeFrom="page">
              <wp:posOffset>872490</wp:posOffset>
            </wp:positionH>
            <wp:positionV relativeFrom="page">
              <wp:posOffset>1561465</wp:posOffset>
            </wp:positionV>
            <wp:extent cx="3167380" cy="554355"/>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738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3120" behindDoc="1" locked="1" layoutInCell="1" allowOverlap="1">
            <wp:simplePos x="0" y="0"/>
            <wp:positionH relativeFrom="page">
              <wp:posOffset>160020</wp:posOffset>
            </wp:positionH>
            <wp:positionV relativeFrom="page">
              <wp:posOffset>144780</wp:posOffset>
            </wp:positionV>
            <wp:extent cx="7750810" cy="1072578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0810" cy="1072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784">
        <w:rPr>
          <w:spacing w:val="-20"/>
          <w:sz w:val="60"/>
        </w:rPr>
        <w:t>Aid Program</w:t>
      </w:r>
      <w:r w:rsidR="00C6626C" w:rsidRPr="002A51CA">
        <w:rPr>
          <w:spacing w:val="-20"/>
          <w:sz w:val="60"/>
        </w:rPr>
        <w:t xml:space="preserve"> Performance </w:t>
      </w:r>
    </w:p>
    <w:p w:rsidR="00C6626C" w:rsidRPr="002A51CA" w:rsidRDefault="00C6626C" w:rsidP="002A51CA">
      <w:pPr>
        <w:pStyle w:val="Title"/>
        <w:spacing w:after="120" w:line="600" w:lineRule="exact"/>
        <w:rPr>
          <w:spacing w:val="-20"/>
          <w:sz w:val="60"/>
        </w:rPr>
      </w:pPr>
      <w:r w:rsidRPr="002A51CA">
        <w:rPr>
          <w:spacing w:val="-20"/>
          <w:sz w:val="60"/>
        </w:rPr>
        <w:t>Report 2015-16</w:t>
      </w:r>
    </w:p>
    <w:p w:rsidR="00C6626C" w:rsidRDefault="00F37193" w:rsidP="00A56F14">
      <w:r>
        <w:rPr>
          <w:sz w:val="40"/>
        </w:rPr>
        <w:t xml:space="preserve">Indonesia </w:t>
      </w:r>
    </w:p>
    <w:p w:rsidR="00C6626C" w:rsidRPr="002A51CA" w:rsidRDefault="00C6626C" w:rsidP="00A56F14">
      <w:pPr>
        <w:rPr>
          <w:sz w:val="24"/>
        </w:rPr>
      </w:pPr>
      <w:r w:rsidRPr="002A51CA">
        <w:rPr>
          <w:sz w:val="24"/>
        </w:rPr>
        <w:t>September 2016</w:t>
      </w:r>
    </w:p>
    <w:p w:rsidR="00C6626C" w:rsidRDefault="00C6626C" w:rsidP="00A56F14">
      <w:pPr>
        <w:sectPr w:rsidR="00C6626C" w:rsidSect="00F37193">
          <w:type w:val="continuous"/>
          <w:pgSz w:w="11906" w:h="16838" w:code="9"/>
          <w:pgMar w:top="1950" w:right="1134" w:bottom="851" w:left="1134" w:header="1814" w:footer="567" w:gutter="0"/>
          <w:cols w:space="397"/>
          <w:docGrid w:linePitch="360"/>
        </w:sectPr>
      </w:pPr>
    </w:p>
    <w:p w:rsidR="00147E01" w:rsidRPr="00147E01" w:rsidRDefault="00C6626C" w:rsidP="00147E01">
      <w:pPr>
        <w:pStyle w:val="ListBullet"/>
        <w:tabs>
          <w:tab w:val="clear" w:pos="284"/>
        </w:tabs>
        <w:spacing w:before="360"/>
        <w:rPr>
          <w:kern w:val="28"/>
        </w:rPr>
      </w:pPr>
      <w:r w:rsidRPr="00106054">
        <w:rPr>
          <w:rFonts w:ascii="Calibri" w:hAnsi="Calibri"/>
          <w:caps/>
          <w:color w:val="495965"/>
          <w:sz w:val="38"/>
          <w:szCs w:val="26"/>
          <w:lang w:val="en-GB" w:eastAsia="en-US"/>
        </w:rPr>
        <w:lastRenderedPageBreak/>
        <w:t>Key Messages</w:t>
      </w:r>
      <w:r w:rsidR="009126E0" w:rsidRPr="00106054">
        <w:rPr>
          <w:rFonts w:ascii="Calibri" w:hAnsi="Calibri"/>
          <w:caps/>
          <w:color w:val="495965"/>
          <w:sz w:val="38"/>
          <w:szCs w:val="26"/>
          <w:lang w:val="en-GB" w:eastAsia="en-US"/>
        </w:rPr>
        <w:t xml:space="preserve"> </w:t>
      </w:r>
      <w:r w:rsidRPr="001D7F9A">
        <w:rPr>
          <w:rFonts w:ascii="Helvetica" w:hAnsi="Helvetica" w:cs="Arial"/>
          <w:color w:val="007FAD"/>
          <w:kern w:val="28"/>
          <w:sz w:val="28"/>
          <w:szCs w:val="28"/>
        </w:rPr>
        <w:tab/>
      </w:r>
      <w:r w:rsidRPr="001D7F9A">
        <w:rPr>
          <w:rFonts w:ascii="Helvetica" w:hAnsi="Helvetica" w:cs="Arial"/>
          <w:color w:val="007FAD"/>
          <w:kern w:val="28"/>
          <w:sz w:val="24"/>
          <w:szCs w:val="28"/>
        </w:rPr>
        <w:tab/>
      </w:r>
      <w:r w:rsidRPr="001D7F9A">
        <w:rPr>
          <w:rFonts w:ascii="Helvetica" w:hAnsi="Helvetica" w:cs="Arial"/>
          <w:color w:val="007FAD"/>
          <w:kern w:val="28"/>
          <w:sz w:val="32"/>
          <w:szCs w:val="32"/>
        </w:rPr>
        <w:tab/>
      </w:r>
      <w:r w:rsidRPr="001D7F9A">
        <w:rPr>
          <w:rFonts w:ascii="Helvetica" w:hAnsi="Helvetica" w:cs="Arial"/>
          <w:color w:val="007FAD"/>
          <w:kern w:val="28"/>
          <w:sz w:val="32"/>
          <w:szCs w:val="32"/>
        </w:rPr>
        <w:tab/>
      </w:r>
      <w:r w:rsidRPr="001D7F9A">
        <w:rPr>
          <w:rFonts w:ascii="Helvetica" w:hAnsi="Helvetica" w:cs="Arial"/>
          <w:color w:val="007FAD"/>
          <w:kern w:val="28"/>
          <w:sz w:val="32"/>
          <w:szCs w:val="32"/>
        </w:rPr>
        <w:tab/>
      </w:r>
      <w:r w:rsidRPr="001D7F9A">
        <w:rPr>
          <w:rFonts w:ascii="Helvetica" w:hAnsi="Helvetica" w:cs="Arial"/>
          <w:color w:val="007FAD"/>
          <w:kern w:val="28"/>
          <w:sz w:val="32"/>
          <w:szCs w:val="32"/>
        </w:rPr>
        <w:tab/>
      </w:r>
    </w:p>
    <w:p w:rsidR="008829EF" w:rsidRPr="00CB526D" w:rsidRDefault="008829EF" w:rsidP="008829EF">
      <w:r w:rsidRPr="00CB526D">
        <w:t xml:space="preserve">Our key focus in 2015-16 was </w:t>
      </w:r>
      <w:r>
        <w:t>the continuing</w:t>
      </w:r>
      <w:r w:rsidRPr="00CB526D">
        <w:t xml:space="preserve"> transition </w:t>
      </w:r>
      <w:r>
        <w:t xml:space="preserve">of </w:t>
      </w:r>
      <w:r w:rsidRPr="00CB526D">
        <w:t xml:space="preserve">Australia’s development assistance program </w:t>
      </w:r>
      <w:r>
        <w:t xml:space="preserve">from a traditional aid program </w:t>
      </w:r>
      <w:r w:rsidRPr="00CB526D">
        <w:t xml:space="preserve">to </w:t>
      </w:r>
      <w:r>
        <w:t>a</w:t>
      </w:r>
      <w:r w:rsidR="004614ED">
        <w:t>n</w:t>
      </w:r>
      <w:r w:rsidR="0073294F">
        <w:t xml:space="preserve"> economic partnership.  </w:t>
      </w:r>
      <w:r w:rsidRPr="00CB526D">
        <w:t xml:space="preserve">Indonesia has a clear forward agenda and its own budget dwarfs the money available through </w:t>
      </w:r>
      <w:r w:rsidR="00D559CF">
        <w:t xml:space="preserve">international </w:t>
      </w:r>
      <w:r w:rsidRPr="00CB526D">
        <w:t>Official Development Assistance (ODA).</w:t>
      </w:r>
      <w:r w:rsidR="0073294F">
        <w:t xml:space="preserve">  </w:t>
      </w:r>
      <w:r w:rsidRPr="00CB526D">
        <w:t xml:space="preserve">Australia’s role as an economic partner is to provide </w:t>
      </w:r>
      <w:r>
        <w:t xml:space="preserve">advice and </w:t>
      </w:r>
      <w:r w:rsidRPr="00CB526D">
        <w:t xml:space="preserve">expertise, working </w:t>
      </w:r>
      <w:r>
        <w:t>with</w:t>
      </w:r>
      <w:r w:rsidRPr="00CB526D">
        <w:t xml:space="preserve"> Indonesia to</w:t>
      </w:r>
      <w:r>
        <w:t xml:space="preserve"> strengthen the evidence base for policy ref</w:t>
      </w:r>
      <w:r w:rsidR="0073294F">
        <w:t xml:space="preserve">orms, and test new approaches.  </w:t>
      </w:r>
      <w:r w:rsidRPr="00CB526D">
        <w:t xml:space="preserve">Our ability to </w:t>
      </w:r>
      <w:r>
        <w:t xml:space="preserve">support Indonesia in </w:t>
      </w:r>
      <w:r w:rsidRPr="00CB526D">
        <w:t>trial</w:t>
      </w:r>
      <w:r>
        <w:t>ling</w:t>
      </w:r>
      <w:r w:rsidRPr="00CB526D">
        <w:t xml:space="preserve"> innovative approaches to inform policy choices </w:t>
      </w:r>
      <w:r w:rsidR="00E31C9B">
        <w:t>is</w:t>
      </w:r>
      <w:r>
        <w:t xml:space="preserve"> a core part of this strategy</w:t>
      </w:r>
      <w:r w:rsidR="00630C6F">
        <w:t>, including learning from instances where pilots or experiments haven’t worked</w:t>
      </w:r>
      <w:r>
        <w:t xml:space="preserve">. </w:t>
      </w:r>
    </w:p>
    <w:p w:rsidR="008829EF" w:rsidRPr="00CB526D" w:rsidRDefault="008829EF" w:rsidP="008829EF">
      <w:r w:rsidRPr="00CB526D">
        <w:t>Under our Aid Investment Plan (AIP) published in September 2015, we agreed with Indonesia that Australia would focus on (1) effective economic institutions and infrastructure, (2) human development for a productive and healthy society, and (3) an inclusive societ</w:t>
      </w:r>
      <w:r>
        <w:t>y</w:t>
      </w:r>
      <w:r w:rsidR="0073294F">
        <w:t xml:space="preserve"> through effective governance.  </w:t>
      </w:r>
      <w:r w:rsidRPr="00CB526D">
        <w:t xml:space="preserve">DFAT </w:t>
      </w:r>
      <w:r>
        <w:t xml:space="preserve">leads and coordinates our development partnership, with more than </w:t>
      </w:r>
      <w:r w:rsidRPr="00CB526D">
        <w:t>20 other Australian Government agencies</w:t>
      </w:r>
      <w:r>
        <w:t xml:space="preserve"> working with their Indonesian counterparts</w:t>
      </w:r>
      <w:r w:rsidRPr="00CB526D">
        <w:t xml:space="preserve">. </w:t>
      </w:r>
    </w:p>
    <w:p w:rsidR="008829EF" w:rsidRPr="00CB526D" w:rsidRDefault="008829EF" w:rsidP="008829EF">
      <w:r w:rsidRPr="00CB526D">
        <w:t>Significant achievements were</w:t>
      </w:r>
      <w:r>
        <w:t xml:space="preserve"> realised in 2015-16 including:</w:t>
      </w:r>
    </w:p>
    <w:p w:rsidR="008829EF" w:rsidRPr="00CB526D" w:rsidRDefault="008829EF" w:rsidP="008829EF">
      <w:r w:rsidRPr="00CB526D">
        <w:t>(1)  Effective economic institutions and infrastructure</w:t>
      </w:r>
    </w:p>
    <w:p w:rsidR="008829EF" w:rsidRPr="00CB526D" w:rsidRDefault="009F2C7B" w:rsidP="008829EF">
      <w:r>
        <w:t xml:space="preserve">Australia’s </w:t>
      </w:r>
      <w:r w:rsidR="008829EF" w:rsidRPr="00CB526D">
        <w:t>economic governance programs responded to Indonesi</w:t>
      </w:r>
      <w:r w:rsidR="002E39D3">
        <w:t>a’s reform priorities with high-</w:t>
      </w:r>
      <w:r w:rsidR="008829EF" w:rsidRPr="00CB526D">
        <w:t>quality technical expertise and supported government efforts to i</w:t>
      </w:r>
      <w:r w:rsidR="008829EF">
        <w:t>mprove the inve</w:t>
      </w:r>
      <w:r w:rsidR="0073294F">
        <w:t xml:space="preserve">stment climate.  </w:t>
      </w:r>
      <w:r w:rsidR="008829EF" w:rsidRPr="00CB526D">
        <w:t>Our infrastructure investments worked with Indonesia to enhance infrastructure policy, planning and del</w:t>
      </w:r>
      <w:r w:rsidR="00352763">
        <w:t>ivery and Indonesian g</w:t>
      </w:r>
      <w:r w:rsidR="008829EF" w:rsidRPr="00CB526D">
        <w:t>overnment and private sector spending</w:t>
      </w:r>
      <w:r w:rsidR="008829EF">
        <w:t>.</w:t>
      </w:r>
      <w:r w:rsidR="008829EF" w:rsidRPr="00CB526D">
        <w:t xml:space="preserve"> </w:t>
      </w:r>
    </w:p>
    <w:p w:rsidR="008829EF" w:rsidRPr="00CB526D" w:rsidRDefault="008829EF" w:rsidP="008829EF">
      <w:r w:rsidRPr="00CB526D">
        <w:t xml:space="preserve">At the </w:t>
      </w:r>
      <w:r w:rsidR="0077460D">
        <w:t>sub-national</w:t>
      </w:r>
      <w:r w:rsidR="0077460D" w:rsidRPr="00CB526D">
        <w:t xml:space="preserve"> </w:t>
      </w:r>
      <w:r w:rsidRPr="00CB526D">
        <w:t xml:space="preserve">level, our rural programs </w:t>
      </w:r>
      <w:r w:rsidR="009F2C7B">
        <w:t>worked with</w:t>
      </w:r>
      <w:r w:rsidRPr="00CB526D">
        <w:t xml:space="preserve"> farmers and the private sector to address market failures and imp</w:t>
      </w:r>
      <w:r>
        <w:t>r</w:t>
      </w:r>
      <w:r w:rsidR="0073294F">
        <w:t xml:space="preserve">ove agricultural productivity.  </w:t>
      </w:r>
      <w:r w:rsidRPr="00CB526D">
        <w:t xml:space="preserve">We also worked with Indonesia to </w:t>
      </w:r>
      <w:r w:rsidR="002E39D3">
        <w:t xml:space="preserve">implement </w:t>
      </w:r>
      <w:r w:rsidRPr="00CB526D">
        <w:t xml:space="preserve">its decentralisation reforms, </w:t>
      </w:r>
      <w:r w:rsidR="002E39D3">
        <w:t xml:space="preserve">which </w:t>
      </w:r>
      <w:r w:rsidRPr="00CB526D">
        <w:t>channel funds down to the village level</w:t>
      </w:r>
      <w:r>
        <w:t xml:space="preserve">. </w:t>
      </w:r>
    </w:p>
    <w:p w:rsidR="008829EF" w:rsidRPr="00CB526D" w:rsidRDefault="008829EF" w:rsidP="008829EF">
      <w:r w:rsidRPr="00CB526D">
        <w:t>(2)  Human development for a productive and healthy society</w:t>
      </w:r>
    </w:p>
    <w:p w:rsidR="008829EF" w:rsidRPr="00CB526D" w:rsidRDefault="00CF66FB" w:rsidP="008829EF">
      <w:r>
        <w:t xml:space="preserve">Our new </w:t>
      </w:r>
      <w:r w:rsidR="008829EF" w:rsidRPr="00CB526D">
        <w:t xml:space="preserve">education program, </w:t>
      </w:r>
      <w:proofErr w:type="spellStart"/>
      <w:r w:rsidR="008829EF" w:rsidRPr="00CB526D">
        <w:t>Inovasi</w:t>
      </w:r>
      <w:proofErr w:type="spellEnd"/>
      <w:r w:rsidR="008829EF" w:rsidRPr="00CB526D">
        <w:t xml:space="preserve"> – Innovation f</w:t>
      </w:r>
      <w:r w:rsidR="009F2C7B">
        <w:t xml:space="preserve">or Indonesia’s School Children </w:t>
      </w:r>
      <w:r w:rsidR="008829EF" w:rsidRPr="00CB526D">
        <w:t xml:space="preserve">was mobilised and began to help Indonesian partners identify and test </w:t>
      </w:r>
      <w:r w:rsidR="008829EF">
        <w:t>way</w:t>
      </w:r>
      <w:r w:rsidR="0073294F">
        <w:t xml:space="preserve">s of raising education quality.  </w:t>
      </w:r>
      <w:proofErr w:type="spellStart"/>
      <w:r w:rsidR="00301293">
        <w:t>Inov</w:t>
      </w:r>
      <w:r w:rsidR="00571117">
        <w:t>asi</w:t>
      </w:r>
      <w:proofErr w:type="spellEnd"/>
      <w:r w:rsidR="00571117">
        <w:t xml:space="preserve"> builds</w:t>
      </w:r>
      <w:r w:rsidR="008829EF">
        <w:t xml:space="preserve"> </w:t>
      </w:r>
      <w:r w:rsidR="008829EF" w:rsidRPr="00CB526D">
        <w:t>on</w:t>
      </w:r>
      <w:r w:rsidR="008829EF">
        <w:t xml:space="preserve"> </w:t>
      </w:r>
      <w:r w:rsidR="00571117">
        <w:t xml:space="preserve">the </w:t>
      </w:r>
      <w:r w:rsidR="008829EF">
        <w:t xml:space="preserve">achievements of </w:t>
      </w:r>
      <w:r w:rsidR="008829EF" w:rsidRPr="00CB526D">
        <w:t xml:space="preserve">the Education Partnership which </w:t>
      </w:r>
      <w:r w:rsidR="008829EF">
        <w:t>will complete the last of</w:t>
      </w:r>
      <w:r w:rsidR="008829EF" w:rsidRPr="00CB526D">
        <w:t xml:space="preserve"> 1,155 </w:t>
      </w:r>
      <w:r w:rsidR="004614ED">
        <w:t xml:space="preserve">new </w:t>
      </w:r>
      <w:r w:rsidR="008829EF" w:rsidRPr="00CB526D">
        <w:t>junior high schools</w:t>
      </w:r>
      <w:r w:rsidR="008829EF">
        <w:t xml:space="preserve"> </w:t>
      </w:r>
      <w:r w:rsidR="004614ED">
        <w:t xml:space="preserve">in areas of low enrolment </w:t>
      </w:r>
      <w:r w:rsidR="008829EF">
        <w:t>by January 2017</w:t>
      </w:r>
      <w:r w:rsidR="004614ED">
        <w:t>, and has laid t</w:t>
      </w:r>
      <w:r w:rsidR="00571117">
        <w:t>he foundation for Indonesia to improve the quality of</w:t>
      </w:r>
      <w:r w:rsidR="004614ED">
        <w:t xml:space="preserve"> its school principals and teachers through </w:t>
      </w:r>
      <w:r w:rsidR="0077460D">
        <w:t>continuous</w:t>
      </w:r>
      <w:r w:rsidR="004614ED">
        <w:t xml:space="preserve"> professional development.</w:t>
      </w:r>
    </w:p>
    <w:p w:rsidR="008829EF" w:rsidRPr="00CB526D" w:rsidRDefault="008829EF" w:rsidP="008829EF">
      <w:r w:rsidRPr="00CB526D">
        <w:t xml:space="preserve">Our major health programs completed their activities during 2015-16 leaving a legacy of improvements to health systems, maternal and child health, and prevention and treatment of HIV/AIDS. </w:t>
      </w:r>
    </w:p>
    <w:p w:rsidR="008829EF" w:rsidRPr="00CB526D" w:rsidRDefault="008829EF" w:rsidP="008829EF">
      <w:r w:rsidRPr="00CB526D">
        <w:t>We responded</w:t>
      </w:r>
      <w:r>
        <w:t xml:space="preserve"> promptly</w:t>
      </w:r>
      <w:r w:rsidRPr="00CB526D">
        <w:t xml:space="preserve"> to Indonesia’s requests for humanitarian assistance to people impacted by fo</w:t>
      </w:r>
      <w:r>
        <w:t xml:space="preserve">rest fires, haze and flooding. </w:t>
      </w:r>
    </w:p>
    <w:p w:rsidR="008829EF" w:rsidRPr="00CB526D" w:rsidRDefault="008829EF" w:rsidP="008829EF">
      <w:r w:rsidRPr="00CB526D">
        <w:t>(3)  An inclusive society through effective governance</w:t>
      </w:r>
    </w:p>
    <w:p w:rsidR="008829EF" w:rsidRPr="00CB526D" w:rsidRDefault="009F2C7B" w:rsidP="008829EF">
      <w:r>
        <w:t xml:space="preserve">Our </w:t>
      </w:r>
      <w:r w:rsidR="008829EF">
        <w:t xml:space="preserve">programs in </w:t>
      </w:r>
      <w:r w:rsidR="008829EF" w:rsidRPr="00CB526D">
        <w:t>women’s empowerment and social inclusion for margina</w:t>
      </w:r>
      <w:r w:rsidR="008829EF">
        <w:t xml:space="preserve">lised groups </w:t>
      </w:r>
      <w:r w:rsidR="008829EF" w:rsidRPr="00CB526D">
        <w:t xml:space="preserve">demonstrated how convening coalitions </w:t>
      </w:r>
      <w:r w:rsidR="008829EF">
        <w:t xml:space="preserve">and supporting initiatives led by local civil society organisations </w:t>
      </w:r>
      <w:r w:rsidR="008829EF" w:rsidRPr="00CB526D">
        <w:t xml:space="preserve">can have </w:t>
      </w:r>
      <w:r w:rsidR="0073294F">
        <w:t xml:space="preserve">significant policy impact.  </w:t>
      </w:r>
      <w:r w:rsidR="008829EF" w:rsidRPr="00CB526D">
        <w:t xml:space="preserve">We also worked with Indonesian justice partners to combat corruption </w:t>
      </w:r>
      <w:r w:rsidR="008829EF">
        <w:t xml:space="preserve">and </w:t>
      </w:r>
      <w:r w:rsidR="008829EF" w:rsidRPr="00CB526D">
        <w:t>increase access to jus</w:t>
      </w:r>
      <w:r w:rsidR="008829EF">
        <w:t>tice for marginalised groups</w:t>
      </w:r>
      <w:r w:rsidR="008829EF" w:rsidRPr="00CB526D">
        <w:t xml:space="preserve">.  </w:t>
      </w:r>
    </w:p>
    <w:p w:rsidR="007B5408" w:rsidRDefault="008829EF" w:rsidP="008829EF">
      <w:r w:rsidRPr="00CB526D">
        <w:t xml:space="preserve">Our Knowledge Sector Initiative strengthened links between Indonesian </w:t>
      </w:r>
      <w:r w:rsidR="007B5408">
        <w:t xml:space="preserve">ministries, research institutions and think tanks to improve the evidence on which the government bases policy decisions, and the capacity of Indonesian institutions to provide that evidence.  </w:t>
      </w:r>
    </w:p>
    <w:p w:rsidR="008829EF" w:rsidRPr="00106054" w:rsidRDefault="008829EF" w:rsidP="00F86FBC">
      <w:pPr>
        <w:suppressAutoHyphens w:val="0"/>
        <w:spacing w:before="0" w:after="120" w:line="440" w:lineRule="atLeast"/>
        <w:rPr>
          <w:rFonts w:ascii="Calibri" w:eastAsia="Times New Roman" w:hAnsi="Calibri"/>
          <w:caps/>
          <w:sz w:val="38"/>
          <w:szCs w:val="26"/>
        </w:rPr>
      </w:pPr>
    </w:p>
    <w:p w:rsidR="008829EF" w:rsidRPr="00106054" w:rsidRDefault="008829EF" w:rsidP="00F86FBC">
      <w:pPr>
        <w:suppressAutoHyphens w:val="0"/>
        <w:spacing w:before="0" w:after="120" w:line="440" w:lineRule="atLeast"/>
        <w:rPr>
          <w:rFonts w:ascii="Calibri" w:eastAsia="Times New Roman" w:hAnsi="Calibri"/>
          <w:caps/>
          <w:sz w:val="38"/>
          <w:szCs w:val="26"/>
        </w:rPr>
      </w:pPr>
    </w:p>
    <w:p w:rsidR="008829EF" w:rsidRPr="00106054" w:rsidRDefault="008829EF" w:rsidP="00F86FBC">
      <w:pPr>
        <w:suppressAutoHyphens w:val="0"/>
        <w:spacing w:before="0" w:after="120" w:line="440" w:lineRule="atLeast"/>
        <w:rPr>
          <w:rFonts w:ascii="Calibri" w:eastAsia="Times New Roman" w:hAnsi="Calibri"/>
          <w:caps/>
          <w:sz w:val="38"/>
          <w:szCs w:val="26"/>
        </w:rPr>
      </w:pPr>
    </w:p>
    <w:p w:rsidR="001D7F9A" w:rsidRPr="00106054" w:rsidRDefault="00C6626C" w:rsidP="00F86FBC">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t>Context</w:t>
      </w:r>
      <w:r w:rsidR="0014203A" w:rsidRPr="00106054">
        <w:rPr>
          <w:rFonts w:ascii="Calibri" w:eastAsia="Times New Roman" w:hAnsi="Calibri"/>
          <w:caps/>
          <w:sz w:val="38"/>
          <w:szCs w:val="26"/>
        </w:rPr>
        <w:t xml:space="preserve"> </w:t>
      </w:r>
      <w:r w:rsidRPr="00106054">
        <w:rPr>
          <w:rFonts w:ascii="Calibri" w:eastAsia="Times New Roman" w:hAnsi="Calibri"/>
          <w:caps/>
          <w:sz w:val="38"/>
          <w:szCs w:val="26"/>
        </w:rPr>
        <w:t xml:space="preserve"> </w:t>
      </w:r>
      <w:r w:rsidRPr="00106054">
        <w:rPr>
          <w:rFonts w:ascii="Calibri" w:eastAsia="Times New Roman" w:hAnsi="Calibri"/>
          <w:caps/>
          <w:sz w:val="38"/>
          <w:szCs w:val="26"/>
        </w:rPr>
        <w:tab/>
      </w:r>
      <w:r w:rsidRPr="001D7F9A">
        <w:rPr>
          <w:rFonts w:ascii="Helvetica" w:hAnsi="Helvetica" w:cs="Arial"/>
          <w:color w:val="007FAD"/>
          <w:kern w:val="28"/>
          <w:sz w:val="32"/>
          <w:szCs w:val="32"/>
        </w:rPr>
        <w:tab/>
      </w:r>
      <w:r w:rsidRPr="001D7F9A">
        <w:rPr>
          <w:color w:val="007FAD"/>
          <w:kern w:val="28"/>
        </w:rPr>
        <w:tab/>
      </w:r>
      <w:r w:rsidRPr="001D7F9A">
        <w:rPr>
          <w:color w:val="007FAD"/>
          <w:kern w:val="28"/>
        </w:rPr>
        <w:tab/>
      </w:r>
      <w:r w:rsidRPr="001D7F9A">
        <w:rPr>
          <w:color w:val="007FAD"/>
          <w:kern w:val="28"/>
        </w:rPr>
        <w:tab/>
      </w:r>
      <w:r w:rsidRPr="001D7F9A">
        <w:rPr>
          <w:color w:val="007FAD"/>
          <w:kern w:val="28"/>
        </w:rPr>
        <w:tab/>
      </w:r>
      <w:r w:rsidRPr="001D7F9A">
        <w:rPr>
          <w:color w:val="007FAD"/>
          <w:kern w:val="28"/>
        </w:rPr>
        <w:tab/>
      </w:r>
    </w:p>
    <w:p w:rsidR="00201A85" w:rsidRDefault="00201A85" w:rsidP="00201A85">
      <w:r>
        <w:t>Indonesia is Southeast Asia’s l</w:t>
      </w:r>
      <w:r w:rsidR="00E22393">
        <w:t>argest economy, and is forecast</w:t>
      </w:r>
      <w:r>
        <w:t xml:space="preserve"> to be</w:t>
      </w:r>
      <w:r w:rsidR="00E22393">
        <w:t xml:space="preserve"> possibly </w:t>
      </w:r>
      <w:r>
        <w:t xml:space="preserve">the fourth-largest in the world by 2040; already it makes up more than a third of total ASEAN GDP. </w:t>
      </w:r>
    </w:p>
    <w:p w:rsidR="00201A85" w:rsidRDefault="00201A85" w:rsidP="00201A85">
      <w:r>
        <w:t>Indonesia has experienced relatively strong economic growth in recent years, but in 2015 the economy grew by its lowest rate since 2009—4.8 per cent—the result of softening global de</w:t>
      </w:r>
      <w:r w:rsidR="0073294F">
        <w:t xml:space="preserve">mand and low commodity prices.  </w:t>
      </w:r>
      <w:r>
        <w:t>Growth is expected to be a l</w:t>
      </w:r>
      <w:r w:rsidR="0073294F">
        <w:t xml:space="preserve">ittle above 5 per cent in 2016.  </w:t>
      </w:r>
      <w:r>
        <w:t>According to the World Bank, Indonesia’s poverty rate declined by 1 per cent annually from 2007 to 2011, but has fallen by an average of 0.3 percenta</w:t>
      </w:r>
      <w:r w:rsidR="0073294F">
        <w:t xml:space="preserve">ge points per year since 2012.  </w:t>
      </w:r>
      <w:r>
        <w:t>Out of a population of 252 million, 28.6 million Indonesians live below th</w:t>
      </w:r>
      <w:r w:rsidRPr="004C5303">
        <w:t>e national</w:t>
      </w:r>
      <w:r>
        <w:t xml:space="preserve"> poverty line</w:t>
      </w:r>
      <w:r w:rsidR="00CF1D27">
        <w:t xml:space="preserve"> of approximately 300,000 Indonesian rupiah (AUD</w:t>
      </w:r>
      <w:r w:rsidR="004C5303">
        <w:t>3</w:t>
      </w:r>
      <w:r w:rsidR="00CF1D27">
        <w:t xml:space="preserve">0) per person per month. </w:t>
      </w:r>
    </w:p>
    <w:p w:rsidR="00201A85" w:rsidRDefault="00201A85" w:rsidP="00201A85">
      <w:r>
        <w:t>Inequality is climbing, with the country’s Gini coefficient rising</w:t>
      </w:r>
      <w:r w:rsidR="0073294F">
        <w:t xml:space="preserve"> from 30 in 2000 to 41 in 2013.  </w:t>
      </w:r>
      <w:r>
        <w:t xml:space="preserve">Indonesia’s poor are vulnerable to shocks that can </w:t>
      </w:r>
      <w:r w:rsidR="0077460D">
        <w:t xml:space="preserve">push </w:t>
      </w:r>
      <w:r>
        <w:t>them below the poverty line and make it difficult</w:t>
      </w:r>
      <w:r w:rsidR="0073294F">
        <w:t xml:space="preserve"> to participate in the economy.  </w:t>
      </w:r>
      <w:r>
        <w:t>Despite gains in recent years in the number of women participating in politics at national and sub-national levels, traditional views continue to disadvantage women and limit their full participation in</w:t>
      </w:r>
      <w:r w:rsidR="0073294F">
        <w:t xml:space="preserve"> society and the economy.  </w:t>
      </w:r>
      <w:r>
        <w:t>People with disabilities remain amongst the most marginalised an</w:t>
      </w:r>
      <w:r w:rsidR="0073294F">
        <w:t xml:space="preserve">d excluded groups in Indonesia.  </w:t>
      </w:r>
      <w:r>
        <w:t xml:space="preserve">Eastern Indonesia lags behind other regions on </w:t>
      </w:r>
      <w:r w:rsidR="00571117">
        <w:t xml:space="preserve">economic and social </w:t>
      </w:r>
      <w:r>
        <w:t xml:space="preserve">development indicators. </w:t>
      </w:r>
    </w:p>
    <w:p w:rsidR="00201A85" w:rsidRDefault="00201A85" w:rsidP="00201A85">
      <w:r>
        <w:t>President Joko Widodo</w:t>
      </w:r>
      <w:r w:rsidR="001740CE">
        <w:t xml:space="preserve"> has consolidated power and </w:t>
      </w:r>
      <w:r>
        <w:t>r</w:t>
      </w:r>
      <w:r w:rsidR="0073294F">
        <w:t xml:space="preserve">ecently reshuffled his cabinet.  </w:t>
      </w:r>
      <w:r>
        <w:t>He has achieved progress in his priority areas of strengthening Indonesia’s economy through international investment, developing the country’s infrastructure a</w:t>
      </w:r>
      <w:r w:rsidR="0073294F">
        <w:t xml:space="preserve">nd improving service delivery.  </w:t>
      </w:r>
      <w:r>
        <w:t xml:space="preserve">Economic reform packages and the fuel subsidy reduction </w:t>
      </w:r>
      <w:r w:rsidR="005D08DE">
        <w:t xml:space="preserve">have </w:t>
      </w:r>
      <w:r>
        <w:t>helped redirect funds into infrastructure, health and social assistance. Indonesia’s Medium-Term Development Plan (RPJMN) has a particular focus on eastern Indonesia.</w:t>
      </w:r>
    </w:p>
    <w:p w:rsidR="00201A85" w:rsidRDefault="00201A85" w:rsidP="00201A85">
      <w:r>
        <w:t>These efforts are timely. Indonesia’s demographics are poised to boost its econom</w:t>
      </w:r>
      <w:r w:rsidR="0073294F">
        <w:t xml:space="preserve">ic growth over the next decade.  </w:t>
      </w:r>
      <w:r>
        <w:t>The country’s working age population is large relative to the total population and expected to r</w:t>
      </w:r>
      <w:r w:rsidR="0073294F">
        <w:t xml:space="preserve">ise further during this period.  </w:t>
      </w:r>
      <w:r>
        <w:t>Directing adequate resources at reform now will set Indonesia on a path to sustainable development and poverty re</w:t>
      </w:r>
      <w:r w:rsidR="0073294F">
        <w:t xml:space="preserve">duction for future generations.  </w:t>
      </w:r>
      <w:r>
        <w:t>This window of opportunity wil</w:t>
      </w:r>
      <w:r w:rsidR="00B3706E">
        <w:t xml:space="preserve">l begin to close in the next </w:t>
      </w:r>
      <w:r w:rsidR="009A662A">
        <w:t>ten</w:t>
      </w:r>
      <w:r>
        <w:t xml:space="preserve"> years as Indonesia’s birth rate declines and the proportion of elderly people in the population rises dramatically.</w:t>
      </w:r>
    </w:p>
    <w:p w:rsidR="00201A85" w:rsidRDefault="00201A85" w:rsidP="00201A85">
      <w:r>
        <w:t>The President’s reform agenda is challenged by Indonesia’s tight fiscal environment, modest growth, c</w:t>
      </w:r>
      <w:r w:rsidR="0073294F">
        <w:t xml:space="preserve">orruption and low tax revenue.  </w:t>
      </w:r>
      <w:r>
        <w:t>Indonesia is vulnerable to the impacts of climate change</w:t>
      </w:r>
      <w:r w:rsidR="0077460D">
        <w:t xml:space="preserve"> and natural disasters</w:t>
      </w:r>
      <w:r w:rsidR="0073294F">
        <w:t xml:space="preserve">.  </w:t>
      </w:r>
      <w:r>
        <w:t>Terrorism and violent extremism pose risks for all countries, including Indonesia, requiring continued attention and regional cooperation.</w:t>
      </w:r>
    </w:p>
    <w:p w:rsidR="00201A85" w:rsidRDefault="00201A85" w:rsidP="00201A85">
      <w:r>
        <w:t>A strong and prosperous Indonesia is essential to the security of</w:t>
      </w:r>
      <w:r w:rsidR="0073294F">
        <w:t xml:space="preserve"> the wider Indo-Pacific region.  </w:t>
      </w:r>
      <w:r>
        <w:t>Recognising that Indonesia is at a</w:t>
      </w:r>
      <w:r w:rsidR="00295CF2">
        <w:t>n important</w:t>
      </w:r>
      <w:r>
        <w:t xml:space="preserve"> point in its development, Australia provides policy and technical advice to support Indonesia’s reform agenda and its efforts to use its substantial resources in t</w:t>
      </w:r>
      <w:r w:rsidR="0073294F">
        <w:t xml:space="preserve">he most effective way possible.  </w:t>
      </w:r>
      <w:r>
        <w:t xml:space="preserve">Australia has </w:t>
      </w:r>
      <w:r w:rsidR="009A662A">
        <w:t xml:space="preserve">an opportunity over the next ten </w:t>
      </w:r>
      <w:r>
        <w:t>years to work with Indonesia through our economic partnership to see Indonesia take advantage of its ‘demographic dividend’.</w:t>
      </w:r>
    </w:p>
    <w:p w:rsidR="00DA256A" w:rsidRPr="001F77A2" w:rsidRDefault="00DA256A" w:rsidP="001F77A2">
      <w:pPr>
        <w:suppressAutoHyphens w:val="0"/>
        <w:spacing w:before="0" w:after="0" w:line="240" w:lineRule="auto"/>
      </w:pPr>
    </w:p>
    <w:p w:rsidR="00C7538F" w:rsidRPr="00106054" w:rsidRDefault="00C7538F" w:rsidP="002A51CA">
      <w:pPr>
        <w:pStyle w:val="ListBullet"/>
        <w:tabs>
          <w:tab w:val="clear" w:pos="284"/>
        </w:tabs>
        <w:spacing w:before="360"/>
        <w:rPr>
          <w:rFonts w:ascii="Calibri" w:hAnsi="Calibri"/>
          <w:caps/>
          <w:color w:val="495965"/>
          <w:sz w:val="38"/>
          <w:szCs w:val="26"/>
          <w:lang w:val="en-GB" w:eastAsia="en-US"/>
        </w:rPr>
      </w:pPr>
    </w:p>
    <w:p w:rsidR="00FA4D2F" w:rsidRPr="00106054" w:rsidRDefault="00FA4D2F" w:rsidP="002A51CA">
      <w:pPr>
        <w:pStyle w:val="ListBullet"/>
        <w:tabs>
          <w:tab w:val="clear" w:pos="284"/>
        </w:tabs>
        <w:spacing w:before="360"/>
        <w:rPr>
          <w:rFonts w:ascii="Calibri" w:hAnsi="Calibri"/>
          <w:caps/>
          <w:color w:val="495965"/>
          <w:sz w:val="38"/>
          <w:szCs w:val="26"/>
          <w:lang w:val="en-GB" w:eastAsia="en-US"/>
        </w:rPr>
      </w:pPr>
    </w:p>
    <w:p w:rsidR="00201A85" w:rsidRPr="00106054" w:rsidRDefault="00201A85" w:rsidP="002A51CA">
      <w:pPr>
        <w:pStyle w:val="ListBullet"/>
        <w:tabs>
          <w:tab w:val="clear" w:pos="284"/>
        </w:tabs>
        <w:spacing w:before="360"/>
        <w:rPr>
          <w:rFonts w:ascii="Calibri" w:hAnsi="Calibri"/>
          <w:caps/>
          <w:color w:val="495965"/>
          <w:sz w:val="38"/>
          <w:szCs w:val="26"/>
          <w:lang w:val="en-GB" w:eastAsia="en-US"/>
        </w:rPr>
      </w:pPr>
    </w:p>
    <w:p w:rsidR="00A923B2" w:rsidRPr="00106054" w:rsidRDefault="00A923B2" w:rsidP="002A51CA">
      <w:pPr>
        <w:pStyle w:val="ListBullet"/>
        <w:tabs>
          <w:tab w:val="clear" w:pos="284"/>
        </w:tabs>
        <w:spacing w:before="360"/>
        <w:rPr>
          <w:rFonts w:ascii="Calibri" w:hAnsi="Calibri"/>
          <w:caps/>
          <w:color w:val="495965"/>
          <w:sz w:val="38"/>
          <w:szCs w:val="26"/>
          <w:lang w:val="en-GB" w:eastAsia="en-US"/>
        </w:rPr>
      </w:pPr>
    </w:p>
    <w:p w:rsidR="002A51CA" w:rsidRPr="00106054" w:rsidRDefault="00C6626C" w:rsidP="00A923B2">
      <w:pPr>
        <w:pStyle w:val="ListBullet"/>
        <w:tabs>
          <w:tab w:val="clear" w:pos="284"/>
        </w:tabs>
        <w:spacing w:before="360"/>
        <w:rPr>
          <w:rFonts w:ascii="Calibri" w:hAnsi="Calibri"/>
          <w:caps/>
          <w:color w:val="495965"/>
          <w:sz w:val="38"/>
          <w:szCs w:val="26"/>
          <w:lang w:val="en-GB" w:eastAsia="en-US"/>
        </w:rPr>
      </w:pPr>
      <w:r w:rsidRPr="00106054">
        <w:rPr>
          <w:rFonts w:ascii="Calibri" w:hAnsi="Calibri"/>
          <w:caps/>
          <w:color w:val="495965"/>
          <w:sz w:val="38"/>
          <w:szCs w:val="26"/>
          <w:lang w:val="en-GB" w:eastAsia="en-US"/>
        </w:rPr>
        <w:t>Expenditure</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AF6B24">
        <w:rPr>
          <w:b/>
          <w:noProof/>
          <w:sz w:val="24"/>
        </w:rPr>
        <w:t>1</w:t>
      </w:r>
      <w:r w:rsidRPr="008C2F58">
        <w:rPr>
          <w:b/>
          <w:noProof/>
          <w:sz w:val="24"/>
        </w:rPr>
        <w:fldChar w:fldCharType="end"/>
      </w:r>
      <w:r w:rsidRPr="008C2F58">
        <w:rPr>
          <w:b/>
          <w:sz w:val="24"/>
        </w:rPr>
        <w:t xml:space="preserve"> Total ODA Expenditure in FY 2015-16</w:t>
      </w:r>
    </w:p>
    <w:tbl>
      <w:tblPr>
        <w:tblW w:w="0" w:type="auto"/>
        <w:tblBorders>
          <w:top w:val="single" w:sz="12" w:space="0" w:color="auto"/>
          <w:bottom w:val="single" w:sz="12" w:space="0" w:color="auto"/>
        </w:tblBorders>
        <w:tblLook w:val="04A0" w:firstRow="1" w:lastRow="0" w:firstColumn="1" w:lastColumn="0" w:noHBand="0" w:noVBand="1"/>
      </w:tblPr>
      <w:tblGrid>
        <w:gridCol w:w="6204"/>
        <w:gridCol w:w="992"/>
        <w:gridCol w:w="1525"/>
      </w:tblGrid>
      <w:tr w:rsidR="002A51CA" w:rsidRPr="00106054" w:rsidTr="00106054">
        <w:tc>
          <w:tcPr>
            <w:tcW w:w="6204" w:type="dxa"/>
            <w:shd w:val="clear" w:color="auto" w:fill="auto"/>
          </w:tcPr>
          <w:p w:rsidR="002A51CA" w:rsidRPr="00106054" w:rsidRDefault="002A51CA" w:rsidP="00106054">
            <w:pPr>
              <w:keepNext/>
              <w:spacing w:after="160" w:line="280" w:lineRule="exact"/>
              <w:rPr>
                <w:rFonts w:eastAsia="Times New Roman"/>
                <w:b/>
                <w:sz w:val="17"/>
                <w:szCs w:val="17"/>
              </w:rPr>
            </w:pPr>
            <w:r w:rsidRPr="00106054">
              <w:rPr>
                <w:rFonts w:eastAsia="Times New Roman"/>
                <w:b/>
                <w:sz w:val="17"/>
                <w:szCs w:val="17"/>
              </w:rPr>
              <w:t>Objective</w:t>
            </w:r>
          </w:p>
        </w:tc>
        <w:tc>
          <w:tcPr>
            <w:tcW w:w="992" w:type="dxa"/>
            <w:shd w:val="clear" w:color="auto" w:fill="auto"/>
          </w:tcPr>
          <w:p w:rsidR="002A51CA" w:rsidRPr="00106054" w:rsidRDefault="002A51CA" w:rsidP="00106054">
            <w:pPr>
              <w:keepNext/>
              <w:spacing w:after="160" w:line="280" w:lineRule="exact"/>
              <w:rPr>
                <w:rFonts w:eastAsia="Times New Roman"/>
                <w:sz w:val="17"/>
                <w:szCs w:val="17"/>
              </w:rPr>
            </w:pPr>
            <w:r w:rsidRPr="00106054">
              <w:rPr>
                <w:rFonts w:eastAsia="Times New Roman"/>
                <w:b/>
                <w:sz w:val="17"/>
                <w:szCs w:val="17"/>
              </w:rPr>
              <w:t>A$ million</w:t>
            </w:r>
          </w:p>
        </w:tc>
        <w:tc>
          <w:tcPr>
            <w:tcW w:w="1525" w:type="dxa"/>
            <w:shd w:val="clear" w:color="auto" w:fill="auto"/>
          </w:tcPr>
          <w:p w:rsidR="002A51CA" w:rsidRPr="00106054" w:rsidRDefault="002A51CA" w:rsidP="00106054">
            <w:pPr>
              <w:keepNext/>
              <w:spacing w:after="160" w:line="280" w:lineRule="exact"/>
              <w:rPr>
                <w:rFonts w:eastAsia="Times New Roman"/>
                <w:sz w:val="17"/>
                <w:szCs w:val="17"/>
              </w:rPr>
            </w:pPr>
            <w:r w:rsidRPr="00106054">
              <w:rPr>
                <w:rFonts w:eastAsia="Times New Roman"/>
                <w:b/>
                <w:sz w:val="17"/>
                <w:szCs w:val="17"/>
              </w:rPr>
              <w:t>% of total ODA</w:t>
            </w:r>
            <w:r w:rsidR="009B00E4" w:rsidRPr="00106054">
              <w:rPr>
                <w:rFonts w:eastAsia="Times New Roman"/>
                <w:b/>
                <w:sz w:val="17"/>
                <w:szCs w:val="17"/>
              </w:rPr>
              <w:t xml:space="preserve"> (approx.)</w:t>
            </w:r>
          </w:p>
        </w:tc>
      </w:tr>
      <w:tr w:rsidR="002A51CA" w:rsidRPr="00106054" w:rsidTr="00106054">
        <w:tc>
          <w:tcPr>
            <w:tcW w:w="6204" w:type="dxa"/>
            <w:shd w:val="clear" w:color="auto" w:fill="auto"/>
          </w:tcPr>
          <w:p w:rsidR="002A51CA" w:rsidRPr="00106054" w:rsidRDefault="002A51CA" w:rsidP="00106054">
            <w:pPr>
              <w:keepNext/>
              <w:spacing w:after="160" w:line="280" w:lineRule="exact"/>
              <w:rPr>
                <w:rFonts w:eastAsia="Times New Roman"/>
                <w:b/>
                <w:i/>
                <w:sz w:val="17"/>
                <w:szCs w:val="17"/>
              </w:rPr>
            </w:pPr>
            <w:r w:rsidRPr="00106054">
              <w:rPr>
                <w:rFonts w:eastAsia="Times New Roman"/>
                <w:b/>
                <w:i/>
                <w:sz w:val="17"/>
                <w:szCs w:val="17"/>
              </w:rPr>
              <w:t xml:space="preserve">Bilateral </w:t>
            </w:r>
          </w:p>
        </w:tc>
        <w:tc>
          <w:tcPr>
            <w:tcW w:w="992" w:type="dxa"/>
            <w:shd w:val="clear" w:color="auto" w:fill="auto"/>
          </w:tcPr>
          <w:p w:rsidR="002A51CA" w:rsidRPr="00106054" w:rsidRDefault="002A51CA" w:rsidP="00106054">
            <w:pPr>
              <w:keepNext/>
              <w:spacing w:after="160" w:line="280" w:lineRule="exact"/>
              <w:rPr>
                <w:rFonts w:eastAsia="Times New Roman"/>
                <w:b/>
                <w:sz w:val="17"/>
                <w:szCs w:val="17"/>
              </w:rPr>
            </w:pPr>
          </w:p>
        </w:tc>
        <w:tc>
          <w:tcPr>
            <w:tcW w:w="1525" w:type="dxa"/>
            <w:shd w:val="clear" w:color="auto" w:fill="auto"/>
          </w:tcPr>
          <w:p w:rsidR="002A51CA" w:rsidRPr="00106054" w:rsidRDefault="002A51CA" w:rsidP="00106054">
            <w:pPr>
              <w:keepNext/>
              <w:spacing w:after="160" w:line="280" w:lineRule="exact"/>
              <w:rPr>
                <w:rFonts w:eastAsia="Times New Roman"/>
                <w:b/>
                <w:sz w:val="17"/>
                <w:szCs w:val="17"/>
              </w:rPr>
            </w:pPr>
          </w:p>
        </w:tc>
      </w:tr>
      <w:tr w:rsidR="002A51CA" w:rsidRPr="00106054" w:rsidTr="00106054">
        <w:tc>
          <w:tcPr>
            <w:tcW w:w="6204" w:type="dxa"/>
            <w:shd w:val="clear" w:color="auto" w:fill="auto"/>
          </w:tcPr>
          <w:p w:rsidR="002A51CA" w:rsidRPr="00106054" w:rsidRDefault="002A51CA" w:rsidP="00106054">
            <w:pPr>
              <w:keepNext/>
              <w:spacing w:before="40" w:after="40" w:line="280" w:lineRule="exact"/>
              <w:rPr>
                <w:rFonts w:eastAsia="Times New Roman"/>
                <w:sz w:val="17"/>
                <w:szCs w:val="17"/>
              </w:rPr>
            </w:pPr>
            <w:r w:rsidRPr="00106054">
              <w:rPr>
                <w:rFonts w:eastAsia="Times New Roman"/>
                <w:sz w:val="17"/>
                <w:szCs w:val="17"/>
              </w:rPr>
              <w:t>Objective 1</w:t>
            </w:r>
            <w:r w:rsidR="00B32E71" w:rsidRPr="00106054">
              <w:rPr>
                <w:rFonts w:eastAsia="Times New Roman"/>
                <w:sz w:val="17"/>
                <w:szCs w:val="17"/>
              </w:rPr>
              <w:t xml:space="preserve">: Effective Economic Governance and Infrastructure </w:t>
            </w:r>
          </w:p>
        </w:tc>
        <w:tc>
          <w:tcPr>
            <w:tcW w:w="992" w:type="dxa"/>
            <w:shd w:val="clear" w:color="auto" w:fill="auto"/>
          </w:tcPr>
          <w:p w:rsidR="002A51CA" w:rsidRPr="00106054" w:rsidRDefault="007B0E1E" w:rsidP="00106054">
            <w:pPr>
              <w:keepNext/>
              <w:spacing w:before="40" w:after="40" w:line="280" w:lineRule="exact"/>
              <w:rPr>
                <w:rFonts w:eastAsia="Times New Roman"/>
                <w:sz w:val="17"/>
                <w:szCs w:val="17"/>
              </w:rPr>
            </w:pPr>
            <w:r w:rsidRPr="00106054">
              <w:rPr>
                <w:rFonts w:eastAsia="Times New Roman"/>
                <w:sz w:val="17"/>
                <w:szCs w:val="17"/>
              </w:rPr>
              <w:t>93.7</w:t>
            </w:r>
          </w:p>
        </w:tc>
        <w:tc>
          <w:tcPr>
            <w:tcW w:w="1525" w:type="dxa"/>
            <w:shd w:val="clear" w:color="auto" w:fill="auto"/>
          </w:tcPr>
          <w:p w:rsidR="002A51CA"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2</w:t>
            </w:r>
            <w:r w:rsidR="007B0E1E" w:rsidRPr="00106054">
              <w:rPr>
                <w:rFonts w:eastAsia="Times New Roman"/>
                <w:sz w:val="17"/>
                <w:szCs w:val="17"/>
              </w:rPr>
              <w:t>5</w:t>
            </w:r>
            <w:r w:rsidRPr="00106054">
              <w:rPr>
                <w:rFonts w:eastAsia="Times New Roman"/>
                <w:sz w:val="17"/>
                <w:szCs w:val="17"/>
              </w:rPr>
              <w:t>%</w:t>
            </w:r>
          </w:p>
        </w:tc>
      </w:tr>
      <w:tr w:rsidR="002A51CA" w:rsidRPr="00106054" w:rsidTr="00106054">
        <w:tc>
          <w:tcPr>
            <w:tcW w:w="6204" w:type="dxa"/>
            <w:shd w:val="clear" w:color="auto" w:fill="auto"/>
          </w:tcPr>
          <w:p w:rsidR="002A51CA" w:rsidRPr="00106054" w:rsidRDefault="002A51CA" w:rsidP="00106054">
            <w:pPr>
              <w:keepNext/>
              <w:spacing w:before="40" w:after="40" w:line="280" w:lineRule="exact"/>
              <w:rPr>
                <w:rFonts w:eastAsia="Times New Roman"/>
                <w:sz w:val="17"/>
                <w:szCs w:val="17"/>
              </w:rPr>
            </w:pPr>
            <w:r w:rsidRPr="00106054">
              <w:rPr>
                <w:rFonts w:eastAsia="Times New Roman"/>
                <w:sz w:val="17"/>
                <w:szCs w:val="17"/>
              </w:rPr>
              <w:t>Objective 2</w:t>
            </w:r>
            <w:r w:rsidR="00B32E71" w:rsidRPr="00106054">
              <w:rPr>
                <w:rFonts w:eastAsia="Times New Roman"/>
                <w:sz w:val="17"/>
                <w:szCs w:val="17"/>
              </w:rPr>
              <w:t xml:space="preserve">: Human Development for a Productive and Healthy Society </w:t>
            </w:r>
          </w:p>
        </w:tc>
        <w:tc>
          <w:tcPr>
            <w:tcW w:w="992" w:type="dxa"/>
            <w:shd w:val="clear" w:color="auto" w:fill="auto"/>
          </w:tcPr>
          <w:p w:rsidR="002A51CA" w:rsidRPr="00106054" w:rsidRDefault="00750362" w:rsidP="00106054">
            <w:pPr>
              <w:keepNext/>
              <w:spacing w:before="40" w:after="40" w:line="280" w:lineRule="exact"/>
              <w:rPr>
                <w:rFonts w:eastAsia="Times New Roman"/>
                <w:sz w:val="17"/>
                <w:szCs w:val="17"/>
              </w:rPr>
            </w:pPr>
            <w:r w:rsidRPr="00106054">
              <w:rPr>
                <w:rFonts w:eastAsia="Times New Roman"/>
                <w:sz w:val="17"/>
                <w:szCs w:val="17"/>
              </w:rPr>
              <w:t>15</w:t>
            </w:r>
            <w:r w:rsidR="007B0E1E" w:rsidRPr="00106054">
              <w:rPr>
                <w:rFonts w:eastAsia="Times New Roman"/>
                <w:sz w:val="17"/>
                <w:szCs w:val="17"/>
              </w:rPr>
              <w:t>4</w:t>
            </w:r>
            <w:r w:rsidRPr="00106054">
              <w:rPr>
                <w:rFonts w:eastAsia="Times New Roman"/>
                <w:sz w:val="17"/>
                <w:szCs w:val="17"/>
              </w:rPr>
              <w:t>.</w:t>
            </w:r>
            <w:r w:rsidR="007B0E1E" w:rsidRPr="00106054">
              <w:rPr>
                <w:rFonts w:eastAsia="Times New Roman"/>
                <w:sz w:val="17"/>
                <w:szCs w:val="17"/>
              </w:rPr>
              <w:t>5</w:t>
            </w:r>
          </w:p>
        </w:tc>
        <w:tc>
          <w:tcPr>
            <w:tcW w:w="1525" w:type="dxa"/>
            <w:shd w:val="clear" w:color="auto" w:fill="auto"/>
          </w:tcPr>
          <w:p w:rsidR="002A51CA" w:rsidRPr="00106054" w:rsidRDefault="00750362" w:rsidP="00106054">
            <w:pPr>
              <w:keepNext/>
              <w:spacing w:before="40" w:after="40" w:line="280" w:lineRule="exact"/>
              <w:rPr>
                <w:rFonts w:eastAsia="Times New Roman"/>
                <w:sz w:val="17"/>
                <w:szCs w:val="17"/>
              </w:rPr>
            </w:pPr>
            <w:r w:rsidRPr="00106054">
              <w:rPr>
                <w:rFonts w:eastAsia="Times New Roman"/>
                <w:sz w:val="17"/>
                <w:szCs w:val="17"/>
              </w:rPr>
              <w:t>41</w:t>
            </w:r>
            <w:r w:rsidR="006B62B0" w:rsidRPr="00106054">
              <w:rPr>
                <w:rFonts w:eastAsia="Times New Roman"/>
                <w:sz w:val="17"/>
                <w:szCs w:val="17"/>
              </w:rPr>
              <w:t>%</w:t>
            </w:r>
          </w:p>
        </w:tc>
      </w:tr>
      <w:tr w:rsidR="002A51CA" w:rsidRPr="00106054" w:rsidTr="00106054">
        <w:tc>
          <w:tcPr>
            <w:tcW w:w="6204" w:type="dxa"/>
            <w:shd w:val="clear" w:color="auto" w:fill="auto"/>
          </w:tcPr>
          <w:p w:rsidR="006B62B0" w:rsidRPr="00106054" w:rsidRDefault="002A51CA" w:rsidP="00106054">
            <w:pPr>
              <w:keepNext/>
              <w:spacing w:before="40" w:after="40" w:line="280" w:lineRule="exact"/>
              <w:rPr>
                <w:rFonts w:eastAsia="Times New Roman"/>
                <w:sz w:val="17"/>
                <w:szCs w:val="17"/>
              </w:rPr>
            </w:pPr>
            <w:r w:rsidRPr="00106054">
              <w:rPr>
                <w:rFonts w:eastAsia="Times New Roman"/>
                <w:sz w:val="17"/>
                <w:szCs w:val="17"/>
              </w:rPr>
              <w:t>Objective 3</w:t>
            </w:r>
            <w:r w:rsidR="00B32E71" w:rsidRPr="00106054">
              <w:rPr>
                <w:rFonts w:eastAsia="Times New Roman"/>
                <w:sz w:val="17"/>
                <w:szCs w:val="17"/>
              </w:rPr>
              <w:t xml:space="preserve">: An Inclusive Society Through Effective Governance </w:t>
            </w:r>
          </w:p>
        </w:tc>
        <w:tc>
          <w:tcPr>
            <w:tcW w:w="992" w:type="dxa"/>
            <w:shd w:val="clear" w:color="auto" w:fill="auto"/>
          </w:tcPr>
          <w:p w:rsidR="002A51CA" w:rsidRPr="00106054" w:rsidRDefault="00750362" w:rsidP="00106054">
            <w:pPr>
              <w:keepNext/>
              <w:spacing w:before="40" w:after="40" w:line="280" w:lineRule="exact"/>
              <w:rPr>
                <w:rFonts w:eastAsia="Times New Roman"/>
                <w:sz w:val="17"/>
                <w:szCs w:val="17"/>
              </w:rPr>
            </w:pPr>
            <w:r w:rsidRPr="00106054">
              <w:rPr>
                <w:rFonts w:eastAsia="Times New Roman"/>
                <w:sz w:val="17"/>
                <w:szCs w:val="17"/>
              </w:rPr>
              <w:t xml:space="preserve">  </w:t>
            </w:r>
            <w:r w:rsidR="007B0E1E" w:rsidRPr="00106054">
              <w:rPr>
                <w:rFonts w:eastAsia="Times New Roman"/>
                <w:sz w:val="17"/>
                <w:szCs w:val="17"/>
              </w:rPr>
              <w:t>65.7</w:t>
            </w:r>
          </w:p>
          <w:p w:rsidR="006B62B0"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 xml:space="preserve">    </w:t>
            </w:r>
          </w:p>
        </w:tc>
        <w:tc>
          <w:tcPr>
            <w:tcW w:w="1525" w:type="dxa"/>
            <w:shd w:val="clear" w:color="auto" w:fill="auto"/>
          </w:tcPr>
          <w:p w:rsidR="006B62B0" w:rsidRPr="00106054" w:rsidRDefault="00750362" w:rsidP="00106054">
            <w:pPr>
              <w:keepNext/>
              <w:spacing w:before="40" w:after="40" w:line="280" w:lineRule="exact"/>
              <w:rPr>
                <w:rFonts w:eastAsia="Times New Roman"/>
                <w:sz w:val="17"/>
                <w:szCs w:val="17"/>
              </w:rPr>
            </w:pPr>
            <w:r w:rsidRPr="00106054">
              <w:rPr>
                <w:rFonts w:eastAsia="Times New Roman"/>
                <w:sz w:val="17"/>
                <w:szCs w:val="17"/>
              </w:rPr>
              <w:t>1</w:t>
            </w:r>
            <w:r w:rsidR="007B0E1E" w:rsidRPr="00106054">
              <w:rPr>
                <w:rFonts w:eastAsia="Times New Roman"/>
                <w:sz w:val="17"/>
                <w:szCs w:val="17"/>
              </w:rPr>
              <w:t>7</w:t>
            </w:r>
            <w:r w:rsidR="006B62B0" w:rsidRPr="00106054">
              <w:rPr>
                <w:rFonts w:eastAsia="Times New Roman"/>
                <w:sz w:val="17"/>
                <w:szCs w:val="17"/>
              </w:rPr>
              <w:t>%</w:t>
            </w:r>
          </w:p>
        </w:tc>
      </w:tr>
      <w:tr w:rsidR="002A51CA" w:rsidRPr="00106054" w:rsidTr="00106054">
        <w:tc>
          <w:tcPr>
            <w:tcW w:w="6204" w:type="dxa"/>
            <w:shd w:val="clear" w:color="auto" w:fill="auto"/>
          </w:tcPr>
          <w:p w:rsidR="002A51CA" w:rsidRPr="00106054" w:rsidRDefault="002A51CA" w:rsidP="00106054">
            <w:pPr>
              <w:keepNext/>
              <w:spacing w:after="160" w:line="280" w:lineRule="exact"/>
              <w:rPr>
                <w:rFonts w:eastAsia="Times New Roman"/>
                <w:b/>
                <w:sz w:val="17"/>
                <w:szCs w:val="17"/>
              </w:rPr>
            </w:pPr>
            <w:r w:rsidRPr="00106054">
              <w:rPr>
                <w:rFonts w:eastAsia="Times New Roman"/>
                <w:b/>
                <w:sz w:val="17"/>
                <w:szCs w:val="17"/>
              </w:rPr>
              <w:t>Sub-Total Bilateral</w:t>
            </w:r>
          </w:p>
        </w:tc>
        <w:tc>
          <w:tcPr>
            <w:tcW w:w="992" w:type="dxa"/>
            <w:shd w:val="clear" w:color="auto" w:fill="auto"/>
          </w:tcPr>
          <w:p w:rsidR="002A51CA" w:rsidRPr="00106054" w:rsidRDefault="006B62B0" w:rsidP="00106054">
            <w:pPr>
              <w:keepNext/>
              <w:spacing w:after="160" w:line="280" w:lineRule="exact"/>
              <w:rPr>
                <w:rFonts w:eastAsia="Times New Roman"/>
                <w:b/>
                <w:sz w:val="17"/>
                <w:szCs w:val="17"/>
              </w:rPr>
            </w:pPr>
            <w:r w:rsidRPr="00106054">
              <w:rPr>
                <w:rFonts w:eastAsia="Times New Roman"/>
                <w:b/>
                <w:sz w:val="17"/>
                <w:szCs w:val="17"/>
              </w:rPr>
              <w:t>313.9</w:t>
            </w:r>
          </w:p>
        </w:tc>
        <w:tc>
          <w:tcPr>
            <w:tcW w:w="1525" w:type="dxa"/>
            <w:shd w:val="clear" w:color="auto" w:fill="auto"/>
          </w:tcPr>
          <w:p w:rsidR="002A51CA" w:rsidRPr="00106054" w:rsidRDefault="006B62B0" w:rsidP="00106054">
            <w:pPr>
              <w:keepNext/>
              <w:spacing w:after="160" w:line="280" w:lineRule="exact"/>
              <w:rPr>
                <w:rFonts w:eastAsia="Times New Roman"/>
                <w:b/>
                <w:sz w:val="17"/>
                <w:szCs w:val="17"/>
              </w:rPr>
            </w:pPr>
            <w:r w:rsidRPr="00106054">
              <w:rPr>
                <w:rFonts w:eastAsia="Times New Roman"/>
                <w:b/>
                <w:sz w:val="17"/>
                <w:szCs w:val="17"/>
              </w:rPr>
              <w:t>83%</w:t>
            </w:r>
          </w:p>
        </w:tc>
      </w:tr>
      <w:tr w:rsidR="002A51CA" w:rsidRPr="00106054" w:rsidTr="00106054">
        <w:tc>
          <w:tcPr>
            <w:tcW w:w="6204" w:type="dxa"/>
            <w:shd w:val="clear" w:color="auto" w:fill="auto"/>
          </w:tcPr>
          <w:p w:rsidR="002A51CA" w:rsidRPr="00106054" w:rsidRDefault="002A51CA" w:rsidP="00106054">
            <w:pPr>
              <w:keepNext/>
              <w:spacing w:before="40" w:after="40" w:line="280" w:lineRule="exact"/>
              <w:rPr>
                <w:rFonts w:eastAsia="Times New Roman"/>
                <w:sz w:val="17"/>
                <w:szCs w:val="17"/>
              </w:rPr>
            </w:pPr>
            <w:r w:rsidRPr="00106054">
              <w:rPr>
                <w:rFonts w:eastAsia="Times New Roman"/>
                <w:sz w:val="17"/>
                <w:szCs w:val="17"/>
              </w:rPr>
              <w:t>Regional and Global</w:t>
            </w:r>
          </w:p>
        </w:tc>
        <w:tc>
          <w:tcPr>
            <w:tcW w:w="992" w:type="dxa"/>
            <w:shd w:val="clear" w:color="auto" w:fill="auto"/>
          </w:tcPr>
          <w:p w:rsidR="002A51CA"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60.0</w:t>
            </w:r>
          </w:p>
        </w:tc>
        <w:tc>
          <w:tcPr>
            <w:tcW w:w="1525" w:type="dxa"/>
            <w:shd w:val="clear" w:color="auto" w:fill="auto"/>
          </w:tcPr>
          <w:p w:rsidR="002A51CA"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16%</w:t>
            </w:r>
          </w:p>
        </w:tc>
      </w:tr>
      <w:tr w:rsidR="002A51CA" w:rsidRPr="00106054" w:rsidTr="00106054">
        <w:tc>
          <w:tcPr>
            <w:tcW w:w="6204" w:type="dxa"/>
            <w:shd w:val="clear" w:color="auto" w:fill="auto"/>
          </w:tcPr>
          <w:p w:rsidR="002A51CA" w:rsidRPr="00106054" w:rsidRDefault="002A51CA" w:rsidP="00106054">
            <w:pPr>
              <w:keepNext/>
              <w:spacing w:before="40" w:after="40" w:line="280" w:lineRule="exact"/>
              <w:rPr>
                <w:rFonts w:eastAsia="Times New Roman"/>
                <w:sz w:val="17"/>
                <w:szCs w:val="17"/>
              </w:rPr>
            </w:pPr>
            <w:r w:rsidRPr="00106054">
              <w:rPr>
                <w:rFonts w:eastAsia="Times New Roman"/>
                <w:sz w:val="17"/>
                <w:szCs w:val="17"/>
              </w:rPr>
              <w:t>Other Government Departments</w:t>
            </w:r>
          </w:p>
        </w:tc>
        <w:tc>
          <w:tcPr>
            <w:tcW w:w="992" w:type="dxa"/>
            <w:shd w:val="clear" w:color="auto" w:fill="auto"/>
          </w:tcPr>
          <w:p w:rsidR="002A51CA"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 xml:space="preserve">   5.3</w:t>
            </w:r>
          </w:p>
        </w:tc>
        <w:tc>
          <w:tcPr>
            <w:tcW w:w="1525" w:type="dxa"/>
            <w:shd w:val="clear" w:color="auto" w:fill="auto"/>
          </w:tcPr>
          <w:p w:rsidR="002A51CA" w:rsidRPr="00106054" w:rsidRDefault="006B62B0" w:rsidP="00106054">
            <w:pPr>
              <w:keepNext/>
              <w:spacing w:before="40" w:after="40" w:line="280" w:lineRule="exact"/>
              <w:rPr>
                <w:rFonts w:eastAsia="Times New Roman"/>
                <w:sz w:val="17"/>
                <w:szCs w:val="17"/>
              </w:rPr>
            </w:pPr>
            <w:r w:rsidRPr="00106054">
              <w:rPr>
                <w:rFonts w:eastAsia="Times New Roman"/>
                <w:sz w:val="17"/>
                <w:szCs w:val="17"/>
              </w:rPr>
              <w:t>1%</w:t>
            </w:r>
          </w:p>
        </w:tc>
      </w:tr>
      <w:tr w:rsidR="002A51CA" w:rsidRPr="00106054" w:rsidTr="00106054">
        <w:tc>
          <w:tcPr>
            <w:tcW w:w="6204" w:type="dxa"/>
            <w:shd w:val="clear" w:color="auto" w:fill="auto"/>
          </w:tcPr>
          <w:p w:rsidR="002A51CA" w:rsidRPr="00106054" w:rsidRDefault="002A51CA" w:rsidP="00106054">
            <w:pPr>
              <w:keepNext/>
              <w:spacing w:after="160" w:line="280" w:lineRule="exact"/>
              <w:rPr>
                <w:rFonts w:eastAsia="Times New Roman"/>
                <w:b/>
                <w:sz w:val="17"/>
                <w:szCs w:val="17"/>
              </w:rPr>
            </w:pPr>
            <w:r w:rsidRPr="00106054">
              <w:rPr>
                <w:rFonts w:eastAsia="Times New Roman"/>
                <w:b/>
                <w:sz w:val="17"/>
                <w:szCs w:val="17"/>
              </w:rPr>
              <w:t>Total ODA Expenditure</w:t>
            </w:r>
          </w:p>
        </w:tc>
        <w:tc>
          <w:tcPr>
            <w:tcW w:w="992" w:type="dxa"/>
            <w:shd w:val="clear" w:color="auto" w:fill="auto"/>
          </w:tcPr>
          <w:p w:rsidR="002A51CA" w:rsidRPr="00106054" w:rsidRDefault="006B62B0" w:rsidP="00106054">
            <w:pPr>
              <w:keepNext/>
              <w:spacing w:after="160" w:line="280" w:lineRule="exact"/>
              <w:rPr>
                <w:rFonts w:eastAsia="Times New Roman"/>
                <w:b/>
                <w:sz w:val="17"/>
                <w:szCs w:val="17"/>
              </w:rPr>
            </w:pPr>
            <w:r w:rsidRPr="00106054">
              <w:rPr>
                <w:rFonts w:eastAsia="Times New Roman"/>
                <w:b/>
                <w:sz w:val="17"/>
                <w:szCs w:val="17"/>
              </w:rPr>
              <w:t>379.2</w:t>
            </w:r>
          </w:p>
        </w:tc>
        <w:tc>
          <w:tcPr>
            <w:tcW w:w="1525" w:type="dxa"/>
            <w:shd w:val="clear" w:color="auto" w:fill="auto"/>
          </w:tcPr>
          <w:p w:rsidR="002A51CA" w:rsidRPr="00106054" w:rsidRDefault="006B62B0" w:rsidP="00106054">
            <w:pPr>
              <w:keepNext/>
              <w:spacing w:after="160" w:line="280" w:lineRule="exact"/>
              <w:rPr>
                <w:rFonts w:eastAsia="Times New Roman"/>
                <w:b/>
                <w:sz w:val="17"/>
                <w:szCs w:val="17"/>
              </w:rPr>
            </w:pPr>
            <w:r w:rsidRPr="00106054">
              <w:rPr>
                <w:rFonts w:eastAsia="Times New Roman"/>
                <w:b/>
                <w:sz w:val="17"/>
                <w:szCs w:val="17"/>
              </w:rPr>
              <w:t>100%</w:t>
            </w:r>
          </w:p>
        </w:tc>
      </w:tr>
    </w:tbl>
    <w:p w:rsidR="00A923B2" w:rsidRPr="00106054" w:rsidRDefault="00A923B2" w:rsidP="00492744">
      <w:pPr>
        <w:suppressAutoHyphens w:val="0"/>
        <w:spacing w:before="0" w:after="120" w:line="440" w:lineRule="atLeast"/>
        <w:rPr>
          <w:rFonts w:ascii="Calibri" w:eastAsia="Times New Roman" w:hAnsi="Calibri"/>
          <w:caps/>
          <w:sz w:val="38"/>
          <w:szCs w:val="26"/>
        </w:rPr>
      </w:pPr>
    </w:p>
    <w:p w:rsidR="002A51CA" w:rsidRPr="00106054" w:rsidRDefault="002A51CA" w:rsidP="00492744">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t>Progress towards Objectives</w:t>
      </w:r>
      <w:r w:rsidRPr="00106054">
        <w:rPr>
          <w:rFonts w:ascii="Calibri" w:eastAsia="Times New Roman" w:hAnsi="Calibri"/>
          <w:caps/>
          <w:sz w:val="38"/>
          <w:szCs w:val="26"/>
        </w:rPr>
        <w:tab/>
      </w:r>
    </w:p>
    <w:p w:rsidR="002C6F81" w:rsidRDefault="002C6F81" w:rsidP="0080020B">
      <w:r>
        <w:t xml:space="preserve">Last year’s APPR reported against the three high-level objectives </w:t>
      </w:r>
      <w:r w:rsidR="006B13A8">
        <w:t>of our Aid Investment Plan</w:t>
      </w:r>
      <w:r>
        <w:t xml:space="preserve">, all of which were rated </w:t>
      </w:r>
      <w:r w:rsidR="00362211">
        <w:t xml:space="preserve">green.  </w:t>
      </w:r>
      <w:r>
        <w:t>Since last year, we have completed the Performance As</w:t>
      </w:r>
      <w:r w:rsidR="00495D3F">
        <w:t>sessment Framework (PAF), and</w:t>
      </w:r>
      <w:r>
        <w:t xml:space="preserve"> in this APPR we will report against </w:t>
      </w:r>
      <w:r w:rsidR="00BB76A4">
        <w:t xml:space="preserve">the </w:t>
      </w:r>
      <w:r>
        <w:t xml:space="preserve">nine </w:t>
      </w:r>
      <w:r w:rsidR="00BB76A4">
        <w:t xml:space="preserve">PAF </w:t>
      </w:r>
      <w:r>
        <w:t>outcomes beneath ou</w:t>
      </w:r>
      <w:r w:rsidR="00362211">
        <w:t xml:space="preserve">r three high-level objectives.  </w:t>
      </w:r>
      <w:r w:rsidR="00FE69D6" w:rsidRPr="00B53097">
        <w:t>Eight</w:t>
      </w:r>
      <w:r w:rsidRPr="00B53097">
        <w:t xml:space="preserve"> </w:t>
      </w:r>
      <w:r w:rsidR="00B53097" w:rsidRPr="00B53097">
        <w:t xml:space="preserve">out of nine </w:t>
      </w:r>
      <w:r w:rsidRPr="00B53097">
        <w:t>outcomes are on track and performing as expected.</w:t>
      </w:r>
      <w:r w:rsidR="00362211">
        <w:t xml:space="preserve">  </w:t>
      </w:r>
      <w:r>
        <w:t>Many investments contribute to more than one outcome so different results from the same program are repor</w:t>
      </w:r>
      <w:r w:rsidR="00362211">
        <w:t xml:space="preserve">ted against different outcomes.  </w:t>
      </w:r>
      <w:r>
        <w:t xml:space="preserve">With such a large and broad-ranging program, we </w:t>
      </w:r>
      <w:r w:rsidR="00466BA7">
        <w:t>have used</w:t>
      </w:r>
      <w:r w:rsidR="00993A45">
        <w:t xml:space="preserve"> </w:t>
      </w:r>
      <w:r>
        <w:t xml:space="preserve">examples that are </w:t>
      </w:r>
      <w:r w:rsidR="00287F0A">
        <w:t xml:space="preserve">the </w:t>
      </w:r>
      <w:r>
        <w:t xml:space="preserve">most innovative or demonstrate </w:t>
      </w:r>
      <w:r w:rsidR="00287F0A">
        <w:t>the greatest impact</w:t>
      </w:r>
      <w:r w:rsidR="000E058B">
        <w:t xml:space="preserve"> at scale</w:t>
      </w:r>
      <w:r w:rsidR="00287F0A">
        <w:t>.</w:t>
      </w:r>
    </w:p>
    <w:p w:rsidR="00E25FBD" w:rsidRDefault="00E53ED6" w:rsidP="00541C93">
      <w:r>
        <w:t>Working with Indonesia,</w:t>
      </w:r>
      <w:r w:rsidR="0050781C">
        <w:t xml:space="preserve"> </w:t>
      </w:r>
      <w:r w:rsidR="0032246A">
        <w:t>o</w:t>
      </w:r>
      <w:r w:rsidR="00285198" w:rsidRPr="00DF30AD">
        <w:t>ur inv</w:t>
      </w:r>
      <w:r w:rsidR="005A319B" w:rsidRPr="00DF30AD">
        <w:t xml:space="preserve">estments </w:t>
      </w:r>
      <w:r w:rsidR="00F56B78">
        <w:t xml:space="preserve">help </w:t>
      </w:r>
      <w:r w:rsidR="005A319B" w:rsidRPr="00DF30AD">
        <w:t xml:space="preserve">identify </w:t>
      </w:r>
      <w:r>
        <w:t xml:space="preserve">opportunities </w:t>
      </w:r>
      <w:r w:rsidR="00F56B78">
        <w:t>and</w:t>
      </w:r>
      <w:r w:rsidR="00F56B78" w:rsidRPr="00DF30AD">
        <w:t xml:space="preserve"> </w:t>
      </w:r>
      <w:r w:rsidR="00CD4435">
        <w:t xml:space="preserve">pilot new ways of doing things.  </w:t>
      </w:r>
      <w:r w:rsidR="00285198" w:rsidRPr="00DF30AD">
        <w:t xml:space="preserve">When successful, these pilots </w:t>
      </w:r>
      <w:r w:rsidR="00287F81">
        <w:t>are</w:t>
      </w:r>
      <w:r w:rsidR="00285198" w:rsidRPr="00DF30AD">
        <w:t xml:space="preserve"> adopted and scaled up by Indonesian </w:t>
      </w:r>
      <w:r w:rsidR="00F56B78">
        <w:t>partners</w:t>
      </w:r>
      <w:r w:rsidR="003D10AE">
        <w:t xml:space="preserve">, </w:t>
      </w:r>
      <w:r w:rsidR="003D10AE" w:rsidRPr="003D10AE">
        <w:t>leveraging impact well beyond the initial inv</w:t>
      </w:r>
      <w:r w:rsidR="00362211">
        <w:t xml:space="preserve">estment.  </w:t>
      </w:r>
      <w:r w:rsidR="00EC1EA4">
        <w:t xml:space="preserve">If they fail </w:t>
      </w:r>
      <w:r w:rsidR="00495D3F">
        <w:t>or are less successful</w:t>
      </w:r>
      <w:r w:rsidR="009474B7">
        <w:t>, we</w:t>
      </w:r>
      <w:r w:rsidR="008673ED">
        <w:t xml:space="preserve"> </w:t>
      </w:r>
      <w:r w:rsidR="00EC1EA4">
        <w:t xml:space="preserve">seek to </w:t>
      </w:r>
      <w:r w:rsidR="001C4C28">
        <w:t>understand</w:t>
      </w:r>
      <w:r w:rsidR="0032246A">
        <w:t xml:space="preserve"> why</w:t>
      </w:r>
      <w:r w:rsidR="001C4C28">
        <w:t xml:space="preserve"> </w:t>
      </w:r>
      <w:r w:rsidR="00EC1EA4">
        <w:t>and share lessons</w:t>
      </w:r>
      <w:r w:rsidR="00362211">
        <w:t xml:space="preserve">.  </w:t>
      </w:r>
      <w:r w:rsidR="00E25FBD">
        <w:t xml:space="preserve">Most of our </w:t>
      </w:r>
      <w:r w:rsidR="00541C93">
        <w:t>invest</w:t>
      </w:r>
      <w:r w:rsidR="007136D0">
        <w:t>ments have been designed as five to ten</w:t>
      </w:r>
      <w:r w:rsidR="00541C93">
        <w:t xml:space="preserve"> year partnerships, reflecting the</w:t>
      </w:r>
      <w:r w:rsidR="003A3D50">
        <w:t xml:space="preserve"> complexity of </w:t>
      </w:r>
      <w:r w:rsidR="00375BC3">
        <w:t>the economic partnership and the</w:t>
      </w:r>
      <w:r w:rsidR="00541C93">
        <w:t xml:space="preserve"> importance of longer-term engagement in critical reforms and </w:t>
      </w:r>
      <w:r w:rsidR="00E25FBD">
        <w:t xml:space="preserve">capacity </w:t>
      </w:r>
      <w:r w:rsidR="00541C93">
        <w:t>building.</w:t>
      </w:r>
      <w:r w:rsidR="00362211">
        <w:t xml:space="preserve">  </w:t>
      </w:r>
      <w:r w:rsidR="00352763">
        <w:t>High levels of Indonesian g</w:t>
      </w:r>
      <w:r w:rsidR="00556EC9">
        <w:t>overnment engagement have resulted in strengthened relationships focussed on results, and our forward agenda is in line with Indonesian priorities.</w:t>
      </w:r>
      <w:r w:rsidR="00F56B78" w:rsidRPr="00F56B78">
        <w:t xml:space="preserve"> </w:t>
      </w:r>
    </w:p>
    <w:p w:rsidR="00997CC5" w:rsidRDefault="00997CC5" w:rsidP="00541C93">
      <w:r>
        <w:t xml:space="preserve">Several programs </w:t>
      </w:r>
      <w:r w:rsidRPr="00DF30AD">
        <w:t>dr</w:t>
      </w:r>
      <w:r>
        <w:t>awing to a close leave behind strong legacies, in particular in the</w:t>
      </w:r>
      <w:r w:rsidR="00362211">
        <w:t xml:space="preserve"> health and education sectors.  </w:t>
      </w:r>
      <w:r>
        <w:t>Sustainability prospects are strong, with responsibilities and budgets transferre</w:t>
      </w:r>
      <w:r w:rsidR="001B38A5">
        <w:t>d to the Indonesian Government, and</w:t>
      </w:r>
      <w:r w:rsidR="009F41C3">
        <w:t xml:space="preserve"> the political will to take forward further change. </w:t>
      </w:r>
    </w:p>
    <w:p w:rsidR="00E25FBD" w:rsidRDefault="00EC1EA4" w:rsidP="00541C93">
      <w:r>
        <w:t xml:space="preserve">Despite </w:t>
      </w:r>
      <w:r w:rsidR="00E25FBD">
        <w:t xml:space="preserve">some </w:t>
      </w:r>
      <w:r>
        <w:t>encouraging early signs</w:t>
      </w:r>
      <w:r w:rsidR="007E79AC">
        <w:t xml:space="preserve"> and a number of successes</w:t>
      </w:r>
      <w:r>
        <w:t xml:space="preserve">, </w:t>
      </w:r>
      <w:r w:rsidR="00D7064C">
        <w:t xml:space="preserve">results </w:t>
      </w:r>
      <w:r w:rsidR="001577CC">
        <w:t>from</w:t>
      </w:r>
      <w:r>
        <w:t xml:space="preserve"> our increased </w:t>
      </w:r>
      <w:r w:rsidR="00FC1702">
        <w:t>engagement in policy reform are not always</w:t>
      </w:r>
      <w:r w:rsidR="005A71B9">
        <w:t xml:space="preserve"> evident in the short </w:t>
      </w:r>
      <w:r>
        <w:t xml:space="preserve">term, and </w:t>
      </w:r>
      <w:r w:rsidR="00E25FBD">
        <w:t>p</w:t>
      </w:r>
      <w:r w:rsidR="00D61203">
        <w:t>resent</w:t>
      </w:r>
      <w:r>
        <w:t xml:space="preserve"> new challenges in measuring performance relative to our previous direct funding for infra</w:t>
      </w:r>
      <w:r w:rsidR="00362211">
        <w:t xml:space="preserve">structure and service delivery.  </w:t>
      </w:r>
      <w:r>
        <w:t>This is reflected in our new performance benchmarks</w:t>
      </w:r>
      <w:r w:rsidR="0041242A">
        <w:t>,</w:t>
      </w:r>
      <w:r>
        <w:t xml:space="preserve"> which move towards a more qualitative approach to capturing information on</w:t>
      </w:r>
      <w:r w:rsidR="00E25FBD">
        <w:t xml:space="preserve"> policy changes </w:t>
      </w:r>
      <w:r w:rsidR="00362211">
        <w:t xml:space="preserve">and their impacts.  </w:t>
      </w:r>
      <w:r w:rsidR="00E25FBD">
        <w:t>The benchmarks are draw</w:t>
      </w:r>
      <w:r w:rsidR="00362211">
        <w:t xml:space="preserve">n directly from our PAF.  </w:t>
      </w:r>
      <w:r w:rsidR="00E25FBD">
        <w:t xml:space="preserve">The PAF (Attachment E) is in its first year of implementation and </w:t>
      </w:r>
      <w:r w:rsidR="00E25FBD" w:rsidRPr="009E0A3E">
        <w:t xml:space="preserve">we will be in a better position next year to measure </w:t>
      </w:r>
      <w:r w:rsidR="00E25FBD">
        <w:t>results</w:t>
      </w:r>
      <w:r w:rsidR="00E25FBD" w:rsidRPr="009E0A3E">
        <w:t xml:space="preserve"> against</w:t>
      </w:r>
      <w:r w:rsidR="00E25FBD">
        <w:t xml:space="preserve"> specific</w:t>
      </w:r>
      <w:r w:rsidR="00E25FBD" w:rsidRPr="009E0A3E">
        <w:t xml:space="preserve"> targets.</w:t>
      </w:r>
      <w:r w:rsidR="00DC70CF">
        <w:t xml:space="preserve"> </w:t>
      </w:r>
    </w:p>
    <w:p w:rsidR="00A408E4" w:rsidRDefault="00A408E4" w:rsidP="00A408E4"/>
    <w:p w:rsidR="00DF7F4F" w:rsidRPr="00A408E4" w:rsidRDefault="00DF7F4F" w:rsidP="00A408E4">
      <w:pPr>
        <w:rPr>
          <w:b/>
        </w:rPr>
      </w:pPr>
      <w:r w:rsidRPr="00106054">
        <w:rPr>
          <w:rFonts w:ascii="Calibri" w:eastAsia="Times New Roman" w:hAnsi="Calibri"/>
          <w:caps/>
          <w:sz w:val="38"/>
          <w:szCs w:val="26"/>
        </w:rPr>
        <w:t xml:space="preserve">Objective 1: EFFECTIVE ECONOMIC GOVERNANCE AND INFRASTRUCTURE </w:t>
      </w:r>
    </w:p>
    <w:p w:rsidR="002A51CA" w:rsidRPr="00C61187" w:rsidRDefault="002A51CA" w:rsidP="002A51CA">
      <w:pPr>
        <w:keepNext/>
        <w:spacing w:before="80" w:after="80" w:line="280" w:lineRule="atLeast"/>
        <w:rPr>
          <w:rFonts w:ascii="Franklin Gothic Book" w:eastAsia="Times New Roman" w:hAnsi="Franklin Gothic Book" w:cs="Arial"/>
          <w:b/>
          <w:szCs w:val="19"/>
        </w:rPr>
      </w:pPr>
    </w:p>
    <w:p w:rsidR="002A51CA" w:rsidRPr="008C2F58" w:rsidRDefault="002A51CA" w:rsidP="002A51CA">
      <w:pPr>
        <w:rPr>
          <w:b/>
          <w:sz w:val="24"/>
        </w:rPr>
      </w:pPr>
      <w:r w:rsidRPr="008C2F58">
        <w:rPr>
          <w:b/>
          <w:sz w:val="24"/>
        </w:rPr>
        <w:t>Rating of the Program's Progress towards Australia’s Aid Objectives</w:t>
      </w:r>
      <w:r w:rsidR="00CA6E63">
        <w:rPr>
          <w:b/>
          <w:sz w:val="24"/>
        </w:rPr>
        <w:t xml:space="preserve"> and Outcomes </w:t>
      </w:r>
    </w:p>
    <w:tbl>
      <w:tblPr>
        <w:tblW w:w="5363" w:type="pct"/>
        <w:tblCellSpacing w:w="14" w:type="dxa"/>
        <w:tblBorders>
          <w:top w:val="single" w:sz="12" w:space="0" w:color="000000"/>
          <w:bottom w:val="single" w:sz="12" w:space="0" w:color="000000"/>
        </w:tblBorders>
        <w:tblLook w:val="0000" w:firstRow="0" w:lastRow="0" w:firstColumn="0" w:lastColumn="0" w:noHBand="0" w:noVBand="0"/>
      </w:tblPr>
      <w:tblGrid>
        <w:gridCol w:w="48"/>
        <w:gridCol w:w="5702"/>
        <w:gridCol w:w="42"/>
        <w:gridCol w:w="1115"/>
        <w:gridCol w:w="433"/>
        <w:gridCol w:w="28"/>
        <w:gridCol w:w="444"/>
        <w:gridCol w:w="592"/>
        <w:gridCol w:w="472"/>
        <w:gridCol w:w="756"/>
        <w:gridCol w:w="706"/>
      </w:tblGrid>
      <w:tr w:rsidR="001C6905" w:rsidRPr="00106054" w:rsidTr="00106054">
        <w:trPr>
          <w:gridAfter w:val="1"/>
          <w:wAfter w:w="678" w:type="dxa"/>
          <w:trHeight w:val="216"/>
          <w:tblHeader/>
          <w:tblCellSpacing w:w="14" w:type="dxa"/>
        </w:trPr>
        <w:tc>
          <w:tcPr>
            <w:tcW w:w="5960" w:type="dxa"/>
            <w:gridSpan w:val="2"/>
            <w:tcBorders>
              <w:top w:val="nil"/>
              <w:left w:val="nil"/>
              <w:bottom w:val="nil"/>
              <w:right w:val="nil"/>
              <w:tl2br w:val="nil"/>
              <w:tr2bl w:val="nil"/>
            </w:tcBorders>
            <w:shd w:val="clear" w:color="auto" w:fill="auto"/>
          </w:tcPr>
          <w:p w:rsidR="00CA6E63" w:rsidRPr="00106054" w:rsidRDefault="00D64950" w:rsidP="00106054">
            <w:pPr>
              <w:keepLines/>
              <w:spacing w:before="80" w:after="80" w:line="200" w:lineRule="atLeast"/>
              <w:rPr>
                <w:rFonts w:eastAsia="Times New Roman"/>
                <w:b/>
                <w:iCs/>
                <w:sz w:val="17"/>
                <w:szCs w:val="17"/>
              </w:rPr>
            </w:pPr>
            <w:r>
              <w:rPr>
                <w:noProof/>
                <w:lang w:val="en-AU" w:eastAsia="en-AU"/>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857375" cy="228600"/>
                  <wp:effectExtent l="0" t="0" r="0" b="0"/>
                  <wp:wrapNone/>
                  <wp:docPr id="11"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E63" w:rsidRPr="00106054">
              <w:rPr>
                <w:rFonts w:eastAsia="Times New Roman"/>
                <w:b/>
                <w:iCs/>
                <w:sz w:val="17"/>
                <w:szCs w:val="17"/>
              </w:rPr>
              <w:t xml:space="preserve"> </w:t>
            </w:r>
          </w:p>
        </w:tc>
        <w:tc>
          <w:tcPr>
            <w:tcW w:w="1129"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80" w:after="80" w:line="200" w:lineRule="atLeast"/>
              <w:jc w:val="center"/>
              <w:rPr>
                <w:rFonts w:eastAsia="Times New Roman"/>
                <w:b/>
                <w:iCs/>
                <w:sz w:val="17"/>
                <w:szCs w:val="17"/>
              </w:rPr>
            </w:pPr>
          </w:p>
        </w:tc>
        <w:tc>
          <w:tcPr>
            <w:tcW w:w="416" w:type="dxa"/>
            <w:tcBorders>
              <w:top w:val="nil"/>
              <w:left w:val="nil"/>
              <w:bottom w:val="nil"/>
              <w:right w:val="nil"/>
              <w:tl2br w:val="nil"/>
              <w:tr2bl w:val="nil"/>
            </w:tcBorders>
            <w:shd w:val="clear" w:color="auto" w:fill="auto"/>
          </w:tcPr>
          <w:p w:rsidR="00CA6E63" w:rsidRPr="00106054" w:rsidRDefault="00CA6E63" w:rsidP="00106054">
            <w:pPr>
              <w:keepLines/>
              <w:spacing w:before="80" w:after="80" w:line="200" w:lineRule="atLeast"/>
              <w:jc w:val="center"/>
              <w:rPr>
                <w:rFonts w:eastAsia="Times New Roman"/>
                <w:b/>
                <w:iCs/>
                <w:sz w:val="17"/>
                <w:szCs w:val="17"/>
              </w:rPr>
            </w:pPr>
          </w:p>
        </w:tc>
        <w:tc>
          <w:tcPr>
            <w:tcW w:w="1050" w:type="dxa"/>
            <w:gridSpan w:val="3"/>
            <w:tcBorders>
              <w:top w:val="nil"/>
              <w:left w:val="nil"/>
              <w:bottom w:val="nil"/>
              <w:right w:val="nil"/>
              <w:tl2br w:val="nil"/>
              <w:tr2bl w:val="nil"/>
            </w:tcBorders>
            <w:shd w:val="clear" w:color="auto" w:fill="auto"/>
          </w:tcPr>
          <w:p w:rsidR="00CA6E63" w:rsidRPr="00106054" w:rsidRDefault="00CA6E63"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Previous </w:t>
            </w:r>
          </w:p>
          <w:p w:rsidR="00CA6E63" w:rsidRPr="00106054" w:rsidRDefault="00CA6E63"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Rating </w:t>
            </w:r>
          </w:p>
        </w:tc>
        <w:tc>
          <w:tcPr>
            <w:tcW w:w="1200" w:type="dxa"/>
            <w:gridSpan w:val="2"/>
            <w:tcBorders>
              <w:top w:val="nil"/>
              <w:left w:val="nil"/>
              <w:bottom w:val="nil"/>
              <w:right w:val="nil"/>
              <w:tl2br w:val="nil"/>
              <w:tr2bl w:val="nil"/>
            </w:tcBorders>
            <w:shd w:val="clear" w:color="auto" w:fill="auto"/>
          </w:tcPr>
          <w:p w:rsidR="00F04098" w:rsidRPr="00106054" w:rsidRDefault="00F04098"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          Current</w:t>
            </w:r>
          </w:p>
          <w:p w:rsidR="00CA6E63" w:rsidRPr="00106054" w:rsidRDefault="00F04098" w:rsidP="00106054">
            <w:pPr>
              <w:keepLines/>
              <w:spacing w:before="80" w:after="80" w:line="200" w:lineRule="atLeast"/>
              <w:rPr>
                <w:rFonts w:eastAsia="Times New Roman"/>
                <w:b/>
                <w:iCs/>
                <w:sz w:val="14"/>
                <w:szCs w:val="14"/>
              </w:rPr>
            </w:pPr>
            <w:r w:rsidRPr="00106054">
              <w:rPr>
                <w:rFonts w:eastAsia="Times New Roman"/>
                <w:b/>
                <w:iCs/>
                <w:sz w:val="17"/>
                <w:szCs w:val="17"/>
              </w:rPr>
              <w:t xml:space="preserve">           Rating</w:t>
            </w:r>
          </w:p>
        </w:tc>
      </w:tr>
      <w:tr w:rsidR="00106054" w:rsidRPr="00106054" w:rsidTr="00106054">
        <w:trPr>
          <w:gridAfter w:val="1"/>
          <w:wAfter w:w="678" w:type="dxa"/>
          <w:trHeight w:val="325"/>
          <w:tblHeader/>
          <w:tblCellSpacing w:w="14" w:type="dxa"/>
        </w:trPr>
        <w:tc>
          <w:tcPr>
            <w:tcW w:w="5960"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Objective 1: Effective Economic Governance and Infrastructure </w:t>
            </w:r>
          </w:p>
        </w:tc>
        <w:tc>
          <w:tcPr>
            <w:tcW w:w="1129" w:type="dxa"/>
            <w:gridSpan w:val="2"/>
            <w:tcBorders>
              <w:top w:val="nil"/>
              <w:left w:val="nil"/>
              <w:bottom w:val="nil"/>
              <w:right w:val="nil"/>
              <w:tl2br w:val="nil"/>
              <w:tr2bl w:val="nil"/>
            </w:tcBorders>
            <w:shd w:val="clear" w:color="auto" w:fill="auto"/>
            <w:noWrap/>
          </w:tcPr>
          <w:p w:rsidR="00CA6E63" w:rsidRPr="00106054" w:rsidRDefault="00CA6E63" w:rsidP="00106054">
            <w:pPr>
              <w:keepLines/>
              <w:spacing w:before="40" w:after="40" w:line="200" w:lineRule="atLeast"/>
              <w:jc w:val="center"/>
              <w:rPr>
                <w:rFonts w:ascii="Franklin Gothic Book" w:eastAsia="Times New Roman" w:hAnsi="Franklin Gothic Book"/>
                <w:iCs/>
                <w:sz w:val="17"/>
                <w:szCs w:val="17"/>
                <w:lang w:eastAsia="en-AU"/>
              </w:rPr>
            </w:pPr>
          </w:p>
        </w:tc>
        <w:tc>
          <w:tcPr>
            <w:tcW w:w="416" w:type="dxa"/>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50" w:type="dxa"/>
            <w:gridSpan w:val="3"/>
            <w:tcBorders>
              <w:top w:val="nil"/>
              <w:left w:val="nil"/>
              <w:bottom w:val="nil"/>
              <w:right w:val="nil"/>
              <w:tl2br w:val="nil"/>
              <w:tr2bl w:val="nil"/>
            </w:tcBorders>
            <w:shd w:val="clear" w:color="auto" w:fill="7FB64D"/>
          </w:tcPr>
          <w:p w:rsidR="00CA6E63" w:rsidRPr="00106054" w:rsidRDefault="00CA6E63"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c>
          <w:tcPr>
            <w:tcW w:w="1200" w:type="dxa"/>
            <w:gridSpan w:val="2"/>
            <w:tcBorders>
              <w:top w:val="nil"/>
              <w:left w:val="nil"/>
              <w:bottom w:val="nil"/>
              <w:right w:val="nil"/>
              <w:tl2br w:val="nil"/>
              <w:tr2bl w:val="nil"/>
            </w:tcBorders>
            <w:shd w:val="clear" w:color="auto" w:fill="auto"/>
            <w:noWrap/>
          </w:tcPr>
          <w:p w:rsidR="00CA6E63" w:rsidRPr="00106054" w:rsidRDefault="00CA6E63" w:rsidP="00106054">
            <w:pPr>
              <w:keepLines/>
              <w:spacing w:before="40" w:after="40" w:line="200" w:lineRule="atLeast"/>
              <w:jc w:val="center"/>
              <w:rPr>
                <w:rFonts w:ascii="Franklin Gothic Book" w:eastAsia="Times New Roman" w:hAnsi="Franklin Gothic Book"/>
                <w:iCs/>
                <w:color w:val="FFFFFF"/>
                <w:sz w:val="17"/>
                <w:szCs w:val="17"/>
                <w:lang w:eastAsia="en-AU"/>
              </w:rPr>
            </w:pPr>
          </w:p>
        </w:tc>
      </w:tr>
      <w:tr w:rsidR="00106054" w:rsidRPr="00106054" w:rsidTr="00106054">
        <w:trPr>
          <w:gridBefore w:val="1"/>
          <w:trHeight w:val="325"/>
          <w:tblHeader/>
          <w:tblCellSpacing w:w="14" w:type="dxa"/>
        </w:trPr>
        <w:tc>
          <w:tcPr>
            <w:tcW w:w="5974"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rPr>
                <w:rFonts w:ascii="Franklin Gothic Book" w:eastAsia="Times New Roman" w:hAnsi="Franklin Gothic Book"/>
                <w:i/>
                <w:iCs/>
                <w:sz w:val="17"/>
                <w:szCs w:val="17"/>
                <w:lang w:eastAsia="en-AU"/>
              </w:rPr>
            </w:pPr>
            <w:r w:rsidRPr="00106054">
              <w:rPr>
                <w:rFonts w:ascii="Franklin Gothic Book" w:eastAsia="Times New Roman" w:hAnsi="Franklin Gothic Book"/>
                <w:i/>
                <w:iCs/>
                <w:sz w:val="17"/>
                <w:szCs w:val="17"/>
                <w:lang w:eastAsia="en-AU"/>
              </w:rPr>
              <w:t xml:space="preserve">Outcome 1: </w:t>
            </w:r>
            <w:r w:rsidR="004A260E" w:rsidRPr="00106054">
              <w:rPr>
                <w:rFonts w:ascii="Franklin Gothic Book" w:eastAsia="Times New Roman" w:hAnsi="Franklin Gothic Book"/>
                <w:i/>
                <w:iCs/>
                <w:sz w:val="17"/>
                <w:szCs w:val="17"/>
                <w:lang w:eastAsia="en-AU"/>
              </w:rPr>
              <w:t xml:space="preserve">Improvements in infrastructure and the economic environment </w:t>
            </w:r>
          </w:p>
        </w:tc>
        <w:tc>
          <w:tcPr>
            <w:tcW w:w="1129" w:type="dxa"/>
            <w:gridSpan w:val="3"/>
            <w:tcBorders>
              <w:top w:val="nil"/>
              <w:left w:val="nil"/>
              <w:bottom w:val="nil"/>
              <w:right w:val="nil"/>
              <w:tl2br w:val="nil"/>
              <w:tr2bl w:val="nil"/>
            </w:tcBorders>
            <w:shd w:val="clear" w:color="auto" w:fill="auto"/>
            <w:noWrap/>
          </w:tcPr>
          <w:p w:rsidR="00CA6E63" w:rsidRPr="00106054" w:rsidRDefault="00CA6E63" w:rsidP="00106054">
            <w:pPr>
              <w:keepLines/>
              <w:spacing w:before="40" w:after="40" w:line="200" w:lineRule="atLeast"/>
              <w:jc w:val="center"/>
              <w:rPr>
                <w:rFonts w:ascii="Franklin Gothic Book" w:eastAsia="Times New Roman" w:hAnsi="Franklin Gothic Book"/>
                <w:iCs/>
                <w:sz w:val="17"/>
                <w:szCs w:val="17"/>
                <w:lang w:eastAsia="en-AU"/>
              </w:rPr>
            </w:pPr>
          </w:p>
        </w:tc>
        <w:tc>
          <w:tcPr>
            <w:tcW w:w="416" w:type="dxa"/>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50"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auto"/>
                <w:sz w:val="17"/>
                <w:szCs w:val="17"/>
                <w:lang w:eastAsia="en-AU"/>
              </w:rPr>
            </w:pPr>
          </w:p>
        </w:tc>
        <w:tc>
          <w:tcPr>
            <w:tcW w:w="1186" w:type="dxa"/>
            <w:gridSpan w:val="2"/>
            <w:tcBorders>
              <w:top w:val="nil"/>
              <w:left w:val="nil"/>
              <w:bottom w:val="nil"/>
              <w:right w:val="nil"/>
              <w:tl2br w:val="nil"/>
              <w:tr2bl w:val="nil"/>
            </w:tcBorders>
            <w:shd w:val="clear" w:color="auto" w:fill="7FB64D"/>
            <w:noWrap/>
          </w:tcPr>
          <w:p w:rsidR="00CA6E63" w:rsidRPr="00106054" w:rsidRDefault="007F454D"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r>
      <w:tr w:rsidR="00106054" w:rsidRPr="00106054" w:rsidTr="00106054">
        <w:trPr>
          <w:gridBefore w:val="1"/>
          <w:trHeight w:val="325"/>
          <w:tblHeader/>
          <w:tblCellSpacing w:w="14" w:type="dxa"/>
        </w:trPr>
        <w:tc>
          <w:tcPr>
            <w:tcW w:w="5974" w:type="dxa"/>
            <w:gridSpan w:val="2"/>
            <w:tcBorders>
              <w:top w:val="nil"/>
              <w:left w:val="nil"/>
              <w:bottom w:val="nil"/>
              <w:right w:val="nil"/>
              <w:tl2br w:val="nil"/>
              <w:tr2bl w:val="nil"/>
            </w:tcBorders>
            <w:shd w:val="clear" w:color="auto" w:fill="auto"/>
          </w:tcPr>
          <w:p w:rsidR="004A260E" w:rsidRPr="00106054" w:rsidRDefault="00CA6E63" w:rsidP="00106054">
            <w:pPr>
              <w:keepLines/>
              <w:spacing w:before="40" w:after="40" w:line="200" w:lineRule="atLeast"/>
              <w:rPr>
                <w:rFonts w:ascii="Franklin Gothic Book" w:eastAsia="Times New Roman" w:hAnsi="Franklin Gothic Book"/>
                <w:i/>
                <w:iCs/>
                <w:sz w:val="17"/>
                <w:szCs w:val="17"/>
                <w:lang w:eastAsia="en-AU"/>
              </w:rPr>
            </w:pPr>
            <w:r w:rsidRPr="00106054">
              <w:rPr>
                <w:rFonts w:ascii="Franklin Gothic Book" w:eastAsia="Times New Roman" w:hAnsi="Franklin Gothic Book"/>
                <w:i/>
                <w:iCs/>
                <w:sz w:val="17"/>
                <w:szCs w:val="17"/>
                <w:lang w:eastAsia="en-AU"/>
              </w:rPr>
              <w:t xml:space="preserve">Outcome 2: </w:t>
            </w:r>
            <w:r w:rsidR="004A260E" w:rsidRPr="00106054">
              <w:rPr>
                <w:rFonts w:ascii="Franklin Gothic Book" w:eastAsia="Times New Roman" w:hAnsi="Franklin Gothic Book"/>
                <w:i/>
                <w:iCs/>
                <w:sz w:val="17"/>
                <w:szCs w:val="17"/>
                <w:lang w:eastAsia="en-AU"/>
              </w:rPr>
              <w:t xml:space="preserve">Private sector development, reform of markets and improved </w:t>
            </w:r>
          </w:p>
          <w:p w:rsidR="00CA6E63" w:rsidRPr="00106054" w:rsidRDefault="004A260E" w:rsidP="00106054">
            <w:pPr>
              <w:keepLines/>
              <w:spacing w:before="40" w:after="40" w:line="200" w:lineRule="atLeast"/>
              <w:rPr>
                <w:rFonts w:ascii="Franklin Gothic Book" w:eastAsia="Times New Roman" w:hAnsi="Franklin Gothic Book"/>
                <w:i/>
                <w:iCs/>
                <w:sz w:val="17"/>
                <w:szCs w:val="17"/>
                <w:lang w:eastAsia="en-AU"/>
              </w:rPr>
            </w:pPr>
            <w:r w:rsidRPr="00106054">
              <w:rPr>
                <w:rFonts w:ascii="Franklin Gothic Book" w:eastAsia="Times New Roman" w:hAnsi="Franklin Gothic Book"/>
                <w:i/>
                <w:iCs/>
                <w:sz w:val="17"/>
                <w:szCs w:val="17"/>
                <w:lang w:eastAsia="en-AU"/>
              </w:rPr>
              <w:t xml:space="preserve">                     financial systems </w:t>
            </w:r>
          </w:p>
        </w:tc>
        <w:tc>
          <w:tcPr>
            <w:tcW w:w="1129" w:type="dxa"/>
            <w:gridSpan w:val="3"/>
            <w:tcBorders>
              <w:top w:val="nil"/>
              <w:left w:val="nil"/>
              <w:bottom w:val="nil"/>
              <w:right w:val="nil"/>
              <w:tl2br w:val="nil"/>
              <w:tr2bl w:val="nil"/>
            </w:tcBorders>
            <w:shd w:val="clear" w:color="auto" w:fill="auto"/>
            <w:noWrap/>
          </w:tcPr>
          <w:p w:rsidR="00CA6E63" w:rsidRPr="00106054" w:rsidRDefault="00CA6E63" w:rsidP="00106054">
            <w:pPr>
              <w:keepLines/>
              <w:spacing w:before="40" w:after="40" w:line="200" w:lineRule="atLeast"/>
              <w:jc w:val="center"/>
              <w:rPr>
                <w:rFonts w:ascii="Franklin Gothic Book" w:eastAsia="Times New Roman" w:hAnsi="Franklin Gothic Book"/>
                <w:iCs/>
                <w:sz w:val="17"/>
                <w:szCs w:val="17"/>
                <w:lang w:eastAsia="en-AU"/>
              </w:rPr>
            </w:pPr>
          </w:p>
        </w:tc>
        <w:tc>
          <w:tcPr>
            <w:tcW w:w="416" w:type="dxa"/>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auto"/>
                <w:sz w:val="17"/>
                <w:szCs w:val="17"/>
                <w:lang w:eastAsia="en-AU"/>
              </w:rPr>
            </w:pPr>
          </w:p>
        </w:tc>
        <w:tc>
          <w:tcPr>
            <w:tcW w:w="1050"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auto"/>
                <w:sz w:val="17"/>
                <w:szCs w:val="17"/>
                <w:lang w:eastAsia="en-AU"/>
              </w:rPr>
            </w:pPr>
          </w:p>
        </w:tc>
        <w:tc>
          <w:tcPr>
            <w:tcW w:w="1186" w:type="dxa"/>
            <w:gridSpan w:val="2"/>
            <w:tcBorders>
              <w:top w:val="nil"/>
              <w:left w:val="nil"/>
              <w:bottom w:val="nil"/>
              <w:right w:val="nil"/>
              <w:tl2br w:val="nil"/>
              <w:tr2bl w:val="nil"/>
            </w:tcBorders>
            <w:shd w:val="clear" w:color="auto" w:fill="7FB64D"/>
            <w:noWrap/>
          </w:tcPr>
          <w:p w:rsidR="00CA6E63" w:rsidRPr="00106054" w:rsidRDefault="007F454D"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r>
      <w:tr w:rsidR="00106054" w:rsidRPr="00106054" w:rsidTr="00106054">
        <w:trPr>
          <w:gridBefore w:val="1"/>
          <w:trHeight w:val="325"/>
          <w:tblHeader/>
          <w:tblCellSpacing w:w="14" w:type="dxa"/>
        </w:trPr>
        <w:tc>
          <w:tcPr>
            <w:tcW w:w="5974"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rPr>
                <w:rFonts w:ascii="Franklin Gothic Book" w:eastAsia="Times New Roman" w:hAnsi="Franklin Gothic Book"/>
                <w:i/>
                <w:iCs/>
                <w:sz w:val="17"/>
                <w:szCs w:val="17"/>
                <w:lang w:eastAsia="en-AU"/>
              </w:rPr>
            </w:pPr>
            <w:r w:rsidRPr="00106054">
              <w:rPr>
                <w:rFonts w:ascii="Franklin Gothic Book" w:eastAsia="Times New Roman" w:hAnsi="Franklin Gothic Book"/>
                <w:i/>
                <w:iCs/>
                <w:sz w:val="17"/>
                <w:szCs w:val="17"/>
                <w:lang w:eastAsia="en-AU"/>
              </w:rPr>
              <w:t xml:space="preserve">Outcome 3: </w:t>
            </w:r>
            <w:r w:rsidR="004A260E" w:rsidRPr="00106054">
              <w:rPr>
                <w:rFonts w:ascii="Franklin Gothic Book" w:eastAsia="Times New Roman" w:hAnsi="Franklin Gothic Book"/>
                <w:i/>
                <w:iCs/>
                <w:sz w:val="17"/>
                <w:szCs w:val="17"/>
                <w:lang w:eastAsia="en-AU"/>
              </w:rPr>
              <w:t xml:space="preserve">Enhanced quality of government spending </w:t>
            </w:r>
          </w:p>
        </w:tc>
        <w:tc>
          <w:tcPr>
            <w:tcW w:w="1129" w:type="dxa"/>
            <w:gridSpan w:val="3"/>
            <w:tcBorders>
              <w:top w:val="nil"/>
              <w:left w:val="nil"/>
              <w:bottom w:val="nil"/>
              <w:right w:val="nil"/>
              <w:tl2br w:val="nil"/>
              <w:tr2bl w:val="nil"/>
            </w:tcBorders>
            <w:shd w:val="clear" w:color="auto" w:fill="auto"/>
            <w:noWrap/>
          </w:tcPr>
          <w:p w:rsidR="00CA6E63" w:rsidRPr="00106054" w:rsidRDefault="00CA6E63" w:rsidP="00106054">
            <w:pPr>
              <w:keepLines/>
              <w:spacing w:before="40" w:after="40" w:line="200" w:lineRule="atLeast"/>
              <w:jc w:val="center"/>
              <w:rPr>
                <w:rFonts w:ascii="Franklin Gothic Book" w:eastAsia="Times New Roman" w:hAnsi="Franklin Gothic Book"/>
                <w:iCs/>
                <w:sz w:val="17"/>
                <w:szCs w:val="17"/>
                <w:lang w:eastAsia="en-AU"/>
              </w:rPr>
            </w:pPr>
          </w:p>
        </w:tc>
        <w:tc>
          <w:tcPr>
            <w:tcW w:w="416" w:type="dxa"/>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50" w:type="dxa"/>
            <w:gridSpan w:val="2"/>
            <w:tcBorders>
              <w:top w:val="nil"/>
              <w:left w:val="nil"/>
              <w:bottom w:val="nil"/>
              <w:right w:val="nil"/>
              <w:tl2br w:val="nil"/>
              <w:tr2bl w:val="nil"/>
            </w:tcBorders>
            <w:shd w:val="clear" w:color="auto" w:fill="auto"/>
          </w:tcPr>
          <w:p w:rsidR="00CA6E63" w:rsidRPr="00106054" w:rsidRDefault="00CA6E63" w:rsidP="00106054">
            <w:pPr>
              <w:keepLines/>
              <w:spacing w:before="40" w:after="40" w:line="200" w:lineRule="atLeast"/>
              <w:jc w:val="center"/>
              <w:rPr>
                <w:rFonts w:ascii="Franklin Gothic Book" w:eastAsia="Times New Roman" w:hAnsi="Franklin Gothic Book"/>
                <w:iCs/>
                <w:color w:val="auto"/>
                <w:sz w:val="17"/>
                <w:szCs w:val="17"/>
                <w:lang w:eastAsia="en-AU"/>
              </w:rPr>
            </w:pPr>
          </w:p>
        </w:tc>
        <w:tc>
          <w:tcPr>
            <w:tcW w:w="1186" w:type="dxa"/>
            <w:gridSpan w:val="2"/>
            <w:tcBorders>
              <w:top w:val="nil"/>
              <w:left w:val="nil"/>
              <w:bottom w:val="nil"/>
              <w:right w:val="nil"/>
              <w:tl2br w:val="nil"/>
              <w:tr2bl w:val="nil"/>
            </w:tcBorders>
            <w:shd w:val="clear" w:color="auto" w:fill="72AF2F"/>
            <w:noWrap/>
          </w:tcPr>
          <w:p w:rsidR="00CA6E63" w:rsidRPr="00106054" w:rsidRDefault="007B0E1E" w:rsidP="00106054">
            <w:pPr>
              <w:keepLines/>
              <w:spacing w:before="40" w:after="40" w:line="200" w:lineRule="atLeast"/>
              <w:jc w:val="center"/>
              <w:rPr>
                <w:rFonts w:ascii="Franklin Gothic Book" w:eastAsia="Times New Roman" w:hAnsi="Franklin Gothic Book"/>
                <w:iCs/>
                <w:color w:val="auto"/>
                <w:sz w:val="17"/>
                <w:szCs w:val="17"/>
                <w:lang w:eastAsia="en-AU"/>
              </w:rPr>
            </w:pPr>
            <w:r w:rsidRPr="00106054">
              <w:rPr>
                <w:rFonts w:ascii="Franklin Gothic Book" w:eastAsia="Times New Roman" w:hAnsi="Franklin Gothic Book"/>
                <w:iCs/>
                <w:color w:val="FFFFFF"/>
                <w:sz w:val="17"/>
                <w:szCs w:val="17"/>
                <w:lang w:eastAsia="en-AU"/>
              </w:rPr>
              <w:t>Green</w:t>
            </w:r>
            <w:r w:rsidR="007F454D" w:rsidRPr="00106054">
              <w:rPr>
                <w:rFonts w:ascii="Franklin Gothic Book" w:eastAsia="Times New Roman" w:hAnsi="Franklin Gothic Book"/>
                <w:iCs/>
                <w:color w:val="FFFFFF"/>
                <w:sz w:val="17"/>
                <w:szCs w:val="17"/>
                <w:lang w:eastAsia="en-AU"/>
              </w:rPr>
              <w:t xml:space="preserve"> </w:t>
            </w:r>
          </w:p>
        </w:tc>
      </w:tr>
    </w:tbl>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2A51CA" w:rsidRPr="003B0793" w:rsidRDefault="00D07E08" w:rsidP="002A51CA">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002A51CA"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2A51CA" w:rsidRPr="003B0793" w:rsidRDefault="002A51CA" w:rsidP="002A51CA">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E170E3" w:rsidRDefault="00E170E3" w:rsidP="00E170E3">
      <w:pPr>
        <w:spacing w:before="20" w:after="20" w:line="180" w:lineRule="atLeast"/>
        <w:jc w:val="both"/>
        <w:rPr>
          <w:rFonts w:eastAsia="Times New Roman"/>
          <w:b/>
          <w:sz w:val="14"/>
          <w:szCs w:val="14"/>
        </w:rPr>
      </w:pPr>
      <w:r>
        <w:rPr>
          <w:rFonts w:eastAsia="Times New Roman"/>
          <w:b/>
          <w:sz w:val="14"/>
          <w:szCs w:val="14"/>
        </w:rPr>
        <w:t xml:space="preserve">  </w:t>
      </w:r>
    </w:p>
    <w:p w:rsidR="00824501" w:rsidRPr="00E77F83" w:rsidRDefault="00824501" w:rsidP="00824501">
      <w:pPr>
        <w:rPr>
          <w:i/>
        </w:rPr>
      </w:pPr>
      <w:r w:rsidRPr="00E77F83">
        <w:rPr>
          <w:i/>
        </w:rPr>
        <w:t>Promoting effective economic governance and infrastructure is at the heart of our econo</w:t>
      </w:r>
      <w:r w:rsidR="00CD4435">
        <w:rPr>
          <w:i/>
        </w:rPr>
        <w:t>mic partne</w:t>
      </w:r>
      <w:r w:rsidR="00362211">
        <w:rPr>
          <w:i/>
        </w:rPr>
        <w:t xml:space="preserve">rship with Indonesia.  </w:t>
      </w:r>
      <w:r w:rsidRPr="00E77F83">
        <w:rPr>
          <w:i/>
        </w:rPr>
        <w:t xml:space="preserve">Our flagship economic governance program, the Australia-Indonesia Partnership </w:t>
      </w:r>
      <w:r w:rsidR="00127C8B">
        <w:rPr>
          <w:i/>
        </w:rPr>
        <w:t xml:space="preserve">for Economic Governance (AIPEG, </w:t>
      </w:r>
      <w:r w:rsidR="00501A76">
        <w:rPr>
          <w:i/>
        </w:rPr>
        <w:t>AUD</w:t>
      </w:r>
      <w:r w:rsidR="0062619C">
        <w:rPr>
          <w:i/>
        </w:rPr>
        <w:t>111</w:t>
      </w:r>
      <w:r w:rsidR="00A408E4">
        <w:rPr>
          <w:i/>
        </w:rPr>
        <w:t xml:space="preserve"> </w:t>
      </w:r>
      <w:r w:rsidR="0062619C">
        <w:rPr>
          <w:i/>
        </w:rPr>
        <w:t>m</w:t>
      </w:r>
      <w:r w:rsidR="00A408E4">
        <w:rPr>
          <w:i/>
        </w:rPr>
        <w:t>illion</w:t>
      </w:r>
      <w:r w:rsidR="001F7A3E">
        <w:rPr>
          <w:i/>
        </w:rPr>
        <w:t xml:space="preserve">; </w:t>
      </w:r>
      <w:r w:rsidR="0062619C">
        <w:rPr>
          <w:i/>
        </w:rPr>
        <w:t>2009-2017)</w:t>
      </w:r>
      <w:r w:rsidR="00F43ECC">
        <w:rPr>
          <w:i/>
        </w:rPr>
        <w:t xml:space="preserve">, </w:t>
      </w:r>
      <w:r w:rsidRPr="00E77F83">
        <w:rPr>
          <w:i/>
        </w:rPr>
        <w:t>responded to Indonesia’s reform priorit</w:t>
      </w:r>
      <w:r w:rsidR="00DE01E4">
        <w:rPr>
          <w:i/>
        </w:rPr>
        <w:t xml:space="preserve">ies with </w:t>
      </w:r>
      <w:r w:rsidR="00F43ECC">
        <w:rPr>
          <w:i/>
        </w:rPr>
        <w:t xml:space="preserve">technical expertise </w:t>
      </w:r>
      <w:r w:rsidRPr="00E77F83">
        <w:rPr>
          <w:i/>
        </w:rPr>
        <w:t>and supported government efforts to i</w:t>
      </w:r>
      <w:r w:rsidR="00362211">
        <w:rPr>
          <w:i/>
        </w:rPr>
        <w:t xml:space="preserve">mprove the investment climate.  </w:t>
      </w:r>
      <w:r w:rsidRPr="00E77F83">
        <w:rPr>
          <w:i/>
        </w:rPr>
        <w:t>Under the Go</w:t>
      </w:r>
      <w:r w:rsidR="00127C8B">
        <w:rPr>
          <w:i/>
        </w:rPr>
        <w:t xml:space="preserve">vernment Partnerships Fund (GPF, </w:t>
      </w:r>
      <w:r w:rsidR="00501A76">
        <w:rPr>
          <w:i/>
        </w:rPr>
        <w:t>AUD</w:t>
      </w:r>
      <w:r w:rsidR="00A408E4">
        <w:rPr>
          <w:i/>
        </w:rPr>
        <w:t>67 million</w:t>
      </w:r>
      <w:r w:rsidR="001F7A3E">
        <w:rPr>
          <w:i/>
        </w:rPr>
        <w:t xml:space="preserve">; </w:t>
      </w:r>
      <w:r w:rsidR="0062619C">
        <w:rPr>
          <w:i/>
        </w:rPr>
        <w:t>2011-2017)</w:t>
      </w:r>
      <w:r w:rsidRPr="00E77F83">
        <w:rPr>
          <w:i/>
        </w:rPr>
        <w:t>, 13 Australian agencies worked with Indonesian counterparts to improve economic</w:t>
      </w:r>
      <w:r w:rsidR="00362211">
        <w:rPr>
          <w:i/>
        </w:rPr>
        <w:t xml:space="preserve"> and public sector governance.  </w:t>
      </w:r>
      <w:r w:rsidRPr="00E77F83">
        <w:rPr>
          <w:i/>
        </w:rPr>
        <w:t>Our infrastructure investments, including the Indonesia I</w:t>
      </w:r>
      <w:r w:rsidR="00127C8B">
        <w:rPr>
          <w:i/>
        </w:rPr>
        <w:t>nfrastructure Initiative (</w:t>
      </w:r>
      <w:proofErr w:type="spellStart"/>
      <w:r w:rsidR="00127C8B">
        <w:rPr>
          <w:i/>
        </w:rPr>
        <w:t>IndII</w:t>
      </w:r>
      <w:proofErr w:type="spellEnd"/>
      <w:r w:rsidR="00685192">
        <w:rPr>
          <w:i/>
        </w:rPr>
        <w:t xml:space="preserve">, </w:t>
      </w:r>
      <w:r w:rsidR="00501A76">
        <w:rPr>
          <w:i/>
        </w:rPr>
        <w:t>AUD</w:t>
      </w:r>
      <w:r w:rsidR="00A408E4">
        <w:rPr>
          <w:i/>
        </w:rPr>
        <w:t>210 million</w:t>
      </w:r>
      <w:r w:rsidR="001F7A3E">
        <w:rPr>
          <w:i/>
        </w:rPr>
        <w:t xml:space="preserve">; </w:t>
      </w:r>
      <w:r w:rsidR="0062619C">
        <w:rPr>
          <w:i/>
        </w:rPr>
        <w:t>2008-2017)</w:t>
      </w:r>
      <w:r w:rsidRPr="00E77F83">
        <w:rPr>
          <w:i/>
        </w:rPr>
        <w:t>, worked with Indonesia to enhance infrastructure policy, planning, and delivery, and leveraged Indonesian Government, multilateral development bank and private sect</w:t>
      </w:r>
      <w:r w:rsidR="00CD4435">
        <w:rPr>
          <w:i/>
        </w:rPr>
        <w:t>or spen</w:t>
      </w:r>
      <w:r w:rsidR="00362211">
        <w:rPr>
          <w:i/>
        </w:rPr>
        <w:t xml:space="preserve">ding on infrastructure.  </w:t>
      </w:r>
      <w:r w:rsidRPr="00E77F83">
        <w:rPr>
          <w:i/>
        </w:rPr>
        <w:t>The Australia-Indonesia Partnership fo</w:t>
      </w:r>
      <w:r w:rsidR="00127C8B">
        <w:rPr>
          <w:i/>
        </w:rPr>
        <w:t xml:space="preserve">r Rural Development (AIP-Rural, </w:t>
      </w:r>
      <w:r w:rsidR="00501A76">
        <w:rPr>
          <w:i/>
        </w:rPr>
        <w:t>AUD112 million</w:t>
      </w:r>
      <w:r w:rsidR="006003F6">
        <w:rPr>
          <w:i/>
        </w:rPr>
        <w:t xml:space="preserve">; </w:t>
      </w:r>
      <w:r w:rsidR="006F1D76">
        <w:rPr>
          <w:i/>
        </w:rPr>
        <w:t>2013</w:t>
      </w:r>
      <w:r w:rsidR="0062619C">
        <w:rPr>
          <w:i/>
        </w:rPr>
        <w:t>-</w:t>
      </w:r>
      <w:r w:rsidR="006F1D76">
        <w:rPr>
          <w:i/>
        </w:rPr>
        <w:t>2018</w:t>
      </w:r>
      <w:r w:rsidR="0062619C">
        <w:rPr>
          <w:i/>
        </w:rPr>
        <w:t xml:space="preserve">) </w:t>
      </w:r>
      <w:r w:rsidRPr="00E77F83">
        <w:rPr>
          <w:i/>
        </w:rPr>
        <w:t>facilitated partnerships with the private sector and smallholder farmers to address market failures and impr</w:t>
      </w:r>
      <w:r w:rsidR="00CD4435">
        <w:rPr>
          <w:i/>
        </w:rPr>
        <w:t>ove agricultural productiv</w:t>
      </w:r>
      <w:r w:rsidR="00362211">
        <w:rPr>
          <w:i/>
        </w:rPr>
        <w:t xml:space="preserve">ity.  </w:t>
      </w:r>
      <w:r w:rsidRPr="00E77F83">
        <w:rPr>
          <w:i/>
        </w:rPr>
        <w:t>Th</w:t>
      </w:r>
      <w:r w:rsidR="00D840C5">
        <w:rPr>
          <w:i/>
        </w:rPr>
        <w:t xml:space="preserve">e Governance for Growth (KOMPAK, </w:t>
      </w:r>
      <w:r w:rsidR="00501A76">
        <w:rPr>
          <w:i/>
        </w:rPr>
        <w:t>AUD80 million</w:t>
      </w:r>
      <w:r w:rsidR="006003F6">
        <w:rPr>
          <w:i/>
        </w:rPr>
        <w:t xml:space="preserve">; </w:t>
      </w:r>
      <w:r w:rsidR="0062619C">
        <w:rPr>
          <w:i/>
        </w:rPr>
        <w:t>2015-2018)</w:t>
      </w:r>
      <w:r w:rsidRPr="00E77F83">
        <w:rPr>
          <w:i/>
        </w:rPr>
        <w:t xml:space="preserve"> facility helped Indonesia </w:t>
      </w:r>
      <w:r w:rsidR="00FE69D6">
        <w:rPr>
          <w:i/>
        </w:rPr>
        <w:t xml:space="preserve">begin to </w:t>
      </w:r>
      <w:r w:rsidRPr="00E77F83">
        <w:rPr>
          <w:i/>
        </w:rPr>
        <w:t>implement decentralisati</w:t>
      </w:r>
      <w:r w:rsidR="00365134">
        <w:rPr>
          <w:i/>
        </w:rPr>
        <w:t>on reforms, under which around AUD</w:t>
      </w:r>
      <w:r w:rsidRPr="00E77F83">
        <w:rPr>
          <w:i/>
        </w:rPr>
        <w:t>4.7 billion from Indonesia’s 2016 national budget will be directed to village governments for local development.</w:t>
      </w:r>
    </w:p>
    <w:p w:rsidR="00501A76" w:rsidRPr="000568ED" w:rsidRDefault="00824501" w:rsidP="00CA6E63">
      <w:pPr>
        <w:rPr>
          <w:i/>
        </w:rPr>
      </w:pPr>
      <w:r w:rsidRPr="00E77F83">
        <w:rPr>
          <w:i/>
        </w:rPr>
        <w:t>Outcome 1 is rated green based on achievements in promoting infrastructure sector refor</w:t>
      </w:r>
      <w:r w:rsidR="00501A76">
        <w:rPr>
          <w:i/>
        </w:rPr>
        <w:t xml:space="preserve">ms </w:t>
      </w:r>
      <w:r w:rsidR="00362211">
        <w:rPr>
          <w:i/>
        </w:rPr>
        <w:t xml:space="preserve">and leveraging investment.  </w:t>
      </w:r>
      <w:r w:rsidRPr="00E77F83">
        <w:rPr>
          <w:i/>
        </w:rPr>
        <w:t xml:space="preserve">Outcome 2 is also rated green reflecting the key role of Australian-funded advice in developing the economic reform packages released by President </w:t>
      </w:r>
      <w:proofErr w:type="spellStart"/>
      <w:r w:rsidRPr="00E77F83">
        <w:rPr>
          <w:i/>
        </w:rPr>
        <w:t>Jokowi</w:t>
      </w:r>
      <w:proofErr w:type="spellEnd"/>
      <w:r w:rsidRPr="00E77F83">
        <w:rPr>
          <w:i/>
        </w:rPr>
        <w:t>, as well as AIP-</w:t>
      </w:r>
      <w:proofErr w:type="spellStart"/>
      <w:r w:rsidRPr="00E77F83">
        <w:rPr>
          <w:i/>
        </w:rPr>
        <w:t>Rural’s</w:t>
      </w:r>
      <w:proofErr w:type="spellEnd"/>
      <w:r w:rsidRPr="00E77F83">
        <w:rPr>
          <w:i/>
        </w:rPr>
        <w:t xml:space="preserve"> progress</w:t>
      </w:r>
      <w:r w:rsidRPr="00E77F83">
        <w:rPr>
          <w:i/>
          <w:color w:val="1F497D"/>
        </w:rPr>
        <w:t xml:space="preserve"> </w:t>
      </w:r>
      <w:r w:rsidRPr="00E77F83">
        <w:rPr>
          <w:i/>
        </w:rPr>
        <w:t>in incre</w:t>
      </w:r>
      <w:r w:rsidR="00CD4435">
        <w:rPr>
          <w:i/>
        </w:rPr>
        <w:t xml:space="preserve">asing </w:t>
      </w:r>
      <w:r w:rsidR="00501A76">
        <w:rPr>
          <w:i/>
        </w:rPr>
        <w:t xml:space="preserve">the </w:t>
      </w:r>
      <w:r w:rsidR="00362211">
        <w:rPr>
          <w:i/>
        </w:rPr>
        <w:t xml:space="preserve">incomes of poor farmers.  </w:t>
      </w:r>
      <w:r w:rsidRPr="00B53097">
        <w:rPr>
          <w:i/>
        </w:rPr>
        <w:t xml:space="preserve">Outcome 3 is rated </w:t>
      </w:r>
      <w:r w:rsidR="00176EDA" w:rsidRPr="00B53097">
        <w:rPr>
          <w:i/>
        </w:rPr>
        <w:t xml:space="preserve">green </w:t>
      </w:r>
      <w:r w:rsidR="00092D63" w:rsidRPr="00B53097">
        <w:rPr>
          <w:i/>
        </w:rPr>
        <w:t>due to</w:t>
      </w:r>
      <w:r w:rsidR="00176EDA" w:rsidRPr="00B53097">
        <w:rPr>
          <w:i/>
        </w:rPr>
        <w:t xml:space="preserve"> some promising early</w:t>
      </w:r>
      <w:r w:rsidR="000568ED" w:rsidRPr="00B53097">
        <w:rPr>
          <w:i/>
        </w:rPr>
        <w:t xml:space="preserve"> results at the national level in improving revenue and budget management</w:t>
      </w:r>
      <w:r w:rsidR="00092D63" w:rsidRPr="00B53097">
        <w:rPr>
          <w:i/>
        </w:rPr>
        <w:t xml:space="preserve">, although we recognise this will be a longer-term </w:t>
      </w:r>
      <w:r w:rsidR="00EF1ADA">
        <w:rPr>
          <w:i/>
        </w:rPr>
        <w:t>process</w:t>
      </w:r>
      <w:r w:rsidR="000568ED" w:rsidRPr="00B53097">
        <w:rPr>
          <w:i/>
        </w:rPr>
        <w:t>.</w:t>
      </w:r>
      <w:r w:rsidR="000568ED">
        <w:rPr>
          <w:i/>
        </w:rPr>
        <w:t xml:space="preserve"> </w:t>
      </w:r>
    </w:p>
    <w:p w:rsidR="00CA6E63" w:rsidRDefault="00CA6E63" w:rsidP="00CA6E63">
      <w:pPr>
        <w:rPr>
          <w:b/>
        </w:rPr>
      </w:pPr>
      <w:r w:rsidRPr="00E77F83">
        <w:rPr>
          <w:b/>
        </w:rPr>
        <w:t xml:space="preserve">Outcome 1: </w:t>
      </w:r>
      <w:r w:rsidR="001C4416" w:rsidRPr="00E77F83">
        <w:rPr>
          <w:b/>
        </w:rPr>
        <w:t xml:space="preserve"> Improvements in infrastructure and the economic environment</w:t>
      </w:r>
      <w:r w:rsidR="001C4416">
        <w:rPr>
          <w:b/>
        </w:rPr>
        <w:t xml:space="preserve"> </w:t>
      </w:r>
    </w:p>
    <w:p w:rsidR="007F454D" w:rsidRPr="00507620" w:rsidRDefault="007F454D" w:rsidP="007F454D">
      <w:pPr>
        <w:rPr>
          <w:b/>
          <w:i/>
        </w:rPr>
      </w:pPr>
      <w:r w:rsidRPr="00507620">
        <w:rPr>
          <w:b/>
          <w:i/>
        </w:rPr>
        <w:t xml:space="preserve">Infrastructure </w:t>
      </w:r>
    </w:p>
    <w:p w:rsidR="009A5783" w:rsidRDefault="00971B1A" w:rsidP="007F454D">
      <w:r>
        <w:t>Economic g</w:t>
      </w:r>
      <w:r w:rsidR="007F454D" w:rsidRPr="00D4602F">
        <w:t>rowth in Indo</w:t>
      </w:r>
      <w:r w:rsidR="006C3CC1">
        <w:t xml:space="preserve">nesia </w:t>
      </w:r>
      <w:r>
        <w:t xml:space="preserve">depends in part </w:t>
      </w:r>
      <w:r w:rsidR="006C3CC1">
        <w:t>on increasing</w:t>
      </w:r>
      <w:r w:rsidR="007F454D" w:rsidRPr="00D4602F">
        <w:t xml:space="preserve"> government spending and encouraging private investment in </w:t>
      </w:r>
      <w:r w:rsidR="00BD1F56">
        <w:t xml:space="preserve">high quality </w:t>
      </w:r>
      <w:r w:rsidR="007F454D" w:rsidRPr="00D4602F">
        <w:t>infrastr</w:t>
      </w:r>
      <w:r w:rsidR="007F454D">
        <w:t>ucture</w:t>
      </w:r>
      <w:r w:rsidR="00362211">
        <w:t xml:space="preserve">.  </w:t>
      </w:r>
      <w:r w:rsidR="008949F3">
        <w:t>The G</w:t>
      </w:r>
      <w:r w:rsidR="009A5783">
        <w:t>overnment of Indonesia accords a high priority to infra</w:t>
      </w:r>
      <w:r w:rsidR="00720FDA">
        <w:t>structure and the scale of its</w:t>
      </w:r>
      <w:r w:rsidR="009A5783">
        <w:t xml:space="preserve"> planned investments over </w:t>
      </w:r>
      <w:r w:rsidR="00EF1ADA">
        <w:t xml:space="preserve">the </w:t>
      </w:r>
      <w:r w:rsidR="009A5783">
        <w:t>next few years</w:t>
      </w:r>
      <w:r w:rsidR="00720FDA">
        <w:t xml:space="preserve"> is significant</w:t>
      </w:r>
      <w:r w:rsidR="00362211">
        <w:t xml:space="preserve">.  </w:t>
      </w:r>
      <w:r w:rsidR="00720FDA">
        <w:t xml:space="preserve">Australian </w:t>
      </w:r>
      <w:r w:rsidR="009A5783">
        <w:t>assistance has increasingly focus</w:t>
      </w:r>
      <w:r w:rsidR="00805B4B">
        <w:t>s</w:t>
      </w:r>
      <w:r w:rsidR="009A5783">
        <w:t>ed on project preparation and leveraging financing from a range of source</w:t>
      </w:r>
      <w:r w:rsidR="003A6EA2">
        <w:t>s</w:t>
      </w:r>
      <w:r w:rsidR="009A5783">
        <w:t xml:space="preserve"> as well as improving the quality of infrastructure through demonstrating good practice.  </w:t>
      </w:r>
    </w:p>
    <w:p w:rsidR="00F21621" w:rsidRDefault="006C3CC1" w:rsidP="007F454D">
      <w:r>
        <w:lastRenderedPageBreak/>
        <w:t>T</w:t>
      </w:r>
      <w:r w:rsidR="00E24309" w:rsidRPr="00D4602F">
        <w:t xml:space="preserve">hrough the </w:t>
      </w:r>
      <w:r w:rsidR="00E24309" w:rsidRPr="00064FF7">
        <w:rPr>
          <w:b/>
        </w:rPr>
        <w:t>Indon</w:t>
      </w:r>
      <w:r w:rsidR="003B2B55">
        <w:rPr>
          <w:b/>
        </w:rPr>
        <w:t>esia Infrastructure Initiative</w:t>
      </w:r>
      <w:r w:rsidR="00E24309" w:rsidRPr="00064FF7">
        <w:rPr>
          <w:b/>
        </w:rPr>
        <w:t xml:space="preserve"> (</w:t>
      </w:r>
      <w:proofErr w:type="spellStart"/>
      <w:r w:rsidR="00E24309" w:rsidRPr="00064FF7">
        <w:rPr>
          <w:b/>
        </w:rPr>
        <w:t>IndII</w:t>
      </w:r>
      <w:proofErr w:type="spellEnd"/>
      <w:r w:rsidR="00E24309" w:rsidRPr="00064FF7">
        <w:rPr>
          <w:b/>
        </w:rPr>
        <w:t>)</w:t>
      </w:r>
      <w:r w:rsidR="00E24309" w:rsidRPr="00D4602F">
        <w:t xml:space="preserve">, Australia continued to support Indonesia to address </w:t>
      </w:r>
      <w:r w:rsidR="00C7759C">
        <w:t xml:space="preserve">infrastructure </w:t>
      </w:r>
      <w:r w:rsidR="00E24309" w:rsidRPr="00D4602F">
        <w:t>constraints</w:t>
      </w:r>
      <w:r w:rsidR="00C7759C">
        <w:t xml:space="preserve">. </w:t>
      </w:r>
    </w:p>
    <w:p w:rsidR="00E24309" w:rsidRDefault="00D64950" w:rsidP="007F454D">
      <w:r>
        <w:rPr>
          <w:noProof/>
          <w:lang w:val="en-AU" w:eastAsia="en-AU"/>
        </w:rPr>
        <mc:AlternateContent>
          <mc:Choice Requires="wps">
            <w:drawing>
              <wp:anchor distT="0" distB="0" distL="114300" distR="114300" simplePos="0" relativeHeight="251657216" behindDoc="1" locked="0" layoutInCell="1" allowOverlap="1">
                <wp:simplePos x="0" y="0"/>
                <wp:positionH relativeFrom="column">
                  <wp:posOffset>3886200</wp:posOffset>
                </wp:positionH>
                <wp:positionV relativeFrom="paragraph">
                  <wp:posOffset>118110</wp:posOffset>
                </wp:positionV>
                <wp:extent cx="2472690" cy="4045585"/>
                <wp:effectExtent l="0" t="0" r="3810" b="0"/>
                <wp:wrapTight wrapText="bothSides">
                  <wp:wrapPolygon edited="0">
                    <wp:start x="0" y="0"/>
                    <wp:lineTo x="0" y="21563"/>
                    <wp:lineTo x="21633" y="21563"/>
                    <wp:lineTo x="21633"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045585"/>
                        </a:xfrm>
                        <a:prstGeom prst="rect">
                          <a:avLst/>
                        </a:prstGeom>
                        <a:solidFill>
                          <a:sysClr val="window" lastClr="FFFFFF"/>
                        </a:solidFill>
                        <a:ln w="25400" cap="flat" cmpd="sng" algn="ctr">
                          <a:solidFill>
                            <a:srgbClr val="65C5B4"/>
                          </a:solidFill>
                          <a:prstDash val="solid"/>
                          <a:headEnd/>
                          <a:tailEnd/>
                        </a:ln>
                        <a:effectLst/>
                      </wps:spPr>
                      <wps:txbx>
                        <w:txbxContent>
                          <w:p w:rsidR="00547E6C" w:rsidRPr="00D4602F" w:rsidRDefault="00547E6C" w:rsidP="007F454D">
                            <w:pPr>
                              <w:rPr>
                                <w:b/>
                              </w:rPr>
                            </w:pPr>
                            <w:r w:rsidRPr="00D4602F">
                              <w:rPr>
                                <w:b/>
                              </w:rPr>
                              <w:t xml:space="preserve">Eastern Indonesia National Roads Improvement Program </w:t>
                            </w:r>
                          </w:p>
                          <w:p w:rsidR="00547E6C" w:rsidRPr="00D4602F" w:rsidRDefault="00547E6C" w:rsidP="007F454D">
                            <w:r w:rsidRPr="00D4602F">
                              <w:t>The completion of the Eastern Indonesia National Roads Improvement Program (EINRIP) coincided with the shif</w:t>
                            </w:r>
                            <w:r>
                              <w:t>t in direction of our aid program</w:t>
                            </w:r>
                            <w:r w:rsidRPr="00D4602F">
                              <w:t xml:space="preserve">. The final three road packages were completed in 2015-16, bringing Australia’s overall support through this </w:t>
                            </w:r>
                            <w:r>
                              <w:t>globally recognised program to AUD</w:t>
                            </w:r>
                            <w:r w:rsidRPr="00D4602F">
                              <w:t xml:space="preserve">326 million.  The program delivered around 395 kilometres of roads and 1,300 metres of steel-fabricated bridges across </w:t>
                            </w:r>
                            <w:r>
                              <w:t>nine provinces in e</w:t>
                            </w:r>
                            <w:r w:rsidRPr="00D4602F">
                              <w:t xml:space="preserve">astern Indonesia and achieved national reforms in the areas of road design, construction supervision and project management. Indonesia is drawing on lessons learned through EINRIP and </w:t>
                            </w:r>
                            <w:r w:rsidR="00CA6DB5">
                              <w:t xml:space="preserve">the </w:t>
                            </w:r>
                            <w:r w:rsidR="00CE7FB5">
                              <w:t xml:space="preserve">PRIM </w:t>
                            </w:r>
                            <w:r w:rsidRPr="00D4602F">
                              <w:t>project in developing its own new nation</w:t>
                            </w:r>
                            <w:r>
                              <w:t xml:space="preserve">al roads program, scheduled to start </w:t>
                            </w:r>
                            <w:r w:rsidRPr="00D4602F">
                              <w:t xml:space="preserve">in 2017.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9.3pt;width:194.7pt;height:3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" fillcolor="window" strokecolor="#65c5b4" strokeweight="2pt">
                <v:textbox>
                  <w:txbxContent>
                    <w:p w:rsidR="00547E6C" w:rsidRPr="00D4602F" w:rsidRDefault="00547E6C" w:rsidP="007F454D">
                      <w:pPr>
                        <w:rPr>
                          <w:b/>
                        </w:rPr>
                      </w:pPr>
                      <w:r w:rsidRPr="00D4602F">
                        <w:rPr>
                          <w:b/>
                        </w:rPr>
                        <w:t xml:space="preserve">Eastern Indonesia National Roads Improvement Program </w:t>
                      </w:r>
                    </w:p>
                    <w:p w:rsidR="00547E6C" w:rsidRPr="00D4602F" w:rsidRDefault="00547E6C" w:rsidP="007F454D">
                      <w:r w:rsidRPr="00D4602F">
                        <w:t>The completion of the Eastern Indonesia National Roads Improvement Program (EINRIP) coincided with the shif</w:t>
                      </w:r>
                      <w:r>
                        <w:t>t in direction of our aid program</w:t>
                      </w:r>
                      <w:r w:rsidRPr="00D4602F">
                        <w:t xml:space="preserve">. The final three road packages were completed in 2015-16, bringing Australia’s overall support through this </w:t>
                      </w:r>
                      <w:r>
                        <w:t>globally recognised program to AUD</w:t>
                      </w:r>
                      <w:r w:rsidRPr="00D4602F">
                        <w:t xml:space="preserve">326 million.  The program delivered around 395 kilometres of roads and 1,300 metres of steel-fabricated bridges across </w:t>
                      </w:r>
                      <w:r>
                        <w:t>nine provinces in e</w:t>
                      </w:r>
                      <w:r w:rsidRPr="00D4602F">
                        <w:t xml:space="preserve">astern Indonesia and achieved national reforms in the areas of road design, construction supervision and project management. Indonesia is drawing on lessons learned through EINRIP and </w:t>
                      </w:r>
                      <w:r w:rsidR="00CA6DB5">
                        <w:t xml:space="preserve">the </w:t>
                      </w:r>
                      <w:r w:rsidR="00CE7FB5">
                        <w:t xml:space="preserve">PRIM </w:t>
                      </w:r>
                      <w:r w:rsidRPr="00D4602F">
                        <w:t>project in developing its own new nation</w:t>
                      </w:r>
                      <w:r>
                        <w:t xml:space="preserve">al roads program, scheduled to start </w:t>
                      </w:r>
                      <w:r w:rsidRPr="00D4602F">
                        <w:t xml:space="preserve">in 2017. </w:t>
                      </w:r>
                    </w:p>
                  </w:txbxContent>
                </v:textbox>
                <w10:wrap type="tight"/>
              </v:shape>
            </w:pict>
          </mc:Fallback>
        </mc:AlternateContent>
      </w:r>
      <w:proofErr w:type="spellStart"/>
      <w:r w:rsidR="00C7759C">
        <w:t>IndII</w:t>
      </w:r>
      <w:proofErr w:type="spellEnd"/>
      <w:r w:rsidR="00007A31">
        <w:t xml:space="preserve"> </w:t>
      </w:r>
      <w:r w:rsidR="00971B1A">
        <w:t>assisted</w:t>
      </w:r>
      <w:r w:rsidR="005F3BBA">
        <w:t xml:space="preserve"> </w:t>
      </w:r>
      <w:r w:rsidR="008949F3">
        <w:t>the Indonesian G</w:t>
      </w:r>
      <w:r w:rsidR="00C7759C">
        <w:t xml:space="preserve">overnment </w:t>
      </w:r>
      <w:r w:rsidR="00971B1A">
        <w:t xml:space="preserve">to </w:t>
      </w:r>
      <w:r w:rsidR="00007A31">
        <w:t>introduc</w:t>
      </w:r>
      <w:r w:rsidR="00971B1A">
        <w:t>e</w:t>
      </w:r>
      <w:r w:rsidR="003C19D0">
        <w:t xml:space="preserve"> major changes to its public private p</w:t>
      </w:r>
      <w:r w:rsidR="009201AB">
        <w:t xml:space="preserve">artnership </w:t>
      </w:r>
      <w:r w:rsidR="00CD4435">
        <w:t>policy</w:t>
      </w:r>
      <w:r w:rsidR="005F3BBA">
        <w:t xml:space="preserve"> in 2015</w:t>
      </w:r>
      <w:r w:rsidR="00362211">
        <w:t xml:space="preserve">.  </w:t>
      </w:r>
      <w:r w:rsidR="00C7759C">
        <w:t>The reform</w:t>
      </w:r>
      <w:r w:rsidR="005F3BBA">
        <w:t>s</w:t>
      </w:r>
      <w:r w:rsidR="00C7759C">
        <w:t xml:space="preserve"> </w:t>
      </w:r>
      <w:r w:rsidR="00007A31">
        <w:t xml:space="preserve">will </w:t>
      </w:r>
      <w:r w:rsidR="00E24309" w:rsidRPr="00D4602F">
        <w:t>allow</w:t>
      </w:r>
      <w:r w:rsidR="00007A31">
        <w:t xml:space="preserve"> </w:t>
      </w:r>
      <w:r w:rsidR="00E24309" w:rsidRPr="00D4602F">
        <w:t xml:space="preserve">the use </w:t>
      </w:r>
      <w:r w:rsidR="003C19D0">
        <w:t>of availability payment s</w:t>
      </w:r>
      <w:r w:rsidR="00C7759C">
        <w:t>chemes to</w:t>
      </w:r>
      <w:r w:rsidR="00E24309" w:rsidRPr="00D4602F">
        <w:t xml:space="preserve"> </w:t>
      </w:r>
      <w:r w:rsidR="00E24309">
        <w:t>improve the financial viability of</w:t>
      </w:r>
      <w:r w:rsidR="00E24309" w:rsidRPr="00D4602F">
        <w:t xml:space="preserve"> priority projects not otherwise </w:t>
      </w:r>
      <w:r w:rsidR="00C7759C">
        <w:t>funded</w:t>
      </w:r>
      <w:r w:rsidR="00E24309" w:rsidRPr="00D4602F">
        <w:t xml:space="preserve"> through conventional procurement arrangements, helping to attract greater levels of </w:t>
      </w:r>
      <w:r w:rsidR="00296B74">
        <w:t>private financing</w:t>
      </w:r>
      <w:r w:rsidR="00E24309" w:rsidRPr="00D4602F">
        <w:t>.</w:t>
      </w:r>
      <w:r w:rsidR="00E24309">
        <w:t xml:space="preserve">     </w:t>
      </w:r>
    </w:p>
    <w:p w:rsidR="00A5678D" w:rsidRDefault="00296B74" w:rsidP="00501A76">
      <w:r>
        <w:t>In</w:t>
      </w:r>
      <w:r w:rsidR="007F454D" w:rsidRPr="00D4602F">
        <w:t xml:space="preserve"> urban transport</w:t>
      </w:r>
      <w:r>
        <w:t xml:space="preserve">, </w:t>
      </w:r>
      <w:proofErr w:type="spellStart"/>
      <w:r w:rsidR="007F5B26" w:rsidRPr="00EA6E7E">
        <w:t>IndII</w:t>
      </w:r>
      <w:proofErr w:type="spellEnd"/>
      <w:r w:rsidR="007F5B26">
        <w:t xml:space="preserve"> </w:t>
      </w:r>
      <w:r w:rsidR="0047351F">
        <w:t>helped to</w:t>
      </w:r>
      <w:r w:rsidR="004A41F1">
        <w:t xml:space="preserve"> </w:t>
      </w:r>
      <w:r w:rsidR="007F5B26" w:rsidRPr="00D4602F">
        <w:t xml:space="preserve">demonstrate that </w:t>
      </w:r>
      <w:r w:rsidR="00007A31">
        <w:t xml:space="preserve">Jakarta </w:t>
      </w:r>
      <w:r w:rsidR="007F5B26" w:rsidRPr="00D4602F">
        <w:t>bus routes can be punctual, profitable, comfortable an</w:t>
      </w:r>
      <w:r w:rsidR="00CD4435">
        <w:t>d safe, including for women.</w:t>
      </w:r>
      <w:r w:rsidR="00362211">
        <w:t xml:space="preserve">  </w:t>
      </w:r>
      <w:r w:rsidR="009A2AC4">
        <w:t xml:space="preserve">Local </w:t>
      </w:r>
      <w:r w:rsidR="00EF1ADA">
        <w:t>government</w:t>
      </w:r>
      <w:r w:rsidR="009A2AC4">
        <w:t xml:space="preserve"> will </w:t>
      </w:r>
      <w:r w:rsidR="005A6D0D">
        <w:t xml:space="preserve">now </w:t>
      </w:r>
      <w:r w:rsidR="009A2AC4">
        <w:t xml:space="preserve">expand on this successful pilot. </w:t>
      </w:r>
      <w:proofErr w:type="spellStart"/>
      <w:r w:rsidR="00A5678D">
        <w:t>IndII</w:t>
      </w:r>
      <w:proofErr w:type="spellEnd"/>
      <w:r w:rsidR="00A5678D">
        <w:t xml:space="preserve"> oversaw the construction of </w:t>
      </w:r>
      <w:r w:rsidR="007641B0">
        <w:t>a new control centre to better manage</w:t>
      </w:r>
      <w:r w:rsidR="003B2B55">
        <w:t xml:space="preserve"> </w:t>
      </w:r>
      <w:r w:rsidR="00362211">
        <w:t xml:space="preserve">the bus system.  </w:t>
      </w:r>
      <w:proofErr w:type="spellStart"/>
      <w:r w:rsidR="007F5B26">
        <w:t>IndII</w:t>
      </w:r>
      <w:proofErr w:type="spellEnd"/>
      <w:r w:rsidR="007F5B26">
        <w:t xml:space="preserve"> </w:t>
      </w:r>
      <w:r w:rsidR="00A5678D">
        <w:t xml:space="preserve">also </w:t>
      </w:r>
      <w:r w:rsidR="007F5B26">
        <w:t>supported the roll</w:t>
      </w:r>
      <w:r w:rsidR="00B40AE4">
        <w:t xml:space="preserve">out of a </w:t>
      </w:r>
      <w:r w:rsidR="007F5B26" w:rsidRPr="00D4602F">
        <w:t xml:space="preserve">fleet of 50 new buses </w:t>
      </w:r>
      <w:r w:rsidR="003B2B55">
        <w:t>that</w:t>
      </w:r>
      <w:r w:rsidR="002B23D2">
        <w:t xml:space="preserve"> are disability-accessible</w:t>
      </w:r>
      <w:r w:rsidR="00CD4435">
        <w:t xml:space="preserve">.  </w:t>
      </w:r>
    </w:p>
    <w:p w:rsidR="00A5678D" w:rsidRDefault="00A5678D" w:rsidP="00501A76">
      <w:r>
        <w:t xml:space="preserve">The </w:t>
      </w:r>
      <w:r w:rsidRPr="00A5678D">
        <w:rPr>
          <w:b/>
        </w:rPr>
        <w:t xml:space="preserve">Provincial </w:t>
      </w:r>
      <w:r w:rsidR="00BA1AA7">
        <w:rPr>
          <w:b/>
        </w:rPr>
        <w:t xml:space="preserve">Roads </w:t>
      </w:r>
      <w:r w:rsidRPr="00A5678D">
        <w:rPr>
          <w:b/>
        </w:rPr>
        <w:t>Improvement and Maintenance (PRIM)</w:t>
      </w:r>
      <w:r w:rsidR="00B80475">
        <w:t xml:space="preserve"> program</w:t>
      </w:r>
      <w:r>
        <w:t xml:space="preserve">, which has delivered over </w:t>
      </w:r>
      <w:r w:rsidRPr="007B3B92">
        <w:t>2</w:t>
      </w:r>
      <w:r w:rsidR="007B3B92" w:rsidRPr="007B3B92">
        <w:t>,</w:t>
      </w:r>
      <w:r w:rsidR="00B80475">
        <w:t xml:space="preserve">400 km of roads, </w:t>
      </w:r>
      <w:r>
        <w:t>address</w:t>
      </w:r>
      <w:r w:rsidR="00CD00C6">
        <w:t>ed</w:t>
      </w:r>
      <w:r>
        <w:t xml:space="preserve"> barri</w:t>
      </w:r>
      <w:r w:rsidR="00BA1AA7">
        <w:t xml:space="preserve">ers to </w:t>
      </w:r>
      <w:r w:rsidR="00EF1ADA">
        <w:t xml:space="preserve">people with </w:t>
      </w:r>
      <w:r w:rsidR="00BA1AA7">
        <w:t>disabilit</w:t>
      </w:r>
      <w:r w:rsidR="00EF1ADA">
        <w:t>ies</w:t>
      </w:r>
      <w:r w:rsidR="00BA1AA7">
        <w:t xml:space="preserve"> by providing</w:t>
      </w:r>
      <w:r>
        <w:t xml:space="preserve"> colo</w:t>
      </w:r>
      <w:r w:rsidR="003D3C78">
        <w:t>u</w:t>
      </w:r>
      <w:r w:rsidR="006A6968">
        <w:t xml:space="preserve">r-dropped </w:t>
      </w:r>
      <w:r>
        <w:t>curb locations for wheelchair</w:t>
      </w:r>
      <w:r w:rsidR="00BA1AA7">
        <w:t>s,</w:t>
      </w:r>
      <w:r>
        <w:t xml:space="preserve"> and low vision access on sidewalks.</w:t>
      </w:r>
    </w:p>
    <w:p w:rsidR="00602F6C" w:rsidRPr="00EA7F3B" w:rsidRDefault="00C3758D" w:rsidP="00602F6C">
      <w:r w:rsidRPr="00EA7F3B">
        <w:t>Partnering</w:t>
      </w:r>
      <w:r w:rsidR="00135BE9" w:rsidRPr="00EA7F3B">
        <w:t xml:space="preserve"> with </w:t>
      </w:r>
      <w:r w:rsidRPr="00EA7F3B">
        <w:t xml:space="preserve">the </w:t>
      </w:r>
      <w:r w:rsidR="00135BE9" w:rsidRPr="00EA7F3B">
        <w:t>m</w:t>
      </w:r>
      <w:r w:rsidR="00602F6C" w:rsidRPr="00EA7F3B">
        <w:t xml:space="preserve">ultilateral </w:t>
      </w:r>
      <w:r w:rsidR="00135BE9" w:rsidRPr="00EA7F3B">
        <w:t>d</w:t>
      </w:r>
      <w:r w:rsidR="00602F6C" w:rsidRPr="00EA7F3B">
        <w:t xml:space="preserve">evelopment </w:t>
      </w:r>
      <w:r w:rsidR="00135BE9" w:rsidRPr="00EA7F3B">
        <w:t>b</w:t>
      </w:r>
      <w:r w:rsidR="00602F6C" w:rsidRPr="00EA7F3B">
        <w:t xml:space="preserve">anks </w:t>
      </w:r>
      <w:r w:rsidRPr="00EA7F3B">
        <w:t xml:space="preserve">allows Australia to leverage our </w:t>
      </w:r>
      <w:r w:rsidR="007B187F">
        <w:t xml:space="preserve">comparatively </w:t>
      </w:r>
      <w:r w:rsidRPr="00EA7F3B">
        <w:t>modest investments throu</w:t>
      </w:r>
      <w:r w:rsidR="00EA7F3B" w:rsidRPr="00EA7F3B">
        <w:t>g</w:t>
      </w:r>
      <w:r w:rsidR="00362211">
        <w:t xml:space="preserve">h the banks’ lending portfolio.  </w:t>
      </w:r>
      <w:r w:rsidR="00EA7F3B" w:rsidRPr="00EA7F3B">
        <w:t>The World Bank and the Asian Development Bank</w:t>
      </w:r>
      <w:r w:rsidR="00CF2AC2" w:rsidRPr="00CF2AC2">
        <w:t xml:space="preserve"> </w:t>
      </w:r>
      <w:r w:rsidR="00CF2AC2">
        <w:t xml:space="preserve">provide </w:t>
      </w:r>
      <w:r w:rsidR="00B80475">
        <w:t xml:space="preserve">analytical capability </w:t>
      </w:r>
      <w:r w:rsidR="00CF2AC2">
        <w:t xml:space="preserve">and the opportunity to work in close partnership with Indonesia on major economic, infrastructure and human development reforms.  </w:t>
      </w:r>
    </w:p>
    <w:p w:rsidR="003B4271" w:rsidRDefault="00602F6C" w:rsidP="007F454D">
      <w:r>
        <w:t xml:space="preserve">Indonesia’s sustained </w:t>
      </w:r>
      <w:r w:rsidRPr="00D4602F">
        <w:t>economic grow</w:t>
      </w:r>
      <w:r>
        <w:t xml:space="preserve">th has resulted in a </w:t>
      </w:r>
      <w:r w:rsidRPr="00D4602F">
        <w:t>rapid increase in demand for</w:t>
      </w:r>
      <w:r w:rsidR="00362211">
        <w:t xml:space="preserve"> electricity.  </w:t>
      </w:r>
      <w:r w:rsidR="003B2A37">
        <w:t>T</w:t>
      </w:r>
      <w:r w:rsidRPr="00D4602F">
        <w:t xml:space="preserve">ariffs </w:t>
      </w:r>
      <w:r w:rsidR="003B2A37">
        <w:t>have not been</w:t>
      </w:r>
      <w:r w:rsidRPr="00D4602F">
        <w:t xml:space="preserve"> sufficient to cover costs and mobilise the financing needed for new investment</w:t>
      </w:r>
      <w:r>
        <w:t>s</w:t>
      </w:r>
      <w:r w:rsidR="00362211">
        <w:t xml:space="preserve">.  </w:t>
      </w:r>
      <w:r w:rsidR="00A57CBD" w:rsidRPr="009D184E">
        <w:t xml:space="preserve">Through </w:t>
      </w:r>
      <w:r w:rsidR="000E53E9" w:rsidRPr="009D184E">
        <w:t xml:space="preserve">the World Bank’s </w:t>
      </w:r>
      <w:r w:rsidR="000E53E9" w:rsidRPr="009D184E">
        <w:rPr>
          <w:b/>
        </w:rPr>
        <w:t>Indonesia Infrastructure Support Trust Fund</w:t>
      </w:r>
      <w:r w:rsidR="00A57CBD" w:rsidRPr="009D184E">
        <w:t>,</w:t>
      </w:r>
      <w:r w:rsidR="00A57CBD">
        <w:t xml:space="preserve"> Australia </w:t>
      </w:r>
      <w:r w:rsidR="00F7771E">
        <w:t xml:space="preserve">helped Indonesia </w:t>
      </w:r>
      <w:r w:rsidRPr="00D4602F">
        <w:t>target electricity subsidies to poor and vulnerable groups</w:t>
      </w:r>
      <w:r w:rsidR="00F7771E">
        <w:t>,</w:t>
      </w:r>
      <w:r w:rsidRPr="00D4602F">
        <w:t xml:space="preserve"> and </w:t>
      </w:r>
      <w:r w:rsidR="00414719">
        <w:t>provide incentives for</w:t>
      </w:r>
      <w:r w:rsidR="00414719" w:rsidRPr="00D4602F">
        <w:t xml:space="preserve"> </w:t>
      </w:r>
      <w:r w:rsidR="003B2B55">
        <w:t>the s</w:t>
      </w:r>
      <w:r>
        <w:t xml:space="preserve">tate-owned energy company, </w:t>
      </w:r>
      <w:r w:rsidRPr="00D4602F">
        <w:t>PLN</w:t>
      </w:r>
      <w:r>
        <w:t>,</w:t>
      </w:r>
      <w:r w:rsidR="00C65CAD">
        <w:t xml:space="preserve"> to improve services</w:t>
      </w:r>
      <w:r w:rsidRPr="00D4602F">
        <w:t>.</w:t>
      </w:r>
      <w:r w:rsidR="00362211">
        <w:t xml:space="preserve">  </w:t>
      </w:r>
      <w:r>
        <w:t>The</w:t>
      </w:r>
      <w:r w:rsidR="00F7771E">
        <w:t>se</w:t>
      </w:r>
      <w:r>
        <w:t xml:space="preserve"> reforms wil</w:t>
      </w:r>
      <w:r w:rsidR="006A2F83">
        <w:t xml:space="preserve">l </w:t>
      </w:r>
      <w:r w:rsidRPr="00B80014">
        <w:t>reduce subsidies</w:t>
      </w:r>
      <w:r>
        <w:t xml:space="preserve"> and </w:t>
      </w:r>
      <w:r w:rsidR="00F7771E">
        <w:t xml:space="preserve">enable </w:t>
      </w:r>
      <w:r>
        <w:t xml:space="preserve">PLN to </w:t>
      </w:r>
      <w:r w:rsidR="00F7771E">
        <w:t>meet the challenge of growing electricity demand</w:t>
      </w:r>
      <w:r>
        <w:t>.</w:t>
      </w:r>
    </w:p>
    <w:p w:rsidR="0072756F" w:rsidRPr="00507620" w:rsidRDefault="0072756F" w:rsidP="0072756F">
      <w:pPr>
        <w:rPr>
          <w:b/>
          <w:i/>
        </w:rPr>
      </w:pPr>
      <w:r>
        <w:rPr>
          <w:b/>
          <w:i/>
        </w:rPr>
        <w:t xml:space="preserve">Law and justice </w:t>
      </w:r>
    </w:p>
    <w:p w:rsidR="0072756F" w:rsidRPr="00507620" w:rsidRDefault="0072756F" w:rsidP="0072756F">
      <w:pPr>
        <w:rPr>
          <w:lang w:val="en-US"/>
        </w:rPr>
      </w:pPr>
      <w:r w:rsidRPr="00507620">
        <w:rPr>
          <w:lang w:val="en-US"/>
        </w:rPr>
        <w:t xml:space="preserve">The high cost of going to court for civil matters </w:t>
      </w:r>
      <w:r>
        <w:rPr>
          <w:lang w:val="en-US"/>
        </w:rPr>
        <w:t>complicate</w:t>
      </w:r>
      <w:r w:rsidR="00362211">
        <w:rPr>
          <w:lang w:val="en-US"/>
        </w:rPr>
        <w:t xml:space="preserve">s doing business in Indonesia.  </w:t>
      </w:r>
      <w:r w:rsidRPr="00507620">
        <w:rPr>
          <w:lang w:val="en-US"/>
        </w:rPr>
        <w:t>In 2015, the World Bank’s annual Ease of Doing Business survey found that the cost ratio for legal disputes in</w:t>
      </w:r>
      <w:r>
        <w:rPr>
          <w:lang w:val="en-US"/>
        </w:rPr>
        <w:t xml:space="preserve"> Indonesia was over 110 per cent</w:t>
      </w:r>
      <w:r w:rsidRPr="00507620">
        <w:rPr>
          <w:lang w:val="en-US"/>
        </w:rPr>
        <w:t xml:space="preserve"> </w:t>
      </w:r>
      <w:r w:rsidR="0032282E">
        <w:rPr>
          <w:lang w:val="en-US"/>
        </w:rPr>
        <w:t xml:space="preserve">of disputed amounts, </w:t>
      </w:r>
      <w:r w:rsidRPr="00507620">
        <w:rPr>
          <w:lang w:val="en-US"/>
        </w:rPr>
        <w:t>wit</w:t>
      </w:r>
      <w:r>
        <w:rPr>
          <w:lang w:val="en-US"/>
        </w:rPr>
        <w:t>h the largest cost being lawyer</w:t>
      </w:r>
      <w:r w:rsidRPr="00507620">
        <w:rPr>
          <w:lang w:val="en-US"/>
        </w:rPr>
        <w:t>s</w:t>
      </w:r>
      <w:r>
        <w:rPr>
          <w:lang w:val="en-US"/>
        </w:rPr>
        <w:t>’</w:t>
      </w:r>
      <w:r w:rsidRPr="00507620">
        <w:rPr>
          <w:lang w:val="en-US"/>
        </w:rPr>
        <w:t xml:space="preserve"> fees. </w:t>
      </w:r>
    </w:p>
    <w:p w:rsidR="0072756F" w:rsidRPr="001E7155" w:rsidRDefault="004B2FAA" w:rsidP="007B3B92">
      <w:pPr>
        <w:widowControl w:val="0"/>
        <w:autoSpaceDE w:val="0"/>
        <w:autoSpaceDN w:val="0"/>
        <w:adjustRightInd w:val="0"/>
        <w:spacing w:after="0"/>
      </w:pPr>
      <w:r>
        <w:t>T</w:t>
      </w:r>
      <w:r w:rsidR="0072756F" w:rsidRPr="00507620">
        <w:t xml:space="preserve">he </w:t>
      </w:r>
      <w:r w:rsidR="0072756F" w:rsidRPr="00507620">
        <w:rPr>
          <w:b/>
        </w:rPr>
        <w:t>Australia Indonesia Partnership for Justice</w:t>
      </w:r>
      <w:r>
        <w:t xml:space="preserve"> </w:t>
      </w:r>
      <w:r w:rsidR="00414719">
        <w:t xml:space="preserve">helped Indonesia </w:t>
      </w:r>
      <w:r w:rsidR="0032282E">
        <w:t>design</w:t>
      </w:r>
      <w:r w:rsidR="00414719">
        <w:t xml:space="preserve"> </w:t>
      </w:r>
      <w:r w:rsidR="0072756F" w:rsidRPr="00507620">
        <w:t>a small claim</w:t>
      </w:r>
      <w:r w:rsidR="0072756F">
        <w:t>s</w:t>
      </w:r>
      <w:r w:rsidR="00362211">
        <w:t xml:space="preserve"> dispute settlement mechanism.  </w:t>
      </w:r>
      <w:r w:rsidR="003F0158">
        <w:t>S</w:t>
      </w:r>
      <w:r w:rsidR="0072756F" w:rsidRPr="00507620">
        <w:t xml:space="preserve">implifying the process for civil claims under </w:t>
      </w:r>
      <w:r w:rsidR="0072756F" w:rsidRPr="00406CF5">
        <w:t>IDR 200 million</w:t>
      </w:r>
      <w:r w:rsidR="0072756F">
        <w:t xml:space="preserve"> (</w:t>
      </w:r>
      <w:r w:rsidR="0072756F" w:rsidRPr="00406CF5">
        <w:t>AUD20</w:t>
      </w:r>
      <w:r w:rsidR="0072756F">
        <w:t>,000)</w:t>
      </w:r>
      <w:r w:rsidR="003F0158">
        <w:t xml:space="preserve"> </w:t>
      </w:r>
      <w:r w:rsidR="0072756F" w:rsidRPr="00507620">
        <w:t>has proved to be faster, more effective and more affordable than the previous system involving multiple judges and administrative processes</w:t>
      </w:r>
      <w:r w:rsidR="00362211">
        <w:rPr>
          <w:lang w:val="en-US"/>
        </w:rPr>
        <w:t xml:space="preserve">.  </w:t>
      </w:r>
      <w:r w:rsidR="0072756F" w:rsidRPr="00507620">
        <w:t>During the first year, the majority of cases</w:t>
      </w:r>
      <w:r w:rsidR="005F7D88">
        <w:t xml:space="preserve"> were settled within 58 days (an</w:t>
      </w:r>
      <w:r w:rsidR="0072756F" w:rsidRPr="00507620">
        <w:t xml:space="preserve"> improvement from the previou</w:t>
      </w:r>
      <w:r w:rsidR="0072756F">
        <w:t>s average of 450 days per case</w:t>
      </w:r>
      <w:r w:rsidR="005F7D88">
        <w:t>)</w:t>
      </w:r>
      <w:r w:rsidR="00362211">
        <w:t xml:space="preserve">.  </w:t>
      </w:r>
      <w:r w:rsidR="0072756F" w:rsidRPr="00507620">
        <w:t>As at May 2016, a total of 244 small claims cases had been filed (an increase of 193 cases from the previous year).</w:t>
      </w:r>
      <w:r w:rsidR="00362211">
        <w:t xml:space="preserve">  </w:t>
      </w:r>
      <w:r w:rsidR="006F1D76">
        <w:t xml:space="preserve">Although still relatively new, the increase in cases suggests that awareness is growing among the business community and legal profession. </w:t>
      </w:r>
      <w:r w:rsidR="006F1D76" w:rsidRPr="006F1D76">
        <w:t xml:space="preserve"> </w:t>
      </w:r>
      <w:r w:rsidR="002512E3">
        <w:t>T</w:t>
      </w:r>
      <w:r w:rsidR="006F1D76">
        <w:t xml:space="preserve">he small claims mechanism shows particular </w:t>
      </w:r>
      <w:r w:rsidR="0072756F">
        <w:t xml:space="preserve">potential </w:t>
      </w:r>
      <w:r w:rsidR="0072756F" w:rsidRPr="00381DE9">
        <w:t>to benefit</w:t>
      </w:r>
      <w:r w:rsidR="0072756F" w:rsidRPr="00507620">
        <w:t xml:space="preserve"> women entrepreneurs and women’s business networks.</w:t>
      </w:r>
      <w:r w:rsidR="0072756F">
        <w:t xml:space="preserve"> </w:t>
      </w:r>
    </w:p>
    <w:p w:rsidR="00F21621" w:rsidRDefault="00F21621" w:rsidP="001C4416">
      <w:pPr>
        <w:rPr>
          <w:b/>
        </w:rPr>
      </w:pPr>
    </w:p>
    <w:p w:rsidR="00F21621" w:rsidRDefault="00F21621" w:rsidP="001C4416">
      <w:pPr>
        <w:rPr>
          <w:b/>
        </w:rPr>
      </w:pPr>
    </w:p>
    <w:p w:rsidR="00F21621" w:rsidRDefault="00F21621" w:rsidP="001C4416">
      <w:pPr>
        <w:rPr>
          <w:b/>
        </w:rPr>
      </w:pPr>
    </w:p>
    <w:p w:rsidR="0019341B" w:rsidRDefault="0019341B" w:rsidP="001C4416">
      <w:pPr>
        <w:rPr>
          <w:b/>
        </w:rPr>
      </w:pPr>
    </w:p>
    <w:p w:rsidR="007F454D" w:rsidRDefault="007F454D" w:rsidP="001C4416">
      <w:pPr>
        <w:rPr>
          <w:b/>
        </w:rPr>
      </w:pPr>
      <w:r>
        <w:rPr>
          <w:b/>
        </w:rPr>
        <w:lastRenderedPageBreak/>
        <w:t xml:space="preserve">Outcome 2: </w:t>
      </w:r>
      <w:r w:rsidR="001C4416" w:rsidRPr="001C4416">
        <w:rPr>
          <w:b/>
        </w:rPr>
        <w:t xml:space="preserve">Private sector development, reform </w:t>
      </w:r>
      <w:r w:rsidR="001C4416">
        <w:rPr>
          <w:b/>
        </w:rPr>
        <w:t xml:space="preserve">of markets and improved </w:t>
      </w:r>
      <w:r w:rsidR="001C4416" w:rsidRPr="001C4416">
        <w:rPr>
          <w:b/>
        </w:rPr>
        <w:t>financial systems</w:t>
      </w:r>
    </w:p>
    <w:p w:rsidR="00C65CAD" w:rsidRDefault="00692740" w:rsidP="00692740">
      <w:pPr>
        <w:rPr>
          <w:b/>
          <w:i/>
        </w:rPr>
      </w:pPr>
      <w:r w:rsidRPr="00507620">
        <w:rPr>
          <w:b/>
          <w:i/>
        </w:rPr>
        <w:t xml:space="preserve">Economic governance </w:t>
      </w:r>
    </w:p>
    <w:p w:rsidR="007143A6" w:rsidRPr="00B80475" w:rsidRDefault="00032F66" w:rsidP="00692740">
      <w:pPr>
        <w:rPr>
          <w:b/>
          <w:i/>
        </w:rPr>
      </w:pPr>
      <w:r>
        <w:t xml:space="preserve">Australia provides support </w:t>
      </w:r>
      <w:r w:rsidR="00A7486D">
        <w:t xml:space="preserve">through two </w:t>
      </w:r>
      <w:r w:rsidR="00692740" w:rsidRPr="00356D9D">
        <w:t xml:space="preserve">economic governance programs: the </w:t>
      </w:r>
      <w:r w:rsidR="00692740" w:rsidRPr="00356D9D">
        <w:rPr>
          <w:b/>
        </w:rPr>
        <w:t>Government Partnerships Fund (GPF)</w:t>
      </w:r>
      <w:r w:rsidR="00692740" w:rsidRPr="00356D9D">
        <w:t xml:space="preserve">, through which Australian agencies provide technical expertise and capacity building to Indonesian counterparts, and the </w:t>
      </w:r>
      <w:r w:rsidR="00692740" w:rsidRPr="00356D9D">
        <w:rPr>
          <w:b/>
        </w:rPr>
        <w:t>Australia Indonesia Partnership for Economic Governance (AIPEG)</w:t>
      </w:r>
      <w:r w:rsidR="00692740" w:rsidRPr="00356D9D">
        <w:t>, which works to improve Indonesia’s economic m</w:t>
      </w:r>
      <w:r w:rsidR="007143A6">
        <w:t>anagement and competitiveness.</w:t>
      </w:r>
    </w:p>
    <w:p w:rsidR="00692740" w:rsidRDefault="002560BA" w:rsidP="00692740">
      <w:r w:rsidRPr="00751751">
        <w:t>Indonesia</w:t>
      </w:r>
      <w:r>
        <w:t xml:space="preserve"> highly values</w:t>
      </w:r>
      <w:r>
        <w:rPr>
          <w:b/>
        </w:rPr>
        <w:t xml:space="preserve"> </w:t>
      </w:r>
      <w:r w:rsidR="00692740" w:rsidRPr="00356D9D">
        <w:rPr>
          <w:b/>
        </w:rPr>
        <w:t xml:space="preserve">AIPEG </w:t>
      </w:r>
      <w:r w:rsidR="00032F66">
        <w:t xml:space="preserve">and </w:t>
      </w:r>
      <w:r w:rsidR="00032F66">
        <w:rPr>
          <w:b/>
        </w:rPr>
        <w:t xml:space="preserve">GPF </w:t>
      </w:r>
      <w:r w:rsidR="00A8590A">
        <w:t>for their</w:t>
      </w:r>
      <w:r w:rsidR="00692740" w:rsidRPr="00356D9D">
        <w:t xml:space="preserve"> flexibility in r</w:t>
      </w:r>
      <w:r w:rsidR="00352763">
        <w:t xml:space="preserve">esponding to </w:t>
      </w:r>
      <w:r>
        <w:t xml:space="preserve">economic </w:t>
      </w:r>
      <w:r w:rsidR="00692740" w:rsidRPr="00356D9D">
        <w:t>priorities</w:t>
      </w:r>
      <w:r w:rsidR="00F13187">
        <w:t xml:space="preserve">, notably </w:t>
      </w:r>
      <w:r w:rsidR="00CB2411">
        <w:t>through</w:t>
      </w:r>
      <w:r w:rsidR="00A85891">
        <w:t xml:space="preserve"> recent </w:t>
      </w:r>
      <w:r w:rsidR="00A8590A">
        <w:t>reforms</w:t>
      </w:r>
      <w:r>
        <w:t xml:space="preserve"> </w:t>
      </w:r>
      <w:r w:rsidR="00F13187">
        <w:t>to address</w:t>
      </w:r>
      <w:r w:rsidR="00A8590A">
        <w:t xml:space="preserve"> the economic slowdown</w:t>
      </w:r>
      <w:r>
        <w:t>,</w:t>
      </w:r>
      <w:r w:rsidR="00CE10A4">
        <w:t xml:space="preserve"> preserv</w:t>
      </w:r>
      <w:r>
        <w:t>e</w:t>
      </w:r>
      <w:r w:rsidR="00CE10A4">
        <w:t xml:space="preserve"> stability</w:t>
      </w:r>
      <w:r w:rsidR="00A85891">
        <w:t>,</w:t>
      </w:r>
      <w:r w:rsidR="00692740" w:rsidRPr="00356D9D">
        <w:t xml:space="preserve"> </w:t>
      </w:r>
      <w:r>
        <w:t>grow trade volumes and improve the investment climate.</w:t>
      </w:r>
    </w:p>
    <w:p w:rsidR="00692740" w:rsidRPr="00356D9D" w:rsidRDefault="00692740" w:rsidP="003050BC">
      <w:r w:rsidRPr="00356D9D">
        <w:t xml:space="preserve">AIPEG's analysis and advocacy </w:t>
      </w:r>
      <w:r w:rsidR="00A85891">
        <w:t xml:space="preserve">informed several measures contained in </w:t>
      </w:r>
      <w:r w:rsidRPr="00356D9D">
        <w:t>the 13 economic policy packag</w:t>
      </w:r>
      <w:r w:rsidR="002053E2">
        <w:t xml:space="preserve">es announced by the </w:t>
      </w:r>
      <w:r w:rsidR="00F44FCD">
        <w:t>Indonesian G</w:t>
      </w:r>
      <w:r w:rsidR="00362211">
        <w:t xml:space="preserve">overnment in 2015-16.  </w:t>
      </w:r>
      <w:r w:rsidRPr="00356D9D">
        <w:t>Further, AIPEG supported Indonesia’s increasing appet</w:t>
      </w:r>
      <w:r w:rsidR="0003116D">
        <w:t xml:space="preserve">ite for services liberalisation, including through </w:t>
      </w:r>
      <w:r w:rsidRPr="00356D9D">
        <w:t xml:space="preserve">advice on the regulatory implications of the Trans Pacific Partnership (TPP) following President </w:t>
      </w:r>
      <w:proofErr w:type="spellStart"/>
      <w:r w:rsidRPr="00356D9D">
        <w:t>Jokowi’s</w:t>
      </w:r>
      <w:proofErr w:type="spellEnd"/>
      <w:r w:rsidRPr="00356D9D">
        <w:t xml:space="preserve"> announcement in 2015 of Indonesia’s intention to join the TPP. </w:t>
      </w:r>
    </w:p>
    <w:p w:rsidR="00692740" w:rsidRPr="00356D9D" w:rsidRDefault="00D64950" w:rsidP="00751751">
      <w:r>
        <w:rPr>
          <w:noProof/>
          <w:lang w:val="en-AU" w:eastAsia="en-AU"/>
        </w:rPr>
        <mc:AlternateContent>
          <mc:Choice Requires="wps">
            <w:drawing>
              <wp:anchor distT="0" distB="0" distL="114300" distR="114300" simplePos="0" relativeHeight="251661312" behindDoc="1" locked="0" layoutInCell="1" allowOverlap="1">
                <wp:simplePos x="0" y="0"/>
                <wp:positionH relativeFrom="column">
                  <wp:posOffset>4455160</wp:posOffset>
                </wp:positionH>
                <wp:positionV relativeFrom="paragraph">
                  <wp:posOffset>95885</wp:posOffset>
                </wp:positionV>
                <wp:extent cx="1914525" cy="5969000"/>
                <wp:effectExtent l="0" t="0" r="9525" b="0"/>
                <wp:wrapTight wrapText="bothSides">
                  <wp:wrapPolygon edited="0">
                    <wp:start x="0" y="0"/>
                    <wp:lineTo x="0" y="21577"/>
                    <wp:lineTo x="21707" y="21577"/>
                    <wp:lineTo x="2170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969000"/>
                        </a:xfrm>
                        <a:prstGeom prst="rect">
                          <a:avLst/>
                        </a:prstGeom>
                        <a:solidFill>
                          <a:sysClr val="window" lastClr="FFFFFF"/>
                        </a:solidFill>
                        <a:ln w="25400" cap="flat" cmpd="sng" algn="ctr">
                          <a:solidFill>
                            <a:srgbClr val="65C5B4"/>
                          </a:solidFill>
                          <a:prstDash val="solid"/>
                          <a:headEnd/>
                          <a:tailEnd/>
                        </a:ln>
                        <a:effectLst/>
                      </wps:spPr>
                      <wps:txbx>
                        <w:txbxContent>
                          <w:p w:rsidR="00547E6C" w:rsidRDefault="00547E6C" w:rsidP="00692740">
                            <w:pPr>
                              <w:rPr>
                                <w:b/>
                              </w:rPr>
                            </w:pPr>
                            <w:r w:rsidRPr="00803461">
                              <w:rPr>
                                <w:b/>
                              </w:rPr>
                              <w:t xml:space="preserve">Gender in </w:t>
                            </w:r>
                            <w:r>
                              <w:rPr>
                                <w:b/>
                              </w:rPr>
                              <w:t xml:space="preserve">rural agribusiness </w:t>
                            </w:r>
                          </w:p>
                          <w:p w:rsidR="00547E6C" w:rsidRPr="00803461" w:rsidRDefault="00547E6C" w:rsidP="00692740">
                            <w:pPr>
                              <w:rPr>
                                <w:b/>
                              </w:rPr>
                            </w:pPr>
                            <w:r>
                              <w:t>During 2015-16, AIP-Rural strengthened its use of gender analysis i</w:t>
                            </w:r>
                            <w:r w:rsidR="00743DB5">
                              <w:t>n designing interventions.  AIP-</w:t>
                            </w:r>
                            <w:r>
                              <w:t>Rural increased the incomes of women and men farmers at roughly equal rates (8,967 male, 7,982 female) and five out of seven interventions assessed met the target of 50 per cent or more participation of women.  PRISMA is increasing its focus on female-dominated sectors or parts of the value chain. During 2015, PRISMA helped several women's groups move up the coffee production value chain in Flores.  Also in Flores, more efficient practices in pig rearing decreased women’s labour per day and increased incomes.</w:t>
                            </w:r>
                            <w:r>
                              <w:rPr>
                                <w:b/>
                              </w:rPr>
                              <w:t xml:space="preserve"> </w:t>
                            </w:r>
                          </w:p>
                          <w:p w:rsidR="00547E6C" w:rsidRDefault="00D64950" w:rsidP="00692740">
                            <w:r w:rsidRPr="00106054">
                              <w:rPr>
                                <w:noProof/>
                                <w:lang w:val="en-AU" w:eastAsia="en-AU"/>
                              </w:rPr>
                              <w:drawing>
                                <wp:inline distT="0" distB="0" distL="0" distR="0">
                                  <wp:extent cx="1543050" cy="124777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1247775"/>
                                          </a:xfrm>
                                          <a:prstGeom prst="rect">
                                            <a:avLst/>
                                          </a:prstGeom>
                                          <a:noFill/>
                                          <a:ln>
                                            <a:noFill/>
                                          </a:ln>
                                        </pic:spPr>
                                      </pic:pic>
                                    </a:graphicData>
                                  </a:graphic>
                                </wp:inline>
                              </w:drawing>
                            </w:r>
                          </w:p>
                          <w:p w:rsidR="00547E6C" w:rsidRPr="009F1237" w:rsidRDefault="009E40B3" w:rsidP="00692740">
                            <w:pPr>
                              <w:rPr>
                                <w:i/>
                              </w:rPr>
                            </w:pPr>
                            <w:r w:rsidRPr="009F1237">
                              <w:rPr>
                                <w:i/>
                              </w:rPr>
                              <w:t>Photo: DFAT</w:t>
                            </w:r>
                          </w:p>
                          <w:p w:rsidR="00547E6C" w:rsidRPr="00106054" w:rsidRDefault="00547E6C" w:rsidP="00692740">
                            <w:pPr>
                              <w:widowControl w:val="0"/>
                              <w:autoSpaceDE w:val="0"/>
                              <w:autoSpaceDN w:val="0"/>
                              <w:adjustRightInd w:val="0"/>
                              <w:spacing w:after="0"/>
                              <w:rPr>
                                <w:rFonts w:ascii="Calibri" w:eastAsia="Times New Roman" w:hAnsi="Calibri" w:cs="Calibri"/>
                                <w:color w:val="auto"/>
                                <w:lang w:val="en-US" w:eastAsia="ja-JP"/>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0.8pt;margin-top:7.55pt;width:150.75pt;height:4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" fillcolor="window" strokecolor="#65c5b4" strokeweight="2pt">
                <v:textbox>
                  <w:txbxContent>
                    <w:p w:rsidR="00547E6C" w:rsidRDefault="00547E6C" w:rsidP="00692740">
                      <w:pPr>
                        <w:rPr>
                          <w:b/>
                        </w:rPr>
                      </w:pPr>
                      <w:r w:rsidRPr="00803461">
                        <w:rPr>
                          <w:b/>
                        </w:rPr>
                        <w:t xml:space="preserve">Gender in </w:t>
                      </w:r>
                      <w:r>
                        <w:rPr>
                          <w:b/>
                        </w:rPr>
                        <w:t xml:space="preserve">rural agribusiness </w:t>
                      </w:r>
                    </w:p>
                    <w:p w:rsidR="00547E6C" w:rsidRPr="00803461" w:rsidRDefault="00547E6C" w:rsidP="00692740">
                      <w:pPr>
                        <w:rPr>
                          <w:b/>
                        </w:rPr>
                      </w:pPr>
                      <w:r>
                        <w:t>During 2015-16, AIP-Rural strengthened its use of gender analysis i</w:t>
                      </w:r>
                      <w:r w:rsidR="00743DB5">
                        <w:t>n designing interventions.  AIP-</w:t>
                      </w:r>
                      <w:r>
                        <w:t>Rural increased the incomes of women and men farmers at roughly equal rates (8,967 male, 7,982 female) and five out of seven interventions assessed met the target of 50 per cent or more participation of women.  PRISMA is increasing its focus on female-dominated sectors or parts of the value chain. During 2015, PRISMA helped several women's groups move up the coffee production value chain in Flores.  Also in Flores, more efficient practices in pig rearing decreased women’s labour per day and increased incomes.</w:t>
                      </w:r>
                      <w:r>
                        <w:rPr>
                          <w:b/>
                        </w:rPr>
                        <w:t xml:space="preserve"> </w:t>
                      </w:r>
                    </w:p>
                    <w:p w:rsidR="00547E6C" w:rsidRDefault="00D64950" w:rsidP="00692740">
                      <w:r w:rsidRPr="00106054">
                        <w:rPr>
                          <w:noProof/>
                          <w:lang w:val="en-AU" w:eastAsia="en-AU"/>
                        </w:rPr>
                        <w:drawing>
                          <wp:inline distT="0" distB="0" distL="0" distR="0">
                            <wp:extent cx="1543050" cy="1247775"/>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1247775"/>
                                    </a:xfrm>
                                    <a:prstGeom prst="rect">
                                      <a:avLst/>
                                    </a:prstGeom>
                                    <a:noFill/>
                                    <a:ln>
                                      <a:noFill/>
                                    </a:ln>
                                  </pic:spPr>
                                </pic:pic>
                              </a:graphicData>
                            </a:graphic>
                          </wp:inline>
                        </w:drawing>
                      </w:r>
                    </w:p>
                    <w:p w:rsidR="00547E6C" w:rsidRPr="009F1237" w:rsidRDefault="009E40B3" w:rsidP="00692740">
                      <w:pPr>
                        <w:rPr>
                          <w:i/>
                        </w:rPr>
                      </w:pPr>
                      <w:r w:rsidRPr="009F1237">
                        <w:rPr>
                          <w:i/>
                        </w:rPr>
                        <w:t>Photo: DFAT</w:t>
                      </w:r>
                    </w:p>
                    <w:p w:rsidR="00547E6C" w:rsidRPr="00106054" w:rsidRDefault="00547E6C" w:rsidP="00692740">
                      <w:pPr>
                        <w:widowControl w:val="0"/>
                        <w:autoSpaceDE w:val="0"/>
                        <w:autoSpaceDN w:val="0"/>
                        <w:adjustRightInd w:val="0"/>
                        <w:spacing w:after="0"/>
                        <w:rPr>
                          <w:rFonts w:ascii="Calibri" w:eastAsia="Times New Roman" w:hAnsi="Calibri" w:cs="Calibri"/>
                          <w:color w:val="auto"/>
                          <w:lang w:val="en-US" w:eastAsia="ja-JP"/>
                        </w:rPr>
                      </w:pPr>
                    </w:p>
                  </w:txbxContent>
                </v:textbox>
                <w10:wrap type="tight"/>
              </v:shape>
            </w:pict>
          </mc:Fallback>
        </mc:AlternateContent>
      </w:r>
      <w:r w:rsidR="005F6A7B" w:rsidRPr="00356D9D">
        <w:t xml:space="preserve">In addition, AIPEG </w:t>
      </w:r>
      <w:r w:rsidR="00A85891">
        <w:t>helped Indonesia</w:t>
      </w:r>
      <w:r w:rsidR="00443C1B">
        <w:t xml:space="preserve"> improve trade by revising the negative investment l</w:t>
      </w:r>
      <w:r w:rsidR="00A85891">
        <w:t xml:space="preserve">ist and </w:t>
      </w:r>
      <w:r w:rsidR="00692740" w:rsidRPr="00356D9D">
        <w:t xml:space="preserve">open </w:t>
      </w:r>
      <w:r w:rsidR="00A85891">
        <w:t xml:space="preserve">more business sectors </w:t>
      </w:r>
      <w:r w:rsidR="00692740" w:rsidRPr="00356D9D">
        <w:t xml:space="preserve">to investment, and </w:t>
      </w:r>
      <w:r w:rsidR="00EB7F5D">
        <w:t>advised on</w:t>
      </w:r>
      <w:r w:rsidR="005F6A7B" w:rsidRPr="00356D9D">
        <w:t xml:space="preserve"> the </w:t>
      </w:r>
      <w:r w:rsidR="00692740" w:rsidRPr="00356D9D">
        <w:t>Financial Crisis Prevention and Resolution Law, designed to enhance stability, growth and job creation.</w:t>
      </w:r>
    </w:p>
    <w:p w:rsidR="00692740" w:rsidRPr="00356D9D" w:rsidRDefault="00692740" w:rsidP="00692740">
      <w:r w:rsidRPr="00356D9D">
        <w:t xml:space="preserve">In 2016, the </w:t>
      </w:r>
      <w:r w:rsidRPr="00356D9D">
        <w:rPr>
          <w:b/>
        </w:rPr>
        <w:t>Indonesia Services Dialogue</w:t>
      </w:r>
      <w:r w:rsidRPr="00356D9D">
        <w:t xml:space="preserve"> – a partnership between AIPEG, industry, think tanks and businesses</w:t>
      </w:r>
      <w:r w:rsidR="00736FD6">
        <w:t xml:space="preserve"> </w:t>
      </w:r>
      <w:r w:rsidRPr="00356D9D">
        <w:t xml:space="preserve">– </w:t>
      </w:r>
      <w:r w:rsidR="0059247A">
        <w:t xml:space="preserve">found that </w:t>
      </w:r>
      <w:r w:rsidR="0003116D">
        <w:t>remov</w:t>
      </w:r>
      <w:r w:rsidR="0059247A">
        <w:t>ing</w:t>
      </w:r>
      <w:r w:rsidR="0003116D">
        <w:t xml:space="preserve"> </w:t>
      </w:r>
      <w:r w:rsidR="0059247A">
        <w:t>complicated</w:t>
      </w:r>
      <w:r w:rsidR="0003116D">
        <w:t xml:space="preserve"> </w:t>
      </w:r>
      <w:r w:rsidRPr="00356D9D">
        <w:t xml:space="preserve">labelling requirements for </w:t>
      </w:r>
      <w:r w:rsidR="0059247A">
        <w:t xml:space="preserve">imported </w:t>
      </w:r>
      <w:r w:rsidRPr="00356D9D">
        <w:t xml:space="preserve">goods </w:t>
      </w:r>
      <w:r w:rsidR="0059247A">
        <w:t>and adopting a streamlined</w:t>
      </w:r>
      <w:r w:rsidR="00CD4435">
        <w:t xml:space="preserve"> </w:t>
      </w:r>
      <w:r w:rsidR="0059247A">
        <w:t xml:space="preserve">approach to auditing </w:t>
      </w:r>
      <w:r w:rsidR="00CD4435">
        <w:t>shipment</w:t>
      </w:r>
      <w:r w:rsidR="0059247A">
        <w:t>s</w:t>
      </w:r>
      <w:r w:rsidR="00CD4435">
        <w:t xml:space="preserve"> </w:t>
      </w:r>
      <w:r w:rsidR="0059247A">
        <w:t>would improve trade conditions</w:t>
      </w:r>
      <w:r w:rsidR="00362211">
        <w:t xml:space="preserve">.  </w:t>
      </w:r>
      <w:r w:rsidR="00352763">
        <w:t xml:space="preserve">The Indonesian </w:t>
      </w:r>
      <w:r w:rsidR="00796C20">
        <w:t>G</w:t>
      </w:r>
      <w:r w:rsidR="0003116D">
        <w:t xml:space="preserve">overnment </w:t>
      </w:r>
      <w:r w:rsidR="0059247A">
        <w:t>agreed with</w:t>
      </w:r>
      <w:r w:rsidR="002560BA">
        <w:t xml:space="preserve"> </w:t>
      </w:r>
      <w:r w:rsidR="002512E3">
        <w:t>these</w:t>
      </w:r>
      <w:r w:rsidR="0059247A">
        <w:t xml:space="preserve"> recommendations </w:t>
      </w:r>
      <w:r w:rsidR="00A477ED">
        <w:t>and</w:t>
      </w:r>
      <w:r w:rsidR="002560BA">
        <w:t xml:space="preserve"> adopted them</w:t>
      </w:r>
      <w:r w:rsidRPr="00356D9D">
        <w:t xml:space="preserve">. </w:t>
      </w:r>
    </w:p>
    <w:p w:rsidR="00692740" w:rsidRPr="00356D9D" w:rsidRDefault="00692740" w:rsidP="00692740">
      <w:r w:rsidRPr="00356D9D">
        <w:t xml:space="preserve">An AIPEG report on </w:t>
      </w:r>
      <w:r w:rsidRPr="00A27D4A">
        <w:rPr>
          <w:i/>
        </w:rPr>
        <w:t xml:space="preserve">Gender Inequality in </w:t>
      </w:r>
      <w:r w:rsidR="007B3B92">
        <w:rPr>
          <w:i/>
        </w:rPr>
        <w:t>the Labour Market</w:t>
      </w:r>
      <w:r w:rsidRPr="00A27D4A">
        <w:rPr>
          <w:i/>
        </w:rPr>
        <w:t xml:space="preserve"> in Indonesia</w:t>
      </w:r>
      <w:r w:rsidRPr="00356D9D">
        <w:t xml:space="preserve">, released in 2015, identified a number of </w:t>
      </w:r>
      <w:r w:rsidR="00736FD6">
        <w:t>options for further work</w:t>
      </w:r>
      <w:r w:rsidRPr="00356D9D">
        <w:t xml:space="preserve"> to tackle the barriers women face when entering the labour market (the female labour force participation rate in Indonesia is just over 50 per cent). </w:t>
      </w:r>
    </w:p>
    <w:p w:rsidR="003050BC" w:rsidRDefault="0075175A" w:rsidP="00692740">
      <w:r>
        <w:t xml:space="preserve">Prompted by the report’s findings, </w:t>
      </w:r>
      <w:r w:rsidR="00692740" w:rsidRPr="00356D9D">
        <w:t>our flagship women’s empowerment p</w:t>
      </w:r>
      <w:r w:rsidR="0015678F">
        <w:t>rogram (MAMPU) and a governance</w:t>
      </w:r>
      <w:r>
        <w:t xml:space="preserve"> program (KOMPAK), </w:t>
      </w:r>
      <w:r w:rsidR="00692740" w:rsidRPr="00356D9D">
        <w:t xml:space="preserve">are conducting a joint review on access to quality childcare in Indonesia to determine </w:t>
      </w:r>
      <w:r w:rsidR="0097161D">
        <w:t xml:space="preserve">whether </w:t>
      </w:r>
      <w:r w:rsidR="003E5526">
        <w:t xml:space="preserve">it is </w:t>
      </w:r>
      <w:r w:rsidR="00692740" w:rsidRPr="00356D9D">
        <w:t xml:space="preserve">a </w:t>
      </w:r>
      <w:r w:rsidR="007143A6">
        <w:t xml:space="preserve">barrier to women’s employment. </w:t>
      </w:r>
    </w:p>
    <w:p w:rsidR="00692740" w:rsidRPr="00B8161E" w:rsidRDefault="00F21C74" w:rsidP="00692740">
      <w:pPr>
        <w:rPr>
          <w:i/>
        </w:rPr>
      </w:pPr>
      <w:r>
        <w:t>GPF’s</w:t>
      </w:r>
      <w:r w:rsidR="00692740" w:rsidRPr="00356D9D">
        <w:t xml:space="preserve"> longstanding </w:t>
      </w:r>
      <w:r w:rsidR="000A66AB" w:rsidRPr="00356D9D">
        <w:t>partnership</w:t>
      </w:r>
      <w:r w:rsidR="000A66AB">
        <w:t xml:space="preserve"> between</w:t>
      </w:r>
      <w:r w:rsidR="00743DB5">
        <w:t xml:space="preserve"> the</w:t>
      </w:r>
      <w:r w:rsidR="000A66AB" w:rsidRPr="00356D9D">
        <w:rPr>
          <w:b/>
        </w:rPr>
        <w:t xml:space="preserve"> </w:t>
      </w:r>
      <w:r w:rsidR="00692740" w:rsidRPr="00356D9D">
        <w:rPr>
          <w:b/>
        </w:rPr>
        <w:t>Australian Transaction Repor</w:t>
      </w:r>
      <w:r w:rsidR="00743DB5">
        <w:rPr>
          <w:b/>
        </w:rPr>
        <w:t>ts and Analysis Centre</w:t>
      </w:r>
      <w:r w:rsidR="00692740" w:rsidRPr="00356D9D">
        <w:t xml:space="preserve"> and </w:t>
      </w:r>
      <w:proofErr w:type="spellStart"/>
      <w:r w:rsidR="00692740" w:rsidRPr="00356D9D">
        <w:t>Pusat</w:t>
      </w:r>
      <w:proofErr w:type="spellEnd"/>
      <w:r w:rsidR="00692740" w:rsidRPr="00356D9D">
        <w:t xml:space="preserve"> </w:t>
      </w:r>
      <w:proofErr w:type="spellStart"/>
      <w:r w:rsidR="00692740" w:rsidRPr="00356D9D">
        <w:t>Pelaporan</w:t>
      </w:r>
      <w:proofErr w:type="spellEnd"/>
      <w:r w:rsidR="00692740" w:rsidRPr="00356D9D">
        <w:t xml:space="preserve"> </w:t>
      </w:r>
      <w:proofErr w:type="spellStart"/>
      <w:r w:rsidR="00692740" w:rsidRPr="00356D9D">
        <w:t>dan</w:t>
      </w:r>
      <w:proofErr w:type="spellEnd"/>
      <w:r w:rsidR="00692740" w:rsidRPr="00356D9D">
        <w:t xml:space="preserve"> </w:t>
      </w:r>
      <w:proofErr w:type="spellStart"/>
      <w:r w:rsidR="00692740" w:rsidRPr="00356D9D">
        <w:t>Analisis</w:t>
      </w:r>
      <w:proofErr w:type="spellEnd"/>
      <w:r w:rsidR="00692740" w:rsidRPr="00356D9D">
        <w:t xml:space="preserve"> </w:t>
      </w:r>
      <w:proofErr w:type="spellStart"/>
      <w:r w:rsidR="00692740" w:rsidRPr="00356D9D">
        <w:t>Transaksi</w:t>
      </w:r>
      <w:proofErr w:type="spellEnd"/>
      <w:r w:rsidR="00692740" w:rsidRPr="00356D9D">
        <w:t xml:space="preserve"> </w:t>
      </w:r>
      <w:proofErr w:type="spellStart"/>
      <w:r w:rsidR="00692740" w:rsidRPr="00356D9D">
        <w:t>Keuangan</w:t>
      </w:r>
      <w:proofErr w:type="spellEnd"/>
      <w:r w:rsidR="00692740" w:rsidRPr="00356D9D">
        <w:t xml:space="preserve"> (PPATK) </w:t>
      </w:r>
      <w:r w:rsidR="00796C20">
        <w:t>saw</w:t>
      </w:r>
      <w:r w:rsidR="00796C20" w:rsidRPr="00356D9D">
        <w:t xml:space="preserve"> </w:t>
      </w:r>
      <w:r w:rsidR="00692740" w:rsidRPr="00356D9D">
        <w:t>Indonesia remov</w:t>
      </w:r>
      <w:r w:rsidR="00796C20">
        <w:t>ed</w:t>
      </w:r>
      <w:r w:rsidR="00692740" w:rsidRPr="00356D9D">
        <w:t xml:space="preserve"> in 2015 from the Financial Action Ta</w:t>
      </w:r>
      <w:r w:rsidR="00A10C02">
        <w:t xml:space="preserve">sk Force ‘black list’ </w:t>
      </w:r>
      <w:r w:rsidR="00F331BD">
        <w:t>comprising</w:t>
      </w:r>
      <w:r w:rsidR="00A10C02">
        <w:t xml:space="preserve"> </w:t>
      </w:r>
      <w:r w:rsidR="00692740" w:rsidRPr="00356D9D">
        <w:t>countries considered to have weak measures to comb</w:t>
      </w:r>
      <w:r>
        <w:t xml:space="preserve">at money laundering and </w:t>
      </w:r>
      <w:r w:rsidR="00A10C02">
        <w:t>terrorism financing</w:t>
      </w:r>
      <w:r w:rsidR="001A700A">
        <w:t xml:space="preserve">.  </w:t>
      </w:r>
      <w:r w:rsidR="00692740" w:rsidRPr="00356D9D">
        <w:t xml:space="preserve">Improved PPATK capacity has led to greater and </w:t>
      </w:r>
      <w:r w:rsidR="00BE2336" w:rsidRPr="00356D9D">
        <w:t>timelier</w:t>
      </w:r>
      <w:r w:rsidR="00692740" w:rsidRPr="00356D9D">
        <w:t xml:space="preserve"> exch</w:t>
      </w:r>
      <w:r w:rsidR="00CD4435">
        <w:t xml:space="preserve">anges of financial information.  </w:t>
      </w:r>
      <w:r w:rsidR="00692740" w:rsidRPr="00356D9D">
        <w:t xml:space="preserve">This has in turn addressed key </w:t>
      </w:r>
      <w:r w:rsidR="005549A4">
        <w:t>challenges</w:t>
      </w:r>
      <w:r w:rsidR="00692740" w:rsidRPr="00356D9D">
        <w:t xml:space="preserve"> such as money laundering, corruption and tax evasion which all undermine Indonesia’s strong growth potential.</w:t>
      </w:r>
      <w:r w:rsidR="00692740">
        <w:t xml:space="preserve"> </w:t>
      </w:r>
    </w:p>
    <w:p w:rsidR="00692740" w:rsidRPr="00507620" w:rsidRDefault="00ED367C" w:rsidP="00A03DA5">
      <w:pPr>
        <w:rPr>
          <w:b/>
          <w:i/>
        </w:rPr>
      </w:pPr>
      <w:r>
        <w:rPr>
          <w:b/>
          <w:i/>
        </w:rPr>
        <w:t xml:space="preserve">Rural </w:t>
      </w:r>
      <w:r w:rsidR="00692740" w:rsidRPr="00507620">
        <w:rPr>
          <w:b/>
          <w:i/>
        </w:rPr>
        <w:t xml:space="preserve">development </w:t>
      </w:r>
    </w:p>
    <w:p w:rsidR="00A03DA5" w:rsidRDefault="00A03DA5" w:rsidP="00A03DA5">
      <w:r>
        <w:t xml:space="preserve">The </w:t>
      </w:r>
      <w:r w:rsidRPr="007C2EC3">
        <w:rPr>
          <w:b/>
        </w:rPr>
        <w:t>Austr</w:t>
      </w:r>
      <w:r w:rsidR="00DF5454">
        <w:rPr>
          <w:b/>
        </w:rPr>
        <w:t>alia-Indonesia Partnership for Rural D</w:t>
      </w:r>
      <w:r w:rsidRPr="007C2EC3">
        <w:rPr>
          <w:b/>
        </w:rPr>
        <w:t>evelopment (AIP-Rural)</w:t>
      </w:r>
      <w:r>
        <w:t xml:space="preserve"> </w:t>
      </w:r>
      <w:r w:rsidR="00130699">
        <w:t xml:space="preserve">is a suite of interventions that </w:t>
      </w:r>
      <w:r w:rsidRPr="00D4602F">
        <w:t>promote systemic change in a</w:t>
      </w:r>
      <w:r w:rsidR="00CD4435">
        <w:t>griculture markets</w:t>
      </w:r>
      <w:r w:rsidR="00773CC2">
        <w:t xml:space="preserve"> </w:t>
      </w:r>
      <w:r w:rsidR="000A66AB">
        <w:t xml:space="preserve">to benefit </w:t>
      </w:r>
      <w:r w:rsidR="00773CC2">
        <w:t>poor</w:t>
      </w:r>
      <w:r w:rsidR="000A66AB">
        <w:t xml:space="preserve"> communities</w:t>
      </w:r>
      <w:r w:rsidR="001A700A">
        <w:t xml:space="preserve">.  </w:t>
      </w:r>
      <w:r w:rsidRPr="004B7DCE">
        <w:t xml:space="preserve">We facilitate partnerships with private </w:t>
      </w:r>
      <w:r w:rsidR="00DF5454" w:rsidRPr="004B7DCE">
        <w:t xml:space="preserve">sector actors and farmers </w:t>
      </w:r>
      <w:r w:rsidRPr="004B7DCE">
        <w:t xml:space="preserve">to leverage business </w:t>
      </w:r>
      <w:r w:rsidR="00ED367C" w:rsidRPr="004B7DCE">
        <w:t>expertise and funds to address</w:t>
      </w:r>
      <w:r w:rsidRPr="004B7DCE">
        <w:t xml:space="preserve"> market failures.</w:t>
      </w:r>
      <w:r w:rsidRPr="00D4602F">
        <w:t xml:space="preserve"> </w:t>
      </w:r>
    </w:p>
    <w:p w:rsidR="00A477ED" w:rsidRDefault="00A477ED" w:rsidP="00A03DA5"/>
    <w:p w:rsidR="00A03DA5" w:rsidRDefault="0074521B" w:rsidP="00A03DA5">
      <w:r>
        <w:t>AIP-Rural has 32</w:t>
      </w:r>
      <w:r w:rsidR="00A03DA5" w:rsidRPr="00D4602F">
        <w:t xml:space="preserve"> private sector partnerships with private </w:t>
      </w:r>
      <w:r w:rsidR="000A66AB">
        <w:t xml:space="preserve">sector </w:t>
      </w:r>
      <w:r w:rsidR="00A03DA5" w:rsidRPr="00D4602F">
        <w:t xml:space="preserve">investment of </w:t>
      </w:r>
      <w:r w:rsidR="00A03DA5">
        <w:t xml:space="preserve">nearly </w:t>
      </w:r>
      <w:r w:rsidR="00A03DA5" w:rsidRPr="009D2619">
        <w:t>AUD750,000</w:t>
      </w:r>
      <w:r w:rsidR="00A03DA5">
        <w:t xml:space="preserve"> in</w:t>
      </w:r>
      <w:r w:rsidR="001A700A">
        <w:t xml:space="preserve"> 2015.  </w:t>
      </w:r>
      <w:r w:rsidR="00A03DA5" w:rsidRPr="00D4602F">
        <w:t>A total of</w:t>
      </w:r>
      <w:r w:rsidR="00A03DA5">
        <w:t xml:space="preserve"> 25,594 farmers (</w:t>
      </w:r>
      <w:r w:rsidR="00773CC2">
        <w:t xml:space="preserve">including </w:t>
      </w:r>
      <w:r w:rsidR="00A03DA5">
        <w:t>10,431 female</w:t>
      </w:r>
      <w:r w:rsidR="00773CC2">
        <w:t>s</w:t>
      </w:r>
      <w:r w:rsidR="00A03DA5" w:rsidRPr="00D4602F">
        <w:t xml:space="preserve">) adopted </w:t>
      </w:r>
      <w:r w:rsidR="00773CC2">
        <w:t xml:space="preserve">new practices </w:t>
      </w:r>
      <w:r w:rsidR="00A03DA5">
        <w:t xml:space="preserve">introduced by AIP-Rural </w:t>
      </w:r>
      <w:r w:rsidR="003D7CDF">
        <w:t xml:space="preserve">that have </w:t>
      </w:r>
      <w:r w:rsidR="00A03DA5">
        <w:t xml:space="preserve">improved </w:t>
      </w:r>
      <w:r w:rsidR="00773CC2">
        <w:t xml:space="preserve">farm </w:t>
      </w:r>
      <w:r w:rsidR="00A03DA5">
        <w:t>productivity</w:t>
      </w:r>
      <w:r w:rsidR="000A66AB">
        <w:t xml:space="preserve"> and led to increased incomes</w:t>
      </w:r>
      <w:r w:rsidR="00A03DA5">
        <w:t>.</w:t>
      </w:r>
    </w:p>
    <w:p w:rsidR="00A03DA5" w:rsidRDefault="00A03DA5" w:rsidP="00A03DA5">
      <w:r>
        <w:rPr>
          <w:b/>
        </w:rPr>
        <w:t>Promoting Rural Incomes through Support to Markets in Agriculture (</w:t>
      </w:r>
      <w:r w:rsidRPr="007E00E6">
        <w:rPr>
          <w:b/>
        </w:rPr>
        <w:t>PRISM</w:t>
      </w:r>
      <w:r w:rsidRPr="00FF7AE9">
        <w:rPr>
          <w:b/>
        </w:rPr>
        <w:t>A)</w:t>
      </w:r>
      <w:r w:rsidR="003805E8">
        <w:t xml:space="preserve">, </w:t>
      </w:r>
      <w:r w:rsidR="003805E8" w:rsidRPr="00D4602F">
        <w:t>focus</w:t>
      </w:r>
      <w:r w:rsidR="00805B4B">
        <w:t>s</w:t>
      </w:r>
      <w:r w:rsidR="003805E8" w:rsidRPr="00D4602F">
        <w:t>ed on agribusiness</w:t>
      </w:r>
      <w:r w:rsidR="003805E8">
        <w:t>,</w:t>
      </w:r>
      <w:r>
        <w:t xml:space="preserve"> </w:t>
      </w:r>
      <w:r w:rsidRPr="00D4602F">
        <w:t>is the largest component of AIP-Rural.</w:t>
      </w:r>
      <w:r w:rsidR="001A700A">
        <w:t xml:space="preserve">  </w:t>
      </w:r>
      <w:r w:rsidRPr="00D4602F">
        <w:t xml:space="preserve">As a result of a PRISMA intervention, pig feed company sales in </w:t>
      </w:r>
      <w:r w:rsidR="003805E8">
        <w:t xml:space="preserve">East </w:t>
      </w:r>
      <w:r w:rsidRPr="00D4602F">
        <w:t xml:space="preserve">Nusa </w:t>
      </w:r>
      <w:r w:rsidR="003805E8">
        <w:t>Tenggara</w:t>
      </w:r>
      <w:r w:rsidR="00A976FD">
        <w:t xml:space="preserve"> increased by 160 per cent</w:t>
      </w:r>
      <w:r w:rsidRPr="00D4602F">
        <w:t xml:space="preserve">, new producers </w:t>
      </w:r>
      <w:r>
        <w:t>entered the market</w:t>
      </w:r>
      <w:r w:rsidRPr="00D4602F">
        <w:t>,</w:t>
      </w:r>
      <w:r>
        <w:t xml:space="preserve"> and</w:t>
      </w:r>
      <w:r w:rsidRPr="00D4602F">
        <w:t xml:space="preserve"> the number of selling </w:t>
      </w:r>
      <w:r>
        <w:t>agents and breeder companies increased</w:t>
      </w:r>
      <w:r w:rsidR="001A700A">
        <w:t xml:space="preserve">.  </w:t>
      </w:r>
      <w:r w:rsidRPr="00D4602F">
        <w:t xml:space="preserve">In 2015, PRISMA </w:t>
      </w:r>
      <w:r w:rsidR="005D332A">
        <w:t>helped</w:t>
      </w:r>
      <w:r w:rsidR="005D332A" w:rsidRPr="00D4602F">
        <w:t xml:space="preserve"> </w:t>
      </w:r>
      <w:r w:rsidR="0057101E">
        <w:t>more than 9,000 farmer households (over 18,000</w:t>
      </w:r>
      <w:r w:rsidRPr="00D4602F">
        <w:t xml:space="preserve"> individual farmers) </w:t>
      </w:r>
      <w:r w:rsidR="00A976FD">
        <w:t xml:space="preserve">increase </w:t>
      </w:r>
      <w:r w:rsidR="005D332A">
        <w:t xml:space="preserve">their incomes by </w:t>
      </w:r>
      <w:r w:rsidR="004B7DCE">
        <w:t xml:space="preserve">an average of </w:t>
      </w:r>
      <w:r w:rsidR="00A976FD">
        <w:t>35 per cent</w:t>
      </w:r>
      <w:r w:rsidR="001A700A">
        <w:t xml:space="preserve">.  </w:t>
      </w:r>
      <w:r w:rsidR="00692740" w:rsidRPr="00356D9D">
        <w:t>PRISMA is on track to achieve its ambitious target of benefiting 300,000 poor farmers by 2018</w:t>
      </w:r>
      <w:r w:rsidR="00692740">
        <w:t xml:space="preserve">.  </w:t>
      </w:r>
    </w:p>
    <w:p w:rsidR="00EA7231" w:rsidRPr="00F015B0" w:rsidRDefault="00D64950" w:rsidP="00A03DA5">
      <w:r>
        <w:rPr>
          <w:noProof/>
          <w:lang w:val="en-AU" w:eastAsia="en-AU"/>
        </w:rPr>
        <mc:AlternateContent>
          <mc:Choice Requires="wps">
            <w:drawing>
              <wp:anchor distT="0" distB="0" distL="114300" distR="114300" simplePos="0" relativeHeight="251662336" behindDoc="1" locked="0" layoutInCell="1" allowOverlap="1">
                <wp:simplePos x="0" y="0"/>
                <wp:positionH relativeFrom="column">
                  <wp:posOffset>3954780</wp:posOffset>
                </wp:positionH>
                <wp:positionV relativeFrom="paragraph">
                  <wp:posOffset>890270</wp:posOffset>
                </wp:positionV>
                <wp:extent cx="2472690" cy="3696970"/>
                <wp:effectExtent l="0" t="0" r="3810" b="0"/>
                <wp:wrapTight wrapText="bothSides">
                  <wp:wrapPolygon edited="0">
                    <wp:start x="0" y="0"/>
                    <wp:lineTo x="0" y="21593"/>
                    <wp:lineTo x="21633" y="21593"/>
                    <wp:lineTo x="2163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3696970"/>
                        </a:xfrm>
                        <a:prstGeom prst="rect">
                          <a:avLst/>
                        </a:prstGeom>
                        <a:solidFill>
                          <a:sysClr val="window" lastClr="FFFFFF"/>
                        </a:solidFill>
                        <a:ln w="25400" cap="flat" cmpd="sng" algn="ctr">
                          <a:solidFill>
                            <a:srgbClr val="65C5B4"/>
                          </a:solidFill>
                          <a:prstDash val="solid"/>
                          <a:headEnd/>
                          <a:tailEnd/>
                        </a:ln>
                        <a:effectLst/>
                      </wps:spPr>
                      <wps:txbx>
                        <w:txbxContent>
                          <w:p w:rsidR="00547E6C" w:rsidRPr="00D4602F" w:rsidRDefault="00547E6C" w:rsidP="004128D5">
                            <w:pPr>
                              <w:rPr>
                                <w:b/>
                              </w:rPr>
                            </w:pPr>
                            <w:r>
                              <w:rPr>
                                <w:b/>
                              </w:rPr>
                              <w:t xml:space="preserve">Food Security </w:t>
                            </w:r>
                          </w:p>
                          <w:p w:rsidR="00547E6C" w:rsidRPr="005B6AC0" w:rsidRDefault="00547E6C" w:rsidP="004128D5">
                            <w:r>
                              <w:t xml:space="preserve">A </w:t>
                            </w:r>
                            <w:r w:rsidRPr="00A40713">
                              <w:t xml:space="preserve">factor affecting Indonesia’s food security is its trade policy settings, which increase the price of food for domestic consumers. While tariffs have reduced in 2015-16, non-tariff barriers are increasing. The </w:t>
                            </w:r>
                            <w:r w:rsidRPr="00A40713">
                              <w:rPr>
                                <w:b/>
                              </w:rPr>
                              <w:t>Indonesia-Australia Partnership on Food Security in the Red Meat and Cattle Sector</w:t>
                            </w:r>
                            <w:r w:rsidRPr="00A40713">
                              <w:t xml:space="preserve"> implemented an Australia Awards short course specifically designed for senior Indone</w:t>
                            </w:r>
                            <w:r>
                              <w:t>sian bureaucrats</w:t>
                            </w:r>
                            <w:r w:rsidRPr="00A40713">
                              <w:t xml:space="preserve"> to study evidence-based policy making in the livestock sector, with application to </w:t>
                            </w:r>
                            <w:r>
                              <w:t xml:space="preserve">trade policy and </w:t>
                            </w:r>
                            <w:r w:rsidRPr="00A40713">
                              <w:t>food se</w:t>
                            </w:r>
                            <w:r>
                              <w:t>curity</w:t>
                            </w:r>
                            <w:r w:rsidRPr="00A40713">
                              <w:t>. DFAT</w:t>
                            </w:r>
                            <w:r>
                              <w:t>, the Department of Agriculture</w:t>
                            </w:r>
                            <w:r w:rsidRPr="00A40713">
                              <w:t xml:space="preserve"> </w:t>
                            </w:r>
                            <w:r>
                              <w:t xml:space="preserve">and Water Resources </w:t>
                            </w:r>
                            <w:r w:rsidRPr="00A40713">
                              <w:t xml:space="preserve">and </w:t>
                            </w:r>
                            <w:r w:rsidRPr="00A477ED">
                              <w:t>the Australian Centre for Institutional Agricultural Research (ACIAR)</w:t>
                            </w:r>
                            <w:r w:rsidRPr="00A40713">
                              <w:rPr>
                                <w:b/>
                              </w:rPr>
                              <w:t xml:space="preserve"> </w:t>
                            </w:r>
                            <w:r w:rsidRPr="00A40713">
                              <w:t>also work closely to address fo</w:t>
                            </w:r>
                            <w:r>
                              <w:t xml:space="preserve">od security in Indonesia. </w:t>
                            </w:r>
                          </w:p>
                          <w:p w:rsidR="00547E6C" w:rsidRPr="00D4602F" w:rsidRDefault="00547E6C" w:rsidP="004128D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11.4pt;margin-top:70.1pt;width:194.7pt;height:29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" fillcolor="window" strokecolor="#65c5b4" strokeweight="2pt">
                <v:textbox>
                  <w:txbxContent>
                    <w:p w:rsidR="00547E6C" w:rsidRPr="00D4602F" w:rsidRDefault="00547E6C" w:rsidP="004128D5">
                      <w:pPr>
                        <w:rPr>
                          <w:b/>
                        </w:rPr>
                      </w:pPr>
                      <w:r>
                        <w:rPr>
                          <w:b/>
                        </w:rPr>
                        <w:t xml:space="preserve">Food Security </w:t>
                      </w:r>
                    </w:p>
                    <w:p w:rsidR="00547E6C" w:rsidRPr="005B6AC0" w:rsidRDefault="00547E6C" w:rsidP="004128D5">
                      <w:r>
                        <w:t xml:space="preserve">A </w:t>
                      </w:r>
                      <w:r w:rsidRPr="00A40713">
                        <w:t xml:space="preserve">factor affecting Indonesia’s food security is its trade policy settings, which increase the price of food for domestic consumers. While tariffs have reduced in 2015-16, non-tariff barriers are increasing. The </w:t>
                      </w:r>
                      <w:r w:rsidRPr="00A40713">
                        <w:rPr>
                          <w:b/>
                        </w:rPr>
                        <w:t>Indonesia-Australia Partnership on Food Security in the Red Meat and Cattle Sector</w:t>
                      </w:r>
                      <w:r w:rsidRPr="00A40713">
                        <w:t xml:space="preserve"> implemented an Australia Awards short course specifically designed for senior Indone</w:t>
                      </w:r>
                      <w:r>
                        <w:t>sian bureaucrats</w:t>
                      </w:r>
                      <w:r w:rsidRPr="00A40713">
                        <w:t xml:space="preserve"> to study evidence-based policy making in the livestock sector, with application to </w:t>
                      </w:r>
                      <w:r>
                        <w:t xml:space="preserve">trade policy and </w:t>
                      </w:r>
                      <w:r w:rsidRPr="00A40713">
                        <w:t>food se</w:t>
                      </w:r>
                      <w:r>
                        <w:t>curity</w:t>
                      </w:r>
                      <w:r w:rsidRPr="00A40713">
                        <w:t>. DFAT</w:t>
                      </w:r>
                      <w:r>
                        <w:t>, the Department of Agriculture</w:t>
                      </w:r>
                      <w:r w:rsidRPr="00A40713">
                        <w:t xml:space="preserve"> </w:t>
                      </w:r>
                      <w:r>
                        <w:t xml:space="preserve">and Water Resources </w:t>
                      </w:r>
                      <w:r w:rsidRPr="00A40713">
                        <w:t xml:space="preserve">and </w:t>
                      </w:r>
                      <w:r w:rsidRPr="00A477ED">
                        <w:t>the Australian Centre for Institutional Agricultural Research (ACIAR)</w:t>
                      </w:r>
                      <w:r w:rsidRPr="00A40713">
                        <w:rPr>
                          <w:b/>
                        </w:rPr>
                        <w:t xml:space="preserve"> </w:t>
                      </w:r>
                      <w:r w:rsidRPr="00A40713">
                        <w:t>also work closely to address fo</w:t>
                      </w:r>
                      <w:r>
                        <w:t xml:space="preserve">od security in Indonesia. </w:t>
                      </w:r>
                    </w:p>
                    <w:p w:rsidR="00547E6C" w:rsidRPr="00D4602F" w:rsidRDefault="00547E6C" w:rsidP="004128D5"/>
                  </w:txbxContent>
                </v:textbox>
                <w10:wrap type="tight"/>
              </v:shape>
            </w:pict>
          </mc:Fallback>
        </mc:AlternateContent>
      </w:r>
      <w:r w:rsidR="00EA7231" w:rsidRPr="00F015B0">
        <w:t>The ‘making markets work for the poor</w:t>
      </w:r>
      <w:r w:rsidR="00AC67E6">
        <w:t>’</w:t>
      </w:r>
      <w:r w:rsidR="00EA7231" w:rsidRPr="00F015B0">
        <w:t xml:space="preserve"> approach</w:t>
      </w:r>
      <w:r w:rsidR="00AC67E6">
        <w:t xml:space="preserve"> </w:t>
      </w:r>
      <w:r w:rsidR="00356D9D" w:rsidRPr="00F015B0">
        <w:t>has a 30 per cent</w:t>
      </w:r>
      <w:r w:rsidR="00EA7231" w:rsidRPr="00F015B0">
        <w:t xml:space="preserve"> failure rate built into the program. Potential failure is part of doing business</w:t>
      </w:r>
      <w:r w:rsidR="00A753AA">
        <w:t xml:space="preserve"> and informs decisions on</w:t>
      </w:r>
      <w:r w:rsidR="00356D9D" w:rsidRPr="00F015B0">
        <w:t xml:space="preserve"> </w:t>
      </w:r>
      <w:r w:rsidR="00EA7231" w:rsidRPr="00F015B0">
        <w:t>when to scale up or cut</w:t>
      </w:r>
      <w:r w:rsidR="00CD4435">
        <w:t xml:space="preserve"> interventions.  </w:t>
      </w:r>
      <w:r w:rsidR="00EA7231" w:rsidRPr="00F015B0">
        <w:t>Performanc</w:t>
      </w:r>
      <w:r w:rsidR="00356D9D" w:rsidRPr="00F015B0">
        <w:t>e is assessed on</w:t>
      </w:r>
      <w:r w:rsidR="00AC6BEA">
        <w:t xml:space="preserve"> </w:t>
      </w:r>
      <w:r w:rsidR="00EA7231" w:rsidRPr="00F015B0">
        <w:t>t</w:t>
      </w:r>
      <w:r w:rsidR="00356D9D" w:rsidRPr="00F015B0">
        <w:t xml:space="preserve">he potential </w:t>
      </w:r>
      <w:r w:rsidR="00AC6BEA">
        <w:t>for high outreach,</w:t>
      </w:r>
      <w:r w:rsidR="00356D9D" w:rsidRPr="00F015B0">
        <w:t xml:space="preserve"> the </w:t>
      </w:r>
      <w:r w:rsidR="00EA7231" w:rsidRPr="00F015B0">
        <w:t>potential for syst</w:t>
      </w:r>
      <w:r w:rsidR="00AC6BEA">
        <w:t xml:space="preserve">emic change, </w:t>
      </w:r>
      <w:r w:rsidR="00CB01CE">
        <w:t>and value for money.</w:t>
      </w:r>
      <w:r w:rsidR="001A700A">
        <w:t xml:space="preserve">  </w:t>
      </w:r>
      <w:r w:rsidR="00A753AA">
        <w:t>PRISMA decided to cease funding</w:t>
      </w:r>
      <w:r w:rsidR="00EA7231" w:rsidRPr="00F015B0">
        <w:t xml:space="preserve"> a fish cag</w:t>
      </w:r>
      <w:r w:rsidR="003805E8">
        <w:t xml:space="preserve">e farming project in East Java because it </w:t>
      </w:r>
      <w:r w:rsidR="00EA7231" w:rsidRPr="00F015B0">
        <w:t>was assessed as having poor</w:t>
      </w:r>
      <w:r w:rsidR="00356D9D" w:rsidRPr="00F015B0">
        <w:t xml:space="preserve"> outreach and sustainabilit</w:t>
      </w:r>
      <w:r w:rsidR="001A700A">
        <w:t xml:space="preserve">y.  </w:t>
      </w:r>
      <w:r w:rsidR="00356D9D" w:rsidRPr="00F015B0">
        <w:t>Th</w:t>
      </w:r>
      <w:r w:rsidR="00EA7231" w:rsidRPr="00F015B0">
        <w:t xml:space="preserve">e financial access model was </w:t>
      </w:r>
      <w:r w:rsidR="00356D9D" w:rsidRPr="00F015B0">
        <w:t>also deemed un</w:t>
      </w:r>
      <w:r w:rsidR="00EA7231" w:rsidRPr="00F015B0">
        <w:t xml:space="preserve">sustainable </w:t>
      </w:r>
      <w:r w:rsidR="00CD4435">
        <w:t xml:space="preserve">without ongoing PRISMA funding.  </w:t>
      </w:r>
      <w:r w:rsidR="00EA7231" w:rsidRPr="00F015B0">
        <w:t xml:space="preserve">After 18 months of implementation, PRISMA cut </w:t>
      </w:r>
      <w:r w:rsidR="00406B3A">
        <w:t xml:space="preserve">this project and identified </w:t>
      </w:r>
      <w:r w:rsidR="00EA7231" w:rsidRPr="00F015B0">
        <w:t xml:space="preserve">lessons learned </w:t>
      </w:r>
      <w:r w:rsidR="00356D9D" w:rsidRPr="00F015B0">
        <w:t>to inform future investments</w:t>
      </w:r>
      <w:r w:rsidR="00B31A06" w:rsidRPr="00F015B0">
        <w:t xml:space="preserve">. </w:t>
      </w:r>
    </w:p>
    <w:p w:rsidR="00A03DA5" w:rsidRPr="00DF74F2" w:rsidRDefault="00A03DA5" w:rsidP="00A03DA5">
      <w:r>
        <w:rPr>
          <w:b/>
        </w:rPr>
        <w:t>The Applied Research and Innovation Systems in Agriculture (</w:t>
      </w:r>
      <w:r w:rsidRPr="00EA6E7E">
        <w:rPr>
          <w:b/>
        </w:rPr>
        <w:t>ARISA</w:t>
      </w:r>
      <w:r>
        <w:rPr>
          <w:b/>
        </w:rPr>
        <w:t xml:space="preserve">) </w:t>
      </w:r>
      <w:r>
        <w:t>component of AIP-</w:t>
      </w:r>
      <w:r w:rsidRPr="00FA5841">
        <w:t>Rural</w:t>
      </w:r>
      <w:r w:rsidR="00B029ED">
        <w:t xml:space="preserve"> managed by CSIRO </w:t>
      </w:r>
      <w:r w:rsidRPr="00FA5841">
        <w:t>facilitated new relationships between research institutions and the</w:t>
      </w:r>
      <w:r w:rsidRPr="00D4602F">
        <w:t xml:space="preserve"> private sector to commerci</w:t>
      </w:r>
      <w:r w:rsidR="00CD4435">
        <w:t>a</w:t>
      </w:r>
      <w:r w:rsidR="001A700A">
        <w:t xml:space="preserve">lise agricultural innovations.  </w:t>
      </w:r>
      <w:r w:rsidRPr="00D4602F">
        <w:t>ARISA partnered with IPM Technologies Australia</w:t>
      </w:r>
      <w:r w:rsidR="008F3EBA">
        <w:t xml:space="preserve"> </w:t>
      </w:r>
      <w:r w:rsidRPr="00D4602F">
        <w:t xml:space="preserve">to conduct an integrated pest management pilot in </w:t>
      </w:r>
      <w:r>
        <w:t xml:space="preserve">the </w:t>
      </w:r>
      <w:r w:rsidRPr="00D4602F">
        <w:t>shallot</w:t>
      </w:r>
      <w:r>
        <w:t xml:space="preserve"> sector</w:t>
      </w:r>
      <w:r w:rsidRPr="00D4602F">
        <w:t xml:space="preserve"> in East Java, </w:t>
      </w:r>
      <w:r w:rsidR="00B029ED">
        <w:t>which</w:t>
      </w:r>
      <w:r w:rsidR="00A40713">
        <w:t xml:space="preserve"> reduce</w:t>
      </w:r>
      <w:r w:rsidR="00B029ED">
        <w:t>d</w:t>
      </w:r>
      <w:r w:rsidR="00A40713">
        <w:t xml:space="preserve"> insecticide use while increasing production by 45 per cent. </w:t>
      </w:r>
    </w:p>
    <w:p w:rsidR="00B31A06" w:rsidRDefault="00A03DA5" w:rsidP="00B31A06">
      <w:r>
        <w:t>T</w:t>
      </w:r>
      <w:r w:rsidR="00AC6BEA">
        <w:t xml:space="preserve">hrough our </w:t>
      </w:r>
      <w:r w:rsidR="00A753AA">
        <w:t>key social protection</w:t>
      </w:r>
      <w:r w:rsidR="00AC6BEA">
        <w:t xml:space="preserve"> </w:t>
      </w:r>
      <w:r w:rsidR="00F747F5">
        <w:t xml:space="preserve">program </w:t>
      </w:r>
      <w:r w:rsidR="00AC6BEA">
        <w:t>(</w:t>
      </w:r>
      <w:r w:rsidR="00B31A06">
        <w:t>MAHKOTA</w:t>
      </w:r>
      <w:r w:rsidR="00AC6BEA">
        <w:t>)</w:t>
      </w:r>
      <w:r w:rsidR="00B31A06">
        <w:t xml:space="preserve">, Australia </w:t>
      </w:r>
      <w:r w:rsidRPr="00D4602F">
        <w:t>supported</w:t>
      </w:r>
      <w:r w:rsidR="00B31A06">
        <w:t xml:space="preserve"> the</w:t>
      </w:r>
      <w:r w:rsidRPr="00D4602F">
        <w:t xml:space="preserve"> </w:t>
      </w:r>
      <w:r w:rsidRPr="002571D1">
        <w:rPr>
          <w:b/>
        </w:rPr>
        <w:t>National Team for the Acceleration of Poverty Reduction (TNP2K)</w:t>
      </w:r>
      <w:r w:rsidR="003B4271">
        <w:t xml:space="preserve"> in the Vice President’s office </w:t>
      </w:r>
      <w:r w:rsidR="00B31A06">
        <w:t>to produce</w:t>
      </w:r>
      <w:r w:rsidR="003B4271" w:rsidRPr="00D4602F">
        <w:t xml:space="preserve"> two studies and a working paper</w:t>
      </w:r>
      <w:r w:rsidR="003B4271">
        <w:t xml:space="preserve"> proposing changes to the </w:t>
      </w:r>
      <w:r w:rsidRPr="00D4602F">
        <w:t>People’s Business Credit Program (</w:t>
      </w:r>
      <w:proofErr w:type="spellStart"/>
      <w:r w:rsidR="00AF6B24">
        <w:fldChar w:fldCharType="begin"/>
      </w:r>
      <w:r w:rsidR="00AF6B24">
        <w:instrText xml:space="preserve"> HYPERLINK "http://kur.ekon.go.id/" </w:instrText>
      </w:r>
      <w:r w:rsidR="00AF6B24">
        <w:fldChar w:fldCharType="separate"/>
      </w:r>
      <w:r w:rsidRPr="00CB3CF3">
        <w:t>Kredit</w:t>
      </w:r>
      <w:proofErr w:type="spellEnd"/>
      <w:r w:rsidRPr="00D4602F">
        <w:t xml:space="preserve"> Usaha Rakyat – KUR</w:t>
      </w:r>
      <w:r w:rsidR="00AF6B24">
        <w:fldChar w:fldCharType="end"/>
      </w:r>
      <w:r w:rsidR="001A700A">
        <w:t xml:space="preserve">).  </w:t>
      </w:r>
      <w:r w:rsidR="003B4271">
        <w:t>KUR offers</w:t>
      </w:r>
      <w:r w:rsidR="00AC6BEA">
        <w:t xml:space="preserve"> s</w:t>
      </w:r>
      <w:r>
        <w:t>tate-subsidised credit t</w:t>
      </w:r>
      <w:r w:rsidR="00CD4435">
        <w:t>o small and medium enterprises</w:t>
      </w:r>
      <w:r w:rsidR="00753642">
        <w:t xml:space="preserve"> which could not otherwise access </w:t>
      </w:r>
      <w:r w:rsidR="006527EE">
        <w:t xml:space="preserve">affordable </w:t>
      </w:r>
      <w:r w:rsidR="00753642">
        <w:t>credit</w:t>
      </w:r>
      <w:r w:rsidR="001A700A">
        <w:t xml:space="preserve">.  </w:t>
      </w:r>
      <w:r w:rsidRPr="00D4602F">
        <w:t xml:space="preserve">TNP2K </w:t>
      </w:r>
      <w:r w:rsidR="003B4271">
        <w:t>recommended</w:t>
      </w:r>
      <w:r w:rsidRPr="00D4602F">
        <w:t xml:space="preserve"> </w:t>
      </w:r>
      <w:r w:rsidR="003B4271">
        <w:t>reducing</w:t>
      </w:r>
      <w:r w:rsidRPr="00D4602F">
        <w:t xml:space="preserve"> the KUR interest rate and </w:t>
      </w:r>
      <w:r w:rsidR="003B4271">
        <w:t>integrating</w:t>
      </w:r>
      <w:r w:rsidRPr="00D4602F">
        <w:t xml:space="preserve"> a</w:t>
      </w:r>
      <w:r w:rsidR="00AC6BEA">
        <w:t>ll micro-</w:t>
      </w:r>
      <w:r w:rsidR="003B4271">
        <w:t xml:space="preserve">credit programs </w:t>
      </w:r>
      <w:r w:rsidR="001A700A">
        <w:t xml:space="preserve">into KUR.  </w:t>
      </w:r>
      <w:r w:rsidRPr="00D4602F">
        <w:t xml:space="preserve">The Widodo Government’s </w:t>
      </w:r>
      <w:hyperlink r:id="rId17" w:history="1">
        <w:r w:rsidR="00BE2541">
          <w:t>third economic policy pa</w:t>
        </w:r>
        <w:r w:rsidRPr="00D4602F">
          <w:t>ckage</w:t>
        </w:r>
      </w:hyperlink>
      <w:r w:rsidRPr="00D4602F">
        <w:t xml:space="preserve">, released in October 2015, </w:t>
      </w:r>
      <w:r w:rsidR="00753642">
        <w:t xml:space="preserve">subsequently </w:t>
      </w:r>
      <w:r w:rsidRPr="00D4602F">
        <w:t>lowere</w:t>
      </w:r>
      <w:r w:rsidR="003B4271">
        <w:t xml:space="preserve">d </w:t>
      </w:r>
      <w:r w:rsidRPr="00D4602F">
        <w:t>KUR</w:t>
      </w:r>
      <w:r w:rsidR="003B4271">
        <w:t xml:space="preserve">’s </w:t>
      </w:r>
      <w:r w:rsidRPr="00D4602F">
        <w:t>interes</w:t>
      </w:r>
      <w:r w:rsidR="00A40713">
        <w:t>t rate from 22 per cent</w:t>
      </w:r>
      <w:r w:rsidR="003B4271">
        <w:t xml:space="preserve"> to 12</w:t>
      </w:r>
      <w:r w:rsidR="00200133">
        <w:t xml:space="preserve"> per cent (further lowered to 9 </w:t>
      </w:r>
      <w:r w:rsidR="00A40713">
        <w:t>per cent</w:t>
      </w:r>
      <w:r w:rsidRPr="00D4602F">
        <w:t xml:space="preserve"> in 2016) and </w:t>
      </w:r>
      <w:r w:rsidR="00753642">
        <w:t xml:space="preserve">consolidated several </w:t>
      </w:r>
      <w:r w:rsidR="003B4271">
        <w:t>microcredit programs into</w:t>
      </w:r>
      <w:r w:rsidRPr="00D4602F">
        <w:t xml:space="preserve"> </w:t>
      </w:r>
      <w:r w:rsidR="003B4271">
        <w:t>KUR</w:t>
      </w:r>
      <w:r w:rsidRPr="00D4602F">
        <w:t>.</w:t>
      </w:r>
      <w:r w:rsidR="00753642">
        <w:t xml:space="preserve"> This will enable more small enterprises to access affordable finance.</w:t>
      </w:r>
    </w:p>
    <w:p w:rsidR="007F454D" w:rsidRPr="00D4602F" w:rsidRDefault="007F454D" w:rsidP="00CA6E63">
      <w:pPr>
        <w:rPr>
          <w:b/>
        </w:rPr>
      </w:pPr>
      <w:r w:rsidRPr="00147E01">
        <w:rPr>
          <w:b/>
        </w:rPr>
        <w:t xml:space="preserve">Outcome 3: </w:t>
      </w:r>
      <w:r w:rsidR="001C4416" w:rsidRPr="00147E01">
        <w:rPr>
          <w:b/>
        </w:rPr>
        <w:t>Enhanced quality of government spending</w:t>
      </w:r>
    </w:p>
    <w:p w:rsidR="00147E01" w:rsidRDefault="00E143E9" w:rsidP="00147E01">
      <w:r>
        <w:t>Sustained efforts at the national level across central agencies a</w:t>
      </w:r>
      <w:r w:rsidR="001A700A">
        <w:t xml:space="preserve">re producing results.  </w:t>
      </w:r>
      <w:r w:rsidR="00176EDA">
        <w:t>M</w:t>
      </w:r>
      <w:r>
        <w:t>ore</w:t>
      </w:r>
      <w:r w:rsidR="009A6DCE">
        <w:t xml:space="preserve"> recently introduced programs</w:t>
      </w:r>
      <w:r>
        <w:t xml:space="preserve"> at the sub-national level will take longer to demonstrate success</w:t>
      </w:r>
      <w:r w:rsidR="00176EDA">
        <w:t>, although we are pleased with progress to date on such a complex issue</w:t>
      </w:r>
      <w:r w:rsidR="001A700A">
        <w:t xml:space="preserve">.  </w:t>
      </w:r>
      <w:r w:rsidR="003A23BB">
        <w:t>W</w:t>
      </w:r>
      <w:r w:rsidR="00605D30">
        <w:t xml:space="preserve">here our </w:t>
      </w:r>
      <w:r w:rsidR="00147E01">
        <w:t>advice has alrea</w:t>
      </w:r>
      <w:r w:rsidR="00A40713">
        <w:t>dy influenced policy decisions</w:t>
      </w:r>
      <w:r>
        <w:t>,</w:t>
      </w:r>
      <w:r w:rsidR="00A40713">
        <w:t xml:space="preserve"> </w:t>
      </w:r>
      <w:r w:rsidR="00147E01">
        <w:t xml:space="preserve">it </w:t>
      </w:r>
      <w:r w:rsidR="00605D30">
        <w:t xml:space="preserve">will take </w:t>
      </w:r>
      <w:r w:rsidR="00147E01">
        <w:t xml:space="preserve">time </w:t>
      </w:r>
      <w:r w:rsidR="00CB3CF3">
        <w:t>for the Indonesian G</w:t>
      </w:r>
      <w:r w:rsidR="00B029ED">
        <w:t xml:space="preserve">overnment </w:t>
      </w:r>
      <w:r w:rsidR="00147E01">
        <w:t>to enhance revenue and</w:t>
      </w:r>
      <w:r w:rsidR="003A23BB">
        <w:t xml:space="preserve"> the quality of</w:t>
      </w:r>
      <w:r w:rsidR="00147E01">
        <w:t xml:space="preserve"> expenditure</w:t>
      </w:r>
      <w:r w:rsidR="00A40713">
        <w:t xml:space="preserve"> to achieve </w:t>
      </w:r>
      <w:r w:rsidR="00B31A06">
        <w:t>stronger growth and better service delivery outcomes</w:t>
      </w:r>
      <w:r w:rsidR="001A700A">
        <w:t xml:space="preserve">.  </w:t>
      </w:r>
      <w:r>
        <w:t>This demonstra</w:t>
      </w:r>
      <w:r w:rsidR="003A23BB">
        <w:t>tes the partnership approach. Australia</w:t>
      </w:r>
      <w:r>
        <w:t xml:space="preserve"> will </w:t>
      </w:r>
      <w:r w:rsidR="00147E01">
        <w:t xml:space="preserve">stay the course where reforms are likely to take a long time to come to fruition, and pull back from efforts which Indonesia may consider but ultimately reject. </w:t>
      </w:r>
    </w:p>
    <w:p w:rsidR="00B31A06" w:rsidRPr="006314D9" w:rsidRDefault="00AC67E6" w:rsidP="00B31A06">
      <w:r>
        <w:t xml:space="preserve">AIPEG presented </w:t>
      </w:r>
      <w:r w:rsidR="00B31A06" w:rsidRPr="006314D9">
        <w:t>medium</w:t>
      </w:r>
      <w:r w:rsidR="00C72757">
        <w:t>-term macro-fiscal analysis to m</w:t>
      </w:r>
      <w:r w:rsidR="00B31A06" w:rsidRPr="006314D9">
        <w:t>inisters and advisers across the three co</w:t>
      </w:r>
      <w:r w:rsidR="00915C5A">
        <w:t>re economic ministries (the C</w:t>
      </w:r>
      <w:r w:rsidR="006314D9">
        <w:t>oordinating Ministry for Economic Affairs, the Ministry of Finance</w:t>
      </w:r>
      <w:r w:rsidR="00B31A06" w:rsidRPr="006314D9">
        <w:t xml:space="preserve"> and </w:t>
      </w:r>
      <w:r w:rsidR="006314D9">
        <w:t>th</w:t>
      </w:r>
      <w:r w:rsidR="00915C5A">
        <w:t>e Development Planning Ministry</w:t>
      </w:r>
      <w:r w:rsidR="006314D9">
        <w:t>) showing a fast-</w:t>
      </w:r>
      <w:r w:rsidR="00B31A06" w:rsidRPr="006314D9">
        <w:t>growing gap</w:t>
      </w:r>
      <w:r w:rsidR="001A700A">
        <w:t xml:space="preserve"> between spending and revenue.  </w:t>
      </w:r>
      <w:r w:rsidR="00B31A06" w:rsidRPr="006314D9">
        <w:t xml:space="preserve">As a result, </w:t>
      </w:r>
      <w:r w:rsidR="00B31A06" w:rsidRPr="006314D9">
        <w:lastRenderedPageBreak/>
        <w:t xml:space="preserve">work has been commissioned on a </w:t>
      </w:r>
      <w:r w:rsidR="00B31A06" w:rsidRPr="00073E54">
        <w:rPr>
          <w:b/>
        </w:rPr>
        <w:t>roadmap for revenue reform, expenditure efficiency and further development of financial markets</w:t>
      </w:r>
      <w:r w:rsidR="001A700A">
        <w:t xml:space="preserve">.  </w:t>
      </w:r>
      <w:r w:rsidR="00B31A06" w:rsidRPr="006314D9">
        <w:t xml:space="preserve">AIPEG also </w:t>
      </w:r>
      <w:r w:rsidR="00915C5A">
        <w:t>advised on</w:t>
      </w:r>
      <w:r w:rsidR="00B31A06" w:rsidRPr="006314D9">
        <w:t xml:space="preserve"> the adoption of more realistic assumptions for the 2017 bud</w:t>
      </w:r>
      <w:r w:rsidR="00915C5A">
        <w:t xml:space="preserve">get as part of building </w:t>
      </w:r>
      <w:r w:rsidR="00B31A06" w:rsidRPr="006314D9">
        <w:t xml:space="preserve">momentum for reform. </w:t>
      </w:r>
    </w:p>
    <w:p w:rsidR="00B31A06" w:rsidRPr="006314D9" w:rsidRDefault="00B31A06" w:rsidP="00147E01">
      <w:r w:rsidRPr="006314D9">
        <w:t xml:space="preserve">At the central level, AIPEG supported greater budget transparency </w:t>
      </w:r>
      <w:r w:rsidR="00915C5A">
        <w:t>for</w:t>
      </w:r>
      <w:r w:rsidRPr="006314D9">
        <w:t xml:space="preserve"> increased accountabi</w:t>
      </w:r>
      <w:r w:rsidR="001A700A">
        <w:t xml:space="preserve">lity and spending efficiency.  </w:t>
      </w:r>
      <w:r w:rsidR="00915C5A">
        <w:t>B</w:t>
      </w:r>
      <w:r w:rsidRPr="006314D9">
        <w:t xml:space="preserve">udget documents now detail </w:t>
      </w:r>
      <w:r w:rsidR="006314D9">
        <w:t>infrastructure spending, medium-</w:t>
      </w:r>
      <w:r w:rsidRPr="006314D9">
        <w:t>term expenditure requiremen</w:t>
      </w:r>
      <w:r w:rsidR="00915C5A">
        <w:t xml:space="preserve">ts and categories that are </w:t>
      </w:r>
      <w:r w:rsidRPr="006314D9">
        <w:t>in line</w:t>
      </w:r>
      <w:r w:rsidR="001A700A">
        <w:t xml:space="preserve"> with international standards.  </w:t>
      </w:r>
      <w:r w:rsidRPr="006314D9">
        <w:t>Improved budget transparency was also adopted as</w:t>
      </w:r>
      <w:r w:rsidR="00A716DA">
        <w:t xml:space="preserve"> a 2016 performance indicator by</w:t>
      </w:r>
      <w:r w:rsidRPr="006314D9">
        <w:t xml:space="preserve"> the Ministry of Finance. </w:t>
      </w:r>
    </w:p>
    <w:p w:rsidR="00147E01" w:rsidRDefault="00147E01" w:rsidP="00147E01">
      <w:r>
        <w:t>Results from o</w:t>
      </w:r>
      <w:r w:rsidR="00F015B0">
        <w:t xml:space="preserve">ur </w:t>
      </w:r>
      <w:r w:rsidR="00F015B0" w:rsidRPr="00073E54">
        <w:rPr>
          <w:b/>
        </w:rPr>
        <w:t>water and sanitation program</w:t>
      </w:r>
      <w:r w:rsidR="00F015B0">
        <w:t xml:space="preserve">, presented under Outcome 4, </w:t>
      </w:r>
      <w:r>
        <w:t>included Indonesia adopting a new budget measure to incentivise local governments to connect more poor households to</w:t>
      </w:r>
      <w:r w:rsidR="00B31A06">
        <w:t xml:space="preserve"> improved water and sanitation </w:t>
      </w:r>
      <w:r w:rsidR="00B31A06" w:rsidRPr="00F015B0">
        <w:t>through a performance-base</w:t>
      </w:r>
      <w:r w:rsidR="00CD4435">
        <w:t>d</w:t>
      </w:r>
      <w:r w:rsidR="001A700A">
        <w:t xml:space="preserve"> government funding mechanism.  </w:t>
      </w:r>
      <w:r w:rsidR="00B31A06" w:rsidRPr="00F015B0">
        <w:t xml:space="preserve">In 2015-16, </w:t>
      </w:r>
      <w:proofErr w:type="spellStart"/>
      <w:r w:rsidR="00B31A06" w:rsidRPr="00F015B0">
        <w:t>I</w:t>
      </w:r>
      <w:r w:rsidR="00352763">
        <w:t>ndII</w:t>
      </w:r>
      <w:proofErr w:type="spellEnd"/>
      <w:r w:rsidR="00352763">
        <w:t xml:space="preserve"> worked with the g</w:t>
      </w:r>
      <w:r w:rsidR="009A4278">
        <w:t>overnment</w:t>
      </w:r>
      <w:r w:rsidR="00B31A06" w:rsidRPr="00F015B0">
        <w:t xml:space="preserve"> to improve the mechanism to optimise efficiency and ensure its can be replicated throughout </w:t>
      </w:r>
      <w:r w:rsidR="001A700A">
        <w:t xml:space="preserve">the country.  </w:t>
      </w:r>
      <w:r w:rsidR="00B31A06" w:rsidRPr="00F015B0">
        <w:t>With the size of subnational transfers rising (see below), improving the ta</w:t>
      </w:r>
      <w:r w:rsidR="00E143E9">
        <w:t>rgeting and performance of such</w:t>
      </w:r>
      <w:r w:rsidR="00B31A06" w:rsidRPr="00F015B0">
        <w:t xml:space="preserve"> grants will be crucial for poverty alleviation in years to come.      </w:t>
      </w:r>
    </w:p>
    <w:p w:rsidR="00B31A06" w:rsidRPr="005C5473" w:rsidRDefault="00147E01" w:rsidP="00B31A06">
      <w:r w:rsidRPr="002C26D2">
        <w:t xml:space="preserve">Through the GPF program, </w:t>
      </w:r>
      <w:r w:rsidR="00B31A06" w:rsidRPr="00F015B0">
        <w:t xml:space="preserve">the </w:t>
      </w:r>
      <w:r w:rsidR="00B31A06" w:rsidRPr="00073E54">
        <w:rPr>
          <w:b/>
        </w:rPr>
        <w:t>Austral</w:t>
      </w:r>
      <w:r w:rsidR="00DA1016">
        <w:rPr>
          <w:b/>
        </w:rPr>
        <w:t xml:space="preserve">ian National Audit Office </w:t>
      </w:r>
      <w:r w:rsidR="00B31A06" w:rsidRPr="00F015B0">
        <w:t>helped t</w:t>
      </w:r>
      <w:r w:rsidR="00E143E9">
        <w:t xml:space="preserve">he Indonesian Audit Board </w:t>
      </w:r>
      <w:r w:rsidR="00B31A06" w:rsidRPr="00F015B0">
        <w:t>to transition f</w:t>
      </w:r>
      <w:r w:rsidR="00CD4435">
        <w:t>r</w:t>
      </w:r>
      <w:r w:rsidR="001A700A">
        <w:t xml:space="preserve">om cash to accrual accounting.  </w:t>
      </w:r>
      <w:r w:rsidR="00B31A06" w:rsidRPr="00F015B0">
        <w:t xml:space="preserve">Managing government finances on an accrual basis rather than a cash basis is widely considered a better practice in public sector administration and has been adopted by a growing number of </w:t>
      </w:r>
      <w:r w:rsidR="001A700A">
        <w:t xml:space="preserve">countries.  </w:t>
      </w:r>
      <w:r w:rsidR="00B31A06" w:rsidRPr="00F015B0">
        <w:t xml:space="preserve">International experience shows audit offices play a key role </w:t>
      </w:r>
      <w:r w:rsidR="002A1F74">
        <w:t>in</w:t>
      </w:r>
      <w:r w:rsidR="00B31A06" w:rsidRPr="00F015B0">
        <w:t xml:space="preserve"> insti</w:t>
      </w:r>
      <w:r w:rsidR="002A1F74">
        <w:t>t</w:t>
      </w:r>
      <w:r w:rsidR="00CD00C6">
        <w:t>utionalising accrual accounting</w:t>
      </w:r>
      <w:r w:rsidR="002A1F74">
        <w:t>, and s</w:t>
      </w:r>
      <w:r w:rsidR="00B31A06" w:rsidRPr="00F015B0">
        <w:t>trengthened audit</w:t>
      </w:r>
      <w:r w:rsidR="004226CD">
        <w:t>ing</w:t>
      </w:r>
      <w:r w:rsidR="00B31A06" w:rsidRPr="00F015B0">
        <w:t xml:space="preserve"> on an accrual basis improve</w:t>
      </w:r>
      <w:r w:rsidR="002A1F74">
        <w:t>s</w:t>
      </w:r>
      <w:r w:rsidR="00B31A06" w:rsidRPr="00F015B0">
        <w:t xml:space="preserve"> the transparency of public sector finances.  </w:t>
      </w:r>
    </w:p>
    <w:p w:rsidR="00B31A06" w:rsidRPr="00F015B0" w:rsidRDefault="002A1F74" w:rsidP="00B31A06">
      <w:r>
        <w:t>Another</w:t>
      </w:r>
      <w:r w:rsidR="00073E54">
        <w:t xml:space="preserve"> </w:t>
      </w:r>
      <w:r>
        <w:t xml:space="preserve">achievement </w:t>
      </w:r>
      <w:r w:rsidR="0035587D">
        <w:t xml:space="preserve">under GPF </w:t>
      </w:r>
      <w:r w:rsidR="00B31A06" w:rsidRPr="00F015B0">
        <w:t>in 2016 was</w:t>
      </w:r>
      <w:r w:rsidR="0035587D">
        <w:t xml:space="preserve"> the</w:t>
      </w:r>
      <w:r w:rsidR="00B31A06" w:rsidRPr="00F015B0">
        <w:t xml:space="preserve"> </w:t>
      </w:r>
      <w:r>
        <w:t xml:space="preserve">creation by the </w:t>
      </w:r>
      <w:r w:rsidR="0035587D">
        <w:t xml:space="preserve">Indonesian </w:t>
      </w:r>
      <w:r w:rsidR="00B31A06" w:rsidRPr="00F015B0">
        <w:t>Ministry of Finance</w:t>
      </w:r>
      <w:r>
        <w:t xml:space="preserve"> </w:t>
      </w:r>
      <w:r w:rsidR="00CD4435">
        <w:t>of a tax oversight a</w:t>
      </w:r>
      <w:r w:rsidR="001A700A">
        <w:t xml:space="preserve">uthority.  </w:t>
      </w:r>
      <w:r>
        <w:t>This was the result of a longstanding partnership between the</w:t>
      </w:r>
      <w:r w:rsidRPr="00F015B0">
        <w:t xml:space="preserve"> </w:t>
      </w:r>
      <w:r w:rsidRPr="00073E54">
        <w:rPr>
          <w:b/>
        </w:rPr>
        <w:t>Australian Treasury</w:t>
      </w:r>
      <w:r w:rsidRPr="00F015B0">
        <w:t xml:space="preserve"> </w:t>
      </w:r>
      <w:r>
        <w:t>and</w:t>
      </w:r>
      <w:r w:rsidR="00DB7422">
        <w:t xml:space="preserve"> the G</w:t>
      </w:r>
      <w:r w:rsidRPr="00F015B0">
        <w:t>overnment of Indonesia</w:t>
      </w:r>
      <w:r w:rsidR="001A700A">
        <w:t xml:space="preserve">.  </w:t>
      </w:r>
      <w:r w:rsidR="0096253A">
        <w:t xml:space="preserve">This </w:t>
      </w:r>
      <w:r w:rsidR="00B31A06" w:rsidRPr="00F015B0">
        <w:t xml:space="preserve">body will help oversee and guide the creation of a new semi-autonomous revenue authority, which will </w:t>
      </w:r>
      <w:r w:rsidR="00BE2336">
        <w:t>change</w:t>
      </w:r>
      <w:r w:rsidR="00BE2336" w:rsidRPr="00F015B0">
        <w:t xml:space="preserve"> the</w:t>
      </w:r>
      <w:r w:rsidR="00B31A06" w:rsidRPr="00F015B0">
        <w:t xml:space="preserve"> way Indonesia formulates reven</w:t>
      </w:r>
      <w:r w:rsidR="00CD4435">
        <w:t xml:space="preserve">ue policies and collects taxes.  </w:t>
      </w:r>
      <w:r w:rsidR="00B31A06" w:rsidRPr="00F015B0">
        <w:t>Increasing tax revenue is important as Indonesia has one of the lowest revenue-to-GDP ratios among emerging economies (at only 13.1 per</w:t>
      </w:r>
      <w:r w:rsidR="0096253A">
        <w:t xml:space="preserve"> </w:t>
      </w:r>
      <w:r w:rsidR="00B31A06" w:rsidRPr="00F015B0">
        <w:t xml:space="preserve">cent in 2015), which constrains space for much needed public spending on infrastructure, education and health.  </w:t>
      </w:r>
    </w:p>
    <w:p w:rsidR="00B31A06" w:rsidRPr="00F015B0" w:rsidRDefault="00B31A06" w:rsidP="00B31A06">
      <w:r w:rsidRPr="00F015B0">
        <w:t xml:space="preserve">More than half of Indonesia’s national budget flows to sub-national governments, including </w:t>
      </w:r>
      <w:r w:rsidR="00CD00C6">
        <w:t>for</w:t>
      </w:r>
      <w:r w:rsidR="002A1F74">
        <w:t xml:space="preserve"> </w:t>
      </w:r>
      <w:r w:rsidR="001A700A">
        <w:t xml:space="preserve">basic service delivery.  </w:t>
      </w:r>
      <w:r w:rsidRPr="00F015B0">
        <w:t>In addition to the existi</w:t>
      </w:r>
      <w:r w:rsidR="002A1F74">
        <w:t>ng general allocation fund</w:t>
      </w:r>
      <w:r w:rsidRPr="00F015B0">
        <w:t>,</w:t>
      </w:r>
      <w:r w:rsidR="00CD00C6">
        <w:t xml:space="preserve"> specific allocation fund and</w:t>
      </w:r>
      <w:r w:rsidR="002A1F74">
        <w:t xml:space="preserve"> local incentive funds</w:t>
      </w:r>
      <w:r w:rsidRPr="00F015B0">
        <w:t xml:space="preserve"> </w:t>
      </w:r>
      <w:r w:rsidR="00F015B0">
        <w:t>transferred</w:t>
      </w:r>
      <w:r w:rsidRPr="00F015B0">
        <w:t xml:space="preserve"> to province</w:t>
      </w:r>
      <w:r w:rsidR="00F015B0">
        <w:t>s</w:t>
      </w:r>
      <w:r w:rsidRPr="00F015B0">
        <w:t xml:space="preserve"> and district</w:t>
      </w:r>
      <w:r w:rsidR="00F015B0">
        <w:t>s</w:t>
      </w:r>
      <w:r w:rsidR="00F10581">
        <w:t>, in 2015 the g</w:t>
      </w:r>
      <w:r w:rsidRPr="00F015B0">
        <w:t xml:space="preserve">overnment began implementing a new wave of decentralisation reforms under the </w:t>
      </w:r>
      <w:r w:rsidRPr="000C25F2">
        <w:rPr>
          <w:b/>
        </w:rPr>
        <w:t>Village Law</w:t>
      </w:r>
      <w:r w:rsidRPr="00F015B0">
        <w:t xml:space="preserve">, disbursing around </w:t>
      </w:r>
      <w:r w:rsidR="00F015B0" w:rsidRPr="002F7770">
        <w:t>AUD</w:t>
      </w:r>
      <w:r w:rsidRPr="002F7770">
        <w:t xml:space="preserve">2.1 billion </w:t>
      </w:r>
      <w:r w:rsidRPr="00F015B0">
        <w:t>to over 74,000 village governments across Indonesi</w:t>
      </w:r>
      <w:r w:rsidR="00CD4435">
        <w:t>a to s</w:t>
      </w:r>
      <w:r w:rsidR="001A700A">
        <w:t xml:space="preserve">upport local development.  </w:t>
      </w:r>
      <w:r w:rsidRPr="00F015B0">
        <w:t xml:space="preserve">In 2016, </w:t>
      </w:r>
      <w:r w:rsidR="00CD00C6" w:rsidRPr="00F015B0">
        <w:t xml:space="preserve">this figure will rise to </w:t>
      </w:r>
      <w:r w:rsidRPr="00F015B0">
        <w:t xml:space="preserve">around </w:t>
      </w:r>
      <w:r w:rsidR="00F015B0">
        <w:t>AUD</w:t>
      </w:r>
      <w:r w:rsidR="00200133">
        <w:t>4.7 </w:t>
      </w:r>
      <w:r w:rsidRPr="00F015B0">
        <w:t>billion, and in 2017 an estimated</w:t>
      </w:r>
      <w:r w:rsidR="00F015B0">
        <w:t xml:space="preserve"> AUD</w:t>
      </w:r>
      <w:r w:rsidRPr="00F015B0">
        <w:t xml:space="preserve">7.5 billion. </w:t>
      </w:r>
    </w:p>
    <w:p w:rsidR="00B31A06" w:rsidRPr="00F015B0" w:rsidRDefault="00811938" w:rsidP="002F7770">
      <w:r>
        <w:t>O</w:t>
      </w:r>
      <w:r w:rsidR="00B31A06" w:rsidRPr="00F015B0">
        <w:t>ur</w:t>
      </w:r>
      <w:r w:rsidR="002643C9">
        <w:t xml:space="preserve"> governance facility</w:t>
      </w:r>
      <w:r w:rsidR="00CB73C3">
        <w:t xml:space="preserve"> </w:t>
      </w:r>
      <w:r w:rsidR="00B31A06" w:rsidRPr="002F7770">
        <w:rPr>
          <w:b/>
        </w:rPr>
        <w:t>(KOMPAK)</w:t>
      </w:r>
      <w:r w:rsidR="00CB73C3">
        <w:t xml:space="preserve"> </w:t>
      </w:r>
      <w:r w:rsidR="00B31A06" w:rsidRPr="00F015B0">
        <w:t xml:space="preserve">and the </w:t>
      </w:r>
      <w:r w:rsidR="002A1F74">
        <w:rPr>
          <w:b/>
        </w:rPr>
        <w:t>PNPM Support Facility</w:t>
      </w:r>
      <w:r w:rsidR="002A1F74" w:rsidRPr="00CD00C6">
        <w:t xml:space="preserve"> (</w:t>
      </w:r>
      <w:r w:rsidR="002A1F74" w:rsidRPr="0096253A">
        <w:t>PSF,</w:t>
      </w:r>
      <w:r w:rsidR="002A1F74">
        <w:rPr>
          <w:b/>
        </w:rPr>
        <w:t xml:space="preserve"> </w:t>
      </w:r>
      <w:r w:rsidR="002A1F74">
        <w:t xml:space="preserve">managed by the World Bank) </w:t>
      </w:r>
      <w:r>
        <w:t xml:space="preserve">support reforms that enhance </w:t>
      </w:r>
      <w:r w:rsidR="00123EDD">
        <w:t xml:space="preserve">the </w:t>
      </w:r>
      <w:r>
        <w:t>quality of spending of these fiscal trans</w:t>
      </w:r>
      <w:r w:rsidR="00EE3901">
        <w:t>fers, including village funds</w:t>
      </w:r>
      <w:r w:rsidR="001A700A">
        <w:t xml:space="preserve">.  </w:t>
      </w:r>
      <w:r w:rsidR="00B31A06" w:rsidRPr="00F015B0">
        <w:t xml:space="preserve">Studies from KOMPAK and PSF helped </w:t>
      </w:r>
      <w:r w:rsidR="00F015B0">
        <w:t xml:space="preserve">the </w:t>
      </w:r>
      <w:r w:rsidR="00352763">
        <w:t>g</w:t>
      </w:r>
      <w:r w:rsidR="00B31A06" w:rsidRPr="00F015B0">
        <w:t>overnment identify that</w:t>
      </w:r>
      <w:r w:rsidR="00F015B0">
        <w:t xml:space="preserve"> the</w:t>
      </w:r>
      <w:r w:rsidR="002E15A9">
        <w:t xml:space="preserve"> spending of </w:t>
      </w:r>
      <w:r w:rsidR="00F015B0">
        <w:t>village f</w:t>
      </w:r>
      <w:r w:rsidR="00B31A06" w:rsidRPr="00F015B0">
        <w:t>unds in 2015 was no</w:t>
      </w:r>
      <w:r w:rsidR="00CD4435">
        <w:t>t</w:t>
      </w:r>
      <w:r w:rsidR="001A700A">
        <w:t xml:space="preserve"> well targeted to local needs.  </w:t>
      </w:r>
      <w:r w:rsidR="00B31A06" w:rsidRPr="00F015B0">
        <w:t xml:space="preserve">These programs are working with </w:t>
      </w:r>
      <w:r w:rsidR="00CB7197">
        <w:t xml:space="preserve">the </w:t>
      </w:r>
      <w:r w:rsidR="00352763">
        <w:t>g</w:t>
      </w:r>
      <w:r w:rsidR="00B31A06" w:rsidRPr="00F015B0">
        <w:t>overnment</w:t>
      </w:r>
      <w:r w:rsidR="00CB7197">
        <w:t xml:space="preserve"> </w:t>
      </w:r>
      <w:r w:rsidR="00B31A06" w:rsidRPr="00F015B0">
        <w:t>to improve the national policy framework, including developi</w:t>
      </w:r>
      <w:r w:rsidR="002E15A9">
        <w:t>ng guidelines for communities to agree</w:t>
      </w:r>
      <w:r w:rsidR="00B31A06" w:rsidRPr="00F015B0">
        <w:t xml:space="preserve"> developmen</w:t>
      </w:r>
      <w:r w:rsidR="00CD4435">
        <w:t>t</w:t>
      </w:r>
      <w:r w:rsidR="001A700A">
        <w:t xml:space="preserve"> priorities for village funds.  </w:t>
      </w:r>
      <w:r w:rsidR="00B31A06" w:rsidRPr="00F015B0">
        <w:t xml:space="preserve">KOMPAK is also working at the province and district level to </w:t>
      </w:r>
      <w:r w:rsidR="00EE3901">
        <w:t>strengthen</w:t>
      </w:r>
      <w:r w:rsidR="00B31A06" w:rsidRPr="00F015B0">
        <w:t xml:space="preserve"> t</w:t>
      </w:r>
      <w:r w:rsidR="00454BEB">
        <w:t xml:space="preserve">he </w:t>
      </w:r>
      <w:r w:rsidR="00B31A06" w:rsidRPr="00F015B0">
        <w:t>reporting</w:t>
      </w:r>
      <w:r w:rsidR="00605D30" w:rsidRPr="00605D30">
        <w:t xml:space="preserve"> </w:t>
      </w:r>
      <w:r w:rsidR="00605D30">
        <w:t>of fiscal transfers</w:t>
      </w:r>
      <w:r w:rsidR="00B31A06" w:rsidRPr="00F015B0">
        <w:t xml:space="preserve">. </w:t>
      </w:r>
    </w:p>
    <w:p w:rsidR="002A1F74" w:rsidRPr="00106054" w:rsidRDefault="002A1F74" w:rsidP="00CB73C3">
      <w:pPr>
        <w:suppressAutoHyphens w:val="0"/>
        <w:spacing w:before="0" w:after="120" w:line="440" w:lineRule="atLeast"/>
        <w:rPr>
          <w:rFonts w:ascii="Calibri" w:eastAsia="Times New Roman" w:hAnsi="Calibri"/>
          <w:caps/>
          <w:sz w:val="38"/>
          <w:szCs w:val="26"/>
        </w:rPr>
      </w:pPr>
    </w:p>
    <w:p w:rsidR="00C65CAD" w:rsidRPr="00106054" w:rsidRDefault="00C65CAD">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br w:type="page"/>
      </w:r>
    </w:p>
    <w:p w:rsidR="001970B0" w:rsidRPr="00106054" w:rsidRDefault="008C71BC" w:rsidP="00CB73C3">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lastRenderedPageBreak/>
        <w:t>OBJECTIVE 2</w:t>
      </w:r>
      <w:r w:rsidR="001970B0" w:rsidRPr="00106054">
        <w:rPr>
          <w:rFonts w:ascii="Calibri" w:eastAsia="Times New Roman" w:hAnsi="Calibri"/>
          <w:caps/>
          <w:sz w:val="38"/>
          <w:szCs w:val="26"/>
        </w:rPr>
        <w:t xml:space="preserve">: </w:t>
      </w:r>
      <w:r w:rsidR="00492744" w:rsidRPr="00106054">
        <w:rPr>
          <w:rFonts w:ascii="Calibri" w:eastAsia="Times New Roman" w:hAnsi="Calibri"/>
          <w:caps/>
          <w:sz w:val="38"/>
          <w:szCs w:val="26"/>
        </w:rPr>
        <w:t xml:space="preserve">human development for a productive and healthy society </w:t>
      </w:r>
    </w:p>
    <w:p w:rsidR="001970B0" w:rsidRPr="008C2F58" w:rsidRDefault="001970B0" w:rsidP="001970B0">
      <w:pPr>
        <w:rPr>
          <w:b/>
          <w:sz w:val="24"/>
        </w:rPr>
      </w:pPr>
      <w:r w:rsidRPr="008C2F58">
        <w:rPr>
          <w:b/>
          <w:sz w:val="24"/>
        </w:rPr>
        <w:t>Rating of the Program's Progress towards Australia’s Aid Objectives</w:t>
      </w:r>
    </w:p>
    <w:tbl>
      <w:tblPr>
        <w:tblW w:w="5363" w:type="pct"/>
        <w:tblCellSpacing w:w="14" w:type="dxa"/>
        <w:tblBorders>
          <w:top w:val="single" w:sz="12" w:space="0" w:color="000000"/>
          <w:bottom w:val="single" w:sz="12" w:space="0" w:color="000000"/>
        </w:tblBorders>
        <w:tblLook w:val="0000" w:firstRow="0" w:lastRow="0" w:firstColumn="0" w:lastColumn="0" w:noHBand="0" w:noVBand="0"/>
      </w:tblPr>
      <w:tblGrid>
        <w:gridCol w:w="47"/>
        <w:gridCol w:w="5726"/>
        <w:gridCol w:w="42"/>
        <w:gridCol w:w="1115"/>
        <w:gridCol w:w="429"/>
        <w:gridCol w:w="28"/>
        <w:gridCol w:w="439"/>
        <w:gridCol w:w="578"/>
        <w:gridCol w:w="467"/>
        <w:gridCol w:w="761"/>
        <w:gridCol w:w="706"/>
      </w:tblGrid>
      <w:tr w:rsidR="00F04098" w:rsidRPr="00106054" w:rsidTr="00106054">
        <w:trPr>
          <w:gridAfter w:val="1"/>
          <w:wAfter w:w="678" w:type="dxa"/>
          <w:trHeight w:val="651"/>
          <w:tblHeader/>
          <w:tblCellSpacing w:w="14" w:type="dxa"/>
        </w:trPr>
        <w:tc>
          <w:tcPr>
            <w:tcW w:w="5987" w:type="dxa"/>
            <w:gridSpan w:val="2"/>
            <w:tcBorders>
              <w:top w:val="nil"/>
              <w:left w:val="nil"/>
              <w:bottom w:val="nil"/>
              <w:right w:val="nil"/>
              <w:tl2br w:val="nil"/>
              <w:tr2bl w:val="nil"/>
            </w:tcBorders>
            <w:shd w:val="clear" w:color="auto" w:fill="auto"/>
          </w:tcPr>
          <w:p w:rsidR="00D42381" w:rsidRPr="00106054" w:rsidRDefault="00D64950" w:rsidP="00106054">
            <w:pPr>
              <w:keepLines/>
              <w:spacing w:before="80" w:after="80" w:line="200" w:lineRule="atLeast"/>
              <w:rPr>
                <w:rFonts w:eastAsia="Times New Roman"/>
                <w:b/>
                <w:iCs/>
                <w:sz w:val="17"/>
                <w:szCs w:val="17"/>
              </w:rPr>
            </w:pPr>
            <w:r>
              <w:rPr>
                <w:noProof/>
                <w:lang w:val="en-AU"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857375" cy="228600"/>
                  <wp:effectExtent l="0" t="0" r="0" b="0"/>
                  <wp:wrapNone/>
                  <wp:docPr id="8" name="Picture 1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9" w:type="dxa"/>
            <w:gridSpan w:val="2"/>
            <w:tcBorders>
              <w:top w:val="nil"/>
              <w:left w:val="nil"/>
              <w:bottom w:val="nil"/>
              <w:right w:val="nil"/>
              <w:tl2br w:val="nil"/>
              <w:tr2bl w:val="nil"/>
            </w:tcBorders>
            <w:shd w:val="clear" w:color="auto" w:fill="auto"/>
          </w:tcPr>
          <w:p w:rsidR="00D42381" w:rsidRPr="00106054" w:rsidRDefault="00D42381" w:rsidP="00106054">
            <w:pPr>
              <w:keepLines/>
              <w:spacing w:before="80" w:after="80" w:line="200" w:lineRule="atLeast"/>
              <w:jc w:val="center"/>
              <w:rPr>
                <w:rFonts w:eastAsia="Times New Roman"/>
                <w:b/>
                <w:iCs/>
                <w:sz w:val="17"/>
                <w:szCs w:val="17"/>
              </w:rPr>
            </w:pPr>
          </w:p>
        </w:tc>
        <w:tc>
          <w:tcPr>
            <w:tcW w:w="411" w:type="dxa"/>
            <w:tcBorders>
              <w:top w:val="nil"/>
              <w:left w:val="nil"/>
              <w:bottom w:val="nil"/>
              <w:right w:val="nil"/>
              <w:tl2br w:val="nil"/>
              <w:tr2bl w:val="nil"/>
            </w:tcBorders>
            <w:shd w:val="clear" w:color="auto" w:fill="auto"/>
          </w:tcPr>
          <w:p w:rsidR="00D42381" w:rsidRPr="00106054" w:rsidRDefault="00D42381" w:rsidP="00106054">
            <w:pPr>
              <w:keepLines/>
              <w:spacing w:before="80" w:after="80" w:line="200" w:lineRule="atLeast"/>
              <w:jc w:val="center"/>
              <w:rPr>
                <w:rFonts w:eastAsia="Times New Roman"/>
                <w:b/>
                <w:iCs/>
                <w:sz w:val="17"/>
                <w:szCs w:val="17"/>
              </w:rPr>
            </w:pPr>
          </w:p>
        </w:tc>
        <w:tc>
          <w:tcPr>
            <w:tcW w:w="1029" w:type="dxa"/>
            <w:gridSpan w:val="3"/>
            <w:tcBorders>
              <w:top w:val="nil"/>
              <w:left w:val="nil"/>
              <w:bottom w:val="nil"/>
              <w:right w:val="nil"/>
              <w:tl2br w:val="nil"/>
              <w:tr2bl w:val="nil"/>
            </w:tcBorders>
            <w:shd w:val="clear" w:color="auto" w:fill="auto"/>
          </w:tcPr>
          <w:p w:rsidR="00D42381" w:rsidRPr="00106054" w:rsidRDefault="00D42381" w:rsidP="00106054">
            <w:pPr>
              <w:keepLines/>
              <w:spacing w:before="80" w:after="80" w:line="200" w:lineRule="atLeast"/>
              <w:jc w:val="center"/>
              <w:rPr>
                <w:rFonts w:ascii="Franklin Gothic Book" w:eastAsia="Times New Roman" w:hAnsi="Franklin Gothic Book"/>
                <w:b/>
                <w:iCs/>
                <w:sz w:val="17"/>
                <w:szCs w:val="17"/>
                <w:lang w:eastAsia="en-AU"/>
              </w:rPr>
            </w:pPr>
            <w:r w:rsidRPr="00106054">
              <w:rPr>
                <w:rFonts w:eastAsia="Times New Roman"/>
                <w:b/>
                <w:iCs/>
                <w:sz w:val="17"/>
                <w:szCs w:val="17"/>
              </w:rPr>
              <w:t>Previous Rating</w:t>
            </w:r>
          </w:p>
        </w:tc>
        <w:tc>
          <w:tcPr>
            <w:tcW w:w="1200" w:type="dxa"/>
            <w:gridSpan w:val="2"/>
            <w:tcBorders>
              <w:top w:val="nil"/>
              <w:left w:val="nil"/>
              <w:bottom w:val="nil"/>
              <w:right w:val="nil"/>
              <w:tl2br w:val="nil"/>
              <w:tr2bl w:val="nil"/>
            </w:tcBorders>
            <w:shd w:val="clear" w:color="auto" w:fill="auto"/>
          </w:tcPr>
          <w:p w:rsidR="00F04098" w:rsidRPr="00106054" w:rsidRDefault="00F04098"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         Current</w:t>
            </w:r>
          </w:p>
          <w:p w:rsidR="00F04098" w:rsidRPr="00106054" w:rsidRDefault="00F04098" w:rsidP="00106054">
            <w:pPr>
              <w:keepLines/>
              <w:spacing w:before="80" w:after="80" w:line="200" w:lineRule="atLeast"/>
              <w:rPr>
                <w:rFonts w:eastAsia="Times New Roman"/>
                <w:b/>
                <w:iCs/>
                <w:sz w:val="17"/>
                <w:szCs w:val="17"/>
              </w:rPr>
            </w:pPr>
            <w:r w:rsidRPr="00106054">
              <w:rPr>
                <w:rFonts w:eastAsia="Times New Roman"/>
                <w:b/>
                <w:iCs/>
                <w:sz w:val="17"/>
                <w:szCs w:val="17"/>
              </w:rPr>
              <w:t xml:space="preserve">         Rating</w:t>
            </w:r>
          </w:p>
        </w:tc>
      </w:tr>
      <w:tr w:rsidR="00106054" w:rsidRPr="00106054" w:rsidTr="00106054">
        <w:trPr>
          <w:gridAfter w:val="1"/>
          <w:wAfter w:w="678" w:type="dxa"/>
          <w:trHeight w:val="326"/>
          <w:tblHeader/>
          <w:tblCellSpacing w:w="14" w:type="dxa"/>
        </w:trPr>
        <w:tc>
          <w:tcPr>
            <w:tcW w:w="5987" w:type="dxa"/>
            <w:gridSpan w:val="2"/>
            <w:shd w:val="clear" w:color="auto" w:fill="auto"/>
          </w:tcPr>
          <w:p w:rsidR="00D42381" w:rsidRPr="00106054" w:rsidRDefault="00D42381" w:rsidP="00106054">
            <w:pPr>
              <w:keepLines/>
              <w:spacing w:before="40" w:after="40" w:line="200" w:lineRule="atLeast"/>
              <w:rPr>
                <w:rFonts w:ascii="Franklin Gothic Book" w:eastAsia="Times New Roman" w:hAnsi="Franklin Gothic Book"/>
                <w:iCs/>
                <w:sz w:val="17"/>
                <w:szCs w:val="17"/>
                <w:lang w:eastAsia="en-AU"/>
              </w:rPr>
            </w:pPr>
            <w:r w:rsidRPr="00106054">
              <w:rPr>
                <w:rFonts w:eastAsia="Times New Roman"/>
                <w:iCs/>
                <w:sz w:val="17"/>
                <w:szCs w:val="17"/>
              </w:rPr>
              <w:t>Objective 2:</w:t>
            </w:r>
            <w:r w:rsidRPr="00106054">
              <w:rPr>
                <w:rFonts w:ascii="Franklin Gothic Book" w:eastAsia="Times New Roman" w:hAnsi="Franklin Gothic Book"/>
                <w:iCs/>
                <w:sz w:val="17"/>
                <w:szCs w:val="17"/>
                <w:lang w:eastAsia="en-AU"/>
              </w:rPr>
              <w:t xml:space="preserve"> Human Development for a Productive and Healthy Society </w:t>
            </w:r>
          </w:p>
        </w:tc>
        <w:tc>
          <w:tcPr>
            <w:tcW w:w="1129" w:type="dxa"/>
            <w:gridSpan w:val="2"/>
            <w:shd w:val="clear" w:color="auto" w:fill="auto"/>
            <w:noWrap/>
          </w:tcPr>
          <w:p w:rsidR="00D42381" w:rsidRPr="00106054" w:rsidRDefault="00D42381" w:rsidP="00106054">
            <w:pPr>
              <w:keepLines/>
              <w:spacing w:before="40" w:after="40" w:line="200" w:lineRule="atLeast"/>
              <w:jc w:val="center"/>
              <w:rPr>
                <w:rFonts w:ascii="Franklin Gothic Book" w:eastAsia="Times New Roman" w:hAnsi="Franklin Gothic Book"/>
                <w:iCs/>
                <w:sz w:val="17"/>
                <w:szCs w:val="17"/>
                <w:lang w:eastAsia="en-AU"/>
              </w:rPr>
            </w:pPr>
          </w:p>
        </w:tc>
        <w:tc>
          <w:tcPr>
            <w:tcW w:w="411" w:type="dxa"/>
            <w:shd w:val="clear" w:color="auto" w:fill="auto"/>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9" w:type="dxa"/>
            <w:gridSpan w:val="3"/>
            <w:shd w:val="clear" w:color="auto" w:fill="7FB64D"/>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c>
          <w:tcPr>
            <w:tcW w:w="1200" w:type="dxa"/>
            <w:gridSpan w:val="2"/>
            <w:shd w:val="clear" w:color="auto" w:fill="auto"/>
            <w:noWrap/>
          </w:tcPr>
          <w:p w:rsidR="00D42381" w:rsidRPr="00106054" w:rsidRDefault="00D42381" w:rsidP="00106054">
            <w:pPr>
              <w:keepLines/>
              <w:spacing w:before="40" w:after="40" w:line="200" w:lineRule="atLeast"/>
              <w:jc w:val="center"/>
              <w:rPr>
                <w:rFonts w:ascii="Franklin Gothic Book" w:eastAsia="Times New Roman" w:hAnsi="Franklin Gothic Book"/>
                <w:iCs/>
                <w:color w:val="auto"/>
                <w:sz w:val="17"/>
                <w:szCs w:val="17"/>
                <w:lang w:eastAsia="en-AU"/>
              </w:rPr>
            </w:pPr>
          </w:p>
        </w:tc>
      </w:tr>
      <w:tr w:rsidR="00106054" w:rsidRPr="00106054" w:rsidTr="00106054">
        <w:trPr>
          <w:gridBefore w:val="1"/>
          <w:trHeight w:val="326"/>
          <w:tblHeader/>
          <w:tblCellSpacing w:w="14" w:type="dxa"/>
        </w:trPr>
        <w:tc>
          <w:tcPr>
            <w:tcW w:w="6001" w:type="dxa"/>
            <w:gridSpan w:val="2"/>
            <w:vMerge w:val="restart"/>
            <w:tcBorders>
              <w:top w:val="nil"/>
              <w:left w:val="nil"/>
              <w:bottom w:val="nil"/>
              <w:right w:val="nil"/>
              <w:tl2br w:val="nil"/>
              <w:tr2bl w:val="nil"/>
            </w:tcBorders>
            <w:shd w:val="clear" w:color="auto" w:fill="auto"/>
          </w:tcPr>
          <w:p w:rsidR="00D42381" w:rsidRPr="00106054" w:rsidRDefault="00D42381" w:rsidP="00106054">
            <w:pPr>
              <w:keepLines/>
              <w:spacing w:before="40" w:after="40" w:line="200" w:lineRule="atLeast"/>
              <w:rPr>
                <w:rFonts w:eastAsia="Times New Roman"/>
                <w:i/>
                <w:iCs/>
                <w:sz w:val="17"/>
                <w:szCs w:val="17"/>
              </w:rPr>
            </w:pPr>
            <w:r w:rsidRPr="00106054">
              <w:rPr>
                <w:rFonts w:eastAsia="Times New Roman"/>
                <w:i/>
                <w:iCs/>
                <w:sz w:val="17"/>
                <w:szCs w:val="17"/>
              </w:rPr>
              <w:t xml:space="preserve">Outcome 4: Improved access to services and economic opportunities for all </w:t>
            </w:r>
          </w:p>
          <w:p w:rsidR="001E2E1B" w:rsidRPr="00106054" w:rsidRDefault="00D42381" w:rsidP="00106054">
            <w:pPr>
              <w:keepLines/>
              <w:spacing w:before="40" w:after="40" w:line="200" w:lineRule="atLeast"/>
              <w:rPr>
                <w:rFonts w:eastAsia="Times New Roman"/>
                <w:i/>
                <w:iCs/>
                <w:sz w:val="17"/>
                <w:szCs w:val="17"/>
              </w:rPr>
            </w:pPr>
            <w:r w:rsidRPr="00106054">
              <w:rPr>
                <w:rFonts w:eastAsia="Times New Roman"/>
                <w:i/>
                <w:iCs/>
                <w:sz w:val="17"/>
                <w:szCs w:val="17"/>
              </w:rPr>
              <w:t>Outcome 5: Improved quality of practices and pe</w:t>
            </w:r>
            <w:r w:rsidR="001E2E1B" w:rsidRPr="00106054">
              <w:rPr>
                <w:rFonts w:eastAsia="Times New Roman"/>
                <w:i/>
                <w:iCs/>
                <w:sz w:val="17"/>
                <w:szCs w:val="17"/>
              </w:rPr>
              <w:t xml:space="preserve">rsonnel in services </w:t>
            </w:r>
          </w:p>
          <w:p w:rsidR="00D42381" w:rsidRPr="00106054" w:rsidRDefault="00D42381" w:rsidP="00106054">
            <w:pPr>
              <w:keepLines/>
              <w:spacing w:before="40" w:after="40" w:line="200" w:lineRule="atLeast"/>
              <w:rPr>
                <w:rFonts w:eastAsia="Times New Roman"/>
                <w:i/>
                <w:iCs/>
                <w:sz w:val="17"/>
                <w:szCs w:val="17"/>
              </w:rPr>
            </w:pPr>
            <w:r w:rsidRPr="00106054">
              <w:rPr>
                <w:rFonts w:eastAsia="Times New Roman"/>
                <w:i/>
                <w:iCs/>
                <w:sz w:val="17"/>
                <w:szCs w:val="17"/>
              </w:rPr>
              <w:t>Outcome 6: Improved service systems</w:t>
            </w:r>
            <w:r w:rsidRPr="00106054">
              <w:rPr>
                <w:rFonts w:eastAsia="Times New Roman"/>
                <w:iCs/>
                <w:sz w:val="17"/>
                <w:szCs w:val="17"/>
              </w:rPr>
              <w:t xml:space="preserve"> </w:t>
            </w:r>
          </w:p>
        </w:tc>
        <w:tc>
          <w:tcPr>
            <w:tcW w:w="1129" w:type="dxa"/>
            <w:gridSpan w:val="3"/>
            <w:vMerge w:val="restart"/>
            <w:tcBorders>
              <w:top w:val="nil"/>
              <w:left w:val="nil"/>
              <w:bottom w:val="nil"/>
              <w:right w:val="nil"/>
              <w:tl2br w:val="nil"/>
              <w:tr2bl w:val="nil"/>
            </w:tcBorders>
            <w:shd w:val="clear" w:color="auto" w:fill="auto"/>
            <w:noWrap/>
          </w:tcPr>
          <w:p w:rsidR="00D42381" w:rsidRPr="00106054" w:rsidRDefault="00D42381" w:rsidP="00106054">
            <w:pPr>
              <w:keepLines/>
              <w:spacing w:before="40" w:after="40" w:line="200" w:lineRule="atLeast"/>
              <w:jc w:val="center"/>
              <w:rPr>
                <w:rFonts w:eastAsia="Times New Roman"/>
                <w:iCs/>
                <w:color w:val="FFFFFF"/>
                <w:sz w:val="17"/>
                <w:szCs w:val="17"/>
              </w:rPr>
            </w:pPr>
          </w:p>
        </w:tc>
        <w:tc>
          <w:tcPr>
            <w:tcW w:w="411" w:type="dxa"/>
            <w:vMerge w:val="restart"/>
            <w:tcBorders>
              <w:top w:val="nil"/>
              <w:left w:val="nil"/>
              <w:bottom w:val="nil"/>
              <w:right w:val="nil"/>
              <w:tl2br w:val="nil"/>
              <w:tr2bl w:val="nil"/>
            </w:tcBorders>
            <w:shd w:val="clear" w:color="auto" w:fill="auto"/>
          </w:tcPr>
          <w:p w:rsidR="00D42381" w:rsidRPr="00106054" w:rsidRDefault="00D42381" w:rsidP="00106054">
            <w:pPr>
              <w:keepLines/>
              <w:spacing w:before="40" w:after="40" w:line="200" w:lineRule="atLeast"/>
              <w:jc w:val="center"/>
              <w:rPr>
                <w:rFonts w:eastAsia="Times New Roman"/>
                <w:iCs/>
                <w:color w:val="FFFFFF"/>
                <w:sz w:val="17"/>
                <w:szCs w:val="17"/>
              </w:rPr>
            </w:pPr>
          </w:p>
        </w:tc>
        <w:tc>
          <w:tcPr>
            <w:tcW w:w="1029" w:type="dxa"/>
            <w:gridSpan w:val="2"/>
            <w:tcBorders>
              <w:top w:val="nil"/>
              <w:left w:val="nil"/>
              <w:bottom w:val="nil"/>
              <w:right w:val="nil"/>
              <w:tl2br w:val="nil"/>
              <w:tr2bl w:val="nil"/>
            </w:tcBorders>
            <w:shd w:val="clear" w:color="auto" w:fill="auto"/>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gridSpan w:val="2"/>
            <w:tcBorders>
              <w:top w:val="nil"/>
              <w:left w:val="nil"/>
              <w:bottom w:val="nil"/>
              <w:right w:val="nil"/>
              <w:tl2br w:val="nil"/>
              <w:tr2bl w:val="nil"/>
            </w:tcBorders>
            <w:shd w:val="clear" w:color="auto" w:fill="7FB64D"/>
            <w:noWrap/>
          </w:tcPr>
          <w:p w:rsidR="00D42381" w:rsidRPr="00106054" w:rsidRDefault="00D42381"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 xml:space="preserve">Green </w:t>
            </w:r>
          </w:p>
        </w:tc>
      </w:tr>
      <w:tr w:rsidR="00106054" w:rsidRPr="00106054" w:rsidTr="00106054">
        <w:trPr>
          <w:gridBefore w:val="1"/>
          <w:trHeight w:val="60"/>
          <w:tblHeader/>
          <w:tblCellSpacing w:w="14" w:type="dxa"/>
        </w:trPr>
        <w:tc>
          <w:tcPr>
            <w:tcW w:w="6001" w:type="dxa"/>
            <w:gridSpan w:val="2"/>
            <w:vMerge/>
            <w:shd w:val="clear" w:color="auto" w:fill="auto"/>
          </w:tcPr>
          <w:p w:rsidR="00D42381" w:rsidRPr="00106054" w:rsidRDefault="00D42381" w:rsidP="00106054">
            <w:pPr>
              <w:keepLines/>
              <w:spacing w:before="40" w:after="40" w:line="200" w:lineRule="atLeast"/>
              <w:rPr>
                <w:rFonts w:ascii="Franklin Gothic Book" w:eastAsia="Times New Roman" w:hAnsi="Franklin Gothic Book"/>
                <w:iCs/>
                <w:sz w:val="17"/>
                <w:szCs w:val="17"/>
                <w:lang w:eastAsia="en-AU"/>
              </w:rPr>
            </w:pPr>
          </w:p>
        </w:tc>
        <w:tc>
          <w:tcPr>
            <w:tcW w:w="1129" w:type="dxa"/>
            <w:gridSpan w:val="3"/>
            <w:vMerge/>
            <w:shd w:val="clear" w:color="auto" w:fill="auto"/>
            <w:noWrap/>
          </w:tcPr>
          <w:p w:rsidR="00D42381" w:rsidRPr="00106054" w:rsidRDefault="00D42381" w:rsidP="00106054">
            <w:pPr>
              <w:keepLines/>
              <w:spacing w:before="40" w:after="40" w:line="200" w:lineRule="atLeast"/>
              <w:jc w:val="center"/>
              <w:rPr>
                <w:rFonts w:ascii="Franklin Gothic Book" w:eastAsia="Times New Roman" w:hAnsi="Franklin Gothic Book"/>
                <w:iCs/>
                <w:sz w:val="17"/>
                <w:szCs w:val="17"/>
                <w:lang w:eastAsia="en-AU"/>
              </w:rPr>
            </w:pPr>
          </w:p>
        </w:tc>
        <w:tc>
          <w:tcPr>
            <w:tcW w:w="411" w:type="dxa"/>
            <w:vMerge/>
            <w:shd w:val="clear" w:color="auto" w:fill="auto"/>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9" w:type="dxa"/>
            <w:gridSpan w:val="2"/>
            <w:shd w:val="clear" w:color="auto" w:fill="auto"/>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gridSpan w:val="2"/>
            <w:shd w:val="clear" w:color="auto" w:fill="7FB64D"/>
            <w:noWrap/>
          </w:tcPr>
          <w:p w:rsidR="00D42381" w:rsidRPr="00106054" w:rsidRDefault="00D42381"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r>
      <w:tr w:rsidR="00106054" w:rsidRPr="00106054" w:rsidTr="00106054">
        <w:trPr>
          <w:gridBefore w:val="1"/>
          <w:trHeight w:val="325"/>
          <w:tblHeader/>
          <w:tblCellSpacing w:w="14" w:type="dxa"/>
        </w:trPr>
        <w:tc>
          <w:tcPr>
            <w:tcW w:w="6001" w:type="dxa"/>
            <w:gridSpan w:val="2"/>
            <w:tcBorders>
              <w:top w:val="nil"/>
              <w:left w:val="nil"/>
              <w:bottom w:val="nil"/>
              <w:right w:val="nil"/>
              <w:tl2br w:val="nil"/>
              <w:tr2bl w:val="nil"/>
            </w:tcBorders>
            <w:shd w:val="clear" w:color="auto" w:fill="auto"/>
          </w:tcPr>
          <w:p w:rsidR="001E2E1B" w:rsidRPr="00106054" w:rsidRDefault="001E2E1B" w:rsidP="00106054">
            <w:pPr>
              <w:keepLines/>
              <w:spacing w:before="40" w:after="40" w:line="200" w:lineRule="atLeast"/>
              <w:rPr>
                <w:rFonts w:ascii="Franklin Gothic Book" w:eastAsia="Times New Roman" w:hAnsi="Franklin Gothic Book"/>
                <w:iCs/>
                <w:sz w:val="17"/>
                <w:szCs w:val="17"/>
                <w:lang w:eastAsia="en-AU"/>
              </w:rPr>
            </w:pPr>
          </w:p>
        </w:tc>
        <w:tc>
          <w:tcPr>
            <w:tcW w:w="1129" w:type="dxa"/>
            <w:gridSpan w:val="3"/>
            <w:tcBorders>
              <w:top w:val="nil"/>
              <w:left w:val="nil"/>
              <w:bottom w:val="nil"/>
              <w:right w:val="nil"/>
              <w:tl2br w:val="nil"/>
              <w:tr2bl w:val="nil"/>
            </w:tcBorders>
            <w:shd w:val="clear" w:color="auto" w:fill="auto"/>
            <w:noWrap/>
          </w:tcPr>
          <w:p w:rsidR="001E2E1B" w:rsidRPr="00106054" w:rsidRDefault="001E2E1B" w:rsidP="00106054">
            <w:pPr>
              <w:keepLines/>
              <w:spacing w:before="40" w:after="40" w:line="200" w:lineRule="atLeast"/>
              <w:jc w:val="center"/>
              <w:rPr>
                <w:rFonts w:ascii="Franklin Gothic Book" w:eastAsia="Times New Roman" w:hAnsi="Franklin Gothic Book"/>
                <w:iCs/>
                <w:sz w:val="17"/>
                <w:szCs w:val="17"/>
                <w:lang w:eastAsia="en-AU"/>
              </w:rPr>
            </w:pPr>
          </w:p>
        </w:tc>
        <w:tc>
          <w:tcPr>
            <w:tcW w:w="411" w:type="dxa"/>
            <w:tcBorders>
              <w:top w:val="nil"/>
              <w:left w:val="nil"/>
              <w:bottom w:val="nil"/>
              <w:right w:val="nil"/>
              <w:tl2br w:val="nil"/>
              <w:tr2bl w:val="nil"/>
            </w:tcBorders>
            <w:shd w:val="clear" w:color="auto" w:fill="auto"/>
          </w:tcPr>
          <w:p w:rsidR="001E2E1B" w:rsidRPr="00106054" w:rsidRDefault="001E2E1B"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9" w:type="dxa"/>
            <w:gridSpan w:val="2"/>
            <w:tcBorders>
              <w:top w:val="nil"/>
              <w:left w:val="nil"/>
              <w:bottom w:val="nil"/>
              <w:right w:val="nil"/>
              <w:tl2br w:val="nil"/>
              <w:tr2bl w:val="nil"/>
            </w:tcBorders>
            <w:shd w:val="clear" w:color="auto" w:fill="auto"/>
          </w:tcPr>
          <w:p w:rsidR="001E2E1B" w:rsidRPr="00106054" w:rsidRDefault="001E2E1B"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gridSpan w:val="2"/>
            <w:tcBorders>
              <w:top w:val="nil"/>
              <w:left w:val="nil"/>
              <w:bottom w:val="nil"/>
              <w:right w:val="nil"/>
              <w:tl2br w:val="nil"/>
              <w:tr2bl w:val="nil"/>
            </w:tcBorders>
            <w:shd w:val="clear" w:color="auto" w:fill="7FB64D"/>
            <w:noWrap/>
          </w:tcPr>
          <w:p w:rsidR="001E2E1B" w:rsidRPr="00106054" w:rsidRDefault="001E2E1B"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r>
    </w:tbl>
    <w:p w:rsidR="001970B0" w:rsidRPr="003B0793" w:rsidRDefault="001970B0" w:rsidP="001970B0">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1970B0" w:rsidRPr="003B0793" w:rsidRDefault="00D07E08" w:rsidP="001970B0">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001970B0" w:rsidRPr="003B0793">
        <w:rPr>
          <w:rFonts w:eastAsia="Times New Roman"/>
          <w:b/>
          <w:sz w:val="16"/>
          <w:szCs w:val="14"/>
        </w:rPr>
        <w:t>Green. Progress is as expected at this stage of implementation and it is likely that the objective will be achieved. Standard program management practices are sufficient.</w:t>
      </w:r>
    </w:p>
    <w:p w:rsidR="001970B0" w:rsidRPr="003B0793" w:rsidRDefault="001970B0" w:rsidP="001970B0">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824501" w:rsidRPr="00824501" w:rsidRDefault="001970B0" w:rsidP="00824501">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824501" w:rsidRPr="00B10153" w:rsidRDefault="00824501" w:rsidP="00824501">
      <w:pPr>
        <w:rPr>
          <w:i/>
          <w:color w:val="auto"/>
        </w:rPr>
      </w:pPr>
      <w:r w:rsidRPr="00B10153">
        <w:rPr>
          <w:i/>
        </w:rPr>
        <w:t xml:space="preserve">2015-16 was a year of transition </w:t>
      </w:r>
      <w:r w:rsidR="00CD14AB">
        <w:rPr>
          <w:i/>
        </w:rPr>
        <w:t xml:space="preserve">for Australia’s programs </w:t>
      </w:r>
      <w:r w:rsidRPr="00B10153">
        <w:rPr>
          <w:i/>
        </w:rPr>
        <w:t>support</w:t>
      </w:r>
      <w:r w:rsidR="00CD14AB">
        <w:rPr>
          <w:i/>
        </w:rPr>
        <w:t>ing</w:t>
      </w:r>
      <w:r w:rsidRPr="00B10153">
        <w:rPr>
          <w:i/>
        </w:rPr>
        <w:t xml:space="preserve"> human developme</w:t>
      </w:r>
      <w:r w:rsidR="00454BEB" w:rsidRPr="00B10153">
        <w:rPr>
          <w:i/>
        </w:rPr>
        <w:t>nt and</w:t>
      </w:r>
      <w:r w:rsidR="00CD4435">
        <w:rPr>
          <w:i/>
        </w:rPr>
        <w:t xml:space="preserve"> service d</w:t>
      </w:r>
      <w:r w:rsidR="00484AEA">
        <w:rPr>
          <w:i/>
        </w:rPr>
        <w:t xml:space="preserve">elivery.  </w:t>
      </w:r>
      <w:r w:rsidR="00E0120E">
        <w:rPr>
          <w:i/>
        </w:rPr>
        <w:t xml:space="preserve">The </w:t>
      </w:r>
      <w:r w:rsidRPr="00B10153">
        <w:rPr>
          <w:i/>
        </w:rPr>
        <w:t>Australia-Indon</w:t>
      </w:r>
      <w:r w:rsidR="00454BEB" w:rsidRPr="00B10153">
        <w:rPr>
          <w:i/>
        </w:rPr>
        <w:t>esia Education Partnership (</w:t>
      </w:r>
      <w:r w:rsidR="00CB73C3">
        <w:rPr>
          <w:i/>
        </w:rPr>
        <w:t>AUD</w:t>
      </w:r>
      <w:r w:rsidR="0062619C">
        <w:rPr>
          <w:i/>
        </w:rPr>
        <w:t>369</w:t>
      </w:r>
      <w:r w:rsidR="00CB73C3">
        <w:rPr>
          <w:i/>
        </w:rPr>
        <w:t xml:space="preserve"> million</w:t>
      </w:r>
      <w:r w:rsidR="0062619C">
        <w:rPr>
          <w:i/>
        </w:rPr>
        <w:t xml:space="preserve">; </w:t>
      </w:r>
      <w:r w:rsidR="00454BEB" w:rsidRPr="00B10153">
        <w:rPr>
          <w:i/>
        </w:rPr>
        <w:t>2011</w:t>
      </w:r>
      <w:r w:rsidR="007F40F2">
        <w:rPr>
          <w:i/>
        </w:rPr>
        <w:t>-2016) reached its completion stage</w:t>
      </w:r>
      <w:r w:rsidRPr="00B10153">
        <w:rPr>
          <w:i/>
        </w:rPr>
        <w:t xml:space="preserve">, with the final 1,155 junior high schools scheduled to be completed by </w:t>
      </w:r>
      <w:r w:rsidR="00454BEB" w:rsidRPr="00B10153">
        <w:rPr>
          <w:i/>
        </w:rPr>
        <w:t>January 2017</w:t>
      </w:r>
      <w:r w:rsidR="00484AEA">
        <w:rPr>
          <w:i/>
        </w:rPr>
        <w:t xml:space="preserve">.  </w:t>
      </w:r>
      <w:r w:rsidRPr="00B10153">
        <w:rPr>
          <w:i/>
        </w:rPr>
        <w:t xml:space="preserve">Our </w:t>
      </w:r>
      <w:r w:rsidR="00843B3D">
        <w:rPr>
          <w:i/>
        </w:rPr>
        <w:t xml:space="preserve">new </w:t>
      </w:r>
      <w:r w:rsidR="00A77BDB">
        <w:rPr>
          <w:i/>
        </w:rPr>
        <w:t>education program (</w:t>
      </w:r>
      <w:proofErr w:type="spellStart"/>
      <w:r w:rsidRPr="00B10153">
        <w:rPr>
          <w:i/>
        </w:rPr>
        <w:t>Inovasi</w:t>
      </w:r>
      <w:proofErr w:type="spellEnd"/>
      <w:r w:rsidRPr="00B10153">
        <w:rPr>
          <w:i/>
        </w:rPr>
        <w:t xml:space="preserve"> – Innovation for Indonesia’s School Children</w:t>
      </w:r>
      <w:r w:rsidR="00A77BDB">
        <w:rPr>
          <w:i/>
        </w:rPr>
        <w:t xml:space="preserve">, </w:t>
      </w:r>
      <w:r w:rsidR="00CB73C3">
        <w:rPr>
          <w:i/>
        </w:rPr>
        <w:t>AUD</w:t>
      </w:r>
      <w:r w:rsidR="0062619C">
        <w:rPr>
          <w:i/>
        </w:rPr>
        <w:t>49</w:t>
      </w:r>
      <w:r w:rsidR="00CB73C3">
        <w:rPr>
          <w:i/>
        </w:rPr>
        <w:t xml:space="preserve"> million</w:t>
      </w:r>
      <w:r w:rsidR="0062619C">
        <w:rPr>
          <w:i/>
        </w:rPr>
        <w:t>; 2016-2019)</w:t>
      </w:r>
      <w:r w:rsidRPr="00B10153">
        <w:rPr>
          <w:i/>
        </w:rPr>
        <w:t>, was mobilised in early 2016 and has begun helping Indonesian partners identify and test local, replicable s</w:t>
      </w:r>
      <w:r w:rsidR="00CD4435">
        <w:rPr>
          <w:i/>
        </w:rPr>
        <w:t>o</w:t>
      </w:r>
      <w:r w:rsidR="00484AEA">
        <w:rPr>
          <w:i/>
        </w:rPr>
        <w:t xml:space="preserve">lutions to education problems.  </w:t>
      </w:r>
      <w:r w:rsidRPr="00B10153">
        <w:rPr>
          <w:i/>
        </w:rPr>
        <w:t xml:space="preserve">Australia Awards </w:t>
      </w:r>
      <w:r w:rsidR="0062619C">
        <w:rPr>
          <w:i/>
        </w:rPr>
        <w:t>(</w:t>
      </w:r>
      <w:r w:rsidR="003D3770" w:rsidRPr="003D3770">
        <w:rPr>
          <w:i/>
        </w:rPr>
        <w:t>AUD</w:t>
      </w:r>
      <w:r w:rsidR="003D3770">
        <w:rPr>
          <w:i/>
        </w:rPr>
        <w:t>197</w:t>
      </w:r>
      <w:r w:rsidR="003D3770" w:rsidRPr="003D3770">
        <w:rPr>
          <w:i/>
        </w:rPr>
        <w:t xml:space="preserve"> </w:t>
      </w:r>
      <w:r w:rsidR="00CB73C3" w:rsidRPr="003D3770">
        <w:rPr>
          <w:i/>
        </w:rPr>
        <w:t>million</w:t>
      </w:r>
      <w:r w:rsidR="0062619C" w:rsidRPr="003D3770">
        <w:rPr>
          <w:i/>
        </w:rPr>
        <w:t xml:space="preserve">; </w:t>
      </w:r>
      <w:r w:rsidR="003D3770" w:rsidRPr="003D3770">
        <w:rPr>
          <w:i/>
        </w:rPr>
        <w:t>201</w:t>
      </w:r>
      <w:r w:rsidR="003D3770">
        <w:rPr>
          <w:i/>
        </w:rPr>
        <w:t>4</w:t>
      </w:r>
      <w:r w:rsidR="0062619C" w:rsidRPr="003D3770">
        <w:rPr>
          <w:i/>
        </w:rPr>
        <w:t>-</w:t>
      </w:r>
      <w:r w:rsidR="003D3770" w:rsidRPr="003D3770">
        <w:rPr>
          <w:i/>
        </w:rPr>
        <w:t>20</w:t>
      </w:r>
      <w:r w:rsidR="003D3770">
        <w:rPr>
          <w:i/>
        </w:rPr>
        <w:t>18</w:t>
      </w:r>
      <w:r w:rsidR="0062619C">
        <w:rPr>
          <w:i/>
        </w:rPr>
        <w:t xml:space="preserve">) </w:t>
      </w:r>
      <w:r w:rsidRPr="00B10153">
        <w:rPr>
          <w:i/>
        </w:rPr>
        <w:t xml:space="preserve">built capacity and promoted people-to-people links through postgraduate scholarships and short-term awards to study </w:t>
      </w:r>
      <w:r w:rsidR="00484AEA">
        <w:rPr>
          <w:i/>
        </w:rPr>
        <w:t xml:space="preserve">in Australia.  </w:t>
      </w:r>
      <w:r w:rsidR="00CD14AB">
        <w:rPr>
          <w:i/>
        </w:rPr>
        <w:t>After some 20</w:t>
      </w:r>
      <w:r w:rsidRPr="00B10153">
        <w:rPr>
          <w:i/>
        </w:rPr>
        <w:t xml:space="preserve"> years of significant Australian assistance for Indonesia’s health sector, our major </w:t>
      </w:r>
      <w:r w:rsidRPr="003D3770">
        <w:rPr>
          <w:i/>
        </w:rPr>
        <w:t>health programs</w:t>
      </w:r>
      <w:r w:rsidRPr="00B10153">
        <w:rPr>
          <w:i/>
        </w:rPr>
        <w:t xml:space="preserve"> completed their </w:t>
      </w:r>
      <w:r w:rsidR="00A77BDB">
        <w:rPr>
          <w:i/>
        </w:rPr>
        <w:t xml:space="preserve">activities during 2015-16, leaving </w:t>
      </w:r>
      <w:r w:rsidRPr="00B10153">
        <w:rPr>
          <w:i/>
        </w:rPr>
        <w:t>a legacy of improvements to health planning, maternal and child health, and preventi</w:t>
      </w:r>
      <w:r w:rsidR="00484AEA">
        <w:rPr>
          <w:i/>
        </w:rPr>
        <w:t xml:space="preserve">on and treatment of HIV/AIDS.  </w:t>
      </w:r>
      <w:r w:rsidRPr="00B10153">
        <w:rPr>
          <w:i/>
        </w:rPr>
        <w:t xml:space="preserve">Our new social protection program, </w:t>
      </w:r>
      <w:r w:rsidR="00CD14AB">
        <w:rPr>
          <w:i/>
        </w:rPr>
        <w:t>Towards a Strong and Prosperous Indonesian Society (</w:t>
      </w:r>
      <w:r w:rsidRPr="00B10153">
        <w:rPr>
          <w:i/>
        </w:rPr>
        <w:t>MAHKOTA</w:t>
      </w:r>
      <w:r w:rsidR="00A77BDB">
        <w:rPr>
          <w:i/>
        </w:rPr>
        <w:t xml:space="preserve">, </w:t>
      </w:r>
      <w:r w:rsidR="00CB73C3">
        <w:rPr>
          <w:i/>
        </w:rPr>
        <w:t>AUD</w:t>
      </w:r>
      <w:r w:rsidR="0062619C">
        <w:rPr>
          <w:i/>
        </w:rPr>
        <w:t>40</w:t>
      </w:r>
      <w:r w:rsidR="00CB73C3">
        <w:rPr>
          <w:i/>
        </w:rPr>
        <w:t xml:space="preserve"> million</w:t>
      </w:r>
      <w:r w:rsidR="0062619C">
        <w:rPr>
          <w:i/>
        </w:rPr>
        <w:t>; 2015-2019)</w:t>
      </w:r>
      <w:r w:rsidRPr="00B10153">
        <w:rPr>
          <w:i/>
        </w:rPr>
        <w:t>, started activitie</w:t>
      </w:r>
      <w:r w:rsidR="004374AA">
        <w:rPr>
          <w:i/>
        </w:rPr>
        <w:t>s in 2016, building on our long</w:t>
      </w:r>
      <w:r w:rsidRPr="00B10153">
        <w:rPr>
          <w:i/>
        </w:rPr>
        <w:t>standing partnership with TNP2K, the Vice-Presi</w:t>
      </w:r>
      <w:r w:rsidR="00484AEA">
        <w:rPr>
          <w:i/>
        </w:rPr>
        <w:t xml:space="preserve">dent’s poverty reduction team.  </w:t>
      </w:r>
      <w:r w:rsidRPr="00B10153">
        <w:rPr>
          <w:i/>
        </w:rPr>
        <w:t>We also provided humanit</w:t>
      </w:r>
      <w:r w:rsidR="00B66E5D">
        <w:rPr>
          <w:i/>
        </w:rPr>
        <w:t>arian assistance to people affec</w:t>
      </w:r>
      <w:r w:rsidRPr="00B10153">
        <w:rPr>
          <w:i/>
        </w:rPr>
        <w:t xml:space="preserve">ted by forest fires, haze, and flooding, and continued to support disaster preparedness.  </w:t>
      </w:r>
    </w:p>
    <w:p w:rsidR="00CB73C3" w:rsidRPr="00201BFA" w:rsidRDefault="00824501" w:rsidP="00201BFA">
      <w:pPr>
        <w:rPr>
          <w:i/>
        </w:rPr>
      </w:pPr>
      <w:r w:rsidRPr="00B10153">
        <w:rPr>
          <w:i/>
        </w:rPr>
        <w:t>Outcome 4 is rate</w:t>
      </w:r>
      <w:r w:rsidR="0039312A">
        <w:rPr>
          <w:i/>
        </w:rPr>
        <w:t>d green given strong performance</w:t>
      </w:r>
      <w:r w:rsidRPr="00B10153">
        <w:rPr>
          <w:i/>
        </w:rPr>
        <w:t xml:space="preserve"> in promoting access to education, health, </w:t>
      </w:r>
      <w:r w:rsidR="004374AA">
        <w:rPr>
          <w:i/>
        </w:rPr>
        <w:t xml:space="preserve">and </w:t>
      </w:r>
      <w:r w:rsidRPr="00B10153">
        <w:rPr>
          <w:i/>
        </w:rPr>
        <w:t>water and sanitation services, including for peop</w:t>
      </w:r>
      <w:r w:rsidR="00CD4435">
        <w:rPr>
          <w:i/>
        </w:rPr>
        <w:t>l</w:t>
      </w:r>
      <w:r w:rsidR="00484AEA">
        <w:rPr>
          <w:i/>
        </w:rPr>
        <w:t xml:space="preserve">e with disabilities and women.  </w:t>
      </w:r>
      <w:r w:rsidRPr="00B10153">
        <w:rPr>
          <w:i/>
        </w:rPr>
        <w:t>Outcome 5 is rated green due to our achievements in promoting knowledge and learning, including through the provision of high quality advice in education and health, and support for better targeting and</w:t>
      </w:r>
      <w:r w:rsidR="00CD4435">
        <w:rPr>
          <w:i/>
        </w:rPr>
        <w:t xml:space="preserve"> </w:t>
      </w:r>
      <w:r w:rsidR="00484AEA">
        <w:rPr>
          <w:i/>
        </w:rPr>
        <w:t xml:space="preserve">use of poverty reduction data.  </w:t>
      </w:r>
      <w:r w:rsidRPr="00B10153">
        <w:rPr>
          <w:i/>
        </w:rPr>
        <w:t>Outcome 6 is rated green reflecting hig</w:t>
      </w:r>
      <w:r w:rsidR="00352763">
        <w:rPr>
          <w:i/>
        </w:rPr>
        <w:t>h levels of Indonesian g</w:t>
      </w:r>
      <w:r w:rsidRPr="00B10153">
        <w:rPr>
          <w:i/>
        </w:rPr>
        <w:t>overnment commitment to take forward reforms to service delivery systems.</w:t>
      </w:r>
    </w:p>
    <w:p w:rsidR="001C4416" w:rsidRDefault="001C4416" w:rsidP="00A12518">
      <w:pPr>
        <w:widowControl w:val="0"/>
        <w:autoSpaceDE w:val="0"/>
        <w:autoSpaceDN w:val="0"/>
        <w:adjustRightInd w:val="0"/>
        <w:spacing w:after="0"/>
        <w:rPr>
          <w:b/>
        </w:rPr>
      </w:pPr>
      <w:r w:rsidRPr="004E7765">
        <w:rPr>
          <w:b/>
        </w:rPr>
        <w:t xml:space="preserve">Outcome 4: </w:t>
      </w:r>
      <w:r w:rsidR="00A86A1A" w:rsidRPr="004E7765">
        <w:rPr>
          <w:b/>
        </w:rPr>
        <w:t xml:space="preserve">Improved </w:t>
      </w:r>
      <w:r w:rsidR="004E7765">
        <w:rPr>
          <w:b/>
        </w:rPr>
        <w:t>access to services and</w:t>
      </w:r>
      <w:r w:rsidR="00A86A1A" w:rsidRPr="004E7765">
        <w:rPr>
          <w:b/>
        </w:rPr>
        <w:t xml:space="preserve"> economic opportunities for all </w:t>
      </w:r>
    </w:p>
    <w:p w:rsidR="00B10153" w:rsidRPr="00507620" w:rsidRDefault="00B10153" w:rsidP="00A12518">
      <w:pPr>
        <w:widowControl w:val="0"/>
        <w:autoSpaceDE w:val="0"/>
        <w:autoSpaceDN w:val="0"/>
        <w:adjustRightInd w:val="0"/>
        <w:spacing w:after="0"/>
        <w:rPr>
          <w:b/>
          <w:i/>
        </w:rPr>
      </w:pPr>
      <w:r w:rsidRPr="00507620">
        <w:rPr>
          <w:b/>
          <w:i/>
        </w:rPr>
        <w:t xml:space="preserve">Water and sanitation </w:t>
      </w:r>
    </w:p>
    <w:p w:rsidR="006F6DEB" w:rsidRDefault="006E624E" w:rsidP="00874695">
      <w:r>
        <w:t>Australia’s</w:t>
      </w:r>
      <w:r w:rsidR="00874695" w:rsidRPr="006B35F0">
        <w:t xml:space="preserve"> investment</w:t>
      </w:r>
      <w:r>
        <w:t>s</w:t>
      </w:r>
      <w:r w:rsidR="00874695" w:rsidRPr="006B35F0">
        <w:t xml:space="preserve"> in </w:t>
      </w:r>
      <w:r w:rsidR="00874695" w:rsidRPr="004F65B0">
        <w:rPr>
          <w:b/>
        </w:rPr>
        <w:t>urban and rural water and sanitation programs</w:t>
      </w:r>
      <w:r w:rsidR="00874695" w:rsidRPr="006B35F0">
        <w:t xml:space="preserve"> </w:t>
      </w:r>
      <w:r>
        <w:t xml:space="preserve">resulted in </w:t>
      </w:r>
      <w:r w:rsidR="00874695" w:rsidRPr="006B35F0">
        <w:t xml:space="preserve">an additional 490,000 people from poor households (including 2,800 people with disabilities) </w:t>
      </w:r>
      <w:r w:rsidR="00C223A3" w:rsidRPr="006B35F0">
        <w:t>gain</w:t>
      </w:r>
      <w:r w:rsidR="00C223A3">
        <w:t>ing</w:t>
      </w:r>
      <w:r w:rsidR="00C223A3" w:rsidRPr="006B35F0">
        <w:t xml:space="preserve"> improved access to saf</w:t>
      </w:r>
      <w:r w:rsidR="00C223A3">
        <w:t>e water and basic sanitation</w:t>
      </w:r>
      <w:r w:rsidR="00C223A3" w:rsidRPr="006B35F0">
        <w:t xml:space="preserve"> </w:t>
      </w:r>
      <w:r w:rsidR="00874695" w:rsidRPr="006B35F0">
        <w:t>in 2,250 communities across Indonesia</w:t>
      </w:r>
      <w:r w:rsidR="00874695">
        <w:t xml:space="preserve">.  </w:t>
      </w:r>
    </w:p>
    <w:p w:rsidR="00EC73CB" w:rsidRPr="00C84476" w:rsidRDefault="00C223A3" w:rsidP="004F4DC3">
      <w:r>
        <w:t>Our inves</w:t>
      </w:r>
      <w:r w:rsidR="00A87C28">
        <w:t>tments included support to the G</w:t>
      </w:r>
      <w:r>
        <w:t xml:space="preserve">overnment of Indonesia’s </w:t>
      </w:r>
      <w:r w:rsidRPr="00A77BDB">
        <w:rPr>
          <w:b/>
        </w:rPr>
        <w:t>PAMSIMAS</w:t>
      </w:r>
      <w:r>
        <w:t xml:space="preserve"> program and delivery of </w:t>
      </w:r>
      <w:r w:rsidR="00874695" w:rsidRPr="006B35F0">
        <w:t xml:space="preserve">DFAT’s </w:t>
      </w:r>
      <w:r w:rsidR="00874695" w:rsidRPr="00101FD0">
        <w:rPr>
          <w:b/>
        </w:rPr>
        <w:t xml:space="preserve">Water and Sanitation </w:t>
      </w:r>
      <w:proofErr w:type="spellStart"/>
      <w:r w:rsidR="00874695" w:rsidRPr="00101FD0">
        <w:rPr>
          <w:b/>
        </w:rPr>
        <w:t>Hibah</w:t>
      </w:r>
      <w:proofErr w:type="spellEnd"/>
      <w:r w:rsidR="00874695" w:rsidRPr="00101FD0">
        <w:rPr>
          <w:b/>
        </w:rPr>
        <w:t xml:space="preserve"> program</w:t>
      </w:r>
      <w:r w:rsidR="00966D58">
        <w:t xml:space="preserve"> </w:t>
      </w:r>
      <w:r w:rsidR="00A77BDB">
        <w:t>which</w:t>
      </w:r>
      <w:r>
        <w:t xml:space="preserve"> </w:t>
      </w:r>
      <w:r w:rsidR="00966D58">
        <w:t>connected an additional 10,000 house</w:t>
      </w:r>
      <w:r w:rsidR="00874695" w:rsidRPr="006B35F0">
        <w:t xml:space="preserve">s </w:t>
      </w:r>
      <w:r w:rsidR="006C143B">
        <w:t xml:space="preserve">to </w:t>
      </w:r>
      <w:r w:rsidR="00D62912" w:rsidRPr="006B35F0">
        <w:t xml:space="preserve">piped water </w:t>
      </w:r>
      <w:r w:rsidR="00874695" w:rsidRPr="006B35F0">
        <w:t>(</w:t>
      </w:r>
      <w:r w:rsidR="00874695">
        <w:t>for a cum</w:t>
      </w:r>
      <w:r w:rsidR="006C143B">
        <w:t>ulative total of 280,000</w:t>
      </w:r>
      <w:r w:rsidR="00874695" w:rsidRPr="006B35F0">
        <w:t xml:space="preserve">) and 2,500 </w:t>
      </w:r>
      <w:r w:rsidR="006C143B">
        <w:t xml:space="preserve">houses to </w:t>
      </w:r>
      <w:r w:rsidR="00874695" w:rsidRPr="006B35F0">
        <w:t>sanitat</w:t>
      </w:r>
      <w:r w:rsidR="00874695">
        <w:t>io</w:t>
      </w:r>
      <w:r w:rsidR="006C143B">
        <w:t xml:space="preserve">n </w:t>
      </w:r>
      <w:r w:rsidR="00224B72">
        <w:t>(for</w:t>
      </w:r>
      <w:r w:rsidR="00874695">
        <w:t xml:space="preserve"> a total of 6,000</w:t>
      </w:r>
      <w:r w:rsidR="00CD4435">
        <w:t>)</w:t>
      </w:r>
      <w:r w:rsidR="00CB73C3">
        <w:t xml:space="preserve"> in 2015-</w:t>
      </w:r>
      <w:r>
        <w:t>16</w:t>
      </w:r>
      <w:r w:rsidR="00484AEA">
        <w:t xml:space="preserve">.  </w:t>
      </w:r>
      <w:r w:rsidR="005B69F8">
        <w:t xml:space="preserve">As a result, </w:t>
      </w:r>
      <w:r w:rsidR="00A77BDB">
        <w:t xml:space="preserve">the </w:t>
      </w:r>
      <w:r w:rsidR="00A87C28">
        <w:t>Indonesian G</w:t>
      </w:r>
      <w:r w:rsidR="005B69F8">
        <w:t>overnment allocated</w:t>
      </w:r>
      <w:r w:rsidR="00874695" w:rsidRPr="006B35F0">
        <w:t xml:space="preserve"> </w:t>
      </w:r>
      <w:r w:rsidR="00874695" w:rsidRPr="009D2619">
        <w:t>500 billion</w:t>
      </w:r>
      <w:r w:rsidR="00D7794D">
        <w:t xml:space="preserve"> rupiah</w:t>
      </w:r>
      <w:r w:rsidR="00874695" w:rsidRPr="009D2619">
        <w:t xml:space="preserve"> </w:t>
      </w:r>
      <w:r w:rsidR="00F747F5">
        <w:t>(</w:t>
      </w:r>
      <w:r w:rsidR="00C84476">
        <w:t>AUD</w:t>
      </w:r>
      <w:r w:rsidR="009D2619">
        <w:t xml:space="preserve">50 million) </w:t>
      </w:r>
      <w:r w:rsidR="00874695" w:rsidRPr="006B35F0">
        <w:t>of its own funds towards an output-based gra</w:t>
      </w:r>
      <w:r w:rsidR="00B2328B">
        <w:t>nts program that replicates Australia</w:t>
      </w:r>
      <w:r w:rsidR="00874695" w:rsidRPr="006B35F0">
        <w:t xml:space="preserve">’s pilot program. </w:t>
      </w:r>
    </w:p>
    <w:p w:rsidR="00507620" w:rsidRDefault="00507620" w:rsidP="004F4DC3">
      <w:pPr>
        <w:rPr>
          <w:b/>
          <w:i/>
        </w:rPr>
      </w:pPr>
      <w:r>
        <w:rPr>
          <w:b/>
          <w:i/>
        </w:rPr>
        <w:lastRenderedPageBreak/>
        <w:t>Health and education</w:t>
      </w:r>
    </w:p>
    <w:p w:rsidR="00507620" w:rsidRPr="00B10153" w:rsidRDefault="00202636" w:rsidP="00507620">
      <w:r>
        <w:t>Australian G</w:t>
      </w:r>
      <w:r w:rsidR="00507620" w:rsidRPr="00B10153">
        <w:t xml:space="preserve">overnment support to improve </w:t>
      </w:r>
      <w:r w:rsidR="00507620" w:rsidRPr="00507620">
        <w:rPr>
          <w:b/>
        </w:rPr>
        <w:t xml:space="preserve">HIV services </w:t>
      </w:r>
      <w:r w:rsidR="00507620" w:rsidRPr="00B10153">
        <w:t>in the two</w:t>
      </w:r>
      <w:r w:rsidR="0002309F">
        <w:t xml:space="preserve"> Papuan provinces resulted in 60,242</w:t>
      </w:r>
      <w:r w:rsidR="00507620" w:rsidRPr="00B10153">
        <w:t xml:space="preserve"> people </w:t>
      </w:r>
      <w:r>
        <w:t xml:space="preserve">being </w:t>
      </w:r>
      <w:r w:rsidR="00507620" w:rsidRPr="00B10153">
        <w:t>tested for HIV and 2</w:t>
      </w:r>
      <w:r w:rsidR="0002309F">
        <w:t>,606</w:t>
      </w:r>
      <w:r w:rsidR="00507620">
        <w:t xml:space="preserve"> </w:t>
      </w:r>
      <w:r w:rsidR="004A36B5">
        <w:t>enrolling</w:t>
      </w:r>
      <w:r w:rsidR="00507620" w:rsidRPr="00B10153">
        <w:t xml:space="preserve"> in HIV care</w:t>
      </w:r>
      <w:r w:rsidR="00507620">
        <w:t xml:space="preserve"> during 2015-16</w:t>
      </w:r>
      <w:r w:rsidR="00484AEA">
        <w:t xml:space="preserve">.  </w:t>
      </w:r>
      <w:r w:rsidR="00507620" w:rsidRPr="00B10153">
        <w:t>Australian support was critical in consolidating a re</w:t>
      </w:r>
      <w:r w:rsidR="00507620">
        <w:t xml:space="preserve">gional referral system; establishing </w:t>
      </w:r>
      <w:r w:rsidR="00507620" w:rsidRPr="00B10153">
        <w:t>HIV-TB-</w:t>
      </w:r>
      <w:r w:rsidR="00EF1ADA" w:rsidRPr="00B10153">
        <w:t>ST</w:t>
      </w:r>
      <w:r w:rsidR="00EF1ADA">
        <w:t>I</w:t>
      </w:r>
      <w:r w:rsidR="00EF1ADA" w:rsidRPr="00B10153">
        <w:t xml:space="preserve"> </w:t>
      </w:r>
      <w:r w:rsidR="00507620" w:rsidRPr="00B10153">
        <w:t>services in 17 hospitals and 110 community health centres in the P</w:t>
      </w:r>
      <w:r w:rsidR="00201BFA">
        <w:t>apuan p</w:t>
      </w:r>
      <w:r w:rsidR="00904FF2">
        <w:t xml:space="preserve">rovinces; and creating </w:t>
      </w:r>
      <w:r w:rsidR="00507620" w:rsidRPr="00B10153">
        <w:t>capacity within 65 community health centres to initiate antiretroviral treatments.</w:t>
      </w:r>
    </w:p>
    <w:p w:rsidR="00507620" w:rsidRPr="00507620" w:rsidRDefault="00507620" w:rsidP="004F4DC3">
      <w:r w:rsidRPr="00B10153">
        <w:t xml:space="preserve">Over the course of 2012-13 to 2015-16, the </w:t>
      </w:r>
      <w:r w:rsidRPr="00B10153">
        <w:rPr>
          <w:b/>
        </w:rPr>
        <w:t>Education Partnership</w:t>
      </w:r>
      <w:r w:rsidRPr="00B10153">
        <w:t xml:space="preserve"> worked with national and district authorities to provide an additional 174</w:t>
      </w:r>
      <w:r w:rsidR="00374271">
        <w:t xml:space="preserve">,000 school places (of which </w:t>
      </w:r>
      <w:r w:rsidR="003D729D">
        <w:t>nearly</w:t>
      </w:r>
      <w:r w:rsidRPr="00B10153">
        <w:t xml:space="preserve"> 90,000 are expected to be occupied by girls) for junior secondary students through the construction of 4,784 classrooms in 1,155 schools in predominantly poor,</w:t>
      </w:r>
      <w:r w:rsidR="00484AEA">
        <w:t xml:space="preserve"> remote, and underserved areas.  </w:t>
      </w:r>
      <w:r w:rsidR="006136B5">
        <w:t>Program monitoring showed that t</w:t>
      </w:r>
      <w:r w:rsidRPr="00B10153">
        <w:t>he proximity of the new schools to households reduced barriers to scho</w:t>
      </w:r>
      <w:r w:rsidR="00D5097F">
        <w:t xml:space="preserve">oling by lowering transport </w:t>
      </w:r>
      <w:r w:rsidRPr="00B10153">
        <w:t xml:space="preserve">costs. </w:t>
      </w:r>
    </w:p>
    <w:p w:rsidR="001037B8" w:rsidRPr="00507620" w:rsidRDefault="00507620" w:rsidP="001037B8">
      <w:pPr>
        <w:rPr>
          <w:b/>
          <w:i/>
        </w:rPr>
      </w:pPr>
      <w:r>
        <w:rPr>
          <w:b/>
          <w:i/>
        </w:rPr>
        <w:t xml:space="preserve">Social </w:t>
      </w:r>
      <w:r w:rsidR="002643C9">
        <w:rPr>
          <w:b/>
          <w:i/>
        </w:rPr>
        <w:t>inclusion of vulnerable groups</w:t>
      </w:r>
    </w:p>
    <w:p w:rsidR="006425FB" w:rsidRDefault="001037B8" w:rsidP="006425FB">
      <w:r w:rsidRPr="00B10153">
        <w:t>Since April 2014, our support to</w:t>
      </w:r>
      <w:r w:rsidR="00D0727E">
        <w:t xml:space="preserve"> the</w:t>
      </w:r>
      <w:r w:rsidR="0073294F">
        <w:t xml:space="preserve"> </w:t>
      </w:r>
      <w:proofErr w:type="spellStart"/>
      <w:r w:rsidRPr="00502FC1">
        <w:rPr>
          <w:b/>
        </w:rPr>
        <w:t>Peduli</w:t>
      </w:r>
      <w:proofErr w:type="spellEnd"/>
      <w:r w:rsidRPr="00502FC1">
        <w:rPr>
          <w:b/>
        </w:rPr>
        <w:t xml:space="preserve"> </w:t>
      </w:r>
      <w:r w:rsidR="0005571E">
        <w:rPr>
          <w:b/>
        </w:rPr>
        <w:t>p</w:t>
      </w:r>
      <w:r w:rsidR="00502FC1" w:rsidRPr="00502FC1">
        <w:rPr>
          <w:b/>
        </w:rPr>
        <w:t>rogram</w:t>
      </w:r>
      <w:r w:rsidR="00502FC1">
        <w:t xml:space="preserve"> </w:t>
      </w:r>
      <w:r w:rsidRPr="00B10153">
        <w:t>has helped to improve access to basic services for some of Indonesia’s most marginalised people, including those with disab</w:t>
      </w:r>
      <w:r w:rsidR="00A7727D">
        <w:t>ilities, indigenous minorities</w:t>
      </w:r>
      <w:r w:rsidR="002643C9">
        <w:t xml:space="preserve">, </w:t>
      </w:r>
      <w:r w:rsidRPr="00B10153">
        <w:t>and</w:t>
      </w:r>
      <w:r w:rsidR="00CD4435">
        <w:t xml:space="preserve"> </w:t>
      </w:r>
      <w:r w:rsidR="00484AEA">
        <w:t xml:space="preserve">vulnerable youth and children.  </w:t>
      </w:r>
      <w:r w:rsidRPr="00B10153">
        <w:t xml:space="preserve">In the first six months of 2016, </w:t>
      </w:r>
      <w:proofErr w:type="spellStart"/>
      <w:r w:rsidRPr="00B10153">
        <w:t>Peduli</w:t>
      </w:r>
      <w:proofErr w:type="spellEnd"/>
      <w:r w:rsidRPr="00B10153">
        <w:t xml:space="preserve"> </w:t>
      </w:r>
      <w:r w:rsidR="00F43D35">
        <w:t xml:space="preserve">saw a </w:t>
      </w:r>
      <w:r w:rsidR="004A36B5">
        <w:t xml:space="preserve">30 </w:t>
      </w:r>
      <w:r w:rsidR="000B44C8">
        <w:t xml:space="preserve">per cent </w:t>
      </w:r>
      <w:r w:rsidR="00F43D35">
        <w:t>increase in</w:t>
      </w:r>
      <w:r w:rsidRPr="00B10153">
        <w:t xml:space="preserve"> the total numbe</w:t>
      </w:r>
      <w:r w:rsidR="001F623B">
        <w:t xml:space="preserve">r of marginalised people it </w:t>
      </w:r>
      <w:r w:rsidR="0040493A">
        <w:t>directly benefited</w:t>
      </w:r>
      <w:r w:rsidR="001F623B">
        <w:t>,</w:t>
      </w:r>
      <w:r w:rsidR="00484AEA">
        <w:t xml:space="preserve"> to 35,431.  </w:t>
      </w:r>
      <w:r w:rsidR="00F43D35">
        <w:t xml:space="preserve">It </w:t>
      </w:r>
      <w:r w:rsidR="001D05FB">
        <w:t>more than doubled</w:t>
      </w:r>
      <w:r w:rsidR="00FA0F25">
        <w:t xml:space="preserve"> the </w:t>
      </w:r>
      <w:r w:rsidR="00C86E86">
        <w:t>number of people with</w:t>
      </w:r>
      <w:r w:rsidRPr="00B10153">
        <w:t xml:space="preserve"> access</w:t>
      </w:r>
      <w:r w:rsidR="00C86E86">
        <w:t xml:space="preserve"> to</w:t>
      </w:r>
      <w:r w:rsidRPr="00B10153">
        <w:t xml:space="preserve"> education services and hospital services (around 50 per cent of </w:t>
      </w:r>
      <w:r w:rsidR="00BE2336" w:rsidRPr="00B10153">
        <w:t>who</w:t>
      </w:r>
      <w:r w:rsidR="00EF1ADA">
        <w:t>m</w:t>
      </w:r>
      <w:r w:rsidRPr="00B10153">
        <w:t xml:space="preserve"> a</w:t>
      </w:r>
      <w:r w:rsidR="00CD4435">
        <w:t>re female and</w:t>
      </w:r>
      <w:r w:rsidR="004A36B5">
        <w:t>/or</w:t>
      </w:r>
      <w:r w:rsidR="00484AEA">
        <w:t xml:space="preserve"> transgender).  </w:t>
      </w:r>
      <w:r w:rsidR="0083393A">
        <w:t xml:space="preserve">The number of people it </w:t>
      </w:r>
      <w:r w:rsidRPr="00B10153">
        <w:t xml:space="preserve">helped to access credit and employment assistance </w:t>
      </w:r>
      <w:r w:rsidR="0083393A">
        <w:t xml:space="preserve">increased </w:t>
      </w:r>
      <w:r w:rsidRPr="00B10153">
        <w:t xml:space="preserve">by </w:t>
      </w:r>
      <w:r w:rsidR="00F44649">
        <w:t>over 30 per cent</w:t>
      </w:r>
      <w:r w:rsidR="00132389">
        <w:t xml:space="preserve"> to </w:t>
      </w:r>
      <w:r w:rsidR="00132389" w:rsidRPr="00B10153">
        <w:t>378 and 800 people</w:t>
      </w:r>
      <w:r w:rsidR="00132389">
        <w:t xml:space="preserve">, </w:t>
      </w:r>
      <w:r w:rsidR="00132389" w:rsidRPr="00B10153">
        <w:t>respectively.</w:t>
      </w:r>
    </w:p>
    <w:p w:rsidR="002643C9" w:rsidRPr="00B10153" w:rsidRDefault="002643C9" w:rsidP="006425FB">
      <w:r w:rsidRPr="006B35F0">
        <w:t xml:space="preserve">Together with its partner, </w:t>
      </w:r>
      <w:r w:rsidRPr="00101FD0">
        <w:t>Migrant CARE,</w:t>
      </w:r>
      <w:r>
        <w:t xml:space="preserve"> MAMPU created an </w:t>
      </w:r>
      <w:r w:rsidRPr="006B35F0">
        <w:t xml:space="preserve">initiative called </w:t>
      </w:r>
      <w:r w:rsidRPr="00095DE4">
        <w:rPr>
          <w:b/>
        </w:rPr>
        <w:t xml:space="preserve">DESBUMI </w:t>
      </w:r>
      <w:r w:rsidRPr="006B35F0">
        <w:t>to develop better policies</w:t>
      </w:r>
      <w:r>
        <w:t xml:space="preserve"> and services</w:t>
      </w:r>
      <w:r w:rsidRPr="006B35F0">
        <w:t xml:space="preserve"> fo</w:t>
      </w:r>
      <w:r>
        <w:t>r migrant wor</w:t>
      </w:r>
      <w:r w:rsidR="00484AEA">
        <w:t xml:space="preserve">kers in Indonesia.  </w:t>
      </w:r>
      <w:r>
        <w:t xml:space="preserve">Between four to six </w:t>
      </w:r>
      <w:r w:rsidRPr="00095DE4">
        <w:t>mill</w:t>
      </w:r>
      <w:r>
        <w:t xml:space="preserve">ion Indonesians </w:t>
      </w:r>
      <w:r w:rsidR="0040493A">
        <w:t xml:space="preserve">regularly </w:t>
      </w:r>
      <w:r>
        <w:t>travel overseas to find employment; around 60 per cent are women who are particularly</w:t>
      </w:r>
      <w:r w:rsidR="00484AEA">
        <w:t xml:space="preserve"> vulnerable to exploitation.  </w:t>
      </w:r>
      <w:r>
        <w:t>DESBUMI works at the village level to provide better services to former and aspiring migrants and their families, as well as with the government to change</w:t>
      </w:r>
      <w:r w:rsidR="00484AEA">
        <w:t xml:space="preserve"> policies governing migration.  </w:t>
      </w:r>
      <w:r>
        <w:t xml:space="preserve">In 2015, with MAMPU support, Migrant CARE assisted eight </w:t>
      </w:r>
      <w:r w:rsidRPr="006B35F0">
        <w:t>villages across Central Java, West Nusa Tenggara, East Nusa Tenggara and East Java to become DESBUMI</w:t>
      </w:r>
      <w:r>
        <w:t>-compliant</w:t>
      </w:r>
      <w:r w:rsidR="006F1D76">
        <w:t>, proving the value of this model</w:t>
      </w:r>
      <w:r w:rsidR="00484AEA">
        <w:t xml:space="preserve">.  </w:t>
      </w:r>
      <w:r w:rsidR="006F1D76">
        <w:t>As a result, t</w:t>
      </w:r>
      <w:r>
        <w:t>he government has committed to implementing this initiative in 100 villages per year from 2016 onwards</w:t>
      </w:r>
      <w:r w:rsidR="006F1D76">
        <w:t xml:space="preserve"> using Indonesian resources</w:t>
      </w:r>
      <w:r>
        <w:t>.</w:t>
      </w:r>
    </w:p>
    <w:p w:rsidR="00A86A1A" w:rsidRPr="004E7765" w:rsidRDefault="00A86A1A" w:rsidP="00A12518">
      <w:pPr>
        <w:widowControl w:val="0"/>
        <w:autoSpaceDE w:val="0"/>
        <w:autoSpaceDN w:val="0"/>
        <w:adjustRightInd w:val="0"/>
        <w:spacing w:after="0"/>
        <w:rPr>
          <w:b/>
        </w:rPr>
      </w:pPr>
      <w:r w:rsidRPr="004E7765">
        <w:rPr>
          <w:b/>
        </w:rPr>
        <w:t xml:space="preserve">Outcome 5: Improved quality of practices and personnel in services </w:t>
      </w:r>
    </w:p>
    <w:p w:rsidR="00507620" w:rsidRPr="00507620" w:rsidRDefault="00507620" w:rsidP="009E4AF1">
      <w:pPr>
        <w:rPr>
          <w:b/>
          <w:i/>
        </w:rPr>
      </w:pPr>
      <w:r>
        <w:rPr>
          <w:b/>
          <w:i/>
        </w:rPr>
        <w:t xml:space="preserve">Education </w:t>
      </w:r>
    </w:p>
    <w:p w:rsidR="008C3AC2" w:rsidRPr="006425FB" w:rsidRDefault="009E4AF1" w:rsidP="009E4AF1">
      <w:r w:rsidRPr="006425FB">
        <w:t xml:space="preserve">In </w:t>
      </w:r>
      <w:r w:rsidR="005D4FCD">
        <w:t xml:space="preserve">the </w:t>
      </w:r>
      <w:r w:rsidRPr="006425FB">
        <w:rPr>
          <w:b/>
        </w:rPr>
        <w:t>Education</w:t>
      </w:r>
      <w:r w:rsidR="005D4FCD">
        <w:rPr>
          <w:b/>
        </w:rPr>
        <w:t xml:space="preserve"> Partnership</w:t>
      </w:r>
      <w:r w:rsidRPr="006425FB">
        <w:t>, we reoriented our engagement away from building schools and towards improving the quality of learning and strengthening service delivery systems</w:t>
      </w:r>
      <w:r w:rsidR="006425FB" w:rsidRPr="006425FB">
        <w:t>, including through support to school leaders</w:t>
      </w:r>
      <w:r w:rsidR="00484AEA">
        <w:t xml:space="preserve">.  </w:t>
      </w:r>
      <w:r w:rsidRPr="006425FB">
        <w:t>This aligns with Indonesia’s own priorities as it seeks affordable and sustainable ways to raise lear</w:t>
      </w:r>
      <w:r w:rsidR="00484AEA">
        <w:t xml:space="preserve">ning outcomes for its citizens.  </w:t>
      </w:r>
      <w:r w:rsidR="00325CE6">
        <w:t xml:space="preserve">An annual program report showed that </w:t>
      </w:r>
      <w:r w:rsidR="00203410">
        <w:t>while initially in 2015 the program struggled to adjust to the new priorities of both</w:t>
      </w:r>
      <w:r w:rsidR="00E06155">
        <w:t xml:space="preserve"> </w:t>
      </w:r>
      <w:r w:rsidR="00BF43A6">
        <w:t>the Australian and Indonesian G</w:t>
      </w:r>
      <w:r w:rsidR="00203410">
        <w:t>overnments, b</w:t>
      </w:r>
      <w:r w:rsidR="00584EE3">
        <w:t>y 2016 it was performing well and was able to</w:t>
      </w:r>
      <w:r w:rsidR="00203410">
        <w:t xml:space="preserve"> meet the needs of both partners. </w:t>
      </w:r>
    </w:p>
    <w:p w:rsidR="00DF29A1" w:rsidRDefault="00874695" w:rsidP="00874695">
      <w:r>
        <w:t xml:space="preserve">Australia </w:t>
      </w:r>
      <w:r w:rsidRPr="006B35F0">
        <w:t xml:space="preserve">provided </w:t>
      </w:r>
      <w:r w:rsidR="00C548A6">
        <w:t>ongoing</w:t>
      </w:r>
      <w:r>
        <w:t xml:space="preserve"> </w:t>
      </w:r>
      <w:r w:rsidRPr="005567AD">
        <w:rPr>
          <w:b/>
        </w:rPr>
        <w:t>professional development</w:t>
      </w:r>
      <w:r>
        <w:t xml:space="preserve"> to</w:t>
      </w:r>
      <w:r w:rsidRPr="006B35F0">
        <w:t xml:space="preserve"> 7,200 school principals </w:t>
      </w:r>
      <w:r>
        <w:t xml:space="preserve">from 250 Indonesian districts </w:t>
      </w:r>
      <w:r w:rsidRPr="006B35F0">
        <w:t>(a total of 24,300 have been tr</w:t>
      </w:r>
      <w:r w:rsidR="00484AEA">
        <w:t xml:space="preserve">ained over the last two years).  </w:t>
      </w:r>
      <w:r w:rsidRPr="006B35F0">
        <w:t>Australia’s investments in principa</w:t>
      </w:r>
      <w:r>
        <w:t>ls’ professional development have</w:t>
      </w:r>
      <w:r w:rsidRPr="006B35F0">
        <w:t xml:space="preserve"> substantially influenced national teacher, principal and supervisor training policies and practic</w:t>
      </w:r>
      <w:r w:rsidR="00484AEA">
        <w:t xml:space="preserve">es.  </w:t>
      </w:r>
      <w:r>
        <w:t xml:space="preserve">This support has </w:t>
      </w:r>
      <w:r w:rsidRPr="006B35F0">
        <w:t>laid the ground</w:t>
      </w:r>
      <w:r>
        <w:t xml:space="preserve"> work</w:t>
      </w:r>
      <w:r w:rsidRPr="006B35F0">
        <w:t xml:space="preserve"> for a national teacher professional </w:t>
      </w:r>
      <w:r w:rsidR="003B3E97">
        <w:t>development program, and for on</w:t>
      </w:r>
      <w:r w:rsidRPr="006B35F0">
        <w:t>line learning to be targeted</w:t>
      </w:r>
      <w:r w:rsidR="00DF29A1">
        <w:t xml:space="preserve"> at educational professionals. </w:t>
      </w:r>
    </w:p>
    <w:p w:rsidR="00B72025" w:rsidRDefault="00B72025" w:rsidP="00874695">
      <w:r w:rsidRPr="00B72025">
        <w:t xml:space="preserve">To help tackle teacher absenteeism in remote areas, and improve the quality of education, we supported the </w:t>
      </w:r>
      <w:r w:rsidRPr="00B72025">
        <w:rPr>
          <w:b/>
        </w:rPr>
        <w:t>Teacher Performance and</w:t>
      </w:r>
      <w:r w:rsidR="004D517F">
        <w:rPr>
          <w:b/>
        </w:rPr>
        <w:t xml:space="preserve"> Accountability </w:t>
      </w:r>
      <w:r w:rsidRPr="00B72025">
        <w:rPr>
          <w:b/>
        </w:rPr>
        <w:t>pilot</w:t>
      </w:r>
      <w:r w:rsidRPr="00B72025">
        <w:t xml:space="preserve"> in three remote</w:t>
      </w:r>
      <w:r w:rsidR="00CD4435">
        <w:t xml:space="preserve"> </w:t>
      </w:r>
      <w:r w:rsidR="00484AEA">
        <w:t xml:space="preserve">districts, including in Papua.  </w:t>
      </w:r>
      <w:r w:rsidRPr="00B72025">
        <w:t xml:space="preserve">Based on </w:t>
      </w:r>
      <w:r w:rsidR="002E290E">
        <w:t xml:space="preserve">its </w:t>
      </w:r>
      <w:r w:rsidRPr="00B72025">
        <w:t xml:space="preserve">results, we agreed in early 2016 to provide funding to scale up the pilot in another five districts </w:t>
      </w:r>
      <w:r>
        <w:t xml:space="preserve">working closely </w:t>
      </w:r>
      <w:r w:rsidR="00CD4435">
        <w:t>w</w:t>
      </w:r>
      <w:r w:rsidR="00484AEA">
        <w:t xml:space="preserve">ith the Ministry of Education.  </w:t>
      </w:r>
      <w:r w:rsidRPr="00B72025">
        <w:t>The pilot support</w:t>
      </w:r>
      <w:r>
        <w:t>s</w:t>
      </w:r>
      <w:r w:rsidRPr="00B72025">
        <w:t xml:space="preserve"> reforms to national policy on the teacher </w:t>
      </w:r>
      <w:r w:rsidRPr="00406CF5">
        <w:t>professional allowance, which in 2016 will amount to around AUD8 billion.</w:t>
      </w:r>
    </w:p>
    <w:p w:rsidR="008C3AC2" w:rsidRDefault="008C3AC2" w:rsidP="00874695">
      <w:r w:rsidRPr="00B72025">
        <w:lastRenderedPageBreak/>
        <w:t>In terms of school building, improved site selection techniques and constructio</w:t>
      </w:r>
      <w:r w:rsidR="00511F2E">
        <w:t>n quality assurance procedures demonstrated</w:t>
      </w:r>
      <w:r w:rsidR="00903946">
        <w:t xml:space="preserve"> by Australia</w:t>
      </w:r>
      <w:r w:rsidRPr="00B72025">
        <w:t xml:space="preserve"> are now the norm within the Ministry of Education and Culture, as</w:t>
      </w:r>
      <w:r w:rsidR="00F61EAB">
        <w:t xml:space="preserve"> are the practices of community-</w:t>
      </w:r>
      <w:r w:rsidRPr="00B72025">
        <w:t xml:space="preserve">managed construction and transparent </w:t>
      </w:r>
      <w:r w:rsidR="001F65EE">
        <w:t xml:space="preserve">Indonesian </w:t>
      </w:r>
      <w:r w:rsidRPr="00B72025">
        <w:t>complaint handling.</w:t>
      </w:r>
      <w:r w:rsidRPr="00A12518">
        <w:t xml:space="preserve"> </w:t>
      </w:r>
    </w:p>
    <w:p w:rsidR="00507620" w:rsidRPr="00507620" w:rsidRDefault="00507620" w:rsidP="004F4DC3">
      <w:pPr>
        <w:rPr>
          <w:b/>
          <w:i/>
        </w:rPr>
      </w:pPr>
      <w:r w:rsidRPr="00507620">
        <w:rPr>
          <w:b/>
          <w:i/>
        </w:rPr>
        <w:t xml:space="preserve">Australia Awards </w:t>
      </w:r>
    </w:p>
    <w:p w:rsidR="004F4DC3" w:rsidRDefault="006454FE" w:rsidP="004F4DC3">
      <w:r>
        <w:t>In line with our new economic partnership, o</w:t>
      </w:r>
      <w:r w:rsidR="004F4DC3" w:rsidRPr="004F4DC3">
        <w:t xml:space="preserve">ur </w:t>
      </w:r>
      <w:r w:rsidR="004F4DC3" w:rsidRPr="004F4DC3">
        <w:rPr>
          <w:b/>
        </w:rPr>
        <w:t>Australia Awards</w:t>
      </w:r>
      <w:r w:rsidR="00291842">
        <w:t xml:space="preserve"> </w:t>
      </w:r>
      <w:r w:rsidR="004F4DC3" w:rsidRPr="004F4DC3">
        <w:t>program increase</w:t>
      </w:r>
      <w:r>
        <w:t>d</w:t>
      </w:r>
      <w:r w:rsidR="00F7568D">
        <w:t xml:space="preserve"> </w:t>
      </w:r>
      <w:r w:rsidR="004F4DC3" w:rsidRPr="004F4DC3">
        <w:t>short-term a</w:t>
      </w:r>
      <w:r w:rsidR="00F7568D">
        <w:t xml:space="preserve">wards, </w:t>
      </w:r>
      <w:r>
        <w:t xml:space="preserve">with a </w:t>
      </w:r>
      <w:r w:rsidR="00484AEA">
        <w:t xml:space="preserve">focus on the private sector.  </w:t>
      </w:r>
      <w:r w:rsidR="004F4DC3" w:rsidRPr="004F4DC3">
        <w:t>The prestigious PhDs and Masters courses remain, balancing public and private sector</w:t>
      </w:r>
      <w:r>
        <w:t xml:space="preserve"> </w:t>
      </w:r>
      <w:r w:rsidR="004F4DC3" w:rsidRPr="004F4DC3">
        <w:t>s</w:t>
      </w:r>
      <w:r>
        <w:t>ubjects</w:t>
      </w:r>
      <w:r w:rsidR="004F4DC3" w:rsidRPr="004F4DC3">
        <w:t>.</w:t>
      </w:r>
      <w:r w:rsidR="004F4DC3">
        <w:t xml:space="preserve"> </w:t>
      </w:r>
    </w:p>
    <w:p w:rsidR="00874695" w:rsidRDefault="00D64950" w:rsidP="00874695">
      <w:r>
        <w:rPr>
          <w:noProof/>
          <w:lang w:val="en-AU" w:eastAsia="en-AU"/>
        </w:rPr>
        <mc:AlternateContent>
          <mc:Choice Requires="wps">
            <w:drawing>
              <wp:anchor distT="0" distB="0" distL="114300" distR="114300" simplePos="0" relativeHeight="251659264" behindDoc="1" locked="0" layoutInCell="1" allowOverlap="1">
                <wp:simplePos x="0" y="0"/>
                <wp:positionH relativeFrom="column">
                  <wp:posOffset>3997960</wp:posOffset>
                </wp:positionH>
                <wp:positionV relativeFrom="paragraph">
                  <wp:posOffset>268605</wp:posOffset>
                </wp:positionV>
                <wp:extent cx="2209800" cy="5718810"/>
                <wp:effectExtent l="0" t="0" r="0" b="0"/>
                <wp:wrapTight wrapText="bothSides">
                  <wp:wrapPolygon edited="0">
                    <wp:start x="0" y="0"/>
                    <wp:lineTo x="0" y="21586"/>
                    <wp:lineTo x="21600" y="21586"/>
                    <wp:lineTo x="21600"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718810"/>
                        </a:xfrm>
                        <a:prstGeom prst="rect">
                          <a:avLst/>
                        </a:prstGeom>
                        <a:solidFill>
                          <a:sysClr val="window" lastClr="FFFFFF"/>
                        </a:solidFill>
                        <a:ln w="25400" cap="flat" cmpd="sng" algn="ctr">
                          <a:solidFill>
                            <a:srgbClr val="65C5B4"/>
                          </a:solidFill>
                          <a:prstDash val="solid"/>
                          <a:headEnd/>
                          <a:tailEnd/>
                        </a:ln>
                        <a:effectLst/>
                      </wps:spPr>
                      <wps:txbx>
                        <w:txbxContent>
                          <w:p w:rsidR="00547E6C" w:rsidRDefault="00547E6C" w:rsidP="00874695">
                            <w:pPr>
                              <w:rPr>
                                <w:rFonts w:ascii="Franklin Gothic Book" w:eastAsia="Times New Roman" w:hAnsi="Franklin Gothic Book"/>
                                <w:b/>
                                <w:sz w:val="21"/>
                                <w:lang w:eastAsia="zh-CN"/>
                              </w:rPr>
                            </w:pPr>
                            <w:r>
                              <w:rPr>
                                <w:rFonts w:ascii="Franklin Gothic Book" w:eastAsia="Times New Roman" w:hAnsi="Franklin Gothic Book"/>
                                <w:b/>
                                <w:sz w:val="21"/>
                                <w:lang w:eastAsia="zh-CN"/>
                              </w:rPr>
                              <w:t xml:space="preserve">Alumnus success  </w:t>
                            </w:r>
                          </w:p>
                          <w:p w:rsidR="00547E6C" w:rsidRDefault="00547E6C" w:rsidP="00874695">
                            <w:r>
                              <w:t>The Australia Awards increased</w:t>
                            </w:r>
                            <w:r w:rsidRPr="006B35F0">
                              <w:t xml:space="preserve"> the </w:t>
                            </w:r>
                            <w:r>
                              <w:t>number</w:t>
                            </w:r>
                            <w:r w:rsidRPr="006B35F0">
                              <w:t xml:space="preserve"> of</w:t>
                            </w:r>
                            <w:r>
                              <w:t xml:space="preserve"> awardees with a disability. In late 2015, we </w:t>
                            </w:r>
                            <w:r w:rsidRPr="006B35F0">
                              <w:t xml:space="preserve">delivered a short-term award to help build the leadership and advocacy capacity of Disabled </w:t>
                            </w:r>
                            <w:r w:rsidR="00DC3CFD">
                              <w:t>People</w:t>
                            </w:r>
                            <w:r>
                              <w:t>s</w:t>
                            </w:r>
                            <w:r w:rsidR="00DC3CFD">
                              <w:t>’</w:t>
                            </w:r>
                            <w:r>
                              <w:t xml:space="preserve"> O</w:t>
                            </w:r>
                            <w:r w:rsidRPr="006B35F0">
                              <w:t>rganisations across Indonesia. One course participant, Mohamm</w:t>
                            </w:r>
                            <w:r>
                              <w:t xml:space="preserve">ad Ismail, subsequently won first </w:t>
                            </w:r>
                            <w:r w:rsidRPr="006B35F0">
                              <w:t>place at an event</w:t>
                            </w:r>
                            <w:r>
                              <w:t xml:space="preserve"> in April 2016, part of </w:t>
                            </w:r>
                            <w:proofErr w:type="spellStart"/>
                            <w:r w:rsidRPr="006B35F0">
                              <w:t>In.CoDe</w:t>
                            </w:r>
                            <w:proofErr w:type="spellEnd"/>
                            <w:r w:rsidRPr="006B35F0">
                              <w:t xml:space="preserve"> </w:t>
                            </w:r>
                            <w:r>
                              <w:t xml:space="preserve">(Innovation and Collaboration in Development), </w:t>
                            </w:r>
                            <w:r w:rsidRPr="006B35F0">
                              <w:t>which was</w:t>
                            </w:r>
                            <w:r>
                              <w:t xml:space="preserve"> a series of events</w:t>
                            </w:r>
                            <w:r w:rsidRPr="006B35F0">
                              <w:t xml:space="preserve"> </w:t>
                            </w:r>
                            <w:r>
                              <w:t xml:space="preserve">run </w:t>
                            </w:r>
                            <w:r w:rsidRPr="006B35F0">
                              <w:t>by The Asia Foundation</w:t>
                            </w:r>
                            <w:r>
                              <w:t xml:space="preserve"> and funded by Australia under the Democratic Governance Fund</w:t>
                            </w:r>
                            <w:r w:rsidRPr="006B35F0">
                              <w:t>.</w:t>
                            </w:r>
                            <w:r>
                              <w:t xml:space="preserve"> </w:t>
                            </w:r>
                            <w:r w:rsidRPr="006B35F0">
                              <w:t xml:space="preserve">Mr Ismail will </w:t>
                            </w:r>
                            <w:r>
                              <w:t xml:space="preserve">now </w:t>
                            </w:r>
                            <w:r w:rsidRPr="006B35F0">
                              <w:t>develop an Indonesian sign language mobile app. He directly attributed the win to the communication skills he gained during his short course</w:t>
                            </w:r>
                            <w:r>
                              <w:t xml:space="preserve"> award experience in Australia.</w:t>
                            </w:r>
                          </w:p>
                          <w:p w:rsidR="004D59E9" w:rsidRPr="004D59E9" w:rsidRDefault="004D59E9" w:rsidP="00874695">
                            <w:pPr>
                              <w:rPr>
                                <w:i/>
                              </w:rPr>
                            </w:pPr>
                            <w:r>
                              <w:rPr>
                                <w:i/>
                              </w:rPr>
                              <w:t xml:space="preserve">Photo: DFAT </w:t>
                            </w:r>
                          </w:p>
                          <w:p w:rsidR="00547E6C" w:rsidRPr="00106054" w:rsidRDefault="00D64950" w:rsidP="00874695">
                            <w:pPr>
                              <w:widowControl w:val="0"/>
                              <w:autoSpaceDE w:val="0"/>
                              <w:autoSpaceDN w:val="0"/>
                              <w:adjustRightInd w:val="0"/>
                              <w:spacing w:after="0"/>
                              <w:rPr>
                                <w:rFonts w:ascii="Calibri" w:eastAsia="Times New Roman" w:hAnsi="Calibri" w:cs="Calibri"/>
                                <w:color w:val="auto"/>
                                <w:sz w:val="18"/>
                                <w:szCs w:val="18"/>
                                <w:lang w:val="en-US" w:eastAsia="ja-JP"/>
                              </w:rPr>
                            </w:pPr>
                            <w:r w:rsidRPr="00106054">
                              <w:rPr>
                                <w:rFonts w:ascii="Calibri" w:eastAsia="Times New Roman" w:hAnsi="Calibri" w:cs="Calibri"/>
                                <w:noProof/>
                                <w:color w:val="auto"/>
                                <w:sz w:val="18"/>
                                <w:szCs w:val="18"/>
                                <w:lang w:val="en-AU" w:eastAsia="en-AU"/>
                              </w:rPr>
                              <w:drawing>
                                <wp:inline distT="0" distB="0" distL="0" distR="0">
                                  <wp:extent cx="2000250" cy="13906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1390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4.8pt;margin-top:21.15pt;width:174pt;height:4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" fillcolor="window" strokecolor="#65c5b4" strokeweight="2pt">
                <v:textbox>
                  <w:txbxContent>
                    <w:p w:rsidR="00547E6C" w:rsidRDefault="00547E6C" w:rsidP="00874695">
                      <w:pPr>
                        <w:rPr>
                          <w:rFonts w:ascii="Franklin Gothic Book" w:eastAsia="Times New Roman" w:hAnsi="Franklin Gothic Book"/>
                          <w:b/>
                          <w:sz w:val="21"/>
                          <w:lang w:eastAsia="zh-CN"/>
                        </w:rPr>
                      </w:pPr>
                      <w:r>
                        <w:rPr>
                          <w:rFonts w:ascii="Franklin Gothic Book" w:eastAsia="Times New Roman" w:hAnsi="Franklin Gothic Book"/>
                          <w:b/>
                          <w:sz w:val="21"/>
                          <w:lang w:eastAsia="zh-CN"/>
                        </w:rPr>
                        <w:t xml:space="preserve">Alumnus success  </w:t>
                      </w:r>
                    </w:p>
                    <w:p w:rsidR="00547E6C" w:rsidRDefault="00547E6C" w:rsidP="00874695">
                      <w:r>
                        <w:t>The Australia Awards increased</w:t>
                      </w:r>
                      <w:r w:rsidRPr="006B35F0">
                        <w:t xml:space="preserve"> the </w:t>
                      </w:r>
                      <w:r>
                        <w:t>number</w:t>
                      </w:r>
                      <w:r w:rsidRPr="006B35F0">
                        <w:t xml:space="preserve"> of</w:t>
                      </w:r>
                      <w:r>
                        <w:t xml:space="preserve"> awardees with a disability. In late 2015, we </w:t>
                      </w:r>
                      <w:r w:rsidRPr="006B35F0">
                        <w:t xml:space="preserve">delivered a short-term award to help build the leadership and advocacy capacity of Disabled </w:t>
                      </w:r>
                      <w:r w:rsidR="00DC3CFD">
                        <w:t>People</w:t>
                      </w:r>
                      <w:r>
                        <w:t>s</w:t>
                      </w:r>
                      <w:r w:rsidR="00DC3CFD">
                        <w:t>’</w:t>
                      </w:r>
                      <w:r>
                        <w:t xml:space="preserve"> O</w:t>
                      </w:r>
                      <w:r w:rsidRPr="006B35F0">
                        <w:t>rganisations across Indonesia. One course participant, Mohamm</w:t>
                      </w:r>
                      <w:r>
                        <w:t xml:space="preserve">ad Ismail, subsequently won first </w:t>
                      </w:r>
                      <w:r w:rsidRPr="006B35F0">
                        <w:t>place at an event</w:t>
                      </w:r>
                      <w:r>
                        <w:t xml:space="preserve"> in April 2016, part of </w:t>
                      </w:r>
                      <w:r w:rsidRPr="006B35F0">
                        <w:t xml:space="preserve">In.CoDe </w:t>
                      </w:r>
                      <w:r>
                        <w:t xml:space="preserve">(Innovation and Collaboration in Development), </w:t>
                      </w:r>
                      <w:r w:rsidRPr="006B35F0">
                        <w:t>which was</w:t>
                      </w:r>
                      <w:r>
                        <w:t xml:space="preserve"> a series of events</w:t>
                      </w:r>
                      <w:r w:rsidRPr="006B35F0">
                        <w:t xml:space="preserve"> </w:t>
                      </w:r>
                      <w:r>
                        <w:t xml:space="preserve">run </w:t>
                      </w:r>
                      <w:r w:rsidRPr="006B35F0">
                        <w:t>by The Asia Foundation</w:t>
                      </w:r>
                      <w:r>
                        <w:t xml:space="preserve"> and funded by Australia under the Democratic Governance Fund</w:t>
                      </w:r>
                      <w:r w:rsidRPr="006B35F0">
                        <w:t>.</w:t>
                      </w:r>
                      <w:r>
                        <w:t xml:space="preserve"> </w:t>
                      </w:r>
                      <w:r w:rsidRPr="006B35F0">
                        <w:t xml:space="preserve">Mr Ismail will </w:t>
                      </w:r>
                      <w:r>
                        <w:t xml:space="preserve">now </w:t>
                      </w:r>
                      <w:r w:rsidRPr="006B35F0">
                        <w:t>develop an Indonesian sign language mobile app. He directly attributed the win to the communication skills he gained during his short course</w:t>
                      </w:r>
                      <w:r>
                        <w:t xml:space="preserve"> award experience in Australia.</w:t>
                      </w:r>
                    </w:p>
                    <w:p w:rsidR="004D59E9" w:rsidRPr="004D59E9" w:rsidRDefault="004D59E9" w:rsidP="00874695">
                      <w:pPr>
                        <w:rPr>
                          <w:i/>
                        </w:rPr>
                      </w:pPr>
                      <w:r>
                        <w:rPr>
                          <w:i/>
                        </w:rPr>
                        <w:t xml:space="preserve">Photo: DFAT </w:t>
                      </w:r>
                    </w:p>
                    <w:p w:rsidR="00547E6C" w:rsidRPr="00106054" w:rsidRDefault="00D64950" w:rsidP="00874695">
                      <w:pPr>
                        <w:widowControl w:val="0"/>
                        <w:autoSpaceDE w:val="0"/>
                        <w:autoSpaceDN w:val="0"/>
                        <w:adjustRightInd w:val="0"/>
                        <w:spacing w:after="0"/>
                        <w:rPr>
                          <w:rFonts w:ascii="Calibri" w:eastAsia="Times New Roman" w:hAnsi="Calibri" w:cs="Calibri"/>
                          <w:color w:val="auto"/>
                          <w:sz w:val="18"/>
                          <w:szCs w:val="18"/>
                          <w:lang w:val="en-US" w:eastAsia="ja-JP"/>
                        </w:rPr>
                      </w:pPr>
                      <w:r w:rsidRPr="00106054">
                        <w:rPr>
                          <w:rFonts w:ascii="Calibri" w:eastAsia="Times New Roman" w:hAnsi="Calibri" w:cs="Calibri"/>
                          <w:noProof/>
                          <w:color w:val="auto"/>
                          <w:sz w:val="18"/>
                          <w:szCs w:val="18"/>
                          <w:lang w:val="en-AU" w:eastAsia="en-AU"/>
                        </w:rPr>
                        <w:drawing>
                          <wp:inline distT="0" distB="0" distL="0" distR="0">
                            <wp:extent cx="2000250" cy="13906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0" cy="1390650"/>
                                    </a:xfrm>
                                    <a:prstGeom prst="rect">
                                      <a:avLst/>
                                    </a:prstGeom>
                                    <a:noFill/>
                                    <a:ln>
                                      <a:noFill/>
                                    </a:ln>
                                  </pic:spPr>
                                </pic:pic>
                              </a:graphicData>
                            </a:graphic>
                          </wp:inline>
                        </w:drawing>
                      </w:r>
                    </w:p>
                  </w:txbxContent>
                </v:textbox>
                <w10:wrap type="tight"/>
              </v:shape>
            </w:pict>
          </mc:Fallback>
        </mc:AlternateContent>
      </w:r>
      <w:r w:rsidR="00874695" w:rsidRPr="006B35F0">
        <w:t xml:space="preserve">In 2015-16, </w:t>
      </w:r>
      <w:r w:rsidR="00874695">
        <w:t xml:space="preserve">we funded </w:t>
      </w:r>
      <w:r w:rsidR="00874695" w:rsidRPr="00101FD0">
        <w:rPr>
          <w:b/>
        </w:rPr>
        <w:t>200 long-term</w:t>
      </w:r>
      <w:r w:rsidR="00874695">
        <w:t xml:space="preserve"> awards </w:t>
      </w:r>
      <w:r w:rsidR="00874695" w:rsidRPr="006B35F0">
        <w:t xml:space="preserve">and </w:t>
      </w:r>
      <w:r w:rsidR="008139D1" w:rsidRPr="008139D1">
        <w:rPr>
          <w:b/>
        </w:rPr>
        <w:t xml:space="preserve">500 </w:t>
      </w:r>
      <w:r w:rsidR="002F66D3" w:rsidRPr="008139D1">
        <w:rPr>
          <w:b/>
        </w:rPr>
        <w:t>s</w:t>
      </w:r>
      <w:r w:rsidR="002F66D3">
        <w:rPr>
          <w:b/>
        </w:rPr>
        <w:t>hort-</w:t>
      </w:r>
      <w:r w:rsidR="00874695" w:rsidRPr="00101FD0">
        <w:rPr>
          <w:b/>
        </w:rPr>
        <w:t>term</w:t>
      </w:r>
      <w:r w:rsidR="00874695">
        <w:t xml:space="preserve"> awards</w:t>
      </w:r>
      <w:r w:rsidR="008139D1">
        <w:t xml:space="preserve"> across 24 courses</w:t>
      </w:r>
      <w:r w:rsidR="00874695">
        <w:t xml:space="preserve">, facilitating a total of </w:t>
      </w:r>
      <w:r w:rsidR="00874695" w:rsidRPr="00A12518">
        <w:t xml:space="preserve">around 700 </w:t>
      </w:r>
      <w:r w:rsidR="001D0516">
        <w:t xml:space="preserve">Indonesian </w:t>
      </w:r>
      <w:r w:rsidR="00874695" w:rsidRPr="00A12518">
        <w:t>awardees</w:t>
      </w:r>
      <w:r w:rsidR="00874695" w:rsidRPr="006B35F0">
        <w:t xml:space="preserve"> </w:t>
      </w:r>
      <w:r w:rsidR="00874695">
        <w:t>to study</w:t>
      </w:r>
      <w:r w:rsidR="00874695" w:rsidRPr="006B35F0">
        <w:t xml:space="preserve"> in Austral</w:t>
      </w:r>
      <w:r w:rsidR="00484AEA">
        <w:t xml:space="preserve">ia.  </w:t>
      </w:r>
      <w:r w:rsidR="00874695">
        <w:t>Thirty per</w:t>
      </w:r>
      <w:r w:rsidR="007107A2">
        <w:t xml:space="preserve"> </w:t>
      </w:r>
      <w:r w:rsidR="00874695">
        <w:t>cent of awardees we</w:t>
      </w:r>
      <w:r w:rsidR="00874695" w:rsidRPr="006B35F0">
        <w:t>re from the private sector, and five of the short courses specifically focu</w:t>
      </w:r>
      <w:r w:rsidR="00805B4B">
        <w:t>s</w:t>
      </w:r>
      <w:r w:rsidR="00874695" w:rsidRPr="006B35F0">
        <w:t xml:space="preserve">sed on economic development, trade </w:t>
      </w:r>
      <w:r w:rsidR="00F7568D">
        <w:t>development or small to medium e</w:t>
      </w:r>
      <w:r w:rsidR="0028335F">
        <w:t xml:space="preserve">nterprise </w:t>
      </w:r>
      <w:r w:rsidR="00874695">
        <w:t xml:space="preserve">expansion.  </w:t>
      </w:r>
    </w:p>
    <w:p w:rsidR="00874695" w:rsidRPr="006B35F0" w:rsidRDefault="00DF29A1" w:rsidP="00874695">
      <w:r>
        <w:t>Australia Awards</w:t>
      </w:r>
      <w:r w:rsidR="00291842">
        <w:t xml:space="preserve"> in Indonesia </w:t>
      </w:r>
      <w:r w:rsidR="00874695" w:rsidRPr="006B35F0">
        <w:t xml:space="preserve">continued </w:t>
      </w:r>
      <w:r w:rsidR="0051167E">
        <w:t>to prioritise</w:t>
      </w:r>
      <w:r w:rsidR="00874695" w:rsidRPr="006B35F0">
        <w:t xml:space="preserve"> gender parity in 2015-16 with </w:t>
      </w:r>
      <w:r w:rsidR="00874695" w:rsidRPr="00101FD0">
        <w:rPr>
          <w:b/>
        </w:rPr>
        <w:t>53 per cent of the long-term awards going to women</w:t>
      </w:r>
      <w:r w:rsidR="00CD4435">
        <w:t xml:space="preserve">.  </w:t>
      </w:r>
      <w:r w:rsidR="00874695" w:rsidRPr="006B35F0">
        <w:t xml:space="preserve">Challenges remain in achieving gender parity </w:t>
      </w:r>
      <w:r w:rsidR="0040493E">
        <w:t>in</w:t>
      </w:r>
      <w:r w:rsidR="00874695" w:rsidRPr="006B35F0">
        <w:t xml:space="preserve"> short-term awards, with current fi</w:t>
      </w:r>
      <w:r w:rsidR="00CD4435">
        <w:t>g</w:t>
      </w:r>
      <w:r w:rsidR="00484AEA">
        <w:t xml:space="preserve">ures at 36 per cent for women.  </w:t>
      </w:r>
      <w:r w:rsidR="00874695" w:rsidRPr="006B35F0">
        <w:t>However, the program did deliver a number of short courses specifically aimed</w:t>
      </w:r>
      <w:r w:rsidR="00973F6F">
        <w:t xml:space="preserve"> at </w:t>
      </w:r>
      <w:r w:rsidR="00CC77FC">
        <w:t>empowering women</w:t>
      </w:r>
      <w:r w:rsidR="00484AEA">
        <w:t xml:space="preserve">.  </w:t>
      </w:r>
      <w:r w:rsidR="00874695">
        <w:t xml:space="preserve">These included </w:t>
      </w:r>
      <w:r w:rsidR="00791529">
        <w:t>‘</w:t>
      </w:r>
      <w:r w:rsidR="00874695" w:rsidRPr="006B35F0">
        <w:t>Organisational leadership and Management Practice</w:t>
      </w:r>
      <w:r w:rsidR="00791529">
        <w:t>’</w:t>
      </w:r>
      <w:r w:rsidR="002F6F0C">
        <w:t xml:space="preserve"> in collaboration with the Australian</w:t>
      </w:r>
      <w:r w:rsidR="00874695" w:rsidRPr="006B35F0">
        <w:t>-funded</w:t>
      </w:r>
      <w:r w:rsidR="00874695">
        <w:t xml:space="preserve"> women’s empowerment</w:t>
      </w:r>
      <w:r w:rsidR="00F259D0">
        <w:t xml:space="preserve"> </w:t>
      </w:r>
      <w:r w:rsidR="00973F6F">
        <w:t>program</w:t>
      </w:r>
      <w:r w:rsidR="00F259D0">
        <w:t xml:space="preserve"> (MAMPU)</w:t>
      </w:r>
      <w:r w:rsidR="00973F6F">
        <w:t>, and</w:t>
      </w:r>
      <w:r w:rsidR="00874695" w:rsidRPr="006B35F0">
        <w:t xml:space="preserve"> </w:t>
      </w:r>
      <w:r w:rsidR="00791529">
        <w:t>‘</w:t>
      </w:r>
      <w:r w:rsidR="00874695" w:rsidRPr="006B35F0">
        <w:t>Women in Global Business</w:t>
      </w:r>
      <w:r w:rsidR="00BA6713">
        <w:t>,</w:t>
      </w:r>
      <w:r w:rsidR="00805B4B">
        <w:t>’ which focuss</w:t>
      </w:r>
      <w:r w:rsidR="00791529">
        <w:t>ed</w:t>
      </w:r>
      <w:r w:rsidR="00CC77FC">
        <w:t xml:space="preserve"> on</w:t>
      </w:r>
      <w:r w:rsidR="00874695" w:rsidRPr="006B35F0">
        <w:t xml:space="preserve"> the textile industry. </w:t>
      </w:r>
    </w:p>
    <w:p w:rsidR="00874695" w:rsidRPr="006B35F0" w:rsidRDefault="00874695" w:rsidP="00874695">
      <w:r>
        <w:t xml:space="preserve">We introduced new ‘on award’ </w:t>
      </w:r>
      <w:r w:rsidRPr="006B35F0">
        <w:t xml:space="preserve">enrichment activities designed to </w:t>
      </w:r>
      <w:r w:rsidR="002C180F">
        <w:t xml:space="preserve">help </w:t>
      </w:r>
      <w:r w:rsidRPr="006B35F0">
        <w:t xml:space="preserve">awardees to get the most out of their scholarships and </w:t>
      </w:r>
      <w:r>
        <w:t xml:space="preserve">build enduring connections while studying in </w:t>
      </w:r>
      <w:r w:rsidR="00484AEA">
        <w:t xml:space="preserve">Australia.  </w:t>
      </w:r>
      <w:r w:rsidRPr="006B35F0">
        <w:t xml:space="preserve">The </w:t>
      </w:r>
      <w:r w:rsidRPr="00101FD0">
        <w:rPr>
          <w:b/>
        </w:rPr>
        <w:t>Skills and Awareness in Marine Understanding – Discoveries, Resources and Achievements Pro</w:t>
      </w:r>
      <w:r w:rsidR="006E3712">
        <w:rPr>
          <w:b/>
        </w:rPr>
        <w:t xml:space="preserve">gram </w:t>
      </w:r>
      <w:r w:rsidR="007912B3">
        <w:t>was one such initiative, providing</w:t>
      </w:r>
      <w:r w:rsidRPr="006B35F0">
        <w:t xml:space="preserve"> students from the Indonesian Ministry of Marine Affairs and Fisheries an</w:t>
      </w:r>
      <w:r w:rsidR="00C6260A">
        <w:t xml:space="preserve">d other relevant organisations </w:t>
      </w:r>
      <w:r w:rsidRPr="006B35F0">
        <w:t xml:space="preserve">with an overview of Australian approaches to marine affairs, fisheries and aquaculture, covering issues such as zoning, quotas, compliance, and sustainability. </w:t>
      </w:r>
    </w:p>
    <w:p w:rsidR="00874695" w:rsidRDefault="00874695" w:rsidP="00874695">
      <w:r w:rsidRPr="006B35F0">
        <w:t xml:space="preserve">2016 </w:t>
      </w:r>
      <w:r w:rsidR="002A7604">
        <w:t>was</w:t>
      </w:r>
      <w:r w:rsidRPr="006B35F0">
        <w:t xml:space="preserve"> a foundational year for </w:t>
      </w:r>
      <w:r w:rsidR="00CF1AB5">
        <w:t>the</w:t>
      </w:r>
      <w:r w:rsidRPr="006B35F0">
        <w:t xml:space="preserve"> new </w:t>
      </w:r>
      <w:r w:rsidRPr="00101FD0">
        <w:rPr>
          <w:b/>
        </w:rPr>
        <w:t>Alumni Engagement Strategy</w:t>
      </w:r>
      <w:r w:rsidRPr="006B35F0">
        <w:t xml:space="preserve"> (2016-2020) which moves beyond previous efforts to solely engage </w:t>
      </w:r>
      <w:r w:rsidR="00CF1AB5">
        <w:t>Australia Awards alumni to also include Indonesians</w:t>
      </w:r>
      <w:r w:rsidRPr="006B35F0">
        <w:t xml:space="preserve"> who self-funded their study, and recipients of Indonesia</w:t>
      </w:r>
      <w:r w:rsidR="00954950">
        <w:t>n G</w:t>
      </w:r>
      <w:r w:rsidR="00352763">
        <w:t>overnment</w:t>
      </w:r>
      <w:r w:rsidRPr="006B35F0">
        <w:t xml:space="preserve"> scholarships</w:t>
      </w:r>
      <w:r>
        <w:t xml:space="preserve"> </w:t>
      </w:r>
      <w:r w:rsidRPr="00A12518">
        <w:t>(around 80,000 alumni).</w:t>
      </w:r>
      <w:r w:rsidR="00484AEA">
        <w:t xml:space="preserve">  </w:t>
      </w:r>
      <w:r w:rsidR="006C3122">
        <w:t>Around 80 alumni-</w:t>
      </w:r>
      <w:r w:rsidRPr="00A12518">
        <w:t xml:space="preserve">related events </w:t>
      </w:r>
      <w:r>
        <w:t>were held in 2015-16</w:t>
      </w:r>
      <w:r w:rsidRPr="00A12518">
        <w:t>, with o</w:t>
      </w:r>
      <w:r>
        <w:t>ver 3,000 alumni</w:t>
      </w:r>
      <w:r w:rsidR="0072212B">
        <w:t xml:space="preserve"> participating</w:t>
      </w:r>
      <w:r w:rsidRPr="00A12518">
        <w:t>.</w:t>
      </w:r>
    </w:p>
    <w:p w:rsidR="00874695" w:rsidRDefault="00874695" w:rsidP="00874695">
      <w:r w:rsidRPr="006B35F0">
        <w:t xml:space="preserve">A </w:t>
      </w:r>
      <w:proofErr w:type="spellStart"/>
      <w:r w:rsidRPr="006B35F0">
        <w:t>Linkedln</w:t>
      </w:r>
      <w:proofErr w:type="spellEnd"/>
      <w:r w:rsidRPr="006B35F0">
        <w:t xml:space="preserve"> Australia-Indonesia Forum was established in March 2016 to serve as an interactive networking and communication platform </w:t>
      </w:r>
      <w:r w:rsidR="007107A2">
        <w:t xml:space="preserve">for alumni </w:t>
      </w:r>
      <w:r w:rsidRPr="006B35F0">
        <w:t xml:space="preserve">as well as a database and tracking tool. </w:t>
      </w:r>
    </w:p>
    <w:p w:rsidR="00507620" w:rsidRPr="00507620" w:rsidRDefault="00507620" w:rsidP="00874695">
      <w:pPr>
        <w:rPr>
          <w:b/>
          <w:i/>
        </w:rPr>
      </w:pPr>
      <w:r w:rsidRPr="00507620">
        <w:rPr>
          <w:b/>
          <w:i/>
        </w:rPr>
        <w:t xml:space="preserve">Social protection </w:t>
      </w:r>
    </w:p>
    <w:p w:rsidR="002643C9" w:rsidRDefault="001037B8" w:rsidP="002643C9">
      <w:r>
        <w:t xml:space="preserve">The early efforts of </w:t>
      </w:r>
      <w:r w:rsidR="006425FB" w:rsidRPr="004F65B0">
        <w:rPr>
          <w:b/>
        </w:rPr>
        <w:t>MAHKOTA,</w:t>
      </w:r>
      <w:r w:rsidR="006425FB" w:rsidRPr="006B35F0">
        <w:t xml:space="preserve"> our primary social protection investment, </w:t>
      </w:r>
      <w:r>
        <w:t>look promising</w:t>
      </w:r>
      <w:r w:rsidR="006425FB" w:rsidRPr="006B35F0">
        <w:t>.</w:t>
      </w:r>
      <w:r w:rsidR="00484AEA">
        <w:t xml:space="preserve">  </w:t>
      </w:r>
      <w:r w:rsidR="00A22017">
        <w:t xml:space="preserve">It </w:t>
      </w:r>
      <w:r w:rsidR="002643C9">
        <w:t>continued to support the Vice Presi</w:t>
      </w:r>
      <w:r w:rsidR="00F23A16">
        <w:t>dent’s team</w:t>
      </w:r>
      <w:r w:rsidR="002643C9">
        <w:t xml:space="preserve"> for the Acceleratio</w:t>
      </w:r>
      <w:r w:rsidR="00484AEA">
        <w:t xml:space="preserve">n of Poverty Reduction (TNP2K).  </w:t>
      </w:r>
      <w:r w:rsidR="002643C9">
        <w:t xml:space="preserve">This year, TNP2K spearheaded efforts in social protection reform areas such as </w:t>
      </w:r>
      <w:r w:rsidR="00A22017">
        <w:t>food security and subsidie</w:t>
      </w:r>
      <w:r w:rsidR="002643C9">
        <w:t>s.</w:t>
      </w:r>
      <w:r w:rsidR="00484AEA">
        <w:t xml:space="preserve">  </w:t>
      </w:r>
      <w:r w:rsidR="0084200F">
        <w:t>T</w:t>
      </w:r>
      <w:r w:rsidR="002643C9">
        <w:t xml:space="preserve">hrough TNP2K, </w:t>
      </w:r>
      <w:r w:rsidR="00A368A6">
        <w:t>we assisted the G</w:t>
      </w:r>
      <w:r w:rsidR="002643C9" w:rsidRPr="006425FB">
        <w:t>overnment of Indonesia to improve its targeting of social protection programs, including by upda</w:t>
      </w:r>
      <w:r w:rsidR="002643C9">
        <w:t>ting a unified database compri</w:t>
      </w:r>
      <w:r w:rsidR="002643C9" w:rsidRPr="006425FB">
        <w:t>sing</w:t>
      </w:r>
      <w:r w:rsidR="00DA077D">
        <w:t xml:space="preserve"> almost 26</w:t>
      </w:r>
      <w:r w:rsidR="002643C9" w:rsidRPr="006425FB">
        <w:t xml:space="preserve"> million househo</w:t>
      </w:r>
      <w:r w:rsidR="00484AEA">
        <w:t xml:space="preserve">lds.  </w:t>
      </w:r>
      <w:r w:rsidR="002643C9">
        <w:t xml:space="preserve">The </w:t>
      </w:r>
      <w:r w:rsidR="00352763">
        <w:t>g</w:t>
      </w:r>
      <w:r w:rsidR="00DA077D">
        <w:t xml:space="preserve">overnment used the </w:t>
      </w:r>
      <w:r w:rsidR="002643C9">
        <w:t xml:space="preserve">database </w:t>
      </w:r>
      <w:r w:rsidR="00DA077D">
        <w:t>to better target</w:t>
      </w:r>
      <w:r w:rsidR="002643C9" w:rsidRPr="006425FB">
        <w:t xml:space="preserve"> the </w:t>
      </w:r>
      <w:r w:rsidR="002643C9" w:rsidRPr="006425FB">
        <w:rPr>
          <w:b/>
        </w:rPr>
        <w:t>Family Hope conditional-cash transfer program</w:t>
      </w:r>
      <w:r w:rsidR="00DD7FC7">
        <w:t xml:space="preserve"> which</w:t>
      </w:r>
      <w:r w:rsidR="002643C9" w:rsidRPr="006425FB">
        <w:t xml:space="preserve"> benefited around 3,512,000 very poor households, and the </w:t>
      </w:r>
      <w:r w:rsidR="002643C9" w:rsidRPr="006425FB">
        <w:rPr>
          <w:b/>
        </w:rPr>
        <w:t>Smart Indonesia cash transfer program</w:t>
      </w:r>
      <w:r w:rsidR="00DD7FC7">
        <w:t xml:space="preserve"> which</w:t>
      </w:r>
      <w:r w:rsidR="002643C9">
        <w:t xml:space="preserve"> </w:t>
      </w:r>
      <w:r w:rsidR="002643C9" w:rsidRPr="006425FB">
        <w:t xml:space="preserve">benefitted </w:t>
      </w:r>
      <w:r w:rsidR="00DA077D">
        <w:t>almost 1</w:t>
      </w:r>
      <w:r w:rsidR="002643C9" w:rsidRPr="006425FB">
        <w:t xml:space="preserve">9 million poor </w:t>
      </w:r>
      <w:r w:rsidR="005B1FA2">
        <w:t xml:space="preserve">school </w:t>
      </w:r>
      <w:r w:rsidR="002643C9" w:rsidRPr="006425FB">
        <w:t>students</w:t>
      </w:r>
      <w:r w:rsidR="002643C9">
        <w:t xml:space="preserve"> in 2015. </w:t>
      </w:r>
      <w:r w:rsidR="002643C9" w:rsidRPr="006B35F0">
        <w:t xml:space="preserve"> </w:t>
      </w:r>
    </w:p>
    <w:p w:rsidR="002643C9" w:rsidRDefault="002643C9" w:rsidP="00B77FB1">
      <w:r>
        <w:lastRenderedPageBreak/>
        <w:t>Through MAHKOTA</w:t>
      </w:r>
      <w:r w:rsidR="000F0A41">
        <w:t xml:space="preserve">, </w:t>
      </w:r>
      <w:r w:rsidR="006425FB" w:rsidRPr="006B35F0">
        <w:t>Austra</w:t>
      </w:r>
      <w:r w:rsidR="00B72025">
        <w:t>lia supported a small pilot in five</w:t>
      </w:r>
      <w:r w:rsidR="007912B3">
        <w:t xml:space="preserve"> districts to test an i</w:t>
      </w:r>
      <w:r w:rsidR="006425FB" w:rsidRPr="006B35F0">
        <w:t xml:space="preserve">ntegrated </w:t>
      </w:r>
      <w:r w:rsidR="007912B3">
        <w:t>referral s</w:t>
      </w:r>
      <w:r w:rsidR="001F6353">
        <w:t xml:space="preserve">ystem to identify </w:t>
      </w:r>
      <w:r w:rsidR="006425FB" w:rsidRPr="006B35F0">
        <w:t xml:space="preserve">poor and vulnerable </w:t>
      </w:r>
      <w:r w:rsidR="001F6353">
        <w:t xml:space="preserve">people </w:t>
      </w:r>
      <w:r w:rsidR="006425FB" w:rsidRPr="006B35F0">
        <w:t xml:space="preserve">and link them to appropriate support </w:t>
      </w:r>
      <w:r w:rsidR="00484AEA">
        <w:t xml:space="preserve">systems.  </w:t>
      </w:r>
      <w:r w:rsidR="006425FB">
        <w:t xml:space="preserve">This has </w:t>
      </w:r>
      <w:r w:rsidR="006425FB" w:rsidRPr="006B35F0">
        <w:t>resulted in the Indonesian Ministry of Social Affairs scaling up operations to an additional 50 dis</w:t>
      </w:r>
      <w:r w:rsidR="00B72025">
        <w:t xml:space="preserve">tricts and agreeing to fund </w:t>
      </w:r>
      <w:r w:rsidR="00B72025" w:rsidRPr="00CC343E">
        <w:t>AUD</w:t>
      </w:r>
      <w:r w:rsidR="006425FB" w:rsidRPr="00CC343E">
        <w:t>52,600</w:t>
      </w:r>
      <w:r w:rsidR="006425FB" w:rsidRPr="006B35F0">
        <w:t xml:space="preserve"> per district </w:t>
      </w:r>
      <w:r w:rsidR="00D5232D">
        <w:t>over the next three</w:t>
      </w:r>
      <w:r w:rsidR="000F0A41">
        <w:t xml:space="preserve"> years</w:t>
      </w:r>
      <w:r w:rsidR="005F4361">
        <w:t xml:space="preserve">.  </w:t>
      </w:r>
    </w:p>
    <w:p w:rsidR="002643C9" w:rsidRDefault="002643C9" w:rsidP="00B77FB1">
      <w:r>
        <w:t>Social protection reform is also</w:t>
      </w:r>
      <w:r w:rsidR="00484AEA">
        <w:t xml:space="preserve"> a pillar of the MAMPU program.  </w:t>
      </w:r>
      <w:r>
        <w:t xml:space="preserve">In 2015, </w:t>
      </w:r>
      <w:r w:rsidR="00A2496E">
        <w:t xml:space="preserve">the </w:t>
      </w:r>
      <w:r>
        <w:t>MAMPU partner organisation</w:t>
      </w:r>
      <w:r w:rsidR="00A2496E">
        <w:t xml:space="preserve"> for female-headed households</w:t>
      </w:r>
      <w:r>
        <w:t>, P</w:t>
      </w:r>
      <w:r w:rsidR="00F00E3B">
        <w:t>EKKA, successfully lobbied the national statistical a</w:t>
      </w:r>
      <w:r>
        <w:t xml:space="preserve">gency to improve its data collection methods to </w:t>
      </w:r>
      <w:r w:rsidR="00167EB6">
        <w:t>better identify</w:t>
      </w:r>
      <w:r>
        <w:t xml:space="preserve"> female-headed households in two key survey instruments</w:t>
      </w:r>
      <w:r w:rsidR="00622BA6">
        <w:t xml:space="preserve">. </w:t>
      </w:r>
    </w:p>
    <w:p w:rsidR="00A86A1A" w:rsidRDefault="00A86A1A" w:rsidP="00A12518">
      <w:pPr>
        <w:widowControl w:val="0"/>
        <w:autoSpaceDE w:val="0"/>
        <w:autoSpaceDN w:val="0"/>
        <w:adjustRightInd w:val="0"/>
        <w:spacing w:after="0"/>
        <w:rPr>
          <w:b/>
        </w:rPr>
      </w:pPr>
      <w:r w:rsidRPr="004E7765">
        <w:rPr>
          <w:b/>
        </w:rPr>
        <w:t xml:space="preserve">Outcome 6: Improved service systems </w:t>
      </w:r>
    </w:p>
    <w:p w:rsidR="008702A9" w:rsidRPr="008702A9" w:rsidRDefault="008702A9" w:rsidP="00A12518">
      <w:pPr>
        <w:widowControl w:val="0"/>
        <w:autoSpaceDE w:val="0"/>
        <w:autoSpaceDN w:val="0"/>
        <w:adjustRightInd w:val="0"/>
        <w:spacing w:after="0"/>
        <w:rPr>
          <w:b/>
          <w:i/>
        </w:rPr>
      </w:pPr>
      <w:r>
        <w:rPr>
          <w:b/>
          <w:i/>
        </w:rPr>
        <w:t xml:space="preserve">Health </w:t>
      </w:r>
    </w:p>
    <w:p w:rsidR="00685998" w:rsidRDefault="00EB6CD1" w:rsidP="00685998">
      <w:r w:rsidRPr="00A00EC4">
        <w:t xml:space="preserve">Australia’s </w:t>
      </w:r>
      <w:r w:rsidRPr="00FD6782">
        <w:rPr>
          <w:b/>
        </w:rPr>
        <w:t>major bilateral health programs</w:t>
      </w:r>
      <w:r w:rsidRPr="00A00EC4">
        <w:t xml:space="preserve"> closed on 30 June </w:t>
      </w:r>
      <w:r w:rsidRPr="00A12518">
        <w:t xml:space="preserve">2016, </w:t>
      </w:r>
      <w:r>
        <w:t>although we will continue to provide support through other bilateral, regional and global programs</w:t>
      </w:r>
      <w:r w:rsidR="00685998">
        <w:t xml:space="preserve"> on </w:t>
      </w:r>
      <w:r w:rsidR="00685998" w:rsidRPr="00FD6782">
        <w:rPr>
          <w:b/>
        </w:rPr>
        <w:t>health security and promoting nutrition</w:t>
      </w:r>
      <w:r w:rsidR="00685998" w:rsidRPr="00A00EC4">
        <w:t xml:space="preserve">.  </w:t>
      </w:r>
    </w:p>
    <w:p w:rsidR="00EA7231" w:rsidRDefault="00EA7231" w:rsidP="00EA7231">
      <w:r>
        <w:t>The focus in this final year has been on sustainability</w:t>
      </w:r>
      <w:r w:rsidR="00484AEA">
        <w:t xml:space="preserve"> in systems improvement.  </w:t>
      </w:r>
      <w:r w:rsidRPr="00B72025">
        <w:t xml:space="preserve">At the formal closing ceremony in May 2016 for the </w:t>
      </w:r>
      <w:r w:rsidRPr="000C25F2">
        <w:rPr>
          <w:b/>
        </w:rPr>
        <w:t>Australia Indonesia Partnership for Health Systems Strengthening</w:t>
      </w:r>
      <w:r w:rsidR="00B72025" w:rsidRPr="002B2D4A">
        <w:t xml:space="preserve">, </w:t>
      </w:r>
      <w:r w:rsidRPr="002B2D4A">
        <w:t>the</w:t>
      </w:r>
      <w:r w:rsidRPr="00B72025">
        <w:t xml:space="preserve"> Minister of Health invited government representatives from all 34 </w:t>
      </w:r>
      <w:r w:rsidR="007109B9">
        <w:t xml:space="preserve">Indonesian </w:t>
      </w:r>
      <w:r w:rsidRPr="00B72025">
        <w:t>provinces to learn from the successes</w:t>
      </w:r>
      <w:r w:rsidR="00B72025">
        <w:t xml:space="preserve"> of the program. </w:t>
      </w:r>
    </w:p>
    <w:p w:rsidR="00416C46" w:rsidRDefault="00416C46" w:rsidP="00EA7231">
      <w:r>
        <w:t xml:space="preserve">One notable success was </w:t>
      </w:r>
      <w:r w:rsidR="00AB2726">
        <w:t xml:space="preserve">Australia’s support, at the specific request of the Ministry of Health, </w:t>
      </w:r>
      <w:r w:rsidR="008F1B08">
        <w:t xml:space="preserve">to develop regulations, tools, training and pilots to implement a </w:t>
      </w:r>
      <w:r w:rsidRPr="000C25F2">
        <w:rPr>
          <w:b/>
        </w:rPr>
        <w:t xml:space="preserve">national </w:t>
      </w:r>
      <w:r w:rsidR="006575CD" w:rsidRPr="000C25F2">
        <w:rPr>
          <w:b/>
        </w:rPr>
        <w:t xml:space="preserve">health centre </w:t>
      </w:r>
      <w:r w:rsidR="008F1B08" w:rsidRPr="000C25F2">
        <w:rPr>
          <w:b/>
        </w:rPr>
        <w:t xml:space="preserve">accreditation </w:t>
      </w:r>
      <w:r w:rsidR="006575CD" w:rsidRPr="000C25F2">
        <w:rPr>
          <w:b/>
        </w:rPr>
        <w:t>system</w:t>
      </w:r>
      <w:r w:rsidR="00484AEA">
        <w:t xml:space="preserve">.  </w:t>
      </w:r>
      <w:r w:rsidR="008F1B08">
        <w:t>We were the only donor involved</w:t>
      </w:r>
      <w:r w:rsidR="00E81957">
        <w:t>.</w:t>
      </w:r>
      <w:r w:rsidR="00484AEA">
        <w:t xml:space="preserve">  </w:t>
      </w:r>
      <w:r w:rsidR="00E81957">
        <w:t>H</w:t>
      </w:r>
      <w:r w:rsidR="008F1B08">
        <w:t xml:space="preserve">ealth centres which had previously been reformed through the community-led work of the </w:t>
      </w:r>
      <w:r w:rsidR="00F17618" w:rsidRPr="00B72025">
        <w:rPr>
          <w:b/>
        </w:rPr>
        <w:t>Australia Indonesia Partnership for Maternal and Child Health</w:t>
      </w:r>
      <w:r w:rsidR="00F17618">
        <w:t xml:space="preserve"> </w:t>
      </w:r>
      <w:r w:rsidR="00F17618" w:rsidRPr="000E294E">
        <w:t xml:space="preserve">(AIPMNH) </w:t>
      </w:r>
      <w:r w:rsidR="008F1B08">
        <w:t>program easily passed the Ministry of Health accreditation process</w:t>
      </w:r>
      <w:r w:rsidR="00846692">
        <w:t xml:space="preserve"> as </w:t>
      </w:r>
      <w:r w:rsidR="00AB2726">
        <w:t>the program had raised their standards</w:t>
      </w:r>
      <w:r w:rsidR="00484AEA">
        <w:t xml:space="preserve">.  </w:t>
      </w:r>
      <w:r w:rsidR="00CB36A4">
        <w:t xml:space="preserve">Health centres are mostly used by women, especially mothers. </w:t>
      </w:r>
    </w:p>
    <w:p w:rsidR="0059130F" w:rsidRPr="00B72025" w:rsidRDefault="00E81957" w:rsidP="0059130F">
      <w:r>
        <w:t>AIPMNH operated in</w:t>
      </w:r>
      <w:r w:rsidR="00B72025">
        <w:t xml:space="preserve"> East Nusa Tenggara</w:t>
      </w:r>
      <w:r w:rsidR="00AB2726">
        <w:t xml:space="preserve">, </w:t>
      </w:r>
      <w:r w:rsidR="0059130F" w:rsidRPr="00B72025">
        <w:t xml:space="preserve">which historically had some of the highest rates </w:t>
      </w:r>
      <w:r>
        <w:t>of maternal and child mortality</w:t>
      </w:r>
      <w:r w:rsidR="00484AEA">
        <w:t xml:space="preserve">.  </w:t>
      </w:r>
      <w:r w:rsidRPr="00B72025">
        <w:t xml:space="preserve">The program </w:t>
      </w:r>
      <w:r>
        <w:t>was</w:t>
      </w:r>
      <w:r w:rsidRPr="00B72025">
        <w:t xml:space="preserve"> instrumental in reducin</w:t>
      </w:r>
      <w:r>
        <w:t xml:space="preserve">g maternal deaths in the </w:t>
      </w:r>
      <w:r w:rsidRPr="00B72025">
        <w:t>provinc</w:t>
      </w:r>
      <w:r w:rsidR="00027BB2">
        <w:t>e by over 40 </w:t>
      </w:r>
      <w:r>
        <w:t>per</w:t>
      </w:r>
      <w:r w:rsidR="00027BB2">
        <w:t> </w:t>
      </w:r>
      <w:r>
        <w:t>cent since 2009</w:t>
      </w:r>
      <w:r w:rsidR="00484AEA">
        <w:t xml:space="preserve">.  </w:t>
      </w:r>
      <w:r w:rsidR="0059130F" w:rsidRPr="00B72025">
        <w:t>At the final workshop</w:t>
      </w:r>
      <w:r w:rsidR="002F3101" w:rsidRPr="00B72025">
        <w:t xml:space="preserve"> </w:t>
      </w:r>
      <w:r w:rsidR="00AB2726">
        <w:t xml:space="preserve">in October 2015, </w:t>
      </w:r>
      <w:r>
        <w:t>the government commit</w:t>
      </w:r>
      <w:r w:rsidR="00584EE3">
        <w:t>t</w:t>
      </w:r>
      <w:r>
        <w:t>ed</w:t>
      </w:r>
      <w:r w:rsidR="0059130F" w:rsidRPr="00B72025">
        <w:t xml:space="preserve"> to continue the program</w:t>
      </w:r>
      <w:r w:rsidR="00584EE3">
        <w:t>’s</w:t>
      </w:r>
      <w:r w:rsidR="0059130F" w:rsidRPr="00B72025">
        <w:t xml:space="preserve"> </w:t>
      </w:r>
      <w:r w:rsidR="00B72025">
        <w:t xml:space="preserve">activities using </w:t>
      </w:r>
      <w:r w:rsidR="0059130F" w:rsidRPr="00B72025">
        <w:t>domestic resources.</w:t>
      </w:r>
      <w:r w:rsidR="002F3101" w:rsidRPr="00B72025">
        <w:t xml:space="preserve"> </w:t>
      </w:r>
    </w:p>
    <w:p w:rsidR="00EE2F6B" w:rsidRPr="00B72025" w:rsidRDefault="002F3101" w:rsidP="002F3101">
      <w:r w:rsidRPr="00B72025">
        <w:t xml:space="preserve">Despite the decline in HIV prevalence among </w:t>
      </w:r>
      <w:r w:rsidR="00F17618">
        <w:t>injecting drug users</w:t>
      </w:r>
      <w:r w:rsidRPr="00B72025">
        <w:t>, Indonesia has one of the fastest grow</w:t>
      </w:r>
      <w:r w:rsidR="005F4361">
        <w:t>i</w:t>
      </w:r>
      <w:r w:rsidR="00484AEA">
        <w:t xml:space="preserve">ng HIV epidemics in the world.  </w:t>
      </w:r>
      <w:r w:rsidRPr="00B72025">
        <w:t xml:space="preserve">The </w:t>
      </w:r>
      <w:r w:rsidRPr="00B72025">
        <w:rPr>
          <w:b/>
        </w:rPr>
        <w:t>Australia Indonesia Partnership for HIV/AIDS</w:t>
      </w:r>
      <w:r w:rsidR="00B72025">
        <w:t xml:space="preserve"> </w:t>
      </w:r>
      <w:r w:rsidR="00E81957">
        <w:t xml:space="preserve">helped </w:t>
      </w:r>
      <w:r w:rsidR="00B30C83">
        <w:t>reduce</w:t>
      </w:r>
      <w:r w:rsidRPr="00B72025">
        <w:t xml:space="preserve"> HIV transmission among </w:t>
      </w:r>
      <w:r w:rsidR="00F17618">
        <w:t>injecting drug users</w:t>
      </w:r>
      <w:r w:rsidR="00B30C83">
        <w:t xml:space="preserve"> </w:t>
      </w:r>
      <w:r w:rsidR="00484AEA">
        <w:t xml:space="preserve">in Indonesia.  </w:t>
      </w:r>
      <w:r w:rsidR="00EE2F6B" w:rsidRPr="00EE2F6B">
        <w:t>In 2012 unsafe needle exchange accounted for one third of all new HIV infections in Indonesia, causing about 11,000 infections a year; in 2016 it accounts for an estimated 1,100 or a mere 1.5 per cent of total new infections.</w:t>
      </w:r>
    </w:p>
    <w:p w:rsidR="002F3101" w:rsidRDefault="002F3101" w:rsidP="002F3101">
      <w:r>
        <w:t xml:space="preserve">In October 2015 </w:t>
      </w:r>
      <w:r w:rsidR="00B72025">
        <w:t>the second phase</w:t>
      </w:r>
      <w:r>
        <w:t xml:space="preserve"> of the </w:t>
      </w:r>
      <w:r w:rsidRPr="00F17618">
        <w:rPr>
          <w:b/>
        </w:rPr>
        <w:t>Emerging Infectious Disease</w:t>
      </w:r>
      <w:r w:rsidR="00234202">
        <w:rPr>
          <w:b/>
        </w:rPr>
        <w:t>s</w:t>
      </w:r>
      <w:r>
        <w:t xml:space="preserve"> prog</w:t>
      </w:r>
      <w:r w:rsidR="00B72025">
        <w:t>ram was launched with a ‘one h</w:t>
      </w:r>
      <w:r>
        <w:t>ealth</w:t>
      </w:r>
      <w:r w:rsidR="00B72025">
        <w:t>’</w:t>
      </w:r>
      <w:r>
        <w:t xml:space="preserve"> (ani</w:t>
      </w:r>
      <w:r w:rsidR="005F4361">
        <w:t>m</w:t>
      </w:r>
      <w:r w:rsidR="00484AEA">
        <w:t xml:space="preserve">al and human health) approach.  </w:t>
      </w:r>
      <w:r w:rsidR="00B72025">
        <w:t xml:space="preserve">The investment </w:t>
      </w:r>
      <w:r>
        <w:t>developed</w:t>
      </w:r>
      <w:r w:rsidRPr="00A00EC4">
        <w:t xml:space="preserve"> an </w:t>
      </w:r>
      <w:r w:rsidR="00F00E3B">
        <w:t>integrated national health information s</w:t>
      </w:r>
      <w:r w:rsidRPr="00F00E3B">
        <w:t>ystem to support national disease reporting systems for animals</w:t>
      </w:r>
      <w:r w:rsidR="007109B9" w:rsidRPr="00F00E3B">
        <w:t>,</w:t>
      </w:r>
      <w:r w:rsidRPr="00A00EC4">
        <w:t xml:space="preserve"> which is being r</w:t>
      </w:r>
      <w:r>
        <w:t xml:space="preserve">eplicated across the country.  </w:t>
      </w:r>
      <w:r w:rsidRPr="00A00EC4">
        <w:t xml:space="preserve"> </w:t>
      </w:r>
    </w:p>
    <w:p w:rsidR="00613A92" w:rsidRPr="00613A92" w:rsidRDefault="00613A92" w:rsidP="002F3101">
      <w:pPr>
        <w:rPr>
          <w:b/>
          <w:i/>
        </w:rPr>
      </w:pPr>
      <w:r>
        <w:rPr>
          <w:b/>
          <w:i/>
        </w:rPr>
        <w:t>Women’s empowerment</w:t>
      </w:r>
    </w:p>
    <w:p w:rsidR="002643C9" w:rsidRDefault="007109B9" w:rsidP="002F3101">
      <w:r>
        <w:t xml:space="preserve">MAMPU partner organisation </w:t>
      </w:r>
      <w:r w:rsidR="00E57DC1">
        <w:t>‘</w:t>
      </w:r>
      <w:proofErr w:type="spellStart"/>
      <w:r w:rsidR="00E57DC1">
        <w:t>A</w:t>
      </w:r>
      <w:r>
        <w:t>isyiyah</w:t>
      </w:r>
      <w:proofErr w:type="spellEnd"/>
      <w:r>
        <w:t xml:space="preserve"> </w:t>
      </w:r>
      <w:r w:rsidR="00E57DC1">
        <w:t xml:space="preserve">supported </w:t>
      </w:r>
      <w:r w:rsidR="002643C9">
        <w:t>poor women to gain access to reproductive health services provided by health facilities</w:t>
      </w:r>
      <w:r w:rsidR="00484AEA">
        <w:t xml:space="preserve">.  </w:t>
      </w:r>
      <w:r w:rsidR="007E0AEC">
        <w:t>‘</w:t>
      </w:r>
      <w:proofErr w:type="spellStart"/>
      <w:r w:rsidR="007E0AEC">
        <w:t>Aisyiyah</w:t>
      </w:r>
      <w:proofErr w:type="spellEnd"/>
      <w:r w:rsidR="007E0AEC">
        <w:t xml:space="preserve"> </w:t>
      </w:r>
      <w:r w:rsidR="00E57DC1">
        <w:t>provided</w:t>
      </w:r>
      <w:r w:rsidR="0019231A">
        <w:t xml:space="preserve"> pap s</w:t>
      </w:r>
      <w:r w:rsidR="002643C9">
        <w:t>mear service</w:t>
      </w:r>
      <w:r w:rsidR="007E0AEC">
        <w:t>s in seven districts using its</w:t>
      </w:r>
      <w:r w:rsidR="002643C9">
        <w:t xml:space="preserve"> network of village-based cadre and motivators to increase demand and through training health facility staff. </w:t>
      </w:r>
      <w:r w:rsidR="007E0AEC">
        <w:t>It has</w:t>
      </w:r>
      <w:r w:rsidR="002643C9">
        <w:t xml:space="preserve"> provided these services to over 4,500 poor women since 2014.</w:t>
      </w:r>
    </w:p>
    <w:p w:rsidR="00AB2726" w:rsidRPr="00E57DC1" w:rsidRDefault="00430DAF" w:rsidP="00430DAF">
      <w:r w:rsidRPr="00E57DC1">
        <w:t>In 2015-16, MAMPU provided trauma counselling, legal assistance and referral services for</w:t>
      </w:r>
      <w:r w:rsidR="001161CC">
        <w:t xml:space="preserve"> over 4,3</w:t>
      </w:r>
      <w:r w:rsidRPr="00E57DC1">
        <w:t>00 woman survivors of violence ac</w:t>
      </w:r>
      <w:r w:rsidR="00484AEA">
        <w:t xml:space="preserve">ross 18 provinces in Indonesia.  </w:t>
      </w:r>
      <w:r w:rsidRPr="00430DAF">
        <w:t>With MAMPU support, partner</w:t>
      </w:r>
      <w:r>
        <w:t xml:space="preserve"> organisations</w:t>
      </w:r>
      <w:r w:rsidRPr="00E57DC1">
        <w:t xml:space="preserve"> are improving se</w:t>
      </w:r>
      <w:r w:rsidR="00584EE3">
        <w:t xml:space="preserve">rvices for victims of violence, who </w:t>
      </w:r>
      <w:r w:rsidR="00BD4245">
        <w:t>need</w:t>
      </w:r>
      <w:r w:rsidRPr="00E57DC1">
        <w:t xml:space="preserve"> hel</w:t>
      </w:r>
      <w:r w:rsidR="00BD4245">
        <w:t xml:space="preserve">p to bring their case to court and often </w:t>
      </w:r>
      <w:r w:rsidRPr="00E57DC1">
        <w:t>face fragmented service delivery where law enforcement agencies, the court system, and health service providers repeatedly</w:t>
      </w:r>
      <w:r w:rsidR="00484AEA">
        <w:t xml:space="preserve"> request the same information.  </w:t>
      </w:r>
      <w:r w:rsidRPr="00E57DC1">
        <w:t xml:space="preserve">The result is dysfunctional case handling </w:t>
      </w:r>
      <w:r w:rsidR="007107A2" w:rsidRPr="00E57DC1">
        <w:t>characteri</w:t>
      </w:r>
      <w:r w:rsidR="007107A2">
        <w:t>s</w:t>
      </w:r>
      <w:r w:rsidR="007107A2" w:rsidRPr="00E57DC1">
        <w:t xml:space="preserve">ed </w:t>
      </w:r>
      <w:r w:rsidRPr="00E57DC1">
        <w:t>by long delays and poor judicial outcomes</w:t>
      </w:r>
      <w:r w:rsidR="00BD4245">
        <w:t>, and additional trauma for the victims</w:t>
      </w:r>
      <w:r w:rsidRPr="00861397">
        <w:t>.</w:t>
      </w:r>
      <w:r w:rsidR="00484AEA">
        <w:t xml:space="preserve">  </w:t>
      </w:r>
      <w:r w:rsidR="00861397" w:rsidRPr="00861397">
        <w:t xml:space="preserve">The </w:t>
      </w:r>
      <w:r w:rsidR="00861397" w:rsidRPr="00861397">
        <w:rPr>
          <w:b/>
        </w:rPr>
        <w:t>Integrated Criminal Justice System</w:t>
      </w:r>
      <w:r w:rsidR="00861397" w:rsidRPr="00861397">
        <w:t xml:space="preserve"> </w:t>
      </w:r>
      <w:r w:rsidR="00861397" w:rsidRPr="00861397">
        <w:rPr>
          <w:lang w:val="en-US"/>
        </w:rPr>
        <w:t>specific</w:t>
      </w:r>
      <w:r w:rsidR="00484AEA">
        <w:rPr>
          <w:lang w:val="en-US"/>
        </w:rPr>
        <w:t xml:space="preserve">ally targets these challenges.  </w:t>
      </w:r>
      <w:r w:rsidR="00861397" w:rsidRPr="00861397">
        <w:rPr>
          <w:lang w:val="en-US"/>
        </w:rPr>
        <w:t xml:space="preserve">First developed and trialed by </w:t>
      </w:r>
      <w:r w:rsidR="007109B9">
        <w:rPr>
          <w:lang w:val="en-US"/>
        </w:rPr>
        <w:t xml:space="preserve">a </w:t>
      </w:r>
      <w:r w:rsidR="00861397" w:rsidRPr="00861397">
        <w:rPr>
          <w:lang w:val="en-US"/>
        </w:rPr>
        <w:t>MAMPU partner in Central Java, the system rests on a set of case handling processes that link</w:t>
      </w:r>
      <w:r w:rsidR="000E294E">
        <w:rPr>
          <w:lang w:val="en-US"/>
        </w:rPr>
        <w:t>s</w:t>
      </w:r>
      <w:r w:rsidR="00861397" w:rsidRPr="00861397">
        <w:rPr>
          <w:lang w:val="en-US"/>
        </w:rPr>
        <w:t xml:space="preserve"> the police with health services and the </w:t>
      </w:r>
      <w:r w:rsidR="00484AEA">
        <w:rPr>
          <w:lang w:val="en-US"/>
        </w:rPr>
        <w:lastRenderedPageBreak/>
        <w:t xml:space="preserve">court system.  </w:t>
      </w:r>
      <w:r w:rsidR="00861397" w:rsidRPr="00861397">
        <w:rPr>
          <w:lang w:val="en-US"/>
        </w:rPr>
        <w:t>The trial achieved promising results, including the successful resolution of a case regarding 36 women from eastern Indonesia wh</w:t>
      </w:r>
      <w:r w:rsidR="00484AEA">
        <w:rPr>
          <w:lang w:val="en-US"/>
        </w:rPr>
        <w:t xml:space="preserve">o were trafficked to Malaysia.  </w:t>
      </w:r>
      <w:r w:rsidR="00861397" w:rsidRPr="00861397">
        <w:rPr>
          <w:lang w:val="en-US"/>
        </w:rPr>
        <w:t xml:space="preserve">In November 2015, the Governor of Central Java signed an official agreement to implement </w:t>
      </w:r>
      <w:r w:rsidR="00484AEA">
        <w:rPr>
          <w:lang w:val="en-US"/>
        </w:rPr>
        <w:t xml:space="preserve">the system across the province.  </w:t>
      </w:r>
      <w:r w:rsidR="00861397" w:rsidRPr="00861397">
        <w:rPr>
          <w:lang w:val="en-US"/>
        </w:rPr>
        <w:t>It is currently being replicated in Riau and Ambon.</w:t>
      </w:r>
    </w:p>
    <w:p w:rsidR="008702A9" w:rsidRPr="008702A9" w:rsidRDefault="00D64950" w:rsidP="002F3101">
      <w:pPr>
        <w:rPr>
          <w:b/>
          <w:i/>
        </w:rPr>
      </w:pPr>
      <w:r>
        <w:rPr>
          <w:noProof/>
          <w:lang w:val="en-AU" w:eastAsia="en-AU"/>
        </w:rPr>
        <mc:AlternateContent>
          <mc:Choice Requires="wps">
            <w:drawing>
              <wp:anchor distT="0" distB="0" distL="114300" distR="114300" simplePos="0" relativeHeight="251655168" behindDoc="1" locked="0" layoutInCell="1" allowOverlap="1">
                <wp:simplePos x="0" y="0"/>
                <wp:positionH relativeFrom="column">
                  <wp:posOffset>-169545</wp:posOffset>
                </wp:positionH>
                <wp:positionV relativeFrom="paragraph">
                  <wp:posOffset>130810</wp:posOffset>
                </wp:positionV>
                <wp:extent cx="2209800" cy="2553335"/>
                <wp:effectExtent l="0" t="0" r="0" b="0"/>
                <wp:wrapTight wrapText="bothSides">
                  <wp:wrapPolygon edited="0">
                    <wp:start x="0" y="0"/>
                    <wp:lineTo x="0" y="21595"/>
                    <wp:lineTo x="21600" y="21595"/>
                    <wp:lineTo x="21600"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553335"/>
                        </a:xfrm>
                        <a:prstGeom prst="rect">
                          <a:avLst/>
                        </a:prstGeom>
                        <a:solidFill>
                          <a:sysClr val="window" lastClr="FFFFFF"/>
                        </a:solidFill>
                        <a:ln w="25400" cap="flat" cmpd="sng" algn="ctr">
                          <a:solidFill>
                            <a:srgbClr val="65C5B4"/>
                          </a:solidFill>
                          <a:prstDash val="solid"/>
                          <a:headEnd/>
                          <a:tailEnd/>
                        </a:ln>
                        <a:effectLst/>
                      </wps:spPr>
                      <wps:txbx>
                        <w:txbxContent>
                          <w:p w:rsidR="00547E6C" w:rsidRPr="00727D25" w:rsidRDefault="00547E6C" w:rsidP="00F37FA9">
                            <w:pPr>
                              <w:rPr>
                                <w:rFonts w:ascii="Franklin Gothic Book" w:eastAsia="Times New Roman" w:hAnsi="Franklin Gothic Book"/>
                                <w:b/>
                                <w:sz w:val="21"/>
                                <w:lang w:eastAsia="zh-CN"/>
                              </w:rPr>
                            </w:pPr>
                            <w:r w:rsidRPr="00727D25">
                              <w:rPr>
                                <w:rFonts w:ascii="Franklin Gothic Book" w:eastAsia="Times New Roman" w:hAnsi="Franklin Gothic Book"/>
                                <w:b/>
                                <w:sz w:val="21"/>
                                <w:lang w:eastAsia="zh-CN"/>
                              </w:rPr>
                              <w:t xml:space="preserve">Humanitarian </w:t>
                            </w:r>
                            <w:r>
                              <w:rPr>
                                <w:rFonts w:ascii="Franklin Gothic Book" w:eastAsia="Times New Roman" w:hAnsi="Franklin Gothic Book"/>
                                <w:b/>
                                <w:sz w:val="21"/>
                                <w:lang w:eastAsia="zh-CN"/>
                              </w:rPr>
                              <w:t xml:space="preserve"> assistance </w:t>
                            </w:r>
                          </w:p>
                          <w:p w:rsidR="00547E6C" w:rsidRDefault="00D64950" w:rsidP="00F37FA9">
                            <w:pPr>
                              <w:rPr>
                                <w:rFonts w:ascii="Franklin Gothic Book" w:eastAsia="Times New Roman" w:hAnsi="Franklin Gothic Book"/>
                                <w:b/>
                                <w:sz w:val="21"/>
                                <w:lang w:eastAsia="zh-CN"/>
                              </w:rPr>
                            </w:pPr>
                            <w:r w:rsidRPr="00106054">
                              <w:rPr>
                                <w:rFonts w:ascii="Franklin Gothic Book" w:eastAsia="Times New Roman" w:hAnsi="Franklin Gothic Book"/>
                                <w:b/>
                                <w:noProof/>
                                <w:sz w:val="21"/>
                                <w:lang w:val="en-AU" w:eastAsia="en-AU"/>
                              </w:rPr>
                              <w:drawing>
                                <wp:inline distT="0" distB="0" distL="0" distR="0">
                                  <wp:extent cx="2000250" cy="13239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p>
                          <w:p w:rsidR="00547E6C" w:rsidRPr="00E524D6" w:rsidRDefault="00547E6C" w:rsidP="00352763">
                            <w:pPr>
                              <w:rPr>
                                <w:i/>
                                <w:sz w:val="18"/>
                                <w:szCs w:val="18"/>
                              </w:rPr>
                            </w:pPr>
                            <w:r w:rsidRPr="00352763">
                              <w:rPr>
                                <w:sz w:val="18"/>
                                <w:szCs w:val="18"/>
                              </w:rPr>
                              <w:t>NSW Rural Fire S</w:t>
                            </w:r>
                            <w:r>
                              <w:rPr>
                                <w:sz w:val="18"/>
                                <w:szCs w:val="18"/>
                              </w:rPr>
                              <w:t xml:space="preserve">ervice and Indonesia’s disaster </w:t>
                            </w:r>
                            <w:r w:rsidRPr="00352763">
                              <w:rPr>
                                <w:sz w:val="18"/>
                                <w:szCs w:val="18"/>
                              </w:rPr>
                              <w:t xml:space="preserve">management agency work together to map out a water bombing route to combat Sumatran forest fires in October 2015. </w:t>
                            </w:r>
                            <w:r w:rsidR="000205F3">
                              <w:rPr>
                                <w:i/>
                                <w:sz w:val="18"/>
                                <w:szCs w:val="18"/>
                              </w:rPr>
                              <w:t>Photo: DFAT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3.35pt;margin-top:10.3pt;width:174pt;height:20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" fillcolor="window" strokecolor="#65c5b4" strokeweight="2pt">
                <v:textbox>
                  <w:txbxContent>
                    <w:p w:rsidR="00547E6C" w:rsidRPr="00727D25" w:rsidRDefault="00547E6C" w:rsidP="00F37FA9">
                      <w:pPr>
                        <w:rPr>
                          <w:rFonts w:ascii="Franklin Gothic Book" w:eastAsia="Times New Roman" w:hAnsi="Franklin Gothic Book"/>
                          <w:b/>
                          <w:sz w:val="21"/>
                          <w:lang w:eastAsia="zh-CN"/>
                        </w:rPr>
                      </w:pPr>
                      <w:r w:rsidRPr="00727D25">
                        <w:rPr>
                          <w:rFonts w:ascii="Franklin Gothic Book" w:eastAsia="Times New Roman" w:hAnsi="Franklin Gothic Book"/>
                          <w:b/>
                          <w:sz w:val="21"/>
                          <w:lang w:eastAsia="zh-CN"/>
                        </w:rPr>
                        <w:t xml:space="preserve">Humanitarian </w:t>
                      </w:r>
                      <w:r>
                        <w:rPr>
                          <w:rFonts w:ascii="Franklin Gothic Book" w:eastAsia="Times New Roman" w:hAnsi="Franklin Gothic Book"/>
                          <w:b/>
                          <w:sz w:val="21"/>
                          <w:lang w:eastAsia="zh-CN"/>
                        </w:rPr>
                        <w:t xml:space="preserve"> assistance </w:t>
                      </w:r>
                    </w:p>
                    <w:p w:rsidR="00547E6C" w:rsidRDefault="00D64950" w:rsidP="00F37FA9">
                      <w:pPr>
                        <w:rPr>
                          <w:rFonts w:ascii="Franklin Gothic Book" w:eastAsia="Times New Roman" w:hAnsi="Franklin Gothic Book"/>
                          <w:b/>
                          <w:sz w:val="21"/>
                          <w:lang w:eastAsia="zh-CN"/>
                        </w:rPr>
                      </w:pPr>
                      <w:r w:rsidRPr="00106054">
                        <w:rPr>
                          <w:rFonts w:ascii="Franklin Gothic Book" w:eastAsia="Times New Roman" w:hAnsi="Franklin Gothic Book"/>
                          <w:b/>
                          <w:noProof/>
                          <w:sz w:val="21"/>
                          <w:lang w:val="en-AU" w:eastAsia="en-AU"/>
                        </w:rPr>
                        <w:drawing>
                          <wp:inline distT="0" distB="0" distL="0" distR="0">
                            <wp:extent cx="2000250" cy="13239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1323975"/>
                                    </a:xfrm>
                                    <a:prstGeom prst="rect">
                                      <a:avLst/>
                                    </a:prstGeom>
                                    <a:noFill/>
                                    <a:ln>
                                      <a:noFill/>
                                    </a:ln>
                                  </pic:spPr>
                                </pic:pic>
                              </a:graphicData>
                            </a:graphic>
                          </wp:inline>
                        </w:drawing>
                      </w:r>
                    </w:p>
                    <w:p w:rsidR="00547E6C" w:rsidRPr="00E524D6" w:rsidRDefault="00547E6C" w:rsidP="00352763">
                      <w:pPr>
                        <w:rPr>
                          <w:i/>
                          <w:sz w:val="18"/>
                          <w:szCs w:val="18"/>
                        </w:rPr>
                      </w:pPr>
                      <w:r w:rsidRPr="00352763">
                        <w:rPr>
                          <w:sz w:val="18"/>
                          <w:szCs w:val="18"/>
                        </w:rPr>
                        <w:t>NSW Rural Fire S</w:t>
                      </w:r>
                      <w:r>
                        <w:rPr>
                          <w:sz w:val="18"/>
                          <w:szCs w:val="18"/>
                        </w:rPr>
                        <w:t xml:space="preserve">ervice and Indonesia’s disaster </w:t>
                      </w:r>
                      <w:r w:rsidRPr="00352763">
                        <w:rPr>
                          <w:sz w:val="18"/>
                          <w:szCs w:val="18"/>
                        </w:rPr>
                        <w:t xml:space="preserve">management agency work together to map out a water bombing route to combat Sumatran forest fires in October 2015. </w:t>
                      </w:r>
                      <w:r w:rsidR="000205F3">
                        <w:rPr>
                          <w:i/>
                          <w:sz w:val="18"/>
                          <w:szCs w:val="18"/>
                        </w:rPr>
                        <w:t>Photo: DFAT</w:t>
                      </w:r>
                    </w:p>
                  </w:txbxContent>
                </v:textbox>
                <w10:wrap type="tight"/>
              </v:shape>
            </w:pict>
          </mc:Fallback>
        </mc:AlternateContent>
      </w:r>
      <w:r w:rsidR="008702A9">
        <w:rPr>
          <w:b/>
          <w:i/>
        </w:rPr>
        <w:t xml:space="preserve">Humanitarian </w:t>
      </w:r>
    </w:p>
    <w:p w:rsidR="004F65B0" w:rsidRDefault="004F65B0" w:rsidP="004F65B0">
      <w:r>
        <w:t xml:space="preserve">In the humanitarian sector, we shifted our focus to </w:t>
      </w:r>
      <w:r w:rsidR="004F4DC3" w:rsidRPr="006B35F0">
        <w:t>better preparedness and responses</w:t>
      </w:r>
      <w:r w:rsidR="004F4DC3">
        <w:t xml:space="preserve"> to </w:t>
      </w:r>
      <w:r w:rsidR="004F4DC3" w:rsidRPr="005567AD">
        <w:rPr>
          <w:b/>
        </w:rPr>
        <w:t>disasters</w:t>
      </w:r>
      <w:r w:rsidR="004F4DC3" w:rsidRPr="006B35F0">
        <w:t>.</w:t>
      </w:r>
      <w:r w:rsidR="00484AEA">
        <w:t xml:space="preserve">  </w:t>
      </w:r>
      <w:r>
        <w:t xml:space="preserve">We </w:t>
      </w:r>
      <w:r w:rsidRPr="006B35F0">
        <w:t xml:space="preserve">responded quickly to Indonesia’s request for assistance to combat </w:t>
      </w:r>
      <w:r w:rsidRPr="00727D25">
        <w:t>severe forest fires in South Sumatra in 2015.</w:t>
      </w:r>
      <w:r w:rsidR="00484AEA">
        <w:t xml:space="preserve">  </w:t>
      </w:r>
      <w:r w:rsidR="00B30C83">
        <w:t xml:space="preserve">Australia </w:t>
      </w:r>
      <w:r w:rsidRPr="006B35F0">
        <w:t>deployed two</w:t>
      </w:r>
      <w:r w:rsidR="000F4037">
        <w:t xml:space="preserve"> fire-fighting</w:t>
      </w:r>
      <w:r w:rsidRPr="006B35F0">
        <w:t xml:space="preserve"> aircraft and personnel and worked with the Indonesian Red Cross to provide health assistance to people affected by the ha</w:t>
      </w:r>
      <w:r>
        <w:t xml:space="preserve">ze. </w:t>
      </w:r>
    </w:p>
    <w:p w:rsidR="00B72025" w:rsidRDefault="007E22BF" w:rsidP="00B72025">
      <w:r w:rsidRPr="00B72025">
        <w:t xml:space="preserve">Since 2008, we have partnered with </w:t>
      </w:r>
      <w:r w:rsidRPr="000C25F2">
        <w:rPr>
          <w:b/>
        </w:rPr>
        <w:t>Geoscience Australia</w:t>
      </w:r>
      <w:r w:rsidR="005F68A6">
        <w:t xml:space="preserve"> and the Indonesian G</w:t>
      </w:r>
      <w:r w:rsidRPr="00B72025">
        <w:t>overnment to increase the use of science in Indonesia to support decision maki</w:t>
      </w:r>
      <w:r w:rsidR="005F4361">
        <w:t>n</w:t>
      </w:r>
      <w:r w:rsidR="00484AEA">
        <w:t xml:space="preserve">g in disaster risk management.  </w:t>
      </w:r>
      <w:r w:rsidRPr="00B72025">
        <w:t>While substantial progress has been made in the use of science and the development of disaster management tools, a review of</w:t>
      </w:r>
      <w:r w:rsidR="005C042A">
        <w:t xml:space="preserve"> this program </w:t>
      </w:r>
      <w:r w:rsidRPr="00B72025">
        <w:t>found sustainability was a key weakness, with Indonesian agencies still heavily dependent on Austra</w:t>
      </w:r>
      <w:r w:rsidR="005F4361">
        <w:t>l</w:t>
      </w:r>
      <w:r w:rsidR="00484AEA">
        <w:t xml:space="preserve">ian scientists and technology.  </w:t>
      </w:r>
      <w:r w:rsidRPr="00B72025">
        <w:t>The program also failed to plan how to properly integrate the tools into</w:t>
      </w:r>
      <w:r w:rsidR="005F68A6">
        <w:t xml:space="preserve"> Indonesian G</w:t>
      </w:r>
      <w:r w:rsidR="00484AEA">
        <w:t xml:space="preserve">overnment systems.  </w:t>
      </w:r>
      <w:r w:rsidRPr="00B72025">
        <w:t xml:space="preserve">We have sought to address this in a new iteration of the program </w:t>
      </w:r>
      <w:r w:rsidRPr="008E20A9">
        <w:rPr>
          <w:b/>
        </w:rPr>
        <w:t>(</w:t>
      </w:r>
      <w:proofErr w:type="spellStart"/>
      <w:r w:rsidRPr="008E20A9">
        <w:rPr>
          <w:b/>
        </w:rPr>
        <w:t>DMInnovation</w:t>
      </w:r>
      <w:proofErr w:type="spellEnd"/>
      <w:r w:rsidRPr="008E20A9">
        <w:rPr>
          <w:b/>
        </w:rPr>
        <w:t>)</w:t>
      </w:r>
      <w:r w:rsidRPr="00B72025">
        <w:t xml:space="preserve"> with a stronger focus on sustainability and capacity building to improve the likelihood that the tools will be taken up and managed by the Indone</w:t>
      </w:r>
      <w:r w:rsidR="006171EC">
        <w:t>sian G</w:t>
      </w:r>
      <w:r w:rsidR="00B72025">
        <w:t xml:space="preserve">overnment </w:t>
      </w:r>
    </w:p>
    <w:p w:rsidR="008702A9" w:rsidRPr="008702A9" w:rsidRDefault="008702A9" w:rsidP="00995C30">
      <w:pPr>
        <w:rPr>
          <w:b/>
          <w:i/>
        </w:rPr>
      </w:pPr>
      <w:r w:rsidRPr="008702A9">
        <w:rPr>
          <w:b/>
          <w:i/>
        </w:rPr>
        <w:t xml:space="preserve">Education </w:t>
      </w:r>
    </w:p>
    <w:p w:rsidR="00DF6008" w:rsidRDefault="00A50F9A" w:rsidP="00623D7D">
      <w:r w:rsidRPr="006B35F0">
        <w:t xml:space="preserve">Australia’s investment in </w:t>
      </w:r>
      <w:r w:rsidR="006278D6">
        <w:rPr>
          <w:b/>
        </w:rPr>
        <w:t xml:space="preserve">Islamic </w:t>
      </w:r>
      <w:r w:rsidRPr="005567AD">
        <w:rPr>
          <w:b/>
        </w:rPr>
        <w:t>education</w:t>
      </w:r>
      <w:r w:rsidRPr="006B35F0">
        <w:t xml:space="preserve"> in 2015-16 brought about the accreditation of a further 416 madrasah (</w:t>
      </w:r>
      <w:r>
        <w:t>for a total of 5,000 m</w:t>
      </w:r>
      <w:r w:rsidR="00F17618">
        <w:t xml:space="preserve">adrasah </w:t>
      </w:r>
      <w:r w:rsidRPr="006B35F0">
        <w:t>upgr</w:t>
      </w:r>
      <w:r w:rsidR="00991995">
        <w:t xml:space="preserve">aded under </w:t>
      </w:r>
      <w:r w:rsidR="00BD4245">
        <w:t>the</w:t>
      </w:r>
      <w:r w:rsidR="00A22C3F">
        <w:t xml:space="preserve"> program) and </w:t>
      </w:r>
      <w:r w:rsidRPr="006B35F0">
        <w:t>trained some 2,000 scho</w:t>
      </w:r>
      <w:r w:rsidR="00484AEA">
        <w:t xml:space="preserve">ol officials in management.  </w:t>
      </w:r>
      <w:r w:rsidR="00FA782C">
        <w:t xml:space="preserve">Madrasah are </w:t>
      </w:r>
      <w:r w:rsidR="00602313">
        <w:t xml:space="preserve">Islamic education institutions and </w:t>
      </w:r>
      <w:r w:rsidR="00FA782C">
        <w:t>make up about 20 per cent of the</w:t>
      </w:r>
      <w:r w:rsidR="005F4361">
        <w:t xml:space="preserve"> </w:t>
      </w:r>
      <w:r w:rsidR="00484AEA">
        <w:t xml:space="preserve">education system in Indonesia.  </w:t>
      </w:r>
      <w:r w:rsidR="00602313">
        <w:t xml:space="preserve">Our support </w:t>
      </w:r>
      <w:r w:rsidR="007F71EE">
        <w:t>resulted in</w:t>
      </w:r>
      <w:r w:rsidRPr="006B35F0">
        <w:t xml:space="preserve"> the targeted use of grants to sc</w:t>
      </w:r>
      <w:r>
        <w:t>hools and the establishment of m</w:t>
      </w:r>
      <w:r w:rsidRPr="006B35F0">
        <w:t xml:space="preserve">adrasah </w:t>
      </w:r>
      <w:r w:rsidR="00CC5277">
        <w:t>development</w:t>
      </w:r>
      <w:r w:rsidRPr="006B35F0">
        <w:t xml:space="preserve"> centres in each </w:t>
      </w:r>
      <w:r>
        <w:t>province</w:t>
      </w:r>
      <w:r w:rsidR="007D0B2E">
        <w:t>, which granted</w:t>
      </w:r>
      <w:r w:rsidR="007F71EE">
        <w:t xml:space="preserve"> </w:t>
      </w:r>
      <w:r w:rsidR="007F71EE" w:rsidRPr="0039378C">
        <w:t xml:space="preserve">legal authority </w:t>
      </w:r>
      <w:r w:rsidR="007F71EE">
        <w:t xml:space="preserve">and resources </w:t>
      </w:r>
      <w:r w:rsidR="007F71EE" w:rsidRPr="0039378C">
        <w:t>to promote and quality-assu</w:t>
      </w:r>
      <w:r w:rsidR="007D0B2E">
        <w:t>re madrasah within Indonesia</w:t>
      </w:r>
      <w:r w:rsidR="00484AEA">
        <w:t xml:space="preserve">.  </w:t>
      </w:r>
      <w:r w:rsidR="00FE46B2">
        <w:t>We also worked with madrasah</w:t>
      </w:r>
      <w:r w:rsidR="00EA7231" w:rsidRPr="00B72025">
        <w:t xml:space="preserve"> in five provinces to pilot models for disability-inclusive education, and three of these provinces have allocated their own budget to take this initiative forward following the completion of Australian assistance.</w:t>
      </w:r>
    </w:p>
    <w:p w:rsidR="00DF6008" w:rsidRPr="00DF6008" w:rsidRDefault="00DF6008" w:rsidP="00623D7D">
      <w:pPr>
        <w:rPr>
          <w:b/>
          <w:i/>
        </w:rPr>
      </w:pPr>
      <w:r w:rsidRPr="00DF6008">
        <w:rPr>
          <w:b/>
          <w:i/>
        </w:rPr>
        <w:t xml:space="preserve">Elections </w:t>
      </w:r>
    </w:p>
    <w:p w:rsidR="0060053B" w:rsidRDefault="00CB2411" w:rsidP="00623D7D">
      <w:r>
        <w:t>I</w:t>
      </w:r>
      <w:r w:rsidR="00CC343E">
        <w:t>n 2015, the</w:t>
      </w:r>
      <w:r w:rsidR="00316BF4">
        <w:t xml:space="preserve"> Australian-funded</w:t>
      </w:r>
      <w:r w:rsidR="00CC343E">
        <w:t xml:space="preserve"> </w:t>
      </w:r>
      <w:r w:rsidR="00CC343E" w:rsidRPr="00E64496">
        <w:rPr>
          <w:b/>
        </w:rPr>
        <w:t>General Election Networ</w:t>
      </w:r>
      <w:r w:rsidR="008E20A9">
        <w:rPr>
          <w:b/>
        </w:rPr>
        <w:t xml:space="preserve">k for Disability Access </w:t>
      </w:r>
      <w:r w:rsidR="001D4780">
        <w:t>worked with</w:t>
      </w:r>
      <w:r w:rsidR="00227AFA">
        <w:t xml:space="preserve"> the </w:t>
      </w:r>
      <w:r w:rsidR="007107A2">
        <w:t xml:space="preserve">Indonesian </w:t>
      </w:r>
      <w:r w:rsidR="00227AFA">
        <w:t>electoral commission</w:t>
      </w:r>
      <w:r w:rsidR="00CC343E">
        <w:t xml:space="preserve"> to adopt a</w:t>
      </w:r>
      <w:r w:rsidR="005F4361">
        <w:t>n</w:t>
      </w:r>
      <w:r w:rsidR="00227AFA">
        <w:t xml:space="preserve"> election management body </w:t>
      </w:r>
      <w:r w:rsidR="005F4361">
        <w:t>assessment</w:t>
      </w:r>
      <w:r w:rsidR="00CC343E">
        <w:t xml:space="preserve"> tool on disability access to help election administrators prepare and implement accessible elections</w:t>
      </w:r>
      <w:r w:rsidR="005F4361">
        <w:t>.</w:t>
      </w:r>
      <w:r w:rsidR="00484AEA">
        <w:t xml:space="preserve">  </w:t>
      </w:r>
      <w:r w:rsidR="00CC343E">
        <w:t xml:space="preserve">Indonesian law </w:t>
      </w:r>
      <w:r w:rsidR="00316BF4">
        <w:t>allow</w:t>
      </w:r>
      <w:r w:rsidR="00227AFA">
        <w:t>s</w:t>
      </w:r>
      <w:r w:rsidR="00316BF4">
        <w:t xml:space="preserve"> people</w:t>
      </w:r>
      <w:r w:rsidR="00CC343E">
        <w:t xml:space="preserve"> with disability to participate in elections, but do</w:t>
      </w:r>
      <w:r w:rsidR="003028C0">
        <w:t>es</w:t>
      </w:r>
      <w:r w:rsidR="00CC343E">
        <w:t xml:space="preserve"> not specify how </w:t>
      </w:r>
      <w:r w:rsidR="003028C0">
        <w:t xml:space="preserve">to </w:t>
      </w:r>
      <w:r w:rsidR="00CC343E">
        <w:t>ensure mechanisms are in place for voters with disabilities to access polling stations, register to vote, or run as cand</w:t>
      </w:r>
      <w:r w:rsidR="00484AEA">
        <w:t xml:space="preserve">idates.  </w:t>
      </w:r>
      <w:r w:rsidR="003028C0">
        <w:t xml:space="preserve">The disability-inclusive </w:t>
      </w:r>
      <w:r w:rsidR="005F4361">
        <w:t>tool</w:t>
      </w:r>
      <w:r w:rsidR="00CC343E">
        <w:t xml:space="preserve"> was successfully piloted during the December 2015 regional head elections, </w:t>
      </w:r>
      <w:r w:rsidR="003028C0">
        <w:t xml:space="preserve">and </w:t>
      </w:r>
      <w:r w:rsidR="00CC343E">
        <w:t>will be used in the 2017</w:t>
      </w:r>
      <w:r w:rsidR="003B0A07">
        <w:t xml:space="preserve"> region</w:t>
      </w:r>
      <w:r w:rsidR="00484AEA">
        <w:t xml:space="preserve">al head elections.  </w:t>
      </w:r>
      <w:r w:rsidR="003028C0">
        <w:t>This represents</w:t>
      </w:r>
      <w:r w:rsidR="00CC343E">
        <w:t xml:space="preserve"> a formal policy </w:t>
      </w:r>
      <w:r w:rsidR="00CE4298">
        <w:t xml:space="preserve">shift </w:t>
      </w:r>
      <w:r w:rsidR="00CC343E">
        <w:t>tow</w:t>
      </w:r>
      <w:r w:rsidR="00623D7D">
        <w:t xml:space="preserve">ards more inclusive practices. </w:t>
      </w:r>
    </w:p>
    <w:p w:rsidR="00623D7D" w:rsidRPr="00623D7D" w:rsidRDefault="00623D7D" w:rsidP="00623D7D"/>
    <w:p w:rsidR="00CB2411" w:rsidRPr="00106054" w:rsidRDefault="00CB2411" w:rsidP="0060602B">
      <w:pPr>
        <w:suppressAutoHyphens w:val="0"/>
        <w:spacing w:before="0" w:after="120" w:line="440" w:lineRule="atLeast"/>
        <w:rPr>
          <w:rFonts w:ascii="Calibri" w:eastAsia="Times New Roman" w:hAnsi="Calibri"/>
          <w:caps/>
          <w:sz w:val="38"/>
          <w:szCs w:val="26"/>
        </w:rPr>
      </w:pPr>
    </w:p>
    <w:p w:rsidR="00CB2411" w:rsidRPr="00106054" w:rsidRDefault="00CB2411" w:rsidP="0060602B">
      <w:pPr>
        <w:suppressAutoHyphens w:val="0"/>
        <w:spacing w:before="0" w:after="120" w:line="440" w:lineRule="atLeast"/>
        <w:rPr>
          <w:rFonts w:ascii="Calibri" w:eastAsia="Times New Roman" w:hAnsi="Calibri"/>
          <w:caps/>
          <w:sz w:val="38"/>
          <w:szCs w:val="26"/>
        </w:rPr>
      </w:pPr>
    </w:p>
    <w:p w:rsidR="00CB2411" w:rsidRPr="00106054" w:rsidRDefault="00CB2411" w:rsidP="0060602B">
      <w:pPr>
        <w:suppressAutoHyphens w:val="0"/>
        <w:spacing w:before="0" w:after="120" w:line="440" w:lineRule="atLeast"/>
        <w:rPr>
          <w:rFonts w:ascii="Calibri" w:eastAsia="Times New Roman" w:hAnsi="Calibri"/>
          <w:caps/>
          <w:sz w:val="38"/>
          <w:szCs w:val="26"/>
        </w:rPr>
      </w:pPr>
    </w:p>
    <w:p w:rsidR="00CB2411" w:rsidRPr="00106054" w:rsidRDefault="00CB2411" w:rsidP="0060602B">
      <w:pPr>
        <w:suppressAutoHyphens w:val="0"/>
        <w:spacing w:before="0" w:after="120" w:line="440" w:lineRule="atLeast"/>
        <w:rPr>
          <w:rFonts w:ascii="Calibri" w:eastAsia="Times New Roman" w:hAnsi="Calibri"/>
          <w:caps/>
          <w:sz w:val="38"/>
          <w:szCs w:val="26"/>
        </w:rPr>
      </w:pPr>
    </w:p>
    <w:p w:rsidR="008C71BC" w:rsidRPr="00106054" w:rsidRDefault="008C71BC" w:rsidP="0060602B">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lastRenderedPageBreak/>
        <w:t>OBJECTIVE 3</w:t>
      </w:r>
      <w:r w:rsidR="0032198C" w:rsidRPr="00106054">
        <w:rPr>
          <w:rFonts w:ascii="Calibri" w:eastAsia="Times New Roman" w:hAnsi="Calibri"/>
          <w:caps/>
          <w:sz w:val="38"/>
          <w:szCs w:val="26"/>
        </w:rPr>
        <w:t xml:space="preserve">: An inclusive society through effective governance </w:t>
      </w:r>
      <w:r w:rsidRPr="00106054">
        <w:rPr>
          <w:rFonts w:ascii="Calibri" w:eastAsia="Times New Roman" w:hAnsi="Calibri"/>
          <w:caps/>
          <w:sz w:val="38"/>
          <w:szCs w:val="26"/>
        </w:rPr>
        <w:t xml:space="preserve"> </w:t>
      </w:r>
    </w:p>
    <w:p w:rsidR="002A51CA" w:rsidRPr="00C61187" w:rsidRDefault="002A51CA" w:rsidP="008C71BC">
      <w:pPr>
        <w:rPr>
          <w:rFonts w:ascii="Franklin Gothic Book" w:eastAsia="Times New Roman" w:hAnsi="Franklin Gothic Book"/>
          <w:sz w:val="21"/>
        </w:rPr>
      </w:pPr>
    </w:p>
    <w:p w:rsidR="0032198C" w:rsidRPr="008C2F58" w:rsidRDefault="0032198C" w:rsidP="0032198C">
      <w:pPr>
        <w:rPr>
          <w:b/>
          <w:sz w:val="24"/>
        </w:rPr>
      </w:pPr>
      <w:r w:rsidRPr="008C2F58">
        <w:rPr>
          <w:b/>
          <w:sz w:val="24"/>
        </w:rPr>
        <w:t>Rating of the Program's Progress towards Australia’s Aid Objectives</w:t>
      </w:r>
    </w:p>
    <w:tbl>
      <w:tblPr>
        <w:tblW w:w="5000" w:type="pct"/>
        <w:tblCellSpacing w:w="14" w:type="dxa"/>
        <w:tblBorders>
          <w:top w:val="single" w:sz="12" w:space="0" w:color="000000"/>
          <w:bottom w:val="single" w:sz="12" w:space="0" w:color="000000"/>
        </w:tblBorders>
        <w:tblLook w:val="0000" w:firstRow="0" w:lastRow="0" w:firstColumn="0" w:lastColumn="0" w:noHBand="0" w:noVBand="0"/>
      </w:tblPr>
      <w:tblGrid>
        <w:gridCol w:w="5785"/>
        <w:gridCol w:w="1157"/>
        <w:gridCol w:w="427"/>
        <w:gridCol w:w="1041"/>
        <w:gridCol w:w="1228"/>
      </w:tblGrid>
      <w:tr w:rsidR="005212F4" w:rsidRPr="00106054" w:rsidTr="00106054">
        <w:trPr>
          <w:trHeight w:val="651"/>
          <w:tblHeader/>
          <w:tblCellSpacing w:w="14" w:type="dxa"/>
        </w:trPr>
        <w:tc>
          <w:tcPr>
            <w:tcW w:w="5989" w:type="dxa"/>
            <w:tcBorders>
              <w:top w:val="nil"/>
              <w:left w:val="nil"/>
              <w:bottom w:val="nil"/>
              <w:right w:val="nil"/>
              <w:tl2br w:val="nil"/>
              <w:tr2bl w:val="nil"/>
            </w:tcBorders>
            <w:shd w:val="clear" w:color="auto" w:fill="auto"/>
          </w:tcPr>
          <w:p w:rsidR="005212F4" w:rsidRPr="00106054" w:rsidRDefault="00D64950" w:rsidP="00106054">
            <w:pPr>
              <w:keepLines/>
              <w:spacing w:before="80" w:after="80" w:line="200" w:lineRule="atLeast"/>
              <w:rPr>
                <w:rFonts w:eastAsia="Times New Roman"/>
                <w:b/>
                <w:iCs/>
                <w:sz w:val="17"/>
                <w:szCs w:val="17"/>
              </w:rPr>
            </w:pPr>
            <w:r>
              <w:rPr>
                <w:noProof/>
                <w:lang w:val="en-AU" w:eastAsia="en-AU"/>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57375" cy="228600"/>
                  <wp:effectExtent l="0" t="0" r="0" b="0"/>
                  <wp:wrapNone/>
                  <wp:docPr id="7" name="Picture 2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9" w:type="dxa"/>
            <w:tcBorders>
              <w:top w:val="nil"/>
              <w:left w:val="nil"/>
              <w:bottom w:val="nil"/>
              <w:right w:val="nil"/>
              <w:tl2br w:val="nil"/>
              <w:tr2bl w:val="nil"/>
            </w:tcBorders>
            <w:shd w:val="clear" w:color="auto" w:fill="auto"/>
          </w:tcPr>
          <w:p w:rsidR="005212F4" w:rsidRPr="00106054" w:rsidRDefault="005212F4" w:rsidP="00106054">
            <w:pPr>
              <w:keepLines/>
              <w:spacing w:before="80" w:after="80" w:line="200" w:lineRule="atLeast"/>
              <w:jc w:val="center"/>
              <w:rPr>
                <w:rFonts w:eastAsia="Times New Roman"/>
                <w:b/>
                <w:iCs/>
                <w:sz w:val="17"/>
                <w:szCs w:val="17"/>
              </w:rPr>
            </w:pPr>
          </w:p>
        </w:tc>
        <w:tc>
          <w:tcPr>
            <w:tcW w:w="411" w:type="dxa"/>
            <w:tcBorders>
              <w:top w:val="nil"/>
              <w:left w:val="nil"/>
              <w:bottom w:val="nil"/>
              <w:right w:val="nil"/>
              <w:tl2br w:val="nil"/>
              <w:tr2bl w:val="nil"/>
            </w:tcBorders>
            <w:shd w:val="clear" w:color="auto" w:fill="auto"/>
          </w:tcPr>
          <w:p w:rsidR="005212F4" w:rsidRPr="00106054" w:rsidRDefault="005212F4" w:rsidP="00106054">
            <w:pPr>
              <w:keepLines/>
              <w:spacing w:before="80" w:after="80" w:line="200" w:lineRule="atLeast"/>
              <w:jc w:val="center"/>
              <w:rPr>
                <w:rFonts w:eastAsia="Times New Roman"/>
                <w:b/>
                <w:iCs/>
                <w:sz w:val="17"/>
                <w:szCs w:val="17"/>
              </w:rPr>
            </w:pPr>
          </w:p>
        </w:tc>
        <w:tc>
          <w:tcPr>
            <w:tcW w:w="1027" w:type="dxa"/>
            <w:tcBorders>
              <w:top w:val="nil"/>
              <w:left w:val="nil"/>
              <w:bottom w:val="nil"/>
              <w:right w:val="nil"/>
              <w:tl2br w:val="nil"/>
              <w:tr2bl w:val="nil"/>
            </w:tcBorders>
            <w:shd w:val="clear" w:color="auto" w:fill="auto"/>
          </w:tcPr>
          <w:p w:rsidR="005212F4" w:rsidRPr="00106054" w:rsidRDefault="005212F4" w:rsidP="00106054">
            <w:pPr>
              <w:keepLines/>
              <w:spacing w:before="80" w:after="80" w:line="200" w:lineRule="atLeast"/>
              <w:jc w:val="center"/>
              <w:rPr>
                <w:rFonts w:ascii="Franklin Gothic Book" w:eastAsia="Times New Roman" w:hAnsi="Franklin Gothic Book"/>
                <w:b/>
                <w:iCs/>
                <w:sz w:val="17"/>
                <w:szCs w:val="17"/>
                <w:lang w:eastAsia="en-AU"/>
              </w:rPr>
            </w:pPr>
            <w:r w:rsidRPr="00106054">
              <w:rPr>
                <w:rFonts w:eastAsia="Times New Roman"/>
                <w:b/>
                <w:iCs/>
                <w:sz w:val="17"/>
                <w:szCs w:val="17"/>
              </w:rPr>
              <w:t>Previous Rating</w:t>
            </w:r>
          </w:p>
        </w:tc>
        <w:tc>
          <w:tcPr>
            <w:tcW w:w="1186" w:type="dxa"/>
            <w:tcBorders>
              <w:top w:val="nil"/>
              <w:left w:val="nil"/>
              <w:bottom w:val="nil"/>
              <w:right w:val="nil"/>
              <w:tl2br w:val="nil"/>
              <w:tr2bl w:val="nil"/>
            </w:tcBorders>
            <w:shd w:val="clear" w:color="auto" w:fill="auto"/>
          </w:tcPr>
          <w:p w:rsidR="00F04098" w:rsidRPr="00106054" w:rsidRDefault="00F04098"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          Current</w:t>
            </w:r>
          </w:p>
          <w:p w:rsidR="005212F4" w:rsidRPr="00106054" w:rsidRDefault="00F04098" w:rsidP="00106054">
            <w:pPr>
              <w:keepLines/>
              <w:spacing w:before="80" w:after="80" w:line="200" w:lineRule="atLeast"/>
              <w:jc w:val="center"/>
              <w:rPr>
                <w:rFonts w:eastAsia="Times New Roman"/>
                <w:b/>
                <w:iCs/>
                <w:sz w:val="17"/>
                <w:szCs w:val="17"/>
              </w:rPr>
            </w:pPr>
            <w:r w:rsidRPr="00106054">
              <w:rPr>
                <w:rFonts w:eastAsia="Times New Roman"/>
                <w:b/>
                <w:iCs/>
                <w:sz w:val="17"/>
                <w:szCs w:val="17"/>
              </w:rPr>
              <w:t xml:space="preserve">         Rating</w:t>
            </w:r>
          </w:p>
        </w:tc>
      </w:tr>
      <w:tr w:rsidR="00106054" w:rsidRPr="00106054" w:rsidTr="00106054">
        <w:trPr>
          <w:trHeight w:val="326"/>
          <w:tblHeader/>
          <w:tblCellSpacing w:w="14" w:type="dxa"/>
        </w:trPr>
        <w:tc>
          <w:tcPr>
            <w:tcW w:w="5989" w:type="dxa"/>
            <w:tcBorders>
              <w:top w:val="nil"/>
              <w:left w:val="nil"/>
              <w:bottom w:val="nil"/>
              <w:right w:val="nil"/>
              <w:tl2br w:val="nil"/>
              <w:tr2bl w:val="nil"/>
            </w:tcBorders>
            <w:shd w:val="clear" w:color="auto" w:fill="auto"/>
          </w:tcPr>
          <w:p w:rsidR="005212F4" w:rsidRPr="00106054" w:rsidRDefault="00C40866"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Objective 3: An Inclusive Socie</w:t>
            </w:r>
            <w:r w:rsidR="00473BBC" w:rsidRPr="00106054">
              <w:rPr>
                <w:rFonts w:ascii="Franklin Gothic Book" w:eastAsia="Times New Roman" w:hAnsi="Franklin Gothic Book"/>
                <w:iCs/>
                <w:sz w:val="17"/>
                <w:szCs w:val="17"/>
                <w:lang w:eastAsia="en-AU"/>
              </w:rPr>
              <w:t xml:space="preserve">ty through Effective Governance </w:t>
            </w:r>
          </w:p>
        </w:tc>
        <w:tc>
          <w:tcPr>
            <w:tcW w:w="1129" w:type="dxa"/>
            <w:tcBorders>
              <w:top w:val="nil"/>
              <w:left w:val="nil"/>
              <w:bottom w:val="nil"/>
              <w:right w:val="nil"/>
              <w:tl2br w:val="nil"/>
              <w:tr2bl w:val="nil"/>
            </w:tcBorders>
            <w:shd w:val="clear" w:color="auto" w:fill="auto"/>
            <w:noWrap/>
          </w:tcPr>
          <w:p w:rsidR="005212F4" w:rsidRPr="00106054" w:rsidRDefault="005212F4" w:rsidP="00106054">
            <w:pPr>
              <w:keepLines/>
              <w:spacing w:before="40" w:after="40" w:line="200" w:lineRule="atLeast"/>
              <w:jc w:val="center"/>
              <w:rPr>
                <w:rFonts w:ascii="Franklin Gothic Book" w:eastAsia="Times New Roman" w:hAnsi="Franklin Gothic Book"/>
                <w:iCs/>
                <w:sz w:val="17"/>
                <w:szCs w:val="17"/>
                <w:lang w:eastAsia="en-AU"/>
              </w:rPr>
            </w:pPr>
          </w:p>
        </w:tc>
        <w:tc>
          <w:tcPr>
            <w:tcW w:w="411" w:type="dxa"/>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7" w:type="dxa"/>
            <w:tcBorders>
              <w:top w:val="nil"/>
              <w:left w:val="nil"/>
              <w:bottom w:val="nil"/>
              <w:right w:val="nil"/>
              <w:tl2br w:val="nil"/>
              <w:tr2bl w:val="nil"/>
            </w:tcBorders>
            <w:shd w:val="clear" w:color="auto" w:fill="7FB64D"/>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Green </w:t>
            </w:r>
          </w:p>
        </w:tc>
        <w:tc>
          <w:tcPr>
            <w:tcW w:w="1186" w:type="dxa"/>
            <w:tcBorders>
              <w:top w:val="nil"/>
              <w:left w:val="nil"/>
              <w:bottom w:val="nil"/>
              <w:right w:val="nil"/>
              <w:tl2br w:val="nil"/>
              <w:tr2bl w:val="nil"/>
            </w:tcBorders>
            <w:shd w:val="clear" w:color="auto" w:fill="auto"/>
            <w:noWrap/>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p>
        </w:tc>
      </w:tr>
      <w:tr w:rsidR="00106054" w:rsidRPr="00106054" w:rsidTr="00106054">
        <w:trPr>
          <w:trHeight w:val="326"/>
          <w:tblHeader/>
          <w:tblCellSpacing w:w="14" w:type="dxa"/>
        </w:trPr>
        <w:tc>
          <w:tcPr>
            <w:tcW w:w="5989" w:type="dxa"/>
            <w:vMerge w:val="restart"/>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ind w:left="720"/>
              <w:rPr>
                <w:rFonts w:eastAsia="Times New Roman"/>
                <w:i/>
                <w:iCs/>
                <w:sz w:val="17"/>
                <w:szCs w:val="17"/>
              </w:rPr>
            </w:pPr>
            <w:r w:rsidRPr="00106054">
              <w:rPr>
                <w:rFonts w:eastAsia="Times New Roman"/>
                <w:i/>
                <w:iCs/>
                <w:sz w:val="17"/>
                <w:szCs w:val="17"/>
              </w:rPr>
              <w:t>Outcome 7: Increased participation, especially by women, in household, community and government decisions</w:t>
            </w:r>
          </w:p>
          <w:p w:rsidR="005212F4" w:rsidRPr="00106054" w:rsidRDefault="005212F4" w:rsidP="00106054">
            <w:pPr>
              <w:keepLines/>
              <w:spacing w:before="40" w:after="40" w:line="200" w:lineRule="atLeast"/>
              <w:ind w:left="720"/>
              <w:rPr>
                <w:rFonts w:eastAsia="Times New Roman"/>
                <w:i/>
                <w:iCs/>
                <w:sz w:val="17"/>
                <w:szCs w:val="17"/>
              </w:rPr>
            </w:pPr>
            <w:r w:rsidRPr="00106054">
              <w:rPr>
                <w:rFonts w:eastAsia="Times New Roman"/>
                <w:i/>
                <w:iCs/>
                <w:sz w:val="17"/>
                <w:szCs w:val="17"/>
              </w:rPr>
              <w:t>Outcom</w:t>
            </w:r>
            <w:r w:rsidR="00C40866" w:rsidRPr="00106054">
              <w:rPr>
                <w:rFonts w:eastAsia="Times New Roman"/>
                <w:i/>
                <w:iCs/>
                <w:sz w:val="17"/>
                <w:szCs w:val="17"/>
              </w:rPr>
              <w:t xml:space="preserve">e 8: Improved responsiveness of </w:t>
            </w:r>
            <w:r w:rsidRPr="00106054">
              <w:rPr>
                <w:rFonts w:eastAsia="Times New Roman"/>
                <w:i/>
                <w:iCs/>
                <w:sz w:val="17"/>
                <w:szCs w:val="17"/>
              </w:rPr>
              <w:t xml:space="preserve">public institutions to community, especially to women </w:t>
            </w:r>
          </w:p>
          <w:p w:rsidR="005212F4" w:rsidRPr="00106054" w:rsidRDefault="005212F4" w:rsidP="00106054">
            <w:pPr>
              <w:keepLines/>
              <w:spacing w:before="40" w:after="40" w:line="200" w:lineRule="atLeast"/>
              <w:ind w:left="720"/>
              <w:rPr>
                <w:rFonts w:eastAsia="Times New Roman"/>
                <w:iCs/>
                <w:sz w:val="17"/>
                <w:szCs w:val="17"/>
              </w:rPr>
            </w:pPr>
            <w:r w:rsidRPr="00106054">
              <w:rPr>
                <w:rFonts w:eastAsia="Times New Roman"/>
                <w:i/>
                <w:iCs/>
                <w:sz w:val="17"/>
                <w:szCs w:val="17"/>
              </w:rPr>
              <w:t>Outcome 9: More inclusive and evidence-informed policy and programs</w:t>
            </w:r>
            <w:r w:rsidRPr="00106054">
              <w:rPr>
                <w:rFonts w:eastAsia="Times New Roman"/>
                <w:iCs/>
                <w:sz w:val="17"/>
                <w:szCs w:val="17"/>
              </w:rPr>
              <w:t xml:space="preserve">  </w:t>
            </w:r>
          </w:p>
        </w:tc>
        <w:tc>
          <w:tcPr>
            <w:tcW w:w="1129" w:type="dxa"/>
            <w:vMerge w:val="restart"/>
            <w:tcBorders>
              <w:top w:val="nil"/>
              <w:left w:val="nil"/>
              <w:bottom w:val="nil"/>
              <w:right w:val="nil"/>
              <w:tl2br w:val="nil"/>
              <w:tr2bl w:val="nil"/>
            </w:tcBorders>
            <w:shd w:val="clear" w:color="auto" w:fill="auto"/>
            <w:noWrap/>
          </w:tcPr>
          <w:p w:rsidR="005212F4" w:rsidRPr="00106054" w:rsidRDefault="005212F4" w:rsidP="00106054">
            <w:pPr>
              <w:keepLines/>
              <w:spacing w:before="40" w:after="40" w:line="200" w:lineRule="atLeast"/>
              <w:jc w:val="center"/>
              <w:rPr>
                <w:rFonts w:eastAsia="Times New Roman"/>
                <w:iCs/>
                <w:color w:val="FFFFFF"/>
                <w:sz w:val="17"/>
                <w:szCs w:val="17"/>
              </w:rPr>
            </w:pPr>
          </w:p>
        </w:tc>
        <w:tc>
          <w:tcPr>
            <w:tcW w:w="411" w:type="dxa"/>
            <w:vMerge w:val="restart"/>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jc w:val="center"/>
              <w:rPr>
                <w:rFonts w:eastAsia="Times New Roman"/>
                <w:iCs/>
                <w:color w:val="FFFFFF"/>
                <w:sz w:val="17"/>
                <w:szCs w:val="17"/>
              </w:rPr>
            </w:pPr>
          </w:p>
        </w:tc>
        <w:tc>
          <w:tcPr>
            <w:tcW w:w="1027" w:type="dxa"/>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tcBorders>
              <w:top w:val="nil"/>
              <w:left w:val="nil"/>
              <w:bottom w:val="nil"/>
              <w:right w:val="nil"/>
              <w:tl2br w:val="nil"/>
              <w:tr2bl w:val="nil"/>
            </w:tcBorders>
            <w:shd w:val="clear" w:color="auto" w:fill="7FB64D"/>
            <w:noWrap/>
          </w:tcPr>
          <w:p w:rsidR="005212F4" w:rsidRPr="00106054" w:rsidRDefault="00944E26"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Green</w:t>
            </w:r>
            <w:r w:rsidR="005212F4" w:rsidRPr="00106054">
              <w:rPr>
                <w:rFonts w:eastAsia="Times New Roman"/>
                <w:iCs/>
                <w:color w:val="FFFFFF"/>
                <w:sz w:val="17"/>
                <w:szCs w:val="17"/>
              </w:rPr>
              <w:t xml:space="preserve"> </w:t>
            </w:r>
          </w:p>
        </w:tc>
      </w:tr>
      <w:tr w:rsidR="00106054" w:rsidRPr="00106054" w:rsidTr="00106054">
        <w:trPr>
          <w:trHeight w:val="326"/>
          <w:tblHeader/>
          <w:tblCellSpacing w:w="14" w:type="dxa"/>
        </w:trPr>
        <w:tc>
          <w:tcPr>
            <w:tcW w:w="5989" w:type="dxa"/>
            <w:vMerge/>
            <w:tcBorders>
              <w:top w:val="nil"/>
              <w:left w:val="nil"/>
              <w:bottom w:val="nil"/>
              <w:right w:val="nil"/>
              <w:tl2br w:val="nil"/>
              <w:tr2bl w:val="nil"/>
            </w:tcBorders>
            <w:shd w:val="clear" w:color="auto" w:fill="auto"/>
          </w:tcPr>
          <w:p w:rsidR="00326220" w:rsidRPr="00106054" w:rsidRDefault="00326220" w:rsidP="00106054">
            <w:pPr>
              <w:keepLines/>
              <w:spacing w:before="40" w:after="40" w:line="200" w:lineRule="atLeast"/>
              <w:ind w:left="720"/>
              <w:rPr>
                <w:rFonts w:ascii="Franklin Gothic Book" w:eastAsia="Times New Roman" w:hAnsi="Franklin Gothic Book"/>
                <w:i/>
                <w:iCs/>
                <w:sz w:val="17"/>
                <w:szCs w:val="17"/>
                <w:lang w:eastAsia="en-AU"/>
              </w:rPr>
            </w:pPr>
          </w:p>
        </w:tc>
        <w:tc>
          <w:tcPr>
            <w:tcW w:w="1129" w:type="dxa"/>
            <w:vMerge/>
            <w:tcBorders>
              <w:top w:val="nil"/>
              <w:left w:val="nil"/>
              <w:bottom w:val="nil"/>
              <w:right w:val="nil"/>
              <w:tl2br w:val="nil"/>
              <w:tr2bl w:val="nil"/>
            </w:tcBorders>
            <w:shd w:val="clear" w:color="auto" w:fill="auto"/>
            <w:noWrap/>
          </w:tcPr>
          <w:p w:rsidR="00326220" w:rsidRPr="00106054" w:rsidRDefault="00326220"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411" w:type="dxa"/>
            <w:vMerge/>
            <w:tcBorders>
              <w:top w:val="nil"/>
              <w:left w:val="nil"/>
              <w:bottom w:val="nil"/>
              <w:right w:val="nil"/>
              <w:tl2br w:val="nil"/>
              <w:tr2bl w:val="nil"/>
            </w:tcBorders>
            <w:shd w:val="clear" w:color="auto" w:fill="auto"/>
          </w:tcPr>
          <w:p w:rsidR="00326220" w:rsidRPr="00106054" w:rsidRDefault="00326220"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7" w:type="dxa"/>
            <w:tcBorders>
              <w:top w:val="nil"/>
              <w:left w:val="nil"/>
              <w:bottom w:val="nil"/>
              <w:right w:val="nil"/>
              <w:tl2br w:val="nil"/>
              <w:tr2bl w:val="nil"/>
            </w:tcBorders>
            <w:shd w:val="clear" w:color="auto" w:fill="auto"/>
          </w:tcPr>
          <w:p w:rsidR="00326220" w:rsidRPr="00106054" w:rsidRDefault="00326220"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tcBorders>
              <w:top w:val="nil"/>
              <w:left w:val="nil"/>
              <w:bottom w:val="nil"/>
              <w:right w:val="nil"/>
              <w:tl2br w:val="nil"/>
              <w:tr2bl w:val="nil"/>
            </w:tcBorders>
            <w:shd w:val="clear" w:color="auto" w:fill="E36C0A"/>
            <w:noWrap/>
          </w:tcPr>
          <w:p w:rsidR="00326220" w:rsidRPr="00106054" w:rsidRDefault="00697AD5"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 xml:space="preserve">Amber </w:t>
            </w:r>
            <w:r w:rsidR="00326220" w:rsidRPr="00106054">
              <w:rPr>
                <w:rFonts w:ascii="Franklin Gothic Book" w:eastAsia="Times New Roman" w:hAnsi="Franklin Gothic Book"/>
                <w:iCs/>
                <w:color w:val="FFFFFF"/>
                <w:sz w:val="17"/>
                <w:szCs w:val="17"/>
                <w:lang w:eastAsia="en-AU"/>
              </w:rPr>
              <w:t xml:space="preserve"> </w:t>
            </w:r>
          </w:p>
        </w:tc>
      </w:tr>
      <w:tr w:rsidR="00106054" w:rsidRPr="00106054" w:rsidTr="00106054">
        <w:trPr>
          <w:trHeight w:val="484"/>
          <w:tblHeader/>
          <w:tblCellSpacing w:w="14" w:type="dxa"/>
        </w:trPr>
        <w:tc>
          <w:tcPr>
            <w:tcW w:w="5989" w:type="dxa"/>
            <w:vMerge/>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rPr>
                <w:rFonts w:ascii="Franklin Gothic Book" w:eastAsia="Times New Roman" w:hAnsi="Franklin Gothic Book"/>
                <w:iCs/>
                <w:sz w:val="17"/>
                <w:szCs w:val="17"/>
                <w:lang w:eastAsia="en-AU"/>
              </w:rPr>
            </w:pPr>
          </w:p>
        </w:tc>
        <w:tc>
          <w:tcPr>
            <w:tcW w:w="1129" w:type="dxa"/>
            <w:vMerge/>
            <w:tcBorders>
              <w:top w:val="nil"/>
              <w:left w:val="nil"/>
              <w:bottom w:val="nil"/>
              <w:right w:val="nil"/>
              <w:tl2br w:val="nil"/>
              <w:tr2bl w:val="nil"/>
            </w:tcBorders>
            <w:shd w:val="clear" w:color="auto" w:fill="auto"/>
            <w:noWrap/>
          </w:tcPr>
          <w:p w:rsidR="005212F4" w:rsidRPr="00106054" w:rsidRDefault="005212F4" w:rsidP="00106054">
            <w:pPr>
              <w:keepLines/>
              <w:spacing w:before="40" w:after="40" w:line="200" w:lineRule="atLeast"/>
              <w:jc w:val="center"/>
              <w:rPr>
                <w:rFonts w:ascii="Franklin Gothic Book" w:eastAsia="Times New Roman" w:hAnsi="Franklin Gothic Book"/>
                <w:iCs/>
                <w:sz w:val="17"/>
                <w:szCs w:val="17"/>
                <w:lang w:eastAsia="en-AU"/>
              </w:rPr>
            </w:pPr>
          </w:p>
        </w:tc>
        <w:tc>
          <w:tcPr>
            <w:tcW w:w="411" w:type="dxa"/>
            <w:vMerge/>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027" w:type="dxa"/>
            <w:tcBorders>
              <w:top w:val="nil"/>
              <w:left w:val="nil"/>
              <w:bottom w:val="nil"/>
              <w:right w:val="nil"/>
              <w:tl2br w:val="nil"/>
              <w:tr2bl w:val="nil"/>
            </w:tcBorders>
            <w:shd w:val="clear" w:color="auto" w:fill="auto"/>
          </w:tcPr>
          <w:p w:rsidR="005212F4" w:rsidRPr="00106054" w:rsidRDefault="005212F4" w:rsidP="00106054">
            <w:pPr>
              <w:keepLines/>
              <w:spacing w:before="40" w:after="40" w:line="200" w:lineRule="atLeast"/>
              <w:jc w:val="center"/>
              <w:rPr>
                <w:rFonts w:ascii="Franklin Gothic Book" w:eastAsia="Times New Roman" w:hAnsi="Franklin Gothic Book"/>
                <w:iCs/>
                <w:color w:val="FFFFFF"/>
                <w:sz w:val="17"/>
                <w:szCs w:val="17"/>
                <w:lang w:eastAsia="en-AU"/>
              </w:rPr>
            </w:pPr>
          </w:p>
        </w:tc>
        <w:tc>
          <w:tcPr>
            <w:tcW w:w="1186" w:type="dxa"/>
            <w:tcBorders>
              <w:top w:val="nil"/>
              <w:left w:val="nil"/>
              <w:bottom w:val="nil"/>
              <w:right w:val="nil"/>
              <w:tl2br w:val="nil"/>
              <w:tr2bl w:val="nil"/>
            </w:tcBorders>
            <w:shd w:val="clear" w:color="auto" w:fill="7FB64D"/>
            <w:noWrap/>
          </w:tcPr>
          <w:p w:rsidR="005212F4" w:rsidRPr="00106054" w:rsidRDefault="00697AD5"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Green</w:t>
            </w:r>
          </w:p>
        </w:tc>
      </w:tr>
    </w:tbl>
    <w:p w:rsidR="0032198C" w:rsidRPr="003B0793" w:rsidRDefault="0032198C" w:rsidP="0032198C">
      <w:pPr>
        <w:spacing w:before="20" w:after="20" w:line="180" w:lineRule="atLeast"/>
        <w:jc w:val="both"/>
        <w:rPr>
          <w:rFonts w:eastAsia="Times New Roman"/>
          <w:b/>
          <w:sz w:val="16"/>
          <w:szCs w:val="14"/>
        </w:rPr>
      </w:pPr>
      <w:r w:rsidRPr="003B0793">
        <w:rPr>
          <w:rFonts w:eastAsia="Times New Roman"/>
          <w:b/>
          <w:sz w:val="16"/>
          <w:szCs w:val="14"/>
        </w:rPr>
        <w:t xml:space="preserve">Note: </w:t>
      </w:r>
    </w:p>
    <w:p w:rsidR="0032198C" w:rsidRPr="003B0793" w:rsidRDefault="00D07E08" w:rsidP="0032198C">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0032198C"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32198C" w:rsidRPr="003B0793" w:rsidRDefault="0032198C" w:rsidP="0032198C">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32198C" w:rsidRPr="003B0793" w:rsidRDefault="0032198C" w:rsidP="0032198C">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32198C" w:rsidRDefault="0032198C" w:rsidP="0032198C">
      <w:pPr>
        <w:spacing w:before="20" w:after="20" w:line="180" w:lineRule="atLeast"/>
        <w:jc w:val="both"/>
        <w:rPr>
          <w:rFonts w:eastAsia="Times New Roman"/>
          <w:b/>
          <w:sz w:val="14"/>
          <w:szCs w:val="14"/>
        </w:rPr>
      </w:pPr>
      <w:r w:rsidRPr="003B0793">
        <w:rPr>
          <w:rFonts w:eastAsia="Times New Roman"/>
          <w:b/>
          <w:sz w:val="14"/>
          <w:szCs w:val="14"/>
        </w:rPr>
        <w:t xml:space="preserve">  </w:t>
      </w:r>
    </w:p>
    <w:p w:rsidR="00824501" w:rsidRPr="001846FB" w:rsidRDefault="00824501" w:rsidP="00824501">
      <w:pPr>
        <w:rPr>
          <w:i/>
          <w:color w:val="1F497D"/>
        </w:rPr>
      </w:pPr>
      <w:r w:rsidRPr="001846FB">
        <w:rPr>
          <w:i/>
        </w:rPr>
        <w:t xml:space="preserve">Our efforts to promote </w:t>
      </w:r>
      <w:r w:rsidR="001846FB" w:rsidRPr="001846FB">
        <w:rPr>
          <w:i/>
        </w:rPr>
        <w:t xml:space="preserve">an </w:t>
      </w:r>
      <w:r w:rsidRPr="001846FB">
        <w:rPr>
          <w:i/>
        </w:rPr>
        <w:t>inclusive society thro</w:t>
      </w:r>
      <w:r w:rsidR="001846FB" w:rsidRPr="001846FB">
        <w:rPr>
          <w:i/>
        </w:rPr>
        <w:t>ugh effective governance included</w:t>
      </w:r>
      <w:r w:rsidRPr="001846FB">
        <w:rPr>
          <w:i/>
        </w:rPr>
        <w:t xml:space="preserve"> support under our </w:t>
      </w:r>
      <w:r w:rsidR="001B5ECF">
        <w:rPr>
          <w:i/>
        </w:rPr>
        <w:t xml:space="preserve">flagship gender program </w:t>
      </w:r>
      <w:r w:rsidRPr="001846FB">
        <w:rPr>
          <w:i/>
        </w:rPr>
        <w:t>Empowering Indones</w:t>
      </w:r>
      <w:r w:rsidR="001B5ECF">
        <w:rPr>
          <w:i/>
        </w:rPr>
        <w:t xml:space="preserve">ian Women for Poverty Reduction (MAMPU, </w:t>
      </w:r>
      <w:r w:rsidR="00A4592E">
        <w:rPr>
          <w:i/>
        </w:rPr>
        <w:t>AUD</w:t>
      </w:r>
      <w:r w:rsidR="00E91C48">
        <w:rPr>
          <w:i/>
        </w:rPr>
        <w:t>104</w:t>
      </w:r>
      <w:r w:rsidR="00A4592E">
        <w:rPr>
          <w:i/>
        </w:rPr>
        <w:t xml:space="preserve"> million</w:t>
      </w:r>
      <w:r w:rsidR="009E1E20">
        <w:rPr>
          <w:i/>
        </w:rPr>
        <w:t>;</w:t>
      </w:r>
      <w:r w:rsidR="001B5ECF">
        <w:rPr>
          <w:i/>
        </w:rPr>
        <w:t xml:space="preserve"> </w:t>
      </w:r>
      <w:r w:rsidR="006569DB">
        <w:rPr>
          <w:i/>
        </w:rPr>
        <w:t>2013</w:t>
      </w:r>
      <w:r w:rsidR="006569DB">
        <w:rPr>
          <w:i/>
        </w:rPr>
        <w:noBreakHyphen/>
      </w:r>
      <w:r w:rsidR="00E91C48">
        <w:rPr>
          <w:i/>
        </w:rPr>
        <w:t>2020)</w:t>
      </w:r>
      <w:r w:rsidRPr="001846FB">
        <w:rPr>
          <w:i/>
        </w:rPr>
        <w:t xml:space="preserve">, assistance under the </w:t>
      </w:r>
      <w:proofErr w:type="spellStart"/>
      <w:r w:rsidRPr="001846FB">
        <w:rPr>
          <w:i/>
        </w:rPr>
        <w:t>Peduli</w:t>
      </w:r>
      <w:proofErr w:type="spellEnd"/>
      <w:r w:rsidRPr="001846FB">
        <w:rPr>
          <w:i/>
        </w:rPr>
        <w:t xml:space="preserve"> program </w:t>
      </w:r>
      <w:r w:rsidR="00E91C48">
        <w:rPr>
          <w:i/>
        </w:rPr>
        <w:t>(</w:t>
      </w:r>
      <w:r w:rsidR="00A4592E">
        <w:rPr>
          <w:i/>
        </w:rPr>
        <w:t>AUD</w:t>
      </w:r>
      <w:r w:rsidR="00E91C48">
        <w:rPr>
          <w:i/>
        </w:rPr>
        <w:t>40</w:t>
      </w:r>
      <w:r w:rsidR="00A4592E">
        <w:rPr>
          <w:i/>
        </w:rPr>
        <w:t xml:space="preserve"> million</w:t>
      </w:r>
      <w:r w:rsidR="00E91C48">
        <w:rPr>
          <w:i/>
        </w:rPr>
        <w:t xml:space="preserve">; 2014-2018) </w:t>
      </w:r>
      <w:r w:rsidRPr="001846FB">
        <w:rPr>
          <w:i/>
        </w:rPr>
        <w:t>to strengthen social inclusion for Indonesia’s most marginalised groups, and KOMPAK’s work to help ensure funds directed to the local level respond to</w:t>
      </w:r>
      <w:r w:rsidR="00F010BB">
        <w:rPr>
          <w:i/>
        </w:rPr>
        <w:t xml:space="preserve"> community priorities.  </w:t>
      </w:r>
      <w:r w:rsidR="00160669">
        <w:rPr>
          <w:i/>
        </w:rPr>
        <w:t xml:space="preserve">The </w:t>
      </w:r>
      <w:r w:rsidR="00072139">
        <w:rPr>
          <w:i/>
        </w:rPr>
        <w:t>A</w:t>
      </w:r>
      <w:r w:rsidR="00160669">
        <w:rPr>
          <w:i/>
        </w:rPr>
        <w:t xml:space="preserve">ustralia-Indonesia </w:t>
      </w:r>
      <w:r w:rsidR="00072139">
        <w:rPr>
          <w:i/>
        </w:rPr>
        <w:t>P</w:t>
      </w:r>
      <w:r w:rsidR="00160669">
        <w:rPr>
          <w:i/>
        </w:rPr>
        <w:t xml:space="preserve">artnership for </w:t>
      </w:r>
      <w:r w:rsidR="00072139">
        <w:rPr>
          <w:i/>
        </w:rPr>
        <w:t>J</w:t>
      </w:r>
      <w:r w:rsidR="00160669">
        <w:rPr>
          <w:i/>
        </w:rPr>
        <w:t>ustice</w:t>
      </w:r>
      <w:r w:rsidR="00072139">
        <w:rPr>
          <w:i/>
        </w:rPr>
        <w:t xml:space="preserve"> </w:t>
      </w:r>
      <w:r w:rsidR="00E91C48">
        <w:rPr>
          <w:i/>
        </w:rPr>
        <w:t>(</w:t>
      </w:r>
      <w:r w:rsidR="009E1E20">
        <w:rPr>
          <w:i/>
        </w:rPr>
        <w:t xml:space="preserve">AIPJ, </w:t>
      </w:r>
      <w:r w:rsidR="00C55BF4">
        <w:rPr>
          <w:i/>
        </w:rPr>
        <w:t>AUD</w:t>
      </w:r>
      <w:r w:rsidR="00E91C48">
        <w:rPr>
          <w:i/>
        </w:rPr>
        <w:t>57</w:t>
      </w:r>
      <w:r w:rsidR="00A4592E">
        <w:rPr>
          <w:i/>
        </w:rPr>
        <w:t xml:space="preserve"> million</w:t>
      </w:r>
      <w:r w:rsidR="009E1E20">
        <w:rPr>
          <w:i/>
        </w:rPr>
        <w:t>; 2011</w:t>
      </w:r>
      <w:r w:rsidR="009E1E20">
        <w:rPr>
          <w:i/>
        </w:rPr>
        <w:noBreakHyphen/>
      </w:r>
      <w:r w:rsidR="00E91C48">
        <w:rPr>
          <w:i/>
        </w:rPr>
        <w:t xml:space="preserve">2016) </w:t>
      </w:r>
      <w:r w:rsidRPr="001846FB">
        <w:rPr>
          <w:i/>
        </w:rPr>
        <w:t xml:space="preserve">continued to work with Indonesian justice institutions and civil society partners to increase access to justice for marginalised groups (particularly women who are poor, people with </w:t>
      </w:r>
      <w:r w:rsidR="001846FB" w:rsidRPr="001846FB">
        <w:rPr>
          <w:i/>
        </w:rPr>
        <w:t xml:space="preserve">a </w:t>
      </w:r>
      <w:r w:rsidRPr="001846FB">
        <w:rPr>
          <w:i/>
        </w:rPr>
        <w:t>disability and vulnerable</w:t>
      </w:r>
      <w:r w:rsidR="00072139">
        <w:rPr>
          <w:i/>
        </w:rPr>
        <w:t xml:space="preserve"> children)</w:t>
      </w:r>
      <w:r w:rsidR="00F010BB">
        <w:rPr>
          <w:i/>
        </w:rPr>
        <w:t xml:space="preserve">.  </w:t>
      </w:r>
      <w:r w:rsidRPr="001846FB">
        <w:rPr>
          <w:i/>
        </w:rPr>
        <w:t>Our Kn</w:t>
      </w:r>
      <w:r w:rsidR="001B5ECF">
        <w:rPr>
          <w:i/>
        </w:rPr>
        <w:t>owledge Sector Initiative (K</w:t>
      </w:r>
      <w:r w:rsidR="00CF5CA6">
        <w:rPr>
          <w:i/>
        </w:rPr>
        <w:t xml:space="preserve">SI, </w:t>
      </w:r>
      <w:r w:rsidR="00C55BF4">
        <w:rPr>
          <w:i/>
        </w:rPr>
        <w:t>AUD</w:t>
      </w:r>
      <w:r w:rsidR="00CF5CA6">
        <w:rPr>
          <w:i/>
        </w:rPr>
        <w:t>6</w:t>
      </w:r>
      <w:r w:rsidR="006569DB">
        <w:rPr>
          <w:i/>
        </w:rPr>
        <w:t>1 </w:t>
      </w:r>
      <w:r w:rsidR="00C55BF4">
        <w:rPr>
          <w:i/>
        </w:rPr>
        <w:t>million</w:t>
      </w:r>
      <w:r w:rsidR="009E1E20">
        <w:rPr>
          <w:i/>
        </w:rPr>
        <w:t xml:space="preserve">; </w:t>
      </w:r>
      <w:r w:rsidR="00E91C48">
        <w:rPr>
          <w:i/>
        </w:rPr>
        <w:t xml:space="preserve">2013-2017) </w:t>
      </w:r>
      <w:r w:rsidRPr="001846FB">
        <w:rPr>
          <w:i/>
        </w:rPr>
        <w:t>strengthened links betwee</w:t>
      </w:r>
      <w:r w:rsidR="00303347">
        <w:rPr>
          <w:i/>
        </w:rPr>
        <w:t xml:space="preserve">n researchers and policymakers, </w:t>
      </w:r>
      <w:r w:rsidR="00AE68E7" w:rsidRPr="00AE68E7">
        <w:rPr>
          <w:i/>
        </w:rPr>
        <w:t>building Indonesia’s capacity for evidence-based policy making</w:t>
      </w:r>
      <w:r w:rsidR="00AE68E7">
        <w:rPr>
          <w:i/>
        </w:rPr>
        <w:t>.</w:t>
      </w:r>
      <w:r w:rsidR="00F010BB">
        <w:rPr>
          <w:i/>
        </w:rPr>
        <w:t xml:space="preserve">  </w:t>
      </w:r>
      <w:r w:rsidR="00AE68E7" w:rsidRPr="00AE68E7">
        <w:rPr>
          <w:i/>
        </w:rPr>
        <w:t>We</w:t>
      </w:r>
      <w:r w:rsidRPr="001846FB">
        <w:rPr>
          <w:i/>
        </w:rPr>
        <w:t xml:space="preserve"> supported cutting-edge research and innovation on poverty and inequality through our partnerships with the World Bank, </w:t>
      </w:r>
      <w:r w:rsidR="00EE244B" w:rsidRPr="00EE244B">
        <w:rPr>
          <w:i/>
        </w:rPr>
        <w:t xml:space="preserve">the Abdul Latif </w:t>
      </w:r>
      <w:proofErr w:type="spellStart"/>
      <w:r w:rsidR="00EE244B" w:rsidRPr="00EE244B">
        <w:rPr>
          <w:i/>
        </w:rPr>
        <w:t>Jameel</w:t>
      </w:r>
      <w:proofErr w:type="spellEnd"/>
      <w:r w:rsidR="00EE244B" w:rsidRPr="00EE244B">
        <w:rPr>
          <w:i/>
        </w:rPr>
        <w:t xml:space="preserve"> Poverty Action Lab Southeast Asia</w:t>
      </w:r>
      <w:r w:rsidRPr="00EE244B">
        <w:rPr>
          <w:i/>
        </w:rPr>
        <w:t>,</w:t>
      </w:r>
      <w:r w:rsidRPr="001846FB">
        <w:rPr>
          <w:i/>
        </w:rPr>
        <w:t xml:space="preserve"> and Jakarta Pulse Lab.  </w:t>
      </w:r>
    </w:p>
    <w:p w:rsidR="00824501" w:rsidRDefault="00824501" w:rsidP="00824501">
      <w:pPr>
        <w:rPr>
          <w:i/>
          <w:color w:val="auto"/>
        </w:rPr>
      </w:pPr>
      <w:r w:rsidRPr="001846FB">
        <w:rPr>
          <w:i/>
        </w:rPr>
        <w:t>Outcome</w:t>
      </w:r>
      <w:r w:rsidR="001A4FFF">
        <w:rPr>
          <w:i/>
        </w:rPr>
        <w:t xml:space="preserve"> 7 is rated green based </w:t>
      </w:r>
      <w:r w:rsidRPr="001846FB">
        <w:rPr>
          <w:i/>
        </w:rPr>
        <w:t xml:space="preserve">on our success in convening coalitions through MAMPU, </w:t>
      </w:r>
      <w:proofErr w:type="spellStart"/>
      <w:r w:rsidRPr="001846FB">
        <w:rPr>
          <w:i/>
        </w:rPr>
        <w:t>Peduli</w:t>
      </w:r>
      <w:proofErr w:type="spellEnd"/>
      <w:r w:rsidRPr="001846FB">
        <w:rPr>
          <w:i/>
        </w:rPr>
        <w:t xml:space="preserve">, and AIPJ on important community empowerment issues, </w:t>
      </w:r>
      <w:r w:rsidR="003B0A07">
        <w:rPr>
          <w:i/>
        </w:rPr>
        <w:t xml:space="preserve">including those affecting </w:t>
      </w:r>
      <w:r w:rsidR="00F010BB">
        <w:rPr>
          <w:i/>
        </w:rPr>
        <w:t xml:space="preserve">women.  </w:t>
      </w:r>
      <w:r w:rsidR="000A28C8" w:rsidRPr="00352763">
        <w:rPr>
          <w:i/>
        </w:rPr>
        <w:t xml:space="preserve">Outcome 8 is rated amber as, </w:t>
      </w:r>
      <w:r w:rsidR="00092D63" w:rsidRPr="00352763">
        <w:rPr>
          <w:i/>
        </w:rPr>
        <w:t>despite</w:t>
      </w:r>
      <w:r w:rsidR="00AE68E7" w:rsidRPr="00352763">
        <w:rPr>
          <w:i/>
        </w:rPr>
        <w:t xml:space="preserve"> </w:t>
      </w:r>
      <w:r w:rsidR="00352763">
        <w:rPr>
          <w:i/>
        </w:rPr>
        <w:t xml:space="preserve">the </w:t>
      </w:r>
      <w:r w:rsidR="00AE68E7" w:rsidRPr="00352763">
        <w:rPr>
          <w:i/>
        </w:rPr>
        <w:t xml:space="preserve">efforts of </w:t>
      </w:r>
      <w:r w:rsidR="000A28C8" w:rsidRPr="00352763">
        <w:rPr>
          <w:i/>
        </w:rPr>
        <w:t xml:space="preserve">our governance programs </w:t>
      </w:r>
      <w:r w:rsidR="001C51A1" w:rsidRPr="00352763">
        <w:rPr>
          <w:i/>
        </w:rPr>
        <w:t xml:space="preserve">to </w:t>
      </w:r>
      <w:r w:rsidR="00AE68E7" w:rsidRPr="00352763">
        <w:rPr>
          <w:i/>
        </w:rPr>
        <w:t xml:space="preserve">strengthen the inclusive nature of </w:t>
      </w:r>
      <w:r w:rsidR="00352763">
        <w:rPr>
          <w:i/>
        </w:rPr>
        <w:t>Indonesia’s</w:t>
      </w:r>
      <w:r w:rsidR="00440331" w:rsidRPr="00352763">
        <w:rPr>
          <w:i/>
        </w:rPr>
        <w:t xml:space="preserve"> decentralisation reforms</w:t>
      </w:r>
      <w:r w:rsidR="000A28C8" w:rsidRPr="00352763">
        <w:rPr>
          <w:i/>
        </w:rPr>
        <w:t>, results are yet to manifest</w:t>
      </w:r>
      <w:r w:rsidR="00440331" w:rsidRPr="00352763">
        <w:rPr>
          <w:i/>
        </w:rPr>
        <w:t>.</w:t>
      </w:r>
      <w:r w:rsidR="00F010BB">
        <w:rPr>
          <w:i/>
        </w:rPr>
        <w:t xml:space="preserve">  </w:t>
      </w:r>
      <w:r w:rsidRPr="001846FB">
        <w:rPr>
          <w:i/>
        </w:rPr>
        <w:t>Outcome 9 is rated green as a result</w:t>
      </w:r>
      <w:r w:rsidR="001846FB" w:rsidRPr="001846FB">
        <w:rPr>
          <w:i/>
        </w:rPr>
        <w:t xml:space="preserve"> of Australia’s contribution to </w:t>
      </w:r>
      <w:r w:rsidR="006171EC">
        <w:rPr>
          <w:i/>
        </w:rPr>
        <w:t>helping the G</w:t>
      </w:r>
      <w:r w:rsidRPr="001846FB">
        <w:rPr>
          <w:i/>
        </w:rPr>
        <w:t>overnmen</w:t>
      </w:r>
      <w:r w:rsidR="001A4FFF">
        <w:rPr>
          <w:i/>
        </w:rPr>
        <w:t xml:space="preserve">t of Indonesia develop </w:t>
      </w:r>
      <w:r w:rsidRPr="001846FB">
        <w:rPr>
          <w:i/>
        </w:rPr>
        <w:t>policies for reducing poverty and inequality.</w:t>
      </w:r>
      <w:r>
        <w:rPr>
          <w:i/>
        </w:rPr>
        <w:t xml:space="preserve"> </w:t>
      </w:r>
    </w:p>
    <w:p w:rsidR="00A869FD" w:rsidRPr="00A80462" w:rsidRDefault="00C40866" w:rsidP="00C40866">
      <w:pPr>
        <w:rPr>
          <w:i/>
        </w:rPr>
      </w:pPr>
      <w:r>
        <w:rPr>
          <w:b/>
        </w:rPr>
        <w:t xml:space="preserve">Outcome 7: Increased participation, especially by women, in household, community and government decisions </w:t>
      </w:r>
    </w:p>
    <w:p w:rsidR="00BA3A1A" w:rsidRPr="00BA3A1A" w:rsidRDefault="00C31064" w:rsidP="00A869FD">
      <w:pPr>
        <w:rPr>
          <w:rFonts w:eastAsia="Times New Roman"/>
        </w:rPr>
      </w:pPr>
      <w:r>
        <w:rPr>
          <w:rFonts w:eastAsia="Times New Roman"/>
        </w:rPr>
        <w:t xml:space="preserve">Under this objective </w:t>
      </w:r>
      <w:r w:rsidR="00BA3A1A">
        <w:rPr>
          <w:rFonts w:eastAsia="Times New Roman"/>
        </w:rPr>
        <w:t>a range of inte</w:t>
      </w:r>
      <w:r w:rsidR="001A7397">
        <w:rPr>
          <w:rFonts w:eastAsia="Times New Roman"/>
        </w:rPr>
        <w:t>rlinked programs which address</w:t>
      </w:r>
      <w:r w:rsidR="00BA3A1A">
        <w:rPr>
          <w:rFonts w:eastAsia="Times New Roman"/>
        </w:rPr>
        <w:t xml:space="preserve"> poverty, </w:t>
      </w:r>
      <w:r w:rsidR="008A090E">
        <w:rPr>
          <w:rFonts w:eastAsia="Times New Roman"/>
        </w:rPr>
        <w:t>in</w:t>
      </w:r>
      <w:r>
        <w:rPr>
          <w:rFonts w:eastAsia="Times New Roman"/>
        </w:rPr>
        <w:t xml:space="preserve">equality and marginalisation </w:t>
      </w:r>
      <w:r w:rsidR="00BA3A1A">
        <w:rPr>
          <w:rFonts w:eastAsia="Times New Roman"/>
        </w:rPr>
        <w:t xml:space="preserve">contribute to building a more </w:t>
      </w:r>
      <w:r w:rsidR="003B0A07">
        <w:rPr>
          <w:rFonts w:eastAsia="Times New Roman"/>
        </w:rPr>
        <w:t xml:space="preserve">inclusive </w:t>
      </w:r>
      <w:r>
        <w:rPr>
          <w:rFonts w:eastAsia="Times New Roman"/>
        </w:rPr>
        <w:t>Indonesian society</w:t>
      </w:r>
      <w:r w:rsidR="00F010BB">
        <w:rPr>
          <w:rFonts w:eastAsia="Times New Roman"/>
        </w:rPr>
        <w:t xml:space="preserve">.  </w:t>
      </w:r>
      <w:r w:rsidR="007B571E">
        <w:rPr>
          <w:rFonts w:eastAsia="Times New Roman"/>
        </w:rPr>
        <w:t xml:space="preserve">A </w:t>
      </w:r>
      <w:r w:rsidR="00BA3A1A">
        <w:rPr>
          <w:rFonts w:eastAsia="Times New Roman"/>
        </w:rPr>
        <w:t>number of these program</w:t>
      </w:r>
      <w:r>
        <w:rPr>
          <w:rFonts w:eastAsia="Times New Roman"/>
        </w:rPr>
        <w:t>s worked to empower communities and build</w:t>
      </w:r>
      <w:r w:rsidR="00BA3A1A">
        <w:rPr>
          <w:rFonts w:eastAsia="Times New Roman"/>
        </w:rPr>
        <w:t xml:space="preserve"> bridges betw</w:t>
      </w:r>
      <w:r>
        <w:rPr>
          <w:rFonts w:eastAsia="Times New Roman"/>
        </w:rPr>
        <w:t xml:space="preserve">een citizens and government, </w:t>
      </w:r>
      <w:r w:rsidR="00BA3A1A">
        <w:rPr>
          <w:rFonts w:eastAsia="Times New Roman"/>
        </w:rPr>
        <w:t>improving government resp</w:t>
      </w:r>
      <w:r w:rsidR="00F010BB">
        <w:rPr>
          <w:rFonts w:eastAsia="Times New Roman"/>
        </w:rPr>
        <w:t xml:space="preserve">onsiveness and accountability.  </w:t>
      </w:r>
      <w:r w:rsidR="00BA3A1A">
        <w:rPr>
          <w:rFonts w:eastAsia="Times New Roman"/>
        </w:rPr>
        <w:t xml:space="preserve">Progress </w:t>
      </w:r>
      <w:r w:rsidR="00434558">
        <w:rPr>
          <w:rFonts w:eastAsia="Times New Roman"/>
        </w:rPr>
        <w:t>was</w:t>
      </w:r>
      <w:r w:rsidR="00580A7C">
        <w:rPr>
          <w:rFonts w:eastAsia="Times New Roman"/>
        </w:rPr>
        <w:t xml:space="preserve"> strongest </w:t>
      </w:r>
      <w:r w:rsidR="00434558">
        <w:rPr>
          <w:rFonts w:eastAsia="Times New Roman"/>
        </w:rPr>
        <w:t>where we we</w:t>
      </w:r>
      <w:r w:rsidR="00BA3A1A">
        <w:rPr>
          <w:rFonts w:eastAsia="Times New Roman"/>
        </w:rPr>
        <w:t xml:space="preserve">re able to leverage the efforts of prior programs and their networks. </w:t>
      </w:r>
    </w:p>
    <w:p w:rsidR="00A869FD" w:rsidRDefault="001B5ECF" w:rsidP="00A869FD">
      <w:r>
        <w:rPr>
          <w:b/>
        </w:rPr>
        <w:t xml:space="preserve">MAMPU </w:t>
      </w:r>
      <w:r w:rsidR="00A869FD">
        <w:t xml:space="preserve">continued </w:t>
      </w:r>
      <w:r w:rsidR="00A869FD" w:rsidRPr="0039378C">
        <w:t>to be the largest donor program directly address</w:t>
      </w:r>
      <w:r w:rsidR="003B0A07">
        <w:t>i</w:t>
      </w:r>
      <w:r w:rsidR="00F010BB">
        <w:t xml:space="preserve">ng gender issues in Indonesia.  </w:t>
      </w:r>
      <w:r w:rsidR="00613A92">
        <w:t xml:space="preserve">An evaluation ('performance story') in </w:t>
      </w:r>
      <w:r w:rsidR="00613A92" w:rsidRPr="00613A92">
        <w:t>mid-201</w:t>
      </w:r>
      <w:r w:rsidR="00613A92">
        <w:t xml:space="preserve">5 showed that MAMPU's network of 160 civil society partners are increasingly working with government, parliament and the media to improve policies for better protection of, and service provision to, poor women and children, including those with disabilities. </w:t>
      </w:r>
      <w:r w:rsidR="00A869FD" w:rsidRPr="0039378C">
        <w:t>  </w:t>
      </w:r>
    </w:p>
    <w:p w:rsidR="00A869FD" w:rsidRDefault="00A869FD" w:rsidP="00A869FD">
      <w:r w:rsidRPr="0039378C">
        <w:lastRenderedPageBreak/>
        <w:t>The National Commission for Women (</w:t>
      </w:r>
      <w:proofErr w:type="spellStart"/>
      <w:r w:rsidRPr="0039378C">
        <w:t>Komnas</w:t>
      </w:r>
      <w:proofErr w:type="spellEnd"/>
      <w:r w:rsidRPr="0039378C">
        <w:t xml:space="preserve"> </w:t>
      </w:r>
      <w:proofErr w:type="spellStart"/>
      <w:r w:rsidRPr="0039378C">
        <w:t>Perempuan</w:t>
      </w:r>
      <w:proofErr w:type="spellEnd"/>
      <w:r w:rsidRPr="0039378C">
        <w:t xml:space="preserve">), a MAMPU partner, </w:t>
      </w:r>
      <w:r w:rsidR="00430DAF">
        <w:t>contributed to the successful advocacy efforts</w:t>
      </w:r>
      <w:r w:rsidRPr="0039378C">
        <w:t xml:space="preserve"> for the national Parliament to prioritise the </w:t>
      </w:r>
      <w:r w:rsidRPr="000729C6">
        <w:rPr>
          <w:b/>
        </w:rPr>
        <w:t xml:space="preserve">Draft Law on Reduction of Sexual Violence </w:t>
      </w:r>
      <w:r w:rsidRPr="0039378C">
        <w:t xml:space="preserve">in its 2016 discussion agenda.  </w:t>
      </w:r>
    </w:p>
    <w:p w:rsidR="00E67067" w:rsidRDefault="00E67067" w:rsidP="009402B5">
      <w:r>
        <w:t>MAMPU's reach to poor women at the grassr</w:t>
      </w:r>
      <w:r w:rsidR="00F010BB">
        <w:t xml:space="preserve">oots level expanded in 2015-16.  </w:t>
      </w:r>
      <w:r>
        <w:t>The number of villages wh</w:t>
      </w:r>
      <w:r w:rsidR="00BA71DF">
        <w:t>ere MAMPU partners work is now 1,600, across 26</w:t>
      </w:r>
      <w:r w:rsidR="00F010BB">
        <w:t xml:space="preserve"> provinces.  </w:t>
      </w:r>
      <w:r w:rsidR="00795C15">
        <w:t>More than 2,000</w:t>
      </w:r>
      <w:r>
        <w:t xml:space="preserve"> local grou</w:t>
      </w:r>
      <w:r w:rsidR="00846EB3">
        <w:t xml:space="preserve">ps have been established with </w:t>
      </w:r>
      <w:r>
        <w:t>member</w:t>
      </w:r>
      <w:r w:rsidR="00795C15">
        <w:t>ship of more than 50</w:t>
      </w:r>
      <w:r w:rsidR="00F010BB">
        <w:t xml:space="preserve">,000 women.  </w:t>
      </w:r>
      <w:r>
        <w:t>Monitoring undertaken by the program suggests that in those groups, women are increasingly speaking out about the priorities that affect their lives, giving them greater influence in their local communities</w:t>
      </w:r>
      <w:r w:rsidR="00C518A3">
        <w:t>.</w:t>
      </w:r>
    </w:p>
    <w:p w:rsidR="00E67067" w:rsidRDefault="00E67067" w:rsidP="009402B5">
      <w:r>
        <w:t>According to the evaluation, in some places this has translated directly into improvements in local services. In response to priorities put forward by members of local women's groups, some communities have seen improvements in local transport infrastructure, improved reproductive health services, and assistance for small scale livelihood activities from their local governments.</w:t>
      </w:r>
      <w:r w:rsidRPr="0039378C">
        <w:t xml:space="preserve"> </w:t>
      </w:r>
    </w:p>
    <w:p w:rsidR="009402B5" w:rsidRPr="0039378C" w:rsidRDefault="009402B5" w:rsidP="009402B5">
      <w:r w:rsidRPr="0039378C">
        <w:t xml:space="preserve">The MAMPU </w:t>
      </w:r>
      <w:r w:rsidRPr="000729C6">
        <w:rPr>
          <w:b/>
        </w:rPr>
        <w:t>Innovation Fund</w:t>
      </w:r>
      <w:r w:rsidRPr="0039378C">
        <w:t>, which provides grants to women leaders and creative org</w:t>
      </w:r>
      <w:r w:rsidR="00E00079">
        <w:t xml:space="preserve">anisations </w:t>
      </w:r>
      <w:r w:rsidRPr="0039378C">
        <w:t>to improve the lives of poor women, conducted its first competi</w:t>
      </w:r>
      <w:r w:rsidR="00F010BB">
        <w:t xml:space="preserve">tive round in 2015.  </w:t>
      </w:r>
      <w:r w:rsidR="00613A92">
        <w:t>Successful proposals</w:t>
      </w:r>
      <w:r w:rsidR="00613A92" w:rsidRPr="0039378C">
        <w:t xml:space="preserve"> </w:t>
      </w:r>
      <w:r w:rsidRPr="0039378C">
        <w:t>included a mobile phone game to address unsafe sex practices among adolescents</w:t>
      </w:r>
      <w:r w:rsidR="00612667">
        <w:t xml:space="preserve">, </w:t>
      </w:r>
      <w:r w:rsidRPr="0039378C">
        <w:t xml:space="preserve">and a network of women micro-social </w:t>
      </w:r>
      <w:r w:rsidR="00A92098">
        <w:t>entrepreneurs in eight</w:t>
      </w:r>
      <w:r w:rsidR="00CE4F53">
        <w:t xml:space="preserve"> districts, covering</w:t>
      </w:r>
      <w:r w:rsidRPr="0039378C">
        <w:t xml:space="preserve"> </w:t>
      </w:r>
      <w:r w:rsidR="00A92098">
        <w:t>more than</w:t>
      </w:r>
      <w:r w:rsidRPr="0039378C">
        <w:t xml:space="preserve"> 100 villages. </w:t>
      </w:r>
    </w:p>
    <w:p w:rsidR="009402B5" w:rsidRPr="0039378C" w:rsidRDefault="009402B5" w:rsidP="009402B5">
      <w:r w:rsidRPr="0039378C">
        <w:t xml:space="preserve">In 2015-16, </w:t>
      </w:r>
      <w:r>
        <w:t xml:space="preserve">our </w:t>
      </w:r>
      <w:proofErr w:type="spellStart"/>
      <w:r w:rsidRPr="001133E5">
        <w:rPr>
          <w:b/>
        </w:rPr>
        <w:t>Peduli</w:t>
      </w:r>
      <w:proofErr w:type="spellEnd"/>
      <w:r w:rsidRPr="001133E5">
        <w:rPr>
          <w:b/>
        </w:rPr>
        <w:t xml:space="preserve"> program</w:t>
      </w:r>
      <w:r>
        <w:t xml:space="preserve"> </w:t>
      </w:r>
      <w:r w:rsidRPr="0039378C">
        <w:t>continued to strengthen social inclusion for Indone</w:t>
      </w:r>
      <w:r w:rsidR="003B0A07">
        <w:t>s</w:t>
      </w:r>
      <w:r w:rsidR="00F010BB">
        <w:t xml:space="preserve">ia’s most marginalised groups.  </w:t>
      </w:r>
      <w:r w:rsidRPr="0039378C">
        <w:t xml:space="preserve">In </w:t>
      </w:r>
      <w:r w:rsidR="00883098">
        <w:t xml:space="preserve">one </w:t>
      </w:r>
      <w:r w:rsidRPr="0039378C">
        <w:t>district, advocacy and piloting of disability-inclusive service delivery approaches resulted in the local parliament passing a regulation to protect those with disabilities and ma</w:t>
      </w:r>
      <w:r w:rsidR="003B0A07">
        <w:t xml:space="preserve">instream inclusive development.  </w:t>
      </w:r>
    </w:p>
    <w:p w:rsidR="009402B5" w:rsidRPr="0039378C" w:rsidRDefault="009402B5" w:rsidP="009402B5">
      <w:r w:rsidRPr="0039378C">
        <w:t>On disability issu</w:t>
      </w:r>
      <w:r w:rsidR="005F1975">
        <w:t xml:space="preserve">es, </w:t>
      </w:r>
      <w:r w:rsidR="001B5ECF">
        <w:t xml:space="preserve">one of </w:t>
      </w:r>
      <w:proofErr w:type="spellStart"/>
      <w:r w:rsidR="001B5ECF">
        <w:t>Peduli’s</w:t>
      </w:r>
      <w:proofErr w:type="spellEnd"/>
      <w:r w:rsidR="001B5ECF">
        <w:t xml:space="preserve"> partners </w:t>
      </w:r>
      <w:r w:rsidR="00605BD3">
        <w:t>signed memoranda</w:t>
      </w:r>
      <w:r w:rsidR="00883098">
        <w:t xml:space="preserve"> of understanding</w:t>
      </w:r>
      <w:r w:rsidRPr="0039378C">
        <w:t xml:space="preserve"> with two districts in Yogy</w:t>
      </w:r>
      <w:r w:rsidR="00B22F10">
        <w:t xml:space="preserve">akarta </w:t>
      </w:r>
      <w:r w:rsidRPr="0039378C">
        <w:t xml:space="preserve">on the implementation </w:t>
      </w:r>
      <w:r w:rsidR="00F010BB">
        <w:t xml:space="preserve">of inclusive villages.  </w:t>
      </w:r>
      <w:r w:rsidR="006C12B9">
        <w:t xml:space="preserve">This </w:t>
      </w:r>
      <w:r w:rsidRPr="0039378C">
        <w:t>involved a civil administration process with the Ministry of Information and Communications recognising these villages as best practice inclusive villages</w:t>
      </w:r>
      <w:r>
        <w:t xml:space="preserve">. </w:t>
      </w:r>
    </w:p>
    <w:p w:rsidR="009402B5" w:rsidRDefault="00D64950" w:rsidP="0039378C">
      <w:pPr>
        <w:rPr>
          <w:b/>
        </w:rPr>
      </w:pPr>
      <w:r>
        <w:rPr>
          <w:noProof/>
          <w:lang w:val="en-AU" w:eastAsia="en-AU"/>
        </w:rPr>
        <mc:AlternateContent>
          <mc:Choice Requires="wps">
            <w:drawing>
              <wp:anchor distT="0" distB="0" distL="114300" distR="114300" simplePos="0" relativeHeight="251663360" behindDoc="1" locked="0" layoutInCell="1" allowOverlap="1">
                <wp:simplePos x="0" y="0"/>
                <wp:positionH relativeFrom="column">
                  <wp:posOffset>4222750</wp:posOffset>
                </wp:positionH>
                <wp:positionV relativeFrom="paragraph">
                  <wp:posOffset>701675</wp:posOffset>
                </wp:positionV>
                <wp:extent cx="2209800" cy="1862455"/>
                <wp:effectExtent l="0" t="0" r="0" b="4445"/>
                <wp:wrapTight wrapText="bothSides">
                  <wp:wrapPolygon edited="0">
                    <wp:start x="0" y="0"/>
                    <wp:lineTo x="0" y="21652"/>
                    <wp:lineTo x="21600" y="21652"/>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862455"/>
                        </a:xfrm>
                        <a:prstGeom prst="rect">
                          <a:avLst/>
                        </a:prstGeom>
                        <a:solidFill>
                          <a:sysClr val="window" lastClr="FFFFFF"/>
                        </a:solidFill>
                        <a:ln w="25400" cap="flat" cmpd="sng" algn="ctr">
                          <a:solidFill>
                            <a:srgbClr val="65C5B4"/>
                          </a:solidFill>
                          <a:prstDash val="solid"/>
                          <a:headEnd/>
                          <a:tailEnd/>
                        </a:ln>
                        <a:effectLst/>
                      </wps:spPr>
                      <wps:txbx>
                        <w:txbxContent>
                          <w:p w:rsidR="00547E6C" w:rsidRPr="00727D25" w:rsidRDefault="00547E6C" w:rsidP="00DF6008">
                            <w:pPr>
                              <w:rPr>
                                <w:rFonts w:ascii="Franklin Gothic Book" w:eastAsia="Times New Roman" w:hAnsi="Franklin Gothic Book"/>
                                <w:b/>
                                <w:sz w:val="21"/>
                                <w:lang w:eastAsia="zh-CN"/>
                              </w:rPr>
                            </w:pPr>
                            <w:r>
                              <w:rPr>
                                <w:rFonts w:ascii="Franklin Gothic Book" w:eastAsia="Times New Roman" w:hAnsi="Franklin Gothic Book"/>
                                <w:b/>
                                <w:sz w:val="21"/>
                                <w:lang w:eastAsia="zh-CN"/>
                              </w:rPr>
                              <w:t xml:space="preserve">Legal aid </w:t>
                            </w:r>
                          </w:p>
                          <w:p w:rsidR="00547E6C" w:rsidRDefault="00547E6C" w:rsidP="00DF6008">
                            <w:r>
                              <w:t>Since the passage of the Legal Aid Law</w:t>
                            </w:r>
                            <w:r w:rsidR="004E6203">
                              <w:t xml:space="preserve"> (supported by Australia)</w:t>
                            </w:r>
                            <w:r>
                              <w:t xml:space="preserve">, the Indonesian Government has reimbursed accredited legal aid organisations for handling eligible cases. The total number of accredited organisations is now 405, up from 301 last year. </w:t>
                            </w:r>
                          </w:p>
                          <w:p w:rsidR="00547E6C" w:rsidRDefault="00547E6C" w:rsidP="00DF6008">
                            <w:pPr>
                              <w:rPr>
                                <w:rFonts w:ascii="Franklin Gothic Book" w:eastAsia="Times New Roman" w:hAnsi="Franklin Gothic Book"/>
                                <w:b/>
                                <w:sz w:val="21"/>
                                <w:lang w:eastAsia="zh-CN"/>
                              </w:rPr>
                            </w:pPr>
                          </w:p>
                          <w:p w:rsidR="00547E6C" w:rsidRPr="00106054" w:rsidRDefault="00547E6C" w:rsidP="00DF6008">
                            <w:pPr>
                              <w:widowControl w:val="0"/>
                              <w:autoSpaceDE w:val="0"/>
                              <w:autoSpaceDN w:val="0"/>
                              <w:adjustRightInd w:val="0"/>
                              <w:spacing w:after="0"/>
                              <w:rPr>
                                <w:rFonts w:ascii="Calibri" w:eastAsia="Times New Roman" w:hAnsi="Calibri" w:cs="Calibri"/>
                                <w:color w:val="auto"/>
                                <w:sz w:val="18"/>
                                <w:szCs w:val="18"/>
                                <w:lang w:val="en-US" w:eastAsia="ja-JP"/>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32.5pt;margin-top:55.25pt;width:174pt;height:14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" fillcolor="window" strokecolor="#65c5b4" strokeweight="2pt">
                <v:textbox>
                  <w:txbxContent>
                    <w:p w:rsidR="00547E6C" w:rsidRPr="00727D25" w:rsidRDefault="00547E6C" w:rsidP="00DF6008">
                      <w:pPr>
                        <w:rPr>
                          <w:rFonts w:ascii="Franklin Gothic Book" w:eastAsia="Times New Roman" w:hAnsi="Franklin Gothic Book"/>
                          <w:b/>
                          <w:sz w:val="21"/>
                          <w:lang w:eastAsia="zh-CN"/>
                        </w:rPr>
                      </w:pPr>
                      <w:r>
                        <w:rPr>
                          <w:rFonts w:ascii="Franklin Gothic Book" w:eastAsia="Times New Roman" w:hAnsi="Franklin Gothic Book"/>
                          <w:b/>
                          <w:sz w:val="21"/>
                          <w:lang w:eastAsia="zh-CN"/>
                        </w:rPr>
                        <w:t xml:space="preserve">Legal aid </w:t>
                      </w:r>
                    </w:p>
                    <w:p w:rsidR="00547E6C" w:rsidRDefault="00547E6C" w:rsidP="00DF6008">
                      <w:r>
                        <w:t>Since the passage of the Legal Aid Law</w:t>
                      </w:r>
                      <w:r w:rsidR="004E6203">
                        <w:t xml:space="preserve"> (supported by Australia)</w:t>
                      </w:r>
                      <w:r>
                        <w:t xml:space="preserve">, the Indonesian Government has reimbursed accredited legal aid organisations for handling eligible cases. The total number of accredited organisations is now 405, up from 301 last year. </w:t>
                      </w:r>
                    </w:p>
                    <w:p w:rsidR="00547E6C" w:rsidRDefault="00547E6C" w:rsidP="00DF6008">
                      <w:pPr>
                        <w:rPr>
                          <w:rFonts w:ascii="Franklin Gothic Book" w:eastAsia="Times New Roman" w:hAnsi="Franklin Gothic Book"/>
                          <w:b/>
                          <w:sz w:val="21"/>
                          <w:lang w:eastAsia="zh-CN"/>
                        </w:rPr>
                      </w:pPr>
                    </w:p>
                    <w:p w:rsidR="00547E6C" w:rsidRPr="00106054" w:rsidRDefault="00547E6C" w:rsidP="00DF6008">
                      <w:pPr>
                        <w:widowControl w:val="0"/>
                        <w:autoSpaceDE w:val="0"/>
                        <w:autoSpaceDN w:val="0"/>
                        <w:adjustRightInd w:val="0"/>
                        <w:spacing w:after="0"/>
                        <w:rPr>
                          <w:rFonts w:ascii="Calibri" w:eastAsia="Times New Roman" w:hAnsi="Calibri" w:cs="Calibri"/>
                          <w:color w:val="auto"/>
                          <w:sz w:val="18"/>
                          <w:szCs w:val="18"/>
                          <w:lang w:val="en-US" w:eastAsia="ja-JP"/>
                        </w:rPr>
                      </w:pPr>
                    </w:p>
                  </w:txbxContent>
                </v:textbox>
                <w10:wrap type="tight"/>
              </v:shape>
            </w:pict>
          </mc:Fallback>
        </mc:AlternateContent>
      </w:r>
      <w:r w:rsidR="009402B5">
        <w:t xml:space="preserve">The </w:t>
      </w:r>
      <w:r w:rsidR="009402B5">
        <w:rPr>
          <w:b/>
        </w:rPr>
        <w:t xml:space="preserve">Australia Indonesia Partnership for Justice </w:t>
      </w:r>
      <w:r w:rsidR="009402B5">
        <w:t xml:space="preserve">and </w:t>
      </w:r>
      <w:proofErr w:type="spellStart"/>
      <w:r w:rsidR="009402B5" w:rsidRPr="008B000D">
        <w:rPr>
          <w:b/>
        </w:rPr>
        <w:t>Peduli</w:t>
      </w:r>
      <w:proofErr w:type="spellEnd"/>
      <w:r w:rsidR="002643C9">
        <w:t xml:space="preserve">, together with </w:t>
      </w:r>
      <w:proofErr w:type="spellStart"/>
      <w:r w:rsidR="002643C9">
        <w:t>Kapal</w:t>
      </w:r>
      <w:proofErr w:type="spellEnd"/>
      <w:r w:rsidR="002643C9">
        <w:t xml:space="preserve"> </w:t>
      </w:r>
      <w:proofErr w:type="spellStart"/>
      <w:r w:rsidR="002643C9">
        <w:t>Perempuan</w:t>
      </w:r>
      <w:proofErr w:type="spellEnd"/>
      <w:r w:rsidR="00236EEE">
        <w:t xml:space="preserve"> Indonesia</w:t>
      </w:r>
      <w:r w:rsidR="002643C9">
        <w:t xml:space="preserve"> – a </w:t>
      </w:r>
      <w:r w:rsidR="00C741F3">
        <w:t xml:space="preserve">MAMPU partner – </w:t>
      </w:r>
      <w:r w:rsidR="009402B5" w:rsidRPr="0039378C">
        <w:t xml:space="preserve">supported a network of </w:t>
      </w:r>
      <w:r w:rsidR="008B000D">
        <w:t>disabled peoples’ o</w:t>
      </w:r>
      <w:r w:rsidR="00236EEE">
        <w:t xml:space="preserve">rganisations </w:t>
      </w:r>
      <w:r w:rsidR="003B0476">
        <w:t>to advocate</w:t>
      </w:r>
      <w:r w:rsidR="009402B5">
        <w:t xml:space="preserve"> for a new disability la</w:t>
      </w:r>
      <w:r w:rsidR="003B0476">
        <w:t>w</w:t>
      </w:r>
      <w:r w:rsidR="00F010BB">
        <w:t xml:space="preserve">.  </w:t>
      </w:r>
      <w:r w:rsidR="00DB7E58">
        <w:t>T</w:t>
      </w:r>
      <w:r w:rsidR="009402B5" w:rsidRPr="0039378C">
        <w:t xml:space="preserve">he concept of disability as a rights issue is relatively new and remains poorly </w:t>
      </w:r>
      <w:r w:rsidR="00F010BB">
        <w:t xml:space="preserve">understood.  </w:t>
      </w:r>
      <w:r w:rsidR="009402B5" w:rsidRPr="0039378C">
        <w:t xml:space="preserve">In March 2016, </w:t>
      </w:r>
      <w:r w:rsidR="00827854">
        <w:t>Indonesia</w:t>
      </w:r>
      <w:r w:rsidR="00236EEE">
        <w:t>’s p</w:t>
      </w:r>
      <w:r w:rsidR="009402B5" w:rsidRPr="0039378C">
        <w:t xml:space="preserve">arliament passed </w:t>
      </w:r>
      <w:r w:rsidR="003B0476">
        <w:t>the</w:t>
      </w:r>
      <w:r w:rsidR="009402B5" w:rsidRPr="0039378C">
        <w:t xml:space="preserve"> </w:t>
      </w:r>
      <w:r w:rsidR="009402B5" w:rsidRPr="000729C6">
        <w:rPr>
          <w:b/>
        </w:rPr>
        <w:t>disability law</w:t>
      </w:r>
      <w:r w:rsidR="00236EEE" w:rsidRPr="00236EEE">
        <w:t>,</w:t>
      </w:r>
      <w:r w:rsidR="00236EEE">
        <w:rPr>
          <w:b/>
        </w:rPr>
        <w:t xml:space="preserve"> </w:t>
      </w:r>
      <w:r w:rsidR="009402B5">
        <w:t xml:space="preserve">which resulted in a shift </w:t>
      </w:r>
      <w:r w:rsidR="009402B5" w:rsidRPr="0039378C">
        <w:t>away from conceptualising disability as a medical or ‘charity’ issue to a rights issue</w:t>
      </w:r>
      <w:r w:rsidR="006C12B9">
        <w:rPr>
          <w:b/>
        </w:rPr>
        <w:t xml:space="preserve">. </w:t>
      </w:r>
    </w:p>
    <w:p w:rsidR="00CB2411" w:rsidRPr="00DF6008" w:rsidRDefault="00CB2411" w:rsidP="006A6714">
      <w:r w:rsidRPr="00B72025">
        <w:t xml:space="preserve">In November 2015, through the </w:t>
      </w:r>
      <w:r w:rsidRPr="00B72025">
        <w:rPr>
          <w:b/>
        </w:rPr>
        <w:t>Democratic Governance Fund</w:t>
      </w:r>
      <w:r>
        <w:t>, Australia</w:t>
      </w:r>
      <w:r w:rsidRPr="00B72025">
        <w:t xml:space="preserve"> supported the first simultaneous sub-n</w:t>
      </w:r>
      <w:r>
        <w:t>a</w:t>
      </w:r>
      <w:r w:rsidR="00F010BB">
        <w:t xml:space="preserve">tional elections in Indonesia.  </w:t>
      </w:r>
      <w:r w:rsidRPr="00B72025">
        <w:t>We provided technical assistance to Indones</w:t>
      </w:r>
      <w:r>
        <w:t xml:space="preserve">ia’s electoral commission </w:t>
      </w:r>
      <w:r w:rsidRPr="00B72025">
        <w:t>to transfer the national-based voter registration syste</w:t>
      </w:r>
      <w:r>
        <w:t>m</w:t>
      </w:r>
      <w:r w:rsidR="00F010BB">
        <w:t xml:space="preserve"> into a district-based system.  </w:t>
      </w:r>
      <w:r w:rsidRPr="00B72025">
        <w:t>The sub-national elections ran efficiently and effectively, with</w:t>
      </w:r>
      <w:r>
        <w:t xml:space="preserve"> </w:t>
      </w:r>
      <w:r w:rsidR="00F010BB">
        <w:t xml:space="preserve">a total of 269 elections held.  </w:t>
      </w:r>
      <w:r w:rsidRPr="00B72025">
        <w:t xml:space="preserve">Around </w:t>
      </w:r>
      <w:r>
        <w:t>1,497</w:t>
      </w:r>
      <w:r w:rsidRPr="00B72025">
        <w:t xml:space="preserve"> men and </w:t>
      </w:r>
      <w:r>
        <w:t>122</w:t>
      </w:r>
      <w:r w:rsidRPr="00B72025">
        <w:t xml:space="preserve"> women ran as both regional-head candidates and deputies (of the 122 women wh</w:t>
      </w:r>
      <w:r>
        <w:t xml:space="preserve">o ran, 46, </w:t>
      </w:r>
      <w:r w:rsidR="00F010BB">
        <w:t xml:space="preserve">or 38 per cent, were elected).  </w:t>
      </w:r>
      <w:r w:rsidR="00592DCF">
        <w:t>H</w:t>
      </w:r>
      <w:r w:rsidR="00DF6008">
        <w:t xml:space="preserve">alf </w:t>
      </w:r>
      <w:r w:rsidR="00592DCF">
        <w:t xml:space="preserve">of all eligible voters </w:t>
      </w:r>
      <w:r w:rsidR="00DF6008">
        <w:t xml:space="preserve">were male and half female. </w:t>
      </w:r>
    </w:p>
    <w:p w:rsidR="00DF6008" w:rsidRDefault="00351DBA" w:rsidP="00AE68E7">
      <w:pPr>
        <w:rPr>
          <w:b/>
        </w:rPr>
      </w:pPr>
      <w:r>
        <w:rPr>
          <w:b/>
        </w:rPr>
        <w:t xml:space="preserve">Outcome </w:t>
      </w:r>
      <w:r w:rsidR="00C40866">
        <w:rPr>
          <w:b/>
        </w:rPr>
        <w:t>8: Improved responsiveness of public institutions to community, especially to women</w:t>
      </w:r>
    </w:p>
    <w:p w:rsidR="00B95F32" w:rsidRPr="00DF6008" w:rsidRDefault="004D144D" w:rsidP="00AE68E7">
      <w:pPr>
        <w:rPr>
          <w:b/>
        </w:rPr>
      </w:pPr>
      <w:r w:rsidRPr="00352763">
        <w:t>M</w:t>
      </w:r>
      <w:r w:rsidR="00B95F32" w:rsidRPr="00352763">
        <w:t xml:space="preserve">uch of our </w:t>
      </w:r>
      <w:r w:rsidR="00737E77" w:rsidRPr="00352763">
        <w:t>work under this outcome over</w:t>
      </w:r>
      <w:r w:rsidR="00B95F32" w:rsidRPr="00352763">
        <w:t xml:space="preserve"> the past year has focussed on </w:t>
      </w:r>
      <w:r w:rsidR="00066C04" w:rsidRPr="00352763">
        <w:t>building</w:t>
      </w:r>
      <w:r w:rsidR="00B95F32" w:rsidRPr="00352763">
        <w:t xml:space="preserve"> relationships </w:t>
      </w:r>
      <w:r w:rsidR="00066C04" w:rsidRPr="00352763">
        <w:t xml:space="preserve">with Indonesian </w:t>
      </w:r>
      <w:r w:rsidR="006171EC">
        <w:t>G</w:t>
      </w:r>
      <w:r w:rsidR="00737E77" w:rsidRPr="00352763">
        <w:t xml:space="preserve">overnment and civil society </w:t>
      </w:r>
      <w:r w:rsidR="00066C04" w:rsidRPr="00352763">
        <w:t xml:space="preserve">counterparts </w:t>
      </w:r>
      <w:r w:rsidR="00B95F32" w:rsidRPr="00352763">
        <w:t xml:space="preserve">in </w:t>
      </w:r>
      <w:r w:rsidR="00066C04" w:rsidRPr="00352763">
        <w:t xml:space="preserve">an </w:t>
      </w:r>
      <w:r w:rsidR="00B95F32" w:rsidRPr="00352763">
        <w:t>environment</w:t>
      </w:r>
      <w:r w:rsidR="003E6413" w:rsidRPr="00352763">
        <w:t xml:space="preserve"> characterised by frequent changes in </w:t>
      </w:r>
      <w:r w:rsidR="00066C04" w:rsidRPr="00352763">
        <w:t>personnel and confusion of roles</w:t>
      </w:r>
      <w:r w:rsidR="00F010BB">
        <w:t xml:space="preserve">.  </w:t>
      </w:r>
      <w:r w:rsidR="00737E77" w:rsidRPr="00352763">
        <w:t>I</w:t>
      </w:r>
      <w:r w:rsidR="00066C04" w:rsidRPr="00352763">
        <w:t xml:space="preserve">mplementation of the Village Law presented a range of </w:t>
      </w:r>
      <w:r w:rsidR="00737E77" w:rsidRPr="00352763">
        <w:t xml:space="preserve">challenges including </w:t>
      </w:r>
      <w:r w:rsidR="00066C04" w:rsidRPr="00352763">
        <w:t>the development of systems, regulat</w:t>
      </w:r>
      <w:r w:rsidR="00F010BB">
        <w:t xml:space="preserve">ions and reporting mechanisms.  </w:t>
      </w:r>
      <w:r w:rsidR="00066C04" w:rsidRPr="00352763">
        <w:t xml:space="preserve">Progress was slower than </w:t>
      </w:r>
      <w:r w:rsidR="00FB58E5">
        <w:t xml:space="preserve">initially </w:t>
      </w:r>
      <w:r w:rsidR="00066C04" w:rsidRPr="00352763">
        <w:t>expected but the foundations have been laid for stronger results in the years ahead.</w:t>
      </w:r>
    </w:p>
    <w:p w:rsidR="00AE68E7" w:rsidRDefault="00D64950" w:rsidP="00AE68E7">
      <w:r>
        <w:rPr>
          <w:noProof/>
          <w:lang w:val="en-AU" w:eastAsia="en-AU"/>
        </w:rPr>
        <w:lastRenderedPageBreak/>
        <mc:AlternateContent>
          <mc:Choice Requires="wps">
            <w:drawing>
              <wp:anchor distT="0" distB="0" distL="114300" distR="114300" simplePos="0" relativeHeight="251654144" behindDoc="1" locked="0" layoutInCell="1" allowOverlap="1">
                <wp:simplePos x="0" y="0"/>
                <wp:positionH relativeFrom="column">
                  <wp:posOffset>4015740</wp:posOffset>
                </wp:positionH>
                <wp:positionV relativeFrom="paragraph">
                  <wp:posOffset>95885</wp:posOffset>
                </wp:positionV>
                <wp:extent cx="2210435" cy="4905375"/>
                <wp:effectExtent l="0" t="0" r="0" b="9525"/>
                <wp:wrapTight wrapText="bothSides">
                  <wp:wrapPolygon edited="0">
                    <wp:start x="0" y="0"/>
                    <wp:lineTo x="0" y="21642"/>
                    <wp:lineTo x="21594" y="21642"/>
                    <wp:lineTo x="21594"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4905375"/>
                        </a:xfrm>
                        <a:prstGeom prst="rect">
                          <a:avLst/>
                        </a:prstGeom>
                        <a:solidFill>
                          <a:sysClr val="window" lastClr="FFFFFF"/>
                        </a:solidFill>
                        <a:ln w="25400" cap="flat" cmpd="sng" algn="ctr">
                          <a:solidFill>
                            <a:srgbClr val="65C5B4"/>
                          </a:solidFill>
                          <a:prstDash val="solid"/>
                          <a:headEnd/>
                          <a:tailEnd/>
                        </a:ln>
                        <a:effectLst/>
                      </wps:spPr>
                      <wps:txbx>
                        <w:txbxContent>
                          <w:p w:rsidR="00547E6C" w:rsidRPr="0039378C" w:rsidRDefault="00547E6C" w:rsidP="0039378C">
                            <w:pPr>
                              <w:rPr>
                                <w:b/>
                              </w:rPr>
                            </w:pPr>
                            <w:r>
                              <w:rPr>
                                <w:b/>
                              </w:rPr>
                              <w:t>Building on the foundations of previous programs</w:t>
                            </w:r>
                          </w:p>
                          <w:p w:rsidR="00547E6C" w:rsidRPr="0039378C" w:rsidRDefault="00547E6C" w:rsidP="0039378C">
                            <w:r w:rsidRPr="0039378C">
                              <w:t xml:space="preserve">ACCESS was </w:t>
                            </w:r>
                            <w:r>
                              <w:t>the name of our community development and</w:t>
                            </w:r>
                            <w:r w:rsidRPr="0039378C">
                              <w:t xml:space="preserve"> civil society strengthening </w:t>
                            </w:r>
                            <w:r>
                              <w:t>scheme</w:t>
                            </w:r>
                            <w:r w:rsidRPr="0039378C">
                              <w:t xml:space="preserve"> that ended in 2014.</w:t>
                            </w:r>
                            <w:r>
                              <w:t xml:space="preserve"> </w:t>
                            </w:r>
                            <w:r w:rsidRPr="0039378C">
                              <w:t>During a 2016 meeting with a</w:t>
                            </w:r>
                            <w:r>
                              <w:t xml:space="preserve"> senior official</w:t>
                            </w:r>
                            <w:r w:rsidRPr="0039378C">
                              <w:t xml:space="preserve"> of </w:t>
                            </w:r>
                            <w:proofErr w:type="spellStart"/>
                            <w:r w:rsidRPr="0039378C">
                              <w:t>Bantaeng</w:t>
                            </w:r>
                            <w:proofErr w:type="spellEnd"/>
                            <w:r w:rsidRPr="0039378C">
                              <w:t xml:space="preserve"> district (one of 20 where ACCESS was implemented), the </w:t>
                            </w:r>
                            <w:r>
                              <w:t xml:space="preserve">official </w:t>
                            </w:r>
                            <w:r w:rsidRPr="0039378C">
                              <w:t>stated that he was elected in 2009 on the basis of local priorities identified through ACCESS data and drew upon ACCESS-</w:t>
                            </w:r>
                            <w:r>
                              <w:t>strengthened NGOs</w:t>
                            </w:r>
                            <w:r w:rsidRPr="0039378C">
                              <w:t xml:space="preserve"> to deliver his targeted reform agenda. A new pilot in </w:t>
                            </w:r>
                            <w:proofErr w:type="spellStart"/>
                            <w:r w:rsidRPr="0039378C">
                              <w:t>Bantae</w:t>
                            </w:r>
                            <w:r>
                              <w:t>ng</w:t>
                            </w:r>
                            <w:proofErr w:type="spellEnd"/>
                            <w:r>
                              <w:t xml:space="preserve"> (</w:t>
                            </w:r>
                            <w:r w:rsidRPr="0039378C">
                              <w:t>funded under</w:t>
                            </w:r>
                            <w:r>
                              <w:t xml:space="preserve"> MAHKOTA</w:t>
                            </w:r>
                            <w:r w:rsidRPr="0039378C">
                              <w:t>) builds upon ACCESS by using local facilitators to verify poverty data and gather requests for services that are then directed to relevant district and national agencies.</w:t>
                            </w:r>
                            <w:r w:rsidRPr="00EA487C">
                              <w:t xml:space="preserve"> </w:t>
                            </w:r>
                            <w:r w:rsidRPr="0039378C">
                              <w:t>As a result of the pilot, the local governmen</w:t>
                            </w:r>
                            <w:r w:rsidR="009F4E0E">
                              <w:t>t now co</w:t>
                            </w:r>
                            <w:r w:rsidR="009F4E0E">
                              <w:noBreakHyphen/>
                            </w:r>
                            <w:r w:rsidRPr="0039378C">
                              <w:t xml:space="preserve">locates several district agencies </w:t>
                            </w:r>
                            <w:r>
                              <w:t>in a ‘one-stop shop’ to address</w:t>
                            </w:r>
                            <w:r w:rsidRPr="0039378C">
                              <w:t xml:space="preserve"> the community’s social assistance needs.</w:t>
                            </w:r>
                          </w:p>
                          <w:p w:rsidR="00547E6C" w:rsidRDefault="00547E6C"/>
                          <w:p w:rsidR="00547E6C" w:rsidRDefault="00547E6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16.2pt;margin-top:7.55pt;width:174.05pt;height:3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" fillcolor="window" strokecolor="#65c5b4" strokeweight="2pt">
                <v:textbox>
                  <w:txbxContent>
                    <w:p w:rsidR="00547E6C" w:rsidRPr="0039378C" w:rsidRDefault="00547E6C" w:rsidP="0039378C">
                      <w:pPr>
                        <w:rPr>
                          <w:b/>
                        </w:rPr>
                      </w:pPr>
                      <w:r>
                        <w:rPr>
                          <w:b/>
                        </w:rPr>
                        <w:t>Building on the foundations of previous programs</w:t>
                      </w:r>
                    </w:p>
                    <w:p w:rsidR="00547E6C" w:rsidRPr="0039378C" w:rsidRDefault="00547E6C" w:rsidP="0039378C">
                      <w:r w:rsidRPr="0039378C">
                        <w:t xml:space="preserve">ACCESS was </w:t>
                      </w:r>
                      <w:r>
                        <w:t>the name of our community development and</w:t>
                      </w:r>
                      <w:r w:rsidRPr="0039378C">
                        <w:t xml:space="preserve"> civil society strengthening </w:t>
                      </w:r>
                      <w:r>
                        <w:t>scheme</w:t>
                      </w:r>
                      <w:r w:rsidRPr="0039378C">
                        <w:t xml:space="preserve"> that ended in 2014.</w:t>
                      </w:r>
                      <w:r>
                        <w:t xml:space="preserve"> </w:t>
                      </w:r>
                      <w:r w:rsidRPr="0039378C">
                        <w:t>During a 2016 meeting with a</w:t>
                      </w:r>
                      <w:r>
                        <w:t xml:space="preserve"> senior official</w:t>
                      </w:r>
                      <w:r w:rsidRPr="0039378C">
                        <w:t xml:space="preserve"> of Bantaeng district (one of 20 where ACCESS was implemented), the </w:t>
                      </w:r>
                      <w:r>
                        <w:t xml:space="preserve">official </w:t>
                      </w:r>
                      <w:r w:rsidRPr="0039378C">
                        <w:t>stated that he was elected in 2009 on the basis of local priorities identified through ACCESS data and drew upon ACCESS-</w:t>
                      </w:r>
                      <w:r>
                        <w:t>strengthened NGOs</w:t>
                      </w:r>
                      <w:r w:rsidRPr="0039378C">
                        <w:t xml:space="preserve"> to deliver his targeted reform agenda. A new pilot in Bantae</w:t>
                      </w:r>
                      <w:r>
                        <w:t>ng (</w:t>
                      </w:r>
                      <w:r w:rsidRPr="0039378C">
                        <w:t>funded under</w:t>
                      </w:r>
                      <w:r>
                        <w:t xml:space="preserve"> MAHKOTA</w:t>
                      </w:r>
                      <w:r w:rsidRPr="0039378C">
                        <w:t>) builds upon ACCESS by using local facilitators to verify poverty data and gather requests for services that are then directed to relevant district and national agencies.</w:t>
                      </w:r>
                      <w:r w:rsidRPr="00EA487C">
                        <w:t xml:space="preserve"> </w:t>
                      </w:r>
                      <w:r w:rsidRPr="0039378C">
                        <w:t>As a result of the pilot, the local governmen</w:t>
                      </w:r>
                      <w:r w:rsidR="009F4E0E">
                        <w:t>t now co</w:t>
                      </w:r>
                      <w:r w:rsidR="009F4E0E">
                        <w:noBreakHyphen/>
                      </w:r>
                      <w:r w:rsidRPr="0039378C">
                        <w:t xml:space="preserve">locates several district agencies </w:t>
                      </w:r>
                      <w:r>
                        <w:t>in a ‘one-stop shop’ to address</w:t>
                      </w:r>
                      <w:r w:rsidRPr="0039378C">
                        <w:t xml:space="preserve"> the community’s social assistance needs.</w:t>
                      </w:r>
                    </w:p>
                    <w:p w:rsidR="00547E6C" w:rsidRDefault="00547E6C"/>
                    <w:p w:rsidR="00547E6C" w:rsidRDefault="00547E6C"/>
                  </w:txbxContent>
                </v:textbox>
                <w10:wrap type="tight"/>
              </v:shape>
            </w:pict>
          </mc:Fallback>
        </mc:AlternateContent>
      </w:r>
      <w:r w:rsidR="00AE68E7" w:rsidRPr="00351DBA">
        <w:rPr>
          <w:b/>
        </w:rPr>
        <w:t>KOMPAK</w:t>
      </w:r>
      <w:r w:rsidR="00AE68E7">
        <w:t xml:space="preserve"> collaborated with</w:t>
      </w:r>
      <w:r w:rsidR="009F4E0E">
        <w:t xml:space="preserve"> the </w:t>
      </w:r>
      <w:r w:rsidR="009F4E0E" w:rsidRPr="009F4E0E">
        <w:rPr>
          <w:b/>
        </w:rPr>
        <w:t>Knowledge Sector Initiative</w:t>
      </w:r>
      <w:r w:rsidR="00AE68E7" w:rsidRPr="009F4E0E">
        <w:rPr>
          <w:b/>
        </w:rPr>
        <w:t xml:space="preserve"> </w:t>
      </w:r>
      <w:r w:rsidR="009F4E0E">
        <w:rPr>
          <w:b/>
        </w:rPr>
        <w:t>(</w:t>
      </w:r>
      <w:r w:rsidR="00AE68E7" w:rsidRPr="009F4E0E">
        <w:rPr>
          <w:b/>
        </w:rPr>
        <w:t>KSI</w:t>
      </w:r>
      <w:r w:rsidR="009F4E0E">
        <w:rPr>
          <w:b/>
        </w:rPr>
        <w:t>)</w:t>
      </w:r>
      <w:r w:rsidR="00AE68E7" w:rsidRPr="00351DBA">
        <w:rPr>
          <w:b/>
        </w:rPr>
        <w:t xml:space="preserve"> </w:t>
      </w:r>
      <w:r w:rsidR="00AE68E7">
        <w:t xml:space="preserve">and the </w:t>
      </w:r>
      <w:r w:rsidR="00AE68E7" w:rsidRPr="00351DBA">
        <w:rPr>
          <w:b/>
        </w:rPr>
        <w:t>PNPM Support Facility (PSF)</w:t>
      </w:r>
      <w:r w:rsidR="00AE68E7">
        <w:t xml:space="preserve"> to provide targeted advice to key ministries to expedite the process of developing regulations critical to disbursing </w:t>
      </w:r>
      <w:r w:rsidR="002643C9">
        <w:t>funds under the Village Law</w:t>
      </w:r>
      <w:r w:rsidR="00F010BB">
        <w:t xml:space="preserve">.  </w:t>
      </w:r>
      <w:r w:rsidR="00930E76">
        <w:t xml:space="preserve">The </w:t>
      </w:r>
      <w:r w:rsidR="00AE68E7">
        <w:t xml:space="preserve">programs collaborated to </w:t>
      </w:r>
      <w:r w:rsidR="00236EEE">
        <w:t>support the three key m</w:t>
      </w:r>
      <w:r w:rsidR="00AE68E7">
        <w:t>inistries involved in implementing the Village Law: the Ministry of Villages, Ministry of Home Affairs and the Coordinating Ministry o</w:t>
      </w:r>
      <w:r w:rsidR="00236EEE">
        <w:t xml:space="preserve">f Human Development and Culture, </w:t>
      </w:r>
      <w:r w:rsidR="00AE68E7">
        <w:t>which resulted in the de</w:t>
      </w:r>
      <w:r w:rsidR="00236EEE">
        <w:t xml:space="preserve">velopment of a roadmap </w:t>
      </w:r>
      <w:r w:rsidR="00930E76">
        <w:t xml:space="preserve">for Village Law </w:t>
      </w:r>
      <w:r w:rsidR="00AE68E7">
        <w:t xml:space="preserve">implementation. </w:t>
      </w:r>
    </w:p>
    <w:p w:rsidR="00AE68E7" w:rsidRDefault="00AE68E7" w:rsidP="00AE68E7">
      <w:r>
        <w:t xml:space="preserve">KOMPAK worked with </w:t>
      </w:r>
      <w:r w:rsidRPr="00351DBA">
        <w:rPr>
          <w:b/>
        </w:rPr>
        <w:t>MAMPU</w:t>
      </w:r>
      <w:r>
        <w:t xml:space="preserve"> </w:t>
      </w:r>
      <w:r w:rsidR="00F918E6">
        <w:t xml:space="preserve">in communities to promote </w:t>
      </w:r>
      <w:r>
        <w:t>how to make the village-level planning and budgeting cycle more inclusive, priorit</w:t>
      </w:r>
      <w:r w:rsidR="00F010BB">
        <w:t xml:space="preserve">ising the involvement of women.  </w:t>
      </w:r>
      <w:r>
        <w:t>KOMPAK developed the material which was then distri</w:t>
      </w:r>
      <w:r w:rsidR="00F918E6">
        <w:t xml:space="preserve">buted through </w:t>
      </w:r>
      <w:r>
        <w:t>MAMPU’s vast national networ</w:t>
      </w:r>
      <w:r w:rsidR="00F010BB">
        <w:t xml:space="preserve">k of 160 partner organisations.  </w:t>
      </w:r>
      <w:r>
        <w:t>Working with MAMP</w:t>
      </w:r>
      <w:r w:rsidR="00F918E6">
        <w:t xml:space="preserve">U partner organisation </w:t>
      </w:r>
      <w:r w:rsidR="00EB3F96">
        <w:t>PEKKA</w:t>
      </w:r>
      <w:r>
        <w:t xml:space="preserve">, KOMPAK also supported the establishment of the </w:t>
      </w:r>
      <w:proofErr w:type="spellStart"/>
      <w:r>
        <w:t>Paradigta</w:t>
      </w:r>
      <w:proofErr w:type="spellEnd"/>
      <w:r>
        <w:t xml:space="preserve"> Academy, a leadership </w:t>
      </w:r>
      <w:r w:rsidR="00F918E6">
        <w:t>program in seven provinces that</w:t>
      </w:r>
      <w:r>
        <w:t xml:space="preserve"> aims to strengthen the participation </w:t>
      </w:r>
      <w:r w:rsidR="00A45226">
        <w:t xml:space="preserve">of </w:t>
      </w:r>
      <w:r>
        <w:t>women in Village Law governance mechani</w:t>
      </w:r>
      <w:r w:rsidR="007057FB">
        <w:t xml:space="preserve">sms and funding allocations. KOMPAK </w:t>
      </w:r>
      <w:r>
        <w:t>also helped the Ministry of Home Affairs prepare a regulation emphasising the need for female representation and responsiveness to community needs in village councils.</w:t>
      </w:r>
      <w:r w:rsidR="002643C9">
        <w:t xml:space="preserve"> </w:t>
      </w:r>
    </w:p>
    <w:p w:rsidR="00AE68E7" w:rsidRDefault="00AE68E7" w:rsidP="00AE68E7">
      <w:r>
        <w:t xml:space="preserve">KOMPAK set up a coordination and governance mechanism with strategic and technical committees </w:t>
      </w:r>
      <w:r w:rsidR="00430DAF">
        <w:t xml:space="preserve">involving </w:t>
      </w:r>
      <w:r w:rsidR="00EE1F47">
        <w:t>the five key central m</w:t>
      </w:r>
      <w:r>
        <w:t>inistries with mandates relevant to poverty reduction, basic service deliver</w:t>
      </w:r>
      <w:r w:rsidR="00F010BB">
        <w:t xml:space="preserve">y and decentralised governance.  </w:t>
      </w:r>
      <w:r>
        <w:t>Utilising this network</w:t>
      </w:r>
      <w:r w:rsidR="00813FB0">
        <w:t>,</w:t>
      </w:r>
      <w:r>
        <w:t xml:space="preserve"> KOMPAK facilitated a number of events to raise awareness of Village Law regulations at the subnational level. </w:t>
      </w:r>
    </w:p>
    <w:p w:rsidR="0072756F" w:rsidRPr="00351DBA" w:rsidRDefault="00AE68E7" w:rsidP="00097B9A">
      <w:r>
        <w:t xml:space="preserve">KOMPAK partnered with Pulse Lab to design and pilot a mobile simulation game, called </w:t>
      </w:r>
      <w:proofErr w:type="spellStart"/>
      <w:r w:rsidRPr="00FB250F">
        <w:rPr>
          <w:i/>
        </w:rPr>
        <w:t>Sekolah</w:t>
      </w:r>
      <w:proofErr w:type="spellEnd"/>
      <w:r w:rsidRPr="00FB250F">
        <w:rPr>
          <w:i/>
        </w:rPr>
        <w:t xml:space="preserve"> </w:t>
      </w:r>
      <w:proofErr w:type="spellStart"/>
      <w:r w:rsidRPr="00FB250F">
        <w:rPr>
          <w:i/>
        </w:rPr>
        <w:t>Desa</w:t>
      </w:r>
      <w:proofErr w:type="spellEnd"/>
      <w:r>
        <w:t xml:space="preserve"> (‘village school’), to test participants’ un</w:t>
      </w:r>
      <w:r w:rsidR="00F010BB">
        <w:t xml:space="preserve">derstanding of the Village Law.  </w:t>
      </w:r>
      <w:r>
        <w:t xml:space="preserve">Data from the game is being analysed and will </w:t>
      </w:r>
      <w:r w:rsidR="00352763">
        <w:t>inform revisions to Indones</w:t>
      </w:r>
      <w:r w:rsidR="006171EC">
        <w:t>ian G</w:t>
      </w:r>
      <w:r>
        <w:t>overnment training modules in 2016.</w:t>
      </w:r>
      <w:r w:rsidR="00351DBA" w:rsidRPr="00097B9A">
        <w:rPr>
          <w:lang w:val="en-US"/>
        </w:rPr>
        <w:t xml:space="preserve"> </w:t>
      </w:r>
    </w:p>
    <w:p w:rsidR="00C40866" w:rsidRPr="00DC5307" w:rsidRDefault="00C40866" w:rsidP="00C40866">
      <w:pPr>
        <w:rPr>
          <w:b/>
        </w:rPr>
      </w:pPr>
      <w:r>
        <w:rPr>
          <w:b/>
        </w:rPr>
        <w:t xml:space="preserve">Outcome 9: More inclusive and evidence-informed policy and programs </w:t>
      </w:r>
    </w:p>
    <w:p w:rsidR="009402B5" w:rsidRDefault="009402B5" w:rsidP="009402B5">
      <w:r w:rsidRPr="0039378C">
        <w:t>Inequality continues to present huge challenges for In</w:t>
      </w:r>
      <w:r w:rsidR="000322C2">
        <w:t>donesia’s development</w:t>
      </w:r>
      <w:r w:rsidR="009E0D92">
        <w:t xml:space="preserve">.  </w:t>
      </w:r>
      <w:r w:rsidRPr="0039378C">
        <w:t xml:space="preserve">An Australian-funded </w:t>
      </w:r>
      <w:r w:rsidR="000322C2">
        <w:t xml:space="preserve">World Bank </w:t>
      </w:r>
      <w:r w:rsidRPr="0039378C">
        <w:t xml:space="preserve">report on inequality, </w:t>
      </w:r>
      <w:r w:rsidRPr="00BC514C">
        <w:rPr>
          <w:i/>
        </w:rPr>
        <w:t>Indonesia's Rising Divide: why inequality is rising, why it matters and what can be done</w:t>
      </w:r>
      <w:r w:rsidRPr="0039378C">
        <w:t>, has shaped public and political debate on inequality sin</w:t>
      </w:r>
      <w:r w:rsidR="003B0A07">
        <w:t>c</w:t>
      </w:r>
      <w:r w:rsidR="009E0D92">
        <w:t xml:space="preserve">e its launch in December 2015.  </w:t>
      </w:r>
      <w:r w:rsidRPr="0039378C">
        <w:t>There was immediate uptake of report findings, reflected i</w:t>
      </w:r>
      <w:r w:rsidR="000F03A9">
        <w:t>n the public comments from the P</w:t>
      </w:r>
      <w:r w:rsidRPr="0039378C">
        <w:t>resident, Vice-President and cabinet members that cited the report and special briefings requ</w:t>
      </w:r>
      <w:r w:rsidR="000322C2">
        <w:t>ested from the report’s authors</w:t>
      </w:r>
      <w:r w:rsidRPr="0039378C">
        <w:t xml:space="preserve">. </w:t>
      </w:r>
    </w:p>
    <w:p w:rsidR="00AE68E7" w:rsidRDefault="009F4E0E" w:rsidP="002378EA">
      <w:r w:rsidRPr="009F4E0E">
        <w:rPr>
          <w:b/>
        </w:rPr>
        <w:t>KSI</w:t>
      </w:r>
      <w:r w:rsidR="002378EA" w:rsidRPr="00990EB6">
        <w:t xml:space="preserve"> is </w:t>
      </w:r>
      <w:r w:rsidR="006171EC">
        <w:t>helping the G</w:t>
      </w:r>
      <w:r w:rsidR="00AE68E7">
        <w:t>overnment of Indonesia improve its whole approach to linking research</w:t>
      </w:r>
      <w:r w:rsidR="009E0D92">
        <w:t xml:space="preserve"> and evidence to policymaking.  </w:t>
      </w:r>
      <w:r w:rsidR="00AE68E7">
        <w:t xml:space="preserve">This involves </w:t>
      </w:r>
      <w:r w:rsidR="002378EA" w:rsidRPr="00990EB6">
        <w:t>addressing fundamental constraints to the growth of Indones</w:t>
      </w:r>
      <w:r w:rsidR="003B0A07">
        <w:t xml:space="preserve">ia’s domestic </w:t>
      </w:r>
      <w:r w:rsidR="00AE68E7">
        <w:t xml:space="preserve">research </w:t>
      </w:r>
      <w:r w:rsidR="009E0D92">
        <w:t xml:space="preserve">sector.  </w:t>
      </w:r>
      <w:r w:rsidR="002378EA" w:rsidRPr="00990EB6">
        <w:t>One of these is the dearth of fina</w:t>
      </w:r>
      <w:r w:rsidR="003B0A07">
        <w:t>n</w:t>
      </w:r>
      <w:r w:rsidR="009E0D92">
        <w:t xml:space="preserve">cing for independent research.  </w:t>
      </w:r>
      <w:r w:rsidR="002378EA" w:rsidRPr="00990EB6">
        <w:t xml:space="preserve">In 2015-16, KSI worked with the Ministry of Finance, </w:t>
      </w:r>
      <w:proofErr w:type="spellStart"/>
      <w:r w:rsidR="002378EA" w:rsidRPr="00990EB6">
        <w:t>Bappenas</w:t>
      </w:r>
      <w:proofErr w:type="spellEnd"/>
      <w:r w:rsidR="002378EA" w:rsidRPr="00990EB6">
        <w:t xml:space="preserve"> and the Indon</w:t>
      </w:r>
      <w:r w:rsidR="00426E08">
        <w:t xml:space="preserve">esian Academy of Science </w:t>
      </w:r>
      <w:r w:rsidR="002378EA" w:rsidRPr="00990EB6">
        <w:t>to establish the Indonesian Science Fund</w:t>
      </w:r>
      <w:r w:rsidR="00BC514C">
        <w:t xml:space="preserve"> (ISF)</w:t>
      </w:r>
      <w:r w:rsidR="009E0D92">
        <w:t xml:space="preserve">.  </w:t>
      </w:r>
      <w:r w:rsidR="002378EA" w:rsidRPr="00990EB6">
        <w:t>Now, for the first time, Indonesia has an independent vehicle to channel private a</w:t>
      </w:r>
      <w:r w:rsidR="00AA20A9">
        <w:t>nd</w:t>
      </w:r>
      <w:r w:rsidR="002378EA" w:rsidRPr="00990EB6">
        <w:t xml:space="preserve"> public funding t</w:t>
      </w:r>
      <w:r w:rsidR="003B0A07">
        <w:t>o</w:t>
      </w:r>
      <w:r w:rsidR="009E0D92">
        <w:t xml:space="preserve"> multi-year research projects.  </w:t>
      </w:r>
      <w:r w:rsidR="002378EA" w:rsidRPr="00990EB6">
        <w:t xml:space="preserve">The Indonesian </w:t>
      </w:r>
      <w:r w:rsidR="006171EC">
        <w:t>G</w:t>
      </w:r>
      <w:r w:rsidR="00EE3C9C">
        <w:t>overnment will provide around AUD</w:t>
      </w:r>
      <w:r w:rsidR="002378EA" w:rsidRPr="00990EB6">
        <w:t xml:space="preserve">10 million for the first year for funding through the ISF. </w:t>
      </w:r>
    </w:p>
    <w:p w:rsidR="009F4E0E" w:rsidRDefault="002378EA" w:rsidP="002378EA">
      <w:r w:rsidRPr="00F15F5A">
        <w:t xml:space="preserve">KOMPAK undertook a formative study on institutionalising civil registry and vital statistics into </w:t>
      </w:r>
      <w:r w:rsidR="003B0A07">
        <w:t>b</w:t>
      </w:r>
      <w:r w:rsidR="009E0D92">
        <w:t xml:space="preserve">asic service delivery systems.  </w:t>
      </w:r>
      <w:r w:rsidRPr="00F15F5A">
        <w:t xml:space="preserve">Data collection was completed in three provinces and the final results </w:t>
      </w:r>
      <w:r w:rsidR="00F15F5A">
        <w:t>have</w:t>
      </w:r>
      <w:r w:rsidRPr="00F15F5A">
        <w:t xml:space="preserve"> been</w:t>
      </w:r>
      <w:r w:rsidR="00990EB6" w:rsidRPr="00F15F5A">
        <w:t xml:space="preserve"> discuss</w:t>
      </w:r>
      <w:r w:rsidR="00352763">
        <w:t>ed with the g</w:t>
      </w:r>
      <w:r w:rsidR="00990EB6" w:rsidRPr="00F15F5A">
        <w:t xml:space="preserve">overnment of Indonesia </w:t>
      </w:r>
      <w:r w:rsidRPr="00F15F5A">
        <w:t>to identify effective mechanism</w:t>
      </w:r>
      <w:r w:rsidR="00A45226">
        <w:t>s</w:t>
      </w:r>
      <w:r w:rsidRPr="00F15F5A">
        <w:t xml:space="preserve"> to tackle acute constraints to accessing legal identit</w:t>
      </w:r>
      <w:r w:rsidR="00A45226">
        <w:t>y</w:t>
      </w:r>
      <w:r w:rsidRPr="00F15F5A">
        <w:t xml:space="preserve"> across the country, in particular for the poor and marginalised.</w:t>
      </w:r>
      <w:r w:rsidR="00FB60B7">
        <w:t xml:space="preserve">  </w:t>
      </w:r>
    </w:p>
    <w:p w:rsidR="00FB60B7" w:rsidRPr="00990EB6" w:rsidRDefault="00FB60B7" w:rsidP="002378EA">
      <w:r>
        <w:lastRenderedPageBreak/>
        <w:t xml:space="preserve">A lack of legal identity documents can often prevent people from accessing poverty programs, particularly women from </w:t>
      </w:r>
      <w:r w:rsidR="00A45226">
        <w:t>remote rural areas, and female heads of households</w:t>
      </w:r>
      <w:r>
        <w:t>.</w:t>
      </w:r>
    </w:p>
    <w:p w:rsidR="002378EA" w:rsidRPr="00990EB6" w:rsidRDefault="002378EA" w:rsidP="009402B5">
      <w:r w:rsidRPr="00990EB6">
        <w:t>Our support to PSF funded three timely studies on Village Law implementation in 2015, including a nationwide survey on district bottlenecks</w:t>
      </w:r>
      <w:r w:rsidR="00B86402">
        <w:t xml:space="preserve"> to service delivery</w:t>
      </w:r>
      <w:r w:rsidR="009E0D92">
        <w:t xml:space="preserve">.  </w:t>
      </w:r>
      <w:r w:rsidRPr="00990EB6">
        <w:t>These were c</w:t>
      </w:r>
      <w:r w:rsidR="007007BD">
        <w:t>onducted</w:t>
      </w:r>
      <w:r w:rsidR="00352763">
        <w:t xml:space="preserve"> in collaboration with g</w:t>
      </w:r>
      <w:r w:rsidRPr="00990EB6">
        <w:t>overnment to provide ev</w:t>
      </w:r>
      <w:r w:rsidR="000641C2">
        <w:t>idence on where improvements a</w:t>
      </w:r>
      <w:r w:rsidR="00CA68DC">
        <w:t>re</w:t>
      </w:r>
      <w:r w:rsidR="003B0A07">
        <w:t xml:space="preserve"> needed in 2016.  </w:t>
      </w:r>
    </w:p>
    <w:p w:rsidR="002378EA" w:rsidRDefault="000641C2" w:rsidP="002378EA">
      <w:r>
        <w:t>Australian grants enabled</w:t>
      </w:r>
      <w:r w:rsidR="009402B5" w:rsidRPr="0039378C">
        <w:t xml:space="preserve"> the </w:t>
      </w:r>
      <w:r w:rsidR="009402B5" w:rsidRPr="000729C6">
        <w:rPr>
          <w:b/>
        </w:rPr>
        <w:t xml:space="preserve">Abdul Latif </w:t>
      </w:r>
      <w:proofErr w:type="spellStart"/>
      <w:r w:rsidR="009402B5" w:rsidRPr="000729C6">
        <w:rPr>
          <w:b/>
        </w:rPr>
        <w:t>Jameel</w:t>
      </w:r>
      <w:proofErr w:type="spellEnd"/>
      <w:r w:rsidR="009402B5" w:rsidRPr="000729C6">
        <w:rPr>
          <w:b/>
        </w:rPr>
        <w:t xml:space="preserve"> Poverty Act</w:t>
      </w:r>
      <w:r w:rsidR="008A14A9">
        <w:rPr>
          <w:b/>
        </w:rPr>
        <w:t>ion Lab (JPAL</w:t>
      </w:r>
      <w:r w:rsidR="009402B5" w:rsidRPr="000729C6">
        <w:rPr>
          <w:b/>
        </w:rPr>
        <w:t>)</w:t>
      </w:r>
      <w:r w:rsidR="002378EA">
        <w:rPr>
          <w:b/>
        </w:rPr>
        <w:t xml:space="preserve"> Southeast Asia Office</w:t>
      </w:r>
      <w:r w:rsidR="009402B5" w:rsidRPr="0039378C">
        <w:t xml:space="preserve"> and the </w:t>
      </w:r>
      <w:r w:rsidR="00EB653E">
        <w:rPr>
          <w:b/>
        </w:rPr>
        <w:t xml:space="preserve">Jakarta Pulse Lab </w:t>
      </w:r>
      <w:r w:rsidR="009402B5" w:rsidRPr="0039378C">
        <w:t>to continue cutting edge work to streng</w:t>
      </w:r>
      <w:r w:rsidR="003B0A07">
        <w:t>t</w:t>
      </w:r>
      <w:r w:rsidR="009E0D92">
        <w:t xml:space="preserve">hen policymaking in Indonesia.  </w:t>
      </w:r>
      <w:r w:rsidR="002378EA" w:rsidRPr="0039378C">
        <w:t>Linked to</w:t>
      </w:r>
      <w:r w:rsidR="002378EA">
        <w:t xml:space="preserve"> the </w:t>
      </w:r>
      <w:hyperlink r:id="rId22" w:history="1">
        <w:r w:rsidR="002378EA" w:rsidRPr="00C33705">
          <w:t>Massachusetts Institute of Technology</w:t>
        </w:r>
      </w:hyperlink>
      <w:r w:rsidR="002378EA">
        <w:t xml:space="preserve">, </w:t>
      </w:r>
      <w:r w:rsidR="002378EA" w:rsidRPr="00F15F5A">
        <w:t>JPAL conducts robust evaluations to strengthen the use of evidence in policy formulation and works with policymakers to turn this research into actio</w:t>
      </w:r>
      <w:r w:rsidR="009E0D92">
        <w:t xml:space="preserve">n.  </w:t>
      </w:r>
      <w:r w:rsidR="002378EA" w:rsidRPr="00F15F5A">
        <w:t>Our support to a JPAL study on Indonesia’s ne</w:t>
      </w:r>
      <w:r w:rsidR="00905986">
        <w:t>w health insurance s</w:t>
      </w:r>
      <w:r w:rsidR="00EB653E">
        <w:t xml:space="preserve">cheme </w:t>
      </w:r>
      <w:r w:rsidR="002378EA" w:rsidRPr="00F15F5A">
        <w:t>to achi</w:t>
      </w:r>
      <w:r w:rsidR="001F7B34">
        <w:t>eve universal coverage, and JPAL’s</w:t>
      </w:r>
      <w:r w:rsidR="002378EA" w:rsidRPr="00F15F5A">
        <w:t xml:space="preserve"> engag</w:t>
      </w:r>
      <w:r w:rsidR="001F7B34">
        <w:t>ement with high-level officials, saw the Indonesia</w:t>
      </w:r>
      <w:r>
        <w:t>n</w:t>
      </w:r>
      <w:r w:rsidR="006171EC">
        <w:t xml:space="preserve"> G</w:t>
      </w:r>
      <w:r w:rsidR="002378EA" w:rsidRPr="00F15F5A">
        <w:t>overnment take a critical decision in early 2016 not to raise premiums in one cl</w:t>
      </w:r>
      <w:r w:rsidR="001F7B34">
        <w:t xml:space="preserve">ass of </w:t>
      </w:r>
      <w:r w:rsidR="0000210C">
        <w:t xml:space="preserve">insurance </w:t>
      </w:r>
      <w:r w:rsidR="003B0A07">
        <w:t>membership</w:t>
      </w:r>
      <w:r w:rsidR="00430DAF">
        <w:t xml:space="preserve"> which would have</w:t>
      </w:r>
      <w:r w:rsidR="003B3EA8">
        <w:t xml:space="preserve"> adversely impacted the poorest households. </w:t>
      </w:r>
    </w:p>
    <w:p w:rsidR="004F6920" w:rsidRPr="004F6920" w:rsidRDefault="00B73DF2" w:rsidP="004F6920">
      <w:r w:rsidRPr="00097B9A">
        <w:t xml:space="preserve">Big data analytics is gaining momentum with </w:t>
      </w:r>
      <w:r w:rsidRPr="00097B9A">
        <w:rPr>
          <w:b/>
        </w:rPr>
        <w:t>Pulse Lab Jakarta</w:t>
      </w:r>
      <w:r w:rsidRPr="00097B9A">
        <w:t xml:space="preserve"> </w:t>
      </w:r>
      <w:r w:rsidR="007107A2">
        <w:t xml:space="preserve">(hosted by UNDP) </w:t>
      </w:r>
      <w:r w:rsidRPr="00097B9A">
        <w:t xml:space="preserve">incubating many innovative approaches to policy development across government, including the Hazer </w:t>
      </w:r>
      <w:r w:rsidR="00EB653E">
        <w:t>Gazer dashboard and c</w:t>
      </w:r>
      <w:r w:rsidR="006702C2">
        <w:t xml:space="preserve">limate </w:t>
      </w:r>
      <w:r w:rsidRPr="00097B9A">
        <w:t>platform, both recently installed in the Presidential situa</w:t>
      </w:r>
      <w:r w:rsidR="009E0D92">
        <w:t xml:space="preserve">tion room.  </w:t>
      </w:r>
      <w:r w:rsidRPr="00097B9A">
        <w:t xml:space="preserve">These platforms provide real time visualisations of multiple data sources on the social impact of </w:t>
      </w:r>
      <w:r w:rsidR="007114D1">
        <w:t xml:space="preserve">the yearly </w:t>
      </w:r>
      <w:r w:rsidRPr="00097B9A">
        <w:t>haze</w:t>
      </w:r>
      <w:r w:rsidR="007114D1">
        <w:t xml:space="preserve"> </w:t>
      </w:r>
      <w:r w:rsidR="00AE68E7">
        <w:t>from the peat fires</w:t>
      </w:r>
      <w:r w:rsidRPr="00097B9A">
        <w:t xml:space="preserve"> and the impact of climate change on food security across Indonesia.</w:t>
      </w:r>
    </w:p>
    <w:p w:rsidR="00C65CAD" w:rsidRPr="00106054" w:rsidRDefault="00C65CAD" w:rsidP="00023B15">
      <w:pPr>
        <w:suppressAutoHyphens w:val="0"/>
        <w:spacing w:before="0" w:after="120" w:line="440" w:lineRule="atLeast"/>
        <w:rPr>
          <w:rFonts w:ascii="Calibri" w:eastAsia="Times New Roman" w:hAnsi="Calibri"/>
          <w:caps/>
          <w:sz w:val="38"/>
          <w:szCs w:val="26"/>
        </w:rPr>
      </w:pPr>
    </w:p>
    <w:p w:rsidR="002A51CA" w:rsidRPr="00106054" w:rsidRDefault="002A51CA" w:rsidP="00023B15">
      <w:pPr>
        <w:suppressAutoHyphens w:val="0"/>
        <w:spacing w:before="0" w:after="120" w:line="440" w:lineRule="atLeast"/>
        <w:rPr>
          <w:rFonts w:ascii="Calibri" w:eastAsia="Times New Roman" w:hAnsi="Calibri"/>
          <w:caps/>
          <w:sz w:val="38"/>
          <w:szCs w:val="26"/>
        </w:rPr>
      </w:pPr>
      <w:r w:rsidRPr="00106054">
        <w:rPr>
          <w:rFonts w:ascii="Calibri" w:eastAsia="Times New Roman" w:hAnsi="Calibri"/>
          <w:caps/>
          <w:sz w:val="38"/>
          <w:szCs w:val="26"/>
        </w:rPr>
        <w:t>Performance Benchmarks</w:t>
      </w:r>
      <w:r w:rsidRPr="00106054">
        <w:rPr>
          <w:rFonts w:ascii="Calibri" w:eastAsia="Times New Roman" w:hAnsi="Calibri"/>
          <w:caps/>
          <w:sz w:val="38"/>
          <w:szCs w:val="26"/>
        </w:rPr>
        <w:tab/>
      </w:r>
    </w:p>
    <w:p w:rsidR="003E0256" w:rsidRDefault="00510F03" w:rsidP="00CF66AA">
      <w:pPr>
        <w:jc w:val="both"/>
      </w:pPr>
      <w:r w:rsidRPr="00090AB9">
        <w:t>The Aid In</w:t>
      </w:r>
      <w:r w:rsidR="006F6B80">
        <w:t>vestment Plan, published in 2015</w:t>
      </w:r>
      <w:r w:rsidRPr="00090AB9">
        <w:t>, contain</w:t>
      </w:r>
      <w:r>
        <w:t>ed</w:t>
      </w:r>
      <w:r w:rsidRPr="00090AB9">
        <w:t xml:space="preserve"> nine interim benchmarks</w:t>
      </w:r>
      <w:r>
        <w:t xml:space="preserve"> that were nominated prior to full imple</w:t>
      </w:r>
      <w:r w:rsidR="003B0A07">
        <w:t>m</w:t>
      </w:r>
      <w:r w:rsidR="009E0D92">
        <w:t xml:space="preserve">entation of budget reductions.  </w:t>
      </w:r>
      <w:r>
        <w:t>This made settin</w:t>
      </w:r>
      <w:r w:rsidR="003B0A07">
        <w:t>g</w:t>
      </w:r>
      <w:r w:rsidR="009E0D92">
        <w:t xml:space="preserve"> accurate targets a challenge.  </w:t>
      </w:r>
      <w:r>
        <w:t>Ac</w:t>
      </w:r>
      <w:r w:rsidRPr="00090AB9">
        <w:t>hievement</w:t>
      </w:r>
      <w:r>
        <w:t xml:space="preserve"> of</w:t>
      </w:r>
      <w:r w:rsidRPr="00090AB9">
        <w:t xml:space="preserve"> the interim benchmarks </w:t>
      </w:r>
      <w:r w:rsidR="00180AE9">
        <w:t>(Annex B) i</w:t>
      </w:r>
      <w:r>
        <w:t xml:space="preserve">s mixed, but the relevance of the original targets has decreased as the program shifted </w:t>
      </w:r>
      <w:r w:rsidR="00CF66AA">
        <w:t>policy direction</w:t>
      </w:r>
      <w:r>
        <w:t xml:space="preserve">. </w:t>
      </w:r>
    </w:p>
    <w:p w:rsidR="00510F03" w:rsidRDefault="00180AE9" w:rsidP="00CF66AA">
      <w:pPr>
        <w:jc w:val="both"/>
      </w:pPr>
      <w:r>
        <w:t>Accordingly, t</w:t>
      </w:r>
      <w:r w:rsidR="00510F03" w:rsidRPr="00090AB9">
        <w:t>he</w:t>
      </w:r>
      <w:r w:rsidR="00510F03">
        <w:t xml:space="preserve"> benchmarks were</w:t>
      </w:r>
      <w:r w:rsidR="00510F03" w:rsidRPr="00090AB9">
        <w:t xml:space="preserve"> revised in 2015-16 during the development of </w:t>
      </w:r>
      <w:r w:rsidR="002C2F33">
        <w:t>the</w:t>
      </w:r>
      <w:r w:rsidR="00510F03">
        <w:t xml:space="preserve"> </w:t>
      </w:r>
      <w:r w:rsidR="00510F03" w:rsidRPr="00090AB9">
        <w:t>Perform</w:t>
      </w:r>
      <w:r w:rsidR="003B799A">
        <w:t>ance Assessment Framework.</w:t>
      </w:r>
      <w:r w:rsidR="009E0D92">
        <w:t xml:space="preserve">  </w:t>
      </w:r>
      <w:r w:rsidR="00D01004">
        <w:t xml:space="preserve">The new set of </w:t>
      </w:r>
      <w:r w:rsidR="00510F03" w:rsidRPr="00090AB9">
        <w:t>benchmarks is listed below</w:t>
      </w:r>
      <w:r w:rsidR="00510F03">
        <w:t>, including baselines for 2015-16</w:t>
      </w:r>
      <w:r w:rsidR="009E0D92">
        <w:t xml:space="preserve">.  </w:t>
      </w:r>
      <w:r w:rsidR="00510F03">
        <w:t>There is less focus on outputs, such as kilometres o</w:t>
      </w:r>
      <w:r w:rsidR="003B0A07">
        <w:t>f</w:t>
      </w:r>
      <w:r w:rsidR="009E0D92">
        <w:t xml:space="preserve"> roads improved or maintained.  </w:t>
      </w:r>
      <w:r w:rsidR="00510F03">
        <w:t>The new indicators measure progress towards leveraging spending from the public and private sectors for</w:t>
      </w:r>
      <w:r w:rsidR="003B0A07">
        <w:t xml:space="preserve"> improved development outcomes.  </w:t>
      </w:r>
      <w:r w:rsidR="00510F03">
        <w:t xml:space="preserve">They focus on </w:t>
      </w:r>
      <w:r w:rsidR="00CC6522">
        <w:t xml:space="preserve">working with Indonesia to realise </w:t>
      </w:r>
      <w:r w:rsidR="00510F03">
        <w:t xml:space="preserve">improvements in the policy environment for development, both at national and subnational levels; creating partnerships with the private sector; and measuring the number of people who benefit from systemic improvements that Australia </w:t>
      </w:r>
      <w:r w:rsidR="009E0D92">
        <w:t xml:space="preserve">and Indonesia achieve together.  </w:t>
      </w:r>
      <w:r w:rsidR="00510F03">
        <w:t>There are still several programs under design and this means t</w:t>
      </w:r>
      <w:r w:rsidR="00510F03" w:rsidRPr="00090AB9">
        <w:t xml:space="preserve">he targets </w:t>
      </w:r>
      <w:r w:rsidR="00510F03">
        <w:t xml:space="preserve">for 2017-18 </w:t>
      </w:r>
      <w:r w:rsidR="00510F03" w:rsidRPr="00090AB9">
        <w:t xml:space="preserve">will </w:t>
      </w:r>
      <w:r w:rsidR="00510F03">
        <w:t xml:space="preserve">need to be </w:t>
      </w:r>
      <w:r w:rsidR="00510F03" w:rsidRPr="00090AB9">
        <w:t xml:space="preserve">updated </w:t>
      </w:r>
      <w:r w:rsidR="00510F03">
        <w:t>in next year’s APPR</w:t>
      </w:r>
      <w:r w:rsidR="00510F03" w:rsidRPr="00090AB9">
        <w:t>.</w:t>
      </w:r>
    </w:p>
    <w:p w:rsidR="00510F03" w:rsidRPr="00510F03" w:rsidRDefault="00510F03">
      <w:pPr>
        <w:suppressAutoHyphens w:val="0"/>
        <w:spacing w:before="0" w:after="120" w:line="440" w:lineRule="atLeast"/>
        <w:sectPr w:rsidR="00510F03" w:rsidRPr="00510F03" w:rsidSect="00D76558">
          <w:pgSz w:w="11906" w:h="16838" w:code="9"/>
          <w:pgMar w:top="1527" w:right="1134" w:bottom="851" w:left="1134" w:header="1418" w:footer="567" w:gutter="0"/>
          <w:pgNumType w:start="1"/>
          <w:cols w:space="397"/>
          <w:titlePg/>
          <w:docGrid w:linePitch="360"/>
        </w:sectPr>
      </w:pPr>
    </w:p>
    <w:p w:rsidR="00510F03" w:rsidRDefault="00510F03">
      <w:pPr>
        <w:suppressAutoHyphens w:val="0"/>
        <w:spacing w:before="0" w:after="120" w:line="440" w:lineRule="atLeast"/>
        <w:rPr>
          <w:rFonts w:ascii="Franklin Gothic Book" w:hAnsi="Franklin Gothic Book"/>
        </w:rPr>
      </w:pPr>
    </w:p>
    <w:p w:rsidR="00510F03" w:rsidRPr="001330FC" w:rsidRDefault="00510F03" w:rsidP="00510F03">
      <w:pPr>
        <w:suppressAutoHyphens w:val="0"/>
        <w:spacing w:before="0" w:after="120" w:line="440" w:lineRule="atLeast"/>
        <w:rPr>
          <w:b/>
          <w:sz w:val="24"/>
        </w:rPr>
      </w:pPr>
      <w:r w:rsidRPr="001330FC">
        <w:rPr>
          <w:b/>
          <w:sz w:val="24"/>
        </w:rPr>
        <w:t xml:space="preserve">Performance Benchmarks 2016-17 to 2017-18 </w:t>
      </w:r>
    </w:p>
    <w:tbl>
      <w:tblPr>
        <w:tblW w:w="14389"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6490"/>
        <w:gridCol w:w="2633"/>
        <w:gridCol w:w="2633"/>
        <w:gridCol w:w="2633"/>
      </w:tblGrid>
      <w:tr w:rsidR="00106054" w:rsidRPr="00106054" w:rsidTr="00106054">
        <w:trPr>
          <w:trHeight w:val="318"/>
        </w:trPr>
        <w:tc>
          <w:tcPr>
            <w:tcW w:w="0" w:type="auto"/>
            <w:tcBorders>
              <w:top w:val="nil"/>
              <w:left w:val="nil"/>
              <w:bottom w:val="single" w:sz="4" w:space="0" w:color="808080"/>
              <w:right w:val="nil"/>
              <w:tl2br w:val="nil"/>
              <w:tr2bl w:val="nil"/>
            </w:tcBorders>
            <w:shd w:val="clear" w:color="auto" w:fill="E0F3EF"/>
            <w:vAlign w:val="center"/>
            <w:hideMark/>
          </w:tcPr>
          <w:p w:rsidR="00510F03" w:rsidRPr="00106054" w:rsidRDefault="00510F03" w:rsidP="00106054">
            <w:pPr>
              <w:spacing w:before="100" w:beforeAutospacing="1" w:after="100" w:afterAutospacing="1"/>
              <w:rPr>
                <w:rFonts w:ascii="Franklin Gothic Medium" w:eastAsia="Times New Roman" w:hAnsi="Franklin Gothic Medium"/>
                <w:color w:val="auto"/>
                <w:sz w:val="24"/>
                <w:szCs w:val="24"/>
              </w:rPr>
            </w:pPr>
            <w:r w:rsidRPr="00106054">
              <w:rPr>
                <w:rFonts w:ascii="Franklin Gothic Medium" w:eastAsia="Times New Roman" w:hAnsi="Franklin Gothic Medium"/>
                <w:bCs/>
                <w:color w:val="auto"/>
                <w:sz w:val="20"/>
                <w:szCs w:val="20"/>
                <w:shd w:val="clear" w:color="auto" w:fill="DBE5F1"/>
              </w:rPr>
              <w:t>Indicator</w:t>
            </w:r>
          </w:p>
        </w:tc>
        <w:tc>
          <w:tcPr>
            <w:tcW w:w="2633" w:type="dxa"/>
            <w:tcBorders>
              <w:top w:val="nil"/>
              <w:left w:val="nil"/>
              <w:bottom w:val="single" w:sz="4" w:space="0" w:color="808080"/>
              <w:right w:val="nil"/>
              <w:tl2br w:val="nil"/>
              <w:tr2bl w:val="nil"/>
            </w:tcBorders>
            <w:shd w:val="clear" w:color="auto" w:fill="E0F3EF"/>
            <w:vAlign w:val="center"/>
            <w:hideMark/>
          </w:tcPr>
          <w:p w:rsidR="00510F03" w:rsidRPr="00106054" w:rsidRDefault="008155CD" w:rsidP="00106054">
            <w:pPr>
              <w:spacing w:before="100" w:beforeAutospacing="1" w:after="100" w:afterAutospacing="1"/>
              <w:rPr>
                <w:rFonts w:ascii="Franklin Gothic Medium" w:eastAsia="Times New Roman" w:hAnsi="Franklin Gothic Medium"/>
                <w:color w:val="auto"/>
                <w:sz w:val="24"/>
                <w:szCs w:val="24"/>
              </w:rPr>
            </w:pPr>
            <w:r w:rsidRPr="00106054">
              <w:rPr>
                <w:rFonts w:ascii="Franklin Gothic Medium" w:eastAsia="Times New Roman" w:hAnsi="Franklin Gothic Medium"/>
                <w:bCs/>
                <w:color w:val="auto"/>
                <w:sz w:val="20"/>
                <w:szCs w:val="20"/>
                <w:shd w:val="clear" w:color="auto" w:fill="DBE5F1"/>
              </w:rPr>
              <w:t>2015-</w:t>
            </w:r>
            <w:r w:rsidR="00510F03" w:rsidRPr="00106054">
              <w:rPr>
                <w:rFonts w:ascii="Franklin Gothic Medium" w:eastAsia="Times New Roman" w:hAnsi="Franklin Gothic Medium"/>
                <w:bCs/>
                <w:color w:val="auto"/>
                <w:sz w:val="20"/>
                <w:szCs w:val="20"/>
                <w:shd w:val="clear" w:color="auto" w:fill="DBE5F1"/>
              </w:rPr>
              <w:t>16 baseline</w:t>
            </w:r>
          </w:p>
        </w:tc>
        <w:tc>
          <w:tcPr>
            <w:tcW w:w="2633" w:type="dxa"/>
            <w:tcBorders>
              <w:top w:val="nil"/>
              <w:left w:val="nil"/>
              <w:bottom w:val="single" w:sz="4" w:space="0" w:color="808080"/>
              <w:right w:val="nil"/>
              <w:tl2br w:val="nil"/>
              <w:tr2bl w:val="nil"/>
            </w:tcBorders>
            <w:shd w:val="clear" w:color="auto" w:fill="E0F3EF"/>
            <w:vAlign w:val="center"/>
            <w:hideMark/>
          </w:tcPr>
          <w:p w:rsidR="00510F03" w:rsidRPr="00106054" w:rsidRDefault="00510F03" w:rsidP="00106054">
            <w:pPr>
              <w:spacing w:before="100" w:beforeAutospacing="1" w:after="100" w:afterAutospacing="1"/>
              <w:rPr>
                <w:rFonts w:ascii="Franklin Gothic Medium" w:eastAsia="Times New Roman" w:hAnsi="Franklin Gothic Medium"/>
                <w:color w:val="auto"/>
                <w:sz w:val="24"/>
                <w:szCs w:val="24"/>
              </w:rPr>
            </w:pPr>
            <w:r w:rsidRPr="00106054">
              <w:rPr>
                <w:rFonts w:ascii="Franklin Gothic Medium" w:eastAsia="Times New Roman" w:hAnsi="Franklin Gothic Medium"/>
                <w:bCs/>
                <w:color w:val="auto"/>
                <w:sz w:val="20"/>
                <w:szCs w:val="20"/>
                <w:shd w:val="clear" w:color="auto" w:fill="DBE5F1"/>
              </w:rPr>
              <w:t>2016-17 target</w:t>
            </w:r>
          </w:p>
        </w:tc>
        <w:tc>
          <w:tcPr>
            <w:tcW w:w="2633" w:type="dxa"/>
            <w:tcBorders>
              <w:top w:val="nil"/>
              <w:left w:val="nil"/>
              <w:bottom w:val="single" w:sz="4" w:space="0" w:color="808080"/>
              <w:right w:val="nil"/>
              <w:tl2br w:val="nil"/>
              <w:tr2bl w:val="nil"/>
            </w:tcBorders>
            <w:shd w:val="clear" w:color="auto" w:fill="E0F3EF"/>
            <w:vAlign w:val="center"/>
            <w:hideMark/>
          </w:tcPr>
          <w:p w:rsidR="00510F03" w:rsidRPr="00106054" w:rsidRDefault="00510F03" w:rsidP="00106054">
            <w:pPr>
              <w:spacing w:before="100" w:beforeAutospacing="1" w:after="100" w:afterAutospacing="1"/>
              <w:rPr>
                <w:rFonts w:ascii="Franklin Gothic Medium" w:eastAsia="Times New Roman" w:hAnsi="Franklin Gothic Medium"/>
                <w:color w:val="auto"/>
                <w:sz w:val="24"/>
                <w:szCs w:val="24"/>
              </w:rPr>
            </w:pPr>
            <w:r w:rsidRPr="00106054">
              <w:rPr>
                <w:rFonts w:ascii="Franklin Gothic Medium" w:eastAsia="Times New Roman" w:hAnsi="Franklin Gothic Medium"/>
                <w:bCs/>
                <w:color w:val="auto"/>
                <w:sz w:val="20"/>
                <w:szCs w:val="20"/>
                <w:shd w:val="clear" w:color="auto" w:fill="DBE5F1"/>
              </w:rPr>
              <w:t>2017-18 target</w:t>
            </w:r>
          </w:p>
        </w:tc>
      </w:tr>
      <w:tr w:rsidR="00106054" w:rsidRPr="00106054" w:rsidTr="00106054">
        <w:trPr>
          <w:trHeight w:val="967"/>
        </w:trPr>
        <w:tc>
          <w:tcPr>
            <w:tcW w:w="0" w:type="auto"/>
            <w:tcBorders>
              <w:top w:val="single" w:sz="4" w:space="0" w:color="808080"/>
            </w:tcBorders>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Amount of funding (public and private) leveraged for Indonesian Investments from Australian infrastructure projects, investment and advice</w:t>
            </w:r>
          </w:p>
        </w:tc>
        <w:tc>
          <w:tcPr>
            <w:tcW w:w="2633" w:type="dxa"/>
            <w:tcBorders>
              <w:top w:val="single" w:sz="4" w:space="0" w:color="808080"/>
            </w:tcBorders>
            <w:shd w:val="clear" w:color="auto" w:fill="auto"/>
            <w:hideMark/>
          </w:tcPr>
          <w:p w:rsidR="00510F03" w:rsidRPr="00106054" w:rsidRDefault="005E70AC"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$51.4</w:t>
            </w:r>
            <w:r w:rsidR="00510F03" w:rsidRPr="00106054">
              <w:rPr>
                <w:rFonts w:ascii="Franklin Gothic Book" w:eastAsia="Times New Roman" w:hAnsi="Franklin Gothic Book"/>
                <w:color w:val="auto"/>
                <w:sz w:val="20"/>
              </w:rPr>
              <w:t xml:space="preserve"> million </w:t>
            </w:r>
          </w:p>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szCs w:val="20"/>
              </w:rPr>
              <w:t> </w:t>
            </w:r>
          </w:p>
        </w:tc>
        <w:tc>
          <w:tcPr>
            <w:tcW w:w="2633" w:type="dxa"/>
            <w:tcBorders>
              <w:top w:val="single" w:sz="4" w:space="0" w:color="808080"/>
            </w:tcBorders>
            <w:shd w:val="clear" w:color="auto" w:fill="auto"/>
            <w:hideMark/>
          </w:tcPr>
          <w:p w:rsidR="00510F03" w:rsidRPr="00106054" w:rsidRDefault="009E5EC6"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500 </w:t>
            </w:r>
            <w:r w:rsidR="00510F03" w:rsidRPr="00106054">
              <w:rPr>
                <w:rFonts w:ascii="Franklin Gothic Book" w:eastAsia="Times New Roman" w:hAnsi="Franklin Gothic Book"/>
                <w:color w:val="auto"/>
                <w:sz w:val="20"/>
              </w:rPr>
              <w:t>million</w:t>
            </w:r>
          </w:p>
          <w:p w:rsidR="00510F03" w:rsidRPr="00106054" w:rsidRDefault="00510F03" w:rsidP="00106054">
            <w:pPr>
              <w:spacing w:before="60" w:after="20"/>
              <w:rPr>
                <w:rFonts w:ascii="Franklin Gothic Book" w:eastAsia="Times New Roman" w:hAnsi="Franklin Gothic Book"/>
                <w:i/>
                <w:color w:val="auto"/>
                <w:sz w:val="24"/>
                <w:szCs w:val="24"/>
              </w:rPr>
            </w:pPr>
          </w:p>
        </w:tc>
        <w:tc>
          <w:tcPr>
            <w:tcW w:w="2633" w:type="dxa"/>
            <w:tcBorders>
              <w:top w:val="single" w:sz="4" w:space="0" w:color="808080"/>
            </w:tcBorders>
            <w:shd w:val="clear" w:color="auto" w:fill="auto"/>
            <w:hideMark/>
          </w:tcPr>
          <w:p w:rsidR="00510F03" w:rsidRPr="00106054" w:rsidRDefault="000F21B0"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6</w:t>
            </w:r>
            <w:r w:rsidR="009E5EC6" w:rsidRPr="00106054">
              <w:rPr>
                <w:rFonts w:ascii="Franklin Gothic Book" w:eastAsia="Times New Roman" w:hAnsi="Franklin Gothic Book"/>
                <w:color w:val="auto"/>
                <w:sz w:val="20"/>
              </w:rPr>
              <w:t xml:space="preserve">00 </w:t>
            </w:r>
            <w:r w:rsidR="00510F03" w:rsidRPr="00106054">
              <w:rPr>
                <w:rFonts w:ascii="Franklin Gothic Book" w:eastAsia="Times New Roman" w:hAnsi="Franklin Gothic Book"/>
                <w:color w:val="auto"/>
                <w:sz w:val="20"/>
              </w:rPr>
              <w:t xml:space="preserve">million </w:t>
            </w:r>
          </w:p>
          <w:p w:rsidR="00510F03" w:rsidRPr="00106054" w:rsidRDefault="00510F03" w:rsidP="00106054">
            <w:pPr>
              <w:spacing w:before="60" w:after="20"/>
              <w:rPr>
                <w:rFonts w:ascii="Franklin Gothic Book" w:eastAsia="Times New Roman" w:hAnsi="Franklin Gothic Book"/>
                <w:i/>
                <w:color w:val="auto"/>
                <w:sz w:val="24"/>
                <w:szCs w:val="24"/>
              </w:rPr>
            </w:pPr>
          </w:p>
        </w:tc>
      </w:tr>
      <w:tr w:rsidR="00106054" w:rsidRPr="00106054" w:rsidTr="00106054">
        <w:trPr>
          <w:trHeight w:val="967"/>
        </w:trPr>
        <w:tc>
          <w:tcPr>
            <w:tcW w:w="0" w:type="auto"/>
            <w:shd w:val="clear" w:color="auto" w:fill="auto"/>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Increased engagement with private sector organisations for pro-poor development</w:t>
            </w:r>
          </w:p>
        </w:tc>
        <w:tc>
          <w:tcPr>
            <w:tcW w:w="2633" w:type="dxa"/>
            <w:shd w:val="clear" w:color="auto" w:fill="auto"/>
          </w:tcPr>
          <w:p w:rsidR="00510F03" w:rsidRPr="00106054" w:rsidRDefault="008521AA"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52</w:t>
            </w:r>
            <w:r w:rsidR="00510F03" w:rsidRPr="00106054">
              <w:rPr>
                <w:rFonts w:ascii="Franklin Gothic Book" w:eastAsia="Times New Roman" w:hAnsi="Franklin Gothic Book"/>
                <w:color w:val="auto"/>
                <w:sz w:val="20"/>
              </w:rPr>
              <w:t xml:space="preserve"> active engagements</w:t>
            </w:r>
          </w:p>
        </w:tc>
        <w:tc>
          <w:tcPr>
            <w:tcW w:w="2633" w:type="dxa"/>
            <w:shd w:val="clear" w:color="auto" w:fill="auto"/>
          </w:tcPr>
          <w:p w:rsidR="00510F03" w:rsidRPr="00106054" w:rsidRDefault="009A4E4E"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112</w:t>
            </w:r>
            <w:r w:rsidR="00510F03" w:rsidRPr="00106054">
              <w:rPr>
                <w:rFonts w:ascii="Franklin Gothic Book" w:eastAsia="Times New Roman" w:hAnsi="Franklin Gothic Book"/>
                <w:color w:val="auto"/>
                <w:sz w:val="20"/>
              </w:rPr>
              <w:t xml:space="preserve"> active engagements </w:t>
            </w:r>
          </w:p>
          <w:p w:rsidR="00510F03" w:rsidRPr="00106054" w:rsidRDefault="00510F03" w:rsidP="00106054">
            <w:pPr>
              <w:spacing w:before="60" w:after="20"/>
              <w:rPr>
                <w:rFonts w:ascii="Franklin Gothic Book" w:eastAsia="Times New Roman" w:hAnsi="Franklin Gothic Book"/>
                <w:i/>
                <w:color w:val="auto"/>
                <w:sz w:val="24"/>
                <w:szCs w:val="24"/>
              </w:rPr>
            </w:pPr>
          </w:p>
        </w:tc>
        <w:tc>
          <w:tcPr>
            <w:tcW w:w="2633" w:type="dxa"/>
            <w:shd w:val="clear" w:color="auto" w:fill="auto"/>
          </w:tcPr>
          <w:p w:rsidR="00510F03" w:rsidRPr="00106054" w:rsidRDefault="008521AA"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147</w:t>
            </w:r>
            <w:r w:rsidR="00510F03" w:rsidRPr="00106054">
              <w:rPr>
                <w:rFonts w:ascii="Franklin Gothic Book" w:eastAsia="Times New Roman" w:hAnsi="Franklin Gothic Book"/>
                <w:color w:val="auto"/>
                <w:sz w:val="20"/>
              </w:rPr>
              <w:t xml:space="preserve"> active engagements </w:t>
            </w:r>
          </w:p>
          <w:p w:rsidR="00510F03" w:rsidRPr="00106054" w:rsidRDefault="00510F03" w:rsidP="00106054">
            <w:pPr>
              <w:spacing w:before="60" w:after="20"/>
              <w:rPr>
                <w:rFonts w:ascii="Franklin Gothic Book" w:eastAsia="Times New Roman" w:hAnsi="Franklin Gothic Book"/>
                <w:color w:val="auto"/>
                <w:sz w:val="24"/>
                <w:szCs w:val="24"/>
              </w:rPr>
            </w:pPr>
          </w:p>
        </w:tc>
      </w:tr>
      <w:tr w:rsidR="00106054" w:rsidRPr="00106054" w:rsidTr="00106054">
        <w:trPr>
          <w:trHeight w:val="967"/>
        </w:trPr>
        <w:tc>
          <w:tcPr>
            <w:tcW w:w="0" w:type="auto"/>
            <w:shd w:val="clear" w:color="auto" w:fill="auto"/>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Number of smallholder farmers, in particular women, with increased incomes through private sector investment </w:t>
            </w:r>
          </w:p>
        </w:tc>
        <w:tc>
          <w:tcPr>
            <w:tcW w:w="2633" w:type="dxa"/>
            <w:shd w:val="clear" w:color="auto" w:fill="auto"/>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18,567 </w:t>
            </w:r>
          </w:p>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(7,982 female, 8,967 male, no data for 1,618).</w:t>
            </w:r>
          </w:p>
        </w:tc>
        <w:tc>
          <w:tcPr>
            <w:tcW w:w="2633" w:type="dxa"/>
            <w:shd w:val="clear" w:color="auto" w:fill="auto"/>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26,361 </w:t>
            </w:r>
          </w:p>
          <w:p w:rsidR="00510F03" w:rsidRPr="00106054" w:rsidRDefault="00510F03" w:rsidP="00106054">
            <w:pPr>
              <w:spacing w:before="60" w:after="20"/>
              <w:rPr>
                <w:rFonts w:ascii="Franklin Gothic Book" w:eastAsia="Times New Roman" w:hAnsi="Franklin Gothic Book"/>
                <w:i/>
                <w:color w:val="auto"/>
                <w:sz w:val="24"/>
                <w:szCs w:val="24"/>
              </w:rPr>
            </w:pPr>
          </w:p>
        </w:tc>
        <w:tc>
          <w:tcPr>
            <w:tcW w:w="2633" w:type="dxa"/>
            <w:shd w:val="clear" w:color="auto" w:fill="auto"/>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113,240 </w:t>
            </w:r>
          </w:p>
          <w:p w:rsidR="00510F03" w:rsidRPr="00106054" w:rsidRDefault="00510F03" w:rsidP="00106054">
            <w:pPr>
              <w:spacing w:before="60" w:after="20"/>
              <w:rPr>
                <w:rFonts w:ascii="Franklin Gothic Book" w:eastAsia="Times New Roman" w:hAnsi="Franklin Gothic Book"/>
                <w:i/>
                <w:color w:val="auto"/>
                <w:sz w:val="24"/>
                <w:szCs w:val="24"/>
              </w:rPr>
            </w:pPr>
          </w:p>
        </w:tc>
      </w:tr>
      <w:tr w:rsidR="00106054" w:rsidRPr="00106054" w:rsidTr="00106054">
        <w:trPr>
          <w:trHeight w:val="690"/>
        </w:trPr>
        <w:tc>
          <w:tcPr>
            <w:tcW w:w="0" w:type="auto"/>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Improvements to market efficiency, regulation and financial systems </w:t>
            </w:r>
          </w:p>
        </w:tc>
        <w:tc>
          <w:tcPr>
            <w:tcW w:w="2633" w:type="dxa"/>
            <w:shd w:val="clear" w:color="auto" w:fill="auto"/>
            <w:hideMark/>
          </w:tcPr>
          <w:p w:rsidR="00510F03" w:rsidRPr="00106054" w:rsidRDefault="00AE0E40"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4</w:t>
            </w:r>
            <w:r w:rsidR="00510F03" w:rsidRPr="00106054">
              <w:rPr>
                <w:rFonts w:ascii="Franklin Gothic Book" w:eastAsia="Times New Roman" w:hAnsi="Franklin Gothic Book"/>
                <w:color w:val="auto"/>
                <w:sz w:val="20"/>
              </w:rPr>
              <w:t xml:space="preserve"> significant improvements</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2 significant improvements </w:t>
            </w:r>
          </w:p>
          <w:p w:rsidR="00510F03" w:rsidRPr="00106054" w:rsidRDefault="00510F03" w:rsidP="00106054">
            <w:pPr>
              <w:spacing w:before="60" w:after="20"/>
              <w:rPr>
                <w:rFonts w:ascii="Franklin Gothic Book" w:eastAsia="Times New Roman" w:hAnsi="Franklin Gothic Book"/>
                <w:i/>
                <w:color w:val="auto"/>
                <w:sz w:val="24"/>
                <w:szCs w:val="24"/>
              </w:rPr>
            </w:pP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2  significant improvements </w:t>
            </w:r>
          </w:p>
          <w:p w:rsidR="00510F03" w:rsidRPr="00106054" w:rsidRDefault="00510F03" w:rsidP="00106054">
            <w:pPr>
              <w:spacing w:before="60" w:after="20"/>
              <w:rPr>
                <w:rFonts w:ascii="Franklin Gothic Book" w:eastAsia="Times New Roman" w:hAnsi="Franklin Gothic Book"/>
                <w:i/>
                <w:color w:val="auto"/>
                <w:sz w:val="24"/>
                <w:szCs w:val="24"/>
              </w:rPr>
            </w:pPr>
          </w:p>
        </w:tc>
      </w:tr>
      <w:tr w:rsidR="00106054" w:rsidRPr="00106054" w:rsidTr="00106054">
        <w:trPr>
          <w:trHeight w:val="690"/>
        </w:trPr>
        <w:tc>
          <w:tcPr>
            <w:tcW w:w="0" w:type="auto"/>
            <w:shd w:val="clear" w:color="auto" w:fill="auto"/>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Number of instances where DFAT support resulted in improved policy </w:t>
            </w:r>
          </w:p>
        </w:tc>
        <w:tc>
          <w:tcPr>
            <w:tcW w:w="2633" w:type="dxa"/>
            <w:shd w:val="clear" w:color="auto" w:fill="auto"/>
          </w:tcPr>
          <w:p w:rsidR="00510F03" w:rsidRPr="00106054" w:rsidRDefault="004A6495"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Support 15</w:t>
            </w:r>
            <w:r w:rsidR="00510F03" w:rsidRPr="00106054">
              <w:rPr>
                <w:rFonts w:ascii="Franklin Gothic Book" w:eastAsia="Times New Roman" w:hAnsi="Franklin Gothic Book"/>
                <w:color w:val="auto"/>
                <w:sz w:val="20"/>
              </w:rPr>
              <w:t xml:space="preserve"> significant policy improvements</w:t>
            </w:r>
          </w:p>
        </w:tc>
        <w:tc>
          <w:tcPr>
            <w:tcW w:w="2633" w:type="dxa"/>
            <w:shd w:val="clear" w:color="auto" w:fill="auto"/>
          </w:tcPr>
          <w:p w:rsidR="00510F03" w:rsidRPr="00106054" w:rsidRDefault="00AE0E40"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Support 15</w:t>
            </w:r>
            <w:r w:rsidR="00510F03" w:rsidRPr="00106054">
              <w:rPr>
                <w:rFonts w:ascii="Franklin Gothic Book" w:eastAsia="Times New Roman" w:hAnsi="Franklin Gothic Book"/>
                <w:color w:val="auto"/>
                <w:sz w:val="20"/>
              </w:rPr>
              <w:t xml:space="preserve"> significant policy improvements</w:t>
            </w:r>
          </w:p>
        </w:tc>
        <w:tc>
          <w:tcPr>
            <w:tcW w:w="2633" w:type="dxa"/>
            <w:shd w:val="clear" w:color="auto" w:fill="auto"/>
          </w:tcPr>
          <w:p w:rsidR="00510F03" w:rsidRPr="00106054" w:rsidRDefault="00AE0E40"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Support 15 </w:t>
            </w:r>
            <w:r w:rsidR="00510F03" w:rsidRPr="00106054">
              <w:rPr>
                <w:rFonts w:ascii="Franklin Gothic Book" w:eastAsia="Times New Roman" w:hAnsi="Franklin Gothic Book"/>
                <w:color w:val="auto"/>
                <w:sz w:val="20"/>
              </w:rPr>
              <w:t>significant policy improvements</w:t>
            </w:r>
          </w:p>
        </w:tc>
      </w:tr>
      <w:tr w:rsidR="00106054" w:rsidRPr="00106054" w:rsidTr="00106054">
        <w:trPr>
          <w:trHeight w:val="690"/>
        </w:trPr>
        <w:tc>
          <w:tcPr>
            <w:tcW w:w="0" w:type="auto"/>
            <w:shd w:val="clear" w:color="auto" w:fill="auto"/>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Number of districts that made improvements in service delivery practices and policies (and number of total improvements)</w:t>
            </w:r>
          </w:p>
        </w:tc>
        <w:tc>
          <w:tcPr>
            <w:tcW w:w="2633" w:type="dxa"/>
            <w:shd w:val="clear" w:color="auto" w:fill="auto"/>
          </w:tcPr>
          <w:p w:rsidR="00510F03" w:rsidRPr="00106054" w:rsidRDefault="00CF67AE"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277</w:t>
            </w:r>
            <w:r w:rsidR="00D24C4D" w:rsidRPr="00106054">
              <w:rPr>
                <w:rFonts w:ascii="Franklin Gothic Book" w:eastAsia="Times New Roman" w:hAnsi="Franklin Gothic Book"/>
                <w:color w:val="auto"/>
                <w:sz w:val="20"/>
              </w:rPr>
              <w:t xml:space="preserve"> districts </w:t>
            </w:r>
            <w:r w:rsidR="00510F03" w:rsidRPr="00106054">
              <w:rPr>
                <w:rFonts w:ascii="Franklin Gothic Book" w:eastAsia="Times New Roman" w:hAnsi="Franklin Gothic Book"/>
                <w:color w:val="auto"/>
                <w:sz w:val="20"/>
              </w:rPr>
              <w:t xml:space="preserve"> </w:t>
            </w:r>
          </w:p>
        </w:tc>
        <w:tc>
          <w:tcPr>
            <w:tcW w:w="2633" w:type="dxa"/>
            <w:shd w:val="clear" w:color="auto" w:fill="auto"/>
          </w:tcPr>
          <w:p w:rsidR="00510F03" w:rsidRPr="00106054" w:rsidRDefault="00956CC0"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196</w:t>
            </w:r>
            <w:r w:rsidR="00510F03" w:rsidRPr="00106054">
              <w:rPr>
                <w:rFonts w:ascii="Franklin Gothic Book" w:eastAsia="Times New Roman" w:hAnsi="Franklin Gothic Book"/>
                <w:color w:val="auto"/>
                <w:sz w:val="20"/>
              </w:rPr>
              <w:t xml:space="preserve"> districts</w:t>
            </w:r>
          </w:p>
        </w:tc>
        <w:tc>
          <w:tcPr>
            <w:tcW w:w="2633" w:type="dxa"/>
            <w:shd w:val="clear" w:color="auto" w:fill="auto"/>
          </w:tcPr>
          <w:p w:rsidR="00510F03" w:rsidRPr="00106054" w:rsidRDefault="000947C8"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163</w:t>
            </w:r>
            <w:r w:rsidR="00510F03" w:rsidRPr="00106054">
              <w:rPr>
                <w:rFonts w:ascii="Franklin Gothic Book" w:eastAsia="Times New Roman" w:hAnsi="Franklin Gothic Book"/>
                <w:color w:val="auto"/>
                <w:sz w:val="20"/>
              </w:rPr>
              <w:t xml:space="preserve"> districts </w:t>
            </w:r>
          </w:p>
        </w:tc>
      </w:tr>
      <w:tr w:rsidR="00106054" w:rsidRPr="00106054" w:rsidTr="00106054">
        <w:trPr>
          <w:trHeight w:val="690"/>
        </w:trPr>
        <w:tc>
          <w:tcPr>
            <w:tcW w:w="0" w:type="auto"/>
            <w:shd w:val="clear" w:color="auto" w:fill="auto"/>
          </w:tcPr>
          <w:p w:rsidR="00510F03" w:rsidRPr="00106054" w:rsidRDefault="00510F03" w:rsidP="00106054">
            <w:pPr>
              <w:spacing w:before="60" w:after="20" w:line="58" w:lineRule="atLeast"/>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Number of people, especially women and marginalised groups, who participate in activities to improve policy </w:t>
            </w:r>
          </w:p>
        </w:tc>
        <w:tc>
          <w:tcPr>
            <w:tcW w:w="2633" w:type="dxa"/>
            <w:shd w:val="clear" w:color="auto" w:fill="auto"/>
          </w:tcPr>
          <w:p w:rsidR="00510F03" w:rsidRPr="00106054" w:rsidRDefault="00D12FDE" w:rsidP="00106054">
            <w:pPr>
              <w:spacing w:before="60" w:after="20" w:line="58" w:lineRule="atLeast"/>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61,593</w:t>
            </w:r>
            <w:r w:rsidR="00510F03" w:rsidRPr="00106054">
              <w:rPr>
                <w:rFonts w:ascii="Franklin Gothic Book" w:eastAsia="Times New Roman" w:hAnsi="Franklin Gothic Book"/>
                <w:color w:val="auto"/>
                <w:sz w:val="20"/>
              </w:rPr>
              <w:t xml:space="preserve"> participants</w:t>
            </w:r>
          </w:p>
        </w:tc>
        <w:tc>
          <w:tcPr>
            <w:tcW w:w="2633" w:type="dxa"/>
            <w:shd w:val="clear" w:color="auto" w:fill="auto"/>
          </w:tcPr>
          <w:p w:rsidR="00510F03" w:rsidRPr="00106054" w:rsidRDefault="00D12FDE" w:rsidP="00106054">
            <w:pPr>
              <w:spacing w:before="60" w:after="20" w:line="58" w:lineRule="atLeast"/>
              <w:rPr>
                <w:rFonts w:ascii="Franklin Gothic Book" w:eastAsia="Times New Roman" w:hAnsi="Franklin Gothic Book"/>
                <w:color w:val="auto"/>
                <w:sz w:val="20"/>
              </w:rPr>
            </w:pPr>
            <w:r w:rsidRPr="00106054">
              <w:rPr>
                <w:rFonts w:ascii="Franklin Gothic Book" w:eastAsia="Times New Roman" w:hAnsi="Franklin Gothic Book"/>
                <w:color w:val="auto"/>
                <w:sz w:val="20"/>
              </w:rPr>
              <w:t>5</w:t>
            </w:r>
            <w:r w:rsidR="00510F03" w:rsidRPr="00106054">
              <w:rPr>
                <w:rFonts w:ascii="Franklin Gothic Book" w:eastAsia="Times New Roman" w:hAnsi="Franklin Gothic Book"/>
                <w:color w:val="auto"/>
                <w:sz w:val="20"/>
              </w:rPr>
              <w:t xml:space="preserve">1,000 </w:t>
            </w:r>
          </w:p>
          <w:p w:rsidR="00510F03" w:rsidRPr="00106054" w:rsidRDefault="00510F03" w:rsidP="00106054">
            <w:pPr>
              <w:spacing w:before="60" w:after="20" w:line="58" w:lineRule="atLeast"/>
              <w:rPr>
                <w:rFonts w:ascii="Franklin Gothic Book" w:eastAsia="Times New Roman" w:hAnsi="Franklin Gothic Book"/>
                <w:i/>
                <w:color w:val="auto"/>
                <w:sz w:val="24"/>
                <w:szCs w:val="24"/>
              </w:rPr>
            </w:pPr>
          </w:p>
        </w:tc>
        <w:tc>
          <w:tcPr>
            <w:tcW w:w="2633" w:type="dxa"/>
            <w:shd w:val="clear" w:color="auto" w:fill="auto"/>
          </w:tcPr>
          <w:p w:rsidR="00510F03" w:rsidRPr="00106054" w:rsidRDefault="00D12FDE" w:rsidP="00106054">
            <w:pPr>
              <w:spacing w:before="60" w:after="20" w:line="58" w:lineRule="atLeast"/>
              <w:rPr>
                <w:rFonts w:ascii="Franklin Gothic Book" w:eastAsia="Times New Roman" w:hAnsi="Franklin Gothic Book"/>
                <w:color w:val="auto"/>
                <w:sz w:val="20"/>
              </w:rPr>
            </w:pPr>
            <w:r w:rsidRPr="00106054">
              <w:rPr>
                <w:rFonts w:ascii="Franklin Gothic Book" w:eastAsia="Times New Roman" w:hAnsi="Franklin Gothic Book"/>
                <w:color w:val="auto"/>
                <w:sz w:val="20"/>
              </w:rPr>
              <w:t>5</w:t>
            </w:r>
            <w:r w:rsidR="00510F03" w:rsidRPr="00106054">
              <w:rPr>
                <w:rFonts w:ascii="Franklin Gothic Book" w:eastAsia="Times New Roman" w:hAnsi="Franklin Gothic Book"/>
                <w:color w:val="auto"/>
                <w:sz w:val="20"/>
              </w:rPr>
              <w:t xml:space="preserve">5,000 </w:t>
            </w:r>
          </w:p>
        </w:tc>
      </w:tr>
      <w:tr w:rsidR="00106054" w:rsidRPr="00106054" w:rsidTr="00106054">
        <w:tc>
          <w:tcPr>
            <w:tcW w:w="0" w:type="auto"/>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Number of women and men with improved access to safe water and basic sanitation </w:t>
            </w:r>
          </w:p>
          <w:p w:rsidR="00510F03" w:rsidRPr="00106054" w:rsidRDefault="00510F03" w:rsidP="00106054">
            <w:pPr>
              <w:spacing w:before="60" w:after="20"/>
              <w:rPr>
                <w:rFonts w:ascii="Franklin Gothic Book" w:eastAsia="Times New Roman" w:hAnsi="Franklin Gothic Book"/>
                <w:color w:val="auto"/>
                <w:sz w:val="24"/>
                <w:szCs w:val="24"/>
              </w:rPr>
            </w:pP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490,042 </w:t>
            </w:r>
          </w:p>
          <w:p w:rsidR="00510F03" w:rsidRPr="00106054" w:rsidRDefault="007E67E4"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i/>
                <w:iCs/>
                <w:color w:val="auto"/>
                <w:sz w:val="20"/>
              </w:rPr>
              <w:t xml:space="preserve">plus 640,000 through the </w:t>
            </w:r>
            <w:r w:rsidR="00510F03" w:rsidRPr="00106054">
              <w:rPr>
                <w:rFonts w:ascii="Franklin Gothic Book" w:eastAsia="Times New Roman" w:hAnsi="Franklin Gothic Book"/>
                <w:i/>
                <w:iCs/>
                <w:color w:val="auto"/>
                <w:sz w:val="20"/>
              </w:rPr>
              <w:t>I</w:t>
            </w:r>
            <w:r w:rsidR="006171EC" w:rsidRPr="00106054">
              <w:rPr>
                <w:rFonts w:ascii="Franklin Gothic Book" w:eastAsia="Times New Roman" w:hAnsi="Franklin Gothic Book"/>
                <w:i/>
                <w:iCs/>
                <w:color w:val="auto"/>
                <w:sz w:val="20"/>
              </w:rPr>
              <w:t>ndonesian G</w:t>
            </w:r>
            <w:r w:rsidRPr="00106054">
              <w:rPr>
                <w:rFonts w:ascii="Franklin Gothic Book" w:eastAsia="Times New Roman" w:hAnsi="Franklin Gothic Book"/>
                <w:i/>
                <w:iCs/>
                <w:color w:val="auto"/>
                <w:sz w:val="20"/>
              </w:rPr>
              <w:t>overnment</w:t>
            </w:r>
            <w:r w:rsidR="00373966" w:rsidRPr="00106054">
              <w:rPr>
                <w:rStyle w:val="FootnoteReference"/>
                <w:rFonts w:ascii="Franklin Gothic Book" w:eastAsia="Times New Roman" w:hAnsi="Franklin Gothic Book"/>
                <w:i/>
                <w:iCs/>
                <w:color w:val="auto"/>
                <w:sz w:val="20"/>
              </w:rPr>
              <w:footnoteReference w:id="1"/>
            </w:r>
            <w:r w:rsidRPr="00106054">
              <w:rPr>
                <w:rFonts w:ascii="Franklin Gothic Book" w:eastAsia="Times New Roman" w:hAnsi="Franklin Gothic Book"/>
                <w:i/>
                <w:iCs/>
                <w:color w:val="auto"/>
                <w:sz w:val="20"/>
              </w:rPr>
              <w:t xml:space="preserve"> </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305,000</w:t>
            </w:r>
          </w:p>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szCs w:val="20"/>
              </w:rPr>
              <w:t> </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0"/>
              </w:rPr>
            </w:pPr>
            <w:r w:rsidRPr="00106054">
              <w:rPr>
                <w:rFonts w:ascii="Franklin Gothic Book" w:eastAsia="Times New Roman" w:hAnsi="Franklin Gothic Book"/>
                <w:color w:val="auto"/>
                <w:sz w:val="20"/>
              </w:rPr>
              <w:t xml:space="preserve">200,000 </w:t>
            </w:r>
          </w:p>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szCs w:val="20"/>
              </w:rPr>
              <w:t> </w:t>
            </w:r>
          </w:p>
        </w:tc>
      </w:tr>
      <w:tr w:rsidR="00106054" w:rsidRPr="00106054" w:rsidTr="00106054">
        <w:tc>
          <w:tcPr>
            <w:tcW w:w="0" w:type="auto"/>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 xml:space="preserve">Percentage of investments assessed as effectively addressing gender equality in implementation </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73%</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80%</w:t>
            </w:r>
          </w:p>
        </w:tc>
        <w:tc>
          <w:tcPr>
            <w:tcW w:w="2633" w:type="dxa"/>
            <w:shd w:val="clear" w:color="auto" w:fill="auto"/>
            <w:hideMark/>
          </w:tcPr>
          <w:p w:rsidR="00510F03" w:rsidRPr="00106054" w:rsidRDefault="00510F03" w:rsidP="00106054">
            <w:pPr>
              <w:spacing w:before="60" w:after="20"/>
              <w:rPr>
                <w:rFonts w:ascii="Franklin Gothic Book" w:eastAsia="Times New Roman" w:hAnsi="Franklin Gothic Book"/>
                <w:color w:val="auto"/>
                <w:sz w:val="24"/>
                <w:szCs w:val="24"/>
              </w:rPr>
            </w:pPr>
            <w:r w:rsidRPr="00106054">
              <w:rPr>
                <w:rFonts w:ascii="Franklin Gothic Book" w:eastAsia="Times New Roman" w:hAnsi="Franklin Gothic Book"/>
                <w:color w:val="auto"/>
                <w:sz w:val="20"/>
              </w:rPr>
              <w:t>80%</w:t>
            </w:r>
          </w:p>
        </w:tc>
      </w:tr>
    </w:tbl>
    <w:p w:rsidR="00510F03" w:rsidRPr="00510F03" w:rsidRDefault="00510F03" w:rsidP="00510F03">
      <w:pPr>
        <w:rPr>
          <w:color w:val="auto"/>
        </w:rPr>
        <w:sectPr w:rsidR="00510F03" w:rsidRPr="00510F03" w:rsidSect="00510F03">
          <w:headerReference w:type="default" r:id="rId23"/>
          <w:pgSz w:w="16838" w:h="11906" w:orient="landscape" w:code="9"/>
          <w:pgMar w:top="1134" w:right="1527" w:bottom="1134" w:left="851" w:header="1418" w:footer="567" w:gutter="0"/>
          <w:pgNumType w:start="1"/>
          <w:cols w:space="397"/>
          <w:docGrid w:linePitch="360"/>
        </w:sectPr>
      </w:pPr>
    </w:p>
    <w:p w:rsidR="004F2F82" w:rsidRDefault="004F2F82" w:rsidP="002A51CA">
      <w:pPr>
        <w:pStyle w:val="Heading2"/>
        <w:sectPr w:rsidR="004F2F82" w:rsidSect="004F2F82">
          <w:headerReference w:type="default" r:id="rId24"/>
          <w:footerReference w:type="first" r:id="rId25"/>
          <w:pgSz w:w="11906" w:h="16838" w:code="9"/>
          <w:pgMar w:top="1525" w:right="1134" w:bottom="851" w:left="1134" w:header="1418" w:footer="567" w:gutter="0"/>
          <w:pgNumType w:start="19"/>
          <w:cols w:space="397"/>
          <w:docGrid w:linePitch="360"/>
        </w:sectPr>
      </w:pPr>
    </w:p>
    <w:p w:rsidR="002A51CA" w:rsidRDefault="002A51CA" w:rsidP="002A51CA">
      <w:pPr>
        <w:pStyle w:val="Heading2"/>
      </w:pPr>
      <w:r w:rsidRPr="00535610">
        <w:t>Mutual obligations</w:t>
      </w:r>
    </w:p>
    <w:p w:rsidR="00BE2336" w:rsidRDefault="00D274C9" w:rsidP="00BE2336">
      <w:r w:rsidRPr="00D274C9">
        <w:t>The main mechanism to coordinate development priorities with Indonesia is the Medium-Term Development Plan (RPJMN 2015-19), which was passed into Indonesian law in January 2015 and which underpinned the devel</w:t>
      </w:r>
      <w:r w:rsidR="00C12AD8">
        <w:t xml:space="preserve">opment of DFAT’s </w:t>
      </w:r>
      <w:r w:rsidRPr="00D274C9">
        <w:t>Aid Investment Plan.</w:t>
      </w:r>
      <w:r w:rsidR="003B0A07">
        <w:t xml:space="preserve">  </w:t>
      </w:r>
      <w:r w:rsidR="00BE2336" w:rsidRPr="00BE2336">
        <w:t>The macro targets that Indonesia has set itself for 2015-19 are:</w:t>
      </w:r>
    </w:p>
    <w:tbl>
      <w:tblPr>
        <w:tblW w:w="0" w:type="auto"/>
        <w:jc w:val="center"/>
        <w:tblBorders>
          <w:top w:val="single" w:sz="8" w:space="0" w:color="65C5B4"/>
          <w:left w:val="single" w:sz="8" w:space="0" w:color="65C5B4"/>
          <w:bottom w:val="single" w:sz="8" w:space="0" w:color="65C5B4"/>
          <w:right w:val="single" w:sz="8" w:space="0" w:color="65C5B4"/>
        </w:tblBorders>
        <w:tblLayout w:type="fixed"/>
        <w:tblLook w:val="0020" w:firstRow="1" w:lastRow="0" w:firstColumn="0" w:lastColumn="0" w:noHBand="0" w:noVBand="0"/>
      </w:tblPr>
      <w:tblGrid>
        <w:gridCol w:w="2807"/>
        <w:gridCol w:w="2807"/>
        <w:gridCol w:w="2807"/>
      </w:tblGrid>
      <w:tr w:rsidR="00106054" w:rsidRPr="00106054" w:rsidTr="00106054">
        <w:trPr>
          <w:trHeight w:val="90"/>
          <w:jc w:val="center"/>
        </w:trPr>
        <w:tc>
          <w:tcPr>
            <w:tcW w:w="8421" w:type="dxa"/>
            <w:gridSpan w:val="3"/>
            <w:tcBorders>
              <w:top w:val="single" w:sz="8" w:space="0" w:color="65C5B4"/>
              <w:left w:val="single" w:sz="8" w:space="0" w:color="65C5B4"/>
              <w:right w:val="single" w:sz="8" w:space="0" w:color="65C5B4"/>
            </w:tcBorders>
            <w:shd w:val="clear" w:color="auto" w:fill="B0BDC6"/>
          </w:tcPr>
          <w:p w:rsidR="00BE2336" w:rsidRPr="00106054" w:rsidRDefault="00BE2336" w:rsidP="00106054">
            <w:pPr>
              <w:autoSpaceDE w:val="0"/>
              <w:autoSpaceDN w:val="0"/>
              <w:adjustRightInd w:val="0"/>
              <w:jc w:val="center"/>
              <w:rPr>
                <w:rFonts w:ascii="Franklin Gothic Book" w:hAnsi="Franklin Gothic Book" w:cs="Calibri"/>
                <w:b/>
                <w:bCs/>
                <w:color w:val="000000"/>
                <w:sz w:val="18"/>
                <w:szCs w:val="18"/>
                <w:lang w:eastAsia="en-AU"/>
              </w:rPr>
            </w:pPr>
            <w:r w:rsidRPr="00106054">
              <w:rPr>
                <w:rFonts w:ascii="Franklin Gothic Book" w:hAnsi="Franklin Gothic Book" w:cs="Calibri"/>
                <w:b/>
                <w:bCs/>
                <w:color w:val="000000"/>
                <w:szCs w:val="18"/>
                <w:lang w:eastAsia="en-AU"/>
              </w:rPr>
              <w:t>RPJMN 2015–2019 Macro Development Targets</w:t>
            </w:r>
          </w:p>
        </w:tc>
      </w:tr>
      <w:tr w:rsidR="00106054" w:rsidRPr="00106054" w:rsidTr="00106054">
        <w:trPr>
          <w:trHeight w:val="90"/>
          <w:jc w:val="center"/>
        </w:trPr>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b/>
                <w:sz w:val="21"/>
                <w:lang w:eastAsia="en-AU"/>
              </w:rPr>
            </w:pPr>
            <w:r w:rsidRPr="00106054">
              <w:rPr>
                <w:rFonts w:ascii="Franklin Gothic Book" w:eastAsia="Times New Roman" w:hAnsi="Franklin Gothic Book"/>
                <w:b/>
                <w:sz w:val="21"/>
                <w:lang w:eastAsia="en-AU"/>
              </w:rPr>
              <w:t xml:space="preserve">Indicator </w:t>
            </w:r>
          </w:p>
        </w:tc>
        <w:tc>
          <w:tcPr>
            <w:tcW w:w="2807" w:type="dxa"/>
            <w:tcBorders>
              <w:top w:val="single" w:sz="8" w:space="0" w:color="65C5B4"/>
              <w:bottom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b/>
                <w:sz w:val="21"/>
                <w:lang w:eastAsia="en-AU"/>
              </w:rPr>
            </w:pPr>
            <w:r w:rsidRPr="00106054">
              <w:rPr>
                <w:rFonts w:ascii="Franklin Gothic Book" w:eastAsia="Times New Roman" w:hAnsi="Franklin Gothic Book"/>
                <w:b/>
                <w:sz w:val="21"/>
                <w:lang w:eastAsia="en-AU"/>
              </w:rPr>
              <w:t xml:space="preserve">2014 (baseline) </w:t>
            </w:r>
          </w:p>
        </w:tc>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b/>
                <w:sz w:val="21"/>
                <w:lang w:eastAsia="en-AU"/>
              </w:rPr>
            </w:pPr>
            <w:r w:rsidRPr="00106054">
              <w:rPr>
                <w:rFonts w:ascii="Franklin Gothic Book" w:eastAsia="Times New Roman" w:hAnsi="Franklin Gothic Book"/>
                <w:b/>
                <w:sz w:val="21"/>
                <w:lang w:eastAsia="en-AU"/>
              </w:rPr>
              <w:t xml:space="preserve">2019 </w:t>
            </w:r>
          </w:p>
        </w:tc>
      </w:tr>
      <w:tr w:rsidR="00106054" w:rsidRPr="00106054" w:rsidTr="00106054">
        <w:trPr>
          <w:trHeight w:val="90"/>
          <w:jc w:val="center"/>
        </w:trPr>
        <w:tc>
          <w:tcPr>
            <w:tcW w:w="8421" w:type="dxa"/>
            <w:gridSpan w:val="3"/>
            <w:tcBorders>
              <w:left w:val="single" w:sz="8" w:space="0" w:color="65C5B4"/>
              <w:right w:val="single" w:sz="8" w:space="0" w:color="65C5B4"/>
            </w:tcBorders>
            <w:shd w:val="clear" w:color="auto" w:fill="C1E7E0"/>
          </w:tcPr>
          <w:p w:rsidR="00BE2336" w:rsidRPr="00106054" w:rsidRDefault="00BE2336" w:rsidP="00106054">
            <w:pPr>
              <w:autoSpaceDE w:val="0"/>
              <w:autoSpaceDN w:val="0"/>
              <w:adjustRightInd w:val="0"/>
              <w:jc w:val="center"/>
              <w:rPr>
                <w:rFonts w:ascii="Franklin Gothic Book" w:eastAsia="Times New Roman" w:hAnsi="Franklin Gothic Book"/>
                <w:b/>
                <w:sz w:val="21"/>
                <w:lang w:eastAsia="en-AU"/>
              </w:rPr>
            </w:pPr>
            <w:r w:rsidRPr="00106054">
              <w:rPr>
                <w:rFonts w:ascii="Franklin Gothic Book" w:eastAsia="Times New Roman" w:hAnsi="Franklin Gothic Book"/>
                <w:b/>
                <w:sz w:val="21"/>
                <w:lang w:eastAsia="en-AU"/>
              </w:rPr>
              <w:t>Social development targets</w:t>
            </w:r>
          </w:p>
        </w:tc>
      </w:tr>
      <w:tr w:rsidR="00106054" w:rsidRPr="00106054" w:rsidTr="00106054">
        <w:trPr>
          <w:trHeight w:val="90"/>
          <w:jc w:val="center"/>
        </w:trPr>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Human development index </w:t>
            </w:r>
          </w:p>
        </w:tc>
        <w:tc>
          <w:tcPr>
            <w:tcW w:w="2807" w:type="dxa"/>
            <w:tcBorders>
              <w:top w:val="single" w:sz="8" w:space="0" w:color="65C5B4"/>
              <w:bottom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73.83 </w:t>
            </w:r>
          </w:p>
        </w:tc>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76.3 </w:t>
            </w:r>
          </w:p>
        </w:tc>
      </w:tr>
      <w:tr w:rsidR="00106054" w:rsidRPr="00106054" w:rsidTr="00106054">
        <w:trPr>
          <w:trHeight w:val="92"/>
          <w:jc w:val="center"/>
        </w:trPr>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Community development index </w:t>
            </w:r>
          </w:p>
        </w:tc>
        <w:tc>
          <w:tcPr>
            <w:tcW w:w="2807" w:type="dxa"/>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0.55 </w:t>
            </w:r>
          </w:p>
        </w:tc>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Increase </w:t>
            </w:r>
          </w:p>
        </w:tc>
      </w:tr>
      <w:tr w:rsidR="00106054" w:rsidRPr="00106054" w:rsidTr="00106054">
        <w:trPr>
          <w:trHeight w:val="90"/>
          <w:jc w:val="center"/>
        </w:trPr>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Gini index </w:t>
            </w:r>
          </w:p>
        </w:tc>
        <w:tc>
          <w:tcPr>
            <w:tcW w:w="2807" w:type="dxa"/>
            <w:tcBorders>
              <w:top w:val="single" w:sz="8" w:space="0" w:color="65C5B4"/>
              <w:bottom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0.41 </w:t>
            </w:r>
          </w:p>
        </w:tc>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0.36 </w:t>
            </w:r>
          </w:p>
        </w:tc>
      </w:tr>
      <w:tr w:rsidR="00106054" w:rsidRPr="00106054" w:rsidTr="00106054">
        <w:trPr>
          <w:trHeight w:val="200"/>
          <w:jc w:val="center"/>
        </w:trPr>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Increased % of community who participate in health insurance programme through health sector </w:t>
            </w:r>
          </w:p>
        </w:tc>
        <w:tc>
          <w:tcPr>
            <w:tcW w:w="2807" w:type="dxa"/>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51.8% </w:t>
            </w:r>
          </w:p>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(Oct 2014) </w:t>
            </w:r>
          </w:p>
        </w:tc>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Min 95% </w:t>
            </w:r>
          </w:p>
        </w:tc>
      </w:tr>
      <w:tr w:rsidR="00106054" w:rsidRPr="00106054" w:rsidTr="00106054">
        <w:trPr>
          <w:trHeight w:val="90"/>
          <w:jc w:val="center"/>
        </w:trPr>
        <w:tc>
          <w:tcPr>
            <w:tcW w:w="8421" w:type="dxa"/>
            <w:gridSpan w:val="3"/>
            <w:tcBorders>
              <w:top w:val="single" w:sz="8" w:space="0" w:color="65C5B4"/>
              <w:left w:val="single" w:sz="8" w:space="0" w:color="65C5B4"/>
              <w:bottom w:val="single" w:sz="8" w:space="0" w:color="65C5B4"/>
              <w:right w:val="single" w:sz="8" w:space="0" w:color="65C5B4"/>
            </w:tcBorders>
            <w:shd w:val="clear" w:color="auto" w:fill="C1E7E0"/>
          </w:tcPr>
          <w:p w:rsidR="00BE2336" w:rsidRPr="00106054" w:rsidRDefault="00BE2336" w:rsidP="00106054">
            <w:pPr>
              <w:autoSpaceDE w:val="0"/>
              <w:autoSpaceDN w:val="0"/>
              <w:adjustRightInd w:val="0"/>
              <w:jc w:val="center"/>
              <w:rPr>
                <w:rFonts w:ascii="Franklin Gothic Book" w:eastAsia="Times New Roman" w:hAnsi="Franklin Gothic Book"/>
                <w:b/>
                <w:sz w:val="21"/>
                <w:lang w:eastAsia="en-AU"/>
              </w:rPr>
            </w:pPr>
            <w:r w:rsidRPr="00106054">
              <w:rPr>
                <w:rFonts w:ascii="Franklin Gothic Book" w:eastAsia="Times New Roman" w:hAnsi="Franklin Gothic Book"/>
                <w:b/>
                <w:sz w:val="21"/>
                <w:lang w:eastAsia="en-AU"/>
              </w:rPr>
              <w:t>Macroeconomic targets</w:t>
            </w:r>
          </w:p>
        </w:tc>
      </w:tr>
      <w:tr w:rsidR="00106054" w:rsidRPr="00106054" w:rsidTr="00106054">
        <w:trPr>
          <w:trHeight w:val="90"/>
          <w:jc w:val="center"/>
        </w:trPr>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Economic growth </w:t>
            </w:r>
          </w:p>
        </w:tc>
        <w:tc>
          <w:tcPr>
            <w:tcW w:w="2807" w:type="dxa"/>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5.1% </w:t>
            </w:r>
          </w:p>
        </w:tc>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8.0% </w:t>
            </w:r>
          </w:p>
        </w:tc>
      </w:tr>
      <w:tr w:rsidR="00106054" w:rsidRPr="00106054" w:rsidTr="00106054">
        <w:trPr>
          <w:trHeight w:val="90"/>
          <w:jc w:val="center"/>
        </w:trPr>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GDP per capita (</w:t>
            </w:r>
            <w:proofErr w:type="spellStart"/>
            <w:r w:rsidRPr="00106054">
              <w:rPr>
                <w:rFonts w:ascii="Franklin Gothic Book" w:eastAsia="Times New Roman" w:hAnsi="Franklin Gothic Book"/>
                <w:sz w:val="21"/>
                <w:lang w:eastAsia="en-AU"/>
              </w:rPr>
              <w:t>Rp</w:t>
            </w:r>
            <w:proofErr w:type="spellEnd"/>
            <w:r w:rsidRPr="00106054">
              <w:rPr>
                <w:rFonts w:ascii="Franklin Gothic Book" w:eastAsia="Times New Roman" w:hAnsi="Franklin Gothic Book"/>
                <w:sz w:val="21"/>
                <w:lang w:eastAsia="en-AU"/>
              </w:rPr>
              <w:t xml:space="preserve">. thousand) base year 2010 </w:t>
            </w:r>
          </w:p>
        </w:tc>
        <w:tc>
          <w:tcPr>
            <w:tcW w:w="2807" w:type="dxa"/>
            <w:tcBorders>
              <w:top w:val="single" w:sz="8" w:space="0" w:color="65C5B4"/>
              <w:bottom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43.403 </w:t>
            </w:r>
          </w:p>
        </w:tc>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72.217 </w:t>
            </w:r>
          </w:p>
        </w:tc>
      </w:tr>
      <w:tr w:rsidR="00106054" w:rsidRPr="00106054" w:rsidTr="00106054">
        <w:trPr>
          <w:trHeight w:val="90"/>
          <w:jc w:val="center"/>
        </w:trPr>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Inflation </w:t>
            </w:r>
          </w:p>
        </w:tc>
        <w:tc>
          <w:tcPr>
            <w:tcW w:w="2807" w:type="dxa"/>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8.4% </w:t>
            </w:r>
          </w:p>
        </w:tc>
        <w:tc>
          <w:tcPr>
            <w:tcW w:w="2807" w:type="dxa"/>
            <w:tcBorders>
              <w:left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3.5% </w:t>
            </w:r>
          </w:p>
        </w:tc>
      </w:tr>
      <w:tr w:rsidR="00106054" w:rsidRPr="00106054" w:rsidTr="00106054">
        <w:trPr>
          <w:trHeight w:val="92"/>
          <w:jc w:val="center"/>
        </w:trPr>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Poverty rate </w:t>
            </w:r>
          </w:p>
        </w:tc>
        <w:tc>
          <w:tcPr>
            <w:tcW w:w="2807" w:type="dxa"/>
            <w:tcBorders>
              <w:top w:val="single" w:sz="8" w:space="0" w:color="65C5B4"/>
              <w:bottom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10.96%</w:t>
            </w:r>
          </w:p>
        </w:tc>
        <w:tc>
          <w:tcPr>
            <w:tcW w:w="2807" w:type="dxa"/>
            <w:tcBorders>
              <w:top w:val="single" w:sz="8" w:space="0" w:color="65C5B4"/>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7.0–8.0% </w:t>
            </w:r>
          </w:p>
        </w:tc>
      </w:tr>
      <w:tr w:rsidR="00106054" w:rsidRPr="00106054" w:rsidTr="00106054">
        <w:trPr>
          <w:trHeight w:val="90"/>
          <w:jc w:val="center"/>
        </w:trPr>
        <w:tc>
          <w:tcPr>
            <w:tcW w:w="2807" w:type="dxa"/>
            <w:tcBorders>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Open unemployment rate </w:t>
            </w:r>
          </w:p>
        </w:tc>
        <w:tc>
          <w:tcPr>
            <w:tcW w:w="2807" w:type="dxa"/>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5.94% </w:t>
            </w:r>
          </w:p>
        </w:tc>
        <w:tc>
          <w:tcPr>
            <w:tcW w:w="2807" w:type="dxa"/>
            <w:tcBorders>
              <w:left w:val="single" w:sz="8" w:space="0" w:color="65C5B4"/>
              <w:bottom w:val="single" w:sz="8" w:space="0" w:color="65C5B4"/>
              <w:right w:val="single" w:sz="8" w:space="0" w:color="65C5B4"/>
            </w:tcBorders>
            <w:shd w:val="clear" w:color="auto" w:fill="auto"/>
          </w:tcPr>
          <w:p w:rsidR="00BE2336" w:rsidRPr="00106054" w:rsidRDefault="00BE2336" w:rsidP="00106054">
            <w:pPr>
              <w:autoSpaceDE w:val="0"/>
              <w:autoSpaceDN w:val="0"/>
              <w:adjustRightInd w:val="0"/>
              <w:rPr>
                <w:rFonts w:ascii="Franklin Gothic Book" w:eastAsia="Times New Roman" w:hAnsi="Franklin Gothic Book"/>
                <w:sz w:val="21"/>
                <w:lang w:eastAsia="en-AU"/>
              </w:rPr>
            </w:pPr>
            <w:r w:rsidRPr="00106054">
              <w:rPr>
                <w:rFonts w:ascii="Franklin Gothic Book" w:eastAsia="Times New Roman" w:hAnsi="Franklin Gothic Book"/>
                <w:sz w:val="21"/>
                <w:lang w:eastAsia="en-AU"/>
              </w:rPr>
              <w:t xml:space="preserve">4.0–5.0% </w:t>
            </w:r>
          </w:p>
        </w:tc>
      </w:tr>
    </w:tbl>
    <w:p w:rsidR="00524F8B" w:rsidRDefault="00524F8B" w:rsidP="00090AB9">
      <w:r>
        <w:t>Indonesia is also preparing a National Action Plan for implementing the Sustainable Development Goals</w:t>
      </w:r>
      <w:r w:rsidR="005533D9">
        <w:t xml:space="preserve"> (SDGs)</w:t>
      </w:r>
      <w:r>
        <w:t xml:space="preserve">, which is expected </w:t>
      </w:r>
      <w:r w:rsidR="00CD4435">
        <w:t>to be completed in early 2017.</w:t>
      </w:r>
      <w:r w:rsidR="003B0A07">
        <w:t xml:space="preserve">  </w:t>
      </w:r>
      <w:r>
        <w:t xml:space="preserve">In future years, Indonesia’s annual reporting against the SDG targets and indicators will be an important source of information on the country’s development progress. </w:t>
      </w:r>
    </w:p>
    <w:p w:rsidR="003B0A07" w:rsidRDefault="005533D9" w:rsidP="00090AB9">
      <w:r>
        <w:t xml:space="preserve">Our Aid Investment Plan </w:t>
      </w:r>
      <w:r w:rsidR="009A60D2">
        <w:t xml:space="preserve">aligns with </w:t>
      </w:r>
      <w:r w:rsidR="006501C0" w:rsidRPr="00FF7D3E">
        <w:t xml:space="preserve">our </w:t>
      </w:r>
      <w:r w:rsidR="009A60D2">
        <w:t xml:space="preserve">growing </w:t>
      </w:r>
      <w:r w:rsidR="006501C0" w:rsidRPr="00FF7D3E">
        <w:t>economic partnership</w:t>
      </w:r>
      <w:r w:rsidR="009A60D2">
        <w:t xml:space="preserve"> with an increasingly prosperous </w:t>
      </w:r>
      <w:r w:rsidR="003B0A07">
        <w:t xml:space="preserve">Indonesia.  </w:t>
      </w:r>
      <w:r w:rsidR="006501C0" w:rsidRPr="00FF7D3E">
        <w:t xml:space="preserve">It is a more appropriate model of cooperation between Australia and </w:t>
      </w:r>
      <w:r w:rsidR="009A60D2">
        <w:t xml:space="preserve">a </w:t>
      </w:r>
      <w:r w:rsidR="006501C0" w:rsidRPr="00FF7D3E">
        <w:t>middle-inc</w:t>
      </w:r>
      <w:r w:rsidR="004E5FC8">
        <w:t>ome country and regional power than a traditional aid donor-recipient relationship</w:t>
      </w:r>
      <w:r w:rsidR="00352763">
        <w:t>, and</w:t>
      </w:r>
      <w:r w:rsidR="006171EC">
        <w:t xml:space="preserve"> the Indonesian G</w:t>
      </w:r>
      <w:r w:rsidR="009A60D2">
        <w:t>overnment has welcomed this approach</w:t>
      </w:r>
      <w:r w:rsidR="004E5FC8">
        <w:t>.</w:t>
      </w:r>
      <w:r w:rsidR="003B0A07">
        <w:t xml:space="preserve">  </w:t>
      </w:r>
    </w:p>
    <w:p w:rsidR="00D274C9" w:rsidRDefault="00310722" w:rsidP="00090AB9">
      <w:r>
        <w:t>Each year, senior officials from DFAT and</w:t>
      </w:r>
      <w:r w:rsidR="00D274C9" w:rsidRPr="00D274C9">
        <w:t xml:space="preserve"> </w:t>
      </w:r>
      <w:r w:rsidR="00D376C3">
        <w:t>Indonesia’s National Development Planning Agency,</w:t>
      </w:r>
      <w:r w:rsidRPr="00310722">
        <w:t xml:space="preserve"> </w:t>
      </w:r>
      <w:proofErr w:type="spellStart"/>
      <w:r>
        <w:t>Bappenas</w:t>
      </w:r>
      <w:proofErr w:type="spellEnd"/>
      <w:r>
        <w:t xml:space="preserve">, meet to discuss joint development interests and progress towards </w:t>
      </w:r>
      <w:r w:rsidR="00B12EB2">
        <w:t xml:space="preserve">shared </w:t>
      </w:r>
      <w:r>
        <w:t>objectives.</w:t>
      </w:r>
      <w:r w:rsidR="009E0D92">
        <w:t xml:space="preserve">  </w:t>
      </w:r>
      <w:proofErr w:type="spellStart"/>
      <w:r w:rsidR="00C12AD8">
        <w:t>B</w:t>
      </w:r>
      <w:r w:rsidR="00E25595">
        <w:t>appenas</w:t>
      </w:r>
      <w:proofErr w:type="spellEnd"/>
      <w:r w:rsidR="00E25595">
        <w:t xml:space="preserve"> </w:t>
      </w:r>
      <w:r w:rsidR="00C12AD8">
        <w:t xml:space="preserve">was also consulted prior to the publication of this report. </w:t>
      </w:r>
    </w:p>
    <w:p w:rsidR="00D348F1" w:rsidRDefault="00524F8B" w:rsidP="00090AB9">
      <w:r>
        <w:t>Australia’s ODA is a small f</w:t>
      </w:r>
      <w:r w:rsidR="003B0A07">
        <w:t xml:space="preserve">raction of Indonesia’s budget.  </w:t>
      </w:r>
      <w:r>
        <w:t>Therefore, Indonesia’s role in providing the political momentum, budget and implementation oversight for reforms supported with Aus</w:t>
      </w:r>
      <w:r w:rsidR="003B0A07">
        <w:t xml:space="preserve">tralian assistance is crucial.  </w:t>
      </w:r>
      <w:r w:rsidR="00B5716D">
        <w:t>In 2015-16, w</w:t>
      </w:r>
      <w:r w:rsidR="00597645">
        <w:t xml:space="preserve">e saw clear evidence of Indonesia’s commitment to fulfil its obligations </w:t>
      </w:r>
      <w:r w:rsidR="00B5716D">
        <w:t>and ensure sustainability and impact of Australian assistance</w:t>
      </w:r>
      <w:r w:rsidR="00597645">
        <w:t>.</w:t>
      </w:r>
    </w:p>
    <w:p w:rsidR="00D348F1" w:rsidRPr="00AE3421" w:rsidRDefault="00B5716D" w:rsidP="00090AB9">
      <w:pPr>
        <w:rPr>
          <w:b/>
        </w:rPr>
      </w:pPr>
      <w:r>
        <w:lastRenderedPageBreak/>
        <w:t>For example, t</w:t>
      </w:r>
      <w:r w:rsidR="00597645">
        <w:t>he Ministry of Health and provincial governments</w:t>
      </w:r>
      <w:r w:rsidR="00524F8B">
        <w:t xml:space="preserve"> demonstrated strong commitment to ensuring the sustainability of outcomes from Australia’s major health programs, as activities under these programs drew to a close</w:t>
      </w:r>
      <w:r w:rsidR="00597645">
        <w:t xml:space="preserve"> (see Outcome 6)</w:t>
      </w:r>
      <w:r w:rsidR="00F26108">
        <w:t xml:space="preserve">.  </w:t>
      </w:r>
      <w:r w:rsidR="00597645">
        <w:t>The Ministry of Education and Culture has</w:t>
      </w:r>
      <w:r w:rsidR="004D7343">
        <w:t xml:space="preserve"> similarly</w:t>
      </w:r>
      <w:r w:rsidR="00597645">
        <w:t xml:space="preserve"> adopted strengthened quality assurance systems developed with Australian assistance to the Ministry’s ongoing program of school construction</w:t>
      </w:r>
      <w:r>
        <w:t>.</w:t>
      </w:r>
      <w:r w:rsidR="00F26108">
        <w:rPr>
          <w:b/>
        </w:rPr>
        <w:t xml:space="preserve">  </w:t>
      </w:r>
      <w:r w:rsidR="00597645">
        <w:t xml:space="preserve">Our Water and Sanitation </w:t>
      </w:r>
      <w:proofErr w:type="spellStart"/>
      <w:r w:rsidR="00597645">
        <w:t>Hibah</w:t>
      </w:r>
      <w:proofErr w:type="spellEnd"/>
      <w:r w:rsidR="00597645">
        <w:t xml:space="preserve"> (grants) program </w:t>
      </w:r>
      <w:r>
        <w:t xml:space="preserve">piloted </w:t>
      </w:r>
      <w:r w:rsidR="00597645">
        <w:t xml:space="preserve">output-based grants </w:t>
      </w:r>
      <w:r>
        <w:t>and proved the effectiveness of this model for infrastructure development</w:t>
      </w:r>
      <w:r w:rsidR="00597645">
        <w:t>, and Indo</w:t>
      </w:r>
      <w:r w:rsidR="006362F7">
        <w:t xml:space="preserve">nesia responded by allocating </w:t>
      </w:r>
      <w:r w:rsidR="00597645">
        <w:t>500 billion</w:t>
      </w:r>
      <w:r w:rsidR="006362F7">
        <w:t xml:space="preserve"> rupiah</w:t>
      </w:r>
      <w:r w:rsidR="00597645">
        <w:t xml:space="preserve"> (AUD50 million) of its own funds to expand the pilot funded by Australia.</w:t>
      </w:r>
    </w:p>
    <w:p w:rsidR="002B28C8" w:rsidRPr="002B28C8" w:rsidRDefault="002B28C8" w:rsidP="002B28C8">
      <w:pPr>
        <w:sectPr w:rsidR="002B28C8" w:rsidRPr="002B28C8" w:rsidSect="00906001">
          <w:type w:val="continuous"/>
          <w:pgSz w:w="11906" w:h="16838" w:code="9"/>
          <w:pgMar w:top="1525" w:right="1134" w:bottom="851" w:left="1134" w:header="1418" w:footer="567" w:gutter="0"/>
          <w:cols w:space="397"/>
          <w:docGrid w:linePitch="360"/>
        </w:sectPr>
      </w:pPr>
    </w:p>
    <w:p w:rsidR="00891B17" w:rsidRPr="008870BD" w:rsidRDefault="002A51CA" w:rsidP="008870BD">
      <w:pPr>
        <w:pStyle w:val="Heading2"/>
      </w:pPr>
      <w:r w:rsidRPr="002A51CA">
        <w:t xml:space="preserve">Program Quality and Partner Performance </w:t>
      </w:r>
      <w:r w:rsidRPr="002A51CA">
        <w:rPr>
          <w:b/>
          <w:lang w:eastAsia="zh-CN"/>
        </w:rPr>
        <w:tab/>
      </w:r>
      <w:r w:rsidR="00891B17" w:rsidRPr="002A51CA">
        <w:rPr>
          <w:b/>
          <w:lang w:eastAsia="zh-CN"/>
        </w:rPr>
        <w:tab/>
      </w:r>
    </w:p>
    <w:p w:rsidR="00891B17" w:rsidRPr="00090AB9" w:rsidRDefault="00D448CB" w:rsidP="00090AB9">
      <w:r>
        <w:t>In 2015-16</w:t>
      </w:r>
      <w:r w:rsidR="00891B17" w:rsidRPr="00090AB9">
        <w:t>, we finalised the Performance Assessment Framework</w:t>
      </w:r>
      <w:r w:rsidR="006D2337">
        <w:t xml:space="preserve"> (PAF) </w:t>
      </w:r>
      <w:r w:rsidR="00891B17" w:rsidRPr="00090AB9">
        <w:t>for the program</w:t>
      </w:r>
      <w:r w:rsidR="006D2337">
        <w:t xml:space="preserve"> (</w:t>
      </w:r>
      <w:r w:rsidR="00554A9D" w:rsidRPr="00090AB9">
        <w:t>Annex E</w:t>
      </w:r>
      <w:r w:rsidR="003B0A07">
        <w:t xml:space="preserve">).  </w:t>
      </w:r>
      <w:r w:rsidR="0089727B" w:rsidRPr="00090AB9">
        <w:t>The PAF aims to generate meaningful, compelling information to measure, manage and report on the performance of Australia’s development cooperation program in Indonesia.  It will guide</w:t>
      </w:r>
      <w:r w:rsidR="000F03A9">
        <w:t xml:space="preserve"> the priorities of the program by </w:t>
      </w:r>
      <w:r w:rsidR="0089727B" w:rsidRPr="00090AB9">
        <w:t>inform</w:t>
      </w:r>
      <w:r w:rsidR="000F03A9">
        <w:t>ing sector plans and</w:t>
      </w:r>
      <w:r w:rsidR="0089727B" w:rsidRPr="00090AB9">
        <w:t xml:space="preserve"> program </w:t>
      </w:r>
      <w:r w:rsidR="000F03A9">
        <w:t xml:space="preserve">designs; </w:t>
      </w:r>
      <w:r w:rsidR="0089727B" w:rsidRPr="00090AB9">
        <w:t>publi</w:t>
      </w:r>
      <w:r w:rsidR="000F03A9">
        <w:t xml:space="preserve">c diplomacy efforts; and fostering </w:t>
      </w:r>
      <w:r w:rsidR="0089727B" w:rsidRPr="00090AB9">
        <w:t>collaboration a</w:t>
      </w:r>
      <w:r w:rsidR="00F26108">
        <w:t xml:space="preserve">cross the program.  </w:t>
      </w:r>
      <w:r w:rsidR="00CF6081">
        <w:t>The PAF</w:t>
      </w:r>
      <w:r w:rsidR="0089727B" w:rsidRPr="00090AB9">
        <w:t xml:space="preserve"> articulates Australia’s development cooperation goals in Indonesia through four strategic objectives, ten outcomes a</w:t>
      </w:r>
      <w:r w:rsidR="003B0A07">
        <w:t xml:space="preserve">nd 24 indicators.  </w:t>
      </w:r>
      <w:r w:rsidR="008870BD">
        <w:t>In this APPR</w:t>
      </w:r>
      <w:r w:rsidR="0089727B" w:rsidRPr="00090AB9">
        <w:t>, we</w:t>
      </w:r>
      <w:r w:rsidR="00891B17" w:rsidRPr="00090AB9">
        <w:t xml:space="preserve"> are </w:t>
      </w:r>
      <w:r w:rsidR="00554A9D" w:rsidRPr="00090AB9">
        <w:t xml:space="preserve">now </w:t>
      </w:r>
      <w:r w:rsidR="00891B17" w:rsidRPr="00090AB9">
        <w:t>reporting the first results generated against the performance benchmarks</w:t>
      </w:r>
      <w:r w:rsidR="0089727B" w:rsidRPr="00090AB9">
        <w:t xml:space="preserve"> and the outcomes of the PAF</w:t>
      </w:r>
      <w:r w:rsidR="003B0A07">
        <w:t xml:space="preserve">.  </w:t>
      </w:r>
      <w:r w:rsidR="00B0374E" w:rsidRPr="00090AB9">
        <w:t xml:space="preserve">The approach taken is innovative in that we </w:t>
      </w:r>
      <w:r w:rsidR="00C30A9F" w:rsidRPr="00090AB9">
        <w:t>are collecting data from different</w:t>
      </w:r>
      <w:r w:rsidR="00B0374E" w:rsidRPr="00090AB9">
        <w:t xml:space="preserve"> sectors and programs to report against individual indicators </w:t>
      </w:r>
      <w:r w:rsidR="00C30A9F" w:rsidRPr="00090AB9">
        <w:t>under</w:t>
      </w:r>
      <w:r w:rsidR="00B0374E" w:rsidRPr="00090AB9">
        <w:t xml:space="preserve"> multi-sectoral outcomes</w:t>
      </w:r>
      <w:r w:rsidR="00CE61FC">
        <w:t>, and focussing on measuring our contribution to policy change</w:t>
      </w:r>
      <w:r w:rsidR="00B0374E" w:rsidRPr="00090AB9">
        <w:t>.</w:t>
      </w:r>
      <w:r w:rsidR="00F26108">
        <w:t xml:space="preserve">  </w:t>
      </w:r>
      <w:r w:rsidR="004A4CAE">
        <w:t xml:space="preserve">All data, including those related to policy change, underwent a rigorous verification process over the course of the year. </w:t>
      </w:r>
      <w:r w:rsidR="00C30A9F" w:rsidRPr="00090AB9">
        <w:t xml:space="preserve"> </w:t>
      </w:r>
      <w:r w:rsidR="00891B17" w:rsidRPr="00090AB9">
        <w:t xml:space="preserve"> </w:t>
      </w:r>
    </w:p>
    <w:p w:rsidR="00F86FBC" w:rsidRDefault="00891B17" w:rsidP="00090AB9">
      <w:r w:rsidRPr="00090AB9">
        <w:t>The PAF is one part of a broader performance a</w:t>
      </w:r>
      <w:r w:rsidR="003E4ED1">
        <w:t>ssessment system that includes site visit reports/b</w:t>
      </w:r>
      <w:r w:rsidR="0089727B" w:rsidRPr="00090AB9">
        <w:t>ack-to-</w:t>
      </w:r>
      <w:r w:rsidR="003E4ED1">
        <w:t>o</w:t>
      </w:r>
      <w:r w:rsidR="0089727B" w:rsidRPr="00090AB9">
        <w:t>ffice-</w:t>
      </w:r>
      <w:r w:rsidR="003E4ED1">
        <w:t>r</w:t>
      </w:r>
      <w:r w:rsidR="0089727B" w:rsidRPr="00090AB9">
        <w:t>eport</w:t>
      </w:r>
      <w:r w:rsidR="003E4ED1">
        <w:t>s, aggregate development r</w:t>
      </w:r>
      <w:r w:rsidR="007231A4">
        <w:t>esults, investment quality r</w:t>
      </w:r>
      <w:r w:rsidR="002159D9">
        <w:t xml:space="preserve">eports, </w:t>
      </w:r>
      <w:r w:rsidR="0089727B" w:rsidRPr="00090AB9">
        <w:t>this documen</w:t>
      </w:r>
      <w:r w:rsidR="002159D9">
        <w:t>t</w:t>
      </w:r>
      <w:r w:rsidRPr="00090AB9">
        <w:t xml:space="preserve">, cable reporting, and systematic monitoring and evaluation of each investment. </w:t>
      </w:r>
      <w:r w:rsidR="0089727B" w:rsidRPr="00090AB9">
        <w:t xml:space="preserve"> </w:t>
      </w:r>
    </w:p>
    <w:p w:rsidR="007B6E9A" w:rsidRPr="00090AB9" w:rsidRDefault="00005A06" w:rsidP="007B6E9A">
      <w:r>
        <w:t xml:space="preserve">We make </w:t>
      </w:r>
      <w:r w:rsidR="007B6E9A" w:rsidRPr="00090AB9">
        <w:t>use of evaluations a</w:t>
      </w:r>
      <w:r w:rsidR="00FC0D78">
        <w:t>nd this is evidenced through annual in</w:t>
      </w:r>
      <w:r w:rsidR="00E21F84">
        <w:t>vestment quality reporting and aid program p</w:t>
      </w:r>
      <w:r w:rsidR="00FC0D78">
        <w:t xml:space="preserve">erformance </w:t>
      </w:r>
      <w:r w:rsidR="00E21F84">
        <w:t>r</w:t>
      </w:r>
      <w:r w:rsidR="00FC0D78">
        <w:t>eport</w:t>
      </w:r>
      <w:r w:rsidR="00E21F84">
        <w:t>s</w:t>
      </w:r>
      <w:r w:rsidR="00FC0D78">
        <w:t xml:space="preserve"> (this document)</w:t>
      </w:r>
      <w:r w:rsidR="007B6E9A" w:rsidRPr="00090AB9">
        <w:t xml:space="preserve"> which </w:t>
      </w:r>
      <w:r w:rsidR="003B0A07">
        <w:t xml:space="preserve">feed into our design processes.  </w:t>
      </w:r>
      <w:r w:rsidR="007B6E9A" w:rsidRPr="00090AB9">
        <w:t>We have invested heavily in developing program managers’ capacity t</w:t>
      </w:r>
      <w:r w:rsidR="003B0A07">
        <w:t xml:space="preserve">o manage strategic evaluations.  </w:t>
      </w:r>
      <w:r w:rsidR="007B6E9A" w:rsidRPr="00090AB9">
        <w:t>We are entering the third year of an investment in tech</w:t>
      </w:r>
      <w:r>
        <w:t>nical support services that has</w:t>
      </w:r>
      <w:r w:rsidR="007B6E9A" w:rsidRPr="00090AB9">
        <w:t xml:space="preserve"> led to measurable improvements in the quality of our evaluations, greater senior management level engagement in evaluations, and proactive use of eva</w:t>
      </w:r>
      <w:r w:rsidR="00D607EB">
        <w:t xml:space="preserve">luations in program management.  </w:t>
      </w:r>
      <w:r w:rsidR="00E02A1B">
        <w:t>The evaluation of MAMPU Phase One</w:t>
      </w:r>
      <w:r w:rsidR="00AE68E7">
        <w:t xml:space="preserve">, for instance, provided us with information on key weaknesses in the program’s approach, in particular around strategic engagement with the </w:t>
      </w:r>
      <w:r w:rsidR="006171EC">
        <w:t>G</w:t>
      </w:r>
      <w:r w:rsidR="00AE68E7">
        <w:t>overnment of Indonesia, which we are now add</w:t>
      </w:r>
      <w:r w:rsidR="00E02A1B">
        <w:t xml:space="preserve">ressing as we move into Phase Two </w:t>
      </w:r>
      <w:r w:rsidR="00AE68E7">
        <w:t>through strengthening the program’s governance mechanisms.</w:t>
      </w:r>
    </w:p>
    <w:p w:rsidR="007B6E9A" w:rsidRDefault="00795DBE" w:rsidP="00090AB9">
      <w:r>
        <w:t xml:space="preserve">While there is </w:t>
      </w:r>
      <w:r w:rsidR="007B6E9A" w:rsidRPr="00090AB9">
        <w:t>evidence of the use of evaluations in planning and program management, timely publication of evaluatio</w:t>
      </w:r>
      <w:r w:rsidR="003B0A07">
        <w:t>n</w:t>
      </w:r>
      <w:r w:rsidR="00D607EB">
        <w:t xml:space="preserve">s continues to be a challenge.  </w:t>
      </w:r>
      <w:r w:rsidR="007B6E9A" w:rsidRPr="00090AB9">
        <w:t>Th</w:t>
      </w:r>
      <w:r w:rsidR="007B6E9A">
        <w:t>e forward evaluation pipeline is presented at Annex C</w:t>
      </w:r>
      <w:r w:rsidR="007B6E9A" w:rsidRPr="00090AB9">
        <w:t>, in addition to ev</w:t>
      </w:r>
      <w:r w:rsidR="003B0A07">
        <w:t xml:space="preserve">aluations completed in 2015-16.  </w:t>
      </w:r>
      <w:r w:rsidR="007B6E9A">
        <w:t>Pl</w:t>
      </w:r>
      <w:r w:rsidR="00972959">
        <w:t xml:space="preserve">anned evaluations focus on </w:t>
      </w:r>
      <w:r w:rsidR="007B6E9A" w:rsidRPr="00090AB9">
        <w:t xml:space="preserve">programs </w:t>
      </w:r>
      <w:r w:rsidR="007B6E9A">
        <w:t>for which extensions are being considered</w:t>
      </w:r>
      <w:r w:rsidR="007B6E9A" w:rsidRPr="00090AB9">
        <w:t xml:space="preserve"> </w:t>
      </w:r>
      <w:r w:rsidR="007B6E9A">
        <w:t xml:space="preserve">as well as assessing outcomes of several </w:t>
      </w:r>
      <w:r w:rsidR="007B6E9A" w:rsidRPr="00090AB9">
        <w:t>large investments now coming to an end</w:t>
      </w:r>
      <w:r w:rsidR="007B6E9A">
        <w:t xml:space="preserve">.  </w:t>
      </w:r>
    </w:p>
    <w:p w:rsidR="006D2A41" w:rsidRDefault="006D2A41" w:rsidP="006D2A41">
      <w:r w:rsidRPr="00B16C41">
        <w:t>Although scores on women’s empowerment and g</w:t>
      </w:r>
      <w:r w:rsidR="00F753B8">
        <w:t>ender equality improved from 69 per cent in 2015-16 to 73 per cent</w:t>
      </w:r>
      <w:r w:rsidRPr="00B16C41">
        <w:t xml:space="preserve"> in 2015-16, this remains below the De</w:t>
      </w:r>
      <w:r w:rsidR="00F753B8">
        <w:t>partmental target (requiring 80 per cent</w:t>
      </w:r>
      <w:r w:rsidRPr="00B16C41">
        <w:t xml:space="preserve"> of all investments to score satisfactorily on this criterion by 2017). </w:t>
      </w:r>
      <w:r w:rsidR="003B0A07">
        <w:t xml:space="preserve"> </w:t>
      </w:r>
      <w:r w:rsidRPr="00B34F6F">
        <w:t xml:space="preserve">There has been a sustained effort to strengthen our effectiveness in gender equality, including through analysis of our performance and identification of persistent obstacles to improvement. </w:t>
      </w:r>
      <w:r w:rsidR="003B0A07">
        <w:t xml:space="preserve"> </w:t>
      </w:r>
      <w:r w:rsidR="000640CC">
        <w:t>We developed a gender action p</w:t>
      </w:r>
      <w:r w:rsidRPr="00B34F6F">
        <w:t xml:space="preserve">lan which contains concrete </w:t>
      </w:r>
      <w:r>
        <w:t>steps</w:t>
      </w:r>
      <w:r w:rsidR="00AE68E7">
        <w:t>. Some of these steps have already been taken incl</w:t>
      </w:r>
      <w:r w:rsidR="000640CC">
        <w:t>uding improving our network of gender focal p</w:t>
      </w:r>
      <w:r w:rsidR="00AE68E7">
        <w:t xml:space="preserve">oints and using the network to improve reporting </w:t>
      </w:r>
      <w:r w:rsidR="00F753B8">
        <w:t xml:space="preserve">on gender-based results in the </w:t>
      </w:r>
      <w:r w:rsidR="009A3E7A">
        <w:t>aid q</w:t>
      </w:r>
      <w:r w:rsidR="00F753B8">
        <w:t xml:space="preserve">uality </w:t>
      </w:r>
      <w:r w:rsidR="009A3E7A">
        <w:t>c</w:t>
      </w:r>
      <w:r w:rsidR="00F753B8">
        <w:t>heck</w:t>
      </w:r>
      <w:r w:rsidR="009A3E7A">
        <w:t xml:space="preserve"> process</w:t>
      </w:r>
      <w:r>
        <w:t xml:space="preserve">. </w:t>
      </w:r>
      <w:r w:rsidR="003B0A07">
        <w:t xml:space="preserve"> </w:t>
      </w:r>
      <w:r>
        <w:t>W</w:t>
      </w:r>
      <w:r w:rsidRPr="00B34F6F">
        <w:t xml:space="preserve">e have </w:t>
      </w:r>
      <w:r w:rsidR="006B53A7">
        <w:t>integrated gender into the PAF</w:t>
      </w:r>
      <w:r w:rsidRPr="00B34F6F">
        <w:t>, met with implementing partners to agree strategies for improvemen</w:t>
      </w:r>
      <w:r>
        <w:t>t, and accessed advice from gender e</w:t>
      </w:r>
      <w:r w:rsidRPr="00B34F6F">
        <w:t>quality advisers including training at Jakarta Post.</w:t>
      </w:r>
      <w:r>
        <w:t xml:space="preserve"> </w:t>
      </w:r>
      <w:r w:rsidR="003B0A07">
        <w:t xml:space="preserve"> </w:t>
      </w:r>
      <w:r>
        <w:t>More work is requir</w:t>
      </w:r>
      <w:r w:rsidR="00AB4149">
        <w:t>ed and this is outlined in our management r</w:t>
      </w:r>
      <w:r>
        <w:t>esponse</w:t>
      </w:r>
      <w:r w:rsidR="003A52C8">
        <w:t xml:space="preserve"> on page 24</w:t>
      </w:r>
      <w:r>
        <w:t xml:space="preserve">. </w:t>
      </w:r>
      <w:r>
        <w:tab/>
      </w:r>
    </w:p>
    <w:p w:rsidR="006D2A41" w:rsidRPr="00090AB9" w:rsidRDefault="00244E50" w:rsidP="00090AB9">
      <w:r>
        <w:t>T</w:t>
      </w:r>
      <w:r w:rsidR="006D2A41" w:rsidRPr="00FE529A">
        <w:t>here has been an increase in the involvement and engagement of disab</w:t>
      </w:r>
      <w:r w:rsidR="00795DBE">
        <w:t>led people</w:t>
      </w:r>
      <w:r w:rsidR="006B53A7">
        <w:t>s’</w:t>
      </w:r>
      <w:r w:rsidR="00795DBE">
        <w:t xml:space="preserve"> organisations </w:t>
      </w:r>
      <w:r w:rsidR="006D2A41" w:rsidRPr="00FE529A">
        <w:t xml:space="preserve">and </w:t>
      </w:r>
      <w:r w:rsidR="00795DBE">
        <w:t xml:space="preserve">people with disabilities </w:t>
      </w:r>
      <w:r w:rsidR="006D2A41" w:rsidRPr="00FE529A">
        <w:t xml:space="preserve">in program implementation. </w:t>
      </w:r>
      <w:r w:rsidR="003B0A07">
        <w:t xml:space="preserve"> </w:t>
      </w:r>
      <w:r w:rsidR="006D2A41" w:rsidRPr="00FE529A">
        <w:t>We have strengthened our dis</w:t>
      </w:r>
      <w:r w:rsidR="00795DBE">
        <w:t xml:space="preserve">ability focal point network, </w:t>
      </w:r>
      <w:r w:rsidR="006D2A41" w:rsidRPr="00FE529A">
        <w:t xml:space="preserve">established a working group and </w:t>
      </w:r>
      <w:r w:rsidR="006D2A41">
        <w:t>undert</w:t>
      </w:r>
      <w:r w:rsidR="007107A2">
        <w:t>aken</w:t>
      </w:r>
      <w:r w:rsidR="006D2A41" w:rsidRPr="00FE529A">
        <w:t xml:space="preserve"> training at Post. </w:t>
      </w:r>
      <w:r w:rsidR="003B0A07">
        <w:t xml:space="preserve"> </w:t>
      </w:r>
      <w:r w:rsidR="009A3E7A">
        <w:t>Our</w:t>
      </w:r>
      <w:r w:rsidR="006D2A41" w:rsidRPr="00FE529A">
        <w:t xml:space="preserve"> ratings demonstrated that while </w:t>
      </w:r>
      <w:r w:rsidR="00795DBE">
        <w:lastRenderedPageBreak/>
        <w:t xml:space="preserve">satisfactory involvement of people with disabilities in planning, </w:t>
      </w:r>
      <w:r w:rsidR="006D2A41" w:rsidRPr="00FE529A">
        <w:t xml:space="preserve">implementation and </w:t>
      </w:r>
      <w:r w:rsidR="00795DBE">
        <w:t>monitoring and evaluation</w:t>
      </w:r>
      <w:r w:rsidR="00F753B8">
        <w:t xml:space="preserve"> remained at 38 per cent</w:t>
      </w:r>
      <w:r w:rsidR="006D2A41" w:rsidRPr="00FE529A">
        <w:t xml:space="preserve">, satisfactory participation </w:t>
      </w:r>
      <w:r w:rsidR="00F753B8">
        <w:t>and inclusion increased from 38 to 44 per cent</w:t>
      </w:r>
      <w:r w:rsidR="006D2A41" w:rsidRPr="00FE529A">
        <w:t xml:space="preserve">. </w:t>
      </w:r>
    </w:p>
    <w:p w:rsidR="002A51CA" w:rsidRPr="00E4171D" w:rsidRDefault="002A51CA" w:rsidP="002A51CA">
      <w:pPr>
        <w:pStyle w:val="Heading2"/>
      </w:pPr>
      <w:r w:rsidRPr="00E4171D">
        <w:t>Analysis of Aid Quality Checks (AQCs)</w:t>
      </w:r>
    </w:p>
    <w:p w:rsidR="00324147" w:rsidRPr="00090AB9" w:rsidRDefault="00324147" w:rsidP="00224C47">
      <w:pPr>
        <w:spacing w:after="120" w:line="280" w:lineRule="exact"/>
      </w:pPr>
      <w:r>
        <w:t xml:space="preserve">A total of 37 Aid Quality Checks (AQCs) and Final Aid Quality Checks (FAQCs) were </w:t>
      </w:r>
      <w:r w:rsidRPr="00E4171D">
        <w:t xml:space="preserve">completed in early 2016 as part of the annual aid program performance cycle. </w:t>
      </w:r>
      <w:r w:rsidR="003B0A07">
        <w:t xml:space="preserve"> </w:t>
      </w:r>
      <w:r w:rsidRPr="00E4171D">
        <w:t>Full ratings are provided in Annex</w:t>
      </w:r>
      <w:r w:rsidR="00224C47" w:rsidRPr="00E4171D">
        <w:t xml:space="preserve"> D</w:t>
      </w:r>
      <w:r w:rsidRPr="00E4171D">
        <w:t xml:space="preserve">. </w:t>
      </w:r>
      <w:r w:rsidR="003B0A07">
        <w:t xml:space="preserve"> </w:t>
      </w:r>
      <w:r w:rsidR="00224C47" w:rsidRPr="00E4171D">
        <w:t xml:space="preserve">Scores improved </w:t>
      </w:r>
      <w:r w:rsidR="005D2C3E">
        <w:t xml:space="preserve">or remained stable </w:t>
      </w:r>
      <w:r w:rsidR="00224C47" w:rsidRPr="00E4171D">
        <w:t>for all criteria except risks and safeguards</w:t>
      </w:r>
      <w:r w:rsidR="00F94F79">
        <w:t xml:space="preserve"> – in response we have implemented a more thorough and systematic risk management system</w:t>
      </w:r>
      <w:r w:rsidR="00224C47" w:rsidRPr="00E4171D">
        <w:t xml:space="preserve">. </w:t>
      </w:r>
      <w:r w:rsidR="003B0A07">
        <w:t xml:space="preserve"> </w:t>
      </w:r>
      <w:r w:rsidR="00CC17D8" w:rsidRPr="00090AB9">
        <w:t>As in previous years, more could be done to imp</w:t>
      </w:r>
      <w:r w:rsidR="00872B52" w:rsidRPr="00090AB9">
        <w:t>rove monitoring and evaluation</w:t>
      </w:r>
      <w:r w:rsidR="00854CAA" w:rsidRPr="00090AB9">
        <w:t xml:space="preserve"> systems</w:t>
      </w:r>
      <w:r w:rsidR="00872B52" w:rsidRPr="00090AB9">
        <w:t xml:space="preserve">. </w:t>
      </w:r>
      <w:r w:rsidR="003B0A07">
        <w:t xml:space="preserve"> </w:t>
      </w:r>
      <w:r w:rsidR="00854CAA" w:rsidRPr="00090AB9">
        <w:t xml:space="preserve">A notable increase in scores for both relevance and sustainability </w:t>
      </w:r>
      <w:r w:rsidR="00D63E04" w:rsidRPr="00090AB9">
        <w:t xml:space="preserve">highlight the strong alignment of </w:t>
      </w:r>
      <w:r w:rsidR="00854CAA" w:rsidRPr="00090AB9">
        <w:t xml:space="preserve">continuing programs with the </w:t>
      </w:r>
      <w:r w:rsidR="00D03110">
        <w:t xml:space="preserve">AIP </w:t>
      </w:r>
      <w:r w:rsidR="00854CAA" w:rsidRPr="00090AB9">
        <w:t xml:space="preserve">and </w:t>
      </w:r>
      <w:r w:rsidR="009A6644">
        <w:t>the fact that Australia</w:t>
      </w:r>
      <w:r w:rsidR="00D63E04" w:rsidRPr="00090AB9">
        <w:t xml:space="preserve"> is</w:t>
      </w:r>
      <w:r w:rsidR="00854CAA" w:rsidRPr="00090AB9">
        <w:t xml:space="preserve"> </w:t>
      </w:r>
      <w:r w:rsidR="00D63E04" w:rsidRPr="00090AB9">
        <w:t xml:space="preserve">increasingly </w:t>
      </w:r>
      <w:r w:rsidR="00854CAA" w:rsidRPr="00090AB9">
        <w:t>focussed on building the capacity of pa</w:t>
      </w:r>
      <w:r w:rsidR="00D63E04" w:rsidRPr="00090AB9">
        <w:t xml:space="preserve">rtners within the Indonesian system. </w:t>
      </w:r>
    </w:p>
    <w:p w:rsidR="002A51CA" w:rsidRDefault="009E3C87" w:rsidP="0089727B">
      <w:pPr>
        <w:spacing w:after="120" w:line="280" w:lineRule="exact"/>
      </w:pPr>
      <w:r w:rsidRPr="00090AB9">
        <w:t xml:space="preserve">All AQCs and FAQCs requiring moderation were chaired by members of the Senior Executive Service </w:t>
      </w:r>
      <w:r w:rsidR="00151A8F" w:rsidRPr="00090AB9">
        <w:t>or</w:t>
      </w:r>
      <w:r w:rsidR="009A3E7A">
        <w:t xml:space="preserve"> d</w:t>
      </w:r>
      <w:r w:rsidRPr="00090AB9">
        <w:t xml:space="preserve">irectors (Executive Level 2 officers). </w:t>
      </w:r>
      <w:r w:rsidR="003B0A07">
        <w:t xml:space="preserve"> </w:t>
      </w:r>
      <w:r w:rsidR="008928F9" w:rsidRPr="00090AB9">
        <w:t xml:space="preserve">Gender advisors reviewed 25 of the AQCs and FAQCs to ensure robustness of scores and narratives. </w:t>
      </w:r>
      <w:r w:rsidR="003B0A07">
        <w:t xml:space="preserve"> </w:t>
      </w:r>
      <w:r w:rsidR="008928F9" w:rsidRPr="00090AB9">
        <w:t xml:space="preserve">We also used an independent moderator from outside the program for 24 AQCs and FAQCs and have been commended for the consistency of our ratings and use of evidence to substantiate claims. </w:t>
      </w:r>
      <w:r w:rsidR="003B0A07">
        <w:t xml:space="preserve"> </w:t>
      </w:r>
      <w:r w:rsidR="00795DBE">
        <w:t>One investment was</w:t>
      </w:r>
      <w:r w:rsidR="00E4171D" w:rsidRPr="00090AB9">
        <w:t xml:space="preserve"> identified as</w:t>
      </w:r>
      <w:r w:rsidR="00891B17" w:rsidRPr="00090AB9">
        <w:t xml:space="preserve"> </w:t>
      </w:r>
      <w:r w:rsidR="00AC02B7">
        <w:t>requiring i</w:t>
      </w:r>
      <w:r w:rsidR="00E4171D" w:rsidRPr="00090AB9">
        <w:t>mprovemen</w:t>
      </w:r>
      <w:r w:rsidR="00AC02B7">
        <w:t xml:space="preserve">t </w:t>
      </w:r>
      <w:r w:rsidR="00D607EB">
        <w:t xml:space="preserve">in 2015-16.  </w:t>
      </w:r>
      <w:r w:rsidR="00795DBE">
        <w:t>This was a joint en</w:t>
      </w:r>
      <w:r w:rsidR="009A3E7A">
        <w:t xml:space="preserve">deavour with DFAT’s innovationXchange and </w:t>
      </w:r>
      <w:r w:rsidR="00795DBE">
        <w:t xml:space="preserve">USAID’s Development Credit Authority and follow-up activities </w:t>
      </w:r>
      <w:r w:rsidR="00D607EB">
        <w:t xml:space="preserve">are currently under discussion.  </w:t>
      </w:r>
      <w:r w:rsidR="00891B17" w:rsidRPr="00090AB9">
        <w:t>Previou</w:t>
      </w:r>
      <w:r w:rsidR="00AC02B7">
        <w:t>s investments identified as underperforming</w:t>
      </w:r>
      <w:r w:rsidR="00891B17" w:rsidRPr="00090AB9">
        <w:t xml:space="preserve"> (</w:t>
      </w:r>
      <w:r w:rsidR="00E4171D" w:rsidRPr="00090AB9">
        <w:t>the Knowledge Sector Initiative</w:t>
      </w:r>
      <w:r w:rsidR="008928F9" w:rsidRPr="00090AB9">
        <w:t xml:space="preserve"> or KSI</w:t>
      </w:r>
      <w:r w:rsidR="00E4171D" w:rsidRPr="00090AB9">
        <w:t xml:space="preserve">, </w:t>
      </w:r>
      <w:r w:rsidR="00151A8F" w:rsidRPr="00090AB9">
        <w:t xml:space="preserve">the Australia-UNICEF Rural and Remote Education Initiative for the Papuan Provinces, and </w:t>
      </w:r>
      <w:r w:rsidR="00AF110C" w:rsidRPr="00090AB9">
        <w:t>Building Relations t</w:t>
      </w:r>
      <w:r w:rsidR="00E4171D" w:rsidRPr="00090AB9">
        <w:t>hrough Intercultural Dialogu</w:t>
      </w:r>
      <w:r w:rsidR="00151A8F" w:rsidRPr="00090AB9">
        <w:t>e and Growing Engagement Phase II</w:t>
      </w:r>
      <w:r w:rsidR="00891B17" w:rsidRPr="00090AB9">
        <w:t xml:space="preserve">) have </w:t>
      </w:r>
      <w:r w:rsidR="00E4171D" w:rsidRPr="00090AB9">
        <w:t xml:space="preserve">all </w:t>
      </w:r>
      <w:r w:rsidR="00891B17" w:rsidRPr="00090AB9">
        <w:t>improved in effectiveness following concerted efforts</w:t>
      </w:r>
      <w:r w:rsidR="008928F9" w:rsidRPr="00090AB9">
        <w:t xml:space="preserve"> and remediation plans</w:t>
      </w:r>
      <w:r w:rsidR="00E4171D" w:rsidRPr="00090AB9">
        <w:t>.</w:t>
      </w:r>
      <w:r w:rsidR="00D607EB">
        <w:t xml:space="preserve">  </w:t>
      </w:r>
      <w:r w:rsidR="008928F9" w:rsidRPr="00090AB9">
        <w:t xml:space="preserve">KSI, which is now a high-performing program, </w:t>
      </w:r>
      <w:r w:rsidR="00151A8F" w:rsidRPr="00090AB9">
        <w:t>reflects some of the difficulties in the start-up phase of complex governance investments</w:t>
      </w:r>
      <w:r w:rsidR="00AE68E7" w:rsidRPr="00AE68E7">
        <w:t xml:space="preserve"> as well as the value of external review</w:t>
      </w:r>
      <w:r w:rsidR="00795DBE">
        <w:t>s</w:t>
      </w:r>
      <w:r w:rsidR="00D607EB">
        <w:t xml:space="preserve">.  </w:t>
      </w:r>
      <w:r w:rsidR="00AE68E7" w:rsidRPr="00AE68E7">
        <w:t>A mid-term review condu</w:t>
      </w:r>
      <w:r w:rsidR="00AE68E7">
        <w:t xml:space="preserve">cted in 2015 identified serious </w:t>
      </w:r>
      <w:r w:rsidR="00AE68E7" w:rsidRPr="00AE68E7">
        <w:t>weaknesses and resulted in the program overhauling its management team, widening engagement with senior stakeholders</w:t>
      </w:r>
      <w:r w:rsidR="00D607EB">
        <w:t xml:space="preserve">, and trialling new approaches.  </w:t>
      </w:r>
      <w:r w:rsidR="00AE68E7" w:rsidRPr="00AE68E7">
        <w:t>In January 2016, a follow up review found that the program was back on track to achieve its ambitious objectives</w:t>
      </w:r>
      <w:r w:rsidR="00151A8F" w:rsidRPr="00090AB9">
        <w:t xml:space="preserve">. </w:t>
      </w:r>
    </w:p>
    <w:p w:rsidR="002A51CA" w:rsidRPr="002A51CA" w:rsidRDefault="002A51CA" w:rsidP="002A51CA">
      <w:pPr>
        <w:pStyle w:val="Heading2"/>
      </w:pPr>
      <w:r w:rsidRPr="002A51CA">
        <w:t>Performance of key delivery partners</w:t>
      </w:r>
    </w:p>
    <w:p w:rsidR="00B86836" w:rsidRDefault="00B86836" w:rsidP="00B86836">
      <w:r>
        <w:t>Our assessments found that key delivery partners pe</w:t>
      </w:r>
      <w:r w:rsidR="00B61EF1">
        <w:t>rformed effectively during 2015-</w:t>
      </w:r>
      <w:r w:rsidR="003B0A07">
        <w:t xml:space="preserve">16.  </w:t>
      </w:r>
      <w:r>
        <w:t xml:space="preserve">The </w:t>
      </w:r>
      <w:r w:rsidRPr="00B86836">
        <w:t>majority</w:t>
      </w:r>
      <w:r>
        <w:t xml:space="preserve"> of </w:t>
      </w:r>
      <w:r w:rsidR="007107A2">
        <w:t xml:space="preserve">our </w:t>
      </w:r>
      <w:r w:rsidR="004A6088">
        <w:t>ODA</w:t>
      </w:r>
      <w:r>
        <w:t xml:space="preserve"> in Indonesia continues to be deliver</w:t>
      </w:r>
      <w:r w:rsidR="00F753B8">
        <w:t>ed through commercial suppliers,</w:t>
      </w:r>
      <w:r>
        <w:t xml:space="preserve"> and a significant amount is delivered through international and multilateral organisations. </w:t>
      </w:r>
      <w:r w:rsidR="003B0A07">
        <w:t xml:space="preserve"> </w:t>
      </w:r>
      <w:r>
        <w:t>Thirty-one Partner</w:t>
      </w:r>
      <w:r w:rsidR="00E8667C">
        <w:t xml:space="preserve"> Performance Assessments </w:t>
      </w:r>
      <w:r>
        <w:t>were completed for agreements va</w:t>
      </w:r>
      <w:r w:rsidR="00B61EF1">
        <w:t>lued at over</w:t>
      </w:r>
      <w:r w:rsidR="00D60EF0">
        <w:t xml:space="preserve"> AUD</w:t>
      </w:r>
      <w:r w:rsidR="00B61EF1">
        <w:t>3 million in 2015-</w:t>
      </w:r>
      <w:r>
        <w:t xml:space="preserve">16. </w:t>
      </w:r>
      <w:r w:rsidR="003B0A07">
        <w:t xml:space="preserve"> </w:t>
      </w:r>
      <w:r>
        <w:t xml:space="preserve">This includes 19 agreements with commercial suppliers and 12 with multilateral banks and international organisations. </w:t>
      </w:r>
    </w:p>
    <w:p w:rsidR="00B86836" w:rsidRDefault="00B86836" w:rsidP="00B86836">
      <w:r>
        <w:t>Ratings increased overall, with most now rated satisfactory, but there is still room for i</w:t>
      </w:r>
      <w:r w:rsidR="00B61EF1">
        <w:t>mprovement. Priorities for 2016-</w:t>
      </w:r>
      <w:r>
        <w:t xml:space="preserve">17 are to realise greater value for money in investments with commercial suppliers and multilateral banks, and to continue to ensure gender, disability, environmental safeguards and child protection are embedded in program implementation. </w:t>
      </w:r>
      <w:r w:rsidR="003B0A07">
        <w:t xml:space="preserve"> </w:t>
      </w:r>
    </w:p>
    <w:p w:rsidR="00B86836" w:rsidRDefault="00B86836" w:rsidP="00B86836">
      <w:r>
        <w:t xml:space="preserve">Performance of </w:t>
      </w:r>
      <w:r>
        <w:rPr>
          <w:b/>
        </w:rPr>
        <w:t>commercial suppliers</w:t>
      </w:r>
      <w:r>
        <w:t xml:space="preserve"> remains strong, with management of all seven major</w:t>
      </w:r>
      <w:r w:rsidR="003B0A07">
        <w:t xml:space="preserve"> </w:t>
      </w:r>
      <w:r w:rsidR="006728BE">
        <w:t xml:space="preserve">agreements rated satisfactory.  </w:t>
      </w:r>
      <w:r>
        <w:t>Commercial suppliers generally provide</w:t>
      </w:r>
      <w:r w:rsidR="00CF2AC2">
        <w:t>d</w:t>
      </w:r>
      <w:r>
        <w:t xml:space="preserve"> access to international expertise, manage</w:t>
      </w:r>
      <w:r w:rsidR="00CF2AC2">
        <w:t>d</w:t>
      </w:r>
      <w:r>
        <w:t xml:space="preserve"> program risks well, achieve</w:t>
      </w:r>
      <w:r w:rsidR="00CF2AC2">
        <w:t>d</w:t>
      </w:r>
      <w:r>
        <w:t xml:space="preserve"> milestones, and respond</w:t>
      </w:r>
      <w:r w:rsidR="00CF2AC2">
        <w:t>ed</w:t>
      </w:r>
      <w:r>
        <w:t xml:space="preserve"> flexibly and rapidly t</w:t>
      </w:r>
      <w:r w:rsidR="00473BBC">
        <w:t>o meet Australian G</w:t>
      </w:r>
      <w:r>
        <w:t xml:space="preserve">overnment priorities. </w:t>
      </w:r>
      <w:r w:rsidR="003B0A07">
        <w:t xml:space="preserve"> </w:t>
      </w:r>
      <w:r>
        <w:t>Partners that did not achieve consis</w:t>
      </w:r>
      <w:r w:rsidR="00D60EF0">
        <w:t>tently high performance in 2014-</w:t>
      </w:r>
      <w:r>
        <w:t xml:space="preserve">15 made improvements this year. </w:t>
      </w:r>
    </w:p>
    <w:p w:rsidR="00B86836" w:rsidRDefault="00B86836" w:rsidP="00B86836">
      <w:r>
        <w:rPr>
          <w:b/>
        </w:rPr>
        <w:t xml:space="preserve">Multilateral </w:t>
      </w:r>
      <w:r w:rsidR="000F03A9">
        <w:rPr>
          <w:b/>
        </w:rPr>
        <w:t xml:space="preserve">development </w:t>
      </w:r>
      <w:r>
        <w:rPr>
          <w:b/>
        </w:rPr>
        <w:t>banks</w:t>
      </w:r>
      <w:r w:rsidR="003C4CD2">
        <w:t>,</w:t>
      </w:r>
      <w:r>
        <w:rPr>
          <w:b/>
        </w:rPr>
        <w:t xml:space="preserve"> </w:t>
      </w:r>
      <w:r>
        <w:t>including the Asian Development Bank and World Bank implement seven large investments on behal</w:t>
      </w:r>
      <w:r w:rsidR="003B0A07">
        <w:t xml:space="preserve">f of the Australian Government.  </w:t>
      </w:r>
      <w:r>
        <w:t>Overall they manage</w:t>
      </w:r>
      <w:r w:rsidR="006753DB">
        <w:t>d</w:t>
      </w:r>
      <w:r>
        <w:t xml:space="preserve"> Australia’s investments satisfactorily. </w:t>
      </w:r>
      <w:r w:rsidR="003B0A07">
        <w:t xml:space="preserve"> </w:t>
      </w:r>
      <w:r w:rsidR="00C624DE">
        <w:t xml:space="preserve">Both </w:t>
      </w:r>
      <w:r>
        <w:t xml:space="preserve">responded to areas identified as requiring improvement last year. </w:t>
      </w:r>
      <w:r w:rsidR="003B0A07">
        <w:t xml:space="preserve"> </w:t>
      </w:r>
      <w:r>
        <w:t xml:space="preserve">The focus for this year is to continue to build recognition of Australian-supported reforms and to strengthen collaboration on policy dialogue. </w:t>
      </w:r>
    </w:p>
    <w:p w:rsidR="00015069" w:rsidRDefault="00B86836" w:rsidP="00B86836">
      <w:r>
        <w:lastRenderedPageBreak/>
        <w:t xml:space="preserve">Australia works with </w:t>
      </w:r>
      <w:r>
        <w:rPr>
          <w:b/>
        </w:rPr>
        <w:t>international and multilateral organisations</w:t>
      </w:r>
      <w:r w:rsidR="00D60EF0">
        <w:t xml:space="preserve"> such as T</w:t>
      </w:r>
      <w:r>
        <w:t xml:space="preserve">he Asia Foundation, the World Health Organization and UNICEF </w:t>
      </w:r>
      <w:r w:rsidR="00C624DE">
        <w:t>on</w:t>
      </w:r>
      <w:r>
        <w:t xml:space="preserve"> specific areas, such as strengthening local civil society, understanding regional health security and addressing challenges to remote education. </w:t>
      </w:r>
      <w:r w:rsidR="003B0A07">
        <w:t xml:space="preserve"> </w:t>
      </w:r>
      <w:r w:rsidR="00015069" w:rsidRPr="00015069">
        <w:t xml:space="preserve">Australia’s partnerships </w:t>
      </w:r>
      <w:r w:rsidR="00015069">
        <w:t xml:space="preserve">with </w:t>
      </w:r>
      <w:r w:rsidR="00015069" w:rsidRPr="00015069">
        <w:t xml:space="preserve">the Global Fund for HIV, Tuberculosis and Malaria, and </w:t>
      </w:r>
      <w:proofErr w:type="spellStart"/>
      <w:r w:rsidR="00015069" w:rsidRPr="00015069">
        <w:t>Gavi</w:t>
      </w:r>
      <w:proofErr w:type="spellEnd"/>
      <w:r w:rsidR="00015069" w:rsidRPr="00015069">
        <w:t>,</w:t>
      </w:r>
      <w:r w:rsidR="00C624DE">
        <w:t xml:space="preserve"> the Vaccine Alliance support</w:t>
      </w:r>
      <w:r w:rsidR="007107A2">
        <w:t>ed</w:t>
      </w:r>
      <w:r w:rsidR="00015069" w:rsidRPr="00015069">
        <w:t xml:space="preserve"> the sustainability</w:t>
      </w:r>
      <w:r w:rsidR="006728BE">
        <w:t xml:space="preserve"> of health gains in the region.  </w:t>
      </w:r>
      <w:r w:rsidR="00015069" w:rsidRPr="00015069">
        <w:t xml:space="preserve">In 2015 Australia entered into a partnership with the World Bank to facilitate the transition of programs supported by the Global Fund and </w:t>
      </w:r>
      <w:proofErr w:type="spellStart"/>
      <w:r w:rsidR="00015069" w:rsidRPr="00015069">
        <w:t>Gavi</w:t>
      </w:r>
      <w:proofErr w:type="spellEnd"/>
      <w:r w:rsidR="00015069" w:rsidRPr="00015069">
        <w:t xml:space="preserve"> in Indonesia to full domestic financing.  The Global Fund is the largest exte</w:t>
      </w:r>
      <w:r w:rsidR="006728BE">
        <w:t xml:space="preserve">rnal health donor to Indonesia.  </w:t>
      </w:r>
      <w:r w:rsidR="00015069" w:rsidRPr="00015069">
        <w:t>Its investments have</w:t>
      </w:r>
      <w:r w:rsidR="00C624DE">
        <w:t xml:space="preserve"> enabled </w:t>
      </w:r>
      <w:r w:rsidR="00015069" w:rsidRPr="00015069">
        <w:t>scale-up of prevention, diagnosis and treatment of all three diseases.</w:t>
      </w:r>
      <w:r w:rsidR="00AF5A20">
        <w:t xml:space="preserve">  </w:t>
      </w:r>
      <w:proofErr w:type="spellStart"/>
      <w:r w:rsidR="00015069" w:rsidRPr="00015069">
        <w:t>Gavi</w:t>
      </w:r>
      <w:proofErr w:type="spellEnd"/>
      <w:r w:rsidR="00015069" w:rsidRPr="00015069">
        <w:t xml:space="preserve"> </w:t>
      </w:r>
      <w:r w:rsidR="00C624DE">
        <w:t>will</w:t>
      </w:r>
      <w:r w:rsidR="00015069" w:rsidRPr="00015069">
        <w:t xml:space="preserve"> introduce three new vaccines over the next 12 months: Measles/Rubella, Japanese Encephalitis and HPV.</w:t>
      </w:r>
    </w:p>
    <w:p w:rsidR="00F86FBC" w:rsidRDefault="00B86836" w:rsidP="00B86836">
      <w:r>
        <w:t xml:space="preserve">Local </w:t>
      </w:r>
      <w:r>
        <w:rPr>
          <w:b/>
        </w:rPr>
        <w:t>civil society, faith-based and grassroots organisations</w:t>
      </w:r>
      <w:r>
        <w:t xml:space="preserve"> are important stakeholders in Indonesia. </w:t>
      </w:r>
      <w:r w:rsidR="003B0A07">
        <w:t xml:space="preserve"> </w:t>
      </w:r>
      <w:r>
        <w:t>Through partnerships with gover</w:t>
      </w:r>
      <w:r w:rsidR="00BF4B90">
        <w:t xml:space="preserve">nment and civil society, we support </w:t>
      </w:r>
      <w:r>
        <w:t xml:space="preserve">a strong advocacy and service delivery role for civil society. </w:t>
      </w:r>
      <w:r w:rsidR="003B0A07">
        <w:t xml:space="preserve"> </w:t>
      </w:r>
      <w:r>
        <w:t xml:space="preserve">Implementing partners such as The Asia Foundation as well as managing contractors work with a large number of local groups. </w:t>
      </w:r>
      <w:r w:rsidR="003B0A07">
        <w:t xml:space="preserve"> </w:t>
      </w:r>
      <w:r>
        <w:t xml:space="preserve">In total Australia directly supported 54 national </w:t>
      </w:r>
      <w:r w:rsidR="00AB4D04">
        <w:t>Indonesian NGO partners in 2015-</w:t>
      </w:r>
      <w:r>
        <w:t>16, and indirectly supported a further 233.</w:t>
      </w:r>
    </w:p>
    <w:p w:rsidR="003B0A07" w:rsidRPr="00AE3421" w:rsidRDefault="00F86FBC" w:rsidP="00AE3421">
      <w:r>
        <w:t>Our</w:t>
      </w:r>
      <w:r w:rsidRPr="00F86FBC">
        <w:t xml:space="preserve"> development program in </w:t>
      </w:r>
      <w:r>
        <w:t xml:space="preserve">Indonesia involved more </w:t>
      </w:r>
      <w:r w:rsidRPr="00535610">
        <w:t xml:space="preserve">than 20 </w:t>
      </w:r>
      <w:r w:rsidRPr="00535610">
        <w:rPr>
          <w:b/>
        </w:rPr>
        <w:t>Australian</w:t>
      </w:r>
      <w:r w:rsidRPr="00F86FBC">
        <w:rPr>
          <w:b/>
        </w:rPr>
        <w:t xml:space="preserve"> Government agencies</w:t>
      </w:r>
      <w:r w:rsidRPr="00F86FBC">
        <w:t xml:space="preserve"> in 2015-16, partnering with their Indonesian counterparts to share lessons and build capacity, including the Department</w:t>
      </w:r>
      <w:r>
        <w:t>s</w:t>
      </w:r>
      <w:r w:rsidRPr="00F86FBC">
        <w:t xml:space="preserve"> of Financ</w:t>
      </w:r>
      <w:r w:rsidR="00685E78">
        <w:t>e, Treasury</w:t>
      </w:r>
      <w:r w:rsidR="0021268B">
        <w:t xml:space="preserve">, </w:t>
      </w:r>
      <w:r>
        <w:t>Agriculture</w:t>
      </w:r>
      <w:r w:rsidR="00685E78">
        <w:t>, Health and Education</w:t>
      </w:r>
      <w:r>
        <w:t xml:space="preserve">, </w:t>
      </w:r>
      <w:r w:rsidR="000547D6">
        <w:t xml:space="preserve">and </w:t>
      </w:r>
      <w:r>
        <w:t xml:space="preserve">CSIRO, </w:t>
      </w:r>
      <w:r w:rsidRPr="00F86FBC">
        <w:t xml:space="preserve">Geoscience Australia, </w:t>
      </w:r>
      <w:r w:rsidR="00352763">
        <w:t xml:space="preserve">the </w:t>
      </w:r>
      <w:r w:rsidRPr="00F86FBC">
        <w:t>A</w:t>
      </w:r>
      <w:r w:rsidR="00352763">
        <w:t xml:space="preserve">ustralian </w:t>
      </w:r>
      <w:r w:rsidRPr="00F86FBC">
        <w:t>F</w:t>
      </w:r>
      <w:r w:rsidR="00352763">
        <w:t xml:space="preserve">ederal </w:t>
      </w:r>
      <w:r w:rsidRPr="00F86FBC">
        <w:t>P</w:t>
      </w:r>
      <w:r w:rsidR="00352763">
        <w:t>olice</w:t>
      </w:r>
      <w:r w:rsidRPr="00F86FBC">
        <w:t xml:space="preserve">, </w:t>
      </w:r>
      <w:r w:rsidR="00352763">
        <w:t xml:space="preserve">the </w:t>
      </w:r>
      <w:r w:rsidRPr="00F86FBC">
        <w:t>A</w:t>
      </w:r>
      <w:r w:rsidR="00352763">
        <w:t xml:space="preserve">ustralian </w:t>
      </w:r>
      <w:r w:rsidRPr="00F86FBC">
        <w:t>T</w:t>
      </w:r>
      <w:r w:rsidR="00352763">
        <w:t xml:space="preserve">axation </w:t>
      </w:r>
      <w:r w:rsidRPr="00F86FBC">
        <w:t>O</w:t>
      </w:r>
      <w:r w:rsidR="00352763">
        <w:t>ffice</w:t>
      </w:r>
      <w:r w:rsidRPr="00F86FBC">
        <w:t xml:space="preserve">, </w:t>
      </w:r>
      <w:r>
        <w:t xml:space="preserve">and </w:t>
      </w:r>
      <w:r w:rsidR="007107A2">
        <w:t>NSW Rural</w:t>
      </w:r>
      <w:r w:rsidRPr="00F86FBC">
        <w:t xml:space="preserve"> Fire </w:t>
      </w:r>
      <w:r>
        <w:t>Service</w:t>
      </w:r>
      <w:r w:rsidR="00AE3421">
        <w:t xml:space="preserve">. </w:t>
      </w:r>
    </w:p>
    <w:p w:rsidR="002B28C8" w:rsidRPr="00106054" w:rsidRDefault="002B28C8">
      <w:pPr>
        <w:suppressAutoHyphens w:val="0"/>
        <w:spacing w:before="0" w:after="120" w:line="440" w:lineRule="atLeast"/>
        <w:rPr>
          <w:rFonts w:ascii="Calibri" w:eastAsia="Times New Roman" w:hAnsi="Calibri"/>
          <w:caps/>
          <w:sz w:val="38"/>
          <w:szCs w:val="26"/>
        </w:rPr>
      </w:pPr>
      <w:r>
        <w:br w:type="page"/>
      </w:r>
    </w:p>
    <w:p w:rsidR="002A51CA" w:rsidRDefault="002A51CA" w:rsidP="002A51CA">
      <w:pPr>
        <w:pStyle w:val="Heading2"/>
      </w:pPr>
      <w:r w:rsidRPr="005452C3">
        <w:lastRenderedPageBreak/>
        <w:t>Risks</w:t>
      </w:r>
    </w:p>
    <w:p w:rsidR="002A51CA" w:rsidRPr="005452C3" w:rsidRDefault="002A51CA" w:rsidP="002A51CA">
      <w:pPr>
        <w:rPr>
          <w:b/>
          <w:sz w:val="24"/>
        </w:rPr>
      </w:pPr>
      <w:r w:rsidRPr="005452C3">
        <w:rPr>
          <w:b/>
          <w:sz w:val="24"/>
        </w:rPr>
        <w:t>Table 3 Management of Key Risks to Achieving Objectives</w:t>
      </w:r>
    </w:p>
    <w:tbl>
      <w:tblPr>
        <w:tblW w:w="5000" w:type="pct"/>
        <w:tblCellSpacing w:w="14" w:type="dxa"/>
        <w:tblBorders>
          <w:top w:val="single" w:sz="12" w:space="0" w:color="000000"/>
          <w:bottom w:val="single" w:sz="12" w:space="0" w:color="000000"/>
        </w:tblBorders>
        <w:tblLook w:val="0600" w:firstRow="0" w:lastRow="0" w:firstColumn="0" w:lastColumn="0" w:noHBand="1" w:noVBand="1"/>
      </w:tblPr>
      <w:tblGrid>
        <w:gridCol w:w="2245"/>
        <w:gridCol w:w="2503"/>
        <w:gridCol w:w="2548"/>
        <w:gridCol w:w="2342"/>
      </w:tblGrid>
      <w:tr w:rsidR="00106054" w:rsidRPr="00106054" w:rsidTr="00106054">
        <w:trPr>
          <w:tblHeader/>
          <w:tblCellSpacing w:w="14" w:type="dxa"/>
        </w:trPr>
        <w:tc>
          <w:tcPr>
            <w:tcW w:w="2270" w:type="dxa"/>
            <w:shd w:val="clear" w:color="auto" w:fill="auto"/>
            <w:hideMark/>
          </w:tcPr>
          <w:p w:rsidR="002A51CA" w:rsidRPr="00106054" w:rsidRDefault="002A51CA" w:rsidP="00106054">
            <w:pPr>
              <w:keepLines/>
              <w:spacing w:before="80" w:after="80" w:line="200" w:lineRule="atLeast"/>
              <w:rPr>
                <w:rFonts w:eastAsia="Times New Roman"/>
                <w:b/>
                <w:iCs/>
                <w:sz w:val="17"/>
                <w:szCs w:val="17"/>
              </w:rPr>
            </w:pPr>
            <w:r w:rsidRPr="00106054">
              <w:rPr>
                <w:rFonts w:eastAsia="Times New Roman"/>
                <w:b/>
                <w:iCs/>
                <w:sz w:val="17"/>
                <w:szCs w:val="17"/>
              </w:rPr>
              <w:t>Key risks</w:t>
            </w:r>
          </w:p>
        </w:tc>
        <w:tc>
          <w:tcPr>
            <w:tcW w:w="2544" w:type="dxa"/>
            <w:shd w:val="clear" w:color="auto" w:fill="auto"/>
          </w:tcPr>
          <w:p w:rsidR="002A51CA" w:rsidRPr="00106054" w:rsidRDefault="002A51CA" w:rsidP="00106054">
            <w:pPr>
              <w:keepLines/>
              <w:spacing w:before="80" w:after="80" w:line="200" w:lineRule="atLeast"/>
              <w:rPr>
                <w:rFonts w:eastAsia="Times New Roman"/>
                <w:b/>
                <w:iCs/>
                <w:sz w:val="17"/>
                <w:szCs w:val="17"/>
              </w:rPr>
            </w:pPr>
            <w:r w:rsidRPr="00106054">
              <w:rPr>
                <w:rFonts w:eastAsia="Times New Roman"/>
                <w:b/>
                <w:iCs/>
                <w:sz w:val="17"/>
                <w:szCs w:val="17"/>
              </w:rPr>
              <w:t>What actions were taken to manage the risks over the past year?</w:t>
            </w:r>
          </w:p>
        </w:tc>
        <w:tc>
          <w:tcPr>
            <w:tcW w:w="2604" w:type="dxa"/>
            <w:shd w:val="clear" w:color="auto" w:fill="auto"/>
          </w:tcPr>
          <w:p w:rsidR="002A51CA" w:rsidRPr="00106054" w:rsidRDefault="002A51CA" w:rsidP="00106054">
            <w:pPr>
              <w:keepLines/>
              <w:spacing w:before="80" w:after="80" w:line="200" w:lineRule="atLeast"/>
              <w:rPr>
                <w:rFonts w:eastAsia="Times New Roman"/>
                <w:b/>
                <w:iCs/>
                <w:sz w:val="17"/>
                <w:szCs w:val="17"/>
              </w:rPr>
            </w:pPr>
            <w:r w:rsidRPr="00106054">
              <w:rPr>
                <w:rFonts w:eastAsia="Times New Roman"/>
                <w:b/>
                <w:iCs/>
                <w:sz w:val="17"/>
                <w:szCs w:val="17"/>
              </w:rPr>
              <w:t>What further actions will be taken to manage the risks in the coming year?</w:t>
            </w:r>
          </w:p>
        </w:tc>
        <w:tc>
          <w:tcPr>
            <w:tcW w:w="2352" w:type="dxa"/>
            <w:shd w:val="clear" w:color="auto" w:fill="auto"/>
          </w:tcPr>
          <w:p w:rsidR="002A51CA" w:rsidRPr="00106054" w:rsidRDefault="002A51CA" w:rsidP="00106054">
            <w:pPr>
              <w:keepLines/>
              <w:spacing w:before="80" w:after="80" w:line="200" w:lineRule="atLeast"/>
              <w:rPr>
                <w:rFonts w:eastAsia="Times New Roman"/>
                <w:b/>
                <w:iCs/>
                <w:sz w:val="17"/>
                <w:szCs w:val="17"/>
              </w:rPr>
            </w:pPr>
            <w:r w:rsidRPr="00106054">
              <w:rPr>
                <w:rFonts w:eastAsia="Times New Roman"/>
                <w:b/>
                <w:iCs/>
                <w:sz w:val="17"/>
                <w:szCs w:val="17"/>
              </w:rPr>
              <w:t>For emerging/ongoing risks provide a Risk Rating (low, medium, high, very high)</w:t>
            </w:r>
          </w:p>
        </w:tc>
      </w:tr>
      <w:tr w:rsidR="00106054" w:rsidRPr="00106054" w:rsidTr="00106054">
        <w:trPr>
          <w:trHeight w:val="56"/>
          <w:tblHeader/>
          <w:tblCellSpacing w:w="14" w:type="dxa"/>
        </w:trPr>
        <w:tc>
          <w:tcPr>
            <w:tcW w:w="2270" w:type="dxa"/>
            <w:shd w:val="clear" w:color="auto" w:fill="auto"/>
          </w:tcPr>
          <w:p w:rsidR="00047C01" w:rsidRPr="00106054" w:rsidRDefault="00047C01"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The bilateral relationship deteriorates</w:t>
            </w:r>
            <w:r w:rsidR="000B73E9" w:rsidRPr="00106054">
              <w:rPr>
                <w:rFonts w:ascii="Franklin Gothic Book" w:eastAsia="Times New Roman" w:hAnsi="Franklin Gothic Book"/>
                <w:iCs/>
                <w:sz w:val="17"/>
                <w:szCs w:val="17"/>
                <w:lang w:eastAsia="en-AU"/>
              </w:rPr>
              <w:t xml:space="preserve"> (due to factors outside the program’s </w:t>
            </w:r>
            <w:r w:rsidR="00483FDB" w:rsidRPr="00106054">
              <w:rPr>
                <w:rFonts w:ascii="Franklin Gothic Book" w:eastAsia="Times New Roman" w:hAnsi="Franklin Gothic Book"/>
                <w:iCs/>
                <w:sz w:val="17"/>
                <w:szCs w:val="17"/>
                <w:lang w:eastAsia="en-AU"/>
              </w:rPr>
              <w:t>control</w:t>
            </w:r>
            <w:r w:rsidR="000B73E9" w:rsidRPr="00106054">
              <w:rPr>
                <w:rFonts w:ascii="Franklin Gothic Book" w:eastAsia="Times New Roman" w:hAnsi="Franklin Gothic Book"/>
                <w:iCs/>
                <w:sz w:val="17"/>
                <w:szCs w:val="17"/>
                <w:lang w:eastAsia="en-AU"/>
              </w:rPr>
              <w:t>), impacting our ability to deliver on the economic partnership</w:t>
            </w:r>
            <w:r w:rsidRPr="00106054">
              <w:rPr>
                <w:rFonts w:ascii="Franklin Gothic Book" w:eastAsia="Times New Roman" w:hAnsi="Franklin Gothic Book"/>
                <w:iCs/>
                <w:sz w:val="17"/>
                <w:szCs w:val="17"/>
                <w:lang w:eastAsia="en-AU"/>
              </w:rPr>
              <w:t>.</w:t>
            </w:r>
          </w:p>
        </w:tc>
        <w:tc>
          <w:tcPr>
            <w:tcW w:w="2544" w:type="dxa"/>
            <w:shd w:val="clear" w:color="auto" w:fill="auto"/>
          </w:tcPr>
          <w:p w:rsidR="00047C01" w:rsidRPr="00106054" w:rsidRDefault="00B54EAC"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The bilateral relationship was strong over the past year. We have improved our communication. </w:t>
            </w:r>
          </w:p>
        </w:tc>
        <w:tc>
          <w:tcPr>
            <w:tcW w:w="2604" w:type="dxa"/>
            <w:shd w:val="clear" w:color="auto" w:fill="auto"/>
          </w:tcPr>
          <w:p w:rsidR="00B5716D" w:rsidRPr="00106054" w:rsidRDefault="00B5716D"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We will continue to build strong relationships with key Indonesian Government counterparts to deliver an effective, efficient and resilient aid program. </w:t>
            </w:r>
          </w:p>
          <w:p w:rsidR="00047C01" w:rsidRPr="00106054" w:rsidRDefault="00047C01" w:rsidP="00106054">
            <w:pPr>
              <w:keepLines/>
              <w:spacing w:before="40" w:after="40" w:line="200" w:lineRule="atLeast"/>
              <w:rPr>
                <w:rFonts w:ascii="Franklin Gothic Book" w:eastAsia="Times New Roman" w:hAnsi="Franklin Gothic Book"/>
                <w:iCs/>
                <w:sz w:val="17"/>
                <w:szCs w:val="17"/>
                <w:lang w:eastAsia="en-AU"/>
              </w:rPr>
            </w:pPr>
          </w:p>
        </w:tc>
        <w:tc>
          <w:tcPr>
            <w:tcW w:w="2352" w:type="dxa"/>
            <w:shd w:val="clear" w:color="auto" w:fill="auto"/>
          </w:tcPr>
          <w:p w:rsidR="00047C01" w:rsidRPr="00106054" w:rsidRDefault="0069387D"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Medium </w:t>
            </w:r>
            <w:r w:rsidR="00047C01" w:rsidRPr="00106054">
              <w:rPr>
                <w:rFonts w:ascii="Franklin Gothic Book" w:eastAsia="Times New Roman" w:hAnsi="Franklin Gothic Book"/>
                <w:iCs/>
                <w:sz w:val="17"/>
                <w:szCs w:val="17"/>
                <w:lang w:eastAsia="en-AU"/>
              </w:rPr>
              <w:t xml:space="preserve"> </w:t>
            </w:r>
          </w:p>
        </w:tc>
      </w:tr>
      <w:tr w:rsidR="00106054" w:rsidRPr="00106054" w:rsidTr="00106054">
        <w:trPr>
          <w:trHeight w:val="56"/>
          <w:tblHeader/>
          <w:tblCellSpacing w:w="14" w:type="dxa"/>
        </w:trPr>
        <w:tc>
          <w:tcPr>
            <w:tcW w:w="2270" w:type="dxa"/>
            <w:shd w:val="clear" w:color="auto" w:fill="auto"/>
          </w:tcPr>
          <w:p w:rsidR="002A51CA" w:rsidRPr="00106054" w:rsidRDefault="002A51CA"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Non-compliance with DFAT policies </w:t>
            </w:r>
            <w:r w:rsidR="00047C01" w:rsidRPr="00106054">
              <w:rPr>
                <w:rFonts w:ascii="Franklin Gothic Book" w:eastAsia="Times New Roman" w:hAnsi="Franklin Gothic Book"/>
                <w:iCs/>
                <w:sz w:val="17"/>
                <w:szCs w:val="17"/>
                <w:lang w:eastAsia="en-AU"/>
              </w:rPr>
              <w:t xml:space="preserve">so that </w:t>
            </w:r>
            <w:r w:rsidRPr="00106054">
              <w:rPr>
                <w:rFonts w:ascii="Franklin Gothic Book" w:eastAsia="Times New Roman" w:hAnsi="Franklin Gothic Book"/>
                <w:iCs/>
                <w:sz w:val="17"/>
                <w:szCs w:val="17"/>
                <w:lang w:eastAsia="en-AU"/>
              </w:rPr>
              <w:t xml:space="preserve">program outcomes </w:t>
            </w:r>
            <w:r w:rsidR="00047C01" w:rsidRPr="00106054">
              <w:rPr>
                <w:rFonts w:ascii="Franklin Gothic Book" w:eastAsia="Times New Roman" w:hAnsi="Franklin Gothic Book"/>
                <w:iCs/>
                <w:sz w:val="17"/>
                <w:szCs w:val="17"/>
                <w:lang w:eastAsia="en-AU"/>
              </w:rPr>
              <w:t xml:space="preserve">are put </w:t>
            </w:r>
            <w:r w:rsidRPr="00106054">
              <w:rPr>
                <w:rFonts w:ascii="Franklin Gothic Book" w:eastAsia="Times New Roman" w:hAnsi="Franklin Gothic Book"/>
                <w:iCs/>
                <w:sz w:val="17"/>
                <w:szCs w:val="17"/>
                <w:lang w:eastAsia="en-AU"/>
              </w:rPr>
              <w:t>at risk.</w:t>
            </w:r>
          </w:p>
        </w:tc>
        <w:tc>
          <w:tcPr>
            <w:tcW w:w="2544" w:type="dxa"/>
            <w:shd w:val="clear" w:color="auto" w:fill="auto"/>
          </w:tcPr>
          <w:p w:rsidR="002A51CA" w:rsidRPr="00106054" w:rsidRDefault="002A51CA"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AE3421"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Ongoing monitoring of </w:t>
            </w:r>
            <w:r w:rsidR="00CC4280" w:rsidRPr="00106054">
              <w:rPr>
                <w:rFonts w:ascii="Franklin Gothic Book" w:eastAsia="Times New Roman" w:hAnsi="Franklin Gothic Book"/>
                <w:iCs/>
                <w:sz w:val="17"/>
                <w:szCs w:val="17"/>
                <w:lang w:eastAsia="en-AU"/>
              </w:rPr>
              <w:t xml:space="preserve">due diligence (fraud, child protection), </w:t>
            </w:r>
            <w:r w:rsidRPr="00106054">
              <w:rPr>
                <w:rFonts w:ascii="Franklin Gothic Book" w:eastAsia="Times New Roman" w:hAnsi="Franklin Gothic Book"/>
                <w:iCs/>
                <w:sz w:val="17"/>
                <w:szCs w:val="17"/>
                <w:lang w:eastAsia="en-AU"/>
              </w:rPr>
              <w:t xml:space="preserve">gender, disability and other policies. </w:t>
            </w:r>
            <w:r w:rsidR="007B7A5C" w:rsidRPr="00106054">
              <w:rPr>
                <w:rFonts w:ascii="Franklin Gothic Book" w:eastAsia="Times New Roman" w:hAnsi="Franklin Gothic Book"/>
                <w:iCs/>
                <w:sz w:val="17"/>
                <w:szCs w:val="17"/>
                <w:lang w:eastAsia="en-AU"/>
              </w:rPr>
              <w:t xml:space="preserve"> </w:t>
            </w:r>
          </w:p>
        </w:tc>
        <w:tc>
          <w:tcPr>
            <w:tcW w:w="2604" w:type="dxa"/>
            <w:shd w:val="clear" w:color="auto" w:fill="auto"/>
          </w:tcPr>
          <w:p w:rsidR="002A51CA" w:rsidRPr="00106054" w:rsidRDefault="002A51CA"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We will improve oversight of compliance through more structured monitoring visits and reporting. We will track risk registers, in part</w:t>
            </w:r>
            <w:r w:rsidR="00047C01" w:rsidRPr="00106054">
              <w:rPr>
                <w:rFonts w:ascii="Franklin Gothic Book" w:eastAsia="Times New Roman" w:hAnsi="Franklin Gothic Book"/>
                <w:iCs/>
                <w:sz w:val="17"/>
                <w:szCs w:val="17"/>
                <w:lang w:eastAsia="en-AU"/>
              </w:rPr>
              <w:t>icular for non-compliance risks</w:t>
            </w:r>
            <w:r w:rsidRPr="00106054">
              <w:rPr>
                <w:rFonts w:ascii="Franklin Gothic Book" w:eastAsia="Times New Roman" w:hAnsi="Franklin Gothic Book"/>
                <w:iCs/>
                <w:sz w:val="17"/>
                <w:szCs w:val="17"/>
                <w:lang w:eastAsia="en-AU"/>
              </w:rPr>
              <w:t>.</w:t>
            </w:r>
            <w:r w:rsidR="00047C01" w:rsidRPr="00106054">
              <w:rPr>
                <w:rFonts w:ascii="Franklin Gothic Book" w:eastAsia="Times New Roman" w:hAnsi="Franklin Gothic Book"/>
                <w:iCs/>
                <w:sz w:val="17"/>
                <w:szCs w:val="17"/>
                <w:lang w:eastAsia="en-AU"/>
              </w:rPr>
              <w:t xml:space="preserve"> </w:t>
            </w:r>
          </w:p>
        </w:tc>
        <w:tc>
          <w:tcPr>
            <w:tcW w:w="2352" w:type="dxa"/>
            <w:shd w:val="clear" w:color="auto" w:fill="auto"/>
          </w:tcPr>
          <w:p w:rsidR="002A51CA" w:rsidRPr="00106054" w:rsidRDefault="002A51CA"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7B7A5C" w:rsidP="00106054">
            <w:pPr>
              <w:keepLines/>
              <w:spacing w:before="40" w:after="40" w:line="200" w:lineRule="atLeast"/>
              <w:rPr>
                <w:rFonts w:ascii="Franklin Gothic Book" w:eastAsia="Times New Roman" w:hAnsi="Franklin Gothic Book"/>
                <w:iCs/>
                <w:sz w:val="17"/>
                <w:szCs w:val="17"/>
                <w:lang w:eastAsia="en-AU"/>
              </w:rPr>
            </w:pPr>
          </w:p>
          <w:p w:rsidR="007B7A5C" w:rsidRPr="00106054" w:rsidRDefault="00047C01"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Medium</w:t>
            </w:r>
            <w:r w:rsidR="007B7A5C" w:rsidRPr="00106054">
              <w:rPr>
                <w:rFonts w:ascii="Franklin Gothic Book" w:eastAsia="Times New Roman" w:hAnsi="Franklin Gothic Book"/>
                <w:iCs/>
                <w:sz w:val="17"/>
                <w:szCs w:val="17"/>
                <w:lang w:eastAsia="en-AU"/>
              </w:rPr>
              <w:t xml:space="preserve"> </w:t>
            </w:r>
          </w:p>
        </w:tc>
      </w:tr>
      <w:tr w:rsidR="00106054" w:rsidRPr="00106054" w:rsidTr="00106054">
        <w:trPr>
          <w:trHeight w:val="56"/>
          <w:tblHeader/>
          <w:tblCellSpacing w:w="14" w:type="dxa"/>
        </w:trPr>
        <w:tc>
          <w:tcPr>
            <w:tcW w:w="2270" w:type="dxa"/>
            <w:shd w:val="clear" w:color="auto" w:fill="auto"/>
          </w:tcPr>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047C01" w:rsidRPr="00106054" w:rsidRDefault="00047C01"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Staff capacity and expertise decrease</w:t>
            </w:r>
            <w:r w:rsidR="00466BF0" w:rsidRPr="00106054">
              <w:rPr>
                <w:rFonts w:ascii="Franklin Gothic Book" w:eastAsia="Times New Roman" w:hAnsi="Franklin Gothic Book"/>
                <w:iCs/>
                <w:sz w:val="17"/>
                <w:szCs w:val="17"/>
                <w:lang w:eastAsia="en-AU"/>
              </w:rPr>
              <w:t>s</w:t>
            </w:r>
            <w:r w:rsidRPr="00106054">
              <w:rPr>
                <w:rFonts w:ascii="Franklin Gothic Book" w:eastAsia="Times New Roman" w:hAnsi="Franklin Gothic Book"/>
                <w:iCs/>
                <w:sz w:val="17"/>
                <w:szCs w:val="17"/>
                <w:lang w:eastAsia="en-AU"/>
              </w:rPr>
              <w:t xml:space="preserve">, jeopardising the effective delivery of the program. </w:t>
            </w: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tc>
        <w:tc>
          <w:tcPr>
            <w:tcW w:w="2544" w:type="dxa"/>
            <w:shd w:val="clear" w:color="auto" w:fill="auto"/>
          </w:tcPr>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F708C2" w:rsidRPr="00106054" w:rsidRDefault="006E4F74"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We inves</w:t>
            </w:r>
            <w:r w:rsidR="00B5716D" w:rsidRPr="00106054">
              <w:rPr>
                <w:rFonts w:ascii="Franklin Gothic Book" w:eastAsia="Times New Roman" w:hAnsi="Franklin Gothic Book"/>
                <w:iCs/>
                <w:sz w:val="17"/>
                <w:szCs w:val="17"/>
                <w:lang w:eastAsia="en-AU"/>
              </w:rPr>
              <w:t xml:space="preserve">ted significantly </w:t>
            </w:r>
            <w:r w:rsidR="007709A7" w:rsidRPr="00106054">
              <w:rPr>
                <w:rFonts w:ascii="Franklin Gothic Book" w:eastAsia="Times New Roman" w:hAnsi="Franklin Gothic Book"/>
                <w:iCs/>
                <w:sz w:val="17"/>
                <w:szCs w:val="17"/>
                <w:lang w:eastAsia="en-AU"/>
              </w:rPr>
              <w:t xml:space="preserve">in training on all aspects of program development and management.  We also invested in staff communication, coordination, and teamwork, including more effective desk-post teamwork.  </w:t>
            </w:r>
          </w:p>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tc>
        <w:tc>
          <w:tcPr>
            <w:tcW w:w="2604" w:type="dxa"/>
            <w:shd w:val="clear" w:color="auto" w:fill="auto"/>
          </w:tcPr>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047C01" w:rsidRPr="00106054" w:rsidRDefault="000B73E9"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This is an ongoing risk</w:t>
            </w:r>
            <w:r w:rsidR="007709A7" w:rsidRPr="00106054">
              <w:rPr>
                <w:rFonts w:ascii="Franklin Gothic Book" w:eastAsia="Times New Roman" w:hAnsi="Franklin Gothic Book"/>
                <w:iCs/>
                <w:sz w:val="17"/>
                <w:szCs w:val="17"/>
                <w:lang w:eastAsia="en-AU"/>
              </w:rPr>
              <w:t xml:space="preserve"> which will continue to receive senior management attention</w:t>
            </w:r>
            <w:r w:rsidRPr="00106054">
              <w:rPr>
                <w:rFonts w:ascii="Franklin Gothic Book" w:eastAsia="Times New Roman" w:hAnsi="Franklin Gothic Book"/>
                <w:iCs/>
                <w:sz w:val="17"/>
                <w:szCs w:val="17"/>
                <w:lang w:eastAsia="en-AU"/>
              </w:rPr>
              <w:t xml:space="preserve"> </w:t>
            </w:r>
            <w:r w:rsidR="00BD685C" w:rsidRPr="00106054">
              <w:rPr>
                <w:rFonts w:ascii="Franklin Gothic Book" w:eastAsia="Times New Roman" w:hAnsi="Franklin Gothic Book"/>
                <w:iCs/>
                <w:sz w:val="17"/>
                <w:szCs w:val="17"/>
                <w:lang w:eastAsia="en-AU"/>
              </w:rPr>
              <w:t xml:space="preserve">– see management responses for more detail. </w:t>
            </w: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tc>
        <w:tc>
          <w:tcPr>
            <w:tcW w:w="2352" w:type="dxa"/>
            <w:shd w:val="clear" w:color="auto" w:fill="auto"/>
          </w:tcPr>
          <w:p w:rsidR="00F708C2" w:rsidRPr="00106054" w:rsidRDefault="00F708C2" w:rsidP="00106054">
            <w:pPr>
              <w:keepLines/>
              <w:spacing w:before="40" w:after="40" w:line="200" w:lineRule="atLeast"/>
              <w:rPr>
                <w:rFonts w:ascii="Franklin Gothic Book" w:eastAsia="Times New Roman" w:hAnsi="Franklin Gothic Book"/>
                <w:iCs/>
                <w:sz w:val="17"/>
                <w:szCs w:val="17"/>
                <w:lang w:eastAsia="en-AU"/>
              </w:rPr>
            </w:pPr>
          </w:p>
          <w:p w:rsidR="00047C01" w:rsidRPr="00106054" w:rsidRDefault="00047C01"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High </w:t>
            </w: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p w:rsidR="008E261A" w:rsidRPr="00106054" w:rsidRDefault="008E261A" w:rsidP="00106054">
            <w:pPr>
              <w:keepLines/>
              <w:spacing w:before="40" w:after="40" w:line="200" w:lineRule="atLeast"/>
              <w:rPr>
                <w:rFonts w:ascii="Franklin Gothic Book" w:eastAsia="Times New Roman" w:hAnsi="Franklin Gothic Book"/>
                <w:iCs/>
                <w:sz w:val="17"/>
                <w:szCs w:val="17"/>
                <w:lang w:eastAsia="en-AU"/>
              </w:rPr>
            </w:pPr>
          </w:p>
        </w:tc>
      </w:tr>
      <w:tr w:rsidR="00106054" w:rsidRPr="00106054" w:rsidTr="00106054">
        <w:trPr>
          <w:trHeight w:val="56"/>
          <w:tblHeader/>
          <w:tblCellSpacing w:w="14" w:type="dxa"/>
        </w:trPr>
        <w:tc>
          <w:tcPr>
            <w:tcW w:w="2270" w:type="dxa"/>
            <w:shd w:val="clear" w:color="auto" w:fill="auto"/>
          </w:tcPr>
          <w:p w:rsidR="00443C1A" w:rsidRPr="00106054" w:rsidRDefault="00443C1A" w:rsidP="00106054">
            <w:pPr>
              <w:keepLines/>
              <w:spacing w:before="40" w:after="40" w:line="200" w:lineRule="atLeast"/>
              <w:rPr>
                <w:rFonts w:ascii="Franklin Gothic Book" w:eastAsia="Times New Roman" w:hAnsi="Franklin Gothic Book"/>
                <w:iCs/>
                <w:sz w:val="17"/>
                <w:szCs w:val="17"/>
                <w:lang w:eastAsia="en-AU"/>
              </w:rPr>
            </w:pPr>
          </w:p>
          <w:p w:rsidR="00483FDB" w:rsidRPr="00106054" w:rsidRDefault="00483FDB"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A natural disaster</w:t>
            </w:r>
            <w:r w:rsidR="00443C1A" w:rsidRPr="00106054">
              <w:rPr>
                <w:rFonts w:ascii="Franklin Gothic Book" w:eastAsia="Times New Roman" w:hAnsi="Franklin Gothic Book"/>
                <w:iCs/>
                <w:sz w:val="17"/>
                <w:szCs w:val="17"/>
                <w:lang w:eastAsia="en-AU"/>
              </w:rPr>
              <w:t xml:space="preserve"> or a terrorist attack </w:t>
            </w:r>
            <w:r w:rsidRPr="00106054">
              <w:rPr>
                <w:rFonts w:ascii="Franklin Gothic Book" w:eastAsia="Times New Roman" w:hAnsi="Franklin Gothic Book"/>
                <w:iCs/>
                <w:sz w:val="17"/>
                <w:szCs w:val="17"/>
                <w:lang w:eastAsia="en-AU"/>
              </w:rPr>
              <w:t xml:space="preserve">impacts on our ability to deliver on our investments. </w:t>
            </w:r>
          </w:p>
        </w:tc>
        <w:tc>
          <w:tcPr>
            <w:tcW w:w="2544" w:type="dxa"/>
            <w:shd w:val="clear" w:color="auto" w:fill="auto"/>
          </w:tcPr>
          <w:p w:rsidR="00483FDB" w:rsidRPr="00106054" w:rsidRDefault="00483FDB" w:rsidP="00106054">
            <w:pPr>
              <w:keepLines/>
              <w:spacing w:before="40" w:after="40" w:line="200" w:lineRule="atLeast"/>
              <w:rPr>
                <w:rFonts w:ascii="Franklin Gothic Book" w:eastAsia="Times New Roman" w:hAnsi="Franklin Gothic Book"/>
                <w:iCs/>
                <w:sz w:val="17"/>
                <w:szCs w:val="17"/>
                <w:lang w:eastAsia="en-AU"/>
              </w:rPr>
            </w:pPr>
          </w:p>
          <w:p w:rsidR="00443C1A" w:rsidRPr="00106054" w:rsidRDefault="00443C1A"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Our investments acknowledge Indonesia’s vulnerability to natural disasters and the global threat of terrorism. </w:t>
            </w:r>
          </w:p>
        </w:tc>
        <w:tc>
          <w:tcPr>
            <w:tcW w:w="2604" w:type="dxa"/>
            <w:shd w:val="clear" w:color="auto" w:fill="auto"/>
          </w:tcPr>
          <w:p w:rsidR="00483FDB" w:rsidRPr="00106054" w:rsidRDefault="00483FDB" w:rsidP="00106054">
            <w:pPr>
              <w:keepLines/>
              <w:spacing w:before="40" w:after="40" w:line="200" w:lineRule="atLeast"/>
              <w:rPr>
                <w:rFonts w:ascii="Franklin Gothic Book" w:eastAsia="Times New Roman" w:hAnsi="Franklin Gothic Book"/>
                <w:iCs/>
                <w:sz w:val="17"/>
                <w:szCs w:val="17"/>
                <w:lang w:eastAsia="en-AU"/>
              </w:rPr>
            </w:pPr>
          </w:p>
          <w:p w:rsidR="00443C1A" w:rsidRPr="00106054" w:rsidRDefault="00443C1A"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This is </w:t>
            </w:r>
            <w:r w:rsidR="00466BF0" w:rsidRPr="00106054">
              <w:rPr>
                <w:rFonts w:ascii="Franklin Gothic Book" w:eastAsia="Times New Roman" w:hAnsi="Franklin Gothic Book"/>
                <w:iCs/>
                <w:sz w:val="17"/>
                <w:szCs w:val="17"/>
                <w:lang w:eastAsia="en-AU"/>
              </w:rPr>
              <w:t>an</w:t>
            </w:r>
            <w:r w:rsidR="0021268B" w:rsidRPr="00106054">
              <w:rPr>
                <w:rFonts w:ascii="Franklin Gothic Book" w:eastAsia="Times New Roman" w:hAnsi="Franklin Gothic Book"/>
                <w:iCs/>
                <w:sz w:val="17"/>
                <w:szCs w:val="17"/>
                <w:lang w:eastAsia="en-AU"/>
              </w:rPr>
              <w:t xml:space="preserve"> </w:t>
            </w:r>
            <w:r w:rsidRPr="00106054">
              <w:rPr>
                <w:rFonts w:ascii="Franklin Gothic Book" w:eastAsia="Times New Roman" w:hAnsi="Franklin Gothic Book"/>
                <w:iCs/>
                <w:sz w:val="17"/>
                <w:szCs w:val="17"/>
                <w:lang w:eastAsia="en-AU"/>
              </w:rPr>
              <w:t xml:space="preserve">ongoing risk and </w:t>
            </w:r>
            <w:r w:rsidR="0021268B" w:rsidRPr="00106054">
              <w:rPr>
                <w:rFonts w:ascii="Franklin Gothic Book" w:eastAsia="Times New Roman" w:hAnsi="Franklin Gothic Book"/>
                <w:iCs/>
                <w:sz w:val="17"/>
                <w:szCs w:val="17"/>
                <w:lang w:eastAsia="en-AU"/>
              </w:rPr>
              <w:t>individual plans</w:t>
            </w:r>
            <w:r w:rsidRPr="00106054">
              <w:rPr>
                <w:rFonts w:ascii="Franklin Gothic Book" w:eastAsia="Times New Roman" w:hAnsi="Franklin Gothic Book"/>
                <w:iCs/>
                <w:sz w:val="17"/>
                <w:szCs w:val="17"/>
                <w:lang w:eastAsia="en-AU"/>
              </w:rPr>
              <w:t xml:space="preserve"> will continue to be updated as appropriate. </w:t>
            </w:r>
          </w:p>
        </w:tc>
        <w:tc>
          <w:tcPr>
            <w:tcW w:w="2352" w:type="dxa"/>
            <w:shd w:val="clear" w:color="auto" w:fill="auto"/>
          </w:tcPr>
          <w:p w:rsidR="00483FDB" w:rsidRPr="00106054" w:rsidRDefault="00483FDB" w:rsidP="00106054">
            <w:pPr>
              <w:keepLines/>
              <w:spacing w:before="40" w:after="40" w:line="200" w:lineRule="atLeast"/>
              <w:rPr>
                <w:rFonts w:ascii="Franklin Gothic Book" w:eastAsia="Times New Roman" w:hAnsi="Franklin Gothic Book"/>
                <w:iCs/>
                <w:sz w:val="17"/>
                <w:szCs w:val="17"/>
                <w:lang w:eastAsia="en-AU"/>
              </w:rPr>
            </w:pPr>
          </w:p>
          <w:p w:rsidR="00443C1A" w:rsidRPr="00106054" w:rsidRDefault="00443C1A"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Medium </w:t>
            </w:r>
          </w:p>
        </w:tc>
      </w:tr>
    </w:tbl>
    <w:p w:rsidR="003B0A07" w:rsidRPr="00106054" w:rsidRDefault="003B0A07">
      <w:pPr>
        <w:suppressAutoHyphens w:val="0"/>
        <w:spacing w:before="0" w:after="120" w:line="440" w:lineRule="atLeast"/>
        <w:rPr>
          <w:rFonts w:ascii="Calibri" w:eastAsia="Times New Roman" w:hAnsi="Calibri"/>
          <w:caps/>
          <w:sz w:val="38"/>
          <w:szCs w:val="26"/>
        </w:rPr>
      </w:pPr>
      <w:r>
        <w:br w:type="page"/>
      </w:r>
    </w:p>
    <w:p w:rsidR="002A51CA" w:rsidRPr="00F94E9C" w:rsidRDefault="002A51CA" w:rsidP="002A51CA">
      <w:pPr>
        <w:pStyle w:val="Heading2"/>
      </w:pPr>
      <w:r w:rsidRPr="00F94E9C">
        <w:lastRenderedPageBreak/>
        <w:t>Management Responses</w:t>
      </w:r>
      <w:r w:rsidRPr="00F94E9C">
        <w:tab/>
      </w:r>
      <w:r w:rsidRPr="00F94E9C">
        <w:tab/>
      </w:r>
    </w:p>
    <w:p w:rsidR="007B379D" w:rsidRPr="00C458FC" w:rsidRDefault="007B379D" w:rsidP="007B379D">
      <w:r w:rsidRPr="00C458FC">
        <w:t>Management responses identified in the 2014-15 APPR focus</w:t>
      </w:r>
      <w:r w:rsidR="00805B4B">
        <w:t>s</w:t>
      </w:r>
      <w:r w:rsidRPr="00C458FC">
        <w:t>ed on putting the A</w:t>
      </w:r>
      <w:r w:rsidR="004A6088">
        <w:t xml:space="preserve">id </w:t>
      </w:r>
      <w:r w:rsidRPr="00C458FC">
        <w:t>I</w:t>
      </w:r>
      <w:r w:rsidR="004A6088">
        <w:t xml:space="preserve">nvestment </w:t>
      </w:r>
      <w:r w:rsidRPr="00C458FC">
        <w:t>P</w:t>
      </w:r>
      <w:r w:rsidR="004A6088">
        <w:t>lan</w:t>
      </w:r>
      <w:r w:rsidRPr="00C458FC">
        <w:t xml:space="preserve"> into pract</w:t>
      </w:r>
      <w:r w:rsidR="003E70EF">
        <w:t>ice. Three were achieved and three</w:t>
      </w:r>
      <w:r w:rsidRPr="00C458FC">
        <w:t xml:space="preserve"> remain a </w:t>
      </w:r>
      <w:r w:rsidR="007040BE">
        <w:t xml:space="preserve">work in progress (see Annex A).  </w:t>
      </w:r>
      <w:r w:rsidRPr="00C458FC">
        <w:t xml:space="preserve">This year we will focus </w:t>
      </w:r>
      <w:r w:rsidR="00A156C7">
        <w:t>on ensuring</w:t>
      </w:r>
      <w:r w:rsidRPr="00C458FC">
        <w:t xml:space="preserve"> that our investments provide relevant and quality policy a</w:t>
      </w:r>
      <w:r w:rsidR="007040BE">
        <w:t xml:space="preserve">dvice and technical assistance.  </w:t>
      </w:r>
      <w:r w:rsidRPr="00C458FC">
        <w:t xml:space="preserve">Equally important will be increasing our efforts to measure and communicate the results of our policy advice and technical assistance to Australian and Indonesian stakeholders. </w:t>
      </w:r>
    </w:p>
    <w:p w:rsidR="007B379D" w:rsidRDefault="007B379D" w:rsidP="007B379D">
      <w:r w:rsidRPr="00C458FC">
        <w:t xml:space="preserve">We will: </w:t>
      </w:r>
    </w:p>
    <w:p w:rsidR="007B379D" w:rsidRPr="00C458FC" w:rsidRDefault="007B379D" w:rsidP="007B379D"/>
    <w:p w:rsidR="007B379D" w:rsidRPr="00500A53" w:rsidRDefault="007B379D" w:rsidP="007B379D">
      <w:pPr>
        <w:pStyle w:val="ListParagraph"/>
        <w:numPr>
          <w:ilvl w:val="0"/>
          <w:numId w:val="22"/>
        </w:numPr>
        <w:suppressAutoHyphens w:val="0"/>
        <w:spacing w:before="0" w:after="0" w:line="240" w:lineRule="auto"/>
      </w:pPr>
      <w:r w:rsidRPr="00C458FC">
        <w:t>Continue to reorient our investments to provide the quality of assistance which earns us the position as Indonesia’s partner of choice</w:t>
      </w:r>
      <w:r w:rsidR="00A156C7">
        <w:t>.</w:t>
      </w:r>
    </w:p>
    <w:p w:rsidR="00A156C7" w:rsidRDefault="007B379D" w:rsidP="007B379D">
      <w:pPr>
        <w:ind w:left="360"/>
      </w:pPr>
      <w:r w:rsidRPr="00C458FC">
        <w:t xml:space="preserve">Design priorities in infrastructure and </w:t>
      </w:r>
      <w:r w:rsidR="00466BF0">
        <w:t xml:space="preserve">economic </w:t>
      </w:r>
      <w:r w:rsidRPr="00C458FC">
        <w:t>governance identified last year progressed well in 2</w:t>
      </w:r>
      <w:r w:rsidR="004A6088">
        <w:t>015</w:t>
      </w:r>
      <w:r w:rsidR="004A6088">
        <w:noBreakHyphen/>
      </w:r>
      <w:r>
        <w:t>16 but will continue in 2016-17</w:t>
      </w:r>
      <w:r w:rsidR="007040BE">
        <w:t xml:space="preserve">.  </w:t>
      </w:r>
      <w:r w:rsidRPr="00C458FC">
        <w:t xml:space="preserve">Strong teams using Canberra and Post-based staff are in place but a significant design load needs to be resourced throughout 2016-17. </w:t>
      </w:r>
    </w:p>
    <w:p w:rsidR="007B379D" w:rsidRPr="00C458FC" w:rsidRDefault="007B379D" w:rsidP="007B379D">
      <w:pPr>
        <w:ind w:left="360"/>
      </w:pPr>
      <w:r w:rsidRPr="00C458FC">
        <w:t xml:space="preserve">We will provide sustained management attention to make sure designs: </w:t>
      </w:r>
    </w:p>
    <w:p w:rsidR="007B379D" w:rsidRPr="00C458FC" w:rsidRDefault="007B379D" w:rsidP="007B379D">
      <w:pPr>
        <w:pStyle w:val="ListParagraph"/>
        <w:numPr>
          <w:ilvl w:val="0"/>
          <w:numId w:val="21"/>
        </w:numPr>
        <w:suppressAutoHyphens w:val="0"/>
        <w:spacing w:before="0" w:after="0" w:line="240" w:lineRule="auto"/>
      </w:pPr>
      <w:r w:rsidRPr="00C458FC">
        <w:t>Align with Australian and Indonesian strategic interests</w:t>
      </w:r>
      <w:r>
        <w:t xml:space="preserve">; </w:t>
      </w:r>
    </w:p>
    <w:p w:rsidR="007B379D" w:rsidRPr="00C458FC" w:rsidRDefault="007B379D" w:rsidP="007B379D">
      <w:pPr>
        <w:pStyle w:val="ListParagraph"/>
        <w:numPr>
          <w:ilvl w:val="0"/>
          <w:numId w:val="21"/>
        </w:numPr>
        <w:suppressAutoHyphens w:val="0"/>
        <w:spacing w:before="0" w:after="0" w:line="240" w:lineRule="auto"/>
      </w:pPr>
      <w:r w:rsidRPr="00C458FC">
        <w:t>Are completed efficiently with sufficient resources</w:t>
      </w:r>
      <w:r>
        <w:t xml:space="preserve">; and </w:t>
      </w:r>
    </w:p>
    <w:p w:rsidR="007B379D" w:rsidRDefault="007B379D" w:rsidP="007B379D">
      <w:pPr>
        <w:pStyle w:val="ListParagraph"/>
        <w:numPr>
          <w:ilvl w:val="0"/>
          <w:numId w:val="21"/>
        </w:numPr>
        <w:suppressAutoHyphens w:val="0"/>
        <w:spacing w:before="0" w:after="0" w:line="240" w:lineRule="auto"/>
      </w:pPr>
      <w:r w:rsidRPr="00C458FC">
        <w:t>Identify implementation arrangements appropriate for the number of staff we have to manage them.</w:t>
      </w:r>
    </w:p>
    <w:p w:rsidR="00BA17CC" w:rsidRPr="00BA17CC" w:rsidRDefault="00BA17CC" w:rsidP="00BA17CC">
      <w:pPr>
        <w:pStyle w:val="ListParagraph"/>
        <w:suppressAutoHyphens w:val="0"/>
        <w:spacing w:before="0" w:after="0" w:line="240" w:lineRule="auto"/>
      </w:pPr>
    </w:p>
    <w:p w:rsidR="007B379D" w:rsidRPr="00500A53" w:rsidRDefault="007B379D" w:rsidP="00500A53">
      <w:pPr>
        <w:pStyle w:val="ListParagraph"/>
        <w:numPr>
          <w:ilvl w:val="0"/>
          <w:numId w:val="22"/>
        </w:numPr>
        <w:suppressAutoHyphens w:val="0"/>
        <w:spacing w:before="0" w:after="0" w:line="240" w:lineRule="auto"/>
      </w:pPr>
      <w:r w:rsidRPr="00C458FC">
        <w:t>Further improve the program’s gender equality outcomes</w:t>
      </w:r>
      <w:r w:rsidR="00A156C7">
        <w:t>.</w:t>
      </w:r>
    </w:p>
    <w:p w:rsidR="00A156C7" w:rsidRDefault="007B379D" w:rsidP="007B379D">
      <w:pPr>
        <w:ind w:left="360"/>
      </w:pPr>
      <w:r>
        <w:t>While our gender equality scores</w:t>
      </w:r>
      <w:r w:rsidRPr="007B379D">
        <w:t xml:space="preserve"> improved since last year from 69 per cent to 73 pe</w:t>
      </w:r>
      <w:r>
        <w:t>r cent</w:t>
      </w:r>
      <w:r w:rsidRPr="00C458FC">
        <w:t xml:space="preserve">, </w:t>
      </w:r>
      <w:r>
        <w:t xml:space="preserve">and </w:t>
      </w:r>
      <w:r w:rsidR="00030986">
        <w:t>we put in place a gender action p</w:t>
      </w:r>
      <w:r w:rsidRPr="00C458FC">
        <w:t>lan in 2015-16</w:t>
      </w:r>
      <w:r>
        <w:t xml:space="preserve">, </w:t>
      </w:r>
      <w:r w:rsidR="00030986">
        <w:t>our aid quality check</w:t>
      </w:r>
      <w:r w:rsidRPr="00C458FC">
        <w:t xml:space="preserve"> scores show that many of our programs in which gender equality is not a primary objective are not yet meeting expectations. </w:t>
      </w:r>
    </w:p>
    <w:p w:rsidR="007B379D" w:rsidRPr="00C458FC" w:rsidRDefault="007B379D" w:rsidP="007B379D">
      <w:pPr>
        <w:ind w:left="360"/>
      </w:pPr>
      <w:r w:rsidRPr="00C458FC">
        <w:t>We will:</w:t>
      </w:r>
    </w:p>
    <w:p w:rsidR="007B379D" w:rsidRPr="00C458FC" w:rsidRDefault="007B379D" w:rsidP="007B379D">
      <w:pPr>
        <w:pStyle w:val="ListParagraph"/>
        <w:numPr>
          <w:ilvl w:val="0"/>
          <w:numId w:val="21"/>
        </w:numPr>
        <w:suppressAutoHyphens w:val="0"/>
        <w:spacing w:before="0" w:after="0" w:line="240" w:lineRule="auto"/>
      </w:pPr>
      <w:r w:rsidRPr="00C458FC">
        <w:t>Continue to prioritise our</w:t>
      </w:r>
      <w:r>
        <w:t xml:space="preserve"> reinvigorated</w:t>
      </w:r>
      <w:r w:rsidR="00616CD9">
        <w:t xml:space="preserve"> gender focal p</w:t>
      </w:r>
      <w:r w:rsidRPr="00C458FC">
        <w:t xml:space="preserve">oint network and </w:t>
      </w:r>
      <w:r w:rsidR="00EC73CB">
        <w:t xml:space="preserve">schedule cross-program </w:t>
      </w:r>
      <w:r w:rsidRPr="00C458FC">
        <w:t>regular roundtables with staff and implementing partners to share lessons across the program, particularly from high performing gender programs such as MAMPU</w:t>
      </w:r>
      <w:r w:rsidR="00EC73CB">
        <w:t xml:space="preserve"> and on priority areas such as women’s economic empowerment</w:t>
      </w:r>
      <w:r>
        <w:t xml:space="preserve">; </w:t>
      </w:r>
    </w:p>
    <w:p w:rsidR="007B379D" w:rsidRDefault="007709A7" w:rsidP="007B379D">
      <w:pPr>
        <w:pStyle w:val="ListParagraph"/>
        <w:numPr>
          <w:ilvl w:val="0"/>
          <w:numId w:val="21"/>
        </w:numPr>
        <w:suppressAutoHyphens w:val="0"/>
        <w:spacing w:before="0" w:after="0" w:line="240" w:lineRule="auto"/>
      </w:pPr>
      <w:r>
        <w:t xml:space="preserve">Develop and implement plans </w:t>
      </w:r>
      <w:r w:rsidR="007B379D" w:rsidRPr="00C458FC">
        <w:t xml:space="preserve">to improve gender equality outcomes in investments which </w:t>
      </w:r>
      <w:r w:rsidR="005F18A2">
        <w:t>were less than satisfactory in aid quality check</w:t>
      </w:r>
      <w:r w:rsidR="007B379D" w:rsidRPr="00C458FC">
        <w:t xml:space="preserve"> gender scores, </w:t>
      </w:r>
      <w:r w:rsidR="007B379D">
        <w:t>especially in the economic governance, infrastructure, huma</w:t>
      </w:r>
      <w:r w:rsidR="00C20600">
        <w:t xml:space="preserve">nitarian and education sectors; </w:t>
      </w:r>
    </w:p>
    <w:p w:rsidR="00C20600" w:rsidRPr="00C20600" w:rsidRDefault="00227A68" w:rsidP="00C20600">
      <w:pPr>
        <w:pStyle w:val="ListParagraph"/>
        <w:numPr>
          <w:ilvl w:val="0"/>
          <w:numId w:val="21"/>
        </w:numPr>
        <w:suppressAutoHyphens w:val="0"/>
        <w:spacing w:before="0" w:after="0" w:line="240" w:lineRule="auto"/>
      </w:pPr>
      <w:r>
        <w:t>A</w:t>
      </w:r>
      <w:r w:rsidR="00C20600" w:rsidRPr="00C20600">
        <w:t>ppoint a gender champion from senior management at post to help drive coordination on development across the three branches; and</w:t>
      </w:r>
    </w:p>
    <w:p w:rsidR="00C20600" w:rsidRPr="00C20600" w:rsidRDefault="00227A68" w:rsidP="00C20600">
      <w:pPr>
        <w:pStyle w:val="ListParagraph"/>
        <w:numPr>
          <w:ilvl w:val="0"/>
          <w:numId w:val="21"/>
        </w:numPr>
        <w:suppressAutoHyphens w:val="0"/>
        <w:spacing w:before="0" w:after="0" w:line="240" w:lineRule="auto"/>
      </w:pPr>
      <w:r>
        <w:t>U</w:t>
      </w:r>
      <w:r w:rsidR="00C20600" w:rsidRPr="00C20600">
        <w:t xml:space="preserve">ndertake at least one cross-program assessment of options to further strengthen </w:t>
      </w:r>
      <w:r w:rsidR="000A5E90">
        <w:t>our</w:t>
      </w:r>
      <w:r w:rsidR="00C20600" w:rsidRPr="00C20600">
        <w:t xml:space="preserve"> contribution to advancing implementation of the DFAT Gender Equality a</w:t>
      </w:r>
      <w:r w:rsidR="00C20600">
        <w:t>nd Women’s Empowerment Strategy</w:t>
      </w:r>
      <w:r w:rsidR="00C20600" w:rsidRPr="00C20600">
        <w:t>.</w:t>
      </w:r>
    </w:p>
    <w:p w:rsidR="00F708C2" w:rsidRPr="00F708C2" w:rsidRDefault="00F708C2" w:rsidP="00F708C2">
      <w:pPr>
        <w:pStyle w:val="ListParagraph"/>
        <w:suppressAutoHyphens w:val="0"/>
        <w:spacing w:before="0" w:after="0" w:line="240" w:lineRule="auto"/>
      </w:pPr>
    </w:p>
    <w:p w:rsidR="007B379D" w:rsidRPr="007B379D" w:rsidRDefault="007B379D" w:rsidP="007B379D">
      <w:pPr>
        <w:pStyle w:val="ListParagraph"/>
        <w:numPr>
          <w:ilvl w:val="0"/>
          <w:numId w:val="22"/>
        </w:numPr>
        <w:suppressAutoHyphens w:val="0"/>
        <w:spacing w:before="0" w:after="0" w:line="240" w:lineRule="auto"/>
      </w:pPr>
      <w:r w:rsidRPr="00C458FC">
        <w:t xml:space="preserve"> Invest in our staff’s ability to deliver quality technical advice</w:t>
      </w:r>
      <w:r w:rsidR="00A156C7">
        <w:t>.</w:t>
      </w:r>
    </w:p>
    <w:p w:rsidR="007B379D" w:rsidRPr="00C458FC" w:rsidRDefault="007B379D" w:rsidP="007B379D">
      <w:pPr>
        <w:ind w:left="360"/>
      </w:pPr>
      <w:r w:rsidRPr="00C458FC">
        <w:t xml:space="preserve">Efforts in 2015-16 to recruit, train and mentor our staff are paying off but this year we will focus on ensuring our Australian and locally engaged staff are </w:t>
      </w:r>
      <w:r w:rsidR="006957CF">
        <w:t xml:space="preserve">better </w:t>
      </w:r>
      <w:r w:rsidRPr="00C458FC">
        <w:t xml:space="preserve">equipped to deliver, and support implementing partners to deliver, relevant, responsive and quality policy advice and technical assistance.  We will: </w:t>
      </w:r>
    </w:p>
    <w:p w:rsidR="007B379D" w:rsidRPr="00BA17CC" w:rsidRDefault="007B379D" w:rsidP="00BA17CC">
      <w:pPr>
        <w:pStyle w:val="ListParagraph"/>
        <w:numPr>
          <w:ilvl w:val="0"/>
          <w:numId w:val="21"/>
        </w:numPr>
      </w:pPr>
      <w:r w:rsidRPr="00BA17CC">
        <w:t xml:space="preserve">Provide training and mentoring to staff to enable them to </w:t>
      </w:r>
      <w:r w:rsidR="006957CF" w:rsidRPr="00BA17CC">
        <w:t xml:space="preserve">more </w:t>
      </w:r>
      <w:r w:rsidRPr="00BA17CC">
        <w:t>strategically manage programs providing policy advice and technical assistance while maintaining Australian Government engagement with Indonesian partners. This will require investing in staff’s expertise in relevant technical areas as well as building their re</w:t>
      </w:r>
      <w:r w:rsidR="00AF395A" w:rsidRPr="00BA17CC">
        <w:t xml:space="preserve">lationship management skills; and </w:t>
      </w:r>
    </w:p>
    <w:p w:rsidR="001D4780" w:rsidRPr="00C20600" w:rsidRDefault="007B379D" w:rsidP="00C20600">
      <w:pPr>
        <w:pStyle w:val="ListParagraph"/>
        <w:numPr>
          <w:ilvl w:val="0"/>
          <w:numId w:val="21"/>
        </w:numPr>
        <w:suppressAutoHyphens w:val="0"/>
        <w:spacing w:before="0" w:after="0" w:line="240" w:lineRule="auto"/>
      </w:pPr>
      <w:r w:rsidRPr="00C458FC">
        <w:t xml:space="preserve">Continue to ensure that Desk and central aid management areas in Canberra provide adequate ongoing support in key areas including procurement and contracting. </w:t>
      </w:r>
    </w:p>
    <w:p w:rsidR="001D4780" w:rsidRPr="00C458FC" w:rsidRDefault="001D4780" w:rsidP="007B379D">
      <w:pPr>
        <w:pStyle w:val="ListParagraph"/>
      </w:pPr>
    </w:p>
    <w:p w:rsidR="007B379D" w:rsidRPr="00500A53" w:rsidRDefault="007B379D" w:rsidP="00500A53">
      <w:pPr>
        <w:pStyle w:val="ListParagraph"/>
        <w:numPr>
          <w:ilvl w:val="0"/>
          <w:numId w:val="22"/>
        </w:numPr>
        <w:suppressAutoHyphens w:val="0"/>
        <w:spacing w:before="0" w:after="0" w:line="240" w:lineRule="auto"/>
      </w:pPr>
      <w:r w:rsidRPr="00C458FC">
        <w:t>Improve our ability to measure our results in policy advice and technical assistance</w:t>
      </w:r>
      <w:r w:rsidR="00BA17CC">
        <w:t>.</w:t>
      </w:r>
    </w:p>
    <w:p w:rsidR="00BA17CC" w:rsidRDefault="00500A53" w:rsidP="00BA17CC">
      <w:pPr>
        <w:ind w:left="360"/>
      </w:pPr>
      <w:r>
        <w:t>Finalising our Performance Assessment F</w:t>
      </w:r>
      <w:r w:rsidR="007B379D" w:rsidRPr="00C458FC">
        <w:t>ramework was a sign</w:t>
      </w:r>
      <w:r w:rsidR="007040BE">
        <w:t xml:space="preserve">ificant achievement in 2015-16.  </w:t>
      </w:r>
      <w:r w:rsidR="007B379D" w:rsidRPr="00C458FC">
        <w:t xml:space="preserve">A number of indicators require us to measure significant policy change. </w:t>
      </w:r>
    </w:p>
    <w:p w:rsidR="00BA17CC" w:rsidRDefault="007B379D" w:rsidP="00BA17CC">
      <w:pPr>
        <w:ind w:left="360"/>
      </w:pPr>
      <w:r w:rsidRPr="00C458FC">
        <w:t>In 201</w:t>
      </w:r>
      <w:r>
        <w:t>6-17</w:t>
      </w:r>
      <w:r w:rsidR="00BA17CC">
        <w:t xml:space="preserve"> we will:</w:t>
      </w:r>
    </w:p>
    <w:p w:rsidR="00BA17CC" w:rsidRDefault="00BA17CC" w:rsidP="00BA17CC">
      <w:pPr>
        <w:pStyle w:val="ListParagraph"/>
        <w:numPr>
          <w:ilvl w:val="0"/>
          <w:numId w:val="21"/>
        </w:numPr>
      </w:pPr>
      <w:r w:rsidRPr="00BA17CC">
        <w:t>D</w:t>
      </w:r>
      <w:r w:rsidR="007B379D" w:rsidRPr="00BA17CC">
        <w:t>evelop a system to collect rigorous and complete data on our policy impact including a cross-program team to assess the significance of the change for Indonesia’s and Australia’s national interests and the level of Australia’s</w:t>
      </w:r>
      <w:r>
        <w:t xml:space="preserve"> contribution to this change; and </w:t>
      </w:r>
    </w:p>
    <w:p w:rsidR="007B379D" w:rsidRPr="00BA17CC" w:rsidRDefault="007B379D" w:rsidP="00BA17CC">
      <w:pPr>
        <w:pStyle w:val="ListParagraph"/>
        <w:numPr>
          <w:ilvl w:val="0"/>
          <w:numId w:val="21"/>
        </w:numPr>
      </w:pPr>
      <w:r w:rsidRPr="00BA17CC">
        <w:t xml:space="preserve">Given many of Australia’s programs in other countries are shifting to economic partnerships, we will share lessons learned in developing this system with relevant areas of </w:t>
      </w:r>
      <w:r w:rsidR="00466BF0">
        <w:t>DFAT</w:t>
      </w:r>
      <w:r w:rsidRPr="00BA17CC">
        <w:t xml:space="preserve">. </w:t>
      </w:r>
    </w:p>
    <w:p w:rsidR="00500A53" w:rsidRPr="00C458FC" w:rsidRDefault="00500A53" w:rsidP="00500A53"/>
    <w:p w:rsidR="007B379D" w:rsidRPr="007B379D" w:rsidRDefault="007B379D" w:rsidP="007B379D">
      <w:pPr>
        <w:pStyle w:val="ListParagraph"/>
        <w:numPr>
          <w:ilvl w:val="0"/>
          <w:numId w:val="22"/>
        </w:numPr>
        <w:suppressAutoHyphens w:val="0"/>
        <w:spacing w:before="0" w:after="0" w:line="240" w:lineRule="auto"/>
      </w:pPr>
      <w:r w:rsidRPr="00C458FC">
        <w:t>Increase the effectiveness of our communications</w:t>
      </w:r>
    </w:p>
    <w:p w:rsidR="00BA17CC" w:rsidRDefault="007B379D" w:rsidP="007B379D">
      <w:pPr>
        <w:ind w:left="360"/>
      </w:pPr>
      <w:r w:rsidRPr="00C458FC">
        <w:t>While we increased our social media presenc</w:t>
      </w:r>
      <w:r>
        <w:t>e last year, our efforts in 2016-17</w:t>
      </w:r>
      <w:r w:rsidRPr="00C458FC">
        <w:t xml:space="preserve"> will focus on improving our ability to explain to Australian and Indonesian stakeholders why we have an economic partnership and what we are achieving through our policy a</w:t>
      </w:r>
      <w:r w:rsidR="0054230B">
        <w:t xml:space="preserve">dvice and technical assistance.  </w:t>
      </w:r>
      <w:r w:rsidRPr="00C458FC">
        <w:t xml:space="preserve">Increasingly, we will not be able to rely on statistics showing numbers of schools or roads constructed. </w:t>
      </w:r>
    </w:p>
    <w:p w:rsidR="007B379D" w:rsidRPr="00C458FC" w:rsidRDefault="007B379D" w:rsidP="007B379D">
      <w:pPr>
        <w:ind w:left="360"/>
      </w:pPr>
      <w:r w:rsidRPr="00C458FC">
        <w:t>We will nuance our approach to our communications by:</w:t>
      </w:r>
    </w:p>
    <w:p w:rsidR="007B379D" w:rsidRPr="00C458FC" w:rsidRDefault="007B379D" w:rsidP="007B379D">
      <w:pPr>
        <w:pStyle w:val="ListParagraph"/>
        <w:numPr>
          <w:ilvl w:val="0"/>
          <w:numId w:val="21"/>
        </w:numPr>
        <w:suppressAutoHyphens w:val="0"/>
        <w:spacing w:before="0" w:after="0" w:line="240" w:lineRule="auto"/>
      </w:pPr>
      <w:r w:rsidRPr="00C458FC">
        <w:t>Packa</w:t>
      </w:r>
      <w:r w:rsidR="00AF395A">
        <w:t xml:space="preserve">ging the data collected under Management Response 4, above, </w:t>
      </w:r>
      <w:r w:rsidRPr="00C458FC">
        <w:t>to use in a range of communications products</w:t>
      </w:r>
      <w:r w:rsidR="00AF395A">
        <w:t xml:space="preserve">; </w:t>
      </w:r>
    </w:p>
    <w:p w:rsidR="007B379D" w:rsidRPr="00C458FC" w:rsidRDefault="007B379D" w:rsidP="007B379D">
      <w:pPr>
        <w:pStyle w:val="ListParagraph"/>
        <w:numPr>
          <w:ilvl w:val="0"/>
          <w:numId w:val="21"/>
        </w:numPr>
        <w:suppressAutoHyphens w:val="0"/>
        <w:spacing w:before="0" w:after="0" w:line="240" w:lineRule="auto"/>
      </w:pPr>
      <w:r w:rsidRPr="00C458FC">
        <w:t>Sharpening our economic partnership narrative and proactively seeking opportunities to reach Australian and Indonesian stakeholders</w:t>
      </w:r>
      <w:r w:rsidR="00AF395A">
        <w:t xml:space="preserve">; and </w:t>
      </w:r>
    </w:p>
    <w:p w:rsidR="007B379D" w:rsidRPr="00C458FC" w:rsidRDefault="007B379D" w:rsidP="007B379D">
      <w:pPr>
        <w:pStyle w:val="ListParagraph"/>
        <w:numPr>
          <w:ilvl w:val="0"/>
          <w:numId w:val="21"/>
        </w:numPr>
        <w:suppressAutoHyphens w:val="0"/>
        <w:spacing w:before="0" w:after="0" w:line="240" w:lineRule="auto"/>
      </w:pPr>
      <w:r w:rsidRPr="00C458FC">
        <w:t>Reconsidering the branding of our program so it is more appropriate to an economic partnership.</w:t>
      </w:r>
    </w:p>
    <w:p w:rsidR="007B379D" w:rsidRDefault="007B379D" w:rsidP="007B379D"/>
    <w:p w:rsidR="007B379D" w:rsidRDefault="007B379D" w:rsidP="007B379D"/>
    <w:p w:rsidR="00A457C3" w:rsidRDefault="00A457C3" w:rsidP="00A457C3">
      <w:pPr>
        <w:rPr>
          <w:highlight w:val="yellow"/>
        </w:rPr>
      </w:pPr>
    </w:p>
    <w:p w:rsidR="007B379D" w:rsidRDefault="007B379D" w:rsidP="00A457C3">
      <w:pPr>
        <w:rPr>
          <w:highlight w:val="yellow"/>
        </w:rPr>
      </w:pPr>
    </w:p>
    <w:p w:rsidR="005B061E" w:rsidRPr="005B061E" w:rsidRDefault="005B061E" w:rsidP="005B061E">
      <w:pPr>
        <w:pStyle w:val="ListParagraph"/>
        <w:ind w:left="1080"/>
        <w:rPr>
          <w:highlight w:val="yellow"/>
        </w:rPr>
      </w:pPr>
    </w:p>
    <w:p w:rsidR="008F3049" w:rsidRDefault="008F3049" w:rsidP="00500A53">
      <w:pPr>
        <w:pStyle w:val="ListParagraph"/>
        <w:sectPr w:rsidR="008F3049" w:rsidSect="002C091A">
          <w:type w:val="continuous"/>
          <w:pgSz w:w="11906" w:h="16838" w:code="9"/>
          <w:pgMar w:top="1525" w:right="1134" w:bottom="851" w:left="1134" w:header="1418" w:footer="567" w:gutter="0"/>
          <w:pgNumType w:start="20"/>
          <w:cols w:space="397"/>
          <w:docGrid w:linePitch="360"/>
        </w:sectPr>
      </w:pPr>
    </w:p>
    <w:p w:rsidR="006C7C9B" w:rsidRPr="00400B0F" w:rsidRDefault="006C7C9B" w:rsidP="006C7C9B">
      <w:pPr>
        <w:pStyle w:val="Subtitle"/>
        <w:numPr>
          <w:ilvl w:val="0"/>
          <w:numId w:val="0"/>
        </w:numPr>
      </w:pPr>
      <w:r w:rsidRPr="00400B0F">
        <w:lastRenderedPageBreak/>
        <w:t>Annex A - Progress in Addressing Management Responses</w:t>
      </w:r>
    </w:p>
    <w:p w:rsidR="006C7C9B" w:rsidRDefault="006C7C9B" w:rsidP="006C7C9B">
      <w:r w:rsidRPr="00C61187">
        <w:t>Describe progress made against management responses in 2014-15 report</w:t>
      </w:r>
    </w:p>
    <w:p w:rsidR="00320DC9" w:rsidRPr="00C61187" w:rsidRDefault="00320DC9" w:rsidP="006C7C9B"/>
    <w:tbl>
      <w:tblPr>
        <w:tblpPr w:leftFromText="180" w:rightFromText="180" w:vertAnchor="text" w:tblpY="1"/>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391"/>
        <w:gridCol w:w="977"/>
        <w:gridCol w:w="6805"/>
      </w:tblGrid>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6C7C9B" w:rsidP="00106054">
            <w:pPr>
              <w:keepLines/>
              <w:spacing w:before="80" w:after="80" w:line="200" w:lineRule="atLeast"/>
              <w:rPr>
                <w:rFonts w:eastAsia="Times New Roman"/>
                <w:b/>
                <w:iCs/>
                <w:sz w:val="17"/>
                <w:szCs w:val="17"/>
              </w:rPr>
            </w:pPr>
            <w:r w:rsidRPr="00106054">
              <w:rPr>
                <w:rFonts w:eastAsia="Times New Roman"/>
                <w:b/>
                <w:iCs/>
                <w:sz w:val="17"/>
                <w:szCs w:val="17"/>
              </w:rPr>
              <w:t>Management responses identified in 2014-15 APPR</w:t>
            </w:r>
            <w:r w:rsidRPr="00106054">
              <w:rPr>
                <w:rFonts w:eastAsia="Times New Roman"/>
                <w:b/>
                <w:iCs/>
                <w:sz w:val="17"/>
                <w:szCs w:val="17"/>
              </w:rPr>
              <w:tab/>
            </w:r>
          </w:p>
        </w:tc>
        <w:tc>
          <w:tcPr>
            <w:tcW w:w="949" w:type="dxa"/>
            <w:tcBorders>
              <w:top w:val="nil"/>
              <w:left w:val="nil"/>
              <w:bottom w:val="nil"/>
              <w:right w:val="nil"/>
              <w:tl2br w:val="nil"/>
              <w:tr2bl w:val="nil"/>
            </w:tcBorders>
            <w:shd w:val="clear" w:color="auto" w:fill="auto"/>
          </w:tcPr>
          <w:p w:rsidR="006C7C9B" w:rsidRPr="00106054" w:rsidRDefault="006C7C9B" w:rsidP="00106054">
            <w:pPr>
              <w:keepLines/>
              <w:spacing w:before="80" w:after="80" w:line="200" w:lineRule="atLeast"/>
              <w:rPr>
                <w:rFonts w:eastAsia="Times New Roman"/>
                <w:b/>
                <w:iCs/>
                <w:sz w:val="17"/>
                <w:szCs w:val="17"/>
              </w:rPr>
            </w:pPr>
            <w:r w:rsidRPr="00106054">
              <w:rPr>
                <w:rFonts w:eastAsia="Times New Roman"/>
                <w:b/>
                <w:iCs/>
                <w:sz w:val="17"/>
                <w:szCs w:val="17"/>
              </w:rPr>
              <w:t>Rating</w:t>
            </w:r>
          </w:p>
        </w:tc>
        <w:tc>
          <w:tcPr>
            <w:tcW w:w="6763" w:type="dxa"/>
            <w:tcBorders>
              <w:top w:val="nil"/>
              <w:left w:val="nil"/>
              <w:bottom w:val="nil"/>
              <w:right w:val="nil"/>
              <w:tl2br w:val="nil"/>
              <w:tr2bl w:val="nil"/>
            </w:tcBorders>
            <w:shd w:val="clear" w:color="auto" w:fill="auto"/>
          </w:tcPr>
          <w:p w:rsidR="006C7C9B" w:rsidRPr="00106054" w:rsidRDefault="006C7C9B" w:rsidP="00106054">
            <w:pPr>
              <w:keepLines/>
              <w:spacing w:before="80" w:after="80" w:line="200" w:lineRule="atLeast"/>
              <w:jc w:val="center"/>
              <w:rPr>
                <w:rFonts w:eastAsia="Times New Roman"/>
                <w:b/>
                <w:iCs/>
                <w:sz w:val="17"/>
                <w:szCs w:val="17"/>
              </w:rPr>
            </w:pPr>
            <w:r w:rsidRPr="00106054">
              <w:rPr>
                <w:rFonts w:eastAsia="Times New Roman"/>
                <w:b/>
                <w:iCs/>
                <w:sz w:val="17"/>
                <w:szCs w:val="17"/>
              </w:rPr>
              <w:t>Progress made  in 2015-16</w:t>
            </w:r>
          </w:p>
        </w:tc>
      </w:tr>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6C7C9B" w:rsidP="00106054">
            <w:pPr>
              <w:keepLines/>
              <w:spacing w:before="40" w:after="40" w:line="200" w:lineRule="atLeast"/>
              <w:rPr>
                <w:rFonts w:eastAsia="Times New Roman"/>
                <w:iCs/>
                <w:sz w:val="17"/>
                <w:szCs w:val="17"/>
              </w:rPr>
            </w:pPr>
            <w:r w:rsidRPr="00106054">
              <w:rPr>
                <w:rFonts w:eastAsia="Times New Roman"/>
                <w:iCs/>
                <w:sz w:val="17"/>
                <w:szCs w:val="17"/>
              </w:rPr>
              <w:t>Reorient our investments in line with the AIP</w:t>
            </w:r>
          </w:p>
        </w:tc>
        <w:tc>
          <w:tcPr>
            <w:tcW w:w="949" w:type="dxa"/>
            <w:tcBorders>
              <w:top w:val="nil"/>
              <w:left w:val="nil"/>
              <w:bottom w:val="nil"/>
              <w:right w:val="nil"/>
              <w:tl2br w:val="nil"/>
              <w:tr2bl w:val="nil"/>
            </w:tcBorders>
            <w:shd w:val="clear" w:color="auto" w:fill="E36C0A"/>
          </w:tcPr>
          <w:p w:rsidR="006C7C9B" w:rsidRPr="00106054" w:rsidRDefault="0078555D"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 xml:space="preserve">Partly </w:t>
            </w:r>
            <w:r w:rsidR="006C7C9B" w:rsidRPr="00106054">
              <w:rPr>
                <w:rFonts w:eastAsia="Times New Roman"/>
                <w:iCs/>
                <w:color w:val="FFFFFF"/>
                <w:sz w:val="17"/>
                <w:szCs w:val="17"/>
              </w:rPr>
              <w:t>Achieved</w:t>
            </w:r>
          </w:p>
        </w:tc>
        <w:tc>
          <w:tcPr>
            <w:tcW w:w="6763" w:type="dxa"/>
            <w:tcBorders>
              <w:top w:val="nil"/>
              <w:left w:val="nil"/>
              <w:bottom w:val="nil"/>
              <w:right w:val="nil"/>
              <w:tl2br w:val="nil"/>
              <w:tr2bl w:val="nil"/>
            </w:tcBorders>
            <w:shd w:val="clear" w:color="auto" w:fill="auto"/>
          </w:tcPr>
          <w:p w:rsidR="006C7C9B" w:rsidRPr="00106054" w:rsidRDefault="006C7C9B" w:rsidP="00106054">
            <w:pPr>
              <w:keepLines/>
              <w:spacing w:before="40" w:after="40" w:line="200" w:lineRule="atLeast"/>
              <w:rPr>
                <w:rFonts w:eastAsia="Times New Roman"/>
                <w:iCs/>
                <w:color w:val="92D050"/>
                <w:sz w:val="17"/>
                <w:szCs w:val="17"/>
              </w:rPr>
            </w:pPr>
            <w:r w:rsidRPr="00106054">
              <w:rPr>
                <w:rFonts w:eastAsia="Times New Roman"/>
                <w:iCs/>
                <w:sz w:val="17"/>
                <w:szCs w:val="17"/>
              </w:rPr>
              <w:t>In 2015-16 we shifted our portfolio of investments t</w:t>
            </w:r>
            <w:r w:rsidR="00B17EEB" w:rsidRPr="00106054">
              <w:rPr>
                <w:rFonts w:eastAsia="Times New Roman"/>
                <w:iCs/>
                <w:sz w:val="17"/>
                <w:szCs w:val="17"/>
              </w:rPr>
              <w:t>o align with the AIP. The</w:t>
            </w:r>
            <w:r w:rsidRPr="00106054">
              <w:rPr>
                <w:rFonts w:eastAsia="Times New Roman"/>
                <w:iCs/>
                <w:sz w:val="17"/>
                <w:szCs w:val="17"/>
              </w:rPr>
              <w:t xml:space="preserve"> 40 per cent </w:t>
            </w:r>
            <w:r w:rsidR="00B17EEB" w:rsidRPr="00106054">
              <w:rPr>
                <w:rFonts w:eastAsia="Times New Roman"/>
                <w:iCs/>
                <w:sz w:val="17"/>
                <w:szCs w:val="17"/>
              </w:rPr>
              <w:t xml:space="preserve">budget </w:t>
            </w:r>
            <w:r w:rsidRPr="00106054">
              <w:rPr>
                <w:rFonts w:eastAsia="Times New Roman"/>
                <w:iCs/>
                <w:sz w:val="17"/>
                <w:szCs w:val="17"/>
              </w:rPr>
              <w:t>r</w:t>
            </w:r>
            <w:r w:rsidR="00D60E13" w:rsidRPr="00106054">
              <w:rPr>
                <w:rFonts w:eastAsia="Times New Roman"/>
                <w:iCs/>
                <w:sz w:val="17"/>
                <w:szCs w:val="17"/>
              </w:rPr>
              <w:t xml:space="preserve">eduction </w:t>
            </w:r>
            <w:r w:rsidR="00DF67EA" w:rsidRPr="00106054">
              <w:rPr>
                <w:rFonts w:eastAsia="Times New Roman"/>
                <w:iCs/>
                <w:sz w:val="17"/>
                <w:szCs w:val="17"/>
              </w:rPr>
              <w:t>focus</w:t>
            </w:r>
            <w:r w:rsidR="00805B4B" w:rsidRPr="00106054">
              <w:rPr>
                <w:rFonts w:eastAsia="Times New Roman"/>
                <w:iCs/>
                <w:sz w:val="17"/>
                <w:szCs w:val="17"/>
              </w:rPr>
              <w:t>s</w:t>
            </w:r>
            <w:r w:rsidRPr="00106054">
              <w:rPr>
                <w:rFonts w:eastAsia="Times New Roman"/>
                <w:iCs/>
                <w:sz w:val="17"/>
                <w:szCs w:val="17"/>
              </w:rPr>
              <w:t>ed our attention on priority areas and consolidation. The largest shift has been a move away from building infrastructure (roads, schools) to supporting technical advice to improve the quality of Indonesia</w:t>
            </w:r>
            <w:r w:rsidR="00B17EEB" w:rsidRPr="00106054">
              <w:rPr>
                <w:rFonts w:eastAsia="Times New Roman"/>
                <w:iCs/>
                <w:sz w:val="17"/>
                <w:szCs w:val="17"/>
              </w:rPr>
              <w:t>n-funded infrastructure. I</w:t>
            </w:r>
            <w:r w:rsidRPr="00106054">
              <w:rPr>
                <w:rFonts w:eastAsia="Times New Roman"/>
                <w:iCs/>
                <w:sz w:val="17"/>
                <w:szCs w:val="17"/>
              </w:rPr>
              <w:t xml:space="preserve">n line with the AIP, we have closed our major health initiatives and reduced our disaster preparedness and law and justice programs. </w:t>
            </w:r>
            <w:r w:rsidR="0078555D" w:rsidRPr="00106054">
              <w:rPr>
                <w:rFonts w:eastAsia="Times New Roman"/>
                <w:iCs/>
                <w:sz w:val="17"/>
                <w:szCs w:val="17"/>
              </w:rPr>
              <w:t>We are focus</w:t>
            </w:r>
            <w:r w:rsidR="00805B4B" w:rsidRPr="00106054">
              <w:rPr>
                <w:rFonts w:eastAsia="Times New Roman"/>
                <w:iCs/>
                <w:sz w:val="17"/>
                <w:szCs w:val="17"/>
              </w:rPr>
              <w:t>s</w:t>
            </w:r>
            <w:r w:rsidR="0078555D" w:rsidRPr="00106054">
              <w:rPr>
                <w:rFonts w:eastAsia="Times New Roman"/>
                <w:iCs/>
                <w:sz w:val="17"/>
                <w:szCs w:val="17"/>
              </w:rPr>
              <w:t>ed on more targeted engagement with key stakeholders</w:t>
            </w:r>
            <w:r w:rsidR="003D3C38" w:rsidRPr="00106054">
              <w:rPr>
                <w:rFonts w:eastAsia="Times New Roman"/>
                <w:iCs/>
                <w:sz w:val="17"/>
                <w:szCs w:val="17"/>
              </w:rPr>
              <w:t>, including measuring our impact on changes to Indonesian policy</w:t>
            </w:r>
            <w:r w:rsidR="005D43B5" w:rsidRPr="00106054">
              <w:rPr>
                <w:rFonts w:eastAsia="Times New Roman"/>
                <w:iCs/>
                <w:sz w:val="17"/>
                <w:szCs w:val="17"/>
              </w:rPr>
              <w:t xml:space="preserve">. </w:t>
            </w:r>
            <w:r w:rsidRPr="00106054">
              <w:rPr>
                <w:rFonts w:eastAsia="Times New Roman"/>
                <w:iCs/>
                <w:sz w:val="17"/>
                <w:szCs w:val="17"/>
              </w:rPr>
              <w:t>Management changes have also occurred</w:t>
            </w:r>
            <w:r w:rsidR="00B17EEB" w:rsidRPr="00106054">
              <w:rPr>
                <w:rFonts w:eastAsia="Times New Roman"/>
                <w:iCs/>
                <w:sz w:val="17"/>
                <w:szCs w:val="17"/>
              </w:rPr>
              <w:t>. Canberra’s</w:t>
            </w:r>
            <w:r w:rsidRPr="00106054">
              <w:rPr>
                <w:rFonts w:eastAsia="Times New Roman"/>
                <w:iCs/>
                <w:sz w:val="17"/>
                <w:szCs w:val="17"/>
              </w:rPr>
              <w:t xml:space="preserve"> Indonesia Desk now leads on design support and design pipeline</w:t>
            </w:r>
            <w:r w:rsidR="00B17EEB" w:rsidRPr="00106054">
              <w:rPr>
                <w:rFonts w:eastAsia="Times New Roman"/>
                <w:iCs/>
                <w:sz w:val="17"/>
                <w:szCs w:val="17"/>
              </w:rPr>
              <w:t xml:space="preserve"> monitoring. A Design Mission (involving ACD)</w:t>
            </w:r>
            <w:r w:rsidRPr="00106054">
              <w:rPr>
                <w:rFonts w:eastAsia="Times New Roman"/>
                <w:iCs/>
                <w:sz w:val="17"/>
                <w:szCs w:val="17"/>
              </w:rPr>
              <w:t xml:space="preserve"> took place in May 2016. </w:t>
            </w:r>
            <w:r w:rsidR="00DF67EA" w:rsidRPr="00106054">
              <w:rPr>
                <w:rFonts w:eastAsia="Times New Roman"/>
                <w:iCs/>
                <w:sz w:val="17"/>
                <w:szCs w:val="17"/>
              </w:rPr>
              <w:t xml:space="preserve">It will take time to fully embed our new approach. </w:t>
            </w:r>
          </w:p>
        </w:tc>
      </w:tr>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D4602F" w:rsidP="00106054">
            <w:pPr>
              <w:keepLines/>
              <w:spacing w:before="40" w:after="40" w:line="200" w:lineRule="atLeast"/>
              <w:rPr>
                <w:rFonts w:eastAsia="Times New Roman"/>
                <w:iCs/>
                <w:sz w:val="17"/>
                <w:szCs w:val="17"/>
              </w:rPr>
            </w:pPr>
            <w:r w:rsidRPr="00106054">
              <w:rPr>
                <w:rFonts w:eastAsia="Times New Roman"/>
                <w:iCs/>
                <w:sz w:val="17"/>
                <w:szCs w:val="17"/>
              </w:rPr>
              <w:t xml:space="preserve">Finalise a performance framework and focus on quality </w:t>
            </w:r>
          </w:p>
        </w:tc>
        <w:tc>
          <w:tcPr>
            <w:tcW w:w="949" w:type="dxa"/>
            <w:tcBorders>
              <w:top w:val="nil"/>
              <w:left w:val="nil"/>
              <w:bottom w:val="nil"/>
              <w:right w:val="nil"/>
              <w:tl2br w:val="nil"/>
              <w:tr2bl w:val="nil"/>
            </w:tcBorders>
            <w:shd w:val="clear" w:color="auto" w:fill="7FB64D"/>
          </w:tcPr>
          <w:p w:rsidR="006C7C9B" w:rsidRPr="00106054" w:rsidRDefault="006C7C9B"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Achieved</w:t>
            </w:r>
            <w:r w:rsidRPr="00106054">
              <w:rPr>
                <w:rFonts w:ascii="Franklin Gothic Book" w:eastAsia="Times New Roman" w:hAnsi="Franklin Gothic Book"/>
                <w:iCs/>
                <w:color w:val="FFFFFF"/>
                <w:sz w:val="17"/>
                <w:szCs w:val="17"/>
                <w:lang w:eastAsia="en-AU"/>
              </w:rPr>
              <w:fldChar w:fldCharType="begin"/>
            </w:r>
            <w:r w:rsidRPr="00106054">
              <w:rPr>
                <w:rFonts w:eastAsia="Times New Roman"/>
                <w:iCs/>
                <w:color w:val="FFFFFF"/>
                <w:sz w:val="17"/>
                <w:szCs w:val="17"/>
              </w:rPr>
              <w:instrText xml:space="preserve"> AUTOTEXTLIST  \s "Rating bullet"\t "Right click to choose a rating" \* MERGEFORMAT </w:instrText>
            </w:r>
            <w:r w:rsidRPr="00106054">
              <w:rPr>
                <w:rFonts w:ascii="Franklin Gothic Book" w:eastAsia="Times New Roman" w:hAnsi="Franklin Gothic Book"/>
                <w:iCs/>
                <w:color w:val="FFFFFF"/>
                <w:sz w:val="17"/>
                <w:szCs w:val="17"/>
                <w:lang w:eastAsia="en-AU"/>
              </w:rPr>
              <w:fldChar w:fldCharType="end"/>
            </w:r>
          </w:p>
        </w:tc>
        <w:tc>
          <w:tcPr>
            <w:tcW w:w="6763" w:type="dxa"/>
            <w:tcBorders>
              <w:top w:val="nil"/>
              <w:left w:val="nil"/>
              <w:bottom w:val="nil"/>
              <w:right w:val="nil"/>
              <w:tl2br w:val="nil"/>
              <w:tr2bl w:val="nil"/>
            </w:tcBorders>
            <w:shd w:val="clear" w:color="auto" w:fill="auto"/>
          </w:tcPr>
          <w:p w:rsidR="006C7C9B" w:rsidRPr="00106054" w:rsidRDefault="00D4602F" w:rsidP="00106054">
            <w:pPr>
              <w:keepLines/>
              <w:spacing w:before="40" w:after="40" w:line="200" w:lineRule="atLeast"/>
              <w:rPr>
                <w:rFonts w:eastAsia="Times New Roman"/>
                <w:iCs/>
                <w:color w:val="92D050"/>
                <w:sz w:val="17"/>
                <w:szCs w:val="17"/>
              </w:rPr>
            </w:pPr>
            <w:r w:rsidRPr="00106054">
              <w:rPr>
                <w:rFonts w:eastAsia="Times New Roman"/>
                <w:iCs/>
                <w:sz w:val="17"/>
                <w:szCs w:val="17"/>
              </w:rPr>
              <w:t xml:space="preserve">Our PAF </w:t>
            </w:r>
            <w:r w:rsidR="00630C24" w:rsidRPr="00106054">
              <w:rPr>
                <w:rFonts w:eastAsia="Times New Roman"/>
                <w:iCs/>
                <w:sz w:val="17"/>
                <w:szCs w:val="17"/>
              </w:rPr>
              <w:t xml:space="preserve">has been finalised and </w:t>
            </w:r>
            <w:r w:rsidRPr="00106054">
              <w:rPr>
                <w:rFonts w:eastAsia="Times New Roman"/>
                <w:iCs/>
                <w:sz w:val="17"/>
                <w:szCs w:val="17"/>
              </w:rPr>
              <w:t xml:space="preserve">reflects the shift in our program to </w:t>
            </w:r>
            <w:r w:rsidR="00630C24" w:rsidRPr="00106054">
              <w:rPr>
                <w:rFonts w:eastAsia="Times New Roman"/>
                <w:iCs/>
                <w:sz w:val="17"/>
                <w:szCs w:val="17"/>
              </w:rPr>
              <w:t>po</w:t>
            </w:r>
            <w:r w:rsidR="0068771E" w:rsidRPr="00106054">
              <w:rPr>
                <w:rFonts w:eastAsia="Times New Roman"/>
                <w:iCs/>
                <w:sz w:val="17"/>
                <w:szCs w:val="17"/>
              </w:rPr>
              <w:t>licy advice and influence. Q</w:t>
            </w:r>
            <w:r w:rsidR="00630C24" w:rsidRPr="00106054">
              <w:rPr>
                <w:rFonts w:eastAsia="Times New Roman"/>
                <w:iCs/>
                <w:sz w:val="17"/>
                <w:szCs w:val="17"/>
              </w:rPr>
              <w:t xml:space="preserve">uality </w:t>
            </w:r>
            <w:r w:rsidR="0068771E" w:rsidRPr="00106054">
              <w:rPr>
                <w:rFonts w:eastAsia="Times New Roman"/>
                <w:iCs/>
                <w:sz w:val="17"/>
                <w:szCs w:val="17"/>
              </w:rPr>
              <w:t xml:space="preserve">was a </w:t>
            </w:r>
            <w:r w:rsidR="00630C24" w:rsidRPr="00106054">
              <w:rPr>
                <w:rFonts w:eastAsia="Times New Roman"/>
                <w:iCs/>
                <w:sz w:val="17"/>
                <w:szCs w:val="17"/>
              </w:rPr>
              <w:t xml:space="preserve">focus during the annual Investment quality reporting </w:t>
            </w:r>
            <w:r w:rsidR="0068771E" w:rsidRPr="00106054">
              <w:rPr>
                <w:rFonts w:eastAsia="Times New Roman"/>
                <w:iCs/>
                <w:sz w:val="17"/>
                <w:szCs w:val="17"/>
              </w:rPr>
              <w:t xml:space="preserve">round, with moderations led by an external moderator from Canberra and </w:t>
            </w:r>
            <w:r w:rsidR="00D60E13" w:rsidRPr="00106054">
              <w:rPr>
                <w:rFonts w:eastAsia="Times New Roman"/>
                <w:iCs/>
                <w:sz w:val="17"/>
                <w:szCs w:val="17"/>
              </w:rPr>
              <w:t>an emphasis on</w:t>
            </w:r>
            <w:r w:rsidR="0068771E" w:rsidRPr="00106054">
              <w:rPr>
                <w:rFonts w:eastAsia="Times New Roman"/>
                <w:iCs/>
                <w:sz w:val="17"/>
                <w:szCs w:val="17"/>
              </w:rPr>
              <w:t xml:space="preserve"> evidence. Other activities supporting program quality at Pos</w:t>
            </w:r>
            <w:r w:rsidR="00BB7EB9" w:rsidRPr="00106054">
              <w:rPr>
                <w:rFonts w:eastAsia="Times New Roman"/>
                <w:iCs/>
                <w:sz w:val="17"/>
                <w:szCs w:val="17"/>
              </w:rPr>
              <w:t>t include: field quality checks</w:t>
            </w:r>
            <w:r w:rsidR="00806E1B" w:rsidRPr="00106054">
              <w:rPr>
                <w:rFonts w:eastAsia="Times New Roman"/>
                <w:iCs/>
                <w:sz w:val="17"/>
                <w:szCs w:val="17"/>
              </w:rPr>
              <w:t xml:space="preserve">; </w:t>
            </w:r>
            <w:r w:rsidR="00F261D4" w:rsidRPr="00106054">
              <w:rPr>
                <w:rFonts w:eastAsia="Times New Roman"/>
                <w:iCs/>
                <w:sz w:val="17"/>
                <w:szCs w:val="17"/>
              </w:rPr>
              <w:t xml:space="preserve">conducting a review to understand the implementation difficulties common to the first 18-months of investments, and producing guidelines in May 2016; agreeing a new contract with a managing contractor to provide ongoing design and evaluation support. </w:t>
            </w:r>
          </w:p>
        </w:tc>
      </w:tr>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D46CE4" w:rsidP="00106054">
            <w:pPr>
              <w:keepLines/>
              <w:spacing w:before="40" w:after="40" w:line="200" w:lineRule="atLeast"/>
              <w:rPr>
                <w:rFonts w:eastAsia="Times New Roman"/>
                <w:iCs/>
                <w:sz w:val="17"/>
                <w:szCs w:val="17"/>
              </w:rPr>
            </w:pPr>
            <w:r w:rsidRPr="00106054">
              <w:rPr>
                <w:rFonts w:eastAsia="Times New Roman"/>
                <w:iCs/>
                <w:sz w:val="17"/>
                <w:szCs w:val="17"/>
              </w:rPr>
              <w:t xml:space="preserve">Improve the program’s gender equality and disability-inclusive outcomes </w:t>
            </w:r>
          </w:p>
        </w:tc>
        <w:tc>
          <w:tcPr>
            <w:tcW w:w="949" w:type="dxa"/>
            <w:tcBorders>
              <w:top w:val="nil"/>
              <w:left w:val="nil"/>
              <w:bottom w:val="nil"/>
              <w:right w:val="nil"/>
              <w:tl2br w:val="nil"/>
              <w:tr2bl w:val="nil"/>
            </w:tcBorders>
            <w:shd w:val="clear" w:color="auto" w:fill="E36C0A"/>
          </w:tcPr>
          <w:p w:rsidR="006C7C9B" w:rsidRPr="00106054" w:rsidRDefault="00D46CE4"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Partly a</w:t>
            </w:r>
            <w:r w:rsidR="006C7C9B" w:rsidRPr="00106054">
              <w:rPr>
                <w:rFonts w:eastAsia="Times New Roman"/>
                <w:iCs/>
                <w:color w:val="FFFFFF"/>
                <w:sz w:val="17"/>
                <w:szCs w:val="17"/>
              </w:rPr>
              <w:t>chieved</w:t>
            </w:r>
          </w:p>
        </w:tc>
        <w:tc>
          <w:tcPr>
            <w:tcW w:w="6763" w:type="dxa"/>
            <w:tcBorders>
              <w:top w:val="nil"/>
              <w:left w:val="nil"/>
              <w:bottom w:val="nil"/>
              <w:right w:val="nil"/>
              <w:tl2br w:val="nil"/>
              <w:tr2bl w:val="nil"/>
            </w:tcBorders>
            <w:shd w:val="clear" w:color="auto" w:fill="auto"/>
          </w:tcPr>
          <w:p w:rsidR="006C7C9B" w:rsidRPr="00106054" w:rsidRDefault="00D46CE4" w:rsidP="00106054">
            <w:pPr>
              <w:keepLines/>
              <w:spacing w:before="40" w:after="40" w:line="200" w:lineRule="atLeast"/>
              <w:rPr>
                <w:rFonts w:eastAsia="Times New Roman"/>
                <w:iCs/>
                <w:color w:val="92D050"/>
                <w:sz w:val="17"/>
                <w:szCs w:val="17"/>
              </w:rPr>
            </w:pPr>
            <w:r w:rsidRPr="00106054">
              <w:rPr>
                <w:rFonts w:eastAsia="Times New Roman"/>
                <w:iCs/>
                <w:sz w:val="17"/>
                <w:szCs w:val="17"/>
              </w:rPr>
              <w:t xml:space="preserve">Gender has been mainstreamed in the PAF. </w:t>
            </w:r>
            <w:r w:rsidR="00296B57" w:rsidRPr="00106054">
              <w:rPr>
                <w:rFonts w:eastAsia="Times New Roman"/>
                <w:iCs/>
                <w:sz w:val="17"/>
                <w:szCs w:val="17"/>
              </w:rPr>
              <w:t>We saw an</w:t>
            </w:r>
            <w:r w:rsidRPr="00106054">
              <w:rPr>
                <w:rFonts w:eastAsia="Times New Roman"/>
                <w:iCs/>
                <w:sz w:val="17"/>
                <w:szCs w:val="17"/>
              </w:rPr>
              <w:t xml:space="preserve"> increase in scores for gender in the AQCs but we remain below </w:t>
            </w:r>
            <w:r w:rsidR="00E20CEF" w:rsidRPr="00106054">
              <w:rPr>
                <w:rFonts w:eastAsia="Times New Roman"/>
                <w:iCs/>
                <w:sz w:val="17"/>
                <w:szCs w:val="17"/>
              </w:rPr>
              <w:t>the 80 per cent</w:t>
            </w:r>
            <w:r w:rsidR="00296B57" w:rsidRPr="00106054">
              <w:rPr>
                <w:rFonts w:eastAsia="Times New Roman"/>
                <w:iCs/>
                <w:sz w:val="17"/>
                <w:szCs w:val="17"/>
              </w:rPr>
              <w:t xml:space="preserve"> target. To ens</w:t>
            </w:r>
            <w:r w:rsidR="00245690" w:rsidRPr="00106054">
              <w:rPr>
                <w:rFonts w:eastAsia="Times New Roman"/>
                <w:iCs/>
                <w:sz w:val="17"/>
                <w:szCs w:val="17"/>
              </w:rPr>
              <w:t>ure we meet the target</w:t>
            </w:r>
            <w:r w:rsidR="00296B57" w:rsidRPr="00106054">
              <w:rPr>
                <w:rFonts w:eastAsia="Times New Roman"/>
                <w:iCs/>
                <w:sz w:val="17"/>
                <w:szCs w:val="17"/>
              </w:rPr>
              <w:t>, a</w:t>
            </w:r>
            <w:r w:rsidRPr="00106054">
              <w:rPr>
                <w:rFonts w:eastAsia="Times New Roman"/>
                <w:iCs/>
                <w:sz w:val="17"/>
                <w:szCs w:val="17"/>
              </w:rPr>
              <w:t xml:space="preserve"> Gender Action Plan was finalised in March 2016 and </w:t>
            </w:r>
            <w:r w:rsidR="00136218" w:rsidRPr="00106054">
              <w:rPr>
                <w:rFonts w:eastAsia="Times New Roman"/>
                <w:iCs/>
                <w:sz w:val="17"/>
                <w:szCs w:val="17"/>
              </w:rPr>
              <w:t>was updated in August 2016</w:t>
            </w:r>
            <w:r w:rsidR="00C36663" w:rsidRPr="00106054">
              <w:rPr>
                <w:rFonts w:eastAsia="Times New Roman"/>
                <w:iCs/>
                <w:sz w:val="17"/>
                <w:szCs w:val="17"/>
              </w:rPr>
              <w:t xml:space="preserve"> </w:t>
            </w:r>
            <w:r w:rsidRPr="00106054">
              <w:rPr>
                <w:rFonts w:eastAsia="Times New Roman"/>
                <w:iCs/>
                <w:sz w:val="17"/>
                <w:szCs w:val="17"/>
              </w:rPr>
              <w:t>following results from the AQCs and consultations</w:t>
            </w:r>
            <w:r w:rsidR="00C36663" w:rsidRPr="00106054">
              <w:rPr>
                <w:rFonts w:eastAsia="Times New Roman"/>
                <w:iCs/>
                <w:sz w:val="17"/>
                <w:szCs w:val="17"/>
              </w:rPr>
              <w:t xml:space="preserve"> with lower-scoring investments</w:t>
            </w:r>
            <w:r w:rsidRPr="00106054">
              <w:rPr>
                <w:rFonts w:eastAsia="Times New Roman"/>
                <w:iCs/>
                <w:sz w:val="17"/>
                <w:szCs w:val="17"/>
              </w:rPr>
              <w:t xml:space="preserve">. The Gender Focal Point network has been reinstated </w:t>
            </w:r>
            <w:r w:rsidR="00296B57" w:rsidRPr="00106054">
              <w:rPr>
                <w:rFonts w:eastAsia="Times New Roman"/>
                <w:iCs/>
                <w:sz w:val="17"/>
                <w:szCs w:val="17"/>
              </w:rPr>
              <w:t>and meets quarterly.  A</w:t>
            </w:r>
            <w:r w:rsidRPr="00106054">
              <w:rPr>
                <w:rFonts w:eastAsia="Times New Roman"/>
                <w:iCs/>
                <w:sz w:val="17"/>
                <w:szCs w:val="17"/>
              </w:rPr>
              <w:t xml:space="preserve"> new forum for sharing lessons and experience</w:t>
            </w:r>
            <w:r w:rsidR="00296B57" w:rsidRPr="00106054">
              <w:rPr>
                <w:rFonts w:eastAsia="Times New Roman"/>
                <w:iCs/>
                <w:sz w:val="17"/>
                <w:szCs w:val="17"/>
              </w:rPr>
              <w:t xml:space="preserve"> has been established, with </w:t>
            </w:r>
            <w:r w:rsidRPr="00106054">
              <w:rPr>
                <w:rFonts w:eastAsia="Times New Roman"/>
                <w:iCs/>
                <w:sz w:val="17"/>
                <w:szCs w:val="17"/>
              </w:rPr>
              <w:t>roundtable</w:t>
            </w:r>
            <w:r w:rsidR="00296B57" w:rsidRPr="00106054">
              <w:rPr>
                <w:rFonts w:eastAsia="Times New Roman"/>
                <w:iCs/>
                <w:sz w:val="17"/>
                <w:szCs w:val="17"/>
              </w:rPr>
              <w:t>s</w:t>
            </w:r>
            <w:r w:rsidRPr="00106054">
              <w:rPr>
                <w:rFonts w:eastAsia="Times New Roman"/>
                <w:iCs/>
                <w:sz w:val="17"/>
                <w:szCs w:val="17"/>
              </w:rPr>
              <w:t xml:space="preserve"> for both DFAT staff and managing contractors led </w:t>
            </w:r>
            <w:r w:rsidR="00296B57" w:rsidRPr="00106054">
              <w:rPr>
                <w:rFonts w:eastAsia="Times New Roman"/>
                <w:iCs/>
                <w:sz w:val="17"/>
                <w:szCs w:val="17"/>
              </w:rPr>
              <w:t>by a Minister-Counsellor held three times per year</w:t>
            </w:r>
            <w:r w:rsidRPr="00106054">
              <w:rPr>
                <w:rFonts w:eastAsia="Times New Roman"/>
                <w:iCs/>
                <w:sz w:val="17"/>
                <w:szCs w:val="17"/>
              </w:rPr>
              <w:t xml:space="preserve">. </w:t>
            </w:r>
            <w:r w:rsidR="00296B57" w:rsidRPr="00106054">
              <w:rPr>
                <w:rFonts w:eastAsia="Times New Roman"/>
                <w:iCs/>
                <w:sz w:val="17"/>
                <w:szCs w:val="17"/>
              </w:rPr>
              <w:t>Post</w:t>
            </w:r>
            <w:r w:rsidR="00A45226" w:rsidRPr="00106054">
              <w:rPr>
                <w:rFonts w:eastAsia="Times New Roman"/>
                <w:iCs/>
                <w:sz w:val="17"/>
                <w:szCs w:val="17"/>
              </w:rPr>
              <w:t xml:space="preserve"> organised several successful </w:t>
            </w:r>
            <w:r w:rsidR="00296B57" w:rsidRPr="00106054">
              <w:rPr>
                <w:rFonts w:eastAsia="Times New Roman"/>
                <w:iCs/>
                <w:sz w:val="17"/>
                <w:szCs w:val="17"/>
              </w:rPr>
              <w:t>even</w:t>
            </w:r>
            <w:r w:rsidR="00FA5841" w:rsidRPr="00106054">
              <w:rPr>
                <w:rFonts w:eastAsia="Times New Roman"/>
                <w:iCs/>
                <w:sz w:val="17"/>
                <w:szCs w:val="17"/>
              </w:rPr>
              <w:t>ts for International Women’s Day</w:t>
            </w:r>
            <w:r w:rsidR="00296B57" w:rsidRPr="00106054">
              <w:rPr>
                <w:rFonts w:eastAsia="Times New Roman"/>
                <w:iCs/>
                <w:sz w:val="17"/>
                <w:szCs w:val="17"/>
              </w:rPr>
              <w:t xml:space="preserve">. </w:t>
            </w:r>
            <w:r w:rsidR="00D55135" w:rsidRPr="00106054">
              <w:rPr>
                <w:rFonts w:eastAsia="Times New Roman"/>
                <w:iCs/>
                <w:sz w:val="17"/>
                <w:szCs w:val="17"/>
              </w:rPr>
              <w:t>On disability-inclusive development, we increased the involve</w:t>
            </w:r>
            <w:r w:rsidR="00A45226" w:rsidRPr="00106054">
              <w:rPr>
                <w:rFonts w:eastAsia="Times New Roman"/>
                <w:iCs/>
                <w:sz w:val="17"/>
                <w:szCs w:val="17"/>
              </w:rPr>
              <w:t>ment</w:t>
            </w:r>
            <w:r w:rsidR="00D55135" w:rsidRPr="00106054">
              <w:rPr>
                <w:rFonts w:eastAsia="Times New Roman"/>
                <w:iCs/>
                <w:sz w:val="17"/>
                <w:szCs w:val="17"/>
              </w:rPr>
              <w:t xml:space="preserve"> and engagement of disabled peoples organisations </w:t>
            </w:r>
            <w:r w:rsidR="001467DF" w:rsidRPr="00106054">
              <w:rPr>
                <w:rFonts w:eastAsia="Times New Roman"/>
                <w:iCs/>
                <w:sz w:val="17"/>
                <w:szCs w:val="17"/>
              </w:rPr>
              <w:t xml:space="preserve">(DPOs) </w:t>
            </w:r>
            <w:r w:rsidR="00D55135" w:rsidRPr="00106054">
              <w:rPr>
                <w:rFonts w:eastAsia="Times New Roman"/>
                <w:iCs/>
                <w:sz w:val="17"/>
                <w:szCs w:val="17"/>
              </w:rPr>
              <w:t xml:space="preserve">and people with disabilities </w:t>
            </w:r>
            <w:r w:rsidR="001467DF" w:rsidRPr="00106054">
              <w:rPr>
                <w:rFonts w:eastAsia="Times New Roman"/>
                <w:iCs/>
                <w:sz w:val="17"/>
                <w:szCs w:val="17"/>
              </w:rPr>
              <w:t>(</w:t>
            </w:r>
            <w:proofErr w:type="spellStart"/>
            <w:r w:rsidR="001467DF" w:rsidRPr="00106054">
              <w:rPr>
                <w:rFonts w:eastAsia="Times New Roman"/>
                <w:iCs/>
                <w:sz w:val="17"/>
                <w:szCs w:val="17"/>
              </w:rPr>
              <w:t>PwD</w:t>
            </w:r>
            <w:proofErr w:type="spellEnd"/>
            <w:r w:rsidR="001467DF" w:rsidRPr="00106054">
              <w:rPr>
                <w:rFonts w:eastAsia="Times New Roman"/>
                <w:iCs/>
                <w:sz w:val="17"/>
                <w:szCs w:val="17"/>
              </w:rPr>
              <w:t xml:space="preserve">) </w:t>
            </w:r>
            <w:r w:rsidR="00D55135" w:rsidRPr="00106054">
              <w:rPr>
                <w:rFonts w:eastAsia="Times New Roman"/>
                <w:iCs/>
                <w:sz w:val="17"/>
                <w:szCs w:val="17"/>
              </w:rPr>
              <w:t xml:space="preserve">in programs. </w:t>
            </w:r>
            <w:r w:rsidR="00E1167C" w:rsidRPr="00106054">
              <w:rPr>
                <w:rFonts w:eastAsia="Times New Roman"/>
                <w:iCs/>
                <w:sz w:val="17"/>
                <w:szCs w:val="17"/>
              </w:rPr>
              <w:t xml:space="preserve">Although scores for one </w:t>
            </w:r>
            <w:r w:rsidR="00245690" w:rsidRPr="00106054">
              <w:rPr>
                <w:rFonts w:eastAsia="Times New Roman"/>
                <w:iCs/>
                <w:sz w:val="17"/>
                <w:szCs w:val="17"/>
              </w:rPr>
              <w:t xml:space="preserve">disability </w:t>
            </w:r>
            <w:r w:rsidR="00E1167C" w:rsidRPr="00106054">
              <w:rPr>
                <w:rFonts w:eastAsia="Times New Roman"/>
                <w:iCs/>
                <w:sz w:val="17"/>
                <w:szCs w:val="17"/>
              </w:rPr>
              <w:t>question</w:t>
            </w:r>
            <w:r w:rsidR="00245690" w:rsidRPr="00106054">
              <w:rPr>
                <w:rFonts w:eastAsia="Times New Roman"/>
                <w:iCs/>
                <w:sz w:val="17"/>
                <w:szCs w:val="17"/>
              </w:rPr>
              <w:t xml:space="preserve"> </w:t>
            </w:r>
            <w:r w:rsidR="00E1167C" w:rsidRPr="00106054">
              <w:rPr>
                <w:rFonts w:eastAsia="Times New Roman"/>
                <w:iCs/>
                <w:sz w:val="17"/>
                <w:szCs w:val="17"/>
              </w:rPr>
              <w:t xml:space="preserve">in the AQCs improved, less than half of our investments scored satisfactorily. </w:t>
            </w:r>
          </w:p>
        </w:tc>
      </w:tr>
    </w:tbl>
    <w:p w:rsidR="00320DC9" w:rsidRDefault="00320DC9">
      <w:r>
        <w:br w:type="page"/>
      </w:r>
    </w:p>
    <w:tbl>
      <w:tblPr>
        <w:tblpPr w:leftFromText="180" w:rightFromText="180" w:vertAnchor="text" w:tblpY="1"/>
        <w:tblW w:w="5000" w:type="pct"/>
        <w:tblCellSpacing w:w="14" w:type="dxa"/>
        <w:tblBorders>
          <w:top w:val="single" w:sz="12" w:space="0" w:color="000000"/>
          <w:bottom w:val="single" w:sz="12" w:space="0" w:color="000000"/>
        </w:tblBorders>
        <w:tblLayout w:type="fixed"/>
        <w:tblLook w:val="0000" w:firstRow="0" w:lastRow="0" w:firstColumn="0" w:lastColumn="0" w:noHBand="0" w:noVBand="0"/>
      </w:tblPr>
      <w:tblGrid>
        <w:gridCol w:w="6391"/>
        <w:gridCol w:w="977"/>
        <w:gridCol w:w="6805"/>
      </w:tblGrid>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D55135" w:rsidP="00106054">
            <w:pPr>
              <w:keepLines/>
              <w:spacing w:before="40" w:after="40" w:line="200" w:lineRule="atLeast"/>
              <w:rPr>
                <w:rFonts w:eastAsia="Times New Roman"/>
                <w:iCs/>
                <w:sz w:val="17"/>
                <w:szCs w:val="17"/>
              </w:rPr>
            </w:pPr>
            <w:r w:rsidRPr="00106054">
              <w:rPr>
                <w:rFonts w:eastAsia="Times New Roman"/>
                <w:iCs/>
                <w:sz w:val="17"/>
                <w:szCs w:val="17"/>
              </w:rPr>
              <w:lastRenderedPageBreak/>
              <w:t xml:space="preserve">Strengthen policy engagement by civil society </w:t>
            </w:r>
          </w:p>
        </w:tc>
        <w:tc>
          <w:tcPr>
            <w:tcW w:w="949" w:type="dxa"/>
            <w:tcBorders>
              <w:top w:val="nil"/>
              <w:left w:val="nil"/>
              <w:bottom w:val="nil"/>
              <w:right w:val="nil"/>
              <w:tl2br w:val="nil"/>
              <w:tr2bl w:val="nil"/>
            </w:tcBorders>
            <w:shd w:val="clear" w:color="auto" w:fill="7FB64D"/>
          </w:tcPr>
          <w:p w:rsidR="006C7C9B" w:rsidRPr="00106054" w:rsidRDefault="006E5CE7"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A</w:t>
            </w:r>
            <w:r w:rsidR="006C7C9B" w:rsidRPr="00106054">
              <w:rPr>
                <w:rFonts w:eastAsia="Times New Roman"/>
                <w:iCs/>
                <w:color w:val="FFFFFF"/>
                <w:sz w:val="17"/>
                <w:szCs w:val="17"/>
              </w:rPr>
              <w:t>chieved</w:t>
            </w:r>
          </w:p>
        </w:tc>
        <w:tc>
          <w:tcPr>
            <w:tcW w:w="6763" w:type="dxa"/>
            <w:tcBorders>
              <w:top w:val="nil"/>
              <w:left w:val="nil"/>
              <w:bottom w:val="nil"/>
              <w:right w:val="nil"/>
              <w:tl2br w:val="nil"/>
              <w:tr2bl w:val="nil"/>
            </w:tcBorders>
            <w:shd w:val="clear" w:color="auto" w:fill="auto"/>
          </w:tcPr>
          <w:p w:rsidR="006C7C9B" w:rsidRPr="00106054" w:rsidRDefault="00D55135" w:rsidP="00106054">
            <w:pPr>
              <w:keepLines/>
              <w:spacing w:before="40" w:after="40" w:line="200" w:lineRule="atLeast"/>
              <w:rPr>
                <w:rFonts w:eastAsia="Times New Roman"/>
                <w:iCs/>
                <w:color w:val="409F68"/>
                <w:sz w:val="17"/>
                <w:szCs w:val="17"/>
              </w:rPr>
            </w:pPr>
            <w:r w:rsidRPr="00106054">
              <w:rPr>
                <w:rFonts w:eastAsia="Times New Roman"/>
                <w:iCs/>
                <w:sz w:val="17"/>
                <w:szCs w:val="17"/>
              </w:rPr>
              <w:t>Several of our programs have very strong civil society networks and have made progress</w:t>
            </w:r>
            <w:r w:rsidR="00AF2559" w:rsidRPr="00106054">
              <w:rPr>
                <w:rFonts w:eastAsia="Times New Roman"/>
                <w:iCs/>
                <w:sz w:val="17"/>
                <w:szCs w:val="17"/>
              </w:rPr>
              <w:t xml:space="preserve"> in linking these groups </w:t>
            </w:r>
            <w:r w:rsidRPr="00106054">
              <w:rPr>
                <w:rFonts w:eastAsia="Times New Roman"/>
                <w:iCs/>
                <w:sz w:val="17"/>
                <w:szCs w:val="17"/>
              </w:rPr>
              <w:t xml:space="preserve">with the Indonesian Government’s policy processes. </w:t>
            </w:r>
            <w:r w:rsidR="00C047B7" w:rsidRPr="00106054">
              <w:rPr>
                <w:rFonts w:eastAsia="Times New Roman"/>
                <w:iCs/>
                <w:sz w:val="17"/>
                <w:szCs w:val="17"/>
              </w:rPr>
              <w:t xml:space="preserve">For instance, Disabled People’s Organisations and people </w:t>
            </w:r>
            <w:r w:rsidR="001467DF" w:rsidRPr="00106054">
              <w:rPr>
                <w:rFonts w:eastAsia="Times New Roman"/>
                <w:iCs/>
                <w:sz w:val="17"/>
                <w:szCs w:val="17"/>
              </w:rPr>
              <w:t>w</w:t>
            </w:r>
            <w:r w:rsidR="00C047B7" w:rsidRPr="00106054">
              <w:rPr>
                <w:rFonts w:eastAsia="Times New Roman"/>
                <w:iCs/>
                <w:sz w:val="17"/>
                <w:szCs w:val="17"/>
              </w:rPr>
              <w:t>ith disabilities</w:t>
            </w:r>
            <w:r w:rsidR="001467DF" w:rsidRPr="00106054">
              <w:rPr>
                <w:rFonts w:eastAsia="Times New Roman"/>
                <w:iCs/>
                <w:sz w:val="17"/>
                <w:szCs w:val="17"/>
              </w:rPr>
              <w:t xml:space="preserve"> were supported by our AIP-Justice and </w:t>
            </w:r>
            <w:proofErr w:type="spellStart"/>
            <w:r w:rsidR="001467DF" w:rsidRPr="00106054">
              <w:rPr>
                <w:rFonts w:eastAsia="Times New Roman"/>
                <w:iCs/>
                <w:sz w:val="17"/>
                <w:szCs w:val="17"/>
              </w:rPr>
              <w:t>Peduli</w:t>
            </w:r>
            <w:proofErr w:type="spellEnd"/>
            <w:r w:rsidR="001467DF" w:rsidRPr="00106054">
              <w:rPr>
                <w:rFonts w:eastAsia="Times New Roman"/>
                <w:iCs/>
                <w:sz w:val="17"/>
                <w:szCs w:val="17"/>
              </w:rPr>
              <w:t xml:space="preserve"> programs to be closely involved in drafting and advocating Indonesia’s new Disability Law, enacted in March 2016. </w:t>
            </w:r>
            <w:r w:rsidR="00B17EEB" w:rsidRPr="00106054">
              <w:rPr>
                <w:rFonts w:eastAsia="Times New Roman"/>
                <w:iCs/>
                <w:sz w:val="17"/>
                <w:szCs w:val="17"/>
              </w:rPr>
              <w:t xml:space="preserve">Also, through the MAMPU program, we supported the NGO Migrant Care to develop a model of institutional arrangements </w:t>
            </w:r>
            <w:r w:rsidR="000A46D4" w:rsidRPr="00106054">
              <w:rPr>
                <w:rFonts w:eastAsia="Times New Roman"/>
                <w:iCs/>
                <w:sz w:val="17"/>
                <w:szCs w:val="17"/>
              </w:rPr>
              <w:t>for villages which ensured better information for, and reintegration of, migrant work</w:t>
            </w:r>
            <w:r w:rsidR="00AF2559" w:rsidRPr="00106054">
              <w:rPr>
                <w:rFonts w:eastAsia="Times New Roman"/>
                <w:iCs/>
                <w:sz w:val="17"/>
                <w:szCs w:val="17"/>
              </w:rPr>
              <w:t>er</w:t>
            </w:r>
            <w:r w:rsidR="000A46D4" w:rsidRPr="00106054">
              <w:rPr>
                <w:rFonts w:eastAsia="Times New Roman"/>
                <w:iCs/>
                <w:sz w:val="17"/>
                <w:szCs w:val="17"/>
              </w:rPr>
              <w:t>s (recognising that many Indonesians travel to work in other provinces or countries).</w:t>
            </w:r>
            <w:r w:rsidR="000A46D4" w:rsidRPr="00106054">
              <w:rPr>
                <w:rFonts w:eastAsia="Times New Roman"/>
                <w:iCs/>
                <w:color w:val="409F68"/>
                <w:sz w:val="17"/>
                <w:szCs w:val="17"/>
              </w:rPr>
              <w:t xml:space="preserve"> </w:t>
            </w:r>
          </w:p>
        </w:tc>
      </w:tr>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B46389" w:rsidP="00106054">
            <w:pPr>
              <w:keepLines/>
              <w:spacing w:before="40" w:after="40" w:line="200" w:lineRule="atLeast"/>
              <w:rPr>
                <w:rFonts w:eastAsia="Times New Roman"/>
                <w:iCs/>
                <w:sz w:val="17"/>
                <w:szCs w:val="17"/>
              </w:rPr>
            </w:pPr>
            <w:r w:rsidRPr="00106054">
              <w:rPr>
                <w:rFonts w:eastAsia="Times New Roman"/>
                <w:iCs/>
                <w:sz w:val="17"/>
                <w:szCs w:val="17"/>
              </w:rPr>
              <w:t xml:space="preserve">Invest in our staff and access to quality expertise </w:t>
            </w:r>
          </w:p>
        </w:tc>
        <w:tc>
          <w:tcPr>
            <w:tcW w:w="949" w:type="dxa"/>
            <w:tcBorders>
              <w:top w:val="nil"/>
              <w:left w:val="nil"/>
              <w:bottom w:val="nil"/>
              <w:right w:val="nil"/>
              <w:tl2br w:val="nil"/>
              <w:tr2bl w:val="nil"/>
            </w:tcBorders>
            <w:shd w:val="clear" w:color="auto" w:fill="7FB64D"/>
          </w:tcPr>
          <w:p w:rsidR="006C7C9B" w:rsidRPr="00106054" w:rsidRDefault="0078555D" w:rsidP="00106054">
            <w:pPr>
              <w:keepLines/>
              <w:spacing w:before="40" w:after="40" w:line="200" w:lineRule="atLeast"/>
              <w:jc w:val="center"/>
              <w:rPr>
                <w:rFonts w:eastAsia="Times New Roman"/>
                <w:iCs/>
                <w:color w:val="FFFFFF"/>
                <w:sz w:val="17"/>
                <w:szCs w:val="17"/>
              </w:rPr>
            </w:pPr>
            <w:r w:rsidRPr="00106054">
              <w:rPr>
                <w:rFonts w:eastAsia="Times New Roman"/>
                <w:iCs/>
                <w:color w:val="FFFFFF"/>
                <w:sz w:val="17"/>
                <w:szCs w:val="17"/>
              </w:rPr>
              <w:t>A</w:t>
            </w:r>
            <w:r w:rsidR="006C7C9B" w:rsidRPr="00106054">
              <w:rPr>
                <w:rFonts w:eastAsia="Times New Roman"/>
                <w:iCs/>
                <w:color w:val="FFFFFF"/>
                <w:sz w:val="17"/>
                <w:szCs w:val="17"/>
              </w:rPr>
              <w:t>chieved</w:t>
            </w:r>
          </w:p>
        </w:tc>
        <w:tc>
          <w:tcPr>
            <w:tcW w:w="6763" w:type="dxa"/>
            <w:tcBorders>
              <w:top w:val="nil"/>
              <w:left w:val="nil"/>
              <w:bottom w:val="nil"/>
              <w:right w:val="nil"/>
              <w:tl2br w:val="nil"/>
              <w:tr2bl w:val="nil"/>
            </w:tcBorders>
            <w:shd w:val="clear" w:color="auto" w:fill="auto"/>
          </w:tcPr>
          <w:p w:rsidR="000D41F5" w:rsidRPr="00106054" w:rsidRDefault="000D41F5" w:rsidP="00106054">
            <w:pPr>
              <w:keepLines/>
              <w:spacing w:before="40" w:after="40" w:line="200" w:lineRule="atLeast"/>
              <w:rPr>
                <w:rFonts w:eastAsia="Times New Roman"/>
                <w:iCs/>
                <w:color w:val="409F68"/>
                <w:sz w:val="17"/>
                <w:szCs w:val="17"/>
              </w:rPr>
            </w:pPr>
            <w:r w:rsidRPr="00106054">
              <w:rPr>
                <w:rFonts w:eastAsia="Times New Roman"/>
                <w:iCs/>
                <w:sz w:val="17"/>
                <w:szCs w:val="17"/>
              </w:rPr>
              <w:t xml:space="preserve">In January 2016, we implemented a new governance mechanism to oversee the aid program. This involves a monthly meeting (Aid Management Meeting - AMM) of all SES staff (4 in Jakarta and 3 in Canberra). The AMM </w:t>
            </w:r>
            <w:r w:rsidR="00D622E0" w:rsidRPr="00106054">
              <w:rPr>
                <w:rFonts w:eastAsia="Times New Roman"/>
                <w:iCs/>
                <w:sz w:val="17"/>
                <w:szCs w:val="17"/>
              </w:rPr>
              <w:t>ensure</w:t>
            </w:r>
            <w:r w:rsidR="00CA661D" w:rsidRPr="00106054">
              <w:rPr>
                <w:rFonts w:eastAsia="Times New Roman"/>
                <w:iCs/>
                <w:sz w:val="17"/>
                <w:szCs w:val="17"/>
              </w:rPr>
              <w:t>s</w:t>
            </w:r>
            <w:r w:rsidR="00D622E0" w:rsidRPr="00106054">
              <w:rPr>
                <w:rFonts w:eastAsia="Times New Roman"/>
                <w:iCs/>
                <w:sz w:val="17"/>
                <w:szCs w:val="17"/>
              </w:rPr>
              <w:t xml:space="preserve"> better alignment of management decisions between Jakarta and Canberra and has already resulted in clear</w:t>
            </w:r>
            <w:r w:rsidR="00CA661D" w:rsidRPr="00106054">
              <w:rPr>
                <w:rFonts w:eastAsia="Times New Roman"/>
                <w:iCs/>
                <w:sz w:val="17"/>
                <w:szCs w:val="17"/>
              </w:rPr>
              <w:t>er</w:t>
            </w:r>
            <w:r w:rsidR="00D622E0" w:rsidRPr="00106054">
              <w:rPr>
                <w:rFonts w:eastAsia="Times New Roman"/>
                <w:iCs/>
                <w:sz w:val="17"/>
                <w:szCs w:val="17"/>
              </w:rPr>
              <w:t xml:space="preserve"> decision-making</w:t>
            </w:r>
            <w:r w:rsidR="00CA661D" w:rsidRPr="00106054">
              <w:rPr>
                <w:rFonts w:eastAsia="Times New Roman"/>
                <w:iCs/>
                <w:sz w:val="17"/>
                <w:szCs w:val="17"/>
              </w:rPr>
              <w:t xml:space="preserve"> processes</w:t>
            </w:r>
            <w:r w:rsidR="00D622E0" w:rsidRPr="00106054">
              <w:rPr>
                <w:rFonts w:eastAsia="Times New Roman"/>
                <w:iCs/>
                <w:sz w:val="17"/>
                <w:szCs w:val="17"/>
              </w:rPr>
              <w:t xml:space="preserve">. </w:t>
            </w:r>
            <w:r w:rsidRPr="00106054">
              <w:rPr>
                <w:rFonts w:eastAsia="Times New Roman"/>
                <w:iCs/>
                <w:sz w:val="17"/>
                <w:szCs w:val="17"/>
              </w:rPr>
              <w:t xml:space="preserve">Post </w:t>
            </w:r>
            <w:r w:rsidR="00A45226" w:rsidRPr="00106054">
              <w:rPr>
                <w:rFonts w:eastAsia="Times New Roman"/>
                <w:iCs/>
                <w:sz w:val="17"/>
                <w:szCs w:val="17"/>
              </w:rPr>
              <w:t>arranged training and technical workshops</w:t>
            </w:r>
            <w:r w:rsidRPr="00106054">
              <w:rPr>
                <w:rFonts w:eastAsia="Times New Roman"/>
                <w:iCs/>
                <w:sz w:val="17"/>
                <w:szCs w:val="17"/>
              </w:rPr>
              <w:t xml:space="preserve"> for staff and implementing partners, including: fraud training and the initiation in November 2015 of a fraud support group; risk management workshop at post and specialist training in Canberra for Post’s risk officer and unit manager; child protection </w:t>
            </w:r>
            <w:r w:rsidR="00DD27D0" w:rsidRPr="00106054">
              <w:rPr>
                <w:rFonts w:eastAsia="Times New Roman"/>
                <w:iCs/>
                <w:sz w:val="17"/>
                <w:szCs w:val="17"/>
              </w:rPr>
              <w:t>training</w:t>
            </w:r>
            <w:r w:rsidR="00A43082" w:rsidRPr="00106054">
              <w:rPr>
                <w:rFonts w:eastAsia="Times New Roman"/>
                <w:iCs/>
                <w:sz w:val="17"/>
                <w:szCs w:val="17"/>
              </w:rPr>
              <w:t xml:space="preserve">; regular procurement training (new starter and refresher); governance and political economy analysis training; and regular </w:t>
            </w:r>
            <w:proofErr w:type="spellStart"/>
            <w:r w:rsidR="00A43082" w:rsidRPr="00106054">
              <w:rPr>
                <w:rFonts w:eastAsia="Times New Roman"/>
                <w:iCs/>
                <w:sz w:val="17"/>
                <w:szCs w:val="17"/>
              </w:rPr>
              <w:t>Aidworks</w:t>
            </w:r>
            <w:proofErr w:type="spellEnd"/>
            <w:r w:rsidR="00A43082" w:rsidRPr="00106054">
              <w:rPr>
                <w:rFonts w:eastAsia="Times New Roman"/>
                <w:iCs/>
                <w:sz w:val="17"/>
                <w:szCs w:val="17"/>
              </w:rPr>
              <w:t xml:space="preserve"> training.</w:t>
            </w:r>
            <w:r w:rsidR="00C741AC" w:rsidRPr="00106054">
              <w:rPr>
                <w:rFonts w:eastAsia="Times New Roman"/>
                <w:iCs/>
                <w:sz w:val="17"/>
                <w:szCs w:val="17"/>
              </w:rPr>
              <w:t xml:space="preserve"> Intensive design training was also held.</w:t>
            </w:r>
            <w:r w:rsidR="00A43082" w:rsidRPr="00106054">
              <w:rPr>
                <w:rFonts w:eastAsia="Times New Roman"/>
                <w:iCs/>
                <w:sz w:val="17"/>
                <w:szCs w:val="17"/>
              </w:rPr>
              <w:t xml:space="preserve"> S</w:t>
            </w:r>
            <w:r w:rsidR="00DD27D0" w:rsidRPr="00106054">
              <w:rPr>
                <w:rFonts w:eastAsia="Times New Roman"/>
                <w:iCs/>
                <w:sz w:val="17"/>
                <w:szCs w:val="17"/>
              </w:rPr>
              <w:t>taff</w:t>
            </w:r>
            <w:r w:rsidRPr="00106054">
              <w:rPr>
                <w:rFonts w:eastAsia="Times New Roman"/>
                <w:iCs/>
                <w:sz w:val="17"/>
                <w:szCs w:val="17"/>
              </w:rPr>
              <w:t xml:space="preserve"> also</w:t>
            </w:r>
            <w:r w:rsidR="00DD27D0" w:rsidRPr="00106054">
              <w:rPr>
                <w:rFonts w:eastAsia="Times New Roman"/>
                <w:iCs/>
                <w:sz w:val="17"/>
                <w:szCs w:val="17"/>
              </w:rPr>
              <w:t xml:space="preserve"> attended training</w:t>
            </w:r>
            <w:r w:rsidRPr="00106054">
              <w:rPr>
                <w:rFonts w:eastAsia="Times New Roman"/>
                <w:iCs/>
                <w:sz w:val="17"/>
                <w:szCs w:val="17"/>
              </w:rPr>
              <w:t xml:space="preserve"> outside</w:t>
            </w:r>
            <w:r w:rsidR="00A43082" w:rsidRPr="00106054">
              <w:rPr>
                <w:rFonts w:eastAsia="Times New Roman"/>
                <w:iCs/>
                <w:sz w:val="17"/>
                <w:szCs w:val="17"/>
              </w:rPr>
              <w:t xml:space="preserve"> Jakarta</w:t>
            </w:r>
            <w:r w:rsidRPr="00106054">
              <w:rPr>
                <w:rFonts w:eastAsia="Times New Roman"/>
                <w:iCs/>
                <w:sz w:val="17"/>
                <w:szCs w:val="17"/>
              </w:rPr>
              <w:t xml:space="preserve"> </w:t>
            </w:r>
            <w:r w:rsidR="00DD27D0" w:rsidRPr="00106054">
              <w:rPr>
                <w:rFonts w:eastAsia="Times New Roman"/>
                <w:iCs/>
                <w:sz w:val="17"/>
                <w:szCs w:val="17"/>
              </w:rPr>
              <w:t xml:space="preserve">on </w:t>
            </w:r>
            <w:r w:rsidRPr="00106054">
              <w:rPr>
                <w:rFonts w:eastAsia="Times New Roman"/>
                <w:iCs/>
                <w:sz w:val="17"/>
                <w:szCs w:val="17"/>
              </w:rPr>
              <w:t>gender and market</w:t>
            </w:r>
            <w:r w:rsidR="007B71BF" w:rsidRPr="00106054">
              <w:rPr>
                <w:rFonts w:eastAsia="Times New Roman"/>
                <w:iCs/>
                <w:sz w:val="17"/>
                <w:szCs w:val="17"/>
              </w:rPr>
              <w:t xml:space="preserve">s </w:t>
            </w:r>
            <w:r w:rsidRPr="00106054">
              <w:rPr>
                <w:rFonts w:eastAsia="Times New Roman"/>
                <w:iCs/>
                <w:sz w:val="17"/>
                <w:szCs w:val="17"/>
              </w:rPr>
              <w:t>for the poor, both</w:t>
            </w:r>
            <w:r w:rsidR="00DD27D0" w:rsidRPr="00106054">
              <w:rPr>
                <w:rFonts w:eastAsia="Times New Roman"/>
                <w:iCs/>
                <w:sz w:val="17"/>
                <w:szCs w:val="17"/>
              </w:rPr>
              <w:t xml:space="preserve"> held</w:t>
            </w:r>
            <w:r w:rsidRPr="00106054">
              <w:rPr>
                <w:rFonts w:eastAsia="Times New Roman"/>
                <w:iCs/>
                <w:sz w:val="17"/>
                <w:szCs w:val="17"/>
              </w:rPr>
              <w:t xml:space="preserve"> </w:t>
            </w:r>
            <w:r w:rsidR="00DD27D0" w:rsidRPr="00106054">
              <w:rPr>
                <w:rFonts w:eastAsia="Times New Roman"/>
                <w:iCs/>
                <w:sz w:val="17"/>
                <w:szCs w:val="17"/>
              </w:rPr>
              <w:t xml:space="preserve">in Bangkok. </w:t>
            </w:r>
          </w:p>
        </w:tc>
      </w:tr>
      <w:tr w:rsidR="006C7C9B" w:rsidRPr="00106054" w:rsidTr="00320DC9">
        <w:trPr>
          <w:tblHeader/>
          <w:tblCellSpacing w:w="14" w:type="dxa"/>
        </w:trPr>
        <w:tc>
          <w:tcPr>
            <w:tcW w:w="6349" w:type="dxa"/>
            <w:tcBorders>
              <w:top w:val="nil"/>
              <w:left w:val="nil"/>
              <w:bottom w:val="nil"/>
              <w:right w:val="nil"/>
              <w:tl2br w:val="nil"/>
              <w:tr2bl w:val="nil"/>
            </w:tcBorders>
            <w:shd w:val="clear" w:color="auto" w:fill="auto"/>
          </w:tcPr>
          <w:p w:rsidR="006C7C9B" w:rsidRPr="00106054" w:rsidRDefault="00D12DB0" w:rsidP="00106054">
            <w:pPr>
              <w:keepLines/>
              <w:spacing w:before="40" w:after="40" w:line="200" w:lineRule="atLeast"/>
              <w:rPr>
                <w:rFonts w:ascii="Franklin Gothic Book" w:eastAsia="Times New Roman" w:hAnsi="Franklin Gothic Book"/>
                <w:iCs/>
                <w:sz w:val="17"/>
                <w:szCs w:val="17"/>
                <w:lang w:eastAsia="en-AU"/>
              </w:rPr>
            </w:pPr>
            <w:r w:rsidRPr="00106054">
              <w:rPr>
                <w:rFonts w:ascii="Franklin Gothic Book" w:eastAsia="Times New Roman" w:hAnsi="Franklin Gothic Book"/>
                <w:iCs/>
                <w:sz w:val="17"/>
                <w:szCs w:val="17"/>
                <w:lang w:eastAsia="en-AU"/>
              </w:rPr>
              <w:t xml:space="preserve">Improve our communications </w:t>
            </w:r>
          </w:p>
        </w:tc>
        <w:tc>
          <w:tcPr>
            <w:tcW w:w="949" w:type="dxa"/>
            <w:tcBorders>
              <w:top w:val="nil"/>
              <w:left w:val="nil"/>
              <w:bottom w:val="nil"/>
              <w:right w:val="nil"/>
              <w:tl2br w:val="nil"/>
              <w:tr2bl w:val="nil"/>
            </w:tcBorders>
            <w:shd w:val="clear" w:color="auto" w:fill="E36C0A"/>
          </w:tcPr>
          <w:p w:rsidR="006C7C9B" w:rsidRPr="00106054" w:rsidRDefault="00027963" w:rsidP="00106054">
            <w:pPr>
              <w:keepLines/>
              <w:spacing w:before="40" w:after="40" w:line="200" w:lineRule="atLeast"/>
              <w:jc w:val="center"/>
              <w:rPr>
                <w:rFonts w:ascii="Franklin Gothic Book" w:eastAsia="Times New Roman" w:hAnsi="Franklin Gothic Book"/>
                <w:iCs/>
                <w:color w:val="FFFFFF"/>
                <w:sz w:val="17"/>
                <w:szCs w:val="17"/>
                <w:lang w:eastAsia="en-AU"/>
              </w:rPr>
            </w:pPr>
            <w:r w:rsidRPr="00106054">
              <w:rPr>
                <w:rFonts w:ascii="Franklin Gothic Book" w:eastAsia="Times New Roman" w:hAnsi="Franklin Gothic Book"/>
                <w:iCs/>
                <w:color w:val="FFFFFF"/>
                <w:sz w:val="17"/>
                <w:szCs w:val="17"/>
                <w:lang w:eastAsia="en-AU"/>
              </w:rPr>
              <w:t>Partly a</w:t>
            </w:r>
            <w:r w:rsidR="00B46389" w:rsidRPr="00106054">
              <w:rPr>
                <w:rFonts w:ascii="Franklin Gothic Book" w:eastAsia="Times New Roman" w:hAnsi="Franklin Gothic Book"/>
                <w:iCs/>
                <w:color w:val="FFFFFF"/>
                <w:sz w:val="17"/>
                <w:szCs w:val="17"/>
                <w:lang w:eastAsia="en-AU"/>
              </w:rPr>
              <w:t xml:space="preserve">chieved </w:t>
            </w:r>
          </w:p>
        </w:tc>
        <w:tc>
          <w:tcPr>
            <w:tcW w:w="6763" w:type="dxa"/>
            <w:tcBorders>
              <w:top w:val="nil"/>
              <w:left w:val="nil"/>
              <w:bottom w:val="nil"/>
              <w:right w:val="nil"/>
              <w:tl2br w:val="nil"/>
              <w:tr2bl w:val="nil"/>
            </w:tcBorders>
            <w:shd w:val="clear" w:color="auto" w:fill="auto"/>
          </w:tcPr>
          <w:p w:rsidR="006C7C9B" w:rsidRPr="00106054" w:rsidRDefault="006604FA" w:rsidP="00106054">
            <w:pPr>
              <w:keepLines/>
              <w:spacing w:before="40" w:after="40" w:line="200" w:lineRule="atLeast"/>
              <w:rPr>
                <w:rFonts w:eastAsia="Times New Roman"/>
                <w:iCs/>
                <w:sz w:val="17"/>
                <w:szCs w:val="17"/>
              </w:rPr>
            </w:pPr>
            <w:r w:rsidRPr="00106054">
              <w:rPr>
                <w:rFonts w:eastAsia="Times New Roman"/>
                <w:iCs/>
                <w:sz w:val="17"/>
                <w:szCs w:val="17"/>
              </w:rPr>
              <w:t>In 2015-16, we better integrated our programs into the Embassy’s public diplomacy agenda, with increased coverage by the Embassy’s Twitter and Facebook pages, and joint events on social media, C</w:t>
            </w:r>
            <w:r w:rsidR="00136218" w:rsidRPr="00106054">
              <w:rPr>
                <w:rFonts w:eastAsia="Times New Roman"/>
                <w:iCs/>
                <w:sz w:val="17"/>
                <w:szCs w:val="17"/>
              </w:rPr>
              <w:t xml:space="preserve">orporate </w:t>
            </w:r>
            <w:r w:rsidRPr="00106054">
              <w:rPr>
                <w:rFonts w:eastAsia="Times New Roman"/>
                <w:iCs/>
                <w:sz w:val="17"/>
                <w:szCs w:val="17"/>
              </w:rPr>
              <w:t>S</w:t>
            </w:r>
            <w:r w:rsidR="00136218" w:rsidRPr="00106054">
              <w:rPr>
                <w:rFonts w:eastAsia="Times New Roman"/>
                <w:iCs/>
                <w:sz w:val="17"/>
                <w:szCs w:val="17"/>
              </w:rPr>
              <w:t>ocial Responsibility, child protection and photography,</w:t>
            </w:r>
            <w:r w:rsidRPr="00106054">
              <w:rPr>
                <w:rFonts w:eastAsia="Times New Roman"/>
                <w:iCs/>
                <w:sz w:val="17"/>
                <w:szCs w:val="17"/>
              </w:rPr>
              <w:t xml:space="preserve"> and alumni.  We have redesigned our Back to Office Report process to extract better stories from site visits, which in turn feed into Embassy media.  The new Embassy organisational structure has also resulted in more integrated messaging, including through politi</w:t>
            </w:r>
            <w:r w:rsidR="00484741" w:rsidRPr="00106054">
              <w:rPr>
                <w:rFonts w:eastAsia="Times New Roman"/>
                <w:iCs/>
                <w:sz w:val="17"/>
                <w:szCs w:val="17"/>
              </w:rPr>
              <w:t xml:space="preserve">cal and economic calls with Indonesia </w:t>
            </w:r>
            <w:r w:rsidRPr="00106054">
              <w:rPr>
                <w:rFonts w:eastAsia="Times New Roman"/>
                <w:iCs/>
                <w:sz w:val="17"/>
                <w:szCs w:val="17"/>
              </w:rPr>
              <w:t xml:space="preserve">and regular regional visits. </w:t>
            </w:r>
            <w:r w:rsidR="00CE4249" w:rsidRPr="00106054">
              <w:rPr>
                <w:rFonts w:eastAsia="Times New Roman"/>
                <w:iCs/>
                <w:sz w:val="17"/>
                <w:szCs w:val="17"/>
              </w:rPr>
              <w:t>We explored</w:t>
            </w:r>
            <w:r w:rsidRPr="00106054">
              <w:rPr>
                <w:rFonts w:eastAsia="Times New Roman"/>
                <w:iCs/>
                <w:sz w:val="17"/>
                <w:szCs w:val="17"/>
              </w:rPr>
              <w:t xml:space="preserve"> more innovative ways to communicate our achievements, including infographics, geo-maps, and program-level Twitter accounts (such as MAMPU). To better communicate our achievements to an Australian audience, seven of our programs are participating in the DFAT Aid Communications Pilot and we have undertaken a thorough update of Indonesia program pages on the DFAT website.</w:t>
            </w:r>
            <w:r w:rsidR="00A601BA" w:rsidRPr="00106054">
              <w:rPr>
                <w:rFonts w:eastAsia="Times New Roman"/>
                <w:iCs/>
                <w:sz w:val="17"/>
                <w:szCs w:val="17"/>
              </w:rPr>
              <w:t xml:space="preserve"> We need to better use evidence to explain how our programs have contributed to poverty reduction efforts and improved policy in Indonesia.</w:t>
            </w:r>
          </w:p>
        </w:tc>
      </w:tr>
    </w:tbl>
    <w:p w:rsidR="006C7C9B" w:rsidRPr="00880004" w:rsidRDefault="006C7C9B" w:rsidP="006C7C9B">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6C7C9B" w:rsidRPr="00880004" w:rsidRDefault="006C7C9B" w:rsidP="006C7C9B">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6C7C9B" w:rsidRPr="00880004" w:rsidRDefault="006C7C9B" w:rsidP="006C7C9B">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6C7C9B" w:rsidRPr="00880004" w:rsidRDefault="006C7C9B" w:rsidP="006C7C9B">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C6A33" w:rsidRPr="00A427C6" w:rsidRDefault="004C6A33" w:rsidP="004C6A33">
      <w:pPr>
        <w:spacing w:after="160" w:line="280" w:lineRule="exact"/>
        <w:rPr>
          <w:rFonts w:eastAsia="Times New Roman"/>
          <w:sz w:val="21"/>
        </w:rPr>
      </w:pPr>
    </w:p>
    <w:p w:rsidR="00400B0F" w:rsidRPr="006604FA" w:rsidRDefault="00400B0F" w:rsidP="006604FA">
      <w:pPr>
        <w:keepLines/>
        <w:spacing w:before="40" w:after="40" w:line="200" w:lineRule="atLeast"/>
        <w:rPr>
          <w:rFonts w:eastAsia="Times New Roman"/>
          <w:iCs/>
          <w:sz w:val="17"/>
          <w:szCs w:val="17"/>
        </w:rPr>
      </w:pPr>
    </w:p>
    <w:p w:rsidR="00D15A00" w:rsidRDefault="00D15A00" w:rsidP="002A51CA"/>
    <w:p w:rsidR="00060268" w:rsidRDefault="00060268" w:rsidP="002A51CA"/>
    <w:p w:rsidR="00DA256A" w:rsidRPr="00400B0F" w:rsidRDefault="00DA256A" w:rsidP="00DA256A">
      <w:pPr>
        <w:pStyle w:val="Subtitle"/>
        <w:numPr>
          <w:ilvl w:val="0"/>
          <w:numId w:val="0"/>
        </w:numPr>
      </w:pPr>
      <w:r w:rsidRPr="00C7674F">
        <w:t>Annex B - Progress towards Performance Benchmarks in 2015-16</w:t>
      </w:r>
    </w:p>
    <w:tbl>
      <w:tblPr>
        <w:tblW w:w="5000" w:type="pct"/>
        <w:tblBorders>
          <w:top w:val="single" w:sz="12" w:space="0" w:color="auto"/>
          <w:bottom w:val="single" w:sz="12" w:space="0" w:color="auto"/>
        </w:tblBorders>
        <w:shd w:val="clear" w:color="auto" w:fill="FFFFFF"/>
        <w:tblLook w:val="04A0" w:firstRow="1" w:lastRow="0" w:firstColumn="1" w:lastColumn="0" w:noHBand="0" w:noVBand="1"/>
      </w:tblPr>
      <w:tblGrid>
        <w:gridCol w:w="1644"/>
        <w:gridCol w:w="2778"/>
        <w:gridCol w:w="1332"/>
        <w:gridCol w:w="8419"/>
      </w:tblGrid>
      <w:tr w:rsidR="00106054" w:rsidRPr="00106054" w:rsidTr="00106054">
        <w:trPr>
          <w:trHeight w:val="363"/>
          <w:tblHeader/>
        </w:trPr>
        <w:tc>
          <w:tcPr>
            <w:tcW w:w="580" w:type="pct"/>
            <w:tcBorders>
              <w:bottom w:val="nil"/>
            </w:tcBorders>
            <w:shd w:val="clear" w:color="auto" w:fill="FFFFFF"/>
            <w:tcMar>
              <w:top w:w="57" w:type="dxa"/>
              <w:bottom w:w="57" w:type="dxa"/>
            </w:tcMar>
          </w:tcPr>
          <w:p w:rsidR="00DA256A" w:rsidRPr="00106054" w:rsidRDefault="00DA256A" w:rsidP="00106054">
            <w:pPr>
              <w:keepLines/>
              <w:spacing w:before="80" w:after="80" w:line="200" w:lineRule="atLeast"/>
              <w:rPr>
                <w:rFonts w:eastAsia="Times New Roman"/>
                <w:b/>
                <w:iCs/>
                <w:color w:val="auto"/>
                <w:sz w:val="14"/>
                <w:szCs w:val="14"/>
              </w:rPr>
            </w:pPr>
            <w:r w:rsidRPr="00106054">
              <w:rPr>
                <w:rFonts w:eastAsia="Times New Roman"/>
                <w:b/>
                <w:iCs/>
                <w:color w:val="auto"/>
                <w:sz w:val="14"/>
                <w:szCs w:val="14"/>
              </w:rPr>
              <w:t>Aid objective</w:t>
            </w:r>
          </w:p>
        </w:tc>
        <w:tc>
          <w:tcPr>
            <w:tcW w:w="980" w:type="pct"/>
            <w:tcBorders>
              <w:bottom w:val="nil"/>
            </w:tcBorders>
            <w:shd w:val="clear" w:color="auto" w:fill="FFFFFF"/>
          </w:tcPr>
          <w:p w:rsidR="00DA256A" w:rsidRPr="00106054" w:rsidRDefault="00DA256A" w:rsidP="00106054">
            <w:pPr>
              <w:keepLines/>
              <w:spacing w:before="80" w:after="80" w:line="200" w:lineRule="atLeast"/>
              <w:rPr>
                <w:rFonts w:eastAsia="Times New Roman"/>
                <w:b/>
                <w:iCs/>
                <w:color w:val="auto"/>
                <w:sz w:val="14"/>
                <w:szCs w:val="14"/>
              </w:rPr>
            </w:pPr>
            <w:r w:rsidRPr="00106054">
              <w:rPr>
                <w:rFonts w:eastAsia="Times New Roman"/>
                <w:b/>
                <w:iCs/>
                <w:color w:val="auto"/>
                <w:sz w:val="14"/>
                <w:szCs w:val="14"/>
              </w:rPr>
              <w:t>2015-16 benchmark</w:t>
            </w:r>
          </w:p>
        </w:tc>
        <w:tc>
          <w:tcPr>
            <w:tcW w:w="470" w:type="pct"/>
            <w:tcBorders>
              <w:bottom w:val="nil"/>
            </w:tcBorders>
            <w:shd w:val="clear" w:color="auto" w:fill="FFFFFF"/>
          </w:tcPr>
          <w:p w:rsidR="00DA256A" w:rsidRPr="00106054" w:rsidRDefault="00DA256A" w:rsidP="00106054">
            <w:pPr>
              <w:keepLines/>
              <w:spacing w:before="80" w:after="80" w:line="200" w:lineRule="atLeast"/>
              <w:jc w:val="center"/>
              <w:rPr>
                <w:rFonts w:eastAsia="Times New Roman"/>
                <w:b/>
                <w:iCs/>
                <w:color w:val="auto"/>
                <w:sz w:val="14"/>
                <w:szCs w:val="14"/>
              </w:rPr>
            </w:pPr>
            <w:r w:rsidRPr="00106054">
              <w:rPr>
                <w:rFonts w:eastAsia="Times New Roman"/>
                <w:b/>
                <w:iCs/>
                <w:color w:val="auto"/>
                <w:sz w:val="14"/>
                <w:szCs w:val="14"/>
              </w:rPr>
              <w:t>Rating</w:t>
            </w:r>
          </w:p>
        </w:tc>
        <w:tc>
          <w:tcPr>
            <w:tcW w:w="2970" w:type="pct"/>
            <w:tcBorders>
              <w:bottom w:val="nil"/>
            </w:tcBorders>
            <w:shd w:val="clear" w:color="auto" w:fill="FFFFFF"/>
          </w:tcPr>
          <w:p w:rsidR="00DA256A" w:rsidRPr="00106054" w:rsidRDefault="00DA256A" w:rsidP="00106054">
            <w:pPr>
              <w:keepLines/>
              <w:spacing w:before="80" w:after="80" w:line="200" w:lineRule="atLeast"/>
              <w:rPr>
                <w:rFonts w:eastAsia="Times New Roman"/>
                <w:b/>
                <w:iCs/>
                <w:color w:val="auto"/>
                <w:sz w:val="14"/>
                <w:szCs w:val="14"/>
              </w:rPr>
            </w:pPr>
            <w:r w:rsidRPr="00106054">
              <w:rPr>
                <w:rFonts w:eastAsia="Times New Roman"/>
                <w:b/>
                <w:iCs/>
                <w:color w:val="auto"/>
                <w:sz w:val="14"/>
                <w:szCs w:val="14"/>
              </w:rPr>
              <w:t xml:space="preserve">Progress </w:t>
            </w:r>
          </w:p>
        </w:tc>
      </w:tr>
      <w:tr w:rsidR="00106054" w:rsidRPr="00106054" w:rsidTr="00106054">
        <w:trPr>
          <w:trHeight w:val="882"/>
        </w:trPr>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b/>
                <w:iCs/>
                <w:color w:val="auto"/>
                <w:sz w:val="14"/>
                <w:szCs w:val="14"/>
              </w:rPr>
            </w:pPr>
            <w:r w:rsidRPr="00106054">
              <w:rPr>
                <w:rFonts w:eastAsia="Times New Roman"/>
                <w:b/>
                <w:iCs/>
                <w:color w:val="auto"/>
                <w:sz w:val="14"/>
                <w:szCs w:val="14"/>
              </w:rPr>
              <w:t>Effective Economic Institutions and Infrastructure</w:t>
            </w: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rPr>
            </w:pPr>
            <w:r w:rsidRPr="00106054">
              <w:rPr>
                <w:rFonts w:eastAsia="Times New Roman"/>
                <w:iCs/>
                <w:color w:val="auto"/>
                <w:sz w:val="14"/>
                <w:szCs w:val="14"/>
              </w:rPr>
              <w:t xml:space="preserve">1300km of roads constructed, rehabilitated or maintained </w:t>
            </w:r>
          </w:p>
        </w:tc>
        <w:tc>
          <w:tcPr>
            <w:tcW w:w="470" w:type="pct"/>
            <w:tcBorders>
              <w:top w:val="nil"/>
              <w:left w:val="nil"/>
              <w:bottom w:val="nil"/>
              <w:right w:val="nil"/>
            </w:tcBorders>
            <w:shd w:val="clear" w:color="auto" w:fill="auto"/>
            <w:vAlign w:val="center"/>
          </w:tcPr>
          <w:p w:rsidR="00DA256A" w:rsidRPr="00106054" w:rsidRDefault="00DA256A" w:rsidP="00106054">
            <w:pPr>
              <w:keepLines/>
              <w:spacing w:before="40" w:after="40" w:line="200" w:lineRule="atLeast"/>
              <w:jc w:val="center"/>
              <w:rPr>
                <w:rFonts w:eastAsia="Times New Roman"/>
                <w:iCs/>
                <w:color w:val="auto"/>
                <w:sz w:val="14"/>
                <w:szCs w:val="14"/>
              </w:rPr>
            </w:pPr>
            <w:r w:rsidRPr="00106054">
              <w:rPr>
                <w:rFonts w:eastAsia="Times New Roman"/>
                <w:iCs/>
                <w:color w:val="auto"/>
                <w:sz w:val="14"/>
                <w:szCs w:val="14"/>
              </w:rPr>
              <w:t xml:space="preserve">Not Rated </w:t>
            </w:r>
          </w:p>
        </w:tc>
        <w:tc>
          <w:tcPr>
            <w:tcW w:w="297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rPr>
            </w:pPr>
            <w:r w:rsidRPr="00106054">
              <w:rPr>
                <w:rFonts w:eastAsia="Times New Roman"/>
                <w:iCs/>
                <w:color w:val="auto"/>
                <w:sz w:val="14"/>
                <w:szCs w:val="14"/>
              </w:rPr>
              <w:t>The target was not adopted in the Per</w:t>
            </w:r>
            <w:r w:rsidR="00827BD4" w:rsidRPr="00106054">
              <w:rPr>
                <w:rFonts w:eastAsia="Times New Roman"/>
                <w:iCs/>
                <w:color w:val="auto"/>
                <w:sz w:val="14"/>
                <w:szCs w:val="14"/>
              </w:rPr>
              <w:t xml:space="preserve">formance Assessment Framework, noting that it was more relevant to the direct service provision outcomes of our previous aid program. </w:t>
            </w:r>
          </w:p>
        </w:tc>
      </w:tr>
      <w:tr w:rsidR="00106054" w:rsidRPr="00106054" w:rsidTr="00106054">
        <w:trPr>
          <w:trHeight w:val="739"/>
        </w:trPr>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ascii="Helvetica" w:eastAsia="Times New Roman" w:hAnsi="Helvetica"/>
                <w:b/>
                <w:iCs/>
                <w:color w:val="auto"/>
                <w:sz w:val="14"/>
                <w:szCs w:val="14"/>
                <w:lang w:eastAsia="en-AU"/>
              </w:rPr>
            </w:pP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rPr>
            </w:pPr>
            <w:r w:rsidRPr="00106054">
              <w:rPr>
                <w:rFonts w:eastAsia="Times New Roman"/>
                <w:iCs/>
                <w:color w:val="auto"/>
                <w:sz w:val="14"/>
                <w:szCs w:val="14"/>
              </w:rPr>
              <w:t>Improvements to market efficiency, regulation and financial systems</w:t>
            </w:r>
          </w:p>
          <w:p w:rsidR="00DA256A" w:rsidRPr="00106054" w:rsidRDefault="00DA256A" w:rsidP="00106054">
            <w:pPr>
              <w:keepLines/>
              <w:spacing w:before="40" w:after="40" w:line="200" w:lineRule="atLeast"/>
              <w:rPr>
                <w:rFonts w:ascii="Helvetica" w:eastAsia="Times New Roman" w:hAnsi="Helvetica"/>
                <w:iCs/>
                <w:color w:val="auto"/>
                <w:sz w:val="14"/>
                <w:szCs w:val="14"/>
                <w:lang w:eastAsia="en-AU"/>
              </w:rPr>
            </w:pPr>
          </w:p>
        </w:tc>
        <w:tc>
          <w:tcPr>
            <w:tcW w:w="470" w:type="pct"/>
            <w:tcBorders>
              <w:top w:val="nil"/>
              <w:left w:val="nil"/>
              <w:bottom w:val="nil"/>
              <w:right w:val="nil"/>
            </w:tcBorders>
            <w:shd w:val="clear" w:color="auto" w:fill="7FB64D"/>
            <w:vAlign w:val="center"/>
          </w:tcPr>
          <w:p w:rsidR="00DA256A" w:rsidRPr="00106054" w:rsidRDefault="00DA256A" w:rsidP="00106054">
            <w:pPr>
              <w:keepLines/>
              <w:spacing w:before="40" w:after="40" w:line="200" w:lineRule="atLeast"/>
              <w:jc w:val="center"/>
              <w:rPr>
                <w:rFonts w:eastAsia="Times New Roman"/>
                <w:b/>
                <w:iCs/>
                <w:color w:val="FFFFFF"/>
                <w:sz w:val="14"/>
                <w:szCs w:val="14"/>
              </w:rPr>
            </w:pPr>
            <w:r w:rsidRPr="00106054">
              <w:rPr>
                <w:rFonts w:eastAsia="Times New Roman"/>
                <w:b/>
                <w:iCs/>
                <w:color w:val="FFFFFF"/>
                <w:sz w:val="14"/>
                <w:szCs w:val="14"/>
              </w:rPr>
              <w:t>Achieved</w:t>
            </w:r>
          </w:p>
          <w:p w:rsidR="00DA256A" w:rsidRPr="00106054" w:rsidRDefault="00DA256A" w:rsidP="00106054">
            <w:pPr>
              <w:keepLines/>
              <w:spacing w:before="40" w:after="40" w:line="200" w:lineRule="atLeast"/>
              <w:jc w:val="center"/>
              <w:rPr>
                <w:rFonts w:ascii="Helvetica" w:eastAsia="Times New Roman" w:hAnsi="Helvetica"/>
                <w:b/>
                <w:iCs/>
                <w:color w:val="FFFFFF"/>
                <w:sz w:val="14"/>
                <w:szCs w:val="14"/>
                <w:lang w:eastAsia="en-AU"/>
              </w:rPr>
            </w:pPr>
          </w:p>
        </w:tc>
        <w:tc>
          <w:tcPr>
            <w:tcW w:w="2970" w:type="pct"/>
            <w:tcBorders>
              <w:top w:val="nil"/>
              <w:left w:val="nil"/>
              <w:bottom w:val="nil"/>
              <w:right w:val="nil"/>
            </w:tcBorders>
            <w:shd w:val="clear" w:color="auto" w:fill="FFFFFF"/>
            <w:vAlign w:val="center"/>
          </w:tcPr>
          <w:p w:rsidR="00DA256A" w:rsidRPr="00106054" w:rsidRDefault="00AF395A" w:rsidP="00106054">
            <w:pPr>
              <w:pStyle w:val="TableTextEntries"/>
              <w:keepNext/>
              <w:rPr>
                <w:rFonts w:ascii="Calibri Light" w:hAnsi="Calibri Light"/>
                <w:sz w:val="14"/>
                <w:szCs w:val="14"/>
                <w:lang w:eastAsia="en-AU"/>
              </w:rPr>
            </w:pPr>
            <w:r w:rsidRPr="00106054">
              <w:rPr>
                <w:rFonts w:ascii="Calibri Light" w:hAnsi="Calibri Light"/>
                <w:sz w:val="14"/>
                <w:szCs w:val="14"/>
                <w:lang w:eastAsia="en-AU"/>
              </w:rPr>
              <w:t>Both interim 2015-</w:t>
            </w:r>
            <w:r w:rsidR="00DA256A" w:rsidRPr="00106054">
              <w:rPr>
                <w:rFonts w:ascii="Calibri Light" w:hAnsi="Calibri Light"/>
                <w:sz w:val="14"/>
                <w:szCs w:val="14"/>
                <w:lang w:eastAsia="en-AU"/>
              </w:rPr>
              <w:t>16 targets were achieved. Australia supported Indonesia to pilot a risk-based approach to tax auditing and assisted in developing tax risk assessment tools, and the pilot is now in a second phase. We supported a review of financial sector needs for enabling economic growth, and are working with Indonesia to address priority areas.</w:t>
            </w:r>
          </w:p>
          <w:p w:rsidR="00DA256A" w:rsidRPr="00106054" w:rsidRDefault="00DA256A" w:rsidP="00106054">
            <w:pPr>
              <w:keepLines/>
              <w:spacing w:before="40" w:after="40" w:line="200" w:lineRule="atLeast"/>
              <w:rPr>
                <w:rFonts w:ascii="Helvetica" w:eastAsia="Times New Roman" w:hAnsi="Helvetica"/>
                <w:iCs/>
                <w:color w:val="auto"/>
                <w:sz w:val="14"/>
                <w:szCs w:val="14"/>
                <w:lang w:eastAsia="en-AU"/>
              </w:rPr>
            </w:pPr>
          </w:p>
        </w:tc>
      </w:tr>
      <w:tr w:rsidR="00106054" w:rsidRPr="00106054" w:rsidTr="00106054">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iCs/>
                <w:color w:val="auto"/>
                <w:sz w:val="14"/>
                <w:szCs w:val="14"/>
              </w:rPr>
            </w:pPr>
          </w:p>
        </w:tc>
        <w:tc>
          <w:tcPr>
            <w:tcW w:w="980" w:type="pct"/>
            <w:tcBorders>
              <w:top w:val="nil"/>
              <w:left w:val="nil"/>
              <w:bottom w:val="nil"/>
              <w:right w:val="nil"/>
            </w:tcBorders>
            <w:shd w:val="clear" w:color="auto" w:fill="FFFFFF"/>
            <w:vAlign w:val="center"/>
          </w:tcPr>
          <w:p w:rsidR="00DA256A" w:rsidRPr="00106054" w:rsidRDefault="00DA256A" w:rsidP="007E22BF">
            <w:pPr>
              <w:rPr>
                <w:rFonts w:eastAsia="Times New Roman"/>
                <w:color w:val="auto"/>
                <w:sz w:val="14"/>
                <w:szCs w:val="14"/>
                <w:lang w:eastAsia="en-AU"/>
              </w:rPr>
            </w:pPr>
            <w:r w:rsidRPr="00106054">
              <w:rPr>
                <w:rFonts w:eastAsia="Times New Roman"/>
                <w:color w:val="auto"/>
                <w:sz w:val="14"/>
                <w:szCs w:val="14"/>
                <w:lang w:eastAsia="en-AU"/>
              </w:rPr>
              <w:t>18,000 farmers, in particular women, with increased incomes through private sector investment</w:t>
            </w:r>
          </w:p>
        </w:tc>
        <w:tc>
          <w:tcPr>
            <w:tcW w:w="470" w:type="pct"/>
            <w:tcBorders>
              <w:top w:val="nil"/>
              <w:left w:val="nil"/>
              <w:bottom w:val="nil"/>
              <w:right w:val="nil"/>
            </w:tcBorders>
            <w:shd w:val="clear" w:color="auto" w:fill="7FB64D"/>
            <w:vAlign w:val="center"/>
          </w:tcPr>
          <w:p w:rsidR="00DA256A" w:rsidRPr="00106054" w:rsidRDefault="00DA256A" w:rsidP="00106054">
            <w:pPr>
              <w:jc w:val="center"/>
              <w:rPr>
                <w:rFonts w:eastAsia="Times New Roman"/>
                <w:b/>
                <w:color w:val="FFFFFF"/>
                <w:sz w:val="14"/>
                <w:szCs w:val="14"/>
                <w:lang w:eastAsia="en-AU"/>
              </w:rPr>
            </w:pPr>
            <w:r w:rsidRPr="00106054">
              <w:rPr>
                <w:rFonts w:eastAsia="Times New Roman"/>
                <w:b/>
                <w:color w:val="FFFFFF"/>
                <w:sz w:val="14"/>
                <w:szCs w:val="14"/>
                <w:lang w:eastAsia="en-AU"/>
              </w:rPr>
              <w:t>Achieved</w:t>
            </w:r>
          </w:p>
        </w:tc>
        <w:tc>
          <w:tcPr>
            <w:tcW w:w="2970" w:type="pct"/>
            <w:tcBorders>
              <w:top w:val="nil"/>
              <w:left w:val="nil"/>
              <w:bottom w:val="nil"/>
              <w:right w:val="nil"/>
            </w:tcBorders>
            <w:shd w:val="clear" w:color="auto" w:fill="FFFFFF"/>
            <w:vAlign w:val="center"/>
          </w:tcPr>
          <w:p w:rsidR="00DA256A" w:rsidRPr="00106054" w:rsidRDefault="00DA256A" w:rsidP="00106054">
            <w:pPr>
              <w:pStyle w:val="TableTextEntries"/>
              <w:keepNext/>
              <w:rPr>
                <w:rFonts w:ascii="Calibri Light" w:hAnsi="Calibri Light"/>
                <w:sz w:val="14"/>
                <w:szCs w:val="14"/>
                <w:lang w:eastAsia="en-AU"/>
              </w:rPr>
            </w:pPr>
            <w:r w:rsidRPr="00106054">
              <w:rPr>
                <w:rFonts w:ascii="Calibri Light" w:hAnsi="Calibri Light"/>
                <w:sz w:val="14"/>
                <w:szCs w:val="14"/>
                <w:lang w:eastAsia="en-AU"/>
              </w:rPr>
              <w:t>A total of 18,567 smallholder farmers were supported to increase incomes through private sector investment. Of these, 7,982 were female, 8,967 were male and there was no gender data available for 1,618 beneficiaries.</w:t>
            </w:r>
          </w:p>
          <w:p w:rsidR="00DA256A" w:rsidRPr="00106054" w:rsidRDefault="00DA256A" w:rsidP="00106054">
            <w:pPr>
              <w:keepLines/>
              <w:spacing w:before="40" w:after="40" w:line="200" w:lineRule="atLeast"/>
              <w:rPr>
                <w:rFonts w:eastAsia="Times New Roman"/>
                <w:iCs/>
                <w:color w:val="auto"/>
                <w:sz w:val="14"/>
                <w:szCs w:val="14"/>
              </w:rPr>
            </w:pPr>
          </w:p>
        </w:tc>
      </w:tr>
      <w:tr w:rsidR="00106054" w:rsidRPr="00106054" w:rsidTr="00106054">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b/>
                <w:iCs/>
                <w:color w:val="auto"/>
                <w:sz w:val="14"/>
                <w:szCs w:val="14"/>
                <w:lang w:eastAsia="en-AU"/>
              </w:rPr>
            </w:pPr>
            <w:r w:rsidRPr="00106054">
              <w:rPr>
                <w:rFonts w:eastAsia="Times New Roman"/>
                <w:b/>
                <w:iCs/>
                <w:color w:val="auto"/>
                <w:sz w:val="14"/>
                <w:szCs w:val="14"/>
                <w:lang w:eastAsia="en-AU"/>
              </w:rPr>
              <w:t>Human Development for a Productive and Healthy Society</w:t>
            </w: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1.09 million women and men with improved access to safe water and basic sanitation</w:t>
            </w:r>
          </w:p>
        </w:tc>
        <w:tc>
          <w:tcPr>
            <w:tcW w:w="470" w:type="pct"/>
            <w:tcBorders>
              <w:top w:val="nil"/>
              <w:left w:val="nil"/>
              <w:bottom w:val="nil"/>
              <w:right w:val="nil"/>
            </w:tcBorders>
            <w:shd w:val="clear" w:color="auto" w:fill="E36C0A"/>
            <w:vAlign w:val="center"/>
          </w:tcPr>
          <w:p w:rsidR="00DA256A" w:rsidRPr="00106054" w:rsidRDefault="00DA256A" w:rsidP="00106054">
            <w:pPr>
              <w:keepLines/>
              <w:spacing w:before="40" w:after="40" w:line="200" w:lineRule="atLeast"/>
              <w:jc w:val="center"/>
              <w:rPr>
                <w:rFonts w:eastAsia="Times New Roman"/>
                <w:b/>
                <w:iCs/>
                <w:color w:val="FFFFFF"/>
                <w:sz w:val="14"/>
                <w:szCs w:val="14"/>
                <w:lang w:eastAsia="en-AU"/>
              </w:rPr>
            </w:pPr>
            <w:r w:rsidRPr="00106054">
              <w:rPr>
                <w:rFonts w:eastAsia="Times New Roman"/>
                <w:b/>
                <w:iCs/>
                <w:color w:val="FFFFFF"/>
                <w:sz w:val="14"/>
                <w:szCs w:val="14"/>
                <w:lang w:eastAsia="en-AU"/>
              </w:rPr>
              <w:t>Partly Achieved</w:t>
            </w:r>
          </w:p>
        </w:tc>
        <w:tc>
          <w:tcPr>
            <w:tcW w:w="2970" w:type="pct"/>
            <w:tcBorders>
              <w:top w:val="nil"/>
              <w:left w:val="nil"/>
              <w:bottom w:val="nil"/>
              <w:right w:val="nil"/>
            </w:tcBorders>
            <w:shd w:val="clear" w:color="auto" w:fill="FFFFFF"/>
            <w:vAlign w:val="center"/>
          </w:tcPr>
          <w:p w:rsidR="00DA256A" w:rsidRPr="00106054" w:rsidRDefault="00721B6C" w:rsidP="00106054">
            <w:pPr>
              <w:keepLines/>
              <w:spacing w:before="40" w:after="40" w:line="200" w:lineRule="atLeast"/>
              <w:rPr>
                <w:rFonts w:eastAsia="Times New Roman"/>
                <w:iCs/>
                <w:color w:val="auto"/>
                <w:sz w:val="14"/>
                <w:szCs w:val="14"/>
              </w:rPr>
            </w:pPr>
            <w:r w:rsidRPr="00106054">
              <w:rPr>
                <w:rFonts w:eastAsia="Times New Roman"/>
                <w:iCs/>
                <w:color w:val="auto"/>
                <w:sz w:val="14"/>
                <w:szCs w:val="14"/>
              </w:rPr>
              <w:t>Australia connected 490,042 people to improved water and sanitation services. The 2015</w:t>
            </w:r>
            <w:r w:rsidRPr="00106054">
              <w:rPr>
                <w:rFonts w:eastAsia="Times New Roman"/>
                <w:iCs/>
                <w:color w:val="auto"/>
                <w:sz w:val="14"/>
                <w:szCs w:val="14"/>
              </w:rPr>
              <w:noBreakHyphen/>
              <w:t xml:space="preserve">16 target was partly achieved as we stopped directly funding water connections through the Water </w:t>
            </w:r>
            <w:proofErr w:type="spellStart"/>
            <w:r w:rsidRPr="00106054">
              <w:rPr>
                <w:rFonts w:eastAsia="Times New Roman"/>
                <w:iCs/>
                <w:color w:val="auto"/>
                <w:sz w:val="14"/>
                <w:szCs w:val="14"/>
              </w:rPr>
              <w:t>Hibah</w:t>
            </w:r>
            <w:proofErr w:type="spellEnd"/>
            <w:r w:rsidRPr="00106054">
              <w:rPr>
                <w:rFonts w:eastAsia="Times New Roman"/>
                <w:iCs/>
                <w:color w:val="auto"/>
                <w:sz w:val="14"/>
                <w:szCs w:val="14"/>
              </w:rPr>
              <w:t xml:space="preserve"> program and transitioned to providing technical assistance to help the Indonesian Government deliver its own IDR500 billion program which replicated Australia’s incentive-based model. Our technical assistance contributed to an additional 640,000 people gaining access to improved water and sanitation services. </w:t>
            </w:r>
          </w:p>
        </w:tc>
      </w:tr>
      <w:tr w:rsidR="00106054" w:rsidRPr="00106054" w:rsidTr="00106054">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2,000 additional births attended by a skilled birth attendant</w:t>
            </w:r>
          </w:p>
        </w:tc>
        <w:tc>
          <w:tcPr>
            <w:tcW w:w="470" w:type="pct"/>
            <w:tcBorders>
              <w:top w:val="nil"/>
              <w:left w:val="nil"/>
              <w:bottom w:val="nil"/>
              <w:right w:val="nil"/>
            </w:tcBorders>
            <w:shd w:val="clear" w:color="auto" w:fill="auto"/>
            <w:vAlign w:val="center"/>
          </w:tcPr>
          <w:p w:rsidR="00DA256A" w:rsidRPr="00106054" w:rsidRDefault="00DA256A" w:rsidP="00106054">
            <w:pPr>
              <w:keepLines/>
              <w:spacing w:before="40" w:after="40" w:line="200" w:lineRule="atLeast"/>
              <w:jc w:val="center"/>
              <w:rPr>
                <w:rFonts w:eastAsia="Times New Roman"/>
                <w:iCs/>
                <w:color w:val="FFFFFF"/>
                <w:sz w:val="14"/>
                <w:szCs w:val="14"/>
                <w:lang w:eastAsia="en-AU"/>
              </w:rPr>
            </w:pPr>
            <w:r w:rsidRPr="00106054">
              <w:rPr>
                <w:rFonts w:eastAsia="Times New Roman"/>
                <w:iCs/>
                <w:color w:val="auto"/>
                <w:sz w:val="14"/>
                <w:szCs w:val="14"/>
                <w:lang w:eastAsia="en-AU"/>
              </w:rPr>
              <w:t>Not Rated</w:t>
            </w:r>
          </w:p>
        </w:tc>
        <w:tc>
          <w:tcPr>
            <w:tcW w:w="2970" w:type="pct"/>
            <w:tcBorders>
              <w:top w:val="nil"/>
              <w:left w:val="nil"/>
              <w:bottom w:val="nil"/>
              <w:right w:val="nil"/>
            </w:tcBorders>
            <w:shd w:val="clear" w:color="auto" w:fill="FFFFFF"/>
            <w:vAlign w:val="center"/>
          </w:tcPr>
          <w:p w:rsidR="00DA256A" w:rsidRPr="00106054" w:rsidRDefault="00DA256A" w:rsidP="00106054">
            <w:pPr>
              <w:pStyle w:val="TableTextEntries"/>
              <w:keepNext/>
              <w:rPr>
                <w:rFonts w:ascii="Calibri Light" w:hAnsi="Calibri Light"/>
                <w:sz w:val="14"/>
                <w:szCs w:val="14"/>
                <w:highlight w:val="yellow"/>
                <w:lang w:eastAsia="en-AU"/>
              </w:rPr>
            </w:pPr>
            <w:r w:rsidRPr="00106054">
              <w:rPr>
                <w:rFonts w:ascii="Calibri Light" w:hAnsi="Calibri Light"/>
                <w:sz w:val="14"/>
                <w:szCs w:val="14"/>
                <w:lang w:eastAsia="en-AU"/>
              </w:rPr>
              <w:t xml:space="preserve">The target was not adopted in the Performance Assessment Framework. </w:t>
            </w:r>
          </w:p>
        </w:tc>
      </w:tr>
      <w:tr w:rsidR="00106054" w:rsidRPr="00106054" w:rsidTr="00106054">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23,760 new school places created</w:t>
            </w:r>
          </w:p>
        </w:tc>
        <w:tc>
          <w:tcPr>
            <w:tcW w:w="470" w:type="pct"/>
            <w:tcBorders>
              <w:top w:val="nil"/>
              <w:left w:val="nil"/>
              <w:bottom w:val="nil"/>
              <w:right w:val="nil"/>
            </w:tcBorders>
            <w:shd w:val="clear" w:color="auto" w:fill="auto"/>
            <w:vAlign w:val="center"/>
          </w:tcPr>
          <w:p w:rsidR="00DA256A" w:rsidRPr="00106054" w:rsidRDefault="00DA256A" w:rsidP="00106054">
            <w:pPr>
              <w:keepLines/>
              <w:spacing w:before="40" w:after="40" w:line="200" w:lineRule="atLeast"/>
              <w:jc w:val="center"/>
              <w:rPr>
                <w:rFonts w:eastAsia="Times New Roman"/>
                <w:iCs/>
                <w:color w:val="FFFFFF"/>
                <w:sz w:val="14"/>
                <w:szCs w:val="14"/>
                <w:lang w:eastAsia="en-AU"/>
              </w:rPr>
            </w:pPr>
            <w:r w:rsidRPr="00106054">
              <w:rPr>
                <w:rFonts w:eastAsia="Times New Roman"/>
                <w:iCs/>
                <w:color w:val="auto"/>
                <w:sz w:val="14"/>
                <w:szCs w:val="14"/>
                <w:lang w:eastAsia="en-AU"/>
              </w:rPr>
              <w:t>Not Rated</w:t>
            </w:r>
          </w:p>
        </w:tc>
        <w:tc>
          <w:tcPr>
            <w:tcW w:w="2970" w:type="pct"/>
            <w:tcBorders>
              <w:top w:val="nil"/>
              <w:left w:val="nil"/>
              <w:bottom w:val="nil"/>
              <w:right w:val="nil"/>
            </w:tcBorders>
            <w:shd w:val="clear" w:color="auto" w:fill="FFFFFF"/>
            <w:vAlign w:val="center"/>
          </w:tcPr>
          <w:p w:rsidR="00DA256A" w:rsidRPr="00106054" w:rsidRDefault="00DA256A" w:rsidP="00106054">
            <w:pPr>
              <w:pStyle w:val="TableTextEntries"/>
              <w:keepNext/>
              <w:rPr>
                <w:rFonts w:ascii="Calibri Light" w:hAnsi="Calibri Light"/>
                <w:sz w:val="14"/>
                <w:szCs w:val="14"/>
                <w:highlight w:val="yellow"/>
                <w:lang w:eastAsia="en-AU"/>
              </w:rPr>
            </w:pPr>
            <w:r w:rsidRPr="00106054">
              <w:rPr>
                <w:rFonts w:ascii="Calibri Light" w:hAnsi="Calibri Light"/>
                <w:sz w:val="14"/>
                <w:szCs w:val="14"/>
                <w:lang w:eastAsia="en-AU"/>
              </w:rPr>
              <w:t>The target was not adopted in the Performance Assessment Framework.</w:t>
            </w:r>
          </w:p>
        </w:tc>
      </w:tr>
    </w:tbl>
    <w:p w:rsidR="00320DC9" w:rsidRDefault="00320DC9">
      <w:r>
        <w:br w:type="page"/>
      </w:r>
    </w:p>
    <w:tbl>
      <w:tblPr>
        <w:tblW w:w="5000" w:type="pct"/>
        <w:tblBorders>
          <w:top w:val="single" w:sz="12" w:space="0" w:color="auto"/>
          <w:bottom w:val="single" w:sz="12" w:space="0" w:color="auto"/>
        </w:tblBorders>
        <w:shd w:val="clear" w:color="auto" w:fill="FFFFFF"/>
        <w:tblLook w:val="04A0" w:firstRow="1" w:lastRow="0" w:firstColumn="1" w:lastColumn="0" w:noHBand="0" w:noVBand="1"/>
      </w:tblPr>
      <w:tblGrid>
        <w:gridCol w:w="1644"/>
        <w:gridCol w:w="2778"/>
        <w:gridCol w:w="1332"/>
        <w:gridCol w:w="8419"/>
      </w:tblGrid>
      <w:tr w:rsidR="00106054" w:rsidRPr="00106054" w:rsidTr="00106054">
        <w:tc>
          <w:tcPr>
            <w:tcW w:w="580" w:type="pct"/>
            <w:tcBorders>
              <w:top w:val="nil"/>
              <w:left w:val="nil"/>
              <w:bottom w:val="nil"/>
              <w:right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b/>
                <w:iCs/>
                <w:color w:val="auto"/>
                <w:sz w:val="14"/>
                <w:szCs w:val="14"/>
                <w:lang w:eastAsia="en-AU"/>
              </w:rPr>
            </w:pPr>
            <w:r w:rsidRPr="00106054">
              <w:rPr>
                <w:rFonts w:eastAsia="Times New Roman"/>
                <w:b/>
                <w:iCs/>
                <w:color w:val="auto"/>
                <w:sz w:val="14"/>
                <w:szCs w:val="14"/>
                <w:lang w:eastAsia="en-AU"/>
              </w:rPr>
              <w:lastRenderedPageBreak/>
              <w:t>An Inclusive Society Through Effective Governance</w:t>
            </w:r>
          </w:p>
        </w:tc>
        <w:tc>
          <w:tcPr>
            <w:tcW w:w="980" w:type="pct"/>
            <w:tcBorders>
              <w:top w:val="nil"/>
              <w:left w:val="nil"/>
              <w:bottom w:val="nil"/>
              <w:right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180 additional groups of people, especially women and marginalised groups, participate in activities to improve policy</w:t>
            </w:r>
          </w:p>
        </w:tc>
        <w:tc>
          <w:tcPr>
            <w:tcW w:w="470" w:type="pct"/>
            <w:tcBorders>
              <w:top w:val="nil"/>
              <w:left w:val="nil"/>
              <w:bottom w:val="nil"/>
              <w:right w:val="nil"/>
            </w:tcBorders>
            <w:shd w:val="clear" w:color="auto" w:fill="7FB64D"/>
            <w:vAlign w:val="center"/>
          </w:tcPr>
          <w:p w:rsidR="00DA256A" w:rsidRPr="00106054" w:rsidRDefault="00DA256A" w:rsidP="00106054">
            <w:pPr>
              <w:keepLines/>
              <w:spacing w:before="40" w:after="40" w:line="200" w:lineRule="atLeast"/>
              <w:jc w:val="center"/>
              <w:rPr>
                <w:rFonts w:eastAsia="Times New Roman"/>
                <w:b/>
                <w:iCs/>
                <w:color w:val="FFFFFF"/>
                <w:sz w:val="14"/>
                <w:szCs w:val="14"/>
                <w:lang w:eastAsia="en-AU"/>
              </w:rPr>
            </w:pPr>
            <w:r w:rsidRPr="00106054">
              <w:rPr>
                <w:rFonts w:eastAsia="Times New Roman"/>
                <w:b/>
                <w:iCs/>
                <w:color w:val="FFFFFF"/>
                <w:sz w:val="14"/>
                <w:szCs w:val="14"/>
                <w:lang w:eastAsia="en-AU"/>
              </w:rPr>
              <w:t>Achieved</w:t>
            </w:r>
          </w:p>
        </w:tc>
        <w:tc>
          <w:tcPr>
            <w:tcW w:w="2970" w:type="pct"/>
            <w:tcBorders>
              <w:top w:val="nil"/>
              <w:left w:val="nil"/>
              <w:bottom w:val="nil"/>
              <w:right w:val="nil"/>
            </w:tcBorders>
            <w:shd w:val="clear" w:color="auto" w:fill="FFFFFF"/>
            <w:vAlign w:val="center"/>
          </w:tcPr>
          <w:p w:rsidR="00DA256A" w:rsidRPr="00106054" w:rsidRDefault="00DA256A" w:rsidP="00106054">
            <w:pPr>
              <w:pStyle w:val="TableTextEntries"/>
              <w:keepNext/>
              <w:rPr>
                <w:rFonts w:ascii="Calibri Light" w:hAnsi="Calibri Light"/>
                <w:sz w:val="14"/>
                <w:szCs w:val="14"/>
                <w:lang w:eastAsia="en-AU"/>
              </w:rPr>
            </w:pPr>
            <w:r w:rsidRPr="00106054">
              <w:rPr>
                <w:rFonts w:ascii="Calibri Light" w:hAnsi="Calibri Light"/>
                <w:sz w:val="14"/>
                <w:szCs w:val="14"/>
                <w:lang w:eastAsia="en-AU"/>
              </w:rPr>
              <w:t xml:space="preserve">757 women’s groups were established, greatly exceeding the target. The target was based on an expected decrease in the formulation of new groups; however, in response to local conditions, civil society partners succeeded in organising women’s groups in additional areas. </w:t>
            </w:r>
          </w:p>
        </w:tc>
      </w:tr>
      <w:tr w:rsidR="00106054" w:rsidRPr="00106054" w:rsidTr="00106054">
        <w:tc>
          <w:tcPr>
            <w:tcW w:w="580" w:type="pct"/>
            <w:tcBorders>
              <w:top w:val="nil"/>
              <w:bottom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b/>
                <w:iCs/>
                <w:color w:val="auto"/>
                <w:sz w:val="14"/>
                <w:szCs w:val="14"/>
                <w:lang w:eastAsia="en-AU"/>
              </w:rPr>
            </w:pPr>
            <w:r w:rsidRPr="00106054">
              <w:rPr>
                <w:rFonts w:eastAsia="Times New Roman"/>
                <w:b/>
                <w:iCs/>
                <w:color w:val="auto"/>
                <w:sz w:val="14"/>
                <w:szCs w:val="14"/>
                <w:lang w:eastAsia="en-AU"/>
              </w:rPr>
              <w:t>Strategic Program Management</w:t>
            </w:r>
          </w:p>
        </w:tc>
        <w:tc>
          <w:tcPr>
            <w:tcW w:w="980" w:type="pct"/>
            <w:tcBorders>
              <w:top w:val="nil"/>
              <w:bottom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74 percent of investments effectively address gender equality in implementation</w:t>
            </w:r>
          </w:p>
        </w:tc>
        <w:tc>
          <w:tcPr>
            <w:tcW w:w="470" w:type="pct"/>
            <w:tcBorders>
              <w:top w:val="nil"/>
              <w:bottom w:val="nil"/>
            </w:tcBorders>
            <w:shd w:val="clear" w:color="auto" w:fill="E36C0A"/>
            <w:vAlign w:val="center"/>
          </w:tcPr>
          <w:p w:rsidR="00DA256A" w:rsidRPr="00106054" w:rsidRDefault="00DA256A" w:rsidP="00106054">
            <w:pPr>
              <w:keepLines/>
              <w:spacing w:before="40" w:after="40" w:line="200" w:lineRule="atLeast"/>
              <w:jc w:val="center"/>
              <w:rPr>
                <w:rFonts w:eastAsia="Times New Roman"/>
                <w:b/>
                <w:iCs/>
                <w:color w:val="FFFFFF"/>
                <w:sz w:val="14"/>
                <w:szCs w:val="14"/>
                <w:lang w:eastAsia="en-AU"/>
              </w:rPr>
            </w:pPr>
            <w:r w:rsidRPr="00106054">
              <w:rPr>
                <w:rFonts w:eastAsia="Times New Roman"/>
                <w:b/>
                <w:iCs/>
                <w:color w:val="FFFFFF"/>
                <w:sz w:val="14"/>
                <w:szCs w:val="14"/>
                <w:lang w:eastAsia="en-AU"/>
              </w:rPr>
              <w:t>Partly Achieved</w:t>
            </w:r>
          </w:p>
        </w:tc>
        <w:tc>
          <w:tcPr>
            <w:tcW w:w="2970" w:type="pct"/>
            <w:tcBorders>
              <w:top w:val="nil"/>
              <w:bottom w:val="nil"/>
            </w:tcBorders>
            <w:shd w:val="clear" w:color="auto" w:fill="FFFFFF"/>
            <w:vAlign w:val="center"/>
          </w:tcPr>
          <w:p w:rsidR="00DA256A" w:rsidRPr="00106054" w:rsidRDefault="00DA256A" w:rsidP="00106054">
            <w:pPr>
              <w:pStyle w:val="TableTextEntries"/>
              <w:keepNext/>
              <w:rPr>
                <w:rFonts w:ascii="Calibri Light" w:hAnsi="Calibri Light"/>
                <w:sz w:val="14"/>
                <w:szCs w:val="14"/>
                <w:lang w:eastAsia="en-AU"/>
              </w:rPr>
            </w:pPr>
            <w:r w:rsidRPr="00106054">
              <w:rPr>
                <w:rFonts w:ascii="Calibri Light" w:hAnsi="Calibri Light"/>
                <w:sz w:val="14"/>
                <w:szCs w:val="14"/>
                <w:lang w:eastAsia="en-AU"/>
              </w:rPr>
              <w:t>There were improvements in addressi</w:t>
            </w:r>
            <w:r w:rsidR="004C3DDF" w:rsidRPr="00106054">
              <w:rPr>
                <w:rFonts w:ascii="Calibri Light" w:hAnsi="Calibri Light"/>
                <w:sz w:val="14"/>
                <w:szCs w:val="14"/>
                <w:lang w:eastAsia="en-AU"/>
              </w:rPr>
              <w:t>ng gender equality, but with 73 per cent</w:t>
            </w:r>
            <w:r w:rsidRPr="00106054">
              <w:rPr>
                <w:rFonts w:ascii="Calibri Light" w:hAnsi="Calibri Light"/>
                <w:sz w:val="14"/>
                <w:szCs w:val="14"/>
                <w:lang w:eastAsia="en-AU"/>
              </w:rPr>
              <w:t xml:space="preserve"> of investm</w:t>
            </w:r>
            <w:r w:rsidR="00AF395A" w:rsidRPr="00106054">
              <w:rPr>
                <w:rFonts w:ascii="Calibri Light" w:hAnsi="Calibri Light"/>
                <w:sz w:val="14"/>
                <w:szCs w:val="14"/>
                <w:lang w:eastAsia="en-AU"/>
              </w:rPr>
              <w:t>ents rated satisfactory in 2015-</w:t>
            </w:r>
            <w:r w:rsidRPr="00106054">
              <w:rPr>
                <w:rFonts w:ascii="Calibri Light" w:hAnsi="Calibri Light"/>
                <w:sz w:val="14"/>
                <w:szCs w:val="14"/>
                <w:lang w:eastAsia="en-AU"/>
              </w:rPr>
              <w:t>16, the target was missed by one percentage point. Further work is underway through the Gender Action Plan to achieve the target of 80</w:t>
            </w:r>
            <w:r w:rsidR="004C3DDF" w:rsidRPr="00106054">
              <w:rPr>
                <w:rFonts w:ascii="Calibri Light" w:hAnsi="Calibri Light"/>
                <w:sz w:val="14"/>
                <w:szCs w:val="14"/>
                <w:lang w:eastAsia="en-AU"/>
              </w:rPr>
              <w:t xml:space="preserve"> per cent</w:t>
            </w:r>
            <w:r w:rsidRPr="00106054">
              <w:rPr>
                <w:rFonts w:ascii="Calibri Light" w:hAnsi="Calibri Light"/>
                <w:sz w:val="14"/>
                <w:szCs w:val="14"/>
                <w:lang w:eastAsia="en-AU"/>
              </w:rPr>
              <w:t xml:space="preserve"> rated satisfactory by 2017.</w:t>
            </w:r>
          </w:p>
        </w:tc>
      </w:tr>
      <w:tr w:rsidR="00106054" w:rsidRPr="00106054" w:rsidTr="00106054">
        <w:tc>
          <w:tcPr>
            <w:tcW w:w="580" w:type="pct"/>
            <w:tcBorders>
              <w:top w:val="nil"/>
            </w:tcBorders>
            <w:shd w:val="clear" w:color="auto" w:fill="FFFFFF"/>
            <w:tcMar>
              <w:top w:w="57" w:type="dxa"/>
              <w:bottom w:w="57" w:type="dxa"/>
            </w:tcMar>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p>
        </w:tc>
        <w:tc>
          <w:tcPr>
            <w:tcW w:w="980" w:type="pct"/>
            <w:tcBorders>
              <w:top w:val="nil"/>
            </w:tcBorders>
            <w:shd w:val="clear" w:color="auto" w:fill="FFFFFF"/>
            <w:vAlign w:val="center"/>
          </w:tcPr>
          <w:p w:rsidR="00DA256A" w:rsidRPr="00106054" w:rsidRDefault="00DA256A" w:rsidP="00106054">
            <w:pPr>
              <w:keepLines/>
              <w:spacing w:before="40" w:after="40" w:line="200" w:lineRule="atLeast"/>
              <w:rPr>
                <w:rFonts w:eastAsia="Times New Roman"/>
                <w:iCs/>
                <w:color w:val="auto"/>
                <w:sz w:val="14"/>
                <w:szCs w:val="14"/>
                <w:lang w:eastAsia="en-AU"/>
              </w:rPr>
            </w:pPr>
            <w:r w:rsidRPr="00106054">
              <w:rPr>
                <w:rFonts w:eastAsia="Times New Roman"/>
                <w:iCs/>
                <w:color w:val="auto"/>
                <w:sz w:val="14"/>
                <w:szCs w:val="14"/>
                <w:lang w:eastAsia="en-AU"/>
              </w:rPr>
              <w:t>40 percent of total spend where gender is a significant objective</w:t>
            </w:r>
          </w:p>
        </w:tc>
        <w:tc>
          <w:tcPr>
            <w:tcW w:w="470" w:type="pct"/>
            <w:tcBorders>
              <w:top w:val="nil"/>
            </w:tcBorders>
            <w:shd w:val="clear" w:color="auto" w:fill="auto"/>
            <w:vAlign w:val="center"/>
          </w:tcPr>
          <w:p w:rsidR="00DA256A" w:rsidRPr="00106054" w:rsidRDefault="00DA256A" w:rsidP="00106054">
            <w:pPr>
              <w:keepLines/>
              <w:spacing w:before="40" w:after="40" w:line="200" w:lineRule="atLeast"/>
              <w:jc w:val="center"/>
              <w:rPr>
                <w:rFonts w:eastAsia="Times New Roman"/>
                <w:iCs/>
                <w:color w:val="FFFFFF"/>
                <w:sz w:val="14"/>
                <w:szCs w:val="14"/>
                <w:lang w:eastAsia="en-AU"/>
              </w:rPr>
            </w:pPr>
            <w:r w:rsidRPr="00106054">
              <w:rPr>
                <w:rFonts w:eastAsia="Times New Roman"/>
                <w:iCs/>
                <w:color w:val="auto"/>
                <w:sz w:val="14"/>
                <w:szCs w:val="14"/>
                <w:lang w:eastAsia="en-AU"/>
              </w:rPr>
              <w:t>Not Rated</w:t>
            </w:r>
          </w:p>
        </w:tc>
        <w:tc>
          <w:tcPr>
            <w:tcW w:w="2970" w:type="pct"/>
            <w:tcBorders>
              <w:top w:val="nil"/>
            </w:tcBorders>
            <w:shd w:val="clear" w:color="auto" w:fill="FFFFFF"/>
            <w:vAlign w:val="center"/>
          </w:tcPr>
          <w:p w:rsidR="00DA256A" w:rsidRPr="00106054" w:rsidRDefault="00DA256A" w:rsidP="00106054">
            <w:pPr>
              <w:pStyle w:val="TableTextEntries"/>
              <w:keepNext/>
              <w:rPr>
                <w:rFonts w:ascii="Calibri Light" w:hAnsi="Calibri Light"/>
                <w:sz w:val="14"/>
                <w:szCs w:val="14"/>
                <w:lang w:eastAsia="en-AU"/>
              </w:rPr>
            </w:pPr>
            <w:r w:rsidRPr="00106054">
              <w:rPr>
                <w:rFonts w:ascii="Calibri Light" w:hAnsi="Calibri Light"/>
                <w:sz w:val="14"/>
                <w:szCs w:val="14"/>
                <w:lang w:eastAsia="en-AU"/>
              </w:rPr>
              <w:t>The target was not adopted in the Performance Assessment Framework.</w:t>
            </w:r>
          </w:p>
        </w:tc>
      </w:tr>
    </w:tbl>
    <w:p w:rsidR="00DA256A" w:rsidRPr="00A427C6" w:rsidRDefault="00DA256A" w:rsidP="00DA256A">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DA256A" w:rsidRPr="00A427C6" w:rsidRDefault="00DA256A" w:rsidP="00DA256A">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DA256A" w:rsidRPr="00A427C6" w:rsidRDefault="00DA256A" w:rsidP="00DA256A">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400B0F" w:rsidRPr="003105CC" w:rsidRDefault="00DA256A" w:rsidP="003105CC">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400B0F" w:rsidRDefault="00400B0F" w:rsidP="002A51CA">
      <w:pPr>
        <w:spacing w:after="120" w:line="280" w:lineRule="exact"/>
        <w:rPr>
          <w:rFonts w:ascii="Franklin Gothic Book" w:eastAsia="Times New Roman" w:hAnsi="Franklin Gothic Book"/>
          <w:sz w:val="21"/>
        </w:rPr>
      </w:pPr>
    </w:p>
    <w:p w:rsidR="00320DC9" w:rsidRDefault="00320DC9" w:rsidP="00784031">
      <w:pPr>
        <w:pStyle w:val="Subtitle"/>
        <w:numPr>
          <w:ilvl w:val="0"/>
          <w:numId w:val="0"/>
        </w:numPr>
      </w:pPr>
    </w:p>
    <w:p w:rsidR="00400B0F" w:rsidRPr="00784031" w:rsidRDefault="00400B0F" w:rsidP="00784031">
      <w:pPr>
        <w:pStyle w:val="Subtitle"/>
        <w:numPr>
          <w:ilvl w:val="0"/>
          <w:numId w:val="0"/>
        </w:numPr>
      </w:pPr>
      <w:r w:rsidRPr="00784031">
        <w:t>Annex C - Evaluation Planning</w:t>
      </w:r>
    </w:p>
    <w:p w:rsidR="00143D6B" w:rsidRDefault="00143D6B" w:rsidP="00143D6B">
      <w:pPr>
        <w:spacing w:after="120" w:line="280" w:lineRule="exact"/>
        <w:ind w:left="360" w:hanging="360"/>
        <w:rPr>
          <w:rFonts w:ascii="Franklin Gothic Book" w:hAnsi="Franklin Gothic Book"/>
          <w:sz w:val="21"/>
          <w:lang w:eastAsia="en-AU"/>
        </w:rPr>
      </w:pPr>
      <w:r>
        <w:rPr>
          <w:rFonts w:ascii="Franklin Gothic Book" w:hAnsi="Franklin Gothic Book"/>
          <w:sz w:val="21"/>
          <w:lang w:eastAsia="en-AU"/>
        </w:rPr>
        <w:t xml:space="preserve">List all evaluations and reviews completed in the reporting period.  </w:t>
      </w:r>
    </w:p>
    <w:p w:rsidR="00143D6B" w:rsidRDefault="00143D6B" w:rsidP="00143D6B">
      <w:pPr>
        <w:spacing w:before="240" w:after="180" w:line="240" w:lineRule="atLeast"/>
        <w:contextualSpacing/>
        <w:rPr>
          <w:b/>
          <w:iCs/>
          <w:color w:val="000000"/>
          <w:szCs w:val="18"/>
        </w:rPr>
      </w:pPr>
    </w:p>
    <w:tbl>
      <w:tblPr>
        <w:tblW w:w="14310" w:type="dxa"/>
        <w:tblCellSpacing w:w="14" w:type="dxa"/>
        <w:tblBorders>
          <w:top w:val="single" w:sz="12" w:space="0" w:color="000000"/>
          <w:bottom w:val="single" w:sz="12" w:space="0" w:color="000000"/>
        </w:tblBorders>
        <w:tblLayout w:type="fixed"/>
        <w:tblLook w:val="04A0" w:firstRow="1" w:lastRow="0" w:firstColumn="1" w:lastColumn="0" w:noHBand="0" w:noVBand="1"/>
      </w:tblPr>
      <w:tblGrid>
        <w:gridCol w:w="3105"/>
        <w:gridCol w:w="3693"/>
        <w:gridCol w:w="1425"/>
        <w:gridCol w:w="1981"/>
        <w:gridCol w:w="1699"/>
        <w:gridCol w:w="2407"/>
      </w:tblGrid>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 xml:space="preserve">Investment number and name </w:t>
            </w:r>
          </w:p>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 xml:space="preserve">(if applicable) </w:t>
            </w:r>
          </w:p>
        </w:tc>
        <w:tc>
          <w:tcPr>
            <w:tcW w:w="3665"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Name of evaluation</w:t>
            </w:r>
          </w:p>
        </w:tc>
        <w:tc>
          <w:tcPr>
            <w:tcW w:w="1397"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Date completed</w:t>
            </w:r>
          </w:p>
        </w:tc>
        <w:tc>
          <w:tcPr>
            <w:tcW w:w="1953"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Date Evaluation report Uploaded into AidWorks</w:t>
            </w:r>
          </w:p>
        </w:tc>
        <w:tc>
          <w:tcPr>
            <w:tcW w:w="1671"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Date Management response uploaded into AidWorks</w:t>
            </w:r>
          </w:p>
        </w:tc>
        <w:tc>
          <w:tcPr>
            <w:tcW w:w="2365" w:type="dxa"/>
            <w:tcBorders>
              <w:top w:val="nil"/>
              <w:left w:val="nil"/>
              <w:bottom w:val="nil"/>
              <w:right w:val="nil"/>
            </w:tcBorders>
            <w:shd w:val="clear" w:color="auto" w:fill="auto"/>
            <w:hideMark/>
          </w:tcPr>
          <w:p w:rsidR="00143D6B" w:rsidRPr="00106054" w:rsidRDefault="00143D6B" w:rsidP="00106054">
            <w:pPr>
              <w:keepLines/>
              <w:spacing w:line="200" w:lineRule="atLeast"/>
              <w:rPr>
                <w:b/>
                <w:iCs/>
                <w:color w:val="002060"/>
                <w:sz w:val="17"/>
                <w:szCs w:val="17"/>
                <w:lang w:eastAsia="en-AU"/>
              </w:rPr>
            </w:pPr>
            <w:r w:rsidRPr="00106054">
              <w:rPr>
                <w:b/>
                <w:iCs/>
                <w:color w:val="002060"/>
                <w:sz w:val="17"/>
                <w:szCs w:val="17"/>
                <w:lang w:eastAsia="en-AU"/>
              </w:rPr>
              <w:t>Published on website</w:t>
            </w:r>
          </w:p>
        </w:tc>
      </w:tr>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INJ122 Australia Indonesia Partnerships for Decentralisation</w:t>
            </w:r>
          </w:p>
        </w:tc>
        <w:tc>
          <w:tcPr>
            <w:tcW w:w="36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Independent completion review</w:t>
            </w:r>
          </w:p>
        </w:tc>
        <w:tc>
          <w:tcPr>
            <w:tcW w:w="1397"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August 2015</w:t>
            </w:r>
          </w:p>
        </w:tc>
        <w:tc>
          <w:tcPr>
            <w:tcW w:w="1953"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December 2015</w:t>
            </w:r>
          </w:p>
        </w:tc>
        <w:tc>
          <w:tcPr>
            <w:tcW w:w="1671" w:type="dxa"/>
            <w:tcBorders>
              <w:top w:val="nil"/>
              <w:left w:val="nil"/>
              <w:bottom w:val="nil"/>
              <w:right w:val="nil"/>
            </w:tcBorders>
            <w:shd w:val="clear" w:color="auto" w:fill="auto"/>
            <w:hideMark/>
          </w:tcPr>
          <w:p w:rsidR="00143D6B" w:rsidRPr="00106054" w:rsidRDefault="00D26F42" w:rsidP="00106054">
            <w:pPr>
              <w:keepLines/>
              <w:spacing w:before="40" w:after="40" w:line="200" w:lineRule="atLeast"/>
              <w:rPr>
                <w:b/>
                <w:iCs/>
                <w:color w:val="002060"/>
                <w:sz w:val="17"/>
                <w:szCs w:val="17"/>
                <w:lang w:eastAsia="en-AU"/>
              </w:rPr>
            </w:pPr>
            <w:r w:rsidRPr="00106054">
              <w:rPr>
                <w:b/>
                <w:iCs/>
                <w:color w:val="002060"/>
                <w:sz w:val="17"/>
                <w:szCs w:val="17"/>
                <w:lang w:eastAsia="en-AU"/>
              </w:rPr>
              <w:t>Aug</w:t>
            </w:r>
            <w:r w:rsidR="00161529" w:rsidRPr="00106054">
              <w:rPr>
                <w:b/>
                <w:iCs/>
                <w:color w:val="002060"/>
                <w:sz w:val="17"/>
                <w:szCs w:val="17"/>
                <w:lang w:eastAsia="en-AU"/>
              </w:rPr>
              <w:t>ust</w:t>
            </w:r>
            <w:r w:rsidRPr="00106054">
              <w:rPr>
                <w:b/>
                <w:iCs/>
                <w:color w:val="002060"/>
                <w:sz w:val="17"/>
                <w:szCs w:val="17"/>
                <w:lang w:eastAsia="en-AU"/>
              </w:rPr>
              <w:t xml:space="preserve"> 2016 </w:t>
            </w:r>
          </w:p>
        </w:tc>
        <w:tc>
          <w:tcPr>
            <w:tcW w:w="2365" w:type="dxa"/>
            <w:tcBorders>
              <w:top w:val="nil"/>
              <w:left w:val="nil"/>
              <w:bottom w:val="nil"/>
              <w:right w:val="nil"/>
            </w:tcBorders>
            <w:shd w:val="clear" w:color="auto" w:fill="auto"/>
            <w:hideMark/>
          </w:tcPr>
          <w:p w:rsidR="00143D6B" w:rsidRPr="00106054" w:rsidRDefault="00161529"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September </w:t>
            </w:r>
            <w:r w:rsidR="00F5648A" w:rsidRPr="00106054">
              <w:rPr>
                <w:b/>
                <w:iCs/>
                <w:color w:val="002060"/>
                <w:sz w:val="17"/>
                <w:szCs w:val="17"/>
                <w:lang w:eastAsia="en-AU"/>
              </w:rPr>
              <w:t xml:space="preserve">2016 </w:t>
            </w:r>
          </w:p>
        </w:tc>
      </w:tr>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INK886 Australia Indonesia Grants for Municipal Sanitation</w:t>
            </w:r>
          </w:p>
        </w:tc>
        <w:tc>
          <w:tcPr>
            <w:tcW w:w="36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Progress review</w:t>
            </w:r>
          </w:p>
        </w:tc>
        <w:tc>
          <w:tcPr>
            <w:tcW w:w="1397"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May 2016</w:t>
            </w:r>
          </w:p>
        </w:tc>
        <w:tc>
          <w:tcPr>
            <w:tcW w:w="1953"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July 2016</w:t>
            </w:r>
          </w:p>
        </w:tc>
        <w:tc>
          <w:tcPr>
            <w:tcW w:w="1671" w:type="dxa"/>
            <w:tcBorders>
              <w:top w:val="nil"/>
              <w:left w:val="nil"/>
              <w:bottom w:val="nil"/>
              <w:right w:val="nil"/>
            </w:tcBorders>
            <w:shd w:val="clear" w:color="auto" w:fill="auto"/>
            <w:hideMark/>
          </w:tcPr>
          <w:p w:rsidR="00143D6B" w:rsidRPr="00106054" w:rsidRDefault="006C3B08"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September </w:t>
            </w:r>
            <w:r w:rsidR="00D26F42" w:rsidRPr="00106054">
              <w:rPr>
                <w:b/>
                <w:iCs/>
                <w:color w:val="002060"/>
                <w:sz w:val="17"/>
                <w:szCs w:val="17"/>
                <w:lang w:eastAsia="en-AU"/>
              </w:rPr>
              <w:t xml:space="preserve">2016 </w:t>
            </w:r>
          </w:p>
        </w:tc>
        <w:tc>
          <w:tcPr>
            <w:tcW w:w="23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Sep</w:t>
            </w:r>
            <w:r w:rsidR="001E1C41" w:rsidRPr="00106054">
              <w:rPr>
                <w:b/>
                <w:iCs/>
                <w:color w:val="002060"/>
                <w:sz w:val="17"/>
                <w:szCs w:val="17"/>
                <w:lang w:eastAsia="en-AU"/>
              </w:rPr>
              <w:t>tember 2016</w:t>
            </w:r>
          </w:p>
        </w:tc>
      </w:tr>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INI422 AIFDR – Geoscience Risk and Vulnerability Program</w:t>
            </w:r>
          </w:p>
        </w:tc>
        <w:tc>
          <w:tcPr>
            <w:tcW w:w="3665" w:type="dxa"/>
            <w:tcBorders>
              <w:top w:val="nil"/>
              <w:left w:val="nil"/>
              <w:bottom w:val="nil"/>
              <w:right w:val="nil"/>
            </w:tcBorders>
            <w:shd w:val="clear" w:color="auto" w:fill="auto"/>
            <w:hideMark/>
          </w:tcPr>
          <w:p w:rsidR="00143D6B" w:rsidRPr="00106054" w:rsidRDefault="00AE624C" w:rsidP="00106054">
            <w:pPr>
              <w:keepLines/>
              <w:spacing w:before="40" w:after="40" w:line="200" w:lineRule="atLeast"/>
              <w:rPr>
                <w:b/>
                <w:iCs/>
                <w:color w:val="002060"/>
                <w:sz w:val="17"/>
                <w:szCs w:val="17"/>
                <w:lang w:eastAsia="en-AU"/>
              </w:rPr>
            </w:pPr>
            <w:r w:rsidRPr="00106054">
              <w:rPr>
                <w:b/>
                <w:iCs/>
                <w:color w:val="002060"/>
                <w:sz w:val="17"/>
                <w:szCs w:val="17"/>
                <w:lang w:eastAsia="en-AU"/>
              </w:rPr>
              <w:t>C</w:t>
            </w:r>
            <w:r w:rsidR="00143D6B" w:rsidRPr="00106054">
              <w:rPr>
                <w:b/>
                <w:iCs/>
                <w:color w:val="002060"/>
                <w:sz w:val="17"/>
                <w:szCs w:val="17"/>
                <w:lang w:eastAsia="en-AU"/>
              </w:rPr>
              <w:t>ompletion review</w:t>
            </w:r>
          </w:p>
        </w:tc>
        <w:tc>
          <w:tcPr>
            <w:tcW w:w="1397"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March 2016</w:t>
            </w:r>
          </w:p>
        </w:tc>
        <w:tc>
          <w:tcPr>
            <w:tcW w:w="1953"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July 2016 </w:t>
            </w:r>
          </w:p>
        </w:tc>
        <w:tc>
          <w:tcPr>
            <w:tcW w:w="1671" w:type="dxa"/>
            <w:tcBorders>
              <w:top w:val="nil"/>
              <w:left w:val="nil"/>
              <w:bottom w:val="nil"/>
              <w:right w:val="nil"/>
            </w:tcBorders>
            <w:shd w:val="clear" w:color="auto" w:fill="auto"/>
            <w:hideMark/>
          </w:tcPr>
          <w:p w:rsidR="00143D6B" w:rsidRPr="00106054" w:rsidRDefault="00D26F42"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August 2016 </w:t>
            </w:r>
          </w:p>
        </w:tc>
        <w:tc>
          <w:tcPr>
            <w:tcW w:w="2365" w:type="dxa"/>
            <w:tcBorders>
              <w:top w:val="nil"/>
              <w:left w:val="nil"/>
              <w:bottom w:val="nil"/>
              <w:right w:val="nil"/>
            </w:tcBorders>
            <w:shd w:val="clear" w:color="auto" w:fill="auto"/>
            <w:hideMark/>
          </w:tcPr>
          <w:p w:rsidR="00143D6B" w:rsidRPr="00106054" w:rsidRDefault="00F5648A"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September 2016 </w:t>
            </w:r>
          </w:p>
        </w:tc>
      </w:tr>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INK714 MAMPU</w:t>
            </w:r>
          </w:p>
        </w:tc>
        <w:tc>
          <w:tcPr>
            <w:tcW w:w="36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Midterm Evaluation</w:t>
            </w:r>
          </w:p>
        </w:tc>
        <w:tc>
          <w:tcPr>
            <w:tcW w:w="1397"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jc w:val="both"/>
              <w:rPr>
                <w:b/>
                <w:iCs/>
                <w:color w:val="002060"/>
                <w:sz w:val="17"/>
                <w:szCs w:val="17"/>
                <w:lang w:eastAsia="en-AU"/>
              </w:rPr>
            </w:pPr>
            <w:r w:rsidRPr="00106054">
              <w:rPr>
                <w:b/>
                <w:iCs/>
                <w:color w:val="002060"/>
                <w:sz w:val="17"/>
                <w:szCs w:val="17"/>
                <w:lang w:eastAsia="en-AU"/>
              </w:rPr>
              <w:t>September 2015</w:t>
            </w:r>
          </w:p>
        </w:tc>
        <w:tc>
          <w:tcPr>
            <w:tcW w:w="1953"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September 2015</w:t>
            </w:r>
          </w:p>
        </w:tc>
        <w:tc>
          <w:tcPr>
            <w:tcW w:w="1671"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October 2015</w:t>
            </w:r>
          </w:p>
        </w:tc>
        <w:tc>
          <w:tcPr>
            <w:tcW w:w="23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May 2016</w:t>
            </w:r>
          </w:p>
        </w:tc>
      </w:tr>
      <w:tr w:rsidR="00106054" w:rsidRPr="00106054" w:rsidTr="00106054">
        <w:trPr>
          <w:tblHeader/>
          <w:tblCellSpacing w:w="14" w:type="dxa"/>
        </w:trPr>
        <w:tc>
          <w:tcPr>
            <w:tcW w:w="3064"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INJ648 Australia’s Education Partnership</w:t>
            </w:r>
          </w:p>
        </w:tc>
        <w:tc>
          <w:tcPr>
            <w:tcW w:w="3665"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Annual Partners Performance Review</w:t>
            </w:r>
          </w:p>
        </w:tc>
        <w:tc>
          <w:tcPr>
            <w:tcW w:w="1397"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jc w:val="both"/>
              <w:rPr>
                <w:b/>
                <w:iCs/>
                <w:color w:val="002060"/>
                <w:sz w:val="17"/>
                <w:szCs w:val="17"/>
                <w:lang w:eastAsia="en-AU"/>
              </w:rPr>
            </w:pPr>
            <w:r w:rsidRPr="00106054">
              <w:rPr>
                <w:b/>
                <w:iCs/>
                <w:color w:val="002060"/>
                <w:sz w:val="17"/>
                <w:szCs w:val="17"/>
                <w:lang w:eastAsia="en-AU"/>
              </w:rPr>
              <w:t>May 2016</w:t>
            </w:r>
          </w:p>
        </w:tc>
        <w:tc>
          <w:tcPr>
            <w:tcW w:w="1953"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July 2016</w:t>
            </w:r>
          </w:p>
        </w:tc>
        <w:tc>
          <w:tcPr>
            <w:tcW w:w="1671" w:type="dxa"/>
            <w:tcBorders>
              <w:top w:val="nil"/>
              <w:left w:val="nil"/>
              <w:bottom w:val="nil"/>
              <w:right w:val="nil"/>
            </w:tcBorders>
            <w:shd w:val="clear" w:color="auto" w:fill="auto"/>
            <w:hideMark/>
          </w:tcPr>
          <w:p w:rsidR="00143D6B" w:rsidRPr="00106054" w:rsidRDefault="00143D6B" w:rsidP="00106054">
            <w:pPr>
              <w:keepLines/>
              <w:spacing w:before="40" w:after="40" w:line="200" w:lineRule="atLeast"/>
              <w:rPr>
                <w:b/>
                <w:iCs/>
                <w:color w:val="002060"/>
                <w:sz w:val="17"/>
                <w:szCs w:val="17"/>
                <w:lang w:eastAsia="en-AU"/>
              </w:rPr>
            </w:pPr>
            <w:r w:rsidRPr="00106054">
              <w:rPr>
                <w:b/>
                <w:iCs/>
                <w:color w:val="002060"/>
                <w:sz w:val="17"/>
                <w:szCs w:val="17"/>
                <w:lang w:eastAsia="en-AU"/>
              </w:rPr>
              <w:t>July 2016</w:t>
            </w:r>
          </w:p>
        </w:tc>
        <w:tc>
          <w:tcPr>
            <w:tcW w:w="2365" w:type="dxa"/>
            <w:tcBorders>
              <w:top w:val="nil"/>
              <w:left w:val="nil"/>
              <w:bottom w:val="nil"/>
              <w:right w:val="nil"/>
            </w:tcBorders>
            <w:shd w:val="clear" w:color="auto" w:fill="auto"/>
            <w:hideMark/>
          </w:tcPr>
          <w:p w:rsidR="00143D6B" w:rsidRPr="00106054" w:rsidRDefault="00F5648A" w:rsidP="00106054">
            <w:pPr>
              <w:keepLines/>
              <w:spacing w:before="40" w:after="40" w:line="200" w:lineRule="atLeast"/>
              <w:rPr>
                <w:b/>
                <w:iCs/>
                <w:color w:val="002060"/>
                <w:sz w:val="17"/>
                <w:szCs w:val="17"/>
                <w:lang w:eastAsia="en-AU"/>
              </w:rPr>
            </w:pPr>
            <w:r w:rsidRPr="00106054">
              <w:rPr>
                <w:b/>
                <w:iCs/>
                <w:color w:val="002060"/>
                <w:sz w:val="17"/>
                <w:szCs w:val="17"/>
                <w:lang w:eastAsia="en-AU"/>
              </w:rPr>
              <w:t xml:space="preserve">August 2016 </w:t>
            </w:r>
          </w:p>
        </w:tc>
      </w:tr>
    </w:tbl>
    <w:p w:rsidR="00143D6B" w:rsidRDefault="00143D6B" w:rsidP="00143D6B">
      <w:pPr>
        <w:spacing w:before="240" w:after="180" w:line="240" w:lineRule="atLeast"/>
        <w:contextualSpacing/>
        <w:rPr>
          <w:b/>
          <w:iCs/>
          <w:color w:val="000000"/>
          <w:szCs w:val="18"/>
        </w:rPr>
      </w:pPr>
    </w:p>
    <w:p w:rsidR="00390DA7" w:rsidRDefault="00390DA7" w:rsidP="00390DA7">
      <w:pPr>
        <w:spacing w:before="240" w:after="180" w:line="240" w:lineRule="atLeast"/>
        <w:contextualSpacing/>
        <w:rPr>
          <w:b/>
          <w:iCs/>
          <w:color w:val="000000"/>
          <w:szCs w:val="18"/>
        </w:rPr>
      </w:pPr>
    </w:p>
    <w:p w:rsidR="00390DA7" w:rsidRDefault="00390DA7" w:rsidP="00390DA7">
      <w:pPr>
        <w:spacing w:before="240" w:after="180" w:line="240" w:lineRule="atLeast"/>
        <w:contextualSpacing/>
        <w:rPr>
          <w:b/>
          <w:iCs/>
          <w:color w:val="000000"/>
          <w:szCs w:val="18"/>
        </w:rPr>
      </w:pPr>
    </w:p>
    <w:p w:rsidR="00390DA7" w:rsidRPr="00390DA7" w:rsidRDefault="00390DA7" w:rsidP="00390DA7">
      <w:pPr>
        <w:spacing w:before="240" w:after="180" w:line="240" w:lineRule="atLeast"/>
        <w:contextualSpacing/>
        <w:rPr>
          <w:b/>
          <w:iCs/>
          <w:color w:val="000000"/>
          <w:szCs w:val="18"/>
        </w:rPr>
      </w:pPr>
      <w:r w:rsidRPr="00390DA7">
        <w:rPr>
          <w:b/>
          <w:iCs/>
          <w:color w:val="000000"/>
          <w:szCs w:val="18"/>
        </w:rPr>
        <w:t xml:space="preserve">List of program prioritised evaluations planned for the next 12 months </w:t>
      </w:r>
    </w:p>
    <w:tbl>
      <w:tblPr>
        <w:tblW w:w="14311" w:type="dxa"/>
        <w:tblCellSpacing w:w="14" w:type="dxa"/>
        <w:tblBorders>
          <w:top w:val="single" w:sz="12" w:space="0" w:color="000000"/>
          <w:bottom w:val="single" w:sz="12" w:space="0" w:color="000000"/>
        </w:tblBorders>
        <w:tblLook w:val="0600" w:firstRow="0" w:lastRow="0" w:firstColumn="0" w:lastColumn="0" w:noHBand="1" w:noVBand="1"/>
      </w:tblPr>
      <w:tblGrid>
        <w:gridCol w:w="2486"/>
        <w:gridCol w:w="2384"/>
        <w:gridCol w:w="2070"/>
        <w:gridCol w:w="2236"/>
        <w:gridCol w:w="2353"/>
        <w:gridCol w:w="2782"/>
      </w:tblGrid>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Evaluation title</w:t>
            </w:r>
          </w:p>
        </w:tc>
        <w:tc>
          <w:tcPr>
            <w:tcW w:w="2356"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 xml:space="preserve">Investment number and name (if applicable) </w:t>
            </w:r>
          </w:p>
        </w:tc>
        <w:tc>
          <w:tcPr>
            <w:tcW w:w="2042"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Date – planned commencement (month/year)</w:t>
            </w:r>
          </w:p>
        </w:tc>
        <w:tc>
          <w:tcPr>
            <w:tcW w:w="2208"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Date – planned completion (month/year)</w:t>
            </w:r>
          </w:p>
        </w:tc>
        <w:tc>
          <w:tcPr>
            <w:tcW w:w="2325"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Purpose of evaluation</w:t>
            </w:r>
          </w:p>
        </w:tc>
        <w:tc>
          <w:tcPr>
            <w:tcW w:w="2740"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Evaluation type</w:t>
            </w:r>
          </w:p>
        </w:tc>
      </w:tr>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Eastern Indonesia National Road Improvement Project final evaluation</w:t>
            </w:r>
          </w:p>
        </w:tc>
        <w:tc>
          <w:tcPr>
            <w:tcW w:w="2356"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ING633 Eastern Indonesia National Road Improvement Project (EINRIP) and ING406 EINRIP – Implementation, Planning &amp; Support Facility</w:t>
            </w:r>
          </w:p>
        </w:tc>
        <w:tc>
          <w:tcPr>
            <w:tcW w:w="2042"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Sep</w:t>
            </w:r>
            <w:r w:rsidR="00E9263B" w:rsidRPr="00106054">
              <w:rPr>
                <w:b/>
                <w:iCs/>
                <w:color w:val="002060"/>
                <w:sz w:val="17"/>
                <w:szCs w:val="17"/>
                <w:lang w:eastAsia="en-AU"/>
              </w:rPr>
              <w:t>tember</w:t>
            </w:r>
            <w:r w:rsidRPr="00106054">
              <w:rPr>
                <w:b/>
                <w:iCs/>
                <w:color w:val="002060"/>
                <w:sz w:val="17"/>
                <w:szCs w:val="17"/>
                <w:lang w:eastAsia="en-AU"/>
              </w:rPr>
              <w:t xml:space="preserve"> 2016</w:t>
            </w:r>
          </w:p>
        </w:tc>
        <w:tc>
          <w:tcPr>
            <w:tcW w:w="2208"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Dec</w:t>
            </w:r>
            <w:r w:rsidR="00E9263B" w:rsidRPr="00106054">
              <w:rPr>
                <w:b/>
                <w:iCs/>
                <w:color w:val="002060"/>
                <w:sz w:val="17"/>
                <w:szCs w:val="17"/>
                <w:lang w:eastAsia="en-AU"/>
              </w:rPr>
              <w:t>ember</w:t>
            </w:r>
            <w:r w:rsidRPr="00106054">
              <w:rPr>
                <w:b/>
                <w:iCs/>
                <w:color w:val="002060"/>
                <w:sz w:val="17"/>
                <w:szCs w:val="17"/>
                <w:lang w:eastAsia="en-AU"/>
              </w:rPr>
              <w:t xml:space="preserve"> 2016</w:t>
            </w:r>
          </w:p>
        </w:tc>
        <w:tc>
          <w:tcPr>
            <w:tcW w:w="2325" w:type="dxa"/>
            <w:shd w:val="clear" w:color="auto" w:fill="auto"/>
          </w:tcPr>
          <w:p w:rsidR="00390DA7" w:rsidRPr="00106054" w:rsidRDefault="005B1E66" w:rsidP="00106054">
            <w:pPr>
              <w:keepLines/>
              <w:spacing w:line="200" w:lineRule="atLeast"/>
              <w:rPr>
                <w:b/>
                <w:iCs/>
                <w:color w:val="002060"/>
                <w:sz w:val="17"/>
                <w:szCs w:val="17"/>
                <w:lang w:eastAsia="en-AU"/>
              </w:rPr>
            </w:pPr>
            <w:r w:rsidRPr="00106054">
              <w:rPr>
                <w:b/>
                <w:iCs/>
                <w:color w:val="002060"/>
                <w:sz w:val="17"/>
                <w:szCs w:val="17"/>
                <w:lang w:eastAsia="en-AU"/>
              </w:rPr>
              <w:t>A</w:t>
            </w:r>
            <w:r w:rsidR="00390DA7" w:rsidRPr="00106054">
              <w:rPr>
                <w:b/>
                <w:iCs/>
                <w:color w:val="002060"/>
                <w:sz w:val="17"/>
                <w:szCs w:val="17"/>
                <w:lang w:eastAsia="en-AU"/>
              </w:rPr>
              <w:t>ssess performance and document ach</w:t>
            </w:r>
            <w:r w:rsidRPr="00106054">
              <w:rPr>
                <w:b/>
                <w:iCs/>
                <w:color w:val="002060"/>
                <w:sz w:val="17"/>
                <w:szCs w:val="17"/>
                <w:lang w:eastAsia="en-AU"/>
              </w:rPr>
              <w:t>ievements and lessons learned.</w:t>
            </w:r>
            <w:r w:rsidRPr="00106054">
              <w:rPr>
                <w:b/>
                <w:iCs/>
                <w:color w:val="002060"/>
                <w:sz w:val="17"/>
                <w:szCs w:val="17"/>
                <w:lang w:eastAsia="en-AU"/>
              </w:rPr>
              <w:br/>
              <w:t>D</w:t>
            </w:r>
            <w:r w:rsidR="00390DA7" w:rsidRPr="00106054">
              <w:rPr>
                <w:b/>
                <w:iCs/>
                <w:color w:val="002060"/>
                <w:sz w:val="17"/>
                <w:szCs w:val="17"/>
                <w:lang w:eastAsia="en-AU"/>
              </w:rPr>
              <w:t>istil and disseminate valuable learning</w:t>
            </w:r>
          </w:p>
          <w:p w:rsidR="00390DA7" w:rsidRPr="00106054" w:rsidRDefault="00390DA7" w:rsidP="00106054">
            <w:pPr>
              <w:keepLines/>
              <w:spacing w:line="200" w:lineRule="atLeast"/>
              <w:rPr>
                <w:b/>
                <w:iCs/>
                <w:color w:val="002060"/>
                <w:sz w:val="17"/>
                <w:szCs w:val="17"/>
                <w:lang w:eastAsia="en-AU"/>
              </w:rPr>
            </w:pPr>
          </w:p>
        </w:tc>
        <w:tc>
          <w:tcPr>
            <w:tcW w:w="2740"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ODE</w:t>
            </w:r>
          </w:p>
        </w:tc>
      </w:tr>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Australia’s Education Partnership independent completion</w:t>
            </w:r>
          </w:p>
        </w:tc>
        <w:tc>
          <w:tcPr>
            <w:tcW w:w="2356"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INJ498 Australia’s Education Partnership</w:t>
            </w:r>
          </w:p>
        </w:tc>
        <w:tc>
          <w:tcPr>
            <w:tcW w:w="2042"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Aug</w:t>
            </w:r>
            <w:r w:rsidR="00E9263B" w:rsidRPr="00106054">
              <w:rPr>
                <w:b/>
                <w:iCs/>
                <w:color w:val="002060"/>
                <w:sz w:val="17"/>
                <w:szCs w:val="17"/>
                <w:lang w:eastAsia="en-AU"/>
              </w:rPr>
              <w:t xml:space="preserve">ust </w:t>
            </w:r>
            <w:r w:rsidRPr="00106054">
              <w:rPr>
                <w:b/>
                <w:iCs/>
                <w:color w:val="002060"/>
                <w:sz w:val="17"/>
                <w:szCs w:val="17"/>
                <w:lang w:eastAsia="en-AU"/>
              </w:rPr>
              <w:t>2016</w:t>
            </w:r>
          </w:p>
        </w:tc>
        <w:tc>
          <w:tcPr>
            <w:tcW w:w="2208"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Oct</w:t>
            </w:r>
            <w:r w:rsidR="00E9263B" w:rsidRPr="00106054">
              <w:rPr>
                <w:b/>
                <w:iCs/>
                <w:color w:val="002060"/>
                <w:sz w:val="17"/>
                <w:szCs w:val="17"/>
                <w:lang w:eastAsia="en-AU"/>
              </w:rPr>
              <w:t>ober</w:t>
            </w:r>
            <w:r w:rsidRPr="00106054">
              <w:rPr>
                <w:b/>
                <w:iCs/>
                <w:color w:val="002060"/>
                <w:sz w:val="17"/>
                <w:szCs w:val="17"/>
                <w:lang w:eastAsia="en-AU"/>
              </w:rPr>
              <w:t xml:space="preserve"> 2016</w:t>
            </w:r>
          </w:p>
        </w:tc>
        <w:tc>
          <w:tcPr>
            <w:tcW w:w="2325"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Demonstrate results</w:t>
            </w:r>
          </w:p>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Verify performance</w:t>
            </w:r>
          </w:p>
        </w:tc>
        <w:tc>
          <w:tcPr>
            <w:tcW w:w="2740"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DFAT-led</w:t>
            </w:r>
          </w:p>
        </w:tc>
      </w:tr>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Australia Indonesia Partnership Rural Economic Development Program  mid-term review</w:t>
            </w:r>
          </w:p>
        </w:tc>
        <w:tc>
          <w:tcPr>
            <w:tcW w:w="2356"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INJ498 Australia Indonesia Partnership Rural Economic Development Program</w:t>
            </w:r>
          </w:p>
        </w:tc>
        <w:tc>
          <w:tcPr>
            <w:tcW w:w="2042"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Sep</w:t>
            </w:r>
            <w:r w:rsidR="00E9263B" w:rsidRPr="00106054">
              <w:rPr>
                <w:b/>
                <w:iCs/>
                <w:color w:val="002060"/>
                <w:sz w:val="17"/>
                <w:szCs w:val="17"/>
                <w:lang w:eastAsia="en-AU"/>
              </w:rPr>
              <w:t>tember</w:t>
            </w:r>
            <w:r w:rsidRPr="00106054">
              <w:rPr>
                <w:b/>
                <w:iCs/>
                <w:color w:val="002060"/>
                <w:sz w:val="17"/>
                <w:szCs w:val="17"/>
                <w:lang w:eastAsia="en-AU"/>
              </w:rPr>
              <w:t xml:space="preserve"> 2016</w:t>
            </w:r>
          </w:p>
        </w:tc>
        <w:tc>
          <w:tcPr>
            <w:tcW w:w="2208"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Nov</w:t>
            </w:r>
            <w:r w:rsidR="00E9263B" w:rsidRPr="00106054">
              <w:rPr>
                <w:b/>
                <w:iCs/>
                <w:color w:val="002060"/>
                <w:sz w:val="17"/>
                <w:szCs w:val="17"/>
                <w:lang w:eastAsia="en-AU"/>
              </w:rPr>
              <w:t>ember</w:t>
            </w:r>
            <w:r w:rsidRPr="00106054">
              <w:rPr>
                <w:b/>
                <w:iCs/>
                <w:color w:val="002060"/>
                <w:sz w:val="17"/>
                <w:szCs w:val="17"/>
                <w:lang w:eastAsia="en-AU"/>
              </w:rPr>
              <w:t xml:space="preserve"> 2016</w:t>
            </w:r>
          </w:p>
        </w:tc>
        <w:tc>
          <w:tcPr>
            <w:tcW w:w="2325"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Demonstrate results</w:t>
            </w:r>
          </w:p>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Verify performance</w:t>
            </w:r>
          </w:p>
          <w:p w:rsidR="00560472"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Improve existing investment</w:t>
            </w:r>
          </w:p>
        </w:tc>
        <w:tc>
          <w:tcPr>
            <w:tcW w:w="2740"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DFAT-led</w:t>
            </w:r>
          </w:p>
        </w:tc>
      </w:tr>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iCs/>
                <w:color w:val="002060"/>
                <w:sz w:val="17"/>
                <w:szCs w:val="17"/>
                <w:lang w:eastAsia="en-AU"/>
              </w:rPr>
            </w:pPr>
            <w:r w:rsidRPr="00106054">
              <w:rPr>
                <w:b/>
                <w:iCs/>
                <w:color w:val="002060"/>
                <w:sz w:val="17"/>
                <w:szCs w:val="17"/>
                <w:lang w:eastAsia="en-AU"/>
              </w:rPr>
              <w:t>Preparation of concept note for KSI phase 2 and assessment of achievements to date</w:t>
            </w:r>
          </w:p>
        </w:tc>
        <w:tc>
          <w:tcPr>
            <w:tcW w:w="2356" w:type="dxa"/>
            <w:shd w:val="clear" w:color="auto" w:fill="auto"/>
          </w:tcPr>
          <w:p w:rsidR="00390DA7" w:rsidRPr="00106054" w:rsidRDefault="00390DA7" w:rsidP="00106054">
            <w:pPr>
              <w:keepLines/>
              <w:spacing w:line="200" w:lineRule="atLeast"/>
              <w:rPr>
                <w:iCs/>
                <w:color w:val="002060"/>
                <w:sz w:val="17"/>
                <w:szCs w:val="17"/>
                <w:lang w:eastAsia="en-AU"/>
              </w:rPr>
            </w:pPr>
            <w:r w:rsidRPr="00106054">
              <w:rPr>
                <w:b/>
                <w:iCs/>
                <w:color w:val="002060"/>
                <w:sz w:val="17"/>
                <w:szCs w:val="17"/>
                <w:lang w:eastAsia="en-AU"/>
              </w:rPr>
              <w:t>INK640 The Knowledge Sector Initiative</w:t>
            </w:r>
          </w:p>
        </w:tc>
        <w:tc>
          <w:tcPr>
            <w:tcW w:w="2042" w:type="dxa"/>
            <w:shd w:val="clear" w:color="auto" w:fill="auto"/>
          </w:tcPr>
          <w:p w:rsidR="00390DA7" w:rsidRPr="00106054" w:rsidRDefault="00A45226" w:rsidP="00106054">
            <w:pPr>
              <w:keepLines/>
              <w:spacing w:line="200" w:lineRule="atLeast"/>
              <w:rPr>
                <w:iCs/>
                <w:color w:val="002060"/>
                <w:sz w:val="17"/>
                <w:szCs w:val="17"/>
                <w:lang w:eastAsia="en-AU"/>
              </w:rPr>
            </w:pPr>
            <w:r w:rsidRPr="00106054">
              <w:rPr>
                <w:b/>
                <w:iCs/>
                <w:color w:val="002060"/>
                <w:sz w:val="17"/>
                <w:szCs w:val="17"/>
                <w:lang w:eastAsia="en-AU"/>
              </w:rPr>
              <w:t>Sep</w:t>
            </w:r>
            <w:r w:rsidR="00E9263B" w:rsidRPr="00106054">
              <w:rPr>
                <w:b/>
                <w:iCs/>
                <w:color w:val="002060"/>
                <w:sz w:val="17"/>
                <w:szCs w:val="17"/>
                <w:lang w:eastAsia="en-AU"/>
              </w:rPr>
              <w:t>tember</w:t>
            </w:r>
            <w:r w:rsidRPr="00106054">
              <w:rPr>
                <w:b/>
                <w:iCs/>
                <w:color w:val="002060"/>
                <w:sz w:val="17"/>
                <w:szCs w:val="17"/>
                <w:lang w:eastAsia="en-AU"/>
              </w:rPr>
              <w:t xml:space="preserve"> 2016</w:t>
            </w:r>
          </w:p>
        </w:tc>
        <w:tc>
          <w:tcPr>
            <w:tcW w:w="2208" w:type="dxa"/>
            <w:shd w:val="clear" w:color="auto" w:fill="auto"/>
          </w:tcPr>
          <w:p w:rsidR="00390DA7" w:rsidRPr="00106054" w:rsidRDefault="00E9263B" w:rsidP="00106054">
            <w:pPr>
              <w:keepLines/>
              <w:spacing w:line="200" w:lineRule="atLeast"/>
              <w:rPr>
                <w:b/>
                <w:iCs/>
                <w:color w:val="002060"/>
                <w:sz w:val="17"/>
                <w:szCs w:val="17"/>
                <w:lang w:eastAsia="en-AU"/>
              </w:rPr>
            </w:pPr>
            <w:r w:rsidRPr="00106054">
              <w:rPr>
                <w:b/>
                <w:iCs/>
                <w:color w:val="002060"/>
                <w:sz w:val="17"/>
                <w:szCs w:val="17"/>
                <w:lang w:eastAsia="en-AU"/>
              </w:rPr>
              <w:t xml:space="preserve"> April </w:t>
            </w:r>
            <w:r w:rsidR="00390DA7" w:rsidRPr="00106054">
              <w:rPr>
                <w:b/>
                <w:iCs/>
                <w:color w:val="002060"/>
                <w:sz w:val="17"/>
                <w:szCs w:val="17"/>
                <w:lang w:eastAsia="en-AU"/>
              </w:rPr>
              <w:t xml:space="preserve">2017 </w:t>
            </w:r>
          </w:p>
        </w:tc>
        <w:tc>
          <w:tcPr>
            <w:tcW w:w="2325" w:type="dxa"/>
            <w:shd w:val="clear" w:color="auto" w:fill="auto"/>
          </w:tcPr>
          <w:p w:rsidR="00390DA7" w:rsidRPr="00106054" w:rsidRDefault="00A45226" w:rsidP="00106054">
            <w:pPr>
              <w:keepLines/>
              <w:spacing w:line="200" w:lineRule="atLeast"/>
              <w:rPr>
                <w:b/>
                <w:iCs/>
                <w:color w:val="002060"/>
                <w:sz w:val="17"/>
                <w:szCs w:val="17"/>
                <w:lang w:eastAsia="en-AU"/>
              </w:rPr>
            </w:pPr>
            <w:r w:rsidRPr="00106054">
              <w:rPr>
                <w:b/>
                <w:iCs/>
                <w:color w:val="002060"/>
                <w:sz w:val="17"/>
                <w:szCs w:val="17"/>
                <w:lang w:eastAsia="en-AU"/>
              </w:rPr>
              <w:t>Assessment of KSI achievements to date</w:t>
            </w:r>
          </w:p>
          <w:p w:rsidR="00390DA7" w:rsidRPr="00106054" w:rsidRDefault="00390DA7" w:rsidP="00106054">
            <w:pPr>
              <w:keepLines/>
              <w:spacing w:line="200" w:lineRule="atLeast"/>
              <w:rPr>
                <w:iCs/>
                <w:color w:val="002060"/>
                <w:sz w:val="17"/>
                <w:szCs w:val="17"/>
                <w:lang w:eastAsia="en-AU"/>
              </w:rPr>
            </w:pPr>
          </w:p>
        </w:tc>
        <w:tc>
          <w:tcPr>
            <w:tcW w:w="2740" w:type="dxa"/>
            <w:shd w:val="clear" w:color="auto" w:fill="auto"/>
          </w:tcPr>
          <w:p w:rsidR="00390DA7" w:rsidRPr="00106054" w:rsidRDefault="00390DA7" w:rsidP="00106054">
            <w:pPr>
              <w:keepLines/>
              <w:spacing w:line="200" w:lineRule="atLeast"/>
              <w:rPr>
                <w:iCs/>
                <w:color w:val="002060"/>
                <w:sz w:val="17"/>
                <w:szCs w:val="17"/>
                <w:lang w:eastAsia="en-AU"/>
              </w:rPr>
            </w:pPr>
            <w:r w:rsidRPr="00106054">
              <w:rPr>
                <w:b/>
                <w:iCs/>
                <w:color w:val="002060"/>
                <w:sz w:val="17"/>
                <w:szCs w:val="17"/>
                <w:lang w:eastAsia="en-AU"/>
              </w:rPr>
              <w:t xml:space="preserve"> Joint with KSI</w:t>
            </w:r>
          </w:p>
        </w:tc>
      </w:tr>
      <w:tr w:rsidR="00106054" w:rsidRPr="00106054" w:rsidTr="00106054">
        <w:trPr>
          <w:tblHeader/>
          <w:tblCellSpacing w:w="14" w:type="dxa"/>
        </w:trPr>
        <w:tc>
          <w:tcPr>
            <w:tcW w:w="2444"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Indonesia Infrastructure Initiative Phase 2 Impact Assessment</w:t>
            </w:r>
          </w:p>
          <w:p w:rsidR="008155CD" w:rsidRPr="00106054" w:rsidRDefault="008155CD" w:rsidP="00106054">
            <w:pPr>
              <w:keepLines/>
              <w:spacing w:line="200" w:lineRule="atLeast"/>
              <w:rPr>
                <w:b/>
                <w:iCs/>
                <w:color w:val="002060"/>
                <w:sz w:val="17"/>
                <w:szCs w:val="17"/>
                <w:lang w:eastAsia="en-AU"/>
              </w:rPr>
            </w:pPr>
          </w:p>
        </w:tc>
        <w:tc>
          <w:tcPr>
            <w:tcW w:w="2356"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INH582 Indonesia Infrastructure Initiative Phase 2</w:t>
            </w:r>
          </w:p>
          <w:p w:rsidR="008155CD" w:rsidRPr="00106054" w:rsidRDefault="008155CD" w:rsidP="00106054">
            <w:pPr>
              <w:keepLines/>
              <w:spacing w:line="200" w:lineRule="atLeast"/>
              <w:rPr>
                <w:b/>
                <w:iCs/>
                <w:color w:val="002060"/>
                <w:sz w:val="17"/>
                <w:szCs w:val="17"/>
                <w:lang w:eastAsia="en-AU"/>
              </w:rPr>
            </w:pPr>
          </w:p>
          <w:p w:rsidR="008155CD" w:rsidRPr="00106054" w:rsidRDefault="008155CD" w:rsidP="00106054">
            <w:pPr>
              <w:keepLines/>
              <w:spacing w:line="200" w:lineRule="atLeast"/>
              <w:rPr>
                <w:b/>
                <w:iCs/>
                <w:color w:val="002060"/>
                <w:sz w:val="17"/>
                <w:szCs w:val="17"/>
                <w:lang w:eastAsia="en-AU"/>
              </w:rPr>
            </w:pPr>
          </w:p>
        </w:tc>
        <w:tc>
          <w:tcPr>
            <w:tcW w:w="2042"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4th quarter 2016</w:t>
            </w:r>
          </w:p>
        </w:tc>
        <w:tc>
          <w:tcPr>
            <w:tcW w:w="2208"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Feb</w:t>
            </w:r>
            <w:r w:rsidR="00E9263B" w:rsidRPr="00106054">
              <w:rPr>
                <w:b/>
                <w:iCs/>
                <w:color w:val="002060"/>
                <w:sz w:val="17"/>
                <w:szCs w:val="17"/>
                <w:lang w:eastAsia="en-AU"/>
              </w:rPr>
              <w:t>ruary</w:t>
            </w:r>
            <w:r w:rsidRPr="00106054">
              <w:rPr>
                <w:b/>
                <w:iCs/>
                <w:color w:val="002060"/>
                <w:sz w:val="17"/>
                <w:szCs w:val="17"/>
                <w:lang w:eastAsia="en-AU"/>
              </w:rPr>
              <w:t xml:space="preserve"> 2017</w:t>
            </w:r>
          </w:p>
        </w:tc>
        <w:tc>
          <w:tcPr>
            <w:tcW w:w="2325"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Verify performance and inform new design</w:t>
            </w:r>
          </w:p>
        </w:tc>
        <w:tc>
          <w:tcPr>
            <w:tcW w:w="2740" w:type="dxa"/>
            <w:shd w:val="clear" w:color="auto" w:fill="auto"/>
          </w:tcPr>
          <w:p w:rsidR="00390DA7" w:rsidRPr="00106054" w:rsidRDefault="00390DA7" w:rsidP="00106054">
            <w:pPr>
              <w:keepLines/>
              <w:spacing w:line="200" w:lineRule="atLeast"/>
              <w:rPr>
                <w:b/>
                <w:iCs/>
                <w:color w:val="002060"/>
                <w:sz w:val="17"/>
                <w:szCs w:val="17"/>
                <w:lang w:eastAsia="en-AU"/>
              </w:rPr>
            </w:pPr>
            <w:r w:rsidRPr="00106054">
              <w:rPr>
                <w:b/>
                <w:iCs/>
                <w:color w:val="002060"/>
                <w:sz w:val="17"/>
                <w:szCs w:val="17"/>
                <w:lang w:eastAsia="en-AU"/>
              </w:rPr>
              <w:t>DFAT-led</w:t>
            </w:r>
          </w:p>
          <w:p w:rsidR="008155CD" w:rsidRPr="00106054" w:rsidRDefault="008155CD" w:rsidP="00106054">
            <w:pPr>
              <w:keepLines/>
              <w:spacing w:line="200" w:lineRule="atLeast"/>
              <w:rPr>
                <w:b/>
                <w:iCs/>
                <w:color w:val="002060"/>
                <w:sz w:val="17"/>
                <w:szCs w:val="17"/>
                <w:lang w:eastAsia="en-AU"/>
              </w:rPr>
            </w:pPr>
          </w:p>
        </w:tc>
      </w:tr>
    </w:tbl>
    <w:p w:rsidR="00390DA7" w:rsidRPr="00390DA7" w:rsidRDefault="00390DA7" w:rsidP="008155CD">
      <w:pPr>
        <w:tabs>
          <w:tab w:val="left" w:pos="284"/>
        </w:tabs>
        <w:spacing w:after="120" w:line="280" w:lineRule="exact"/>
        <w:rPr>
          <w:rFonts w:ascii="Franklin Gothic Book" w:hAnsi="Franklin Gothic Book"/>
          <w:sz w:val="21"/>
          <w:lang w:eastAsia="en-AU"/>
        </w:rPr>
        <w:sectPr w:rsidR="00390DA7" w:rsidRPr="00390DA7" w:rsidSect="00A076A0">
          <w:headerReference w:type="even" r:id="rId26"/>
          <w:headerReference w:type="default" r:id="rId27"/>
          <w:footerReference w:type="first" r:id="rId28"/>
          <w:pgSz w:w="16838" w:h="11906" w:orient="landscape" w:code="9"/>
          <w:pgMar w:top="1814" w:right="1814" w:bottom="851" w:left="851" w:header="709" w:footer="425" w:gutter="0"/>
          <w:cols w:space="708"/>
          <w:docGrid w:linePitch="360"/>
        </w:sectPr>
      </w:pPr>
    </w:p>
    <w:p w:rsidR="003F75E1" w:rsidRPr="00106054" w:rsidRDefault="003F75E1" w:rsidP="003F75E1">
      <w:pPr>
        <w:keepNext/>
        <w:tabs>
          <w:tab w:val="left" w:pos="1560"/>
        </w:tabs>
        <w:spacing w:before="360" w:after="120"/>
        <w:outlineLvl w:val="1"/>
        <w:rPr>
          <w:rFonts w:eastAsia="Times New Roman"/>
          <w:bCs/>
          <w:iCs/>
          <w:caps/>
          <w:spacing w:val="-10"/>
          <w:kern w:val="28"/>
          <w:sz w:val="38"/>
          <w:szCs w:val="24"/>
        </w:rPr>
      </w:pPr>
      <w:r w:rsidRPr="00106054">
        <w:rPr>
          <w:rFonts w:eastAsia="Times New Roman"/>
          <w:bCs/>
          <w:iCs/>
          <w:caps/>
          <w:spacing w:val="-10"/>
          <w:kern w:val="28"/>
          <w:sz w:val="38"/>
          <w:szCs w:val="24"/>
        </w:rPr>
        <w:lastRenderedPageBreak/>
        <w:t>Annex D - Aid Quality Check ratings</w:t>
      </w:r>
    </w:p>
    <w:p w:rsidR="003F75E1" w:rsidRPr="00911C25" w:rsidRDefault="003F75E1" w:rsidP="003F75E1">
      <w:r w:rsidRPr="00C61187">
        <w:t>AQC investment performance over the previous 12 months and where available last year’s AQC ratings are included.</w:t>
      </w:r>
    </w:p>
    <w:tbl>
      <w:tblPr>
        <w:tblW w:w="13623" w:type="dxa"/>
        <w:jc w:val="center"/>
        <w:tblLayout w:type="fixed"/>
        <w:tblLook w:val="04A0" w:firstRow="1" w:lastRow="0" w:firstColumn="1" w:lastColumn="0" w:noHBand="0" w:noVBand="1"/>
      </w:tblPr>
      <w:tblGrid>
        <w:gridCol w:w="1008"/>
        <w:gridCol w:w="3402"/>
        <w:gridCol w:w="1417"/>
        <w:gridCol w:w="992"/>
        <w:gridCol w:w="851"/>
        <w:gridCol w:w="850"/>
        <w:gridCol w:w="851"/>
        <w:gridCol w:w="850"/>
        <w:gridCol w:w="851"/>
        <w:gridCol w:w="850"/>
        <w:gridCol w:w="851"/>
        <w:gridCol w:w="850"/>
      </w:tblGrid>
      <w:tr w:rsidR="003F75E1" w:rsidRPr="00106054" w:rsidTr="002D6EA7">
        <w:trPr>
          <w:trHeight w:val="1253"/>
          <w:jc w:val="center"/>
        </w:trPr>
        <w:tc>
          <w:tcPr>
            <w:tcW w:w="1008" w:type="dxa"/>
            <w:tcBorders>
              <w:top w:val="single" w:sz="12" w:space="0" w:color="auto"/>
              <w:left w:val="single" w:sz="8" w:space="0" w:color="FFFFFF"/>
              <w:bottom w:val="single" w:sz="12" w:space="0" w:color="auto"/>
              <w:right w:val="single" w:sz="8" w:space="0" w:color="FFFFFF"/>
            </w:tcBorders>
            <w:shd w:val="clear" w:color="auto" w:fill="auto"/>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Investment</w:t>
            </w:r>
          </w:p>
        </w:tc>
        <w:tc>
          <w:tcPr>
            <w:tcW w:w="3402" w:type="dxa"/>
            <w:tcBorders>
              <w:top w:val="single" w:sz="12" w:space="0" w:color="auto"/>
              <w:left w:val="nil"/>
              <w:bottom w:val="single" w:sz="12" w:space="0" w:color="auto"/>
              <w:right w:val="nil"/>
            </w:tcBorders>
            <w:shd w:val="clear" w:color="auto" w:fill="auto"/>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Investment Name</w:t>
            </w:r>
          </w:p>
        </w:tc>
        <w:tc>
          <w:tcPr>
            <w:tcW w:w="1417" w:type="dxa"/>
            <w:tcBorders>
              <w:top w:val="single" w:sz="12" w:space="0" w:color="auto"/>
              <w:left w:val="single" w:sz="8" w:space="0" w:color="FFFFFF"/>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 xml:space="preserve">Approved budget and duration </w:t>
            </w:r>
          </w:p>
        </w:tc>
        <w:tc>
          <w:tcPr>
            <w:tcW w:w="992" w:type="dxa"/>
            <w:tcBorders>
              <w:top w:val="single" w:sz="12" w:space="0" w:color="auto"/>
              <w:left w:val="nil"/>
              <w:bottom w:val="single" w:sz="12" w:space="0" w:color="auto"/>
              <w:right w:val="nil"/>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AQC Year</w:t>
            </w:r>
          </w:p>
        </w:tc>
        <w:tc>
          <w:tcPr>
            <w:tcW w:w="851" w:type="dxa"/>
            <w:tcBorders>
              <w:top w:val="single" w:sz="12" w:space="0" w:color="auto"/>
              <w:left w:val="single" w:sz="8" w:space="0" w:color="FFFFFF"/>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Relevance</w:t>
            </w:r>
          </w:p>
        </w:tc>
        <w:tc>
          <w:tcPr>
            <w:tcW w:w="850" w:type="dxa"/>
            <w:tcBorders>
              <w:top w:val="single" w:sz="12" w:space="0" w:color="auto"/>
              <w:left w:val="nil"/>
              <w:bottom w:val="single" w:sz="12" w:space="0" w:color="auto"/>
              <w:right w:val="nil"/>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Effectiveness</w:t>
            </w:r>
          </w:p>
        </w:tc>
        <w:tc>
          <w:tcPr>
            <w:tcW w:w="851" w:type="dxa"/>
            <w:tcBorders>
              <w:top w:val="single" w:sz="12" w:space="0" w:color="auto"/>
              <w:left w:val="single" w:sz="8" w:space="0" w:color="FFFFFF"/>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Efficiency</w:t>
            </w:r>
          </w:p>
        </w:tc>
        <w:tc>
          <w:tcPr>
            <w:tcW w:w="850" w:type="dxa"/>
            <w:tcBorders>
              <w:top w:val="single" w:sz="12" w:space="0" w:color="auto"/>
              <w:left w:val="nil"/>
              <w:bottom w:val="single" w:sz="12" w:space="0" w:color="auto"/>
              <w:right w:val="nil"/>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 xml:space="preserve">Monitoring and </w:t>
            </w:r>
            <w:r w:rsidRPr="00106054">
              <w:rPr>
                <w:rFonts w:ascii="Calibri" w:eastAsia="Times New Roman" w:hAnsi="Calibri" w:cs="Arial"/>
                <w:b/>
                <w:sz w:val="16"/>
                <w:szCs w:val="16"/>
                <w:lang w:val="en-AU" w:eastAsia="en-AU"/>
              </w:rPr>
              <w:br/>
              <w:t>evaluation</w:t>
            </w:r>
          </w:p>
        </w:tc>
        <w:tc>
          <w:tcPr>
            <w:tcW w:w="851" w:type="dxa"/>
            <w:tcBorders>
              <w:top w:val="single" w:sz="12" w:space="0" w:color="auto"/>
              <w:left w:val="single" w:sz="8" w:space="0" w:color="FFFFFF"/>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Sustainability</w:t>
            </w:r>
          </w:p>
        </w:tc>
        <w:tc>
          <w:tcPr>
            <w:tcW w:w="850" w:type="dxa"/>
            <w:tcBorders>
              <w:top w:val="single" w:sz="12" w:space="0" w:color="auto"/>
              <w:left w:val="nil"/>
              <w:bottom w:val="single" w:sz="12" w:space="0" w:color="auto"/>
              <w:right w:val="nil"/>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Gender equality</w:t>
            </w:r>
          </w:p>
        </w:tc>
        <w:tc>
          <w:tcPr>
            <w:tcW w:w="851" w:type="dxa"/>
            <w:tcBorders>
              <w:top w:val="single" w:sz="12" w:space="0" w:color="auto"/>
              <w:left w:val="single" w:sz="8" w:space="0" w:color="FFFFFF"/>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Risk management</w:t>
            </w:r>
          </w:p>
        </w:tc>
        <w:tc>
          <w:tcPr>
            <w:tcW w:w="850" w:type="dxa"/>
            <w:tcBorders>
              <w:top w:val="single" w:sz="12" w:space="0" w:color="auto"/>
              <w:left w:val="nil"/>
              <w:bottom w:val="single" w:sz="12" w:space="0" w:color="auto"/>
              <w:right w:val="single" w:sz="8" w:space="0" w:color="FFFFFF"/>
            </w:tcBorders>
            <w:shd w:val="clear" w:color="auto" w:fill="auto"/>
            <w:textDirection w:val="btLr"/>
            <w:vAlign w:val="center"/>
            <w:hideMark/>
          </w:tcPr>
          <w:p w:rsidR="003F75E1" w:rsidRPr="00106054" w:rsidRDefault="003F75E1" w:rsidP="002D6EA7">
            <w:pPr>
              <w:suppressAutoHyphens w:val="0"/>
              <w:spacing w:before="0" w:after="0" w:line="240" w:lineRule="auto"/>
              <w:jc w:val="center"/>
              <w:rPr>
                <w:rFonts w:ascii="Calibri" w:eastAsia="Times New Roman" w:hAnsi="Calibri" w:cs="Arial"/>
                <w:b/>
                <w:sz w:val="16"/>
                <w:szCs w:val="16"/>
                <w:lang w:val="en-AU" w:eastAsia="en-AU"/>
              </w:rPr>
            </w:pPr>
            <w:r w:rsidRPr="00106054">
              <w:rPr>
                <w:rFonts w:ascii="Calibri" w:eastAsia="Times New Roman" w:hAnsi="Calibri" w:cs="Arial"/>
                <w:b/>
                <w:sz w:val="16"/>
                <w:szCs w:val="16"/>
                <w:lang w:val="en-AU" w:eastAsia="en-AU"/>
              </w:rPr>
              <w:t>Innovation</w:t>
            </w:r>
          </w:p>
        </w:tc>
      </w:tr>
      <w:tr w:rsidR="003F75E1" w:rsidRPr="00106054" w:rsidTr="002D6EA7">
        <w:trPr>
          <w:trHeight w:val="270"/>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ING633</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Eastern Indonesia National Road Improvement</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$300,000,000.00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992BE2" w:rsidRDefault="003F75E1" w:rsidP="002D6EA7">
            <w:pPr>
              <w:suppressAutoHyphens w:val="0"/>
              <w:spacing w:before="0" w:after="0" w:line="240" w:lineRule="auto"/>
              <w:jc w:val="center"/>
              <w:rPr>
                <w:rFonts w:ascii="Calibri" w:eastAsia="Times New Roman" w:hAnsi="Calibri" w:cs="Arial"/>
                <w:b/>
                <w:bCs/>
                <w:color w:val="FFFF00"/>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2007 - 2016</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INJ498</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AIP Rural Economic Development Program</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$112,000,000.00</w:t>
            </w:r>
          </w:p>
        </w:tc>
        <w:tc>
          <w:tcPr>
            <w:tcW w:w="992" w:type="dxa"/>
            <w:tcBorders>
              <w:top w:val="single" w:sz="4" w:space="0" w:color="auto"/>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2010 - 2019</w:t>
            </w:r>
          </w:p>
        </w:tc>
        <w:tc>
          <w:tcPr>
            <w:tcW w:w="99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INL486</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RMCP - Red Meat and Cattle Partnership</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$41,147,459.55</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auto" w:fill="FF9933"/>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2013 - 2024</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INL710</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Development Credit Authority</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$3,000,000.00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2015 - 2015</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INL812</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Disaster Response and Preparedness in Indonesia</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$19,000,000.00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2015 - 2018</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INJ247</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Scholarships Jakarta ADS - Intake 2011</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$116,542,674.79</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2010 - 2018</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INJ648</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Australia's Education Partnership</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$381,323,820.31</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2010 - 2017</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nil"/>
              <w:left w:val="single" w:sz="8" w:space="0" w:color="FFFFFF"/>
              <w:bottom w:val="single" w:sz="4" w:space="0" w:color="000000"/>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single" w:sz="4" w:space="0" w:color="000000"/>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INL086</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UNICEF Papua Rural &amp; Remote Education</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$8,736,364.00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2014 - 2016</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nil"/>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INL131</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Australia Awards in Indonesia</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$67,957,418.70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2014 - 2018</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INK495</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Prison Reform in Indonesia Phase III</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$3,644,964.00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auto" w:fill="FF9933"/>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2012 - 2016</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INK532</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Institutional Design Capacity Building Initiative</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$6,436,737.53</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2012 - 2017</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INK640</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AIP 4: The Knowledge Sector Initiative</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$64,517,659.28</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2012 - 2017</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nil"/>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nil"/>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lastRenderedPageBreak/>
              <w:t>INK714</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Empowering Indonesian Women for Poverty Reduction </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$108,344,879.45</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2012 - 2020</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INL631</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Governance for Growth KOMPAK</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$81,000,000.00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2015 - 2018</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INH251</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Australia-Indonesia Partnership for HIV</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$128,706,191.25</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2007 - 2016</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INL808</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AIP-Emerging Infectious Diseases 2015-2018</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$9,900,000.00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2015 - 2018 </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nil"/>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ING406</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AIPRD: EINRIP - </w:t>
            </w:r>
            <w:proofErr w:type="spellStart"/>
            <w:r w:rsidRPr="003326C7">
              <w:rPr>
                <w:rFonts w:ascii="Calibri" w:eastAsia="Times New Roman" w:hAnsi="Calibri" w:cs="Arial"/>
                <w:color w:val="1F497D"/>
                <w:sz w:val="16"/>
                <w:szCs w:val="16"/>
                <w:lang w:val="en-AU" w:eastAsia="en-AU"/>
              </w:rPr>
              <w:t>Impl,Planning&amp;Support</w:t>
            </w:r>
            <w:proofErr w:type="spellEnd"/>
            <w:r w:rsidRPr="003326C7">
              <w:rPr>
                <w:rFonts w:ascii="Calibri" w:eastAsia="Times New Roman" w:hAnsi="Calibri" w:cs="Arial"/>
                <w:color w:val="1F497D"/>
                <w:sz w:val="16"/>
                <w:szCs w:val="16"/>
                <w:lang w:val="en-AU" w:eastAsia="en-AU"/>
              </w:rPr>
              <w:t xml:space="preserve"> Facility</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$35,684,698.35</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1" w:type="dxa"/>
            <w:tcBorders>
              <w:top w:val="single" w:sz="4" w:space="0" w:color="000000"/>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2005 - 2016</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INH582</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Indonesia Infrastructure Initiative</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$237,927,329.61</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2007 - 2017</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INH848</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AIP for Economic Governance (AIPEG)</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$59,551,425.75</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2008 - 2017</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INJ137</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Australia Indonesia Partnership for Justice</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$59,812,438.72</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auto" w:fill="FF9933"/>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2009 - 2016</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INJ149</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Water and Sanitation </w:t>
            </w:r>
            <w:proofErr w:type="spellStart"/>
            <w:r w:rsidRPr="003326C7">
              <w:rPr>
                <w:rFonts w:ascii="Calibri" w:eastAsia="Times New Roman" w:hAnsi="Calibri" w:cs="Arial"/>
                <w:color w:val="1F497D"/>
                <w:sz w:val="16"/>
                <w:szCs w:val="16"/>
                <w:lang w:val="en-AU" w:eastAsia="en-AU"/>
              </w:rPr>
              <w:t>Hibah</w:t>
            </w:r>
            <w:proofErr w:type="spellEnd"/>
            <w:r w:rsidRPr="003326C7">
              <w:rPr>
                <w:rFonts w:ascii="Calibri" w:eastAsia="Times New Roman" w:hAnsi="Calibri" w:cs="Arial"/>
                <w:color w:val="1F497D"/>
                <w:sz w:val="16"/>
                <w:szCs w:val="16"/>
                <w:lang w:val="en-AU" w:eastAsia="en-AU"/>
              </w:rPr>
              <w:t xml:space="preserve"> Phase 2</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$119,656,290.00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2009 - 2018</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INJ689</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Government Partnership Fund Phase (GPF) II</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$114,225,017.49</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20111 - 2017</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INK886</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SAIIG- Infrastructure Grants Municipal Sanitation</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$40,000,250.00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2012 - 2018 </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INK993</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PAMSIMAS-2</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$49,950,000.00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single" w:sz="4" w:space="0" w:color="BFBFBF"/>
              <w:right w:val="single" w:sz="8" w:space="0" w:color="FFFFFF"/>
            </w:tcBorders>
            <w:shd w:val="clear" w:color="auto"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2013 - 2018</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INL032</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Democratic Governance Support</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$9,500,000.00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2014 - 2016</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4" w:space="0" w:color="000000"/>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INL082</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MDB Infrastructure Assistance Program</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$45,500,000.00</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auto" w:fill="FF9933"/>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2013 - 2019</w:t>
            </w:r>
          </w:p>
        </w:tc>
        <w:tc>
          <w:tcPr>
            <w:tcW w:w="99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nil"/>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nil"/>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INL337</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xml:space="preserve">Provincial Road Improvement &amp; Maintenance (PRIM) </w:t>
            </w: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$16,929,917.47</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6</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p>
        </w:tc>
        <w:tc>
          <w:tcPr>
            <w:tcW w:w="1417" w:type="dxa"/>
            <w:tcBorders>
              <w:top w:val="nil"/>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2014 - 2016</w:t>
            </w:r>
          </w:p>
        </w:tc>
        <w:tc>
          <w:tcPr>
            <w:tcW w:w="992" w:type="dxa"/>
            <w:tcBorders>
              <w:top w:val="nil"/>
              <w:left w:val="nil"/>
              <w:bottom w:val="single" w:sz="4" w:space="0" w:color="000000"/>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000000"/>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000000"/>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nil"/>
              <w:left w:val="nil"/>
              <w:bottom w:val="single" w:sz="4" w:space="0" w:color="000000"/>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r>
      <w:tr w:rsidR="003F75E1" w:rsidRPr="00106054" w:rsidTr="00D64950">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INK331</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Pr>
                <w:rFonts w:ascii="Calibri" w:eastAsia="Times New Roman" w:hAnsi="Calibri" w:cs="Arial"/>
                <w:color w:val="1F497D"/>
                <w:sz w:val="16"/>
                <w:szCs w:val="16"/>
                <w:lang w:val="en-AU" w:eastAsia="en-AU"/>
              </w:rPr>
              <w:t xml:space="preserve">Support Enhance </w:t>
            </w:r>
            <w:proofErr w:type="spellStart"/>
            <w:r>
              <w:rPr>
                <w:rFonts w:ascii="Calibri" w:eastAsia="Times New Roman" w:hAnsi="Calibri" w:cs="Arial"/>
                <w:color w:val="1F497D"/>
                <w:sz w:val="16"/>
                <w:szCs w:val="16"/>
                <w:lang w:val="en-AU" w:eastAsia="en-AU"/>
              </w:rPr>
              <w:t>MacroEc</w:t>
            </w:r>
            <w:r w:rsidRPr="003326C7">
              <w:rPr>
                <w:rFonts w:ascii="Calibri" w:eastAsia="Times New Roman" w:hAnsi="Calibri" w:cs="Arial"/>
                <w:color w:val="1F497D"/>
                <w:sz w:val="16"/>
                <w:szCs w:val="16"/>
                <w:lang w:val="en-AU" w:eastAsia="en-AU"/>
              </w:rPr>
              <w:t>&amp;Fiscal</w:t>
            </w:r>
            <w:proofErr w:type="spellEnd"/>
            <w:r w:rsidRPr="003326C7">
              <w:rPr>
                <w:rFonts w:ascii="Calibri" w:eastAsia="Times New Roman" w:hAnsi="Calibri" w:cs="Arial"/>
                <w:color w:val="1F497D"/>
                <w:sz w:val="16"/>
                <w:szCs w:val="16"/>
                <w:lang w:val="en-AU" w:eastAsia="en-AU"/>
              </w:rPr>
              <w:t xml:space="preserve"> Policy</w:t>
            </w:r>
            <w:r>
              <w:rPr>
                <w:rFonts w:ascii="Calibri" w:eastAsia="Times New Roman" w:hAnsi="Calibri" w:cs="Arial"/>
                <w:color w:val="1F497D"/>
                <w:sz w:val="16"/>
                <w:szCs w:val="16"/>
                <w:lang w:val="en-AU" w:eastAsia="en-AU"/>
              </w:rPr>
              <w:t xml:space="preserve"> Analysis</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$5,082,600.82</w:t>
            </w:r>
          </w:p>
        </w:tc>
        <w:tc>
          <w:tcPr>
            <w:tcW w:w="992" w:type="dxa"/>
            <w:tcBorders>
              <w:top w:val="nil"/>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nil"/>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nil"/>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nil"/>
              <w:left w:val="single" w:sz="8" w:space="0" w:color="FFFFFF"/>
              <w:bottom w:val="single" w:sz="4" w:space="0" w:color="BFBFBF"/>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nil"/>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D64950">
        <w:trPr>
          <w:trHeight w:val="255"/>
          <w:jc w:val="center"/>
        </w:trPr>
        <w:tc>
          <w:tcPr>
            <w:tcW w:w="1008"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4"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2011 - 2018</w:t>
            </w:r>
          </w:p>
        </w:tc>
        <w:tc>
          <w:tcPr>
            <w:tcW w:w="992" w:type="dxa"/>
            <w:tcBorders>
              <w:top w:val="single" w:sz="4" w:space="0" w:color="BFBFBF"/>
              <w:left w:val="nil"/>
              <w:bottom w:val="single" w:sz="4" w:space="0" w:color="auto"/>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single" w:sz="4" w:space="0" w:color="BFBFBF"/>
              <w:left w:val="single" w:sz="8" w:space="0" w:color="FFFFFF"/>
              <w:bottom w:val="single" w:sz="4" w:space="0" w:color="auto"/>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BFBFBF"/>
              <w:left w:val="nil"/>
              <w:bottom w:val="single" w:sz="4" w:space="0" w:color="auto"/>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BFBFBF"/>
              <w:left w:val="single" w:sz="8" w:space="0" w:color="FFFFFF"/>
              <w:bottom w:val="single" w:sz="4" w:space="0" w:color="auto"/>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BFBFBF"/>
              <w:left w:val="nil"/>
              <w:bottom w:val="single" w:sz="4" w:space="0" w:color="auto"/>
              <w:right w:val="nil"/>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1" w:type="dxa"/>
            <w:tcBorders>
              <w:top w:val="single" w:sz="4" w:space="0" w:color="BFBFBF"/>
              <w:left w:val="single" w:sz="8" w:space="0" w:color="FFFFFF"/>
              <w:bottom w:val="single" w:sz="4" w:space="0" w:color="auto"/>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BFBFBF"/>
              <w:left w:val="nil"/>
              <w:bottom w:val="single" w:sz="4" w:space="0" w:color="auto"/>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BFBFBF"/>
              <w:left w:val="single" w:sz="8" w:space="0" w:color="FFFFFF"/>
              <w:bottom w:val="single" w:sz="4" w:space="0" w:color="auto"/>
              <w:right w:val="single" w:sz="8" w:space="0" w:color="FFFFFF"/>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0" w:type="dxa"/>
            <w:tcBorders>
              <w:top w:val="single" w:sz="4" w:space="0" w:color="BFBFBF"/>
              <w:left w:val="nil"/>
              <w:bottom w:val="single" w:sz="4" w:space="0" w:color="auto"/>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r>
    </w:tbl>
    <w:p w:rsidR="00D64950" w:rsidRDefault="00D64950">
      <w:r>
        <w:br w:type="page"/>
      </w:r>
    </w:p>
    <w:tbl>
      <w:tblPr>
        <w:tblW w:w="13623" w:type="dxa"/>
        <w:jc w:val="center"/>
        <w:tblLayout w:type="fixed"/>
        <w:tblLook w:val="04A0" w:firstRow="1" w:lastRow="0" w:firstColumn="1" w:lastColumn="0" w:noHBand="0" w:noVBand="1"/>
      </w:tblPr>
      <w:tblGrid>
        <w:gridCol w:w="1008"/>
        <w:gridCol w:w="3402"/>
        <w:gridCol w:w="1417"/>
        <w:gridCol w:w="992"/>
        <w:gridCol w:w="851"/>
        <w:gridCol w:w="850"/>
        <w:gridCol w:w="851"/>
        <w:gridCol w:w="850"/>
        <w:gridCol w:w="851"/>
        <w:gridCol w:w="850"/>
        <w:gridCol w:w="851"/>
        <w:gridCol w:w="850"/>
      </w:tblGrid>
      <w:tr w:rsidR="003F75E1" w:rsidRPr="00106054" w:rsidTr="00D64950">
        <w:trPr>
          <w:trHeight w:val="255"/>
          <w:jc w:val="center"/>
        </w:trPr>
        <w:tc>
          <w:tcPr>
            <w:tcW w:w="1008"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lastRenderedPageBreak/>
              <w:t>INL084</w:t>
            </w:r>
          </w:p>
        </w:tc>
        <w:tc>
          <w:tcPr>
            <w:tcW w:w="3402" w:type="dxa"/>
            <w:tcBorders>
              <w:top w:val="single" w:sz="4" w:space="0" w:color="auto"/>
              <w:left w:val="nil"/>
              <w:bottom w:val="nil"/>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Australia-Indonesia Security Cooperation (AISC)</w:t>
            </w:r>
          </w:p>
        </w:tc>
        <w:tc>
          <w:tcPr>
            <w:tcW w:w="1417" w:type="dxa"/>
            <w:tcBorders>
              <w:top w:val="single" w:sz="4" w:space="0" w:color="auto"/>
              <w:left w:val="single" w:sz="8" w:space="0" w:color="FFFFFF"/>
              <w:bottom w:val="nil"/>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$4,000,000.00</w:t>
            </w:r>
          </w:p>
        </w:tc>
        <w:tc>
          <w:tcPr>
            <w:tcW w:w="992" w:type="dxa"/>
            <w:tcBorders>
              <w:top w:val="single" w:sz="4" w:space="0" w:color="000000"/>
              <w:left w:val="nil"/>
              <w:bottom w:val="single" w:sz="4" w:space="0" w:color="BFBFBF"/>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2016 AQC</w:t>
            </w:r>
          </w:p>
        </w:tc>
        <w:tc>
          <w:tcPr>
            <w:tcW w:w="851" w:type="dxa"/>
            <w:tcBorders>
              <w:top w:val="single" w:sz="4" w:space="0" w:color="000000"/>
              <w:left w:val="single" w:sz="8" w:space="0" w:color="FFFFFF"/>
              <w:bottom w:val="single" w:sz="4" w:space="0" w:color="BFBFBF"/>
              <w:right w:val="single" w:sz="8" w:space="0" w:color="FFFFFF"/>
            </w:tcBorders>
            <w:shd w:val="clear" w:color="000000" w:fill="339966"/>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5</w:t>
            </w:r>
          </w:p>
        </w:tc>
        <w:tc>
          <w:tcPr>
            <w:tcW w:w="850" w:type="dxa"/>
            <w:tcBorders>
              <w:top w:val="single" w:sz="4" w:space="0" w:color="000000"/>
              <w:left w:val="nil"/>
              <w:bottom w:val="single" w:sz="4" w:space="0" w:color="BFBFBF"/>
              <w:right w:val="nil"/>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1" w:type="dxa"/>
            <w:tcBorders>
              <w:top w:val="single" w:sz="4" w:space="0" w:color="000000"/>
              <w:left w:val="single" w:sz="8" w:space="0" w:color="FFFFFF"/>
              <w:bottom w:val="single" w:sz="4" w:space="0" w:color="BFBFBF"/>
              <w:right w:val="single" w:sz="8" w:space="0" w:color="FFFFFF"/>
            </w:tcBorders>
            <w:shd w:val="clear" w:color="auto" w:fill="FF9933"/>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3</w:t>
            </w:r>
          </w:p>
        </w:tc>
        <w:tc>
          <w:tcPr>
            <w:tcW w:w="850" w:type="dxa"/>
            <w:tcBorders>
              <w:top w:val="single" w:sz="4" w:space="0" w:color="000000"/>
              <w:left w:val="nil"/>
              <w:bottom w:val="single" w:sz="4" w:space="0" w:color="BFBFBF"/>
              <w:right w:val="nil"/>
            </w:tcBorders>
            <w:shd w:val="clear" w:color="auto" w:fill="FF00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Pr>
                <w:rFonts w:ascii="Calibri" w:eastAsia="Times New Roman" w:hAnsi="Calibri" w:cs="Arial"/>
                <w:b/>
                <w:bCs/>
                <w:color w:val="1F497D"/>
                <w:sz w:val="16"/>
                <w:szCs w:val="16"/>
                <w:lang w:val="en-AU" w:eastAsia="en-AU"/>
              </w:rPr>
              <w:t>2</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nil"/>
            </w:tcBorders>
            <w:shd w:val="clear" w:color="000000" w:fill="FF99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3</w:t>
            </w:r>
          </w:p>
        </w:tc>
        <w:tc>
          <w:tcPr>
            <w:tcW w:w="851" w:type="dxa"/>
            <w:tcBorders>
              <w:top w:val="single" w:sz="4" w:space="0" w:color="000000"/>
              <w:left w:val="single" w:sz="8" w:space="0" w:color="FFFFFF"/>
              <w:bottom w:val="single" w:sz="4" w:space="0" w:color="BFBFBF"/>
              <w:right w:val="single" w:sz="8" w:space="0" w:color="FFFFFF"/>
            </w:tcBorders>
            <w:shd w:val="clear" w:color="000000" w:fill="FFFF00"/>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4</w:t>
            </w:r>
          </w:p>
        </w:tc>
        <w:tc>
          <w:tcPr>
            <w:tcW w:w="850" w:type="dxa"/>
            <w:tcBorders>
              <w:top w:val="single" w:sz="4" w:space="0" w:color="000000"/>
              <w:left w:val="nil"/>
              <w:bottom w:val="single" w:sz="4" w:space="0" w:color="BFBFBF"/>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r w:rsidR="003F75E1" w:rsidRPr="00106054" w:rsidTr="002D6EA7">
        <w:trPr>
          <w:trHeight w:val="255"/>
          <w:jc w:val="center"/>
        </w:trPr>
        <w:tc>
          <w:tcPr>
            <w:tcW w:w="1008" w:type="dxa"/>
            <w:tcBorders>
              <w:top w:val="nil"/>
              <w:left w:val="single" w:sz="8" w:space="0" w:color="FFFFFF"/>
              <w:bottom w:val="single" w:sz="12"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3402" w:type="dxa"/>
            <w:tcBorders>
              <w:top w:val="nil"/>
              <w:left w:val="nil"/>
              <w:bottom w:val="single" w:sz="12" w:space="0" w:color="auto"/>
              <w:right w:val="nil"/>
            </w:tcBorders>
            <w:shd w:val="clear" w:color="auto" w:fill="auto"/>
            <w:vAlign w:val="center"/>
            <w:hideMark/>
          </w:tcPr>
          <w:p w:rsidR="003F75E1" w:rsidRPr="003326C7" w:rsidRDefault="003F75E1" w:rsidP="002D6EA7">
            <w:pPr>
              <w:suppressAutoHyphens w:val="0"/>
              <w:spacing w:before="0" w:after="0" w:line="240" w:lineRule="auto"/>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 </w:t>
            </w:r>
          </w:p>
        </w:tc>
        <w:tc>
          <w:tcPr>
            <w:tcW w:w="1417" w:type="dxa"/>
            <w:tcBorders>
              <w:top w:val="nil"/>
              <w:left w:val="single" w:sz="8" w:space="0" w:color="FFFFFF"/>
              <w:bottom w:val="single" w:sz="12" w:space="0" w:color="auto"/>
              <w:right w:val="single" w:sz="8" w:space="0" w:color="FFFFFF"/>
            </w:tcBorders>
            <w:shd w:val="clear" w:color="auto" w:fill="auto"/>
            <w:vAlign w:val="center"/>
            <w:hideMark/>
          </w:tcPr>
          <w:p w:rsidR="003F75E1" w:rsidRPr="003326C7" w:rsidRDefault="003F75E1" w:rsidP="002D6EA7">
            <w:pPr>
              <w:suppressAutoHyphens w:val="0"/>
              <w:spacing w:before="0" w:after="0" w:line="240" w:lineRule="auto"/>
              <w:jc w:val="right"/>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2013 - 2016</w:t>
            </w:r>
          </w:p>
        </w:tc>
        <w:tc>
          <w:tcPr>
            <w:tcW w:w="992" w:type="dxa"/>
            <w:tcBorders>
              <w:top w:val="nil"/>
              <w:left w:val="nil"/>
              <w:bottom w:val="single" w:sz="12" w:space="0" w:color="auto"/>
              <w:right w:val="nil"/>
            </w:tcBorders>
            <w:shd w:val="clear" w:color="auto" w:fill="auto"/>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color w:val="1F497D"/>
                <w:sz w:val="16"/>
                <w:szCs w:val="16"/>
                <w:lang w:val="en-AU" w:eastAsia="en-AU"/>
              </w:rPr>
            </w:pPr>
            <w:r w:rsidRPr="003326C7">
              <w:rPr>
                <w:rFonts w:ascii="Calibri" w:eastAsia="Times New Roman" w:hAnsi="Calibri" w:cs="Arial"/>
                <w:color w:val="1F497D"/>
                <w:sz w:val="16"/>
                <w:szCs w:val="16"/>
                <w:lang w:val="en-AU" w:eastAsia="en-AU"/>
              </w:rPr>
              <w:t>2015 AQC</w:t>
            </w:r>
          </w:p>
        </w:tc>
        <w:tc>
          <w:tcPr>
            <w:tcW w:w="851" w:type="dxa"/>
            <w:tcBorders>
              <w:top w:val="nil"/>
              <w:left w:val="single" w:sz="8" w:space="0" w:color="FFFFFF"/>
              <w:bottom w:val="single" w:sz="12" w:space="0" w:color="auto"/>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12" w:space="0" w:color="auto"/>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12" w:space="0" w:color="auto"/>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12" w:space="0" w:color="auto"/>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12" w:space="0" w:color="auto"/>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12" w:space="0" w:color="auto"/>
              <w:right w:val="nil"/>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1" w:type="dxa"/>
            <w:tcBorders>
              <w:top w:val="nil"/>
              <w:left w:val="single" w:sz="8" w:space="0" w:color="FFFFFF"/>
              <w:bottom w:val="single" w:sz="12" w:space="0" w:color="auto"/>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c>
          <w:tcPr>
            <w:tcW w:w="850" w:type="dxa"/>
            <w:tcBorders>
              <w:top w:val="nil"/>
              <w:left w:val="nil"/>
              <w:bottom w:val="single" w:sz="12" w:space="0" w:color="auto"/>
              <w:right w:val="single" w:sz="8" w:space="0" w:color="FFFFFF"/>
            </w:tcBorders>
            <w:shd w:val="clear" w:color="auto" w:fill="auto"/>
            <w:noWrap/>
            <w:vAlign w:val="center"/>
            <w:hideMark/>
          </w:tcPr>
          <w:p w:rsidR="003F75E1" w:rsidRPr="003326C7" w:rsidRDefault="003F75E1" w:rsidP="002D6EA7">
            <w:pPr>
              <w:suppressAutoHyphens w:val="0"/>
              <w:spacing w:before="0" w:after="0" w:line="240" w:lineRule="auto"/>
              <w:jc w:val="center"/>
              <w:rPr>
                <w:rFonts w:ascii="Calibri" w:eastAsia="Times New Roman" w:hAnsi="Calibri" w:cs="Arial"/>
                <w:b/>
                <w:bCs/>
                <w:color w:val="1F497D"/>
                <w:sz w:val="16"/>
                <w:szCs w:val="16"/>
                <w:lang w:val="en-AU" w:eastAsia="en-AU"/>
              </w:rPr>
            </w:pPr>
            <w:r w:rsidRPr="003326C7">
              <w:rPr>
                <w:rFonts w:ascii="Calibri" w:eastAsia="Times New Roman" w:hAnsi="Calibri" w:cs="Arial"/>
                <w:b/>
                <w:bCs/>
                <w:color w:val="1F497D"/>
                <w:sz w:val="16"/>
                <w:szCs w:val="16"/>
                <w:lang w:val="en-AU" w:eastAsia="en-AU"/>
              </w:rPr>
              <w:t>n/a</w:t>
            </w:r>
          </w:p>
        </w:tc>
      </w:tr>
    </w:tbl>
    <w:p w:rsidR="003F75E1" w:rsidRDefault="003F75E1" w:rsidP="003F75E1">
      <w:pPr>
        <w:spacing w:before="20" w:after="20" w:line="180" w:lineRule="atLeast"/>
        <w:jc w:val="both"/>
        <w:rPr>
          <w:rFonts w:eastAsia="Times New Roman"/>
          <w:b/>
          <w:sz w:val="16"/>
          <w:szCs w:val="14"/>
        </w:rPr>
      </w:pP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Satisfactory (4, 5 and 6)</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rsidR="003F75E1" w:rsidRDefault="003F75E1" w:rsidP="003F75E1">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rsidR="003F75E1" w:rsidRPr="00C61187" w:rsidRDefault="003F75E1" w:rsidP="003F75E1">
      <w:pPr>
        <w:rPr>
          <w:iCs/>
        </w:rPr>
      </w:pPr>
    </w:p>
    <w:p w:rsidR="003F75E1" w:rsidRDefault="003F75E1" w:rsidP="003F75E1">
      <w:pPr>
        <w:keepNext/>
        <w:numPr>
          <w:ilvl w:val="2"/>
          <w:numId w:val="0"/>
        </w:numPr>
        <w:spacing w:before="240" w:after="120"/>
        <w:outlineLvl w:val="2"/>
        <w:rPr>
          <w:rFonts w:ascii="Helvetica" w:eastAsia="Times New Roman" w:hAnsi="Helvetica" w:cs="Arial"/>
          <w:b/>
          <w:color w:val="124486"/>
          <w:kern w:val="28"/>
          <w:lang w:eastAsia="zh-CN"/>
        </w:rPr>
      </w:pPr>
    </w:p>
    <w:p w:rsidR="003F75E1" w:rsidRDefault="003F75E1" w:rsidP="003F75E1">
      <w:pPr>
        <w:keepNext/>
        <w:numPr>
          <w:ilvl w:val="2"/>
          <w:numId w:val="0"/>
        </w:numPr>
        <w:spacing w:before="240" w:after="120"/>
        <w:outlineLvl w:val="2"/>
        <w:rPr>
          <w:rFonts w:ascii="Helvetica" w:eastAsia="Times New Roman" w:hAnsi="Helvetica" w:cs="Arial"/>
          <w:b/>
          <w:color w:val="124486"/>
          <w:kern w:val="28"/>
          <w:lang w:eastAsia="zh-CN"/>
        </w:rPr>
      </w:pPr>
    </w:p>
    <w:p w:rsidR="003F75E1" w:rsidRDefault="003F75E1" w:rsidP="003F75E1">
      <w:pPr>
        <w:keepNext/>
        <w:numPr>
          <w:ilvl w:val="2"/>
          <w:numId w:val="0"/>
        </w:numPr>
        <w:spacing w:before="240" w:after="120"/>
        <w:outlineLvl w:val="2"/>
        <w:rPr>
          <w:rFonts w:ascii="Helvetica" w:eastAsia="Times New Roman" w:hAnsi="Helvetica" w:cs="Arial"/>
          <w:b/>
          <w:color w:val="124486"/>
          <w:kern w:val="28"/>
          <w:lang w:eastAsia="zh-CN"/>
        </w:rPr>
      </w:pPr>
    </w:p>
    <w:p w:rsidR="003F75E1" w:rsidRDefault="003F75E1" w:rsidP="003F75E1"/>
    <w:p w:rsidR="003F75E1" w:rsidRPr="008C71BC" w:rsidRDefault="003F75E1" w:rsidP="003F75E1">
      <w:pPr>
        <w:suppressAutoHyphens w:val="0"/>
        <w:spacing w:before="0" w:after="120" w:line="440" w:lineRule="atLeast"/>
      </w:pPr>
      <w:r>
        <w:br w:type="page"/>
      </w:r>
      <w:r w:rsidRPr="00106054">
        <w:rPr>
          <w:rFonts w:ascii="Calibri" w:eastAsia="Times New Roman" w:hAnsi="Calibri"/>
          <w:caps/>
          <w:sz w:val="38"/>
          <w:szCs w:val="26"/>
        </w:rPr>
        <w:lastRenderedPageBreak/>
        <w:t>FAQC ratings</w:t>
      </w:r>
      <w:r w:rsidRPr="00C61187">
        <w:rPr>
          <w:rFonts w:ascii="Helvetica" w:eastAsia="Times New Roman" w:hAnsi="Helvetica" w:cs="Arial"/>
          <w:b/>
          <w:color w:val="124486"/>
          <w:kern w:val="28"/>
          <w:lang w:eastAsia="zh-CN"/>
        </w:rPr>
        <w:t xml:space="preserve"> </w:t>
      </w:r>
    </w:p>
    <w:p w:rsidR="003F75E1" w:rsidRDefault="003F75E1" w:rsidP="003F75E1">
      <w:r w:rsidRPr="00C61187">
        <w:t>Final AQCs assess performance over the lifetime of the investment (ratings are not compared to previous years)</w:t>
      </w:r>
      <w:r>
        <w:t xml:space="preserve">. </w:t>
      </w:r>
    </w:p>
    <w:tbl>
      <w:tblPr>
        <w:tblW w:w="13626" w:type="dxa"/>
        <w:jc w:val="center"/>
        <w:tblLook w:val="04A0" w:firstRow="1" w:lastRow="0" w:firstColumn="1" w:lastColumn="0" w:noHBand="0" w:noVBand="1"/>
      </w:tblPr>
      <w:tblGrid>
        <w:gridCol w:w="1021"/>
        <w:gridCol w:w="3110"/>
        <w:gridCol w:w="1557"/>
        <w:gridCol w:w="992"/>
        <w:gridCol w:w="992"/>
        <w:gridCol w:w="992"/>
        <w:gridCol w:w="993"/>
        <w:gridCol w:w="992"/>
        <w:gridCol w:w="992"/>
        <w:gridCol w:w="992"/>
        <w:gridCol w:w="993"/>
      </w:tblGrid>
      <w:tr w:rsidR="003F75E1" w:rsidRPr="00106054" w:rsidTr="002D6EA7">
        <w:trPr>
          <w:trHeight w:val="1350"/>
          <w:jc w:val="center"/>
        </w:trPr>
        <w:tc>
          <w:tcPr>
            <w:tcW w:w="1021" w:type="dxa"/>
            <w:tcBorders>
              <w:top w:val="single" w:sz="12" w:space="0" w:color="auto"/>
              <w:left w:val="single" w:sz="8" w:space="0" w:color="FFFFFF"/>
              <w:bottom w:val="single" w:sz="12" w:space="0" w:color="auto"/>
              <w:right w:val="single" w:sz="8" w:space="0" w:color="FFFFFF"/>
            </w:tcBorders>
            <w:shd w:val="clear" w:color="000000" w:fill="FFFFFF"/>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Investment</w:t>
            </w:r>
          </w:p>
        </w:tc>
        <w:tc>
          <w:tcPr>
            <w:tcW w:w="3110" w:type="dxa"/>
            <w:tcBorders>
              <w:top w:val="single" w:sz="12" w:space="0" w:color="auto"/>
              <w:left w:val="nil"/>
              <w:bottom w:val="single" w:sz="12" w:space="0" w:color="auto"/>
              <w:right w:val="single" w:sz="8" w:space="0" w:color="FFFFFF"/>
            </w:tcBorders>
            <w:shd w:val="clear" w:color="000000" w:fill="FFFFFF"/>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Investment Name</w:t>
            </w:r>
          </w:p>
        </w:tc>
        <w:tc>
          <w:tcPr>
            <w:tcW w:w="1557"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 xml:space="preserve">Approved budget and duration </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Overall rating</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Relevance</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Effectiveness</w:t>
            </w:r>
          </w:p>
        </w:tc>
        <w:tc>
          <w:tcPr>
            <w:tcW w:w="993"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Efficiency</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 xml:space="preserve">Monitoring and </w:t>
            </w:r>
            <w:r w:rsidRPr="00911C25">
              <w:rPr>
                <w:rFonts w:ascii="Calibri" w:eastAsia="Times New Roman" w:hAnsi="Calibri" w:cs="Arial"/>
                <w:b/>
                <w:bCs/>
                <w:color w:val="25396E"/>
                <w:sz w:val="16"/>
                <w:szCs w:val="16"/>
                <w:lang w:val="en-AU" w:eastAsia="en-AU"/>
              </w:rPr>
              <w:br/>
              <w:t>evaluation</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Sustainability</w:t>
            </w:r>
          </w:p>
        </w:tc>
        <w:tc>
          <w:tcPr>
            <w:tcW w:w="992"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Gender equality</w:t>
            </w:r>
          </w:p>
        </w:tc>
        <w:tc>
          <w:tcPr>
            <w:tcW w:w="993" w:type="dxa"/>
            <w:tcBorders>
              <w:top w:val="single" w:sz="12" w:space="0" w:color="auto"/>
              <w:left w:val="nil"/>
              <w:bottom w:val="single" w:sz="12" w:space="0" w:color="auto"/>
              <w:right w:val="single" w:sz="8" w:space="0" w:color="FFFFFF"/>
            </w:tcBorders>
            <w:shd w:val="clear" w:color="000000" w:fill="FFFFFF"/>
            <w:textDirection w:val="btLr"/>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25396E"/>
                <w:sz w:val="16"/>
                <w:szCs w:val="16"/>
                <w:lang w:val="en-AU" w:eastAsia="en-AU"/>
              </w:rPr>
            </w:pPr>
            <w:r w:rsidRPr="00911C25">
              <w:rPr>
                <w:rFonts w:ascii="Calibri" w:eastAsia="Times New Roman" w:hAnsi="Calibri" w:cs="Arial"/>
                <w:b/>
                <w:bCs/>
                <w:color w:val="25396E"/>
                <w:sz w:val="16"/>
                <w:szCs w:val="16"/>
                <w:lang w:val="en-AU" w:eastAsia="en-AU"/>
              </w:rPr>
              <w:t>Risk management</w:t>
            </w:r>
          </w:p>
        </w:tc>
      </w:tr>
      <w:tr w:rsidR="003F75E1" w:rsidRPr="00106054" w:rsidTr="002D6EA7">
        <w:trPr>
          <w:trHeight w:val="285"/>
          <w:jc w:val="center"/>
        </w:trPr>
        <w:tc>
          <w:tcPr>
            <w:tcW w:w="1021" w:type="dxa"/>
            <w:tcBorders>
              <w:top w:val="nil"/>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INH545</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Enhanced Australian Response</w:t>
            </w:r>
          </w:p>
        </w:tc>
        <w:tc>
          <w:tcPr>
            <w:tcW w:w="1557" w:type="dxa"/>
            <w:tcBorders>
              <w:top w:val="nil"/>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$4,345,156.29</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3" w:type="dxa"/>
            <w:vMerge w:val="restart"/>
            <w:tcBorders>
              <w:top w:val="nil"/>
              <w:left w:val="single" w:sz="8" w:space="0" w:color="FFFFFF"/>
              <w:bottom w:val="single" w:sz="8" w:space="0" w:color="FFFFFF"/>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2007 - 2015</w:t>
            </w: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single" w:sz="4" w:space="0" w:color="auto"/>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INJ859</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Building Relation through Intercultural Dialog 2/3</w:t>
            </w:r>
          </w:p>
        </w:tc>
        <w:tc>
          <w:tcPr>
            <w:tcW w:w="1557" w:type="dxa"/>
            <w:tcBorders>
              <w:top w:val="single" w:sz="4" w:space="0" w:color="auto"/>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$6,095,127.00</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single" w:sz="4" w:space="0" w:color="auto"/>
              <w:left w:val="single" w:sz="8" w:space="0" w:color="FFFFFF"/>
              <w:bottom w:val="single" w:sz="4" w:space="0" w:color="000000"/>
              <w:right w:val="single" w:sz="8" w:space="0" w:color="FFFFFF"/>
            </w:tcBorders>
            <w:shd w:val="clear" w:color="auto" w:fill="FF9933"/>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3</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r>
      <w:tr w:rsidR="003F75E1" w:rsidRPr="00106054" w:rsidTr="002D6EA7">
        <w:trPr>
          <w:trHeight w:val="255"/>
          <w:jc w:val="center"/>
        </w:trPr>
        <w:tc>
          <w:tcPr>
            <w:tcW w:w="1021" w:type="dxa"/>
            <w:tcBorders>
              <w:top w:val="nil"/>
              <w:left w:val="single" w:sz="8" w:space="0" w:color="FFFFFF"/>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2011 - 2018</w:t>
            </w: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shd w:val="clear" w:color="auto" w:fill="FF9933"/>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nil"/>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INI506</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xml:space="preserve">National Program for Community Empowerment </w:t>
            </w:r>
          </w:p>
        </w:tc>
        <w:tc>
          <w:tcPr>
            <w:tcW w:w="1557" w:type="dxa"/>
            <w:tcBorders>
              <w:top w:val="nil"/>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$232,959,653.29</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6</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3"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3"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2009 - 2018</w:t>
            </w: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single" w:sz="4" w:space="0" w:color="auto"/>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INJ244</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Poverty Reduction and Social Protection Support</w:t>
            </w:r>
          </w:p>
        </w:tc>
        <w:tc>
          <w:tcPr>
            <w:tcW w:w="1557" w:type="dxa"/>
            <w:tcBorders>
              <w:top w:val="single" w:sz="4" w:space="0" w:color="auto"/>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$142,213,591.75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6</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5</w:t>
            </w:r>
          </w:p>
        </w:tc>
        <w:tc>
          <w:tcPr>
            <w:tcW w:w="993"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2010-2015</w:t>
            </w: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nil"/>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ING821</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AIP MNH Program</w:t>
            </w:r>
          </w:p>
        </w:tc>
        <w:tc>
          <w:tcPr>
            <w:tcW w:w="1557" w:type="dxa"/>
            <w:tcBorders>
              <w:top w:val="nil"/>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$87,440,182.75</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6</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3"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8" w:space="0" w:color="FFFFFF"/>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nil"/>
              <w:left w:val="single" w:sz="8" w:space="0" w:color="FFFFFF"/>
              <w:bottom w:val="single" w:sz="8" w:space="0" w:color="FFFFFF"/>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nil"/>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2006 - 2015</w:t>
            </w: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8" w:space="0" w:color="FFFFFF"/>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single" w:sz="4" w:space="0" w:color="auto"/>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INJ509</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AIP for Emerging Infectious Diseases Program</w:t>
            </w:r>
          </w:p>
        </w:tc>
        <w:tc>
          <w:tcPr>
            <w:tcW w:w="1557" w:type="dxa"/>
            <w:tcBorders>
              <w:top w:val="single" w:sz="4" w:space="0" w:color="auto"/>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$21,987,486.63</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6</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3" w:type="dxa"/>
            <w:vMerge w:val="restart"/>
            <w:tcBorders>
              <w:top w:val="single" w:sz="4" w:space="0" w:color="auto"/>
              <w:left w:val="single" w:sz="8" w:space="0" w:color="FFFFFF"/>
              <w:bottom w:val="single" w:sz="4" w:space="0" w:color="000000"/>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5</w:t>
            </w:r>
          </w:p>
        </w:tc>
        <w:tc>
          <w:tcPr>
            <w:tcW w:w="992" w:type="dxa"/>
            <w:vMerge w:val="restart"/>
            <w:tcBorders>
              <w:top w:val="single" w:sz="4" w:space="0" w:color="auto"/>
              <w:left w:val="single" w:sz="8" w:space="0" w:color="FFFFFF"/>
              <w:bottom w:val="single" w:sz="4" w:space="0" w:color="000000"/>
              <w:right w:val="single" w:sz="8" w:space="0" w:color="FFFFFF"/>
            </w:tcBorders>
            <w:shd w:val="clear" w:color="auto"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Pr>
                <w:rFonts w:ascii="Calibri" w:eastAsia="Times New Roman" w:hAnsi="Calibri" w:cs="Arial"/>
                <w:b/>
                <w:bCs/>
                <w:color w:val="auto"/>
                <w:sz w:val="16"/>
                <w:szCs w:val="16"/>
                <w:lang w:val="en-AU" w:eastAsia="en-AU"/>
              </w:rPr>
              <w:t>4</w:t>
            </w:r>
          </w:p>
        </w:tc>
        <w:tc>
          <w:tcPr>
            <w:tcW w:w="992" w:type="dxa"/>
            <w:vMerge w:val="restart"/>
            <w:tcBorders>
              <w:top w:val="single" w:sz="4" w:space="0" w:color="auto"/>
              <w:left w:val="single" w:sz="8" w:space="0" w:color="FFFFFF"/>
              <w:bottom w:val="single" w:sz="4" w:space="0" w:color="000000"/>
              <w:right w:val="single" w:sz="8" w:space="0" w:color="FFFFFF"/>
            </w:tcBorders>
            <w:shd w:val="clear" w:color="000000" w:fill="FF99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3</w:t>
            </w:r>
          </w:p>
        </w:tc>
        <w:tc>
          <w:tcPr>
            <w:tcW w:w="993" w:type="dxa"/>
            <w:vMerge w:val="restart"/>
            <w:tcBorders>
              <w:top w:val="single" w:sz="4" w:space="0" w:color="auto"/>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2010 - 2015</w:t>
            </w: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shd w:val="clear" w:color="auto" w:fill="FFFF00"/>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single" w:sz="4" w:space="0" w:color="auto"/>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nil"/>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INK378</w:t>
            </w:r>
          </w:p>
        </w:tc>
        <w:tc>
          <w:tcPr>
            <w:tcW w:w="3110" w:type="dxa"/>
            <w:vMerge w:val="restart"/>
            <w:tcBorders>
              <w:top w:val="nil"/>
              <w:left w:val="single" w:sz="8" w:space="0" w:color="FFFFFF"/>
              <w:bottom w:val="single" w:sz="4"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AIP for Health Systems Strengthening (AIPHSS)</w:t>
            </w:r>
          </w:p>
        </w:tc>
        <w:tc>
          <w:tcPr>
            <w:tcW w:w="1557" w:type="dxa"/>
            <w:tcBorders>
              <w:top w:val="nil"/>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$30,776,042.19</w:t>
            </w:r>
          </w:p>
        </w:tc>
        <w:tc>
          <w:tcPr>
            <w:tcW w:w="992" w:type="dxa"/>
            <w:vMerge w:val="restart"/>
            <w:tcBorders>
              <w:top w:val="nil"/>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nil"/>
              <w:left w:val="single" w:sz="8" w:space="0" w:color="FFFFFF"/>
              <w:bottom w:val="single" w:sz="4"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4" w:space="0" w:color="000000"/>
              <w:right w:val="single" w:sz="8" w:space="0" w:color="FFFFFF"/>
            </w:tcBorders>
            <w:shd w:val="clear" w:color="000000" w:fill="FF99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3</w:t>
            </w:r>
          </w:p>
        </w:tc>
        <w:tc>
          <w:tcPr>
            <w:tcW w:w="992" w:type="dxa"/>
            <w:vMerge w:val="restart"/>
            <w:tcBorders>
              <w:top w:val="nil"/>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4" w:space="0" w:color="000000"/>
              <w:right w:val="single" w:sz="8" w:space="0" w:color="FFFFFF"/>
            </w:tcBorders>
            <w:shd w:val="clear" w:color="000000" w:fill="FF99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3</w:t>
            </w:r>
          </w:p>
        </w:tc>
        <w:tc>
          <w:tcPr>
            <w:tcW w:w="993" w:type="dxa"/>
            <w:vMerge w:val="restart"/>
            <w:tcBorders>
              <w:top w:val="nil"/>
              <w:left w:val="single" w:sz="8" w:space="0" w:color="FFFFFF"/>
              <w:bottom w:val="single" w:sz="4"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55"/>
          <w:jc w:val="center"/>
        </w:trPr>
        <w:tc>
          <w:tcPr>
            <w:tcW w:w="1021" w:type="dxa"/>
            <w:tcBorders>
              <w:top w:val="nil"/>
              <w:left w:val="single" w:sz="8" w:space="0" w:color="FFFFFF"/>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single" w:sz="4"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2012 - 2016</w:t>
            </w: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4"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r w:rsidR="003F75E1" w:rsidRPr="00106054" w:rsidTr="002D6EA7">
        <w:trPr>
          <w:trHeight w:val="270"/>
          <w:jc w:val="center"/>
        </w:trPr>
        <w:tc>
          <w:tcPr>
            <w:tcW w:w="1021" w:type="dxa"/>
            <w:tcBorders>
              <w:top w:val="nil"/>
              <w:left w:val="single" w:sz="8" w:space="0" w:color="FFFFFF"/>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INI035</w:t>
            </w:r>
          </w:p>
        </w:tc>
        <w:tc>
          <w:tcPr>
            <w:tcW w:w="3110" w:type="dxa"/>
            <w:vMerge w:val="restart"/>
            <w:tcBorders>
              <w:top w:val="nil"/>
              <w:left w:val="single" w:sz="8" w:space="0" w:color="FFFFFF"/>
              <w:bottom w:val="single" w:sz="12" w:space="0" w:color="000000"/>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The Indonesia Project (ANU)</w:t>
            </w:r>
          </w:p>
        </w:tc>
        <w:tc>
          <w:tcPr>
            <w:tcW w:w="1557" w:type="dxa"/>
            <w:tcBorders>
              <w:top w:val="nil"/>
              <w:left w:val="nil"/>
              <w:bottom w:val="single" w:sz="8" w:space="0" w:color="FFFFFF"/>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$7,555,517.00</w:t>
            </w:r>
          </w:p>
        </w:tc>
        <w:tc>
          <w:tcPr>
            <w:tcW w:w="992" w:type="dxa"/>
            <w:vMerge w:val="restart"/>
            <w:tcBorders>
              <w:top w:val="nil"/>
              <w:left w:val="single" w:sz="8" w:space="0" w:color="FFFFFF"/>
              <w:bottom w:val="single" w:sz="12"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12"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12"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3" w:type="dxa"/>
            <w:vMerge w:val="restart"/>
            <w:tcBorders>
              <w:top w:val="nil"/>
              <w:left w:val="single" w:sz="8" w:space="0" w:color="FFFFFF"/>
              <w:bottom w:val="single" w:sz="12"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c>
          <w:tcPr>
            <w:tcW w:w="992" w:type="dxa"/>
            <w:vMerge w:val="restart"/>
            <w:tcBorders>
              <w:top w:val="nil"/>
              <w:left w:val="single" w:sz="8" w:space="0" w:color="FFFFFF"/>
              <w:bottom w:val="single" w:sz="12"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12" w:space="0" w:color="000000"/>
              <w:right w:val="single" w:sz="8" w:space="0" w:color="FFFFFF"/>
            </w:tcBorders>
            <w:shd w:val="clear" w:color="000000" w:fill="FFFF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4</w:t>
            </w:r>
          </w:p>
        </w:tc>
        <w:tc>
          <w:tcPr>
            <w:tcW w:w="992" w:type="dxa"/>
            <w:vMerge w:val="restart"/>
            <w:tcBorders>
              <w:top w:val="nil"/>
              <w:left w:val="single" w:sz="8" w:space="0" w:color="FFFFFF"/>
              <w:bottom w:val="single" w:sz="12" w:space="0" w:color="000000"/>
              <w:right w:val="single" w:sz="8" w:space="0" w:color="FFFFFF"/>
            </w:tcBorders>
            <w:shd w:val="clear" w:color="000000" w:fill="FF9900"/>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3</w:t>
            </w:r>
          </w:p>
        </w:tc>
        <w:tc>
          <w:tcPr>
            <w:tcW w:w="993" w:type="dxa"/>
            <w:vMerge w:val="restart"/>
            <w:tcBorders>
              <w:top w:val="nil"/>
              <w:left w:val="single" w:sz="8" w:space="0" w:color="FFFFFF"/>
              <w:bottom w:val="single" w:sz="12" w:space="0" w:color="000000"/>
              <w:right w:val="single" w:sz="8" w:space="0" w:color="FFFFFF"/>
            </w:tcBorders>
            <w:shd w:val="clear" w:color="000000" w:fill="339966"/>
            <w:noWrap/>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b/>
                <w:bCs/>
                <w:color w:val="auto"/>
                <w:sz w:val="16"/>
                <w:szCs w:val="16"/>
                <w:lang w:val="en-AU" w:eastAsia="en-AU"/>
              </w:rPr>
            </w:pPr>
            <w:r w:rsidRPr="00911C25">
              <w:rPr>
                <w:rFonts w:ascii="Calibri" w:eastAsia="Times New Roman" w:hAnsi="Calibri" w:cs="Arial"/>
                <w:b/>
                <w:bCs/>
                <w:color w:val="auto"/>
                <w:sz w:val="16"/>
                <w:szCs w:val="16"/>
                <w:lang w:val="en-AU" w:eastAsia="en-AU"/>
              </w:rPr>
              <w:t>5</w:t>
            </w:r>
          </w:p>
        </w:tc>
      </w:tr>
      <w:tr w:rsidR="003F75E1" w:rsidRPr="00106054" w:rsidTr="002D6EA7">
        <w:trPr>
          <w:trHeight w:val="270"/>
          <w:jc w:val="center"/>
        </w:trPr>
        <w:tc>
          <w:tcPr>
            <w:tcW w:w="1021" w:type="dxa"/>
            <w:tcBorders>
              <w:top w:val="nil"/>
              <w:left w:val="single" w:sz="8" w:space="0" w:color="FFFFFF"/>
              <w:bottom w:val="single" w:sz="12"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center"/>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 </w:t>
            </w:r>
          </w:p>
        </w:tc>
        <w:tc>
          <w:tcPr>
            <w:tcW w:w="3110"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color w:val="25396E"/>
                <w:sz w:val="16"/>
                <w:szCs w:val="16"/>
                <w:lang w:val="en-AU" w:eastAsia="en-AU"/>
              </w:rPr>
            </w:pPr>
          </w:p>
        </w:tc>
        <w:tc>
          <w:tcPr>
            <w:tcW w:w="1557" w:type="dxa"/>
            <w:tcBorders>
              <w:top w:val="nil"/>
              <w:left w:val="nil"/>
              <w:bottom w:val="single" w:sz="12" w:space="0" w:color="auto"/>
              <w:right w:val="single" w:sz="8" w:space="0" w:color="FFFFFF"/>
            </w:tcBorders>
            <w:shd w:val="clear" w:color="auto" w:fill="auto"/>
            <w:vAlign w:val="center"/>
            <w:hideMark/>
          </w:tcPr>
          <w:p w:rsidR="003F75E1" w:rsidRPr="00911C25" w:rsidRDefault="003F75E1" w:rsidP="002D6EA7">
            <w:pPr>
              <w:suppressAutoHyphens w:val="0"/>
              <w:spacing w:before="0" w:after="0" w:line="240" w:lineRule="auto"/>
              <w:jc w:val="right"/>
              <w:rPr>
                <w:rFonts w:ascii="Calibri" w:eastAsia="Times New Roman" w:hAnsi="Calibri" w:cs="Arial"/>
                <w:color w:val="25396E"/>
                <w:sz w:val="16"/>
                <w:szCs w:val="16"/>
                <w:lang w:val="en-AU" w:eastAsia="en-AU"/>
              </w:rPr>
            </w:pPr>
            <w:r w:rsidRPr="00911C25">
              <w:rPr>
                <w:rFonts w:ascii="Calibri" w:eastAsia="Times New Roman" w:hAnsi="Calibri" w:cs="Arial"/>
                <w:color w:val="25396E"/>
                <w:sz w:val="16"/>
                <w:szCs w:val="16"/>
                <w:lang w:val="en-AU" w:eastAsia="en-AU"/>
              </w:rPr>
              <w:t>2008 - 2016</w:t>
            </w: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2"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c>
          <w:tcPr>
            <w:tcW w:w="993" w:type="dxa"/>
            <w:vMerge/>
            <w:tcBorders>
              <w:top w:val="nil"/>
              <w:left w:val="single" w:sz="8" w:space="0" w:color="FFFFFF"/>
              <w:bottom w:val="single" w:sz="12" w:space="0" w:color="000000"/>
              <w:right w:val="single" w:sz="8" w:space="0" w:color="FFFFFF"/>
            </w:tcBorders>
            <w:vAlign w:val="center"/>
            <w:hideMark/>
          </w:tcPr>
          <w:p w:rsidR="003F75E1" w:rsidRPr="00911C25" w:rsidRDefault="003F75E1" w:rsidP="002D6EA7">
            <w:pPr>
              <w:suppressAutoHyphens w:val="0"/>
              <w:spacing w:before="0" w:after="0" w:line="240" w:lineRule="auto"/>
              <w:rPr>
                <w:rFonts w:ascii="Calibri" w:eastAsia="Times New Roman" w:hAnsi="Calibri" w:cs="Arial"/>
                <w:b/>
                <w:bCs/>
                <w:color w:val="auto"/>
                <w:sz w:val="16"/>
                <w:szCs w:val="16"/>
                <w:lang w:val="en-AU" w:eastAsia="en-AU"/>
              </w:rPr>
            </w:pPr>
          </w:p>
        </w:tc>
      </w:tr>
    </w:tbl>
    <w:p w:rsidR="003F75E1" w:rsidRPr="00C61187" w:rsidRDefault="003F75E1" w:rsidP="003F75E1">
      <w:pPr>
        <w:rPr>
          <w:rFonts w:ascii="Franklin Gothic Book" w:eastAsia="Times New Roman" w:hAnsi="Franklin Gothic Book"/>
          <w:b/>
          <w:sz w:val="14"/>
          <w:szCs w:val="14"/>
        </w:rPr>
      </w:pP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Definitions of rating scale:</w:t>
      </w:r>
      <w:r w:rsidRPr="00A427C6">
        <w:rPr>
          <w:rFonts w:eastAsia="Times New Roman"/>
          <w:b/>
          <w:sz w:val="16"/>
          <w:szCs w:val="14"/>
        </w:rPr>
        <w:tab/>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Satisfactory (4, 5 and 6)</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xml:space="preserve"> 6 = Very good; satisfies criteria in all areas.  </w:t>
      </w:r>
      <w:r w:rsidRPr="00A427C6">
        <w:rPr>
          <w:rFonts w:eastAsia="Times New Roman"/>
          <w:b/>
          <w:color w:val="72AF2F"/>
          <w:sz w:val="16"/>
          <w:szCs w:val="14"/>
        </w:rPr>
        <w:sym w:font="Webdings" w:char="F067"/>
      </w:r>
      <w:r w:rsidRPr="00A427C6">
        <w:rPr>
          <w:rFonts w:eastAsia="Times New Roman"/>
          <w:b/>
          <w:sz w:val="16"/>
          <w:szCs w:val="14"/>
        </w:rPr>
        <w:t xml:space="preserve"> 5 = Good; satisfies criteria in almost all areas.</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FFFF00"/>
          <w:sz w:val="16"/>
          <w:szCs w:val="14"/>
        </w:rPr>
        <w:sym w:font="Webdings" w:char="F067"/>
      </w:r>
      <w:r w:rsidRPr="00A427C6">
        <w:rPr>
          <w:rFonts w:eastAsia="Times New Roman"/>
          <w:b/>
          <w:sz w:val="16"/>
          <w:szCs w:val="14"/>
        </w:rPr>
        <w:t xml:space="preserve"> 4 = Adequate; on balance, satisfies criteria; does not fail in any major area.</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sz w:val="16"/>
          <w:szCs w:val="14"/>
        </w:rPr>
        <w:t>Less than satisfactory (1, 2 and 3)</w:t>
      </w:r>
    </w:p>
    <w:p w:rsidR="003F75E1" w:rsidRPr="00A427C6" w:rsidRDefault="003F75E1" w:rsidP="003F75E1">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color w:val="E36C0A"/>
          <w:sz w:val="16"/>
          <w:szCs w:val="14"/>
        </w:rPr>
        <w:t xml:space="preserve"> </w:t>
      </w:r>
      <w:r w:rsidRPr="00A427C6">
        <w:rPr>
          <w:rFonts w:eastAsia="Times New Roman"/>
          <w:b/>
          <w:sz w:val="16"/>
          <w:szCs w:val="14"/>
        </w:rPr>
        <w:t>3 = Less than adequate; on balance does not satisfy criteria and/or fails in at least one major area.</w:t>
      </w:r>
    </w:p>
    <w:p w:rsidR="003F75E1" w:rsidRDefault="003F75E1" w:rsidP="003F75E1">
      <w:r w:rsidRPr="00A427C6">
        <w:rPr>
          <w:rFonts w:eastAsia="Times New Roman"/>
          <w:b/>
          <w:color w:val="FF0000"/>
          <w:sz w:val="16"/>
          <w:szCs w:val="14"/>
        </w:rPr>
        <w:sym w:font="Webdings" w:char="F067"/>
      </w:r>
      <w:r w:rsidRPr="00A427C6">
        <w:rPr>
          <w:rFonts w:eastAsia="Times New Roman"/>
          <w:b/>
          <w:sz w:val="16"/>
          <w:szCs w:val="14"/>
        </w:rPr>
        <w:t xml:space="preserve"> 2 = Poor; does not satisfy criteria in major areas.  </w:t>
      </w:r>
      <w:r w:rsidRPr="00A427C6">
        <w:rPr>
          <w:rFonts w:eastAsia="Times New Roman"/>
          <w:b/>
          <w:color w:val="FF0000"/>
          <w:sz w:val="16"/>
          <w:szCs w:val="14"/>
        </w:rPr>
        <w:sym w:font="Webdings" w:char="F067"/>
      </w:r>
      <w:r w:rsidRPr="00A427C6">
        <w:rPr>
          <w:rFonts w:eastAsia="Times New Roman"/>
          <w:b/>
          <w:sz w:val="16"/>
          <w:szCs w:val="14"/>
        </w:rPr>
        <w:t xml:space="preserve"> 1 = Very poor; does not satisfy criteria in many major area.</w:t>
      </w:r>
    </w:p>
    <w:p w:rsidR="00400B0F" w:rsidRPr="00106054" w:rsidRDefault="00400B0F" w:rsidP="00400B0F">
      <w:pPr>
        <w:spacing w:before="20" w:after="20" w:line="180" w:lineRule="atLeast"/>
        <w:rPr>
          <w:rFonts w:eastAsia="Times New Roman"/>
          <w:bCs/>
          <w:iCs/>
          <w:caps/>
          <w:spacing w:val="-10"/>
          <w:kern w:val="28"/>
        </w:rPr>
      </w:pPr>
      <w:r w:rsidRPr="00106054">
        <w:rPr>
          <w:rFonts w:eastAsia="Times New Roman"/>
          <w:bCs/>
          <w:iCs/>
          <w:caps/>
          <w:spacing w:val="-10"/>
          <w:kern w:val="28"/>
          <w:sz w:val="38"/>
          <w:szCs w:val="24"/>
        </w:rPr>
        <w:lastRenderedPageBreak/>
        <w:t>Annex E – Performance Assessment Framework</w:t>
      </w:r>
    </w:p>
    <w:tbl>
      <w:tblPr>
        <w:tblW w:w="5004" w:type="pct"/>
        <w:tblBorders>
          <w:top w:val="single" w:sz="4" w:space="0" w:color="808080"/>
          <w:bottom w:val="single" w:sz="4" w:space="0" w:color="808080"/>
          <w:insideH w:val="single" w:sz="4" w:space="0" w:color="808080"/>
        </w:tblBorders>
        <w:tblLook w:val="04A0" w:firstRow="1" w:lastRow="0" w:firstColumn="1" w:lastColumn="0" w:noHBand="0" w:noVBand="1"/>
      </w:tblPr>
      <w:tblGrid>
        <w:gridCol w:w="6881"/>
        <w:gridCol w:w="7593"/>
      </w:tblGrid>
      <w:tr w:rsidR="006B62B0" w:rsidRPr="00106054" w:rsidTr="00106054">
        <w:trPr>
          <w:trHeight w:val="258"/>
        </w:trPr>
        <w:tc>
          <w:tcPr>
            <w:tcW w:w="5000" w:type="pct"/>
            <w:gridSpan w:val="2"/>
            <w:tcBorders>
              <w:top w:val="single" w:sz="4" w:space="0" w:color="auto"/>
              <w:left w:val="nil"/>
              <w:bottom w:val="nil"/>
              <w:right w:val="nil"/>
              <w:tl2br w:val="nil"/>
              <w:tr2bl w:val="nil"/>
            </w:tcBorders>
            <w:shd w:val="clear" w:color="auto" w:fill="C1E7E0"/>
            <w:vAlign w:val="center"/>
          </w:tcPr>
          <w:p w:rsidR="006B62B0" w:rsidRPr="00106054" w:rsidRDefault="006B62B0" w:rsidP="00106054">
            <w:pPr>
              <w:pStyle w:val="Tableheading"/>
              <w:spacing w:beforeAutospacing="1" w:afterAutospacing="1"/>
              <w:jc w:val="center"/>
              <w:rPr>
                <w:sz w:val="12"/>
                <w:szCs w:val="12"/>
              </w:rPr>
            </w:pPr>
            <w:r w:rsidRPr="00106054">
              <w:rPr>
                <w:rFonts w:ascii="Calibri Light" w:eastAsia="Times New Roman" w:hAnsi="Calibri Light" w:cs="Calibri Light"/>
                <w:b/>
                <w:bCs/>
                <w:color w:val="0D0D0D"/>
                <w:sz w:val="12"/>
                <w:szCs w:val="12"/>
                <w:lang w:eastAsia="en-AU"/>
              </w:rPr>
              <w:t>Indonesia Performance Assessment Framework 2015/16 to 2018/19</w:t>
            </w:r>
          </w:p>
        </w:tc>
      </w:tr>
      <w:tr w:rsidR="006B62B0" w:rsidRPr="00106054" w:rsidTr="00106054">
        <w:trPr>
          <w:trHeight w:val="309"/>
        </w:trPr>
        <w:tc>
          <w:tcPr>
            <w:tcW w:w="5000" w:type="pct"/>
            <w:gridSpan w:val="2"/>
            <w:shd w:val="clear" w:color="auto" w:fill="FDE9D9"/>
            <w:vAlign w:val="center"/>
          </w:tcPr>
          <w:p w:rsidR="006B62B0" w:rsidRPr="00106054" w:rsidDel="00541C4D" w:rsidRDefault="006B62B0" w:rsidP="006B62B0">
            <w:pPr>
              <w:pStyle w:val="Tabletext0"/>
              <w:rPr>
                <w:rFonts w:ascii="Franklin Gothic Book" w:hAnsi="Franklin Gothic Book"/>
                <w:sz w:val="12"/>
                <w:szCs w:val="12"/>
              </w:rPr>
            </w:pPr>
            <w:r w:rsidRPr="00106054">
              <w:rPr>
                <w:rFonts w:eastAsia="Times New Roman" w:cs="Calibri Light"/>
                <w:b/>
                <w:bCs/>
                <w:color w:val="0D0D0D"/>
                <w:sz w:val="12"/>
                <w:szCs w:val="12"/>
                <w:lang w:eastAsia="en-AU"/>
              </w:rPr>
              <w:t>Objective 1: Effective Economic Institutions and Infrastructure</w:t>
            </w:r>
          </w:p>
        </w:tc>
      </w:tr>
      <w:tr w:rsidR="00106054" w:rsidRPr="00106054" w:rsidTr="00106054">
        <w:trPr>
          <w:trHeight w:val="379"/>
        </w:trPr>
        <w:tc>
          <w:tcPr>
            <w:tcW w:w="2377" w:type="pct"/>
            <w:vMerge w:val="restart"/>
            <w:shd w:val="clear" w:color="auto" w:fill="FDE9D9"/>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1. Improvements in infrastructure and the economic environment</w:t>
            </w: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 Amount of funding (public and private) leveraged for Indonesian Investments from Australian infrastructure projects, investment and advice</w:t>
            </w:r>
          </w:p>
        </w:tc>
      </w:tr>
      <w:tr w:rsidR="00106054" w:rsidRPr="00106054" w:rsidTr="00106054">
        <w:trPr>
          <w:trHeight w:val="192"/>
        </w:trPr>
        <w:tc>
          <w:tcPr>
            <w:tcW w:w="2377" w:type="pct"/>
            <w:vMerge/>
            <w:shd w:val="clear" w:color="auto" w:fill="FDE9D9"/>
          </w:tcPr>
          <w:p w:rsidR="006B62B0" w:rsidRPr="00106054" w:rsidRDefault="006B62B0" w:rsidP="006B62B0">
            <w:pPr>
              <w:pStyle w:val="Tabletext0"/>
              <w:rPr>
                <w:rFonts w:ascii="Franklin Gothic Book" w:hAnsi="Franklin Gothic Book"/>
                <w:sz w:val="12"/>
                <w:szCs w:val="12"/>
              </w:rPr>
            </w:pP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 Distance (km) of roads constructed, rehabilitated or maintained (ADR</w:t>
            </w:r>
          </w:p>
        </w:tc>
      </w:tr>
      <w:tr w:rsidR="00106054" w:rsidRPr="00106054" w:rsidTr="00106054">
        <w:trPr>
          <w:trHeight w:val="206"/>
        </w:trPr>
        <w:tc>
          <w:tcPr>
            <w:tcW w:w="2377" w:type="pct"/>
            <w:vMerge w:val="restart"/>
            <w:shd w:val="clear" w:color="auto" w:fill="FDE9D9"/>
            <w:vAlign w:val="center"/>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 Private sector development, reform of markets and improved financial systems</w:t>
            </w: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 xml:space="preserve">3. Improvements to market efficiency, regulation and financial systems </w:t>
            </w:r>
          </w:p>
        </w:tc>
      </w:tr>
      <w:tr w:rsidR="00106054" w:rsidRPr="00106054" w:rsidTr="00106054">
        <w:trPr>
          <w:trHeight w:val="162"/>
        </w:trPr>
        <w:tc>
          <w:tcPr>
            <w:tcW w:w="2377" w:type="pct"/>
            <w:vMerge/>
            <w:shd w:val="clear" w:color="auto" w:fill="FDE9D9"/>
          </w:tcPr>
          <w:p w:rsidR="006B62B0" w:rsidRPr="00106054" w:rsidRDefault="006B62B0" w:rsidP="006B62B0">
            <w:pPr>
              <w:pStyle w:val="Tabletext0"/>
              <w:rPr>
                <w:rFonts w:ascii="Franklin Gothic Book" w:hAnsi="Franklin Gothic Book"/>
                <w:sz w:val="12"/>
                <w:szCs w:val="12"/>
              </w:rPr>
            </w:pP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4. Number of smallholder farmers, in particular women, with increased incomes through private sector investment</w:t>
            </w:r>
          </w:p>
        </w:tc>
      </w:tr>
      <w:tr w:rsidR="00106054" w:rsidRPr="00106054" w:rsidTr="00106054">
        <w:trPr>
          <w:trHeight w:val="162"/>
        </w:trPr>
        <w:tc>
          <w:tcPr>
            <w:tcW w:w="2377" w:type="pct"/>
            <w:vMerge/>
            <w:shd w:val="clear" w:color="auto" w:fill="FDE9D9"/>
          </w:tcPr>
          <w:p w:rsidR="006B62B0" w:rsidRPr="00106054" w:rsidRDefault="006B62B0" w:rsidP="006B62B0">
            <w:pPr>
              <w:pStyle w:val="Tabletext0"/>
              <w:rPr>
                <w:rFonts w:ascii="Franklin Gothic Book" w:hAnsi="Franklin Gothic Book"/>
                <w:sz w:val="12"/>
                <w:szCs w:val="12"/>
              </w:rPr>
            </w:pP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5. Number of women and men trained in areas related to economic governance</w:t>
            </w:r>
          </w:p>
        </w:tc>
      </w:tr>
      <w:tr w:rsidR="00106054" w:rsidRPr="00106054" w:rsidTr="00106054">
        <w:trPr>
          <w:trHeight w:val="162"/>
        </w:trPr>
        <w:tc>
          <w:tcPr>
            <w:tcW w:w="2377" w:type="pct"/>
            <w:vMerge/>
            <w:shd w:val="clear" w:color="auto" w:fill="FDE9D9"/>
          </w:tcPr>
          <w:p w:rsidR="006B62B0" w:rsidRPr="00106054" w:rsidRDefault="006B62B0" w:rsidP="006B62B0">
            <w:pPr>
              <w:pStyle w:val="Tabletext0"/>
              <w:rPr>
                <w:rFonts w:ascii="Franklin Gothic Book" w:hAnsi="Franklin Gothic Book"/>
                <w:sz w:val="12"/>
                <w:szCs w:val="12"/>
              </w:rPr>
            </w:pP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6. Increased engagement with private sector organisations for pro-poor development</w:t>
            </w:r>
          </w:p>
        </w:tc>
      </w:tr>
      <w:tr w:rsidR="00106054" w:rsidRPr="00106054" w:rsidTr="00106054">
        <w:trPr>
          <w:trHeight w:val="247"/>
        </w:trPr>
        <w:tc>
          <w:tcPr>
            <w:tcW w:w="2377" w:type="pct"/>
            <w:vMerge w:val="restart"/>
            <w:shd w:val="clear" w:color="auto" w:fill="FDE9D9"/>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3. Enhanced quality of government spending</w:t>
            </w: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7. Improved spending and revenue policies and practices of central and sub-national governments</w:t>
            </w:r>
          </w:p>
        </w:tc>
      </w:tr>
      <w:tr w:rsidR="00106054" w:rsidRPr="00106054" w:rsidTr="00106054">
        <w:trPr>
          <w:trHeight w:val="162"/>
        </w:trPr>
        <w:tc>
          <w:tcPr>
            <w:tcW w:w="2377" w:type="pct"/>
            <w:vMerge/>
            <w:shd w:val="clear" w:color="auto" w:fill="FDE9D9"/>
          </w:tcPr>
          <w:p w:rsidR="006B62B0" w:rsidRPr="00106054" w:rsidRDefault="006B62B0" w:rsidP="006B62B0">
            <w:pPr>
              <w:pStyle w:val="Tabletext0"/>
              <w:rPr>
                <w:rFonts w:ascii="Franklin Gothic Book" w:hAnsi="Franklin Gothic Book"/>
                <w:sz w:val="12"/>
                <w:szCs w:val="12"/>
              </w:rPr>
            </w:pPr>
          </w:p>
        </w:tc>
        <w:tc>
          <w:tcPr>
            <w:tcW w:w="2623" w:type="pct"/>
            <w:shd w:val="clear" w:color="auto" w:fill="FDE9D9"/>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8. Number of districts with improved public financial management policy and practice</w:t>
            </w:r>
          </w:p>
        </w:tc>
      </w:tr>
      <w:tr w:rsidR="006B62B0" w:rsidRPr="00106054" w:rsidTr="00106054">
        <w:trPr>
          <w:trHeight w:val="271"/>
        </w:trPr>
        <w:tc>
          <w:tcPr>
            <w:tcW w:w="5000" w:type="pct"/>
            <w:gridSpan w:val="2"/>
            <w:shd w:val="clear" w:color="auto" w:fill="EAF1DD"/>
            <w:vAlign w:val="center"/>
          </w:tcPr>
          <w:p w:rsidR="006B62B0" w:rsidRPr="00106054" w:rsidRDefault="006B62B0" w:rsidP="006B62B0">
            <w:pPr>
              <w:pStyle w:val="Tabletext0"/>
              <w:rPr>
                <w:rFonts w:ascii="Franklin Gothic Book" w:hAnsi="Franklin Gothic Book"/>
                <w:sz w:val="12"/>
                <w:szCs w:val="12"/>
              </w:rPr>
            </w:pPr>
            <w:r w:rsidRPr="00106054">
              <w:rPr>
                <w:rFonts w:ascii="Franklin Gothic Book" w:eastAsia="Times New Roman" w:hAnsi="Franklin Gothic Book" w:cs="Calibri Light"/>
                <w:b/>
                <w:bCs/>
                <w:color w:val="0D0D0D"/>
                <w:sz w:val="12"/>
                <w:szCs w:val="12"/>
                <w:lang w:eastAsia="en-AU"/>
              </w:rPr>
              <w:t>Objective 2: Human Development for a Productive and Healthy Society</w:t>
            </w:r>
          </w:p>
        </w:tc>
      </w:tr>
      <w:tr w:rsidR="00106054" w:rsidRPr="00106054" w:rsidTr="00106054">
        <w:trPr>
          <w:trHeight w:val="366"/>
        </w:trPr>
        <w:tc>
          <w:tcPr>
            <w:tcW w:w="2377" w:type="pct"/>
            <w:vMerge w:val="restart"/>
            <w:shd w:val="clear" w:color="auto" w:fill="EAF1DD"/>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4. Improved access to services for all</w:t>
            </w: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9. Number of women and men with improved access to safe water and basic sanitation</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10. Number of women survivors of violence receiving services</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11. Number of additional poor women and men able to access social transfers (such as cash or in kind transfers including food)</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12. Number of poor women and men with increased access to financial services</w:t>
            </w:r>
          </w:p>
        </w:tc>
      </w:tr>
      <w:tr w:rsidR="00106054" w:rsidRPr="00106054" w:rsidTr="00106054">
        <w:trPr>
          <w:trHeight w:val="366"/>
        </w:trPr>
        <w:tc>
          <w:tcPr>
            <w:tcW w:w="2377" w:type="pct"/>
            <w:vMerge w:val="restart"/>
            <w:shd w:val="clear" w:color="auto" w:fill="EAF1DD"/>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5. Improved quality of practices and personnel in services</w:t>
            </w: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 xml:space="preserve">13. Number of female and male service providers who used technical skills to support better quality services </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14. Number of female and male Australian Awards awardees who completed their course in the previous year</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15. Percentage of female and male alumni who used their technical or specialist knowledge and skills in performing their work duties</w:t>
            </w:r>
          </w:p>
        </w:tc>
      </w:tr>
      <w:tr w:rsidR="00106054" w:rsidRPr="00106054" w:rsidTr="00106054">
        <w:trPr>
          <w:trHeight w:val="366"/>
        </w:trPr>
        <w:tc>
          <w:tcPr>
            <w:tcW w:w="2377" w:type="pct"/>
            <w:vMerge w:val="restart"/>
            <w:shd w:val="clear" w:color="auto" w:fill="EAF1DD"/>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6. Improved service systems</w:t>
            </w: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16. Number of districts that made improvements in service delivery practices and policies</w:t>
            </w:r>
          </w:p>
        </w:tc>
      </w:tr>
      <w:tr w:rsidR="00106054" w:rsidRPr="00106054" w:rsidTr="00106054">
        <w:trPr>
          <w:trHeight w:val="162"/>
        </w:trPr>
        <w:tc>
          <w:tcPr>
            <w:tcW w:w="2377" w:type="pct"/>
            <w:vMerge/>
            <w:shd w:val="clear" w:color="auto" w:fill="EAF1DD"/>
          </w:tcPr>
          <w:p w:rsidR="006B62B0" w:rsidRPr="00106054" w:rsidRDefault="006B62B0" w:rsidP="006B62B0">
            <w:pPr>
              <w:pStyle w:val="Tabletext0"/>
              <w:rPr>
                <w:rFonts w:ascii="Franklin Gothic Book" w:hAnsi="Franklin Gothic Book"/>
                <w:sz w:val="12"/>
                <w:szCs w:val="12"/>
              </w:rPr>
            </w:pPr>
          </w:p>
        </w:tc>
        <w:tc>
          <w:tcPr>
            <w:tcW w:w="2623" w:type="pct"/>
            <w:shd w:val="clear" w:color="auto" w:fill="EAF1DD"/>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17. Number of service units that have improved institutional and organisational capacity to address frontline service needs</w:t>
            </w:r>
          </w:p>
        </w:tc>
      </w:tr>
      <w:tr w:rsidR="006B62B0" w:rsidRPr="00106054" w:rsidTr="00106054">
        <w:trPr>
          <w:trHeight w:val="268"/>
        </w:trPr>
        <w:tc>
          <w:tcPr>
            <w:tcW w:w="5000" w:type="pct"/>
            <w:gridSpan w:val="2"/>
            <w:shd w:val="clear" w:color="auto" w:fill="F2F2F2"/>
            <w:vAlign w:val="center"/>
          </w:tcPr>
          <w:p w:rsidR="006B62B0" w:rsidRPr="00106054" w:rsidRDefault="006B62B0" w:rsidP="006B62B0">
            <w:pPr>
              <w:pStyle w:val="Tabletext0"/>
              <w:rPr>
                <w:rFonts w:ascii="Franklin Gothic Book" w:hAnsi="Franklin Gothic Book"/>
                <w:sz w:val="12"/>
                <w:szCs w:val="12"/>
              </w:rPr>
            </w:pPr>
            <w:r w:rsidRPr="00106054">
              <w:rPr>
                <w:rFonts w:ascii="Franklin Gothic Book" w:eastAsia="Times New Roman" w:hAnsi="Franklin Gothic Book" w:cs="Calibri Light"/>
                <w:b/>
                <w:bCs/>
                <w:color w:val="0D0D0D"/>
                <w:sz w:val="12"/>
                <w:szCs w:val="12"/>
                <w:lang w:eastAsia="en-AU"/>
              </w:rPr>
              <w:t>Objective 3: An Inclusive Society Through Effective Governance</w:t>
            </w:r>
          </w:p>
        </w:tc>
      </w:tr>
      <w:tr w:rsidR="00106054" w:rsidRPr="00106054" w:rsidTr="00106054">
        <w:trPr>
          <w:trHeight w:val="366"/>
        </w:trPr>
        <w:tc>
          <w:tcPr>
            <w:tcW w:w="2377" w:type="pct"/>
            <w:vMerge w:val="restart"/>
            <w:shd w:val="clear" w:color="auto" w:fill="F2F2F2"/>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7. Increased participation, especially by women, in household, community and government decisions</w:t>
            </w:r>
          </w:p>
        </w:tc>
        <w:tc>
          <w:tcPr>
            <w:tcW w:w="2623"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 xml:space="preserve">18. Number of people, especially women and marginalised groups, who participate in activities to improve policy </w:t>
            </w:r>
          </w:p>
        </w:tc>
      </w:tr>
      <w:tr w:rsidR="00106054" w:rsidRPr="00106054" w:rsidTr="00106054">
        <w:trPr>
          <w:trHeight w:val="162"/>
        </w:trPr>
        <w:tc>
          <w:tcPr>
            <w:tcW w:w="2377" w:type="pct"/>
            <w:vMerge/>
            <w:shd w:val="clear" w:color="auto" w:fill="F2F2F2"/>
          </w:tcPr>
          <w:p w:rsidR="006B62B0" w:rsidRPr="00106054" w:rsidRDefault="006B62B0" w:rsidP="006B62B0">
            <w:pPr>
              <w:pStyle w:val="Tabletext0"/>
              <w:rPr>
                <w:rFonts w:ascii="Franklin Gothic Book" w:hAnsi="Franklin Gothic Book"/>
                <w:sz w:val="12"/>
                <w:szCs w:val="12"/>
              </w:rPr>
            </w:pPr>
          </w:p>
        </w:tc>
        <w:tc>
          <w:tcPr>
            <w:tcW w:w="2623"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19. Number of management committees in which women are equally represented</w:t>
            </w:r>
          </w:p>
        </w:tc>
        <w:bookmarkStart w:id="0" w:name="_GoBack"/>
        <w:bookmarkEnd w:id="0"/>
      </w:tr>
      <w:tr w:rsidR="00106054" w:rsidRPr="00106054" w:rsidTr="00106054">
        <w:trPr>
          <w:trHeight w:val="443"/>
        </w:trPr>
        <w:tc>
          <w:tcPr>
            <w:tcW w:w="2377"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8. Improved responsiveness of public institutions to community, especially to women</w:t>
            </w:r>
          </w:p>
        </w:tc>
        <w:tc>
          <w:tcPr>
            <w:tcW w:w="2623"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20. Number of DFAT-supported online platforms that improve transparency and responsiveness of public institutions</w:t>
            </w:r>
          </w:p>
        </w:tc>
      </w:tr>
      <w:tr w:rsidR="00106054" w:rsidRPr="00106054" w:rsidTr="00106054">
        <w:trPr>
          <w:trHeight w:val="321"/>
        </w:trPr>
        <w:tc>
          <w:tcPr>
            <w:tcW w:w="2377"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9. More inclusive and evidence-informed policy and programs</w:t>
            </w:r>
          </w:p>
        </w:tc>
        <w:tc>
          <w:tcPr>
            <w:tcW w:w="2623" w:type="pct"/>
            <w:shd w:val="clear" w:color="auto" w:fill="F2F2F2"/>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21. Number of significant instances where DFAT support resulted in improved policy</w:t>
            </w:r>
          </w:p>
        </w:tc>
      </w:tr>
      <w:tr w:rsidR="006B62B0" w:rsidRPr="00106054" w:rsidTr="00106054">
        <w:trPr>
          <w:trHeight w:val="142"/>
        </w:trPr>
        <w:tc>
          <w:tcPr>
            <w:tcW w:w="5000" w:type="pct"/>
            <w:gridSpan w:val="2"/>
            <w:shd w:val="clear" w:color="auto" w:fill="DBE5F1"/>
            <w:vAlign w:val="center"/>
          </w:tcPr>
          <w:p w:rsidR="006B62B0" w:rsidRPr="00106054" w:rsidRDefault="006B62B0" w:rsidP="006B62B0">
            <w:pPr>
              <w:pStyle w:val="Tabletext0"/>
              <w:rPr>
                <w:rFonts w:ascii="Franklin Gothic Book" w:hAnsi="Franklin Gothic Book"/>
                <w:sz w:val="12"/>
                <w:szCs w:val="12"/>
              </w:rPr>
            </w:pPr>
            <w:r w:rsidRPr="00106054">
              <w:rPr>
                <w:rFonts w:ascii="Franklin Gothic Book" w:eastAsia="Times New Roman" w:hAnsi="Franklin Gothic Book" w:cs="Calibri Light"/>
                <w:b/>
                <w:bCs/>
                <w:color w:val="0D0D0D"/>
                <w:sz w:val="12"/>
                <w:szCs w:val="12"/>
                <w:lang w:eastAsia="en-AU"/>
              </w:rPr>
              <w:t>Objective 4: Strategic Program Management</w:t>
            </w:r>
          </w:p>
        </w:tc>
      </w:tr>
      <w:tr w:rsidR="00106054" w:rsidRPr="00106054" w:rsidTr="00106054">
        <w:trPr>
          <w:trHeight w:val="256"/>
        </w:trPr>
        <w:tc>
          <w:tcPr>
            <w:tcW w:w="2377" w:type="pct"/>
            <w:vMerge w:val="restart"/>
            <w:shd w:val="clear" w:color="auto" w:fill="DBE5F1"/>
            <w:vAlign w:val="center"/>
          </w:tcPr>
          <w:p w:rsidR="006B62B0" w:rsidRPr="00106054" w:rsidRDefault="006B62B0" w:rsidP="006B62B0">
            <w:pPr>
              <w:pStyle w:val="Tabletext0"/>
              <w:rPr>
                <w:rFonts w:ascii="Franklin Gothic Book" w:hAnsi="Franklin Gothic Book"/>
                <w:sz w:val="12"/>
                <w:szCs w:val="12"/>
              </w:rPr>
            </w:pPr>
            <w:r w:rsidRPr="00106054">
              <w:rPr>
                <w:rFonts w:eastAsia="Times New Roman" w:cs="Calibri Light"/>
                <w:sz w:val="12"/>
                <w:szCs w:val="12"/>
                <w:lang w:eastAsia="en-AU"/>
              </w:rPr>
              <w:t>10. Achieve corporate and cross-cutting program goals</w:t>
            </w:r>
          </w:p>
        </w:tc>
        <w:tc>
          <w:tcPr>
            <w:tcW w:w="2623" w:type="pct"/>
            <w:shd w:val="clear" w:color="auto" w:fill="DBE5F1"/>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22. Reduce the number of individual investments to focus efforts and reduce transaction costs</w:t>
            </w:r>
          </w:p>
        </w:tc>
      </w:tr>
      <w:tr w:rsidR="00106054" w:rsidRPr="00106054" w:rsidTr="00106054">
        <w:trPr>
          <w:trHeight w:val="162"/>
        </w:trPr>
        <w:tc>
          <w:tcPr>
            <w:tcW w:w="2377" w:type="pct"/>
            <w:vMerge/>
            <w:shd w:val="clear" w:color="auto" w:fill="DBE5F1"/>
          </w:tcPr>
          <w:p w:rsidR="006B62B0" w:rsidRPr="00106054" w:rsidRDefault="006B62B0" w:rsidP="006B62B0">
            <w:pPr>
              <w:pStyle w:val="Tabletext0"/>
              <w:rPr>
                <w:rFonts w:ascii="Franklin Gothic Book" w:hAnsi="Franklin Gothic Book"/>
                <w:sz w:val="12"/>
                <w:szCs w:val="12"/>
              </w:rPr>
            </w:pPr>
          </w:p>
        </w:tc>
        <w:tc>
          <w:tcPr>
            <w:tcW w:w="2623" w:type="pct"/>
            <w:shd w:val="clear" w:color="auto" w:fill="DBE5F1"/>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23. Percentage of active investments receiving a monitoring visit this year</w:t>
            </w:r>
          </w:p>
        </w:tc>
      </w:tr>
      <w:tr w:rsidR="00106054" w:rsidRPr="00106054" w:rsidTr="00106054">
        <w:trPr>
          <w:trHeight w:val="162"/>
        </w:trPr>
        <w:tc>
          <w:tcPr>
            <w:tcW w:w="2377" w:type="pct"/>
            <w:vMerge/>
            <w:shd w:val="clear" w:color="auto" w:fill="DBE5F1"/>
          </w:tcPr>
          <w:p w:rsidR="006B62B0" w:rsidRPr="00106054" w:rsidRDefault="006B62B0" w:rsidP="006B62B0">
            <w:pPr>
              <w:pStyle w:val="Tabletext0"/>
              <w:rPr>
                <w:rFonts w:ascii="Franklin Gothic Book" w:hAnsi="Franklin Gothic Book"/>
                <w:sz w:val="12"/>
                <w:szCs w:val="12"/>
              </w:rPr>
            </w:pPr>
          </w:p>
        </w:tc>
        <w:tc>
          <w:tcPr>
            <w:tcW w:w="2623" w:type="pct"/>
            <w:shd w:val="clear" w:color="auto" w:fill="DBE5F1"/>
          </w:tcPr>
          <w:p w:rsidR="006B62B0" w:rsidRPr="00106054" w:rsidRDefault="006B62B0" w:rsidP="006B62B0">
            <w:pPr>
              <w:pStyle w:val="Tabletext0"/>
              <w:rPr>
                <w:rFonts w:ascii="Franklin Gothic Book" w:hAnsi="Franklin Gothic Book"/>
                <w:sz w:val="12"/>
                <w:szCs w:val="12"/>
              </w:rPr>
            </w:pPr>
            <w:r w:rsidRPr="00106054">
              <w:rPr>
                <w:rFonts w:ascii="Franklin Gothic Book" w:hAnsi="Franklin Gothic Book"/>
                <w:sz w:val="12"/>
                <w:szCs w:val="12"/>
              </w:rPr>
              <w:t xml:space="preserve">24. Percentage of investments assessed as effectively addressing gender equality in implementation </w:t>
            </w:r>
          </w:p>
        </w:tc>
      </w:tr>
    </w:tbl>
    <w:p w:rsidR="00400B0F" w:rsidRPr="00E644AE" w:rsidRDefault="00400B0F" w:rsidP="006B62B0"/>
    <w:sectPr w:rsidR="00400B0F" w:rsidRPr="00E644AE" w:rsidSect="00DA256A">
      <w:headerReference w:type="default" r:id="rId29"/>
      <w:pgSz w:w="16838" w:h="11906" w:orient="landscape" w:code="9"/>
      <w:pgMar w:top="1134" w:right="1525" w:bottom="1134" w:left="851"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A7" w:rsidRDefault="002D6EA7" w:rsidP="00EF4574">
      <w:pPr>
        <w:spacing w:before="0" w:after="0" w:line="240" w:lineRule="auto"/>
      </w:pPr>
      <w:r>
        <w:separator/>
      </w:r>
    </w:p>
  </w:endnote>
  <w:endnote w:type="continuationSeparator" w:id="0">
    <w:p w:rsidR="002D6EA7" w:rsidRDefault="002D6EA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Default="00547E6C">
    <w:pPr>
      <w:pStyle w:val="Footer"/>
    </w:pPr>
    <w:r>
      <w:fldChar w:fldCharType="begin"/>
    </w:r>
    <w:r>
      <w:instrText xml:space="preserve"> PAGE   \* MERGEFORMAT </w:instrText>
    </w:r>
    <w:r>
      <w:fldChar w:fldCharType="separate"/>
    </w:r>
    <w:r w:rsidR="00AF6B24">
      <w:rPr>
        <w:noProof/>
      </w:rPr>
      <w:t>11</w:t>
    </w:r>
    <w:r>
      <w:rPr>
        <w:noProof/>
      </w:rPr>
      <w:fldChar w:fldCharType="end"/>
    </w:r>
  </w:p>
  <w:p w:rsidR="00547E6C" w:rsidRDefault="0054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Default="00547E6C">
    <w:pPr>
      <w:pStyle w:val="Footer"/>
    </w:pPr>
    <w:r>
      <w:fldChar w:fldCharType="begin"/>
    </w:r>
    <w:r>
      <w:instrText xml:space="preserve"> PAGE   \* MERGEFORMAT </w:instrText>
    </w:r>
    <w:r>
      <w:fldChar w:fldCharType="separate"/>
    </w:r>
    <w:r w:rsidR="00AF6B24">
      <w:rPr>
        <w:noProof/>
      </w:rPr>
      <w:t>1</w:t>
    </w:r>
    <w:r>
      <w:rPr>
        <w:noProof/>
      </w:rPr>
      <w:fldChar w:fldCharType="end"/>
    </w:r>
  </w:p>
  <w:p w:rsidR="00547E6C" w:rsidRDefault="00547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Default="00547E6C">
    <w:pPr>
      <w:pStyle w:val="Footer"/>
    </w:pPr>
    <w:r>
      <w:fldChar w:fldCharType="begin"/>
    </w:r>
    <w:r>
      <w:instrText xml:space="preserve"> PAGE   \* MERGEFORMAT </w:instrText>
    </w:r>
    <w:r>
      <w:fldChar w:fldCharType="separate"/>
    </w:r>
    <w:r>
      <w:rPr>
        <w:noProof/>
      </w:rPr>
      <w:t>21</w:t>
    </w:r>
    <w:r>
      <w:rPr>
        <w:noProof/>
      </w:rPr>
      <w:fldChar w:fldCharType="end"/>
    </w:r>
  </w:p>
  <w:p w:rsidR="00547E6C" w:rsidRDefault="00547E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Pr="004C4A3E" w:rsidRDefault="00D64950" w:rsidP="00A076A0">
    <w:pPr>
      <w:tabs>
        <w:tab w:val="left" w:pos="0"/>
        <w:tab w:val="left" w:pos="13325"/>
      </w:tabs>
      <w:spacing w:line="180" w:lineRule="exact"/>
      <w:ind w:right="-1136"/>
      <w:rPr>
        <w:rFonts w:ascii="Franklin Gothic Medium" w:hAnsi="Franklin Gothic Medium"/>
        <w:color w:val="5A9A98"/>
        <w:sz w:val="14"/>
        <w:szCs w:val="14"/>
      </w:rPr>
    </w:pPr>
    <w:r>
      <w:rPr>
        <w:noProof/>
        <w:lang w:val="en-AU" w:eastAsia="en-AU"/>
      </w:rPr>
      <mc:AlternateContent>
        <mc:Choice Requires="wps">
          <w:drawing>
            <wp:anchor distT="0" distB="0" distL="114300" distR="114300" simplePos="0" relativeHeight="251660288" behindDoc="1" locked="1" layoutInCell="1" allowOverlap="1">
              <wp:simplePos x="0" y="0"/>
              <wp:positionH relativeFrom="page">
                <wp:posOffset>0</wp:posOffset>
              </wp:positionH>
              <wp:positionV relativeFrom="page">
                <wp:posOffset>8533130</wp:posOffset>
              </wp:positionV>
              <wp:extent cx="7379970" cy="2181860"/>
              <wp:effectExtent l="0" t="0" r="0" b="0"/>
              <wp:wrapNone/>
              <wp:docPr id="31"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3410F" id="Rectangle 6" o:spid="_x0000_s1026" alt="AusAID web address graphic" style="position:absolute;margin-left:0;margin-top:671.9pt;width:581.1pt;height:17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QNpSt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gnFABRSZH&#10;qKMj1FFwFopMj1FGR6ii4C0UmR6ijIouAt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c74wkePS4ijMp80cg47Guirm/Gn/IKi/66j+Rr&#10;lxrth5W7HTg1fEQv3OL+1XH/AD3l/wC+zR9quP8AnvL/AN9moaK+U55dz6vkj2JvtVx/z3l/77NH&#10;2q4/57y/99moaKOeXcOSHYm+1XH/AD3l/wC+zTo767ibclzMp9nNRRwyTNtjjZz6KM0wjBwafPNa&#10;3YuSm9LI6TS/FtzA6x3p86I8bv4h/jXbQzJPEssbBkYZBHevJa7DwZfswlsXOQo3x/1Fevl2Nm5+&#10;yqO99jyMxwUFD2tNWtuddRRRXunh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zfjT/AJBUX/XUfyNdJXN+NP8AkFRf9dR/I1y43/d5+h1YL/eIepwt&#10;FFFfJH1gVv6K2ii3/wBLC/asnBlzs9ulYFb+i/2L9m/0vb9qyf8AW52e1dOE/idPmcuM/hdfkaM8&#10;mseS39nCzMAH/Lrgn9a5BiS7FvvZ5+tdhOusmFv7OayEGOlrgcfjXHtncd3XPNbY7db/AD2+RjgN&#10;nt8t/mJWz4Wcrr8AH8QYH8jWNWv4Y/5GG2/4F/6Ca58L/Hh6o6cV/An6M9Hooor7A+Q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m/Gn/IKi/66j+R&#10;rpK5vxp/yCov+uo/ka5cb/u8/Q6sF/vEPU4Wiiivkj6wK2NN8P3GoW32nzUjgyRuOSePaset7RtM&#10;1GW2+1QXn2eDJ5yT09hXRhYKdSzjc58VNwp3UrD0XRdNY5urqeUdRGCgzWA5DOxGcE8ZrrbjV9Pi&#10;haG9Y6hLjG4wBMVyLEFiQMDPArXGcqtGLXov6Zlg3J3lJO/d/pohK1/DH/Iw23/Av/QTWRWv4Y/5&#10;GG2/4F/6Caxwv8eHqjb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rdlc30LgWckwP8Adjyf0qpW/o2uNZ232QWZkBJ+eLh+a3w6TnrKxhiG1DSNzRtW&#10;1m5jxe2Nu8eOWnUKf8/hXIyDEjDAGCeBXXT6MdShaf7XewcZ2XZyP51yDDDEZzg9a6MapJRT+99T&#10;mwLi3Jq3ougla/hj/kYbb/gX/oJrIrX8Mf8AIw23/Av/AEE1z4X+PD1R04r+BP0Z6PRRRX2B8g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N+NP+QV&#10;F/11H8jXSVzfjT/kFRf9dR/I1y43/d5+h1YL/eIepwtFFFfJH1gVv6Rrh06xML2jNESczRnDc++K&#10;wK3LOTVL3Q3sLa0EkAPL4565xXThZSjNuL1t2uc2LjGUEpLS/exNMNK1PLf2pcRSH+GcFh+dc8ww&#10;xAOcHrUv2WcyvF5L+YgJZccjHXNQ1Fao56uNmVRpqF1GV0Fa/hj/AJGG2/4F/wCgmsitfwx/yMNt&#10;/wAC/wDQTTwv8eHqg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p7OHUrrw/ajTmeMxSPvwdu/JyCD3xXMVuafpt9daeshvxbWwYhA8hAJ74rqwjfM0&#10;k3ddNPxOTGJcqbaVn11/A2xp94utW99IqrGYALliwAJxz/SuLm2+fJs+7uOPpmugbQ5mUg61bsCO&#10;QZDzXOsu12XIODjIrTGN2S5bdd7meDSu7SvstrCVr+GP+Rhtv+Bf+gmsitfwx/yMNt/wL/0E1hhf&#10;48PVHRiv4E/Rno9FFFfYHy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c340/5BUX/XUfyNdJXN+NP+QVF/11H8jXLjf93n6HVgv94h6nC0UUV8kfWB&#10;XR2trDqPh+3invIbdoZG8vc3UE85Fc5WjNaQw6Ja3BBM87tjngKOK6MPLl5na6tqc2JjzcqvZ30L&#10;h8P2wB/4nFof8/WsNl2sVznBxkV0q6FpqLBaT3Egv503LgfKD6VzckZileNuqsVP4VeJp8iXu2+d&#10;ycLV521zX+Vhta/hj/kYbb/gX/oJrIrX8Mf8jDbf8C/9BNZ4X+PD1Rpiv4E/Rno9FFFfYHy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c340/5BUX/&#10;AF1H8jXSVzfjT/kFRf8AXUfyNcuN/wB3n6HVgv8AeIepwtFFFfJH1gVvaReB7MW9xpkl5FCxZDGp&#10;JUnqKwa6eym1BfD9t/ZSncsj+ftXJJzx+FdeDvzt+Xa9zkxnwJefe1jOl1eWXXft5t8tH92Pn5QB&#10;WXI5kkZ26sSx/GuxSyujr0NybYrHNAPtHGACRzXHzKqzyKv3QxA+maeKhOKvJ7tk4WpCTtFbJf8A&#10;DDK1/DH/ACMNt/wL/wBBNZFa/hj/AJGG2/4F/wCgmssL/Hh6o2xX8Cfoz0eiiivsD5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ub8af8AIKi/66j+&#10;RrpK5vxp/wAgqL/rqP5GuXG/7vP0OrBf7xD1OFooor5I+sCug0y21y402P7FOEtwx2jeFOc81z9b&#10;OmaWZ7Q3Vze/ZbUNtBJ5Y+1dOFu52V/k7fic2KsoXdvmr/gX5NL8SSRMj3W5COR5vWsX+yrn+zXv&#10;vk8pH2EZ5zWo+jw3ETnTtW8+VRnyicEj2rAMkgQxl225yVzxmtcQoxtzJ/fcxwzlJPla+6wytfwx&#10;/wAjDbf8C/8AQTWRWv4Y/wCRhtv+Bf8AoJrDC/x4eqOjFfwJ+jPR6KKK+wPk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5vxp/yCov+uo/ka6Sub8a&#10;f8gqL/rqP5GuXG/7vP0OrBf7xD1OFooor5I+sCujtLe2v/D0NvPfQ27xyMyBm7H1Fc5Wkttpx0Qz&#10;m5P20NxF+P8AhXRhnZy0TVuuhz4lXUdWnformxpum2NheLcHV7ZigO0Bsc4781nX2lWsMEtwuqW8&#10;r9didT+tY1FVLEQcOXk/Fkxw81Pn5/wQVr+GP+Rhtv8AgX/oJrIrX8Mf8jDbf8C/9BNRhf40PVF4&#10;r+BP0Z6PRRRX2B8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dDa3H9j6HBeQW8ck9w7BpHXOwA8CuerT0zWLmwUwLGk8LnP&#10;lOMjPtXRhpqEnd28+xz4mDnBWV/LualhrE+s3S2V7bwyxSAgsqYKcda5uVQkzoDkKxANdej6teW7&#10;i3sILCJh80h4OK4912uyk5IOM1ti78seZt+bVjDB25pcqSXZO42tfwx/yMNt/wAC/wDQTWRWv4Y/&#10;5GG2/wCBf+gmsML/AB4eqOjFfwJ+jPR6KKK+wPk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5vxp/yCov+uo/ka6Sub8af8gqL/rqP5GuXG/7vP0Or&#10;Bf7xD1OFooor5I+sCuh0PWbKytTBLEYpiT/pCqGNc9WtFdpJob2UenmSbdkzKucc5/8ArV0YabhN&#10;yT1t6nNioKcFFrS/exfvNOutTUy22qLer12FtpH4VzZBUkHqOKcjPG+ULKw9OCKYTnmprVI1He1n&#10;6lUacqa5W7rpoFa/hj/kYbb/AIF/6CayK1/DH/Iw23/Av/QTTwv8eHqgxX8Cfoz0eiiivsD5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ub8af8gqL&#10;/rqP5Gukrm/Gn/IKi/66j+Rrlxv+7z9DqwX+8Q9ThaKKK+SPrArprK6vbfQLZtLjDP5jCfCbjnPH&#10;6VzNb+lf29NYiPT/AJYEY/N8oyfqetdeEk1NpX26bnJjIpwTdtH12NGO0lbxBDP9kKxXMGZxt4Uk&#10;c1yUyhJ5FX7qsQPpmunktfFMkTI8pKkc4da5ZlKsVbqDg1eMei91rVvUzwa1b5k9EtBK1/DH/Iw2&#10;3/Av/QTWRWv4Y/5GG2/4F/6Cawwv8eHqjoxX8Cfoz0eiiivsD5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af8AIKi/66j+RrpK5vxp/wAgqL/r&#10;qP5GuXG/7vP0OrBf7xD1OFooor5I+sCumtbO81Lw3bJauYzDI2QW2iQE9fwrmaeJpAgQSOFByAGO&#10;K3oVVTb5lo0YV6UqiXK7NO5uHw/rIGfNX/v/AFgsCrMG6g4NO82T/no//fVMpVZwlblTXq7jpQnG&#10;/O0/RWCtjwuM+ILb23f+gmseuo8G2TPdy3jA7I12qfUmtMFBzrxS7kY2ahQk32O2ooor60+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m/Gf/ACCo&#10;v+uo/ka6SmSRRyqBIiuB2YZrGvT9rTcL7mtCp7Kop22PJKMV6v8AYrX/AJ94v++BR9itf+feL/vg&#10;V5H9jy/n/A9f+2F/J+J5RijFer/YrX/n3i/74FH2K1/594v++BR/Y8v5/wAA/thfyfieUYpVVmOF&#10;UknsBXq32K1/594v++BTkt4Yj8kSL9FAoWTvrP8AAHnC/k/E4HTPDN7fOrSoYIe7MOT9BXeWlpDZ&#10;WyW8CbY1HFT0V6WGwdPDr3d+55uJxdTEP3tuwUUUV1nK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" stroked="f" strokecolor="#4a7ebb" strokeweight="1.5pt">
              <v:fill r:id="rId2" o:title="AusAID web address graphic" recolor="t" type="frame"/>
              <v:shadow opacity="22938f" offset="0"/>
              <v:textbox inset=",7.2pt,,7.2pt"/>
              <w10:wrap anchorx="page" anchory="page"/>
              <w10:anchorlock/>
            </v:rect>
          </w:pict>
        </mc:Fallback>
      </mc:AlternateContent>
    </w:r>
    <w:r w:rsidR="00547E6C">
      <w:rPr>
        <w:rFonts w:ascii="Franklin Gothic Medium" w:hAnsi="Franklin Gothic Medium"/>
        <w:color w:val="5A9A98"/>
        <w:sz w:val="14"/>
        <w:szCs w:val="14"/>
      </w:rPr>
      <w:fldChar w:fldCharType="begin"/>
    </w:r>
    <w:r w:rsidR="00547E6C">
      <w:rPr>
        <w:rFonts w:ascii="Franklin Gothic Medium" w:hAnsi="Franklin Gothic Medium"/>
        <w:color w:val="5A9A98"/>
        <w:sz w:val="14"/>
        <w:szCs w:val="14"/>
      </w:rPr>
      <w:instrText xml:space="preserve"> STYLEREF  Title </w:instrText>
    </w:r>
    <w:r w:rsidR="00547E6C">
      <w:rPr>
        <w:rFonts w:ascii="Franklin Gothic Medium" w:hAnsi="Franklin Gothic Medium"/>
        <w:color w:val="5A9A98"/>
        <w:sz w:val="14"/>
        <w:szCs w:val="14"/>
      </w:rPr>
      <w:fldChar w:fldCharType="separate"/>
    </w:r>
    <w:r w:rsidR="00AF6B24">
      <w:rPr>
        <w:rFonts w:ascii="Franklin Gothic Medium" w:hAnsi="Franklin Gothic Medium"/>
        <w:noProof/>
        <w:color w:val="5A9A98"/>
        <w:sz w:val="14"/>
        <w:szCs w:val="14"/>
      </w:rPr>
      <w:t>Report 2015-16</w:t>
    </w:r>
    <w:r w:rsidR="00547E6C">
      <w:rPr>
        <w:rFonts w:ascii="Franklin Gothic Medium" w:hAnsi="Franklin Gothic Medium"/>
        <w:color w:val="5A9A98"/>
        <w:sz w:val="14"/>
        <w:szCs w:val="14"/>
      </w:rPr>
      <w:fldChar w:fldCharType="end"/>
    </w:r>
    <w:r w:rsidR="00547E6C">
      <w:rPr>
        <w:rFonts w:ascii="Franklin Gothic Medium" w:hAnsi="Franklin Gothic Medium"/>
        <w:color w:val="5A9A98"/>
        <w:sz w:val="14"/>
        <w:szCs w:val="14"/>
      </w:rPr>
      <w:tab/>
    </w:r>
    <w:r w:rsidR="00547E6C" w:rsidRPr="0050529F">
      <w:rPr>
        <w:rFonts w:ascii="Franklin Gothic Medium" w:hAnsi="Franklin Gothic Medium"/>
        <w:color w:val="54534A"/>
        <w:sz w:val="14"/>
        <w:szCs w:val="14"/>
      </w:rPr>
      <w:fldChar w:fldCharType="begin"/>
    </w:r>
    <w:r w:rsidR="00547E6C" w:rsidRPr="0050529F">
      <w:rPr>
        <w:rFonts w:ascii="Franklin Gothic Medium" w:hAnsi="Franklin Gothic Medium"/>
        <w:color w:val="54534A"/>
        <w:sz w:val="14"/>
        <w:szCs w:val="14"/>
      </w:rPr>
      <w:instrText xml:space="preserve"> PAGE </w:instrText>
    </w:r>
    <w:r w:rsidR="00547E6C" w:rsidRPr="0050529F">
      <w:rPr>
        <w:rFonts w:ascii="Franklin Gothic Medium" w:hAnsi="Franklin Gothic Medium"/>
        <w:color w:val="54534A"/>
        <w:sz w:val="14"/>
        <w:szCs w:val="14"/>
      </w:rPr>
      <w:fldChar w:fldCharType="separate"/>
    </w:r>
    <w:r w:rsidR="00547E6C">
      <w:rPr>
        <w:rFonts w:ascii="Franklin Gothic Medium" w:hAnsi="Franklin Gothic Medium"/>
        <w:noProof/>
        <w:color w:val="54534A"/>
        <w:sz w:val="14"/>
        <w:szCs w:val="14"/>
      </w:rPr>
      <w:t>2</w:t>
    </w:r>
    <w:r w:rsidR="00547E6C" w:rsidRPr="0050529F">
      <w:rPr>
        <w:rFonts w:ascii="Franklin Gothic Medium" w:hAnsi="Franklin Gothic Medium"/>
        <w:color w:val="54534A"/>
        <w:sz w:val="14"/>
        <w:szCs w:val="14"/>
      </w:rPr>
      <w:fldChar w:fldCharType="end"/>
    </w:r>
    <w:r>
      <w:rPr>
        <w:noProof/>
        <w:lang w:val="en-AU" w:eastAsia="en-AU"/>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8498840</wp:posOffset>
              </wp:positionV>
              <wp:extent cx="7379970" cy="2181860"/>
              <wp:effectExtent l="0" t="0" r="0" b="0"/>
              <wp:wrapNone/>
              <wp:docPr id="32"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E7B15" id="Rectangle 7" o:spid="_x0000_s1026" alt="AusAID web address graphic" style="position:absolute;margin-left:0;margin-top:669.2pt;width:581.1pt;height:1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Ms0Ss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YyzRKwDAADc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lang w:val="en-AU" w:eastAsia="en-AU"/>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8498840</wp:posOffset>
              </wp:positionV>
              <wp:extent cx="7379970" cy="2181860"/>
              <wp:effectExtent l="0" t="0" r="0" b="0"/>
              <wp:wrapNone/>
              <wp:docPr id="33"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2FFA" id="Rectangle 8" o:spid="_x0000_s1026" alt="AusAID web address graphic"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ZsnCsAwAA3A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69mycKwDAADc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A7" w:rsidRPr="008C5A0E" w:rsidRDefault="002D6EA7" w:rsidP="00106054">
      <w:pPr>
        <w:pStyle w:val="Footer"/>
        <w:pBdr>
          <w:top w:val="single" w:sz="4" w:space="1" w:color="495965"/>
        </w:pBdr>
      </w:pPr>
    </w:p>
  </w:footnote>
  <w:footnote w:type="continuationSeparator" w:id="0">
    <w:p w:rsidR="002D6EA7" w:rsidRDefault="002D6EA7" w:rsidP="00EF4574">
      <w:pPr>
        <w:spacing w:before="0" w:after="0" w:line="240" w:lineRule="auto"/>
      </w:pPr>
      <w:r>
        <w:continuationSeparator/>
      </w:r>
    </w:p>
  </w:footnote>
  <w:footnote w:id="1">
    <w:p w:rsidR="00373966" w:rsidRPr="00373966" w:rsidRDefault="00373966">
      <w:pPr>
        <w:pStyle w:val="FootnoteText"/>
        <w:rPr>
          <w:lang w:val="en-AU"/>
        </w:rPr>
      </w:pPr>
      <w:r>
        <w:rPr>
          <w:rStyle w:val="FootnoteReference"/>
        </w:rPr>
        <w:footnoteRef/>
      </w:r>
      <w:r>
        <w:t xml:space="preserve"> </w:t>
      </w:r>
      <w:r w:rsidRPr="00373966">
        <w:rPr>
          <w:szCs w:val="12"/>
        </w:rPr>
        <w:t>The number of water and sanitation connections that Australia is responsible for will decrease as the Government of Indonesia increases its contribution in the coming years.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Pr="003D352D" w:rsidRDefault="00547E6C" w:rsidP="003D352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Pr="00333501" w:rsidRDefault="00D64950" w:rsidP="008F56A8">
    <w:pPr>
      <w:pStyle w:val="Header"/>
      <w:jc w:val="left"/>
    </w:pPr>
    <w:r>
      <w:rPr>
        <w:noProof/>
        <w:lang w:val="en-AU" w:eastAsia="en-AU"/>
      </w:rPr>
      <w:drawing>
        <wp:anchor distT="0" distB="0" distL="114300" distR="114300" simplePos="0" relativeHeight="251655168" behindDoc="1" locked="1" layoutInCell="1" allowOverlap="1">
          <wp:simplePos x="0" y="0"/>
          <wp:positionH relativeFrom="page">
            <wp:posOffset>219710</wp:posOffset>
          </wp:positionH>
          <wp:positionV relativeFrom="page">
            <wp:posOffset>193040</wp:posOffset>
          </wp:positionV>
          <wp:extent cx="7545705" cy="1070229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C9" w:rsidRPr="00333501" w:rsidRDefault="00320DC9" w:rsidP="008F56A8">
    <w:pPr>
      <w:pStyle w:val="Header"/>
      <w:jc w:val="left"/>
    </w:pPr>
    <w:r>
      <w:rPr>
        <w:noProof/>
        <w:lang w:val="en-AU" w:eastAsia="en-AU"/>
      </w:rPr>
      <w:drawing>
        <wp:anchor distT="0" distB="0" distL="114300" distR="114300" simplePos="0" relativeHeight="251662336" behindDoc="1" locked="1" layoutInCell="1" allowOverlap="1" wp14:anchorId="181C9F0A" wp14:editId="1D0DFBF5">
          <wp:simplePos x="0" y="0"/>
          <wp:positionH relativeFrom="page">
            <wp:posOffset>219075</wp:posOffset>
          </wp:positionH>
          <wp:positionV relativeFrom="page">
            <wp:posOffset>189865</wp:posOffset>
          </wp:positionV>
          <wp:extent cx="10241280" cy="10702290"/>
          <wp:effectExtent l="0" t="0" r="7620" b="381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1280"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Pr="00333501" w:rsidRDefault="00D64950" w:rsidP="008F56A8">
    <w:pPr>
      <w:pStyle w:val="Header"/>
      <w:jc w:val="left"/>
    </w:pPr>
    <w:r>
      <w:rPr>
        <w:noProof/>
        <w:lang w:val="en-AU" w:eastAsia="en-AU"/>
      </w:rPr>
      <w:drawing>
        <wp:anchor distT="0" distB="0" distL="114300" distR="114300" simplePos="0" relativeHeight="251659264" behindDoc="1" locked="1" layoutInCell="1" allowOverlap="1">
          <wp:simplePos x="0" y="0"/>
          <wp:positionH relativeFrom="page">
            <wp:posOffset>219710</wp:posOffset>
          </wp:positionH>
          <wp:positionV relativeFrom="page">
            <wp:posOffset>193040</wp:posOffset>
          </wp:positionV>
          <wp:extent cx="7545705" cy="1070229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Default="00547E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C9" w:rsidRPr="00333501" w:rsidRDefault="00320DC9" w:rsidP="008F56A8">
    <w:pPr>
      <w:pStyle w:val="Header"/>
      <w:jc w:val="left"/>
    </w:pPr>
    <w:r>
      <w:rPr>
        <w:noProof/>
        <w:lang w:val="en-AU" w:eastAsia="en-AU"/>
      </w:rPr>
      <w:drawing>
        <wp:anchor distT="0" distB="0" distL="114300" distR="114300" simplePos="0" relativeHeight="251654143" behindDoc="1" locked="1" layoutInCell="1" allowOverlap="1" wp14:anchorId="38D5B855" wp14:editId="7A0D59F6">
          <wp:simplePos x="0" y="0"/>
          <wp:positionH relativeFrom="page">
            <wp:posOffset>219075</wp:posOffset>
          </wp:positionH>
          <wp:positionV relativeFrom="page">
            <wp:posOffset>189865</wp:posOffset>
          </wp:positionV>
          <wp:extent cx="10204450" cy="10702290"/>
          <wp:effectExtent l="0" t="0" r="6350" b="3810"/>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4450"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E6C" w:rsidRPr="00333501" w:rsidRDefault="00D64950" w:rsidP="008F56A8">
    <w:pPr>
      <w:pStyle w:val="Header"/>
      <w:jc w:val="left"/>
    </w:pPr>
    <w:r>
      <w:rPr>
        <w:noProof/>
        <w:lang w:val="en-AU" w:eastAsia="en-AU"/>
      </w:rPr>
      <w:drawing>
        <wp:anchor distT="0" distB="0" distL="114300" distR="114300" simplePos="0" relativeHeight="251656192" behindDoc="1" locked="1" layoutInCell="1" allowOverlap="1">
          <wp:simplePos x="0" y="0"/>
          <wp:positionH relativeFrom="page">
            <wp:posOffset>7620</wp:posOffset>
          </wp:positionH>
          <wp:positionV relativeFrom="page">
            <wp:posOffset>57785</wp:posOffset>
          </wp:positionV>
          <wp:extent cx="10800080" cy="7560310"/>
          <wp:effectExtent l="0" t="0" r="0" b="0"/>
          <wp:wrapNone/>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80" cy="7560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E26"/>
    <w:multiLevelType w:val="hybridMultilevel"/>
    <w:tmpl w:val="E26CC786"/>
    <w:lvl w:ilvl="0" w:tplc="256AB89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1B3D21"/>
    <w:multiLevelType w:val="hybridMultilevel"/>
    <w:tmpl w:val="45BCCE96"/>
    <w:lvl w:ilvl="0" w:tplc="6D780FD2">
      <w:numFmt w:val="bullet"/>
      <w:lvlText w:val="-"/>
      <w:lvlJc w:val="left"/>
      <w:pPr>
        <w:ind w:left="1080" w:hanging="360"/>
      </w:pPr>
      <w:rPr>
        <w:rFonts w:ascii="Calibri Light" w:eastAsia="Calibri Light" w:hAnsi="Calibri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F72B59"/>
    <w:multiLevelType w:val="hybridMultilevel"/>
    <w:tmpl w:val="47D4F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A383A"/>
    <w:multiLevelType w:val="hybridMultilevel"/>
    <w:tmpl w:val="4E66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CD6451B"/>
    <w:multiLevelType w:val="hybridMultilevel"/>
    <w:tmpl w:val="F350064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A869D6"/>
    <w:multiLevelType w:val="hybridMultilevel"/>
    <w:tmpl w:val="20A81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D0286D"/>
    <w:multiLevelType w:val="hybridMultilevel"/>
    <w:tmpl w:val="CB424F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037ECB"/>
    <w:multiLevelType w:val="hybridMultilevel"/>
    <w:tmpl w:val="B186EA72"/>
    <w:lvl w:ilvl="0" w:tplc="29B20900">
      <w:numFmt w:val="bullet"/>
      <w:lvlText w:val="-"/>
      <w:lvlJc w:val="left"/>
      <w:pPr>
        <w:ind w:left="360" w:hanging="360"/>
      </w:pPr>
      <w:rPr>
        <w:rFonts w:ascii="Calibri" w:eastAsia="Times New Roman" w:hAnsi="Calibri" w:cs="Times New Roman" w:hint="default"/>
        <w:b w:val="0"/>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C91BA6"/>
    <w:multiLevelType w:val="hybridMultilevel"/>
    <w:tmpl w:val="A88A51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510CE"/>
    <w:multiLevelType w:val="hybridMultilevel"/>
    <w:tmpl w:val="6BFC3C32"/>
    <w:lvl w:ilvl="0" w:tplc="4EEE81D6">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82B2859"/>
    <w:multiLevelType w:val="hybridMultilevel"/>
    <w:tmpl w:val="4CFA6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A314163"/>
    <w:multiLevelType w:val="hybridMultilevel"/>
    <w:tmpl w:val="FB86C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3C1EA7"/>
    <w:multiLevelType w:val="multilevel"/>
    <w:tmpl w:val="43428892"/>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2F5259A"/>
    <w:multiLevelType w:val="hybridMultilevel"/>
    <w:tmpl w:val="62ACEDF4"/>
    <w:lvl w:ilvl="0" w:tplc="DEC6EA18">
      <w:numFmt w:val="bullet"/>
      <w:lvlText w:val="-"/>
      <w:lvlJc w:val="left"/>
      <w:pPr>
        <w:ind w:left="1080" w:hanging="360"/>
      </w:pPr>
      <w:rPr>
        <w:rFonts w:ascii="Calibri Light" w:eastAsia="Calibri Light" w:hAnsi="Calibri Light"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6D7598F"/>
    <w:multiLevelType w:val="hybridMultilevel"/>
    <w:tmpl w:val="F6D01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5069A6"/>
    <w:multiLevelType w:val="hybridMultilevel"/>
    <w:tmpl w:val="8A8C8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6"/>
  </w:num>
  <w:num w:numId="4">
    <w:abstractNumId w:val="15"/>
  </w:num>
  <w:num w:numId="5">
    <w:abstractNumId w:val="18"/>
  </w:num>
  <w:num w:numId="6">
    <w:abstractNumId w:val="6"/>
  </w:num>
  <w:num w:numId="7">
    <w:abstractNumId w:val="17"/>
  </w:num>
  <w:num w:numId="8">
    <w:abstractNumId w:val="1"/>
  </w:num>
  <w:num w:numId="9">
    <w:abstractNumId w:val="12"/>
  </w:num>
  <w:num w:numId="10">
    <w:abstractNumId w:val="3"/>
  </w:num>
  <w:num w:numId="11">
    <w:abstractNumId w:val="9"/>
  </w:num>
  <w:num w:numId="12">
    <w:abstractNumId w:val="14"/>
  </w:num>
  <w:num w:numId="13">
    <w:abstractNumId w:val="7"/>
  </w:num>
  <w:num w:numId="14">
    <w:abstractNumId w:val="19"/>
  </w:num>
  <w:num w:numId="15">
    <w:abstractNumId w:val="11"/>
  </w:num>
  <w:num w:numId="16">
    <w:abstractNumId w:val="21"/>
  </w:num>
  <w:num w:numId="17">
    <w:abstractNumId w:val="19"/>
  </w:num>
  <w:num w:numId="18">
    <w:abstractNumId w:val="2"/>
  </w:num>
  <w:num w:numId="19">
    <w:abstractNumId w:val="10"/>
  </w:num>
  <w:num w:numId="20">
    <w:abstractNumId w:val="13"/>
  </w:num>
  <w:num w:numId="21">
    <w:abstractNumId w:val="0"/>
  </w:num>
  <w:num w:numId="22">
    <w:abstractNumId w:val="8"/>
  </w:num>
  <w:num w:numId="23">
    <w:abstractNumId w:val="4"/>
  </w:num>
  <w:num w:numId="24">
    <w:abstractNumId w:val="19"/>
  </w:num>
  <w:num w:numId="25">
    <w:abstractNumId w:val="5"/>
  </w:num>
  <w:num w:numId="26">
    <w:abstractNumId w:val="22"/>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FA"/>
    <w:rsid w:val="00001DA8"/>
    <w:rsid w:val="0000210C"/>
    <w:rsid w:val="00005A06"/>
    <w:rsid w:val="00005AFA"/>
    <w:rsid w:val="00007A31"/>
    <w:rsid w:val="00010D53"/>
    <w:rsid w:val="00012132"/>
    <w:rsid w:val="00012816"/>
    <w:rsid w:val="000141A5"/>
    <w:rsid w:val="00015069"/>
    <w:rsid w:val="00015316"/>
    <w:rsid w:val="00015E90"/>
    <w:rsid w:val="000205F3"/>
    <w:rsid w:val="0002080A"/>
    <w:rsid w:val="0002309F"/>
    <w:rsid w:val="00023B15"/>
    <w:rsid w:val="00024548"/>
    <w:rsid w:val="00026633"/>
    <w:rsid w:val="0002782F"/>
    <w:rsid w:val="00027963"/>
    <w:rsid w:val="00027BB2"/>
    <w:rsid w:val="00030758"/>
    <w:rsid w:val="00030986"/>
    <w:rsid w:val="00030ACD"/>
    <w:rsid w:val="0003116D"/>
    <w:rsid w:val="00031512"/>
    <w:rsid w:val="00031941"/>
    <w:rsid w:val="00031B43"/>
    <w:rsid w:val="000322C2"/>
    <w:rsid w:val="00032F66"/>
    <w:rsid w:val="00036264"/>
    <w:rsid w:val="00043740"/>
    <w:rsid w:val="00044B6A"/>
    <w:rsid w:val="00046987"/>
    <w:rsid w:val="0004785C"/>
    <w:rsid w:val="00047C01"/>
    <w:rsid w:val="00047D66"/>
    <w:rsid w:val="00051FA7"/>
    <w:rsid w:val="000532D8"/>
    <w:rsid w:val="0005379B"/>
    <w:rsid w:val="00053ACD"/>
    <w:rsid w:val="000547D6"/>
    <w:rsid w:val="00054C7C"/>
    <w:rsid w:val="00054E4D"/>
    <w:rsid w:val="0005571E"/>
    <w:rsid w:val="00055CAA"/>
    <w:rsid w:val="000568ED"/>
    <w:rsid w:val="00056FAA"/>
    <w:rsid w:val="00060073"/>
    <w:rsid w:val="0006019D"/>
    <w:rsid w:val="00060268"/>
    <w:rsid w:val="00062682"/>
    <w:rsid w:val="0006291E"/>
    <w:rsid w:val="00062B11"/>
    <w:rsid w:val="00063689"/>
    <w:rsid w:val="000640CC"/>
    <w:rsid w:val="00064127"/>
    <w:rsid w:val="000641C2"/>
    <w:rsid w:val="00064FF7"/>
    <w:rsid w:val="00065296"/>
    <w:rsid w:val="00066C04"/>
    <w:rsid w:val="00072139"/>
    <w:rsid w:val="000729C6"/>
    <w:rsid w:val="00073E54"/>
    <w:rsid w:val="00074324"/>
    <w:rsid w:val="00076388"/>
    <w:rsid w:val="000774B5"/>
    <w:rsid w:val="000801BA"/>
    <w:rsid w:val="0008259B"/>
    <w:rsid w:val="00084483"/>
    <w:rsid w:val="00084FDE"/>
    <w:rsid w:val="000850DB"/>
    <w:rsid w:val="0008647E"/>
    <w:rsid w:val="00090106"/>
    <w:rsid w:val="00090AB9"/>
    <w:rsid w:val="00091F95"/>
    <w:rsid w:val="00092D63"/>
    <w:rsid w:val="0009397B"/>
    <w:rsid w:val="000947C8"/>
    <w:rsid w:val="00095233"/>
    <w:rsid w:val="00095DE4"/>
    <w:rsid w:val="0009776A"/>
    <w:rsid w:val="00097B9A"/>
    <w:rsid w:val="000A148A"/>
    <w:rsid w:val="000A28C8"/>
    <w:rsid w:val="000A3663"/>
    <w:rsid w:val="000A3D17"/>
    <w:rsid w:val="000A46D4"/>
    <w:rsid w:val="000A54D6"/>
    <w:rsid w:val="000A5E90"/>
    <w:rsid w:val="000A66AB"/>
    <w:rsid w:val="000A7293"/>
    <w:rsid w:val="000B439C"/>
    <w:rsid w:val="000B44C8"/>
    <w:rsid w:val="000B4823"/>
    <w:rsid w:val="000B4832"/>
    <w:rsid w:val="000B73E9"/>
    <w:rsid w:val="000B7929"/>
    <w:rsid w:val="000B7D6E"/>
    <w:rsid w:val="000C1F33"/>
    <w:rsid w:val="000C25F2"/>
    <w:rsid w:val="000C7879"/>
    <w:rsid w:val="000D178B"/>
    <w:rsid w:val="000D2146"/>
    <w:rsid w:val="000D41F5"/>
    <w:rsid w:val="000D50B2"/>
    <w:rsid w:val="000D5596"/>
    <w:rsid w:val="000D5D1E"/>
    <w:rsid w:val="000D66D6"/>
    <w:rsid w:val="000E058B"/>
    <w:rsid w:val="000E0684"/>
    <w:rsid w:val="000E2614"/>
    <w:rsid w:val="000E294E"/>
    <w:rsid w:val="000E314A"/>
    <w:rsid w:val="000E42A5"/>
    <w:rsid w:val="000E53E9"/>
    <w:rsid w:val="000E7820"/>
    <w:rsid w:val="000F03A9"/>
    <w:rsid w:val="000F0A41"/>
    <w:rsid w:val="000F21B0"/>
    <w:rsid w:val="000F4037"/>
    <w:rsid w:val="000F454B"/>
    <w:rsid w:val="000F606C"/>
    <w:rsid w:val="000F620A"/>
    <w:rsid w:val="000F77C7"/>
    <w:rsid w:val="000F7E0A"/>
    <w:rsid w:val="000F7E2C"/>
    <w:rsid w:val="00101FD0"/>
    <w:rsid w:val="001037B8"/>
    <w:rsid w:val="00105C3D"/>
    <w:rsid w:val="00106054"/>
    <w:rsid w:val="0011059B"/>
    <w:rsid w:val="001133E5"/>
    <w:rsid w:val="00113B5B"/>
    <w:rsid w:val="00114668"/>
    <w:rsid w:val="001161CC"/>
    <w:rsid w:val="00123338"/>
    <w:rsid w:val="00123EDD"/>
    <w:rsid w:val="00125F46"/>
    <w:rsid w:val="0012746A"/>
    <w:rsid w:val="00127C8B"/>
    <w:rsid w:val="00130699"/>
    <w:rsid w:val="001311C2"/>
    <w:rsid w:val="00131E02"/>
    <w:rsid w:val="00132389"/>
    <w:rsid w:val="00135BE9"/>
    <w:rsid w:val="00136218"/>
    <w:rsid w:val="0013739B"/>
    <w:rsid w:val="00141AB3"/>
    <w:rsid w:val="0014203A"/>
    <w:rsid w:val="00142BBB"/>
    <w:rsid w:val="00142E03"/>
    <w:rsid w:val="00143D6B"/>
    <w:rsid w:val="0014418F"/>
    <w:rsid w:val="001467DF"/>
    <w:rsid w:val="00147E01"/>
    <w:rsid w:val="00151A8F"/>
    <w:rsid w:val="00153572"/>
    <w:rsid w:val="001541EA"/>
    <w:rsid w:val="00154511"/>
    <w:rsid w:val="0015678F"/>
    <w:rsid w:val="001577CC"/>
    <w:rsid w:val="001605E0"/>
    <w:rsid w:val="00160669"/>
    <w:rsid w:val="00161529"/>
    <w:rsid w:val="0016253B"/>
    <w:rsid w:val="00163AEE"/>
    <w:rsid w:val="00163F59"/>
    <w:rsid w:val="00164BC1"/>
    <w:rsid w:val="00164DFC"/>
    <w:rsid w:val="0016560A"/>
    <w:rsid w:val="001656E1"/>
    <w:rsid w:val="0016770C"/>
    <w:rsid w:val="001679B5"/>
    <w:rsid w:val="00167EB6"/>
    <w:rsid w:val="001704EE"/>
    <w:rsid w:val="00171017"/>
    <w:rsid w:val="0017201F"/>
    <w:rsid w:val="001740CE"/>
    <w:rsid w:val="00176EDA"/>
    <w:rsid w:val="0018080D"/>
    <w:rsid w:val="00180AE9"/>
    <w:rsid w:val="00180CF2"/>
    <w:rsid w:val="00182E7D"/>
    <w:rsid w:val="001846FB"/>
    <w:rsid w:val="001856F7"/>
    <w:rsid w:val="0019231A"/>
    <w:rsid w:val="0019245E"/>
    <w:rsid w:val="0019341B"/>
    <w:rsid w:val="00195426"/>
    <w:rsid w:val="001970B0"/>
    <w:rsid w:val="001A1E1D"/>
    <w:rsid w:val="001A4FFF"/>
    <w:rsid w:val="001A700A"/>
    <w:rsid w:val="001A7397"/>
    <w:rsid w:val="001B297C"/>
    <w:rsid w:val="001B38A5"/>
    <w:rsid w:val="001B4533"/>
    <w:rsid w:val="001B4CC8"/>
    <w:rsid w:val="001B5ECF"/>
    <w:rsid w:val="001B6C49"/>
    <w:rsid w:val="001C0BE0"/>
    <w:rsid w:val="001C2E8D"/>
    <w:rsid w:val="001C4416"/>
    <w:rsid w:val="001C4C28"/>
    <w:rsid w:val="001C51A1"/>
    <w:rsid w:val="001C6905"/>
    <w:rsid w:val="001D0516"/>
    <w:rsid w:val="001D05FB"/>
    <w:rsid w:val="001D1B37"/>
    <w:rsid w:val="001D2459"/>
    <w:rsid w:val="001D246C"/>
    <w:rsid w:val="001D4780"/>
    <w:rsid w:val="001D6135"/>
    <w:rsid w:val="001D663E"/>
    <w:rsid w:val="001D7F9A"/>
    <w:rsid w:val="001E0640"/>
    <w:rsid w:val="001E06CD"/>
    <w:rsid w:val="001E07CB"/>
    <w:rsid w:val="001E1574"/>
    <w:rsid w:val="001E1C41"/>
    <w:rsid w:val="001E1DC0"/>
    <w:rsid w:val="001E2E1B"/>
    <w:rsid w:val="001E4A54"/>
    <w:rsid w:val="001E5370"/>
    <w:rsid w:val="001E7155"/>
    <w:rsid w:val="001F07DD"/>
    <w:rsid w:val="001F1489"/>
    <w:rsid w:val="001F1A33"/>
    <w:rsid w:val="001F2013"/>
    <w:rsid w:val="001F623B"/>
    <w:rsid w:val="001F6353"/>
    <w:rsid w:val="001F65EE"/>
    <w:rsid w:val="001F68C7"/>
    <w:rsid w:val="001F77A2"/>
    <w:rsid w:val="001F77CF"/>
    <w:rsid w:val="001F7A3E"/>
    <w:rsid w:val="001F7B34"/>
    <w:rsid w:val="00200133"/>
    <w:rsid w:val="00200DF8"/>
    <w:rsid w:val="00200EEC"/>
    <w:rsid w:val="0020113F"/>
    <w:rsid w:val="00201A85"/>
    <w:rsid w:val="00201BFA"/>
    <w:rsid w:val="00201CE7"/>
    <w:rsid w:val="00202261"/>
    <w:rsid w:val="00202636"/>
    <w:rsid w:val="00203410"/>
    <w:rsid w:val="0020353E"/>
    <w:rsid w:val="00204CFC"/>
    <w:rsid w:val="002053E2"/>
    <w:rsid w:val="00205C7C"/>
    <w:rsid w:val="00207C0E"/>
    <w:rsid w:val="002102FE"/>
    <w:rsid w:val="00211330"/>
    <w:rsid w:val="002125B3"/>
    <w:rsid w:val="0021268B"/>
    <w:rsid w:val="002139E4"/>
    <w:rsid w:val="002159D9"/>
    <w:rsid w:val="00215ABD"/>
    <w:rsid w:val="00216D31"/>
    <w:rsid w:val="00224B72"/>
    <w:rsid w:val="00224C47"/>
    <w:rsid w:val="00227A68"/>
    <w:rsid w:val="00227AFA"/>
    <w:rsid w:val="00231BD2"/>
    <w:rsid w:val="002335B5"/>
    <w:rsid w:val="00234202"/>
    <w:rsid w:val="00234423"/>
    <w:rsid w:val="00236A53"/>
    <w:rsid w:val="00236BA5"/>
    <w:rsid w:val="00236EEE"/>
    <w:rsid w:val="00237171"/>
    <w:rsid w:val="002378EA"/>
    <w:rsid w:val="0024007C"/>
    <w:rsid w:val="00240393"/>
    <w:rsid w:val="00241DBE"/>
    <w:rsid w:val="00243E7C"/>
    <w:rsid w:val="00244E50"/>
    <w:rsid w:val="00245690"/>
    <w:rsid w:val="00247F55"/>
    <w:rsid w:val="002512E3"/>
    <w:rsid w:val="00252A91"/>
    <w:rsid w:val="0025306B"/>
    <w:rsid w:val="002560BA"/>
    <w:rsid w:val="002571D1"/>
    <w:rsid w:val="00257AF0"/>
    <w:rsid w:val="00262A64"/>
    <w:rsid w:val="00263707"/>
    <w:rsid w:val="002643C9"/>
    <w:rsid w:val="00265068"/>
    <w:rsid w:val="00266716"/>
    <w:rsid w:val="00267886"/>
    <w:rsid w:val="00270C7C"/>
    <w:rsid w:val="00271DC4"/>
    <w:rsid w:val="00272870"/>
    <w:rsid w:val="00273EDA"/>
    <w:rsid w:val="00275927"/>
    <w:rsid w:val="00275DB7"/>
    <w:rsid w:val="00280337"/>
    <w:rsid w:val="0028190F"/>
    <w:rsid w:val="00281B1F"/>
    <w:rsid w:val="00282625"/>
    <w:rsid w:val="0028335F"/>
    <w:rsid w:val="00284957"/>
    <w:rsid w:val="00284CAB"/>
    <w:rsid w:val="00285198"/>
    <w:rsid w:val="00285216"/>
    <w:rsid w:val="0028602A"/>
    <w:rsid w:val="00287440"/>
    <w:rsid w:val="00287C25"/>
    <w:rsid w:val="00287F0A"/>
    <w:rsid w:val="00287F81"/>
    <w:rsid w:val="00291842"/>
    <w:rsid w:val="00295CF2"/>
    <w:rsid w:val="002960AF"/>
    <w:rsid w:val="002968D6"/>
    <w:rsid w:val="00296B57"/>
    <w:rsid w:val="00296B74"/>
    <w:rsid w:val="00297D5F"/>
    <w:rsid w:val="002A082D"/>
    <w:rsid w:val="002A0B81"/>
    <w:rsid w:val="002A1F74"/>
    <w:rsid w:val="002A468F"/>
    <w:rsid w:val="002A51CA"/>
    <w:rsid w:val="002A6C34"/>
    <w:rsid w:val="002A747A"/>
    <w:rsid w:val="002A7604"/>
    <w:rsid w:val="002B170E"/>
    <w:rsid w:val="002B23D2"/>
    <w:rsid w:val="002B28C8"/>
    <w:rsid w:val="002B2D4A"/>
    <w:rsid w:val="002B3E95"/>
    <w:rsid w:val="002B4618"/>
    <w:rsid w:val="002B5E10"/>
    <w:rsid w:val="002C0655"/>
    <w:rsid w:val="002C091A"/>
    <w:rsid w:val="002C180F"/>
    <w:rsid w:val="002C26D2"/>
    <w:rsid w:val="002C2F33"/>
    <w:rsid w:val="002C3192"/>
    <w:rsid w:val="002C4BDC"/>
    <w:rsid w:val="002C6F81"/>
    <w:rsid w:val="002D0411"/>
    <w:rsid w:val="002D1244"/>
    <w:rsid w:val="002D6EA7"/>
    <w:rsid w:val="002D74B1"/>
    <w:rsid w:val="002E133B"/>
    <w:rsid w:val="002E15A9"/>
    <w:rsid w:val="002E195E"/>
    <w:rsid w:val="002E290E"/>
    <w:rsid w:val="002E39D3"/>
    <w:rsid w:val="002E5717"/>
    <w:rsid w:val="002F0023"/>
    <w:rsid w:val="002F22EE"/>
    <w:rsid w:val="002F3101"/>
    <w:rsid w:val="002F3DCC"/>
    <w:rsid w:val="002F4D32"/>
    <w:rsid w:val="002F66D3"/>
    <w:rsid w:val="002F6F0C"/>
    <w:rsid w:val="002F7770"/>
    <w:rsid w:val="003002C0"/>
    <w:rsid w:val="00300457"/>
    <w:rsid w:val="00301144"/>
    <w:rsid w:val="00301293"/>
    <w:rsid w:val="0030132D"/>
    <w:rsid w:val="0030284B"/>
    <w:rsid w:val="003028C0"/>
    <w:rsid w:val="00303347"/>
    <w:rsid w:val="003050BC"/>
    <w:rsid w:val="003063FF"/>
    <w:rsid w:val="003105CC"/>
    <w:rsid w:val="00310722"/>
    <w:rsid w:val="00310C31"/>
    <w:rsid w:val="00313462"/>
    <w:rsid w:val="003148B7"/>
    <w:rsid w:val="003158C3"/>
    <w:rsid w:val="00316983"/>
    <w:rsid w:val="00316BF4"/>
    <w:rsid w:val="00317E54"/>
    <w:rsid w:val="00320DC9"/>
    <w:rsid w:val="0032157D"/>
    <w:rsid w:val="0032198C"/>
    <w:rsid w:val="0032246A"/>
    <w:rsid w:val="0032282E"/>
    <w:rsid w:val="00324147"/>
    <w:rsid w:val="00325CE6"/>
    <w:rsid w:val="00325D55"/>
    <w:rsid w:val="00326220"/>
    <w:rsid w:val="0032661E"/>
    <w:rsid w:val="003274CD"/>
    <w:rsid w:val="003279D3"/>
    <w:rsid w:val="00327E2F"/>
    <w:rsid w:val="00331423"/>
    <w:rsid w:val="003319E8"/>
    <w:rsid w:val="00333501"/>
    <w:rsid w:val="003347E0"/>
    <w:rsid w:val="003352CE"/>
    <w:rsid w:val="00340C0B"/>
    <w:rsid w:val="00340D32"/>
    <w:rsid w:val="00343309"/>
    <w:rsid w:val="00345057"/>
    <w:rsid w:val="003457C4"/>
    <w:rsid w:val="003458A6"/>
    <w:rsid w:val="00345A06"/>
    <w:rsid w:val="00350B22"/>
    <w:rsid w:val="0035119D"/>
    <w:rsid w:val="00351DBA"/>
    <w:rsid w:val="00352734"/>
    <w:rsid w:val="00352763"/>
    <w:rsid w:val="00353BD2"/>
    <w:rsid w:val="00355119"/>
    <w:rsid w:val="0035587D"/>
    <w:rsid w:val="00355BAC"/>
    <w:rsid w:val="00356D9D"/>
    <w:rsid w:val="003575EF"/>
    <w:rsid w:val="0036066D"/>
    <w:rsid w:val="00360A2F"/>
    <w:rsid w:val="00362211"/>
    <w:rsid w:val="003642A3"/>
    <w:rsid w:val="00365134"/>
    <w:rsid w:val="00366FB0"/>
    <w:rsid w:val="00371804"/>
    <w:rsid w:val="00373966"/>
    <w:rsid w:val="00374271"/>
    <w:rsid w:val="00375BC3"/>
    <w:rsid w:val="003768F3"/>
    <w:rsid w:val="00376DF2"/>
    <w:rsid w:val="00377CB3"/>
    <w:rsid w:val="003805E8"/>
    <w:rsid w:val="00381DE9"/>
    <w:rsid w:val="00390DA7"/>
    <w:rsid w:val="00391F98"/>
    <w:rsid w:val="0039312A"/>
    <w:rsid w:val="0039378C"/>
    <w:rsid w:val="00393B18"/>
    <w:rsid w:val="00393C10"/>
    <w:rsid w:val="00393D33"/>
    <w:rsid w:val="00393EF9"/>
    <w:rsid w:val="003A23BB"/>
    <w:rsid w:val="003A257E"/>
    <w:rsid w:val="003A3D50"/>
    <w:rsid w:val="003A4378"/>
    <w:rsid w:val="003A52C8"/>
    <w:rsid w:val="003A6972"/>
    <w:rsid w:val="003A6EA2"/>
    <w:rsid w:val="003B0476"/>
    <w:rsid w:val="003B0793"/>
    <w:rsid w:val="003B0A07"/>
    <w:rsid w:val="003B2A37"/>
    <w:rsid w:val="003B2B55"/>
    <w:rsid w:val="003B2C71"/>
    <w:rsid w:val="003B2DC6"/>
    <w:rsid w:val="003B3E97"/>
    <w:rsid w:val="003B3EA8"/>
    <w:rsid w:val="003B4271"/>
    <w:rsid w:val="003B4A30"/>
    <w:rsid w:val="003B4F12"/>
    <w:rsid w:val="003B799A"/>
    <w:rsid w:val="003B7F93"/>
    <w:rsid w:val="003C03AA"/>
    <w:rsid w:val="003C19D0"/>
    <w:rsid w:val="003C1DBB"/>
    <w:rsid w:val="003C2E38"/>
    <w:rsid w:val="003C3291"/>
    <w:rsid w:val="003C40E9"/>
    <w:rsid w:val="003C4CD2"/>
    <w:rsid w:val="003C5BC0"/>
    <w:rsid w:val="003C63ED"/>
    <w:rsid w:val="003D10AE"/>
    <w:rsid w:val="003D1C66"/>
    <w:rsid w:val="003D1F4B"/>
    <w:rsid w:val="003D2D19"/>
    <w:rsid w:val="003D352D"/>
    <w:rsid w:val="003D3770"/>
    <w:rsid w:val="003D3C38"/>
    <w:rsid w:val="003D3C78"/>
    <w:rsid w:val="003D5121"/>
    <w:rsid w:val="003D6D88"/>
    <w:rsid w:val="003D729D"/>
    <w:rsid w:val="003D7CDF"/>
    <w:rsid w:val="003E0256"/>
    <w:rsid w:val="003E2931"/>
    <w:rsid w:val="003E3F88"/>
    <w:rsid w:val="003E4ED1"/>
    <w:rsid w:val="003E5039"/>
    <w:rsid w:val="003E5140"/>
    <w:rsid w:val="003E5526"/>
    <w:rsid w:val="003E6413"/>
    <w:rsid w:val="003E70EF"/>
    <w:rsid w:val="003E77BA"/>
    <w:rsid w:val="003F0158"/>
    <w:rsid w:val="003F221C"/>
    <w:rsid w:val="003F27CF"/>
    <w:rsid w:val="003F46A5"/>
    <w:rsid w:val="003F66EE"/>
    <w:rsid w:val="003F6CCF"/>
    <w:rsid w:val="003F744B"/>
    <w:rsid w:val="003F75E1"/>
    <w:rsid w:val="00400B0F"/>
    <w:rsid w:val="00402ACC"/>
    <w:rsid w:val="0040493A"/>
    <w:rsid w:val="0040493E"/>
    <w:rsid w:val="00404C04"/>
    <w:rsid w:val="00405964"/>
    <w:rsid w:val="00406905"/>
    <w:rsid w:val="00406B3A"/>
    <w:rsid w:val="00406CF5"/>
    <w:rsid w:val="00407933"/>
    <w:rsid w:val="00407B71"/>
    <w:rsid w:val="00410DDD"/>
    <w:rsid w:val="004120EC"/>
    <w:rsid w:val="00412333"/>
    <w:rsid w:val="0041242A"/>
    <w:rsid w:val="0041272F"/>
    <w:rsid w:val="004128D5"/>
    <w:rsid w:val="00414719"/>
    <w:rsid w:val="00414CEC"/>
    <w:rsid w:val="00416503"/>
    <w:rsid w:val="00416C46"/>
    <w:rsid w:val="00420D70"/>
    <w:rsid w:val="00421BF3"/>
    <w:rsid w:val="004226CD"/>
    <w:rsid w:val="00423F31"/>
    <w:rsid w:val="0042586D"/>
    <w:rsid w:val="00426E08"/>
    <w:rsid w:val="00430DAF"/>
    <w:rsid w:val="00431899"/>
    <w:rsid w:val="00434558"/>
    <w:rsid w:val="00435115"/>
    <w:rsid w:val="00436E23"/>
    <w:rsid w:val="004374AA"/>
    <w:rsid w:val="00437727"/>
    <w:rsid w:val="00440331"/>
    <w:rsid w:val="0044328F"/>
    <w:rsid w:val="00443810"/>
    <w:rsid w:val="00443C1A"/>
    <w:rsid w:val="00443C1B"/>
    <w:rsid w:val="004442E6"/>
    <w:rsid w:val="00447F07"/>
    <w:rsid w:val="00451439"/>
    <w:rsid w:val="00453202"/>
    <w:rsid w:val="004546B3"/>
    <w:rsid w:val="00454BEB"/>
    <w:rsid w:val="00455631"/>
    <w:rsid w:val="00457AEB"/>
    <w:rsid w:val="004614ED"/>
    <w:rsid w:val="004623C1"/>
    <w:rsid w:val="00462689"/>
    <w:rsid w:val="00462904"/>
    <w:rsid w:val="00464AF7"/>
    <w:rsid w:val="0046641A"/>
    <w:rsid w:val="00466BA7"/>
    <w:rsid w:val="00466BF0"/>
    <w:rsid w:val="004700B1"/>
    <w:rsid w:val="0047351F"/>
    <w:rsid w:val="00473BBC"/>
    <w:rsid w:val="00475457"/>
    <w:rsid w:val="004755B6"/>
    <w:rsid w:val="004805CA"/>
    <w:rsid w:val="00482FB9"/>
    <w:rsid w:val="00483FDB"/>
    <w:rsid w:val="00484741"/>
    <w:rsid w:val="00484AEA"/>
    <w:rsid w:val="00484E81"/>
    <w:rsid w:val="00486804"/>
    <w:rsid w:val="004871BB"/>
    <w:rsid w:val="004915FF"/>
    <w:rsid w:val="00492744"/>
    <w:rsid w:val="00492959"/>
    <w:rsid w:val="00495D3F"/>
    <w:rsid w:val="004977A1"/>
    <w:rsid w:val="004A260E"/>
    <w:rsid w:val="004A36B5"/>
    <w:rsid w:val="004A41F1"/>
    <w:rsid w:val="004A4B42"/>
    <w:rsid w:val="004A4CAE"/>
    <w:rsid w:val="004A52AB"/>
    <w:rsid w:val="004A6088"/>
    <w:rsid w:val="004A6495"/>
    <w:rsid w:val="004A6A14"/>
    <w:rsid w:val="004B02E1"/>
    <w:rsid w:val="004B2FAA"/>
    <w:rsid w:val="004B3775"/>
    <w:rsid w:val="004B4019"/>
    <w:rsid w:val="004B553C"/>
    <w:rsid w:val="004B7DCE"/>
    <w:rsid w:val="004C0EF3"/>
    <w:rsid w:val="004C3DDF"/>
    <w:rsid w:val="004C3E67"/>
    <w:rsid w:val="004C5303"/>
    <w:rsid w:val="004C661C"/>
    <w:rsid w:val="004C6A33"/>
    <w:rsid w:val="004D0BA0"/>
    <w:rsid w:val="004D0FC6"/>
    <w:rsid w:val="004D144D"/>
    <w:rsid w:val="004D3242"/>
    <w:rsid w:val="004D37DE"/>
    <w:rsid w:val="004D3B8E"/>
    <w:rsid w:val="004D517F"/>
    <w:rsid w:val="004D575C"/>
    <w:rsid w:val="004D59E9"/>
    <w:rsid w:val="004D6431"/>
    <w:rsid w:val="004D68DC"/>
    <w:rsid w:val="004D7343"/>
    <w:rsid w:val="004E0264"/>
    <w:rsid w:val="004E058F"/>
    <w:rsid w:val="004E2A40"/>
    <w:rsid w:val="004E3B87"/>
    <w:rsid w:val="004E45AB"/>
    <w:rsid w:val="004E5119"/>
    <w:rsid w:val="004E5FC8"/>
    <w:rsid w:val="004E6203"/>
    <w:rsid w:val="004E7765"/>
    <w:rsid w:val="004F017E"/>
    <w:rsid w:val="004F0583"/>
    <w:rsid w:val="004F0632"/>
    <w:rsid w:val="004F14AE"/>
    <w:rsid w:val="004F1560"/>
    <w:rsid w:val="004F1C20"/>
    <w:rsid w:val="004F264C"/>
    <w:rsid w:val="004F2F82"/>
    <w:rsid w:val="004F4DC3"/>
    <w:rsid w:val="004F5735"/>
    <w:rsid w:val="004F5F18"/>
    <w:rsid w:val="004F65B0"/>
    <w:rsid w:val="004F6920"/>
    <w:rsid w:val="004F7E99"/>
    <w:rsid w:val="00500A53"/>
    <w:rsid w:val="00501A76"/>
    <w:rsid w:val="00502FC1"/>
    <w:rsid w:val="00507620"/>
    <w:rsid w:val="00507711"/>
    <w:rsid w:val="0050781C"/>
    <w:rsid w:val="00510921"/>
    <w:rsid w:val="00510AD3"/>
    <w:rsid w:val="00510F03"/>
    <w:rsid w:val="0051167E"/>
    <w:rsid w:val="00511F2E"/>
    <w:rsid w:val="00513348"/>
    <w:rsid w:val="00515031"/>
    <w:rsid w:val="005163A1"/>
    <w:rsid w:val="00516C54"/>
    <w:rsid w:val="00517050"/>
    <w:rsid w:val="00517369"/>
    <w:rsid w:val="0052095D"/>
    <w:rsid w:val="00520FC2"/>
    <w:rsid w:val="005212F4"/>
    <w:rsid w:val="00522857"/>
    <w:rsid w:val="00523F43"/>
    <w:rsid w:val="00524F8B"/>
    <w:rsid w:val="00525333"/>
    <w:rsid w:val="00525449"/>
    <w:rsid w:val="00530506"/>
    <w:rsid w:val="005306F7"/>
    <w:rsid w:val="0053136D"/>
    <w:rsid w:val="00533B5D"/>
    <w:rsid w:val="0053418D"/>
    <w:rsid w:val="00535039"/>
    <w:rsid w:val="00535610"/>
    <w:rsid w:val="005367EA"/>
    <w:rsid w:val="005400C3"/>
    <w:rsid w:val="00540DF3"/>
    <w:rsid w:val="00541C93"/>
    <w:rsid w:val="0054230B"/>
    <w:rsid w:val="005452C3"/>
    <w:rsid w:val="005470A9"/>
    <w:rsid w:val="00547E6C"/>
    <w:rsid w:val="00551152"/>
    <w:rsid w:val="005511BF"/>
    <w:rsid w:val="00551D21"/>
    <w:rsid w:val="005533D9"/>
    <w:rsid w:val="0055451A"/>
    <w:rsid w:val="005545F6"/>
    <w:rsid w:val="005549A4"/>
    <w:rsid w:val="00554A9D"/>
    <w:rsid w:val="005567AD"/>
    <w:rsid w:val="00556EC9"/>
    <w:rsid w:val="005577C4"/>
    <w:rsid w:val="00557B43"/>
    <w:rsid w:val="00560472"/>
    <w:rsid w:val="005627C1"/>
    <w:rsid w:val="0057101E"/>
    <w:rsid w:val="00571117"/>
    <w:rsid w:val="00572C5E"/>
    <w:rsid w:val="00572C63"/>
    <w:rsid w:val="00575C65"/>
    <w:rsid w:val="00575CB9"/>
    <w:rsid w:val="00577D6E"/>
    <w:rsid w:val="00580A7C"/>
    <w:rsid w:val="00581B82"/>
    <w:rsid w:val="00581FED"/>
    <w:rsid w:val="00582286"/>
    <w:rsid w:val="00584EE3"/>
    <w:rsid w:val="00587DB6"/>
    <w:rsid w:val="005901CC"/>
    <w:rsid w:val="0059130F"/>
    <w:rsid w:val="0059146A"/>
    <w:rsid w:val="0059247A"/>
    <w:rsid w:val="00592DCF"/>
    <w:rsid w:val="0059327E"/>
    <w:rsid w:val="00597645"/>
    <w:rsid w:val="005A0FAA"/>
    <w:rsid w:val="005A119C"/>
    <w:rsid w:val="005A1BB3"/>
    <w:rsid w:val="005A319B"/>
    <w:rsid w:val="005A446A"/>
    <w:rsid w:val="005A5344"/>
    <w:rsid w:val="005A6D0D"/>
    <w:rsid w:val="005A71B9"/>
    <w:rsid w:val="005A7690"/>
    <w:rsid w:val="005B061E"/>
    <w:rsid w:val="005B1E66"/>
    <w:rsid w:val="005B1FA2"/>
    <w:rsid w:val="005B37CB"/>
    <w:rsid w:val="005B4052"/>
    <w:rsid w:val="005B4180"/>
    <w:rsid w:val="005B41F8"/>
    <w:rsid w:val="005B5769"/>
    <w:rsid w:val="005B69F8"/>
    <w:rsid w:val="005B6AC0"/>
    <w:rsid w:val="005B7A79"/>
    <w:rsid w:val="005C042A"/>
    <w:rsid w:val="005C1187"/>
    <w:rsid w:val="005C5FE8"/>
    <w:rsid w:val="005D026E"/>
    <w:rsid w:val="005D08DE"/>
    <w:rsid w:val="005D2064"/>
    <w:rsid w:val="005D2C3E"/>
    <w:rsid w:val="005D332A"/>
    <w:rsid w:val="005D3655"/>
    <w:rsid w:val="005D43B5"/>
    <w:rsid w:val="005D4FCD"/>
    <w:rsid w:val="005D6B6D"/>
    <w:rsid w:val="005D7D51"/>
    <w:rsid w:val="005E606B"/>
    <w:rsid w:val="005E6950"/>
    <w:rsid w:val="005E6DD7"/>
    <w:rsid w:val="005E70AC"/>
    <w:rsid w:val="005E79CB"/>
    <w:rsid w:val="005F14DC"/>
    <w:rsid w:val="005F18A2"/>
    <w:rsid w:val="005F18CE"/>
    <w:rsid w:val="005F1975"/>
    <w:rsid w:val="005F211E"/>
    <w:rsid w:val="005F3765"/>
    <w:rsid w:val="005F3BBA"/>
    <w:rsid w:val="005F4361"/>
    <w:rsid w:val="005F68A6"/>
    <w:rsid w:val="005F6A7B"/>
    <w:rsid w:val="005F7D88"/>
    <w:rsid w:val="006003F6"/>
    <w:rsid w:val="0060053B"/>
    <w:rsid w:val="00600CD3"/>
    <w:rsid w:val="00601299"/>
    <w:rsid w:val="00601B9B"/>
    <w:rsid w:val="00601F78"/>
    <w:rsid w:val="00601FD8"/>
    <w:rsid w:val="00602313"/>
    <w:rsid w:val="00602F6C"/>
    <w:rsid w:val="00605BD3"/>
    <w:rsid w:val="00605C7C"/>
    <w:rsid w:val="00605D30"/>
    <w:rsid w:val="0060602B"/>
    <w:rsid w:val="00606E1B"/>
    <w:rsid w:val="006116B4"/>
    <w:rsid w:val="00611898"/>
    <w:rsid w:val="00612667"/>
    <w:rsid w:val="006128B6"/>
    <w:rsid w:val="006136B5"/>
    <w:rsid w:val="00613A92"/>
    <w:rsid w:val="00615574"/>
    <w:rsid w:val="00616CD9"/>
    <w:rsid w:val="006171EC"/>
    <w:rsid w:val="00622BA6"/>
    <w:rsid w:val="00623BA1"/>
    <w:rsid w:val="00623D7D"/>
    <w:rsid w:val="0062577B"/>
    <w:rsid w:val="0062613A"/>
    <w:rsid w:val="0062619C"/>
    <w:rsid w:val="006278D6"/>
    <w:rsid w:val="00630C24"/>
    <w:rsid w:val="00630C6F"/>
    <w:rsid w:val="006314D9"/>
    <w:rsid w:val="0063154F"/>
    <w:rsid w:val="006346BC"/>
    <w:rsid w:val="006360E0"/>
    <w:rsid w:val="006362F7"/>
    <w:rsid w:val="006368BC"/>
    <w:rsid w:val="00636CD4"/>
    <w:rsid w:val="006425FB"/>
    <w:rsid w:val="006454FE"/>
    <w:rsid w:val="00646946"/>
    <w:rsid w:val="00647211"/>
    <w:rsid w:val="006501C0"/>
    <w:rsid w:val="006525B1"/>
    <w:rsid w:val="006527EE"/>
    <w:rsid w:val="006555F3"/>
    <w:rsid w:val="006569DB"/>
    <w:rsid w:val="006575CD"/>
    <w:rsid w:val="006604FA"/>
    <w:rsid w:val="00660844"/>
    <w:rsid w:val="0066124D"/>
    <w:rsid w:val="00662A5D"/>
    <w:rsid w:val="00664164"/>
    <w:rsid w:val="0066598A"/>
    <w:rsid w:val="0066652A"/>
    <w:rsid w:val="006702C2"/>
    <w:rsid w:val="00671170"/>
    <w:rsid w:val="006719A0"/>
    <w:rsid w:val="006728BE"/>
    <w:rsid w:val="00673CB4"/>
    <w:rsid w:val="006744B9"/>
    <w:rsid w:val="006753DB"/>
    <w:rsid w:val="00677569"/>
    <w:rsid w:val="00680522"/>
    <w:rsid w:val="00681F08"/>
    <w:rsid w:val="00682167"/>
    <w:rsid w:val="006832CE"/>
    <w:rsid w:val="00683D11"/>
    <w:rsid w:val="00684AA6"/>
    <w:rsid w:val="00685192"/>
    <w:rsid w:val="00685998"/>
    <w:rsid w:val="00685E78"/>
    <w:rsid w:val="0068771E"/>
    <w:rsid w:val="00687E70"/>
    <w:rsid w:val="00692134"/>
    <w:rsid w:val="00692740"/>
    <w:rsid w:val="0069387D"/>
    <w:rsid w:val="00693A90"/>
    <w:rsid w:val="00693F0A"/>
    <w:rsid w:val="00694BAC"/>
    <w:rsid w:val="006957CF"/>
    <w:rsid w:val="00695A47"/>
    <w:rsid w:val="0069614F"/>
    <w:rsid w:val="00697AD5"/>
    <w:rsid w:val="006A1114"/>
    <w:rsid w:val="006A21B2"/>
    <w:rsid w:val="006A2F83"/>
    <w:rsid w:val="006A3971"/>
    <w:rsid w:val="006A6714"/>
    <w:rsid w:val="006A6898"/>
    <w:rsid w:val="006A6968"/>
    <w:rsid w:val="006B13A8"/>
    <w:rsid w:val="006B24EC"/>
    <w:rsid w:val="006B35F0"/>
    <w:rsid w:val="006B3E12"/>
    <w:rsid w:val="006B51D0"/>
    <w:rsid w:val="006B53A7"/>
    <w:rsid w:val="006B62B0"/>
    <w:rsid w:val="006B64D7"/>
    <w:rsid w:val="006B6C6F"/>
    <w:rsid w:val="006B6C90"/>
    <w:rsid w:val="006C12B9"/>
    <w:rsid w:val="006C143B"/>
    <w:rsid w:val="006C2474"/>
    <w:rsid w:val="006C3122"/>
    <w:rsid w:val="006C33D8"/>
    <w:rsid w:val="006C36AC"/>
    <w:rsid w:val="006C3B08"/>
    <w:rsid w:val="006C3CC1"/>
    <w:rsid w:val="006C42AF"/>
    <w:rsid w:val="006C710C"/>
    <w:rsid w:val="006C7C9B"/>
    <w:rsid w:val="006D0165"/>
    <w:rsid w:val="006D0885"/>
    <w:rsid w:val="006D143B"/>
    <w:rsid w:val="006D2337"/>
    <w:rsid w:val="006D2A41"/>
    <w:rsid w:val="006D48A4"/>
    <w:rsid w:val="006E05E3"/>
    <w:rsid w:val="006E07B0"/>
    <w:rsid w:val="006E1056"/>
    <w:rsid w:val="006E3712"/>
    <w:rsid w:val="006E4635"/>
    <w:rsid w:val="006E4F74"/>
    <w:rsid w:val="006E57C4"/>
    <w:rsid w:val="006E5CE7"/>
    <w:rsid w:val="006E624E"/>
    <w:rsid w:val="006F01C8"/>
    <w:rsid w:val="006F1D76"/>
    <w:rsid w:val="006F27B1"/>
    <w:rsid w:val="006F6B80"/>
    <w:rsid w:val="006F6DEB"/>
    <w:rsid w:val="006F72A7"/>
    <w:rsid w:val="007007BD"/>
    <w:rsid w:val="00700A02"/>
    <w:rsid w:val="00701C1E"/>
    <w:rsid w:val="007040BE"/>
    <w:rsid w:val="007057FB"/>
    <w:rsid w:val="007107A2"/>
    <w:rsid w:val="007109B9"/>
    <w:rsid w:val="007114D1"/>
    <w:rsid w:val="00711B52"/>
    <w:rsid w:val="00711D8E"/>
    <w:rsid w:val="00712672"/>
    <w:rsid w:val="007136D0"/>
    <w:rsid w:val="007143A6"/>
    <w:rsid w:val="00720993"/>
    <w:rsid w:val="00720FDA"/>
    <w:rsid w:val="007216C4"/>
    <w:rsid w:val="00721B0A"/>
    <w:rsid w:val="00721B6C"/>
    <w:rsid w:val="0072212B"/>
    <w:rsid w:val="007231A4"/>
    <w:rsid w:val="0072756F"/>
    <w:rsid w:val="00727D25"/>
    <w:rsid w:val="00730032"/>
    <w:rsid w:val="00730577"/>
    <w:rsid w:val="00732035"/>
    <w:rsid w:val="0073294F"/>
    <w:rsid w:val="00733F3B"/>
    <w:rsid w:val="00734E3F"/>
    <w:rsid w:val="00735FC3"/>
    <w:rsid w:val="00736985"/>
    <w:rsid w:val="00736FD6"/>
    <w:rsid w:val="00737E77"/>
    <w:rsid w:val="00743DB5"/>
    <w:rsid w:val="00744B53"/>
    <w:rsid w:val="0074521B"/>
    <w:rsid w:val="007456B2"/>
    <w:rsid w:val="00745DF5"/>
    <w:rsid w:val="0074681C"/>
    <w:rsid w:val="00746A0D"/>
    <w:rsid w:val="00750362"/>
    <w:rsid w:val="00751751"/>
    <w:rsid w:val="0075175A"/>
    <w:rsid w:val="00751DE5"/>
    <w:rsid w:val="00751F9D"/>
    <w:rsid w:val="007535BF"/>
    <w:rsid w:val="00753642"/>
    <w:rsid w:val="00753C97"/>
    <w:rsid w:val="007545B4"/>
    <w:rsid w:val="007555E6"/>
    <w:rsid w:val="007606DC"/>
    <w:rsid w:val="0076250F"/>
    <w:rsid w:val="007641B0"/>
    <w:rsid w:val="007709A7"/>
    <w:rsid w:val="00771B53"/>
    <w:rsid w:val="00773CC2"/>
    <w:rsid w:val="0077460D"/>
    <w:rsid w:val="00775D00"/>
    <w:rsid w:val="00775E8F"/>
    <w:rsid w:val="0077748F"/>
    <w:rsid w:val="00777A57"/>
    <w:rsid w:val="00782564"/>
    <w:rsid w:val="00783E9C"/>
    <w:rsid w:val="00784031"/>
    <w:rsid w:val="0078555D"/>
    <w:rsid w:val="007862CB"/>
    <w:rsid w:val="00787FBC"/>
    <w:rsid w:val="007908DA"/>
    <w:rsid w:val="007912B3"/>
    <w:rsid w:val="00791529"/>
    <w:rsid w:val="00791AA1"/>
    <w:rsid w:val="00795C15"/>
    <w:rsid w:val="00795DBE"/>
    <w:rsid w:val="00796C20"/>
    <w:rsid w:val="00796C6D"/>
    <w:rsid w:val="0079773B"/>
    <w:rsid w:val="007A462D"/>
    <w:rsid w:val="007A6A6D"/>
    <w:rsid w:val="007A6B19"/>
    <w:rsid w:val="007B01FB"/>
    <w:rsid w:val="007B0E1E"/>
    <w:rsid w:val="007B187F"/>
    <w:rsid w:val="007B379D"/>
    <w:rsid w:val="007B3B92"/>
    <w:rsid w:val="007B4693"/>
    <w:rsid w:val="007B5408"/>
    <w:rsid w:val="007B571E"/>
    <w:rsid w:val="007B5D0D"/>
    <w:rsid w:val="007B6200"/>
    <w:rsid w:val="007B62FC"/>
    <w:rsid w:val="007B6E9A"/>
    <w:rsid w:val="007B71BF"/>
    <w:rsid w:val="007B7A5C"/>
    <w:rsid w:val="007C0AE7"/>
    <w:rsid w:val="007C2B3C"/>
    <w:rsid w:val="007C2EC3"/>
    <w:rsid w:val="007C2EE4"/>
    <w:rsid w:val="007D0B2E"/>
    <w:rsid w:val="007D1B93"/>
    <w:rsid w:val="007D1C14"/>
    <w:rsid w:val="007D4756"/>
    <w:rsid w:val="007D4AD5"/>
    <w:rsid w:val="007D6D7F"/>
    <w:rsid w:val="007E00E6"/>
    <w:rsid w:val="007E0AEC"/>
    <w:rsid w:val="007E152A"/>
    <w:rsid w:val="007E22BF"/>
    <w:rsid w:val="007E23BE"/>
    <w:rsid w:val="007E4CD3"/>
    <w:rsid w:val="007E67E4"/>
    <w:rsid w:val="007E6A5E"/>
    <w:rsid w:val="007E7392"/>
    <w:rsid w:val="007E79AC"/>
    <w:rsid w:val="007E79EC"/>
    <w:rsid w:val="007E7B24"/>
    <w:rsid w:val="007E7F74"/>
    <w:rsid w:val="007F0797"/>
    <w:rsid w:val="007F07AE"/>
    <w:rsid w:val="007F1377"/>
    <w:rsid w:val="007F2974"/>
    <w:rsid w:val="007F3364"/>
    <w:rsid w:val="007F3395"/>
    <w:rsid w:val="007F401C"/>
    <w:rsid w:val="007F40F2"/>
    <w:rsid w:val="007F454D"/>
    <w:rsid w:val="007F5B26"/>
    <w:rsid w:val="007F64E1"/>
    <w:rsid w:val="007F71EE"/>
    <w:rsid w:val="007F73CB"/>
    <w:rsid w:val="007F7AE7"/>
    <w:rsid w:val="0080020B"/>
    <w:rsid w:val="00801B9F"/>
    <w:rsid w:val="00803461"/>
    <w:rsid w:val="0080348E"/>
    <w:rsid w:val="008057FD"/>
    <w:rsid w:val="00805B4B"/>
    <w:rsid w:val="00806E1B"/>
    <w:rsid w:val="008073AB"/>
    <w:rsid w:val="00811938"/>
    <w:rsid w:val="008139D1"/>
    <w:rsid w:val="00813FB0"/>
    <w:rsid w:val="008155CD"/>
    <w:rsid w:val="00815AAB"/>
    <w:rsid w:val="00815F81"/>
    <w:rsid w:val="00823185"/>
    <w:rsid w:val="00824501"/>
    <w:rsid w:val="00825CAE"/>
    <w:rsid w:val="00827854"/>
    <w:rsid w:val="00827BD4"/>
    <w:rsid w:val="00830CBD"/>
    <w:rsid w:val="00831C14"/>
    <w:rsid w:val="00833044"/>
    <w:rsid w:val="0083393A"/>
    <w:rsid w:val="00835934"/>
    <w:rsid w:val="00837370"/>
    <w:rsid w:val="00841598"/>
    <w:rsid w:val="008417ED"/>
    <w:rsid w:val="008419B7"/>
    <w:rsid w:val="0084200F"/>
    <w:rsid w:val="00843AD8"/>
    <w:rsid w:val="00843B3D"/>
    <w:rsid w:val="00844408"/>
    <w:rsid w:val="008456F4"/>
    <w:rsid w:val="00845A4C"/>
    <w:rsid w:val="00846692"/>
    <w:rsid w:val="00846EB3"/>
    <w:rsid w:val="008475F0"/>
    <w:rsid w:val="008521AA"/>
    <w:rsid w:val="00853628"/>
    <w:rsid w:val="00853BEB"/>
    <w:rsid w:val="00854CAA"/>
    <w:rsid w:val="0086109A"/>
    <w:rsid w:val="00861201"/>
    <w:rsid w:val="00861397"/>
    <w:rsid w:val="008636B5"/>
    <w:rsid w:val="00864210"/>
    <w:rsid w:val="00864D71"/>
    <w:rsid w:val="0086542D"/>
    <w:rsid w:val="008673ED"/>
    <w:rsid w:val="0086775B"/>
    <w:rsid w:val="0087013F"/>
    <w:rsid w:val="008702A9"/>
    <w:rsid w:val="00870B83"/>
    <w:rsid w:val="00872B52"/>
    <w:rsid w:val="00874695"/>
    <w:rsid w:val="0087783D"/>
    <w:rsid w:val="008829EF"/>
    <w:rsid w:val="00883098"/>
    <w:rsid w:val="00885373"/>
    <w:rsid w:val="00885989"/>
    <w:rsid w:val="008870BD"/>
    <w:rsid w:val="00891B17"/>
    <w:rsid w:val="008928F9"/>
    <w:rsid w:val="008945E1"/>
    <w:rsid w:val="0089465B"/>
    <w:rsid w:val="008949F3"/>
    <w:rsid w:val="00895B1C"/>
    <w:rsid w:val="00895DB0"/>
    <w:rsid w:val="0089727B"/>
    <w:rsid w:val="00897953"/>
    <w:rsid w:val="008A07BD"/>
    <w:rsid w:val="008A090E"/>
    <w:rsid w:val="008A14A9"/>
    <w:rsid w:val="008A2D88"/>
    <w:rsid w:val="008A3162"/>
    <w:rsid w:val="008A578B"/>
    <w:rsid w:val="008A5AFE"/>
    <w:rsid w:val="008A69D4"/>
    <w:rsid w:val="008B000D"/>
    <w:rsid w:val="008B0736"/>
    <w:rsid w:val="008B2EFB"/>
    <w:rsid w:val="008B68D7"/>
    <w:rsid w:val="008C29CE"/>
    <w:rsid w:val="008C2F58"/>
    <w:rsid w:val="008C3AC2"/>
    <w:rsid w:val="008C41D2"/>
    <w:rsid w:val="008C5A0E"/>
    <w:rsid w:val="008C71BC"/>
    <w:rsid w:val="008C7629"/>
    <w:rsid w:val="008D0784"/>
    <w:rsid w:val="008D0923"/>
    <w:rsid w:val="008D41D4"/>
    <w:rsid w:val="008D588B"/>
    <w:rsid w:val="008D5DB2"/>
    <w:rsid w:val="008D6481"/>
    <w:rsid w:val="008D7834"/>
    <w:rsid w:val="008E06FD"/>
    <w:rsid w:val="008E10DE"/>
    <w:rsid w:val="008E1A67"/>
    <w:rsid w:val="008E20A9"/>
    <w:rsid w:val="008E261A"/>
    <w:rsid w:val="008E2B2E"/>
    <w:rsid w:val="008E3ADB"/>
    <w:rsid w:val="008E5D18"/>
    <w:rsid w:val="008E646C"/>
    <w:rsid w:val="008E66A5"/>
    <w:rsid w:val="008E6E6B"/>
    <w:rsid w:val="008E7762"/>
    <w:rsid w:val="008F1B08"/>
    <w:rsid w:val="008F3049"/>
    <w:rsid w:val="008F365F"/>
    <w:rsid w:val="008F3EBA"/>
    <w:rsid w:val="008F56A8"/>
    <w:rsid w:val="00903946"/>
    <w:rsid w:val="00903B69"/>
    <w:rsid w:val="00904194"/>
    <w:rsid w:val="00904B65"/>
    <w:rsid w:val="00904ECD"/>
    <w:rsid w:val="00904FF2"/>
    <w:rsid w:val="0090510E"/>
    <w:rsid w:val="00905986"/>
    <w:rsid w:val="00906001"/>
    <w:rsid w:val="00906350"/>
    <w:rsid w:val="009114B6"/>
    <w:rsid w:val="00911D92"/>
    <w:rsid w:val="009126E0"/>
    <w:rsid w:val="00914795"/>
    <w:rsid w:val="00915C5A"/>
    <w:rsid w:val="00917BD3"/>
    <w:rsid w:val="009201AB"/>
    <w:rsid w:val="0092164F"/>
    <w:rsid w:val="00921876"/>
    <w:rsid w:val="009226FC"/>
    <w:rsid w:val="00925A71"/>
    <w:rsid w:val="009260B9"/>
    <w:rsid w:val="00926D8F"/>
    <w:rsid w:val="00927C10"/>
    <w:rsid w:val="00930E76"/>
    <w:rsid w:val="00930FF6"/>
    <w:rsid w:val="00935182"/>
    <w:rsid w:val="00935388"/>
    <w:rsid w:val="009357C8"/>
    <w:rsid w:val="00936EE7"/>
    <w:rsid w:val="009402B5"/>
    <w:rsid w:val="009422ED"/>
    <w:rsid w:val="00942736"/>
    <w:rsid w:val="00942784"/>
    <w:rsid w:val="0094378B"/>
    <w:rsid w:val="00944135"/>
    <w:rsid w:val="00944E26"/>
    <w:rsid w:val="009474B7"/>
    <w:rsid w:val="00952C15"/>
    <w:rsid w:val="00954950"/>
    <w:rsid w:val="00955830"/>
    <w:rsid w:val="00956663"/>
    <w:rsid w:val="009566B8"/>
    <w:rsid w:val="00956CC0"/>
    <w:rsid w:val="00957809"/>
    <w:rsid w:val="00957F3C"/>
    <w:rsid w:val="00961381"/>
    <w:rsid w:val="0096253A"/>
    <w:rsid w:val="00962B08"/>
    <w:rsid w:val="00963244"/>
    <w:rsid w:val="00963FA7"/>
    <w:rsid w:val="0096447C"/>
    <w:rsid w:val="0096630D"/>
    <w:rsid w:val="00966487"/>
    <w:rsid w:val="00966D58"/>
    <w:rsid w:val="0097161D"/>
    <w:rsid w:val="00971B1A"/>
    <w:rsid w:val="00972959"/>
    <w:rsid w:val="009730AB"/>
    <w:rsid w:val="00973F6F"/>
    <w:rsid w:val="0097471E"/>
    <w:rsid w:val="0097657C"/>
    <w:rsid w:val="00976A56"/>
    <w:rsid w:val="009803AA"/>
    <w:rsid w:val="009811F7"/>
    <w:rsid w:val="00982A18"/>
    <w:rsid w:val="00983692"/>
    <w:rsid w:val="0098441B"/>
    <w:rsid w:val="00984F31"/>
    <w:rsid w:val="0098672D"/>
    <w:rsid w:val="009903F3"/>
    <w:rsid w:val="0099058F"/>
    <w:rsid w:val="00990ACE"/>
    <w:rsid w:val="00990EB6"/>
    <w:rsid w:val="00991995"/>
    <w:rsid w:val="00991FEC"/>
    <w:rsid w:val="00992BF4"/>
    <w:rsid w:val="00992C76"/>
    <w:rsid w:val="00993075"/>
    <w:rsid w:val="00993A45"/>
    <w:rsid w:val="00995C30"/>
    <w:rsid w:val="009974AA"/>
    <w:rsid w:val="00997CC5"/>
    <w:rsid w:val="009A25EC"/>
    <w:rsid w:val="009A26EA"/>
    <w:rsid w:val="009A2AC4"/>
    <w:rsid w:val="009A3DD8"/>
    <w:rsid w:val="009A3E7A"/>
    <w:rsid w:val="009A4278"/>
    <w:rsid w:val="009A4E4E"/>
    <w:rsid w:val="009A5783"/>
    <w:rsid w:val="009A5ACE"/>
    <w:rsid w:val="009A5C17"/>
    <w:rsid w:val="009A5E56"/>
    <w:rsid w:val="009A60D2"/>
    <w:rsid w:val="009A662A"/>
    <w:rsid w:val="009A6644"/>
    <w:rsid w:val="009A6DCE"/>
    <w:rsid w:val="009B00E4"/>
    <w:rsid w:val="009B1268"/>
    <w:rsid w:val="009B3A2C"/>
    <w:rsid w:val="009B3FA7"/>
    <w:rsid w:val="009B4D3B"/>
    <w:rsid w:val="009C281A"/>
    <w:rsid w:val="009C4131"/>
    <w:rsid w:val="009C4E33"/>
    <w:rsid w:val="009C6911"/>
    <w:rsid w:val="009D184E"/>
    <w:rsid w:val="009D2619"/>
    <w:rsid w:val="009D64B5"/>
    <w:rsid w:val="009D69D9"/>
    <w:rsid w:val="009D72D4"/>
    <w:rsid w:val="009D7407"/>
    <w:rsid w:val="009E0866"/>
    <w:rsid w:val="009E0A3E"/>
    <w:rsid w:val="009E0D7B"/>
    <w:rsid w:val="009E0D92"/>
    <w:rsid w:val="009E191D"/>
    <w:rsid w:val="009E1E20"/>
    <w:rsid w:val="009E3C87"/>
    <w:rsid w:val="009E40B3"/>
    <w:rsid w:val="009E4AF1"/>
    <w:rsid w:val="009E5BE6"/>
    <w:rsid w:val="009E5EC6"/>
    <w:rsid w:val="009E63FF"/>
    <w:rsid w:val="009F1237"/>
    <w:rsid w:val="009F22DF"/>
    <w:rsid w:val="009F2C7B"/>
    <w:rsid w:val="009F2F67"/>
    <w:rsid w:val="009F41C3"/>
    <w:rsid w:val="009F4E0E"/>
    <w:rsid w:val="009F53E1"/>
    <w:rsid w:val="009F5488"/>
    <w:rsid w:val="009F6423"/>
    <w:rsid w:val="00A0047F"/>
    <w:rsid w:val="00A00D12"/>
    <w:rsid w:val="00A00EC4"/>
    <w:rsid w:val="00A0190F"/>
    <w:rsid w:val="00A02F45"/>
    <w:rsid w:val="00A03DA5"/>
    <w:rsid w:val="00A059DD"/>
    <w:rsid w:val="00A076A0"/>
    <w:rsid w:val="00A1091D"/>
    <w:rsid w:val="00A10C02"/>
    <w:rsid w:val="00A1142A"/>
    <w:rsid w:val="00A118BB"/>
    <w:rsid w:val="00A12518"/>
    <w:rsid w:val="00A139CD"/>
    <w:rsid w:val="00A156C7"/>
    <w:rsid w:val="00A22017"/>
    <w:rsid w:val="00A22C3F"/>
    <w:rsid w:val="00A2496E"/>
    <w:rsid w:val="00A24A62"/>
    <w:rsid w:val="00A2655E"/>
    <w:rsid w:val="00A27D4A"/>
    <w:rsid w:val="00A30CE5"/>
    <w:rsid w:val="00A3126E"/>
    <w:rsid w:val="00A31C9F"/>
    <w:rsid w:val="00A32A5A"/>
    <w:rsid w:val="00A332C9"/>
    <w:rsid w:val="00A368A6"/>
    <w:rsid w:val="00A37BA5"/>
    <w:rsid w:val="00A40713"/>
    <w:rsid w:val="00A408E4"/>
    <w:rsid w:val="00A40A1B"/>
    <w:rsid w:val="00A4144F"/>
    <w:rsid w:val="00A427C6"/>
    <w:rsid w:val="00A429B7"/>
    <w:rsid w:val="00A43082"/>
    <w:rsid w:val="00A45226"/>
    <w:rsid w:val="00A457C3"/>
    <w:rsid w:val="00A4592E"/>
    <w:rsid w:val="00A46D16"/>
    <w:rsid w:val="00A477ED"/>
    <w:rsid w:val="00A50F9A"/>
    <w:rsid w:val="00A549D3"/>
    <w:rsid w:val="00A56095"/>
    <w:rsid w:val="00A5678D"/>
    <w:rsid w:val="00A56F14"/>
    <w:rsid w:val="00A57CBD"/>
    <w:rsid w:val="00A601BA"/>
    <w:rsid w:val="00A60CC7"/>
    <w:rsid w:val="00A61428"/>
    <w:rsid w:val="00A61DBB"/>
    <w:rsid w:val="00A663EF"/>
    <w:rsid w:val="00A705AB"/>
    <w:rsid w:val="00A70AF7"/>
    <w:rsid w:val="00A716DA"/>
    <w:rsid w:val="00A73EF8"/>
    <w:rsid w:val="00A7486D"/>
    <w:rsid w:val="00A753AA"/>
    <w:rsid w:val="00A767DB"/>
    <w:rsid w:val="00A7727D"/>
    <w:rsid w:val="00A77BDB"/>
    <w:rsid w:val="00A80462"/>
    <w:rsid w:val="00A8081D"/>
    <w:rsid w:val="00A80A44"/>
    <w:rsid w:val="00A80F95"/>
    <w:rsid w:val="00A81418"/>
    <w:rsid w:val="00A8197B"/>
    <w:rsid w:val="00A8261B"/>
    <w:rsid w:val="00A831E3"/>
    <w:rsid w:val="00A85891"/>
    <w:rsid w:val="00A8590A"/>
    <w:rsid w:val="00A869FD"/>
    <w:rsid w:val="00A86A1A"/>
    <w:rsid w:val="00A87C28"/>
    <w:rsid w:val="00A905BE"/>
    <w:rsid w:val="00A90C35"/>
    <w:rsid w:val="00A90DE6"/>
    <w:rsid w:val="00A915A1"/>
    <w:rsid w:val="00A91A22"/>
    <w:rsid w:val="00A92098"/>
    <w:rsid w:val="00A923B2"/>
    <w:rsid w:val="00A95B31"/>
    <w:rsid w:val="00A96448"/>
    <w:rsid w:val="00A9646A"/>
    <w:rsid w:val="00A96EDE"/>
    <w:rsid w:val="00A97341"/>
    <w:rsid w:val="00A976FD"/>
    <w:rsid w:val="00AA20A9"/>
    <w:rsid w:val="00AA2BCE"/>
    <w:rsid w:val="00AA3AA9"/>
    <w:rsid w:val="00AA76CB"/>
    <w:rsid w:val="00AA7BE3"/>
    <w:rsid w:val="00AB0499"/>
    <w:rsid w:val="00AB2726"/>
    <w:rsid w:val="00AB4149"/>
    <w:rsid w:val="00AB47C9"/>
    <w:rsid w:val="00AB4D04"/>
    <w:rsid w:val="00AC02B7"/>
    <w:rsid w:val="00AC164A"/>
    <w:rsid w:val="00AC32AF"/>
    <w:rsid w:val="00AC36C0"/>
    <w:rsid w:val="00AC67E6"/>
    <w:rsid w:val="00AC6BEA"/>
    <w:rsid w:val="00AD0010"/>
    <w:rsid w:val="00AD18E0"/>
    <w:rsid w:val="00AD4F5B"/>
    <w:rsid w:val="00AD4FD1"/>
    <w:rsid w:val="00AD5148"/>
    <w:rsid w:val="00AD6362"/>
    <w:rsid w:val="00AD7DE0"/>
    <w:rsid w:val="00AE0E40"/>
    <w:rsid w:val="00AE3421"/>
    <w:rsid w:val="00AE3F36"/>
    <w:rsid w:val="00AE624C"/>
    <w:rsid w:val="00AE68E7"/>
    <w:rsid w:val="00AF110C"/>
    <w:rsid w:val="00AF1B85"/>
    <w:rsid w:val="00AF2050"/>
    <w:rsid w:val="00AF2559"/>
    <w:rsid w:val="00AF280B"/>
    <w:rsid w:val="00AF395A"/>
    <w:rsid w:val="00AF3BB4"/>
    <w:rsid w:val="00AF5A20"/>
    <w:rsid w:val="00AF6B24"/>
    <w:rsid w:val="00B00556"/>
    <w:rsid w:val="00B016E1"/>
    <w:rsid w:val="00B029ED"/>
    <w:rsid w:val="00B0374E"/>
    <w:rsid w:val="00B03CA8"/>
    <w:rsid w:val="00B0712F"/>
    <w:rsid w:val="00B07932"/>
    <w:rsid w:val="00B07C43"/>
    <w:rsid w:val="00B10153"/>
    <w:rsid w:val="00B12EB2"/>
    <w:rsid w:val="00B15652"/>
    <w:rsid w:val="00B16C41"/>
    <w:rsid w:val="00B17EEB"/>
    <w:rsid w:val="00B22F10"/>
    <w:rsid w:val="00B2328B"/>
    <w:rsid w:val="00B24EEE"/>
    <w:rsid w:val="00B25519"/>
    <w:rsid w:val="00B2690A"/>
    <w:rsid w:val="00B26C5C"/>
    <w:rsid w:val="00B26CA8"/>
    <w:rsid w:val="00B30C83"/>
    <w:rsid w:val="00B31A06"/>
    <w:rsid w:val="00B322D7"/>
    <w:rsid w:val="00B32E71"/>
    <w:rsid w:val="00B331DC"/>
    <w:rsid w:val="00B34F6F"/>
    <w:rsid w:val="00B3706E"/>
    <w:rsid w:val="00B37B5C"/>
    <w:rsid w:val="00B37BCC"/>
    <w:rsid w:val="00B40AE4"/>
    <w:rsid w:val="00B41A69"/>
    <w:rsid w:val="00B4350E"/>
    <w:rsid w:val="00B4373F"/>
    <w:rsid w:val="00B438D3"/>
    <w:rsid w:val="00B443BA"/>
    <w:rsid w:val="00B46389"/>
    <w:rsid w:val="00B50E90"/>
    <w:rsid w:val="00B5205B"/>
    <w:rsid w:val="00B52B2B"/>
    <w:rsid w:val="00B53097"/>
    <w:rsid w:val="00B5351B"/>
    <w:rsid w:val="00B54EAC"/>
    <w:rsid w:val="00B559DF"/>
    <w:rsid w:val="00B55E19"/>
    <w:rsid w:val="00B5716D"/>
    <w:rsid w:val="00B576CE"/>
    <w:rsid w:val="00B61EF1"/>
    <w:rsid w:val="00B635B8"/>
    <w:rsid w:val="00B63A4E"/>
    <w:rsid w:val="00B6517B"/>
    <w:rsid w:val="00B66E5D"/>
    <w:rsid w:val="00B72025"/>
    <w:rsid w:val="00B72C3E"/>
    <w:rsid w:val="00B73DF2"/>
    <w:rsid w:val="00B741FD"/>
    <w:rsid w:val="00B743CC"/>
    <w:rsid w:val="00B77FB1"/>
    <w:rsid w:val="00B80014"/>
    <w:rsid w:val="00B80475"/>
    <w:rsid w:val="00B80DD5"/>
    <w:rsid w:val="00B8161E"/>
    <w:rsid w:val="00B83321"/>
    <w:rsid w:val="00B83744"/>
    <w:rsid w:val="00B86402"/>
    <w:rsid w:val="00B86836"/>
    <w:rsid w:val="00B8731F"/>
    <w:rsid w:val="00B93B69"/>
    <w:rsid w:val="00B94A2D"/>
    <w:rsid w:val="00B95ACF"/>
    <w:rsid w:val="00B95F32"/>
    <w:rsid w:val="00B96439"/>
    <w:rsid w:val="00BA143F"/>
    <w:rsid w:val="00BA17CC"/>
    <w:rsid w:val="00BA1AA7"/>
    <w:rsid w:val="00BA3A1A"/>
    <w:rsid w:val="00BA4B6D"/>
    <w:rsid w:val="00BA511D"/>
    <w:rsid w:val="00BA519E"/>
    <w:rsid w:val="00BA5DD6"/>
    <w:rsid w:val="00BA6713"/>
    <w:rsid w:val="00BA6CF3"/>
    <w:rsid w:val="00BA6D4B"/>
    <w:rsid w:val="00BA71DF"/>
    <w:rsid w:val="00BB26C5"/>
    <w:rsid w:val="00BB280D"/>
    <w:rsid w:val="00BB4A09"/>
    <w:rsid w:val="00BB6791"/>
    <w:rsid w:val="00BB76A4"/>
    <w:rsid w:val="00BB7EB9"/>
    <w:rsid w:val="00BC216F"/>
    <w:rsid w:val="00BC4ED5"/>
    <w:rsid w:val="00BC514C"/>
    <w:rsid w:val="00BC5441"/>
    <w:rsid w:val="00BC6DF3"/>
    <w:rsid w:val="00BD0A0B"/>
    <w:rsid w:val="00BD1F56"/>
    <w:rsid w:val="00BD3B0E"/>
    <w:rsid w:val="00BD3F3B"/>
    <w:rsid w:val="00BD4245"/>
    <w:rsid w:val="00BD6648"/>
    <w:rsid w:val="00BD685C"/>
    <w:rsid w:val="00BD7631"/>
    <w:rsid w:val="00BE1A0D"/>
    <w:rsid w:val="00BE2336"/>
    <w:rsid w:val="00BE2541"/>
    <w:rsid w:val="00BE44F8"/>
    <w:rsid w:val="00BE4DB9"/>
    <w:rsid w:val="00BF2B08"/>
    <w:rsid w:val="00BF43A6"/>
    <w:rsid w:val="00BF4421"/>
    <w:rsid w:val="00BF4B90"/>
    <w:rsid w:val="00BF4DE6"/>
    <w:rsid w:val="00BF57CD"/>
    <w:rsid w:val="00BF5DED"/>
    <w:rsid w:val="00BF5F16"/>
    <w:rsid w:val="00BF71D8"/>
    <w:rsid w:val="00C018D2"/>
    <w:rsid w:val="00C0422A"/>
    <w:rsid w:val="00C047B7"/>
    <w:rsid w:val="00C04FC8"/>
    <w:rsid w:val="00C075D2"/>
    <w:rsid w:val="00C124B0"/>
    <w:rsid w:val="00C12724"/>
    <w:rsid w:val="00C12771"/>
    <w:rsid w:val="00C12AD8"/>
    <w:rsid w:val="00C12BCC"/>
    <w:rsid w:val="00C14F81"/>
    <w:rsid w:val="00C20600"/>
    <w:rsid w:val="00C223A3"/>
    <w:rsid w:val="00C255DC"/>
    <w:rsid w:val="00C30A9F"/>
    <w:rsid w:val="00C31064"/>
    <w:rsid w:val="00C31633"/>
    <w:rsid w:val="00C33705"/>
    <w:rsid w:val="00C34B1A"/>
    <w:rsid w:val="00C36663"/>
    <w:rsid w:val="00C36F43"/>
    <w:rsid w:val="00C37542"/>
    <w:rsid w:val="00C3758D"/>
    <w:rsid w:val="00C40866"/>
    <w:rsid w:val="00C421B1"/>
    <w:rsid w:val="00C42CDE"/>
    <w:rsid w:val="00C43AC9"/>
    <w:rsid w:val="00C43EBA"/>
    <w:rsid w:val="00C46975"/>
    <w:rsid w:val="00C47500"/>
    <w:rsid w:val="00C50716"/>
    <w:rsid w:val="00C5182A"/>
    <w:rsid w:val="00C518A3"/>
    <w:rsid w:val="00C52899"/>
    <w:rsid w:val="00C52CD1"/>
    <w:rsid w:val="00C53BDD"/>
    <w:rsid w:val="00C545BA"/>
    <w:rsid w:val="00C548A6"/>
    <w:rsid w:val="00C55BF4"/>
    <w:rsid w:val="00C61C22"/>
    <w:rsid w:val="00C624DE"/>
    <w:rsid w:val="00C6260A"/>
    <w:rsid w:val="00C6345D"/>
    <w:rsid w:val="00C63EE9"/>
    <w:rsid w:val="00C65CAD"/>
    <w:rsid w:val="00C65DAE"/>
    <w:rsid w:val="00C6626C"/>
    <w:rsid w:val="00C71BEA"/>
    <w:rsid w:val="00C72757"/>
    <w:rsid w:val="00C741AC"/>
    <w:rsid w:val="00C741F3"/>
    <w:rsid w:val="00C74E1D"/>
    <w:rsid w:val="00C74EF4"/>
    <w:rsid w:val="00C7538F"/>
    <w:rsid w:val="00C7553E"/>
    <w:rsid w:val="00C76062"/>
    <w:rsid w:val="00C7618D"/>
    <w:rsid w:val="00C7759C"/>
    <w:rsid w:val="00C80ECF"/>
    <w:rsid w:val="00C82F6C"/>
    <w:rsid w:val="00C833C5"/>
    <w:rsid w:val="00C84476"/>
    <w:rsid w:val="00C86460"/>
    <w:rsid w:val="00C86E86"/>
    <w:rsid w:val="00C90B2A"/>
    <w:rsid w:val="00C9164A"/>
    <w:rsid w:val="00C92936"/>
    <w:rsid w:val="00C957A5"/>
    <w:rsid w:val="00C95A4E"/>
    <w:rsid w:val="00C9776D"/>
    <w:rsid w:val="00CA0906"/>
    <w:rsid w:val="00CA120D"/>
    <w:rsid w:val="00CA37B1"/>
    <w:rsid w:val="00CA3ECD"/>
    <w:rsid w:val="00CA65E6"/>
    <w:rsid w:val="00CA6614"/>
    <w:rsid w:val="00CA661D"/>
    <w:rsid w:val="00CA68DC"/>
    <w:rsid w:val="00CA6DB5"/>
    <w:rsid w:val="00CA6E63"/>
    <w:rsid w:val="00CB01CE"/>
    <w:rsid w:val="00CB06A0"/>
    <w:rsid w:val="00CB1959"/>
    <w:rsid w:val="00CB20FE"/>
    <w:rsid w:val="00CB2411"/>
    <w:rsid w:val="00CB36A4"/>
    <w:rsid w:val="00CB3CF3"/>
    <w:rsid w:val="00CB5145"/>
    <w:rsid w:val="00CB526D"/>
    <w:rsid w:val="00CB5D07"/>
    <w:rsid w:val="00CB7197"/>
    <w:rsid w:val="00CB73C3"/>
    <w:rsid w:val="00CC0C96"/>
    <w:rsid w:val="00CC17D8"/>
    <w:rsid w:val="00CC343E"/>
    <w:rsid w:val="00CC4280"/>
    <w:rsid w:val="00CC4591"/>
    <w:rsid w:val="00CC5277"/>
    <w:rsid w:val="00CC5550"/>
    <w:rsid w:val="00CC64C6"/>
    <w:rsid w:val="00CC6522"/>
    <w:rsid w:val="00CC77FC"/>
    <w:rsid w:val="00CD00C6"/>
    <w:rsid w:val="00CD0E4B"/>
    <w:rsid w:val="00CD14AB"/>
    <w:rsid w:val="00CD2729"/>
    <w:rsid w:val="00CD2E0C"/>
    <w:rsid w:val="00CD4435"/>
    <w:rsid w:val="00CD497F"/>
    <w:rsid w:val="00CD73AD"/>
    <w:rsid w:val="00CD7912"/>
    <w:rsid w:val="00CE0155"/>
    <w:rsid w:val="00CE10A4"/>
    <w:rsid w:val="00CE24AE"/>
    <w:rsid w:val="00CE4249"/>
    <w:rsid w:val="00CE4298"/>
    <w:rsid w:val="00CE4F53"/>
    <w:rsid w:val="00CE61FC"/>
    <w:rsid w:val="00CE6371"/>
    <w:rsid w:val="00CE759D"/>
    <w:rsid w:val="00CE7FB5"/>
    <w:rsid w:val="00CF03AE"/>
    <w:rsid w:val="00CF0EA0"/>
    <w:rsid w:val="00CF1541"/>
    <w:rsid w:val="00CF1AB5"/>
    <w:rsid w:val="00CF1D27"/>
    <w:rsid w:val="00CF2AC2"/>
    <w:rsid w:val="00CF3E3E"/>
    <w:rsid w:val="00CF559A"/>
    <w:rsid w:val="00CF5B69"/>
    <w:rsid w:val="00CF5CA6"/>
    <w:rsid w:val="00CF6081"/>
    <w:rsid w:val="00CF66AA"/>
    <w:rsid w:val="00CF66FB"/>
    <w:rsid w:val="00CF67AE"/>
    <w:rsid w:val="00D00802"/>
    <w:rsid w:val="00D01004"/>
    <w:rsid w:val="00D0296C"/>
    <w:rsid w:val="00D03110"/>
    <w:rsid w:val="00D03457"/>
    <w:rsid w:val="00D0390C"/>
    <w:rsid w:val="00D0555B"/>
    <w:rsid w:val="00D0727E"/>
    <w:rsid w:val="00D07E08"/>
    <w:rsid w:val="00D10606"/>
    <w:rsid w:val="00D116A9"/>
    <w:rsid w:val="00D11A2D"/>
    <w:rsid w:val="00D12108"/>
    <w:rsid w:val="00D12DB0"/>
    <w:rsid w:val="00D12FDE"/>
    <w:rsid w:val="00D146A2"/>
    <w:rsid w:val="00D1574E"/>
    <w:rsid w:val="00D15A00"/>
    <w:rsid w:val="00D20735"/>
    <w:rsid w:val="00D22127"/>
    <w:rsid w:val="00D2324E"/>
    <w:rsid w:val="00D24A2B"/>
    <w:rsid w:val="00D24C4D"/>
    <w:rsid w:val="00D25522"/>
    <w:rsid w:val="00D26F42"/>
    <w:rsid w:val="00D27030"/>
    <w:rsid w:val="00D274C9"/>
    <w:rsid w:val="00D324F3"/>
    <w:rsid w:val="00D348F1"/>
    <w:rsid w:val="00D351CA"/>
    <w:rsid w:val="00D376C3"/>
    <w:rsid w:val="00D4136A"/>
    <w:rsid w:val="00D42381"/>
    <w:rsid w:val="00D42576"/>
    <w:rsid w:val="00D448CB"/>
    <w:rsid w:val="00D44F69"/>
    <w:rsid w:val="00D45610"/>
    <w:rsid w:val="00D4602F"/>
    <w:rsid w:val="00D46CE4"/>
    <w:rsid w:val="00D47B26"/>
    <w:rsid w:val="00D50606"/>
    <w:rsid w:val="00D5097F"/>
    <w:rsid w:val="00D5232D"/>
    <w:rsid w:val="00D52D5C"/>
    <w:rsid w:val="00D54F8C"/>
    <w:rsid w:val="00D55135"/>
    <w:rsid w:val="00D559CF"/>
    <w:rsid w:val="00D607EB"/>
    <w:rsid w:val="00D60E13"/>
    <w:rsid w:val="00D60EF0"/>
    <w:rsid w:val="00D61203"/>
    <w:rsid w:val="00D622E0"/>
    <w:rsid w:val="00D623A6"/>
    <w:rsid w:val="00D62912"/>
    <w:rsid w:val="00D63E04"/>
    <w:rsid w:val="00D64950"/>
    <w:rsid w:val="00D64BD1"/>
    <w:rsid w:val="00D70194"/>
    <w:rsid w:val="00D7064C"/>
    <w:rsid w:val="00D71985"/>
    <w:rsid w:val="00D72760"/>
    <w:rsid w:val="00D746F4"/>
    <w:rsid w:val="00D75413"/>
    <w:rsid w:val="00D75A8A"/>
    <w:rsid w:val="00D76558"/>
    <w:rsid w:val="00D77348"/>
    <w:rsid w:val="00D7794D"/>
    <w:rsid w:val="00D81CE3"/>
    <w:rsid w:val="00D81EA5"/>
    <w:rsid w:val="00D82927"/>
    <w:rsid w:val="00D840C5"/>
    <w:rsid w:val="00D85A5F"/>
    <w:rsid w:val="00D93746"/>
    <w:rsid w:val="00D94F1B"/>
    <w:rsid w:val="00D95DFF"/>
    <w:rsid w:val="00DA077D"/>
    <w:rsid w:val="00DA0E0D"/>
    <w:rsid w:val="00DA1016"/>
    <w:rsid w:val="00DA256A"/>
    <w:rsid w:val="00DA3BD6"/>
    <w:rsid w:val="00DA4FF3"/>
    <w:rsid w:val="00DA628E"/>
    <w:rsid w:val="00DA6491"/>
    <w:rsid w:val="00DA732C"/>
    <w:rsid w:val="00DB1839"/>
    <w:rsid w:val="00DB4EA8"/>
    <w:rsid w:val="00DB5930"/>
    <w:rsid w:val="00DB5FC2"/>
    <w:rsid w:val="00DB6F8F"/>
    <w:rsid w:val="00DB7422"/>
    <w:rsid w:val="00DB7E58"/>
    <w:rsid w:val="00DC10B6"/>
    <w:rsid w:val="00DC3CFD"/>
    <w:rsid w:val="00DC5307"/>
    <w:rsid w:val="00DC636C"/>
    <w:rsid w:val="00DC70CF"/>
    <w:rsid w:val="00DD1986"/>
    <w:rsid w:val="00DD2162"/>
    <w:rsid w:val="00DD27D0"/>
    <w:rsid w:val="00DD6A04"/>
    <w:rsid w:val="00DD6E4F"/>
    <w:rsid w:val="00DD7FC7"/>
    <w:rsid w:val="00DE01E4"/>
    <w:rsid w:val="00DE084C"/>
    <w:rsid w:val="00DE3D79"/>
    <w:rsid w:val="00DE456A"/>
    <w:rsid w:val="00DE4C4E"/>
    <w:rsid w:val="00DF11A8"/>
    <w:rsid w:val="00DF1B23"/>
    <w:rsid w:val="00DF29A1"/>
    <w:rsid w:val="00DF30AD"/>
    <w:rsid w:val="00DF5454"/>
    <w:rsid w:val="00DF6008"/>
    <w:rsid w:val="00DF67EA"/>
    <w:rsid w:val="00DF6AA9"/>
    <w:rsid w:val="00DF74D2"/>
    <w:rsid w:val="00DF74F2"/>
    <w:rsid w:val="00DF7F4F"/>
    <w:rsid w:val="00E00079"/>
    <w:rsid w:val="00E0120E"/>
    <w:rsid w:val="00E0182A"/>
    <w:rsid w:val="00E02A1B"/>
    <w:rsid w:val="00E06155"/>
    <w:rsid w:val="00E07187"/>
    <w:rsid w:val="00E1167C"/>
    <w:rsid w:val="00E143E9"/>
    <w:rsid w:val="00E170E3"/>
    <w:rsid w:val="00E20CEF"/>
    <w:rsid w:val="00E21652"/>
    <w:rsid w:val="00E21F84"/>
    <w:rsid w:val="00E2224B"/>
    <w:rsid w:val="00E22393"/>
    <w:rsid w:val="00E23111"/>
    <w:rsid w:val="00E23AB4"/>
    <w:rsid w:val="00E24309"/>
    <w:rsid w:val="00E25595"/>
    <w:rsid w:val="00E25FBD"/>
    <w:rsid w:val="00E2634D"/>
    <w:rsid w:val="00E271BD"/>
    <w:rsid w:val="00E27965"/>
    <w:rsid w:val="00E279C7"/>
    <w:rsid w:val="00E30545"/>
    <w:rsid w:val="00E31C9B"/>
    <w:rsid w:val="00E34409"/>
    <w:rsid w:val="00E357B7"/>
    <w:rsid w:val="00E377D3"/>
    <w:rsid w:val="00E4171D"/>
    <w:rsid w:val="00E42924"/>
    <w:rsid w:val="00E45CEB"/>
    <w:rsid w:val="00E45F17"/>
    <w:rsid w:val="00E46065"/>
    <w:rsid w:val="00E5004B"/>
    <w:rsid w:val="00E51B1D"/>
    <w:rsid w:val="00E524D6"/>
    <w:rsid w:val="00E532B8"/>
    <w:rsid w:val="00E53800"/>
    <w:rsid w:val="00E539E2"/>
    <w:rsid w:val="00E53ED6"/>
    <w:rsid w:val="00E574CB"/>
    <w:rsid w:val="00E57627"/>
    <w:rsid w:val="00E57DC1"/>
    <w:rsid w:val="00E6049B"/>
    <w:rsid w:val="00E6081F"/>
    <w:rsid w:val="00E60D36"/>
    <w:rsid w:val="00E62802"/>
    <w:rsid w:val="00E62AA3"/>
    <w:rsid w:val="00E64496"/>
    <w:rsid w:val="00E67067"/>
    <w:rsid w:val="00E67A21"/>
    <w:rsid w:val="00E73285"/>
    <w:rsid w:val="00E76176"/>
    <w:rsid w:val="00E77AE2"/>
    <w:rsid w:val="00E77C97"/>
    <w:rsid w:val="00E77F83"/>
    <w:rsid w:val="00E80958"/>
    <w:rsid w:val="00E81755"/>
    <w:rsid w:val="00E81957"/>
    <w:rsid w:val="00E81A77"/>
    <w:rsid w:val="00E8327B"/>
    <w:rsid w:val="00E840E9"/>
    <w:rsid w:val="00E8611B"/>
    <w:rsid w:val="00E8667C"/>
    <w:rsid w:val="00E86697"/>
    <w:rsid w:val="00E87ABE"/>
    <w:rsid w:val="00E91C48"/>
    <w:rsid w:val="00E9263B"/>
    <w:rsid w:val="00E93DE6"/>
    <w:rsid w:val="00E962F1"/>
    <w:rsid w:val="00E966DD"/>
    <w:rsid w:val="00E96C1A"/>
    <w:rsid w:val="00EA04B2"/>
    <w:rsid w:val="00EA20F3"/>
    <w:rsid w:val="00EA2848"/>
    <w:rsid w:val="00EA487C"/>
    <w:rsid w:val="00EA4FA4"/>
    <w:rsid w:val="00EA6E7E"/>
    <w:rsid w:val="00EA7231"/>
    <w:rsid w:val="00EA7F3B"/>
    <w:rsid w:val="00EB075F"/>
    <w:rsid w:val="00EB1470"/>
    <w:rsid w:val="00EB350F"/>
    <w:rsid w:val="00EB3947"/>
    <w:rsid w:val="00EB3F96"/>
    <w:rsid w:val="00EB4387"/>
    <w:rsid w:val="00EB443A"/>
    <w:rsid w:val="00EB4BC2"/>
    <w:rsid w:val="00EB653E"/>
    <w:rsid w:val="00EB6845"/>
    <w:rsid w:val="00EB6CD1"/>
    <w:rsid w:val="00EB7946"/>
    <w:rsid w:val="00EB7F5D"/>
    <w:rsid w:val="00EC15D5"/>
    <w:rsid w:val="00EC1EA4"/>
    <w:rsid w:val="00EC2135"/>
    <w:rsid w:val="00EC2B3C"/>
    <w:rsid w:val="00EC2EDB"/>
    <w:rsid w:val="00EC454C"/>
    <w:rsid w:val="00EC73CB"/>
    <w:rsid w:val="00ED0211"/>
    <w:rsid w:val="00ED023D"/>
    <w:rsid w:val="00ED2831"/>
    <w:rsid w:val="00ED367C"/>
    <w:rsid w:val="00ED3983"/>
    <w:rsid w:val="00ED43D1"/>
    <w:rsid w:val="00ED467D"/>
    <w:rsid w:val="00ED53DC"/>
    <w:rsid w:val="00EE004F"/>
    <w:rsid w:val="00EE184F"/>
    <w:rsid w:val="00EE1F47"/>
    <w:rsid w:val="00EE244B"/>
    <w:rsid w:val="00EE2CD0"/>
    <w:rsid w:val="00EE2F6B"/>
    <w:rsid w:val="00EE2FF7"/>
    <w:rsid w:val="00EE3901"/>
    <w:rsid w:val="00EE3C9C"/>
    <w:rsid w:val="00EE4EE1"/>
    <w:rsid w:val="00EE52C4"/>
    <w:rsid w:val="00EE6BF5"/>
    <w:rsid w:val="00EE7D7F"/>
    <w:rsid w:val="00EF1ADA"/>
    <w:rsid w:val="00EF1B3E"/>
    <w:rsid w:val="00EF4574"/>
    <w:rsid w:val="00EF51D5"/>
    <w:rsid w:val="00EF588C"/>
    <w:rsid w:val="00F00E3B"/>
    <w:rsid w:val="00F010BB"/>
    <w:rsid w:val="00F015B0"/>
    <w:rsid w:val="00F03A20"/>
    <w:rsid w:val="00F04098"/>
    <w:rsid w:val="00F05F51"/>
    <w:rsid w:val="00F10581"/>
    <w:rsid w:val="00F1138A"/>
    <w:rsid w:val="00F1293C"/>
    <w:rsid w:val="00F12BC4"/>
    <w:rsid w:val="00F13187"/>
    <w:rsid w:val="00F15F5A"/>
    <w:rsid w:val="00F163C2"/>
    <w:rsid w:val="00F17618"/>
    <w:rsid w:val="00F2022E"/>
    <w:rsid w:val="00F206CC"/>
    <w:rsid w:val="00F20F16"/>
    <w:rsid w:val="00F21621"/>
    <w:rsid w:val="00F216AB"/>
    <w:rsid w:val="00F21C74"/>
    <w:rsid w:val="00F234E7"/>
    <w:rsid w:val="00F23A16"/>
    <w:rsid w:val="00F259D0"/>
    <w:rsid w:val="00F26108"/>
    <w:rsid w:val="00F261D4"/>
    <w:rsid w:val="00F2684E"/>
    <w:rsid w:val="00F331BD"/>
    <w:rsid w:val="00F3339B"/>
    <w:rsid w:val="00F33877"/>
    <w:rsid w:val="00F37193"/>
    <w:rsid w:val="00F3786D"/>
    <w:rsid w:val="00F37FA9"/>
    <w:rsid w:val="00F411FE"/>
    <w:rsid w:val="00F42527"/>
    <w:rsid w:val="00F438CD"/>
    <w:rsid w:val="00F43D35"/>
    <w:rsid w:val="00F43ECC"/>
    <w:rsid w:val="00F44649"/>
    <w:rsid w:val="00F44FCD"/>
    <w:rsid w:val="00F4559B"/>
    <w:rsid w:val="00F46ADC"/>
    <w:rsid w:val="00F50BE5"/>
    <w:rsid w:val="00F52524"/>
    <w:rsid w:val="00F52A9B"/>
    <w:rsid w:val="00F53127"/>
    <w:rsid w:val="00F5404C"/>
    <w:rsid w:val="00F55689"/>
    <w:rsid w:val="00F5648A"/>
    <w:rsid w:val="00F56B78"/>
    <w:rsid w:val="00F56FF4"/>
    <w:rsid w:val="00F60C86"/>
    <w:rsid w:val="00F61EAB"/>
    <w:rsid w:val="00F61F5B"/>
    <w:rsid w:val="00F61F7F"/>
    <w:rsid w:val="00F63E23"/>
    <w:rsid w:val="00F64AA9"/>
    <w:rsid w:val="00F667C6"/>
    <w:rsid w:val="00F708C2"/>
    <w:rsid w:val="00F71BEC"/>
    <w:rsid w:val="00F729EF"/>
    <w:rsid w:val="00F73AAE"/>
    <w:rsid w:val="00F747F5"/>
    <w:rsid w:val="00F74842"/>
    <w:rsid w:val="00F74AF1"/>
    <w:rsid w:val="00F753B8"/>
    <w:rsid w:val="00F7568D"/>
    <w:rsid w:val="00F75A5C"/>
    <w:rsid w:val="00F769E3"/>
    <w:rsid w:val="00F76B0D"/>
    <w:rsid w:val="00F7771E"/>
    <w:rsid w:val="00F77CAE"/>
    <w:rsid w:val="00F8125F"/>
    <w:rsid w:val="00F82271"/>
    <w:rsid w:val="00F830FA"/>
    <w:rsid w:val="00F83428"/>
    <w:rsid w:val="00F865BD"/>
    <w:rsid w:val="00F86FBC"/>
    <w:rsid w:val="00F872BC"/>
    <w:rsid w:val="00F918E6"/>
    <w:rsid w:val="00F921B3"/>
    <w:rsid w:val="00F92BC4"/>
    <w:rsid w:val="00F939DD"/>
    <w:rsid w:val="00F94E9C"/>
    <w:rsid w:val="00F94F79"/>
    <w:rsid w:val="00F96A44"/>
    <w:rsid w:val="00F96BB9"/>
    <w:rsid w:val="00F96E17"/>
    <w:rsid w:val="00FA0D3A"/>
    <w:rsid w:val="00FA0F25"/>
    <w:rsid w:val="00FA13EA"/>
    <w:rsid w:val="00FA4D2F"/>
    <w:rsid w:val="00FA5364"/>
    <w:rsid w:val="00FA5841"/>
    <w:rsid w:val="00FA64EC"/>
    <w:rsid w:val="00FA6DCC"/>
    <w:rsid w:val="00FA782C"/>
    <w:rsid w:val="00FB250F"/>
    <w:rsid w:val="00FB375C"/>
    <w:rsid w:val="00FB58E5"/>
    <w:rsid w:val="00FB60B7"/>
    <w:rsid w:val="00FB7474"/>
    <w:rsid w:val="00FC0354"/>
    <w:rsid w:val="00FC0D78"/>
    <w:rsid w:val="00FC1702"/>
    <w:rsid w:val="00FC300F"/>
    <w:rsid w:val="00FC3048"/>
    <w:rsid w:val="00FC7CAF"/>
    <w:rsid w:val="00FD19E4"/>
    <w:rsid w:val="00FD2E25"/>
    <w:rsid w:val="00FD4D56"/>
    <w:rsid w:val="00FD5CC7"/>
    <w:rsid w:val="00FD6782"/>
    <w:rsid w:val="00FD6B10"/>
    <w:rsid w:val="00FD7407"/>
    <w:rsid w:val="00FE247D"/>
    <w:rsid w:val="00FE282A"/>
    <w:rsid w:val="00FE2AE5"/>
    <w:rsid w:val="00FE2E6C"/>
    <w:rsid w:val="00FE46B2"/>
    <w:rsid w:val="00FE529A"/>
    <w:rsid w:val="00FE5FE4"/>
    <w:rsid w:val="00FE6270"/>
    <w:rsid w:val="00FE69D6"/>
    <w:rsid w:val="00FE6D51"/>
    <w:rsid w:val="00FE7FB1"/>
    <w:rsid w:val="00FF09F3"/>
    <w:rsid w:val="00FF0F8B"/>
    <w:rsid w:val="00FF3CFF"/>
    <w:rsid w:val="00FF6DB3"/>
    <w:rsid w:val="00FF7AE9"/>
    <w:rsid w:val="00FF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D411E56"/>
  <w15:docId w15:val="{79C1D9A7-09EE-4CC1-A34A-E908EDF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sz w:val="22"/>
      <w:szCs w:val="22"/>
      <w:lang w:val="en-GB" w:eastAsia="en-US"/>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Calibri" w:eastAsia="Times New Roman" w:hAnsi="Calibr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3428"/>
    <w:rPr>
      <w:rFonts w:ascii="Calibri" w:eastAsia="Times New Roman" w:hAnsi="Calibri" w:cs="Times New Roman"/>
      <w:b/>
      <w:bCs/>
      <w:caps/>
      <w:color w:val="495965"/>
      <w:sz w:val="38"/>
      <w:szCs w:val="28"/>
    </w:rPr>
  </w:style>
  <w:style w:type="character" w:customStyle="1" w:styleId="Heading2Char">
    <w:name w:val="Heading 2 Char"/>
    <w:link w:val="Heading2"/>
    <w:uiPriority w:val="9"/>
    <w:rsid w:val="00A4144F"/>
    <w:rPr>
      <w:rFonts w:ascii="Calibri" w:eastAsia="Times New Roman" w:hAnsi="Calibri" w:cs="Times New Roman"/>
      <w:caps/>
      <w:color w:val="495965"/>
      <w:sz w:val="38"/>
      <w:szCs w:val="26"/>
    </w:rPr>
  </w:style>
  <w:style w:type="character" w:customStyle="1" w:styleId="Heading3Char">
    <w:name w:val="Heading 3 Char"/>
    <w:link w:val="Heading3"/>
    <w:uiPriority w:val="9"/>
    <w:rsid w:val="00ED2831"/>
    <w:rPr>
      <w:rFonts w:ascii="Calibri" w:eastAsia="Times New Roman" w:hAnsi="Calibri" w:cs="Times New Roman"/>
      <w:bCs/>
      <w:color w:val="495965"/>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link w:val="Title"/>
    <w:uiPriority w:val="10"/>
    <w:rsid w:val="00D64BD1"/>
    <w:rPr>
      <w:rFonts w:ascii="Calibri" w:eastAsia="Times New Roman" w:hAnsi="Calibri" w:cs="Times New Roman"/>
      <w:b/>
      <w:bCs/>
      <w:caps/>
      <w:color w:val="495965"/>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Calibri Light" w:hAnsi="Calibri Light"/>
      <w:b w:val="0"/>
      <w:iCs/>
      <w:szCs w:val="24"/>
    </w:rPr>
  </w:style>
  <w:style w:type="character" w:customStyle="1" w:styleId="SubtitleChar">
    <w:name w:val="Subtitle Char"/>
    <w:link w:val="Subtitle"/>
    <w:rsid w:val="00D64BD1"/>
    <w:rPr>
      <w:rFonts w:eastAsia="Times New Roman" w:cs="Times New Roman"/>
      <w:bCs/>
      <w:iCs/>
      <w:caps/>
      <w:color w:val="495965"/>
      <w:spacing w:val="-10"/>
      <w:kern w:val="28"/>
      <w:sz w:val="38"/>
      <w:szCs w:val="24"/>
    </w:rPr>
  </w:style>
  <w:style w:type="paragraph" w:customStyle="1" w:styleId="Bullet1">
    <w:name w:val="Bullet 1"/>
    <w:basedOn w:val="Normal"/>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link w:val="Heading4"/>
    <w:uiPriority w:val="9"/>
    <w:rsid w:val="00A4144F"/>
    <w:rPr>
      <w:rFonts w:ascii="Calibri" w:eastAsia="Times New Roman" w:hAnsi="Calibri" w:cs="Times New Roman"/>
      <w:bCs/>
      <w:iCs/>
      <w:color w:val="495965"/>
      <w:sz w:val="24"/>
      <w:szCs w:val="26"/>
    </w:rPr>
  </w:style>
  <w:style w:type="paragraph" w:styleId="TOC1">
    <w:name w:val="toc 1"/>
    <w:basedOn w:val="Normal"/>
    <w:next w:val="Normal"/>
    <w:autoRedefine/>
    <w:uiPriority w:val="39"/>
    <w:unhideWhenUsed/>
    <w:rsid w:val="00ED2831"/>
    <w:pPr>
      <w:pBdr>
        <w:top w:val="single" w:sz="4" w:space="6" w:color="65C5B4"/>
        <w:between w:val="single" w:sz="4" w:space="6" w:color="65C5B4"/>
      </w:pBdr>
      <w:tabs>
        <w:tab w:val="right" w:pos="9639"/>
      </w:tabs>
      <w:spacing w:after="100" w:line="320" w:lineRule="atLeast"/>
    </w:pPr>
    <w:rPr>
      <w:b/>
      <w:caps/>
      <w:color w:val="65C5B4"/>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imes New Roman"/>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imes New Roman"/>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imes New Roman"/>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imes New Roman"/>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imes New Roman"/>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imes New Roman"/>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sz w:val="28"/>
    </w:rPr>
  </w:style>
  <w:style w:type="table" w:styleId="TableGrid">
    <w:name w:val="Table Grid"/>
    <w:basedOn w:val="TableNormal"/>
    <w:rsid w:val="00ED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992C76"/>
    <w:rPr>
      <w:b/>
      <w:caps/>
      <w:color w:val="495965"/>
      <w:sz w:val="20"/>
    </w:rPr>
  </w:style>
  <w:style w:type="numbering" w:customStyle="1" w:styleId="FigureTitles">
    <w:name w:val="Figure Titles"/>
    <w:uiPriority w:val="99"/>
    <w:rsid w:val="006346BC"/>
    <w:pPr>
      <w:numPr>
        <w:numId w:val="5"/>
      </w:numPr>
    </w:pPr>
  </w:style>
  <w:style w:type="character" w:styleId="Hyperlink">
    <w:name w:val="Hyperlink"/>
    <w:uiPriority w:val="99"/>
    <w:rsid w:val="00F729EF"/>
    <w:rPr>
      <w:rFonts w:ascii="Calibri Light" w:hAnsi="Calibri Light" w:cs="MuseoSans-500"/>
      <w:color w:val="auto"/>
      <w:u w:val="single" w:color="0070C0"/>
    </w:rPr>
  </w:style>
  <w:style w:type="character" w:styleId="IntenseEmphasis">
    <w:name w:val="Intense Emphasis"/>
    <w:uiPriority w:val="21"/>
    <w:qFormat/>
    <w:rsid w:val="00FE6D51"/>
    <w:rPr>
      <w:b/>
      <w:i/>
      <w:iCs/>
      <w:color w:val="auto"/>
    </w:rPr>
  </w:style>
  <w:style w:type="character" w:styleId="Strong">
    <w:name w:val="Strong"/>
    <w:uiPriority w:val="22"/>
    <w:qFormat/>
    <w:rsid w:val="00FE6D51"/>
    <w:rPr>
      <w:b/>
      <w:bCs/>
    </w:rPr>
  </w:style>
  <w:style w:type="character" w:styleId="Emphasis">
    <w:name w:val="Emphasis"/>
    <w:uiPriority w:val="20"/>
    <w:qFormat/>
    <w:rsid w:val="009D7407"/>
    <w:rPr>
      <w:i/>
      <w:iCs/>
    </w:rPr>
  </w:style>
  <w:style w:type="character" w:customStyle="1" w:styleId="Heading5Char">
    <w:name w:val="Heading 5 Char"/>
    <w:link w:val="Heading5"/>
    <w:uiPriority w:val="9"/>
    <w:rsid w:val="00A4144F"/>
    <w:rPr>
      <w:rFonts w:ascii="Calibri" w:eastAsia="Times New Roman" w:hAnsi="Calibri" w:cs="Times New Roman"/>
      <w:b/>
      <w:bCs/>
      <w:iCs/>
      <w:color w:val="495965"/>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rPr>
  </w:style>
  <w:style w:type="character" w:customStyle="1" w:styleId="FooterChar">
    <w:name w:val="Footer Char"/>
    <w:link w:val="Footer"/>
    <w:uiPriority w:val="99"/>
    <w:rsid w:val="00CD0E4B"/>
    <w:rPr>
      <w:color w:val="FFFFFF"/>
    </w:rPr>
  </w:style>
  <w:style w:type="character" w:customStyle="1" w:styleId="Heading6Char">
    <w:name w:val="Heading 6 Char"/>
    <w:link w:val="Heading6"/>
    <w:uiPriority w:val="9"/>
    <w:semiHidden/>
    <w:rsid w:val="00486804"/>
    <w:rPr>
      <w:rFonts w:ascii="Calibri" w:eastAsia="Times New Roman" w:hAnsi="Calibri" w:cs="Times New Roman"/>
      <w:bCs/>
      <w:iCs/>
      <w:color w:val="286B5F"/>
      <w:szCs w:val="26"/>
    </w:rPr>
  </w:style>
  <w:style w:type="character" w:customStyle="1" w:styleId="Heading7Char">
    <w:name w:val="Heading 7 Char"/>
    <w:link w:val="Heading7"/>
    <w:uiPriority w:val="9"/>
    <w:semiHidden/>
    <w:rsid w:val="00486804"/>
    <w:rPr>
      <w:rFonts w:ascii="Calibri" w:eastAsia="Times New Roman" w:hAnsi="Calibri" w:cs="Times New Roman"/>
      <w:bCs/>
      <w:i/>
      <w:color w:val="286B5F"/>
      <w:szCs w:val="26"/>
    </w:rPr>
  </w:style>
  <w:style w:type="character" w:customStyle="1" w:styleId="Heading8Char">
    <w:name w:val="Heading 8 Char"/>
    <w:link w:val="Heading8"/>
    <w:uiPriority w:val="9"/>
    <w:semiHidden/>
    <w:rsid w:val="00486804"/>
    <w:rPr>
      <w:rFonts w:ascii="Calibri" w:eastAsia="Times New Roman" w:hAnsi="Calibri" w:cs="Times New Roman"/>
      <w:bCs/>
      <w:i/>
      <w:color w:val="272727"/>
      <w:sz w:val="21"/>
      <w:szCs w:val="21"/>
    </w:rPr>
  </w:style>
  <w:style w:type="character" w:customStyle="1" w:styleId="Heading9Char">
    <w:name w:val="Heading 9 Char"/>
    <w:link w:val="Heading9"/>
    <w:uiPriority w:val="9"/>
    <w:semiHidden/>
    <w:rsid w:val="00486804"/>
    <w:rPr>
      <w:rFonts w:ascii="Calibri" w:eastAsia="Times New Roman" w:hAnsi="Calibri" w:cs="Times New Roman"/>
      <w:bCs/>
      <w:iCs/>
      <w:color w:val="272727"/>
      <w:sz w:val="21"/>
      <w:szCs w:val="21"/>
    </w:rPr>
  </w:style>
  <w:style w:type="character" w:customStyle="1" w:styleId="LightGrey">
    <w:name w:val="Light Grey"/>
    <w:uiPriority w:val="1"/>
    <w:qFormat/>
    <w:rsid w:val="00ED2831"/>
    <w:rPr>
      <w:color w:val="B0BDC6"/>
    </w:rPr>
  </w:style>
  <w:style w:type="character" w:styleId="PageNumber">
    <w:name w:val="page number"/>
    <w:uiPriority w:val="99"/>
    <w:unhideWhenUsed/>
    <w:rsid w:val="00F5404C"/>
    <w:rPr>
      <w:color w:val="495965"/>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link w:val="Quote"/>
    <w:uiPriority w:val="29"/>
    <w:rsid w:val="00D64BD1"/>
    <w:rPr>
      <w:iCs/>
      <w:color w:val="495965"/>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link w:val="FootnoteText"/>
    <w:uiPriority w:val="99"/>
    <w:semiHidden/>
    <w:rsid w:val="008C5A0E"/>
    <w:rPr>
      <w:color w:val="495965"/>
      <w:sz w:val="12"/>
      <w:szCs w:val="20"/>
    </w:rPr>
  </w:style>
  <w:style w:type="character" w:styleId="FootnoteReference">
    <w:name w:val="footnote reference"/>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sz w:val="18"/>
    </w:rPr>
  </w:style>
  <w:style w:type="character" w:customStyle="1" w:styleId="Green">
    <w:name w:val="Green"/>
    <w:uiPriority w:val="1"/>
    <w:qFormat/>
    <w:rsid w:val="00F83428"/>
    <w:rPr>
      <w:color w:val="ACD08C"/>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paragraph" w:customStyle="1" w:styleId="FootnoteSeparator">
    <w:name w:val="Footnote Separator"/>
    <w:basedOn w:val="Footer"/>
    <w:qFormat/>
    <w:rsid w:val="00ED2831"/>
    <w:pPr>
      <w:pBdr>
        <w:top w:val="single" w:sz="4" w:space="1" w:color="495965"/>
      </w:pBdr>
      <w:tabs>
        <w:tab w:val="right" w:pos="9356"/>
        <w:tab w:val="center" w:pos="10036"/>
      </w:tabs>
      <w:spacing w:line="220" w:lineRule="atLeast"/>
      <w:ind w:right="0"/>
      <w:jc w:val="left"/>
    </w:pPr>
    <w:rPr>
      <w:color w:val="495965"/>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B3E95"/>
    <w:rPr>
      <w:rFonts w:ascii="Tahoma" w:hAnsi="Tahoma" w:cs="Tahoma"/>
      <w:color w:val="495965"/>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olor w:val="auto"/>
      <w:sz w:val="21"/>
      <w:szCs w:val="24"/>
      <w:lang w:val="en-AU" w:eastAsia="en-AU"/>
    </w:rPr>
  </w:style>
  <w:style w:type="character" w:customStyle="1" w:styleId="BodyTextChar">
    <w:name w:val="Body Text Char"/>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iCs/>
      <w:sz w:val="17"/>
      <w:szCs w:val="17"/>
      <w:lang w:eastAsia="en-US"/>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b/>
      <w:iCs/>
      <w:color w:val="auto"/>
      <w:sz w:val="17"/>
      <w:szCs w:val="17"/>
      <w:lang w:val="en-AU"/>
    </w:rPr>
  </w:style>
  <w:style w:type="table" w:customStyle="1" w:styleId="DFATTable">
    <w:name w:val="DFAT Table"/>
    <w:basedOn w:val="TableNormal"/>
    <w:uiPriority w:val="99"/>
    <w:rsid w:val="005B5769"/>
    <w:rPr>
      <w:rFonts w:ascii="Helvetica" w:hAnsi="Helvetica"/>
      <w:sz w:val="17"/>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rPr>
      <w:rFonts w:ascii="Franklin Gothic Book" w:hAnsi="Franklin Gothic Book"/>
      <w:sz w:val="17"/>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Webdings" w:hAnsi="Webdings"/>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iCs/>
      <w:color w:val="auto"/>
      <w:sz w:val="17"/>
      <w:szCs w:val="17"/>
      <w:lang w:val="en-AU"/>
    </w:rPr>
  </w:style>
  <w:style w:type="character" w:styleId="FollowedHyperlink">
    <w:name w:val="FollowedHyperlink"/>
    <w:uiPriority w:val="99"/>
    <w:semiHidden/>
    <w:unhideWhenUsed/>
    <w:rsid w:val="00164DFC"/>
    <w:rPr>
      <w:color w:val="800080"/>
      <w:u w:val="single"/>
    </w:rPr>
  </w:style>
  <w:style w:type="character" w:customStyle="1" w:styleId="normaltextrun">
    <w:name w:val="normaltextrun"/>
    <w:basedOn w:val="DefaultParagraphFont"/>
    <w:rsid w:val="008C71BC"/>
  </w:style>
  <w:style w:type="character" w:styleId="CommentReference">
    <w:name w:val="annotation reference"/>
    <w:rsid w:val="008C71BC"/>
    <w:rPr>
      <w:sz w:val="16"/>
      <w:szCs w:val="16"/>
    </w:rPr>
  </w:style>
  <w:style w:type="paragraph" w:styleId="CommentText">
    <w:name w:val="annotation text"/>
    <w:basedOn w:val="Normal"/>
    <w:link w:val="CommentTextChar"/>
    <w:rsid w:val="008C71BC"/>
    <w:pPr>
      <w:spacing w:line="240" w:lineRule="auto"/>
    </w:pPr>
    <w:rPr>
      <w:sz w:val="20"/>
      <w:szCs w:val="20"/>
    </w:rPr>
  </w:style>
  <w:style w:type="character" w:customStyle="1" w:styleId="CommentTextChar">
    <w:name w:val="Comment Text Char"/>
    <w:link w:val="CommentText"/>
    <w:rsid w:val="008C71BC"/>
    <w:rPr>
      <w:color w:val="495965"/>
      <w:sz w:val="20"/>
      <w:szCs w:val="20"/>
      <w:lang w:val="en-GB"/>
    </w:rPr>
  </w:style>
  <w:style w:type="paragraph" w:styleId="ListParagraph">
    <w:name w:val="List Paragraph"/>
    <w:basedOn w:val="Normal"/>
    <w:uiPriority w:val="34"/>
    <w:qFormat/>
    <w:rsid w:val="00891B17"/>
    <w:pPr>
      <w:ind w:left="720"/>
      <w:contextualSpacing/>
    </w:pPr>
  </w:style>
  <w:style w:type="character" w:customStyle="1" w:styleId="TableheadingChar">
    <w:name w:val="Table heading Char"/>
    <w:link w:val="Tableheading"/>
    <w:uiPriority w:val="2"/>
    <w:locked/>
    <w:rsid w:val="00891B17"/>
    <w:rPr>
      <w:rFonts w:ascii="Franklin Gothic Medium" w:hAnsi="Franklin Gothic Medium"/>
      <w:color w:val="3DA18F"/>
      <w:sz w:val="20"/>
    </w:rPr>
  </w:style>
  <w:style w:type="paragraph" w:customStyle="1" w:styleId="Tableheading">
    <w:name w:val="Table heading"/>
    <w:basedOn w:val="Normal"/>
    <w:link w:val="TableheadingChar"/>
    <w:uiPriority w:val="2"/>
    <w:qFormat/>
    <w:rsid w:val="00891B17"/>
    <w:pPr>
      <w:suppressAutoHyphens w:val="0"/>
      <w:spacing w:before="20" w:after="20" w:line="264" w:lineRule="auto"/>
    </w:pPr>
    <w:rPr>
      <w:rFonts w:ascii="Franklin Gothic Medium" w:hAnsi="Franklin Gothic Medium"/>
      <w:color w:val="3DA18F"/>
      <w:sz w:val="20"/>
      <w:lang w:val="en-AU"/>
    </w:rPr>
  </w:style>
  <w:style w:type="character" w:customStyle="1" w:styleId="TabletextChar">
    <w:name w:val="Table text Char"/>
    <w:link w:val="Tabletext0"/>
    <w:uiPriority w:val="2"/>
    <w:locked/>
    <w:rsid w:val="00891B17"/>
    <w:rPr>
      <w:sz w:val="20"/>
    </w:rPr>
  </w:style>
  <w:style w:type="paragraph" w:customStyle="1" w:styleId="Tabletext0">
    <w:name w:val="Table text"/>
    <w:basedOn w:val="Normal"/>
    <w:link w:val="TabletextChar"/>
    <w:uiPriority w:val="2"/>
    <w:qFormat/>
    <w:rsid w:val="00891B17"/>
    <w:pPr>
      <w:suppressAutoHyphens w:val="0"/>
      <w:spacing w:before="60" w:after="20" w:line="264" w:lineRule="auto"/>
    </w:pPr>
    <w:rPr>
      <w:color w:val="auto"/>
      <w:sz w:val="20"/>
      <w:lang w:val="en-AU"/>
    </w:rPr>
  </w:style>
  <w:style w:type="table" w:customStyle="1" w:styleId="CHtablestyle">
    <w:name w:val="CH table style"/>
    <w:basedOn w:val="TableNormal"/>
    <w:uiPriority w:val="99"/>
    <w:rsid w:val="00891B17"/>
    <w:rPr>
      <w:rFonts w:ascii="Franklin Gothic Book" w:hAnsi="Franklin Gothic Book"/>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jc w:val="left"/>
      </w:pPr>
      <w:rPr>
        <w:rFonts w:ascii="Webdings" w:hAnsi="Webdings" w:hint="default"/>
        <w:color w:val="3DA18F"/>
        <w:sz w:val="20"/>
        <w:szCs w:val="20"/>
      </w:rPr>
      <w:tblPr/>
      <w:tcPr>
        <w:tcBorders>
          <w:top w:val="nil"/>
          <w:left w:val="nil"/>
          <w:bottom w:val="nil"/>
          <w:right w:val="nil"/>
          <w:insideH w:val="nil"/>
          <w:insideV w:val="nil"/>
          <w:tl2br w:val="nil"/>
          <w:tr2bl w:val="nil"/>
        </w:tcBorders>
        <w:shd w:val="clear" w:color="auto" w:fill="C1E7E0"/>
        <w:vAlign w:val="center"/>
      </w:tcPr>
    </w:tblStylePr>
  </w:style>
  <w:style w:type="paragraph" w:styleId="CommentSubject">
    <w:name w:val="annotation subject"/>
    <w:basedOn w:val="CommentText"/>
    <w:next w:val="CommentText"/>
    <w:link w:val="CommentSubjectChar"/>
    <w:uiPriority w:val="99"/>
    <w:semiHidden/>
    <w:unhideWhenUsed/>
    <w:rsid w:val="001E5370"/>
    <w:rPr>
      <w:b/>
      <w:bCs/>
    </w:rPr>
  </w:style>
  <w:style w:type="character" w:customStyle="1" w:styleId="CommentSubjectChar">
    <w:name w:val="Comment Subject Char"/>
    <w:link w:val="CommentSubject"/>
    <w:uiPriority w:val="99"/>
    <w:semiHidden/>
    <w:rsid w:val="001E5370"/>
    <w:rPr>
      <w:b/>
      <w:bCs/>
      <w:color w:val="495965"/>
      <w:sz w:val="20"/>
      <w:szCs w:val="20"/>
      <w:lang w:val="en-GB"/>
    </w:rPr>
  </w:style>
  <w:style w:type="paragraph" w:styleId="EndnoteText">
    <w:name w:val="endnote text"/>
    <w:basedOn w:val="Normal"/>
    <w:link w:val="EndnoteTextChar"/>
    <w:rsid w:val="00730032"/>
    <w:pPr>
      <w:suppressAutoHyphens w:val="0"/>
      <w:spacing w:before="0" w:after="0" w:line="240" w:lineRule="auto"/>
    </w:pPr>
    <w:rPr>
      <w:rFonts w:ascii="Times New Roman" w:eastAsia="Times New Roman" w:hAnsi="Times New Roman"/>
      <w:color w:val="auto"/>
      <w:sz w:val="20"/>
      <w:szCs w:val="20"/>
      <w:lang w:val="en-AU"/>
    </w:rPr>
  </w:style>
  <w:style w:type="character" w:customStyle="1" w:styleId="EndnoteTextChar">
    <w:name w:val="Endnote Text Char"/>
    <w:link w:val="EndnoteText"/>
    <w:rsid w:val="00730032"/>
    <w:rPr>
      <w:rFonts w:ascii="Times New Roman" w:eastAsia="Times New Roman" w:hAnsi="Times New Roman" w:cs="Times New Roman"/>
      <w:sz w:val="20"/>
      <w:szCs w:val="20"/>
    </w:rPr>
  </w:style>
  <w:style w:type="character" w:styleId="EndnoteReference">
    <w:name w:val="endnote reference"/>
    <w:rsid w:val="00730032"/>
    <w:rPr>
      <w:vertAlign w:val="superscript"/>
    </w:rPr>
  </w:style>
  <w:style w:type="paragraph" w:customStyle="1" w:styleId="s8">
    <w:name w:val="s8"/>
    <w:basedOn w:val="Normal"/>
    <w:rsid w:val="00AE3F36"/>
    <w:pPr>
      <w:suppressAutoHyphens w:val="0"/>
      <w:spacing w:before="100" w:beforeAutospacing="1" w:after="100" w:afterAutospacing="1" w:line="240" w:lineRule="auto"/>
    </w:pPr>
    <w:rPr>
      <w:rFonts w:ascii="Times New Roman" w:hAnsi="Times New Roman"/>
      <w:color w:val="auto"/>
      <w:sz w:val="24"/>
      <w:szCs w:val="24"/>
      <w:lang w:val="en-AU" w:eastAsia="en-AU"/>
    </w:rPr>
  </w:style>
  <w:style w:type="character" w:customStyle="1" w:styleId="s6">
    <w:name w:val="s6"/>
    <w:basedOn w:val="DefaultParagraphFont"/>
    <w:rsid w:val="00AE3F36"/>
  </w:style>
  <w:style w:type="character" w:customStyle="1" w:styleId="s7">
    <w:name w:val="s7"/>
    <w:basedOn w:val="DefaultParagraphFont"/>
    <w:rsid w:val="00AE3F36"/>
  </w:style>
  <w:style w:type="table" w:customStyle="1" w:styleId="DFATTable10">
    <w:name w:val="DFAT Table1"/>
    <w:basedOn w:val="TableNormal"/>
    <w:uiPriority w:val="99"/>
    <w:rsid w:val="00C14F81"/>
    <w:rPr>
      <w:rFonts w:ascii="Helvetica" w:hAnsi="Helvetica"/>
      <w:sz w:val="17"/>
    </w:rPr>
    <w:tblPr>
      <w:tblBorders>
        <w:top w:val="single" w:sz="12" w:space="0" w:color="auto"/>
        <w:bottom w:val="single" w:sz="12" w:space="0" w:color="auto"/>
      </w:tblBorders>
    </w:tblPr>
  </w:style>
  <w:style w:type="paragraph" w:customStyle="1" w:styleId="Default">
    <w:name w:val="Default"/>
    <w:basedOn w:val="Normal"/>
    <w:rsid w:val="007E22BF"/>
    <w:pPr>
      <w:suppressAutoHyphens w:val="0"/>
      <w:autoSpaceDE w:val="0"/>
      <w:autoSpaceDN w:val="0"/>
      <w:spacing w:before="0" w:after="0" w:line="240" w:lineRule="auto"/>
    </w:pPr>
    <w:rPr>
      <w:rFonts w:ascii="Calibri" w:hAnsi="Calibri"/>
      <w:color w:val="000000"/>
      <w:sz w:val="24"/>
      <w:szCs w:val="24"/>
      <w:lang w:val="en-AU" w:eastAsia="en-AU"/>
    </w:rPr>
  </w:style>
  <w:style w:type="table" w:customStyle="1" w:styleId="TableGrid1">
    <w:name w:val="Table Grid1"/>
    <w:basedOn w:val="TableNormal"/>
    <w:next w:val="TableGrid"/>
    <w:uiPriority w:val="59"/>
    <w:rsid w:val="008E261A"/>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2378EA"/>
    <w:rPr>
      <w:rFonts w:cs="Calibri"/>
      <w:color w:val="000000"/>
      <w:sz w:val="22"/>
      <w:szCs w:val="22"/>
    </w:rPr>
  </w:style>
  <w:style w:type="table" w:styleId="LightList-Accent1">
    <w:name w:val="Light List Accent 1"/>
    <w:basedOn w:val="TableNormal"/>
    <w:uiPriority w:val="61"/>
    <w:rsid w:val="00BE2336"/>
    <w:tblPr>
      <w:tblStyleRowBandSize w:val="1"/>
      <w:tblStyleColBandSize w:val="1"/>
      <w:tblBorders>
        <w:top w:val="single" w:sz="8" w:space="0" w:color="65C5B4"/>
        <w:left w:val="single" w:sz="8" w:space="0" w:color="65C5B4"/>
        <w:bottom w:val="single" w:sz="8" w:space="0" w:color="65C5B4"/>
        <w:right w:val="single" w:sz="8" w:space="0" w:color="65C5B4"/>
      </w:tblBorders>
    </w:tblPr>
    <w:tblStylePr w:type="firstRow">
      <w:pPr>
        <w:spacing w:before="0" w:after="0" w:line="240" w:lineRule="auto"/>
      </w:pPr>
      <w:rPr>
        <w:b/>
        <w:bCs/>
        <w:color w:val="FFFFFF"/>
      </w:rPr>
      <w:tblPr/>
      <w:tcPr>
        <w:shd w:val="clear" w:color="auto" w:fill="65C5B4"/>
      </w:tcPr>
    </w:tblStylePr>
    <w:tblStylePr w:type="lastRow">
      <w:pPr>
        <w:spacing w:before="0" w:after="0" w:line="240" w:lineRule="auto"/>
      </w:pPr>
      <w:rPr>
        <w:b/>
        <w:bCs/>
      </w:rPr>
      <w:tblPr/>
      <w:tcPr>
        <w:tcBorders>
          <w:top w:val="double" w:sz="6" w:space="0" w:color="65C5B4"/>
          <w:left w:val="single" w:sz="8" w:space="0" w:color="65C5B4"/>
          <w:bottom w:val="single" w:sz="8" w:space="0" w:color="65C5B4"/>
          <w:right w:val="single" w:sz="8" w:space="0" w:color="65C5B4"/>
        </w:tcBorders>
      </w:tcPr>
    </w:tblStylePr>
    <w:tblStylePr w:type="firstCol">
      <w:rPr>
        <w:b/>
        <w:bCs/>
      </w:rPr>
    </w:tblStylePr>
    <w:tblStylePr w:type="lastCol">
      <w:rPr>
        <w:b/>
        <w:bCs/>
      </w:rPr>
    </w:tblStylePr>
    <w:tblStylePr w:type="band1Vert">
      <w:tblPr/>
      <w:tcPr>
        <w:tcBorders>
          <w:top w:val="single" w:sz="8" w:space="0" w:color="65C5B4"/>
          <w:left w:val="single" w:sz="8" w:space="0" w:color="65C5B4"/>
          <w:bottom w:val="single" w:sz="8" w:space="0" w:color="65C5B4"/>
          <w:right w:val="single" w:sz="8" w:space="0" w:color="65C5B4"/>
        </w:tcBorders>
      </w:tcPr>
    </w:tblStylePr>
    <w:tblStylePr w:type="band1Horz">
      <w:tblPr/>
      <w:tcPr>
        <w:tcBorders>
          <w:top w:val="single" w:sz="8" w:space="0" w:color="65C5B4"/>
          <w:left w:val="single" w:sz="8" w:space="0" w:color="65C5B4"/>
          <w:bottom w:val="single" w:sz="8" w:space="0" w:color="65C5B4"/>
          <w:right w:val="single" w:sz="8" w:space="0" w:color="65C5B4"/>
        </w:tcBorders>
      </w:tcPr>
    </w:tblStylePr>
  </w:style>
  <w:style w:type="paragraph" w:styleId="Revision">
    <w:name w:val="Revision"/>
    <w:hidden/>
    <w:uiPriority w:val="99"/>
    <w:semiHidden/>
    <w:rsid w:val="004B7DCE"/>
    <w:rPr>
      <w:color w:val="49596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2444">
      <w:bodyDiv w:val="1"/>
      <w:marLeft w:val="0"/>
      <w:marRight w:val="0"/>
      <w:marTop w:val="0"/>
      <w:marBottom w:val="0"/>
      <w:divBdr>
        <w:top w:val="none" w:sz="0" w:space="0" w:color="auto"/>
        <w:left w:val="none" w:sz="0" w:space="0" w:color="auto"/>
        <w:bottom w:val="none" w:sz="0" w:space="0" w:color="auto"/>
        <w:right w:val="none" w:sz="0" w:space="0" w:color="auto"/>
      </w:divBdr>
    </w:div>
    <w:div w:id="148449138">
      <w:bodyDiv w:val="1"/>
      <w:marLeft w:val="0"/>
      <w:marRight w:val="0"/>
      <w:marTop w:val="0"/>
      <w:marBottom w:val="0"/>
      <w:divBdr>
        <w:top w:val="none" w:sz="0" w:space="0" w:color="auto"/>
        <w:left w:val="none" w:sz="0" w:space="0" w:color="auto"/>
        <w:bottom w:val="none" w:sz="0" w:space="0" w:color="auto"/>
        <w:right w:val="none" w:sz="0" w:space="0" w:color="auto"/>
      </w:divBdr>
    </w:div>
    <w:div w:id="183130043">
      <w:bodyDiv w:val="1"/>
      <w:marLeft w:val="0"/>
      <w:marRight w:val="0"/>
      <w:marTop w:val="0"/>
      <w:marBottom w:val="0"/>
      <w:divBdr>
        <w:top w:val="none" w:sz="0" w:space="0" w:color="auto"/>
        <w:left w:val="none" w:sz="0" w:space="0" w:color="auto"/>
        <w:bottom w:val="none" w:sz="0" w:space="0" w:color="auto"/>
        <w:right w:val="none" w:sz="0" w:space="0" w:color="auto"/>
      </w:divBdr>
    </w:div>
    <w:div w:id="292447621">
      <w:bodyDiv w:val="1"/>
      <w:marLeft w:val="0"/>
      <w:marRight w:val="0"/>
      <w:marTop w:val="0"/>
      <w:marBottom w:val="0"/>
      <w:divBdr>
        <w:top w:val="none" w:sz="0" w:space="0" w:color="auto"/>
        <w:left w:val="none" w:sz="0" w:space="0" w:color="auto"/>
        <w:bottom w:val="none" w:sz="0" w:space="0" w:color="auto"/>
        <w:right w:val="none" w:sz="0" w:space="0" w:color="auto"/>
      </w:divBdr>
    </w:div>
    <w:div w:id="301161096">
      <w:bodyDiv w:val="1"/>
      <w:marLeft w:val="0"/>
      <w:marRight w:val="0"/>
      <w:marTop w:val="0"/>
      <w:marBottom w:val="0"/>
      <w:divBdr>
        <w:top w:val="none" w:sz="0" w:space="0" w:color="auto"/>
        <w:left w:val="none" w:sz="0" w:space="0" w:color="auto"/>
        <w:bottom w:val="none" w:sz="0" w:space="0" w:color="auto"/>
        <w:right w:val="none" w:sz="0" w:space="0" w:color="auto"/>
      </w:divBdr>
    </w:div>
    <w:div w:id="307633941">
      <w:bodyDiv w:val="1"/>
      <w:marLeft w:val="0"/>
      <w:marRight w:val="0"/>
      <w:marTop w:val="0"/>
      <w:marBottom w:val="0"/>
      <w:divBdr>
        <w:top w:val="none" w:sz="0" w:space="0" w:color="auto"/>
        <w:left w:val="none" w:sz="0" w:space="0" w:color="auto"/>
        <w:bottom w:val="none" w:sz="0" w:space="0" w:color="auto"/>
        <w:right w:val="none" w:sz="0" w:space="0" w:color="auto"/>
      </w:divBdr>
    </w:div>
    <w:div w:id="360592370">
      <w:bodyDiv w:val="1"/>
      <w:marLeft w:val="0"/>
      <w:marRight w:val="0"/>
      <w:marTop w:val="0"/>
      <w:marBottom w:val="0"/>
      <w:divBdr>
        <w:top w:val="none" w:sz="0" w:space="0" w:color="auto"/>
        <w:left w:val="none" w:sz="0" w:space="0" w:color="auto"/>
        <w:bottom w:val="none" w:sz="0" w:space="0" w:color="auto"/>
        <w:right w:val="none" w:sz="0" w:space="0" w:color="auto"/>
      </w:divBdr>
    </w:div>
    <w:div w:id="400249933">
      <w:bodyDiv w:val="1"/>
      <w:marLeft w:val="0"/>
      <w:marRight w:val="0"/>
      <w:marTop w:val="0"/>
      <w:marBottom w:val="0"/>
      <w:divBdr>
        <w:top w:val="none" w:sz="0" w:space="0" w:color="auto"/>
        <w:left w:val="none" w:sz="0" w:space="0" w:color="auto"/>
        <w:bottom w:val="none" w:sz="0" w:space="0" w:color="auto"/>
        <w:right w:val="none" w:sz="0" w:space="0" w:color="auto"/>
      </w:divBdr>
    </w:div>
    <w:div w:id="446966153">
      <w:bodyDiv w:val="1"/>
      <w:marLeft w:val="0"/>
      <w:marRight w:val="0"/>
      <w:marTop w:val="0"/>
      <w:marBottom w:val="0"/>
      <w:divBdr>
        <w:top w:val="none" w:sz="0" w:space="0" w:color="auto"/>
        <w:left w:val="none" w:sz="0" w:space="0" w:color="auto"/>
        <w:bottom w:val="none" w:sz="0" w:space="0" w:color="auto"/>
        <w:right w:val="none" w:sz="0" w:space="0" w:color="auto"/>
      </w:divBdr>
    </w:div>
    <w:div w:id="498009778">
      <w:bodyDiv w:val="1"/>
      <w:marLeft w:val="0"/>
      <w:marRight w:val="0"/>
      <w:marTop w:val="0"/>
      <w:marBottom w:val="0"/>
      <w:divBdr>
        <w:top w:val="none" w:sz="0" w:space="0" w:color="auto"/>
        <w:left w:val="none" w:sz="0" w:space="0" w:color="auto"/>
        <w:bottom w:val="none" w:sz="0" w:space="0" w:color="auto"/>
        <w:right w:val="none" w:sz="0" w:space="0" w:color="auto"/>
      </w:divBdr>
    </w:div>
    <w:div w:id="573852257">
      <w:bodyDiv w:val="1"/>
      <w:marLeft w:val="0"/>
      <w:marRight w:val="0"/>
      <w:marTop w:val="0"/>
      <w:marBottom w:val="0"/>
      <w:divBdr>
        <w:top w:val="none" w:sz="0" w:space="0" w:color="auto"/>
        <w:left w:val="none" w:sz="0" w:space="0" w:color="auto"/>
        <w:bottom w:val="none" w:sz="0" w:space="0" w:color="auto"/>
        <w:right w:val="none" w:sz="0" w:space="0" w:color="auto"/>
      </w:divBdr>
    </w:div>
    <w:div w:id="636910127">
      <w:bodyDiv w:val="1"/>
      <w:marLeft w:val="0"/>
      <w:marRight w:val="0"/>
      <w:marTop w:val="0"/>
      <w:marBottom w:val="0"/>
      <w:divBdr>
        <w:top w:val="none" w:sz="0" w:space="0" w:color="auto"/>
        <w:left w:val="none" w:sz="0" w:space="0" w:color="auto"/>
        <w:bottom w:val="none" w:sz="0" w:space="0" w:color="auto"/>
        <w:right w:val="none" w:sz="0" w:space="0" w:color="auto"/>
      </w:divBdr>
    </w:div>
    <w:div w:id="692456480">
      <w:bodyDiv w:val="1"/>
      <w:marLeft w:val="0"/>
      <w:marRight w:val="0"/>
      <w:marTop w:val="0"/>
      <w:marBottom w:val="0"/>
      <w:divBdr>
        <w:top w:val="none" w:sz="0" w:space="0" w:color="auto"/>
        <w:left w:val="none" w:sz="0" w:space="0" w:color="auto"/>
        <w:bottom w:val="none" w:sz="0" w:space="0" w:color="auto"/>
        <w:right w:val="none" w:sz="0" w:space="0" w:color="auto"/>
      </w:divBdr>
    </w:div>
    <w:div w:id="702747066">
      <w:bodyDiv w:val="1"/>
      <w:marLeft w:val="0"/>
      <w:marRight w:val="0"/>
      <w:marTop w:val="0"/>
      <w:marBottom w:val="0"/>
      <w:divBdr>
        <w:top w:val="none" w:sz="0" w:space="0" w:color="auto"/>
        <w:left w:val="none" w:sz="0" w:space="0" w:color="auto"/>
        <w:bottom w:val="none" w:sz="0" w:space="0" w:color="auto"/>
        <w:right w:val="none" w:sz="0" w:space="0" w:color="auto"/>
      </w:divBdr>
    </w:div>
    <w:div w:id="704982530">
      <w:bodyDiv w:val="1"/>
      <w:marLeft w:val="0"/>
      <w:marRight w:val="0"/>
      <w:marTop w:val="0"/>
      <w:marBottom w:val="0"/>
      <w:divBdr>
        <w:top w:val="none" w:sz="0" w:space="0" w:color="auto"/>
        <w:left w:val="none" w:sz="0" w:space="0" w:color="auto"/>
        <w:bottom w:val="none" w:sz="0" w:space="0" w:color="auto"/>
        <w:right w:val="none" w:sz="0" w:space="0" w:color="auto"/>
      </w:divBdr>
    </w:div>
    <w:div w:id="734009646">
      <w:bodyDiv w:val="1"/>
      <w:marLeft w:val="0"/>
      <w:marRight w:val="0"/>
      <w:marTop w:val="0"/>
      <w:marBottom w:val="0"/>
      <w:divBdr>
        <w:top w:val="none" w:sz="0" w:space="0" w:color="auto"/>
        <w:left w:val="none" w:sz="0" w:space="0" w:color="auto"/>
        <w:bottom w:val="none" w:sz="0" w:space="0" w:color="auto"/>
        <w:right w:val="none" w:sz="0" w:space="0" w:color="auto"/>
      </w:divBdr>
    </w:div>
    <w:div w:id="763889940">
      <w:bodyDiv w:val="1"/>
      <w:marLeft w:val="0"/>
      <w:marRight w:val="0"/>
      <w:marTop w:val="0"/>
      <w:marBottom w:val="0"/>
      <w:divBdr>
        <w:top w:val="none" w:sz="0" w:space="0" w:color="auto"/>
        <w:left w:val="none" w:sz="0" w:space="0" w:color="auto"/>
        <w:bottom w:val="none" w:sz="0" w:space="0" w:color="auto"/>
        <w:right w:val="none" w:sz="0" w:space="0" w:color="auto"/>
      </w:divBdr>
    </w:div>
    <w:div w:id="889462908">
      <w:bodyDiv w:val="1"/>
      <w:marLeft w:val="0"/>
      <w:marRight w:val="0"/>
      <w:marTop w:val="0"/>
      <w:marBottom w:val="0"/>
      <w:divBdr>
        <w:top w:val="none" w:sz="0" w:space="0" w:color="auto"/>
        <w:left w:val="none" w:sz="0" w:space="0" w:color="auto"/>
        <w:bottom w:val="none" w:sz="0" w:space="0" w:color="auto"/>
        <w:right w:val="none" w:sz="0" w:space="0" w:color="auto"/>
      </w:divBdr>
    </w:div>
    <w:div w:id="918519536">
      <w:bodyDiv w:val="1"/>
      <w:marLeft w:val="0"/>
      <w:marRight w:val="0"/>
      <w:marTop w:val="0"/>
      <w:marBottom w:val="0"/>
      <w:divBdr>
        <w:top w:val="none" w:sz="0" w:space="0" w:color="auto"/>
        <w:left w:val="none" w:sz="0" w:space="0" w:color="auto"/>
        <w:bottom w:val="none" w:sz="0" w:space="0" w:color="auto"/>
        <w:right w:val="none" w:sz="0" w:space="0" w:color="auto"/>
      </w:divBdr>
    </w:div>
    <w:div w:id="1113473471">
      <w:bodyDiv w:val="1"/>
      <w:marLeft w:val="0"/>
      <w:marRight w:val="0"/>
      <w:marTop w:val="0"/>
      <w:marBottom w:val="0"/>
      <w:divBdr>
        <w:top w:val="none" w:sz="0" w:space="0" w:color="auto"/>
        <w:left w:val="none" w:sz="0" w:space="0" w:color="auto"/>
        <w:bottom w:val="none" w:sz="0" w:space="0" w:color="auto"/>
        <w:right w:val="none" w:sz="0" w:space="0" w:color="auto"/>
      </w:divBdr>
    </w:div>
    <w:div w:id="1130592432">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7747094">
      <w:bodyDiv w:val="1"/>
      <w:marLeft w:val="0"/>
      <w:marRight w:val="0"/>
      <w:marTop w:val="0"/>
      <w:marBottom w:val="0"/>
      <w:divBdr>
        <w:top w:val="none" w:sz="0" w:space="0" w:color="auto"/>
        <w:left w:val="none" w:sz="0" w:space="0" w:color="auto"/>
        <w:bottom w:val="none" w:sz="0" w:space="0" w:color="auto"/>
        <w:right w:val="none" w:sz="0" w:space="0" w:color="auto"/>
      </w:divBdr>
    </w:div>
    <w:div w:id="1222063253">
      <w:bodyDiv w:val="1"/>
      <w:marLeft w:val="0"/>
      <w:marRight w:val="0"/>
      <w:marTop w:val="0"/>
      <w:marBottom w:val="0"/>
      <w:divBdr>
        <w:top w:val="none" w:sz="0" w:space="0" w:color="auto"/>
        <w:left w:val="none" w:sz="0" w:space="0" w:color="auto"/>
        <w:bottom w:val="none" w:sz="0" w:space="0" w:color="auto"/>
        <w:right w:val="none" w:sz="0" w:space="0" w:color="auto"/>
      </w:divBdr>
    </w:div>
    <w:div w:id="1248270905">
      <w:bodyDiv w:val="1"/>
      <w:marLeft w:val="0"/>
      <w:marRight w:val="0"/>
      <w:marTop w:val="0"/>
      <w:marBottom w:val="0"/>
      <w:divBdr>
        <w:top w:val="none" w:sz="0" w:space="0" w:color="auto"/>
        <w:left w:val="none" w:sz="0" w:space="0" w:color="auto"/>
        <w:bottom w:val="none" w:sz="0" w:space="0" w:color="auto"/>
        <w:right w:val="none" w:sz="0" w:space="0" w:color="auto"/>
      </w:divBdr>
    </w:div>
    <w:div w:id="1262762422">
      <w:bodyDiv w:val="1"/>
      <w:marLeft w:val="0"/>
      <w:marRight w:val="0"/>
      <w:marTop w:val="0"/>
      <w:marBottom w:val="0"/>
      <w:divBdr>
        <w:top w:val="none" w:sz="0" w:space="0" w:color="auto"/>
        <w:left w:val="none" w:sz="0" w:space="0" w:color="auto"/>
        <w:bottom w:val="none" w:sz="0" w:space="0" w:color="auto"/>
        <w:right w:val="none" w:sz="0" w:space="0" w:color="auto"/>
      </w:divBdr>
    </w:div>
    <w:div w:id="1306741592">
      <w:bodyDiv w:val="1"/>
      <w:marLeft w:val="0"/>
      <w:marRight w:val="0"/>
      <w:marTop w:val="0"/>
      <w:marBottom w:val="0"/>
      <w:divBdr>
        <w:top w:val="none" w:sz="0" w:space="0" w:color="auto"/>
        <w:left w:val="none" w:sz="0" w:space="0" w:color="auto"/>
        <w:bottom w:val="none" w:sz="0" w:space="0" w:color="auto"/>
        <w:right w:val="none" w:sz="0" w:space="0" w:color="auto"/>
      </w:divBdr>
    </w:div>
    <w:div w:id="1310861880">
      <w:bodyDiv w:val="1"/>
      <w:marLeft w:val="0"/>
      <w:marRight w:val="0"/>
      <w:marTop w:val="0"/>
      <w:marBottom w:val="0"/>
      <w:divBdr>
        <w:top w:val="none" w:sz="0" w:space="0" w:color="auto"/>
        <w:left w:val="none" w:sz="0" w:space="0" w:color="auto"/>
        <w:bottom w:val="none" w:sz="0" w:space="0" w:color="auto"/>
        <w:right w:val="none" w:sz="0" w:space="0" w:color="auto"/>
      </w:divBdr>
    </w:div>
    <w:div w:id="1316497215">
      <w:bodyDiv w:val="1"/>
      <w:marLeft w:val="0"/>
      <w:marRight w:val="0"/>
      <w:marTop w:val="0"/>
      <w:marBottom w:val="0"/>
      <w:divBdr>
        <w:top w:val="none" w:sz="0" w:space="0" w:color="auto"/>
        <w:left w:val="none" w:sz="0" w:space="0" w:color="auto"/>
        <w:bottom w:val="none" w:sz="0" w:space="0" w:color="auto"/>
        <w:right w:val="none" w:sz="0" w:space="0" w:color="auto"/>
      </w:divBdr>
    </w:div>
    <w:div w:id="1356661963">
      <w:bodyDiv w:val="1"/>
      <w:marLeft w:val="0"/>
      <w:marRight w:val="0"/>
      <w:marTop w:val="0"/>
      <w:marBottom w:val="0"/>
      <w:divBdr>
        <w:top w:val="none" w:sz="0" w:space="0" w:color="auto"/>
        <w:left w:val="none" w:sz="0" w:space="0" w:color="auto"/>
        <w:bottom w:val="none" w:sz="0" w:space="0" w:color="auto"/>
        <w:right w:val="none" w:sz="0" w:space="0" w:color="auto"/>
      </w:divBdr>
    </w:div>
    <w:div w:id="1375545514">
      <w:bodyDiv w:val="1"/>
      <w:marLeft w:val="0"/>
      <w:marRight w:val="0"/>
      <w:marTop w:val="0"/>
      <w:marBottom w:val="0"/>
      <w:divBdr>
        <w:top w:val="none" w:sz="0" w:space="0" w:color="auto"/>
        <w:left w:val="none" w:sz="0" w:space="0" w:color="auto"/>
        <w:bottom w:val="none" w:sz="0" w:space="0" w:color="auto"/>
        <w:right w:val="none" w:sz="0" w:space="0" w:color="auto"/>
      </w:divBdr>
    </w:div>
    <w:div w:id="1380595987">
      <w:bodyDiv w:val="1"/>
      <w:marLeft w:val="0"/>
      <w:marRight w:val="0"/>
      <w:marTop w:val="0"/>
      <w:marBottom w:val="0"/>
      <w:divBdr>
        <w:top w:val="none" w:sz="0" w:space="0" w:color="auto"/>
        <w:left w:val="none" w:sz="0" w:space="0" w:color="auto"/>
        <w:bottom w:val="none" w:sz="0" w:space="0" w:color="auto"/>
        <w:right w:val="none" w:sz="0" w:space="0" w:color="auto"/>
      </w:divBdr>
    </w:div>
    <w:div w:id="1473402662">
      <w:bodyDiv w:val="1"/>
      <w:marLeft w:val="0"/>
      <w:marRight w:val="0"/>
      <w:marTop w:val="0"/>
      <w:marBottom w:val="0"/>
      <w:divBdr>
        <w:top w:val="none" w:sz="0" w:space="0" w:color="auto"/>
        <w:left w:val="none" w:sz="0" w:space="0" w:color="auto"/>
        <w:bottom w:val="none" w:sz="0" w:space="0" w:color="auto"/>
        <w:right w:val="none" w:sz="0" w:space="0" w:color="auto"/>
      </w:divBdr>
    </w:div>
    <w:div w:id="1532255501">
      <w:bodyDiv w:val="1"/>
      <w:marLeft w:val="0"/>
      <w:marRight w:val="0"/>
      <w:marTop w:val="0"/>
      <w:marBottom w:val="0"/>
      <w:divBdr>
        <w:top w:val="none" w:sz="0" w:space="0" w:color="auto"/>
        <w:left w:val="none" w:sz="0" w:space="0" w:color="auto"/>
        <w:bottom w:val="none" w:sz="0" w:space="0" w:color="auto"/>
        <w:right w:val="none" w:sz="0" w:space="0" w:color="auto"/>
      </w:divBdr>
    </w:div>
    <w:div w:id="1695382880">
      <w:bodyDiv w:val="1"/>
      <w:marLeft w:val="0"/>
      <w:marRight w:val="0"/>
      <w:marTop w:val="0"/>
      <w:marBottom w:val="0"/>
      <w:divBdr>
        <w:top w:val="none" w:sz="0" w:space="0" w:color="auto"/>
        <w:left w:val="none" w:sz="0" w:space="0" w:color="auto"/>
        <w:bottom w:val="none" w:sz="0" w:space="0" w:color="auto"/>
        <w:right w:val="none" w:sz="0" w:space="0" w:color="auto"/>
      </w:divBdr>
    </w:div>
    <w:div w:id="1721590686">
      <w:bodyDiv w:val="1"/>
      <w:marLeft w:val="0"/>
      <w:marRight w:val="0"/>
      <w:marTop w:val="0"/>
      <w:marBottom w:val="0"/>
      <w:divBdr>
        <w:top w:val="none" w:sz="0" w:space="0" w:color="auto"/>
        <w:left w:val="none" w:sz="0" w:space="0" w:color="auto"/>
        <w:bottom w:val="none" w:sz="0" w:space="0" w:color="auto"/>
        <w:right w:val="none" w:sz="0" w:space="0" w:color="auto"/>
      </w:divBdr>
    </w:div>
    <w:div w:id="1766926067">
      <w:bodyDiv w:val="1"/>
      <w:marLeft w:val="0"/>
      <w:marRight w:val="0"/>
      <w:marTop w:val="0"/>
      <w:marBottom w:val="0"/>
      <w:divBdr>
        <w:top w:val="none" w:sz="0" w:space="0" w:color="auto"/>
        <w:left w:val="none" w:sz="0" w:space="0" w:color="auto"/>
        <w:bottom w:val="none" w:sz="0" w:space="0" w:color="auto"/>
        <w:right w:val="none" w:sz="0" w:space="0" w:color="auto"/>
      </w:divBdr>
    </w:div>
    <w:div w:id="1830973504">
      <w:bodyDiv w:val="1"/>
      <w:marLeft w:val="0"/>
      <w:marRight w:val="0"/>
      <w:marTop w:val="0"/>
      <w:marBottom w:val="0"/>
      <w:divBdr>
        <w:top w:val="none" w:sz="0" w:space="0" w:color="auto"/>
        <w:left w:val="none" w:sz="0" w:space="0" w:color="auto"/>
        <w:bottom w:val="none" w:sz="0" w:space="0" w:color="auto"/>
        <w:right w:val="none" w:sz="0" w:space="0" w:color="auto"/>
      </w:divBdr>
    </w:div>
    <w:div w:id="1848321919">
      <w:bodyDiv w:val="1"/>
      <w:marLeft w:val="0"/>
      <w:marRight w:val="0"/>
      <w:marTop w:val="0"/>
      <w:marBottom w:val="0"/>
      <w:divBdr>
        <w:top w:val="none" w:sz="0" w:space="0" w:color="auto"/>
        <w:left w:val="none" w:sz="0" w:space="0" w:color="auto"/>
        <w:bottom w:val="none" w:sz="0" w:space="0" w:color="auto"/>
        <w:right w:val="none" w:sz="0" w:space="0" w:color="auto"/>
      </w:divBdr>
    </w:div>
    <w:div w:id="1867862896">
      <w:bodyDiv w:val="1"/>
      <w:marLeft w:val="0"/>
      <w:marRight w:val="0"/>
      <w:marTop w:val="0"/>
      <w:marBottom w:val="0"/>
      <w:divBdr>
        <w:top w:val="none" w:sz="0" w:space="0" w:color="auto"/>
        <w:left w:val="none" w:sz="0" w:space="0" w:color="auto"/>
        <w:bottom w:val="none" w:sz="0" w:space="0" w:color="auto"/>
        <w:right w:val="none" w:sz="0" w:space="0" w:color="auto"/>
      </w:divBdr>
    </w:div>
    <w:div w:id="1874534769">
      <w:bodyDiv w:val="1"/>
      <w:marLeft w:val="0"/>
      <w:marRight w:val="0"/>
      <w:marTop w:val="0"/>
      <w:marBottom w:val="0"/>
      <w:divBdr>
        <w:top w:val="none" w:sz="0" w:space="0" w:color="auto"/>
        <w:left w:val="none" w:sz="0" w:space="0" w:color="auto"/>
        <w:bottom w:val="none" w:sz="0" w:space="0" w:color="auto"/>
        <w:right w:val="none" w:sz="0" w:space="0" w:color="auto"/>
      </w:divBdr>
    </w:div>
    <w:div w:id="1913857589">
      <w:bodyDiv w:val="1"/>
      <w:marLeft w:val="0"/>
      <w:marRight w:val="0"/>
      <w:marTop w:val="0"/>
      <w:marBottom w:val="0"/>
      <w:divBdr>
        <w:top w:val="none" w:sz="0" w:space="0" w:color="auto"/>
        <w:left w:val="none" w:sz="0" w:space="0" w:color="auto"/>
        <w:bottom w:val="none" w:sz="0" w:space="0" w:color="auto"/>
        <w:right w:val="none" w:sz="0" w:space="0" w:color="auto"/>
      </w:divBdr>
    </w:div>
    <w:div w:id="19663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ekon.go.id/berita/view/paket-kebijakan-ekonomi-jilid.1730.html" TargetMode="External"/><Relationship Id="rId25" Type="http://schemas.openxmlformats.org/officeDocument/2006/relationships/footer" Target="foot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7.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6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hyperlink" Target="http://www.google.com.au/url?sa=t&amp;rct=j&amp;q=&amp;esrc=s&amp;source=web&amp;cd=1&amp;cad=rja&amp;uact=8&amp;ved=0ahUKEwj35K2IwPzNAhXFtpQKHYY6DsIQFggeMAA&amp;url=http%3A%2F%2Fweb.mit.edu%2F&amp;usg=AFQjCNFGEpEnwRBMPQvRT7ueDZqPQAU23g" TargetMode="External"/><Relationship Id="rId27" Type="http://schemas.openxmlformats.org/officeDocument/2006/relationships/header" Target="header6.xml"/><Relationship Id="rId30" Type="http://schemas.openxmlformats.org/officeDocument/2006/relationships/fontTable" Target="fontTable.xml"/><Relationship Id="rId8" Type="http://schemas.openxmlformats.org/officeDocument/2006/relationships/footer" Target="footer1.xml"/></Relationships>
</file>

<file path=word/_rels/foot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A0349-C5F5-42AB-A91A-935CAFFE3516}"/>
</file>

<file path=customXml/itemProps2.xml><?xml version="1.0" encoding="utf-8"?>
<ds:datastoreItem xmlns:ds="http://schemas.openxmlformats.org/officeDocument/2006/customXml" ds:itemID="{86359BA3-0539-4616-924C-C2A35253A665}"/>
</file>

<file path=customXml/itemProps3.xml><?xml version="1.0" encoding="utf-8"?>
<ds:datastoreItem xmlns:ds="http://schemas.openxmlformats.org/officeDocument/2006/customXml" ds:itemID="{A53BE285-9D07-4D02-8FAE-6841870A9361}"/>
</file>

<file path=customXml/itemProps4.xml><?xml version="1.0" encoding="utf-8"?>
<ds:datastoreItem xmlns:ds="http://schemas.openxmlformats.org/officeDocument/2006/customXml" ds:itemID="{48710C2F-4546-4486-ABE3-3FC6E74EF0E4}"/>
</file>

<file path=docProps/app.xml><?xml version="1.0" encoding="utf-8"?>
<Properties xmlns="http://schemas.openxmlformats.org/officeDocument/2006/extended-properties" xmlns:vt="http://schemas.openxmlformats.org/officeDocument/2006/docPropsVTypes">
  <Template>Normal.dotm</Template>
  <TotalTime>11</TotalTime>
  <Pages>36</Pages>
  <Words>15484</Words>
  <Characters>88264</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103541</CharactersWithSpaces>
  <SharedDoc>false</SharedDoc>
  <HLinks>
    <vt:vector size="18" baseType="variant">
      <vt:variant>
        <vt:i4>327746</vt:i4>
      </vt:variant>
      <vt:variant>
        <vt:i4>9</vt:i4>
      </vt:variant>
      <vt:variant>
        <vt:i4>0</vt:i4>
      </vt:variant>
      <vt:variant>
        <vt:i4>5</vt:i4>
      </vt:variant>
      <vt:variant>
        <vt:lpwstr>http://www.google.com.au/url?sa=t&amp;rct=j&amp;q=&amp;esrc=s&amp;source=web&amp;cd=1&amp;cad=rja&amp;uact=8&amp;ved=0ahUKEwj35K2IwPzNAhXFtpQKHYY6DsIQFggeMAA&amp;url=http%3A%2F%2Fweb.mit.edu%2F&amp;usg=AFQjCNFGEpEnwRBMPQvRT7ueDZqPQAU23g</vt:lpwstr>
      </vt:variant>
      <vt:variant>
        <vt:lpwstr/>
      </vt:variant>
      <vt:variant>
        <vt:i4>6684797</vt:i4>
      </vt:variant>
      <vt:variant>
        <vt:i4>6</vt:i4>
      </vt:variant>
      <vt:variant>
        <vt:i4>0</vt:i4>
      </vt:variant>
      <vt:variant>
        <vt:i4>5</vt:i4>
      </vt:variant>
      <vt:variant>
        <vt:lpwstr>https://www.ekon.go.id/berita/view/paket-kebijakan-ekonomi-jilid.1730.html</vt:lpwstr>
      </vt:variant>
      <vt:variant>
        <vt:lpwstr/>
      </vt:variant>
      <vt:variant>
        <vt:i4>4128890</vt:i4>
      </vt:variant>
      <vt:variant>
        <vt:i4>3</vt:i4>
      </vt:variant>
      <vt:variant>
        <vt:i4>0</vt:i4>
      </vt:variant>
      <vt:variant>
        <vt:i4>5</vt:i4>
      </vt:variant>
      <vt:variant>
        <vt:lpwstr>http://kur.ekon.go.id/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Carpenter, Sydney</cp:lastModifiedBy>
  <cp:revision>4</cp:revision>
  <cp:lastPrinted>2017-02-14T00:07:00Z</cp:lastPrinted>
  <dcterms:created xsi:type="dcterms:W3CDTF">2017-02-13T23:58:00Z</dcterms:created>
  <dcterms:modified xsi:type="dcterms:W3CDTF">2017-02-14T00:08:00Z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5108b657-0be1-4bbf-900a-d56b84395d42</vt:lpwstr>
  </property>
  <property fmtid="{D5CDD505-2E9C-101B-9397-08002B2CF9AE}" pid="3" name="hptrimdataset">
    <vt:lpwstr>CH</vt:lpwstr>
  </property>
  <property fmtid="{D5CDD505-2E9C-101B-9397-08002B2CF9AE}" pid="4" name="hptrimfileref">
    <vt:lpwstr>16/16679#4</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0x01010050F19AC2165D2E47A5E6B7F563E4CF00</vt:lpwstr>
  </property>
  <property fmtid="{D5CDD505-2E9C-101B-9397-08002B2CF9AE}" pid="9" name="Order">
    <vt:r8>1051800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