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5F338" w14:textId="79C12713" w:rsidR="00426354" w:rsidRPr="00020121" w:rsidRDefault="00A06EF1" w:rsidP="00A06EF1">
      <w:pPr>
        <w:pStyle w:val="Title"/>
      </w:pPr>
      <w:r w:rsidRPr="00CA6DB6">
        <w:t>Aid Program Performance Report 2012</w:t>
      </w:r>
      <w:r w:rsidRPr="00052BF3">
        <w:t>−</w:t>
      </w:r>
      <w:r w:rsidRPr="00CA6DB6">
        <w:t xml:space="preserve">13 </w:t>
      </w:r>
      <w:r w:rsidR="00DC1473">
        <w:t>Indonesia</w:t>
      </w:r>
      <w:r w:rsidR="00BC6EEF">
        <w:tab/>
      </w:r>
    </w:p>
    <w:sdt>
      <w:sdtPr>
        <w:rPr>
          <w:rFonts w:ascii="Times New Roman" w:eastAsia="SimSun" w:hAnsi="Times New Roman"/>
          <w:color w:val="auto"/>
          <w:sz w:val="20"/>
        </w:rPr>
        <w:id w:val="-1391035040"/>
        <w:docPartObj>
          <w:docPartGallery w:val="Table of Contents"/>
          <w:docPartUnique/>
        </w:docPartObj>
      </w:sdtPr>
      <w:sdtEndPr>
        <w:rPr>
          <w:b/>
          <w:bCs/>
          <w:noProof/>
        </w:rPr>
      </w:sdtEndPr>
      <w:sdtContent>
        <w:p w14:paraId="5C2AC7B8" w14:textId="5EFBEC75" w:rsidR="00DC016D" w:rsidRDefault="00DC016D" w:rsidP="00DC016D">
          <w:pPr>
            <w:pStyle w:val="TOC1"/>
            <w:rPr>
              <w:rFonts w:asciiTheme="minorHAnsi" w:eastAsiaTheme="minorEastAsia" w:hAnsiTheme="minorHAnsi" w:cstheme="minorBidi"/>
              <w:noProof/>
              <w:color w:val="auto"/>
              <w:szCs w:val="22"/>
            </w:rPr>
          </w:pPr>
          <w:r>
            <w:fldChar w:fldCharType="begin"/>
          </w:r>
          <w:r>
            <w:instrText xml:space="preserve"> TOC \o "1-3" \h \z \u </w:instrText>
          </w:r>
          <w:r>
            <w:fldChar w:fldCharType="separate"/>
          </w:r>
          <w:hyperlink w:anchor="_Toc363804103" w:history="1">
            <w:r w:rsidRPr="000A577D">
              <w:rPr>
                <w:rStyle w:val="Hyperlink"/>
                <w:noProof/>
              </w:rPr>
              <w:t>Key messages</w:t>
            </w:r>
            <w:r>
              <w:rPr>
                <w:noProof/>
                <w:webHidden/>
              </w:rPr>
              <w:tab/>
            </w:r>
            <w:r>
              <w:rPr>
                <w:noProof/>
                <w:webHidden/>
              </w:rPr>
              <w:fldChar w:fldCharType="begin"/>
            </w:r>
            <w:r>
              <w:rPr>
                <w:noProof/>
                <w:webHidden/>
              </w:rPr>
              <w:instrText xml:space="preserve"> PAGEREF _Toc363804103 \h </w:instrText>
            </w:r>
            <w:r>
              <w:rPr>
                <w:noProof/>
                <w:webHidden/>
              </w:rPr>
            </w:r>
            <w:r>
              <w:rPr>
                <w:noProof/>
                <w:webHidden/>
              </w:rPr>
              <w:fldChar w:fldCharType="separate"/>
            </w:r>
            <w:r w:rsidR="0024777E">
              <w:rPr>
                <w:noProof/>
                <w:webHidden/>
              </w:rPr>
              <w:t>2</w:t>
            </w:r>
            <w:r>
              <w:rPr>
                <w:noProof/>
                <w:webHidden/>
              </w:rPr>
              <w:fldChar w:fldCharType="end"/>
            </w:r>
          </w:hyperlink>
        </w:p>
        <w:p w14:paraId="703CC578" w14:textId="502647C6" w:rsidR="00DC016D" w:rsidRDefault="00BD0B70">
          <w:pPr>
            <w:pStyle w:val="TOC1"/>
            <w:rPr>
              <w:rFonts w:asciiTheme="minorHAnsi" w:eastAsiaTheme="minorEastAsia" w:hAnsiTheme="minorHAnsi" w:cstheme="minorBidi"/>
              <w:noProof/>
              <w:color w:val="auto"/>
              <w:szCs w:val="22"/>
            </w:rPr>
          </w:pPr>
          <w:hyperlink w:anchor="_Toc363804104" w:history="1">
            <w:r w:rsidR="00DC016D" w:rsidRPr="000A577D">
              <w:rPr>
                <w:rStyle w:val="Hyperlink"/>
                <w:noProof/>
              </w:rPr>
              <w:t>Context</w:t>
            </w:r>
            <w:r w:rsidR="00DC016D">
              <w:rPr>
                <w:noProof/>
                <w:webHidden/>
              </w:rPr>
              <w:tab/>
            </w:r>
            <w:r w:rsidR="00DC016D">
              <w:rPr>
                <w:noProof/>
                <w:webHidden/>
              </w:rPr>
              <w:fldChar w:fldCharType="begin"/>
            </w:r>
            <w:r w:rsidR="00DC016D">
              <w:rPr>
                <w:noProof/>
                <w:webHidden/>
              </w:rPr>
              <w:instrText xml:space="preserve"> PAGEREF _Toc363804104 \h </w:instrText>
            </w:r>
            <w:r w:rsidR="00DC016D">
              <w:rPr>
                <w:noProof/>
                <w:webHidden/>
              </w:rPr>
            </w:r>
            <w:r w:rsidR="00DC016D">
              <w:rPr>
                <w:noProof/>
                <w:webHidden/>
              </w:rPr>
              <w:fldChar w:fldCharType="separate"/>
            </w:r>
            <w:r w:rsidR="0024777E">
              <w:rPr>
                <w:noProof/>
                <w:webHidden/>
              </w:rPr>
              <w:t>3</w:t>
            </w:r>
            <w:r w:rsidR="00DC016D">
              <w:rPr>
                <w:noProof/>
                <w:webHidden/>
              </w:rPr>
              <w:fldChar w:fldCharType="end"/>
            </w:r>
          </w:hyperlink>
        </w:p>
        <w:p w14:paraId="024A142A" w14:textId="75D5C493" w:rsidR="00DC016D" w:rsidRDefault="00BD0B70">
          <w:pPr>
            <w:pStyle w:val="TOC1"/>
            <w:rPr>
              <w:rFonts w:asciiTheme="minorHAnsi" w:eastAsiaTheme="minorEastAsia" w:hAnsiTheme="minorHAnsi" w:cstheme="minorBidi"/>
              <w:noProof/>
              <w:color w:val="auto"/>
              <w:szCs w:val="22"/>
            </w:rPr>
          </w:pPr>
          <w:hyperlink w:anchor="_Toc363804106" w:history="1">
            <w:r w:rsidR="00DC016D" w:rsidRPr="000A577D">
              <w:rPr>
                <w:rStyle w:val="Hyperlink"/>
                <w:noProof/>
              </w:rPr>
              <w:t>Progress towards objectives</w:t>
            </w:r>
            <w:r w:rsidR="00DC016D">
              <w:rPr>
                <w:noProof/>
                <w:webHidden/>
              </w:rPr>
              <w:tab/>
            </w:r>
            <w:r w:rsidR="00DC016D">
              <w:rPr>
                <w:noProof/>
                <w:webHidden/>
              </w:rPr>
              <w:fldChar w:fldCharType="begin"/>
            </w:r>
            <w:r w:rsidR="00DC016D">
              <w:rPr>
                <w:noProof/>
                <w:webHidden/>
              </w:rPr>
              <w:instrText xml:space="preserve"> PAGEREF _Toc363804106 \h </w:instrText>
            </w:r>
            <w:r w:rsidR="00DC016D">
              <w:rPr>
                <w:noProof/>
                <w:webHidden/>
              </w:rPr>
            </w:r>
            <w:r w:rsidR="00DC016D">
              <w:rPr>
                <w:noProof/>
                <w:webHidden/>
              </w:rPr>
              <w:fldChar w:fldCharType="separate"/>
            </w:r>
            <w:r w:rsidR="0024777E">
              <w:rPr>
                <w:noProof/>
                <w:webHidden/>
              </w:rPr>
              <w:t>8</w:t>
            </w:r>
            <w:r w:rsidR="00DC016D">
              <w:rPr>
                <w:noProof/>
                <w:webHidden/>
              </w:rPr>
              <w:fldChar w:fldCharType="end"/>
            </w:r>
          </w:hyperlink>
        </w:p>
        <w:p w14:paraId="6EF42F53" w14:textId="3D97ADDD" w:rsidR="00DC016D" w:rsidRDefault="00BD0B70">
          <w:pPr>
            <w:pStyle w:val="TOC1"/>
            <w:rPr>
              <w:rFonts w:asciiTheme="minorHAnsi" w:eastAsiaTheme="minorEastAsia" w:hAnsiTheme="minorHAnsi" w:cstheme="minorBidi"/>
              <w:noProof/>
              <w:color w:val="auto"/>
              <w:szCs w:val="22"/>
            </w:rPr>
          </w:pPr>
          <w:hyperlink w:anchor="_Toc363804107" w:history="1">
            <w:r w:rsidR="00DC016D" w:rsidRPr="000A577D">
              <w:rPr>
                <w:rStyle w:val="Hyperlink"/>
                <w:noProof/>
              </w:rPr>
              <w:t>Summary of results</w:t>
            </w:r>
            <w:r w:rsidR="00DC016D">
              <w:rPr>
                <w:noProof/>
                <w:webHidden/>
              </w:rPr>
              <w:tab/>
            </w:r>
            <w:r w:rsidR="00DC016D">
              <w:rPr>
                <w:noProof/>
                <w:webHidden/>
              </w:rPr>
              <w:fldChar w:fldCharType="begin"/>
            </w:r>
            <w:r w:rsidR="00DC016D">
              <w:rPr>
                <w:noProof/>
                <w:webHidden/>
              </w:rPr>
              <w:instrText xml:space="preserve"> PAGEREF _Toc363804107 \h </w:instrText>
            </w:r>
            <w:r w:rsidR="00DC016D">
              <w:rPr>
                <w:noProof/>
                <w:webHidden/>
              </w:rPr>
            </w:r>
            <w:r w:rsidR="00DC016D">
              <w:rPr>
                <w:noProof/>
                <w:webHidden/>
              </w:rPr>
              <w:fldChar w:fldCharType="separate"/>
            </w:r>
            <w:r w:rsidR="0024777E">
              <w:rPr>
                <w:noProof/>
                <w:webHidden/>
              </w:rPr>
              <w:t>10</w:t>
            </w:r>
            <w:r w:rsidR="00DC016D">
              <w:rPr>
                <w:noProof/>
                <w:webHidden/>
              </w:rPr>
              <w:fldChar w:fldCharType="end"/>
            </w:r>
          </w:hyperlink>
        </w:p>
        <w:p w14:paraId="28C87978" w14:textId="389DDC33" w:rsidR="00DC016D" w:rsidRDefault="00BD0B70">
          <w:pPr>
            <w:pStyle w:val="TOC1"/>
            <w:rPr>
              <w:rFonts w:asciiTheme="minorHAnsi" w:eastAsiaTheme="minorEastAsia" w:hAnsiTheme="minorHAnsi" w:cstheme="minorBidi"/>
              <w:noProof/>
              <w:color w:val="auto"/>
              <w:szCs w:val="22"/>
            </w:rPr>
          </w:pPr>
          <w:hyperlink w:anchor="_Toc363804108" w:history="1">
            <w:r w:rsidR="00DC016D" w:rsidRPr="000A577D">
              <w:rPr>
                <w:rStyle w:val="Hyperlink"/>
                <w:noProof/>
              </w:rPr>
              <w:t>Portfolio management</w:t>
            </w:r>
            <w:r w:rsidR="00DC016D">
              <w:rPr>
                <w:noProof/>
                <w:webHidden/>
              </w:rPr>
              <w:tab/>
            </w:r>
            <w:r w:rsidR="00DC016D">
              <w:rPr>
                <w:noProof/>
                <w:webHidden/>
              </w:rPr>
              <w:fldChar w:fldCharType="begin"/>
            </w:r>
            <w:r w:rsidR="00DC016D">
              <w:rPr>
                <w:noProof/>
                <w:webHidden/>
              </w:rPr>
              <w:instrText xml:space="preserve"> PAGEREF _Toc363804108 \h </w:instrText>
            </w:r>
            <w:r w:rsidR="00DC016D">
              <w:rPr>
                <w:noProof/>
                <w:webHidden/>
              </w:rPr>
            </w:r>
            <w:r w:rsidR="00DC016D">
              <w:rPr>
                <w:noProof/>
                <w:webHidden/>
              </w:rPr>
              <w:fldChar w:fldCharType="separate"/>
            </w:r>
            <w:r w:rsidR="0024777E">
              <w:rPr>
                <w:noProof/>
                <w:webHidden/>
              </w:rPr>
              <w:t>17</w:t>
            </w:r>
            <w:r w:rsidR="00DC016D">
              <w:rPr>
                <w:noProof/>
                <w:webHidden/>
              </w:rPr>
              <w:fldChar w:fldCharType="end"/>
            </w:r>
          </w:hyperlink>
        </w:p>
        <w:p w14:paraId="5346BD0D" w14:textId="213C5733" w:rsidR="00DC016D" w:rsidRDefault="00BD0B70">
          <w:pPr>
            <w:pStyle w:val="TOC1"/>
            <w:rPr>
              <w:rFonts w:asciiTheme="minorHAnsi" w:eastAsiaTheme="minorEastAsia" w:hAnsiTheme="minorHAnsi" w:cstheme="minorBidi"/>
              <w:noProof/>
              <w:color w:val="auto"/>
              <w:szCs w:val="22"/>
            </w:rPr>
          </w:pPr>
          <w:hyperlink w:anchor="_Toc363804110" w:history="1">
            <w:r w:rsidR="00DC016D" w:rsidRPr="000A577D">
              <w:rPr>
                <w:rStyle w:val="Hyperlink"/>
                <w:noProof/>
              </w:rPr>
              <w:t>Management consequences</w:t>
            </w:r>
            <w:r w:rsidR="00DC016D">
              <w:rPr>
                <w:noProof/>
                <w:webHidden/>
              </w:rPr>
              <w:tab/>
            </w:r>
            <w:r w:rsidR="00DC016D">
              <w:rPr>
                <w:noProof/>
                <w:webHidden/>
              </w:rPr>
              <w:fldChar w:fldCharType="begin"/>
            </w:r>
            <w:r w:rsidR="00DC016D">
              <w:rPr>
                <w:noProof/>
                <w:webHidden/>
              </w:rPr>
              <w:instrText xml:space="preserve"> PAGEREF _Toc363804110 \h </w:instrText>
            </w:r>
            <w:r w:rsidR="00DC016D">
              <w:rPr>
                <w:noProof/>
                <w:webHidden/>
              </w:rPr>
            </w:r>
            <w:r w:rsidR="00DC016D">
              <w:rPr>
                <w:noProof/>
                <w:webHidden/>
              </w:rPr>
              <w:fldChar w:fldCharType="separate"/>
            </w:r>
            <w:r w:rsidR="0024777E">
              <w:rPr>
                <w:noProof/>
                <w:webHidden/>
              </w:rPr>
              <w:t>21</w:t>
            </w:r>
            <w:r w:rsidR="00DC016D">
              <w:rPr>
                <w:noProof/>
                <w:webHidden/>
              </w:rPr>
              <w:fldChar w:fldCharType="end"/>
            </w:r>
          </w:hyperlink>
        </w:p>
        <w:p w14:paraId="5BCF860B" w14:textId="0718DCA3" w:rsidR="00DC016D" w:rsidRDefault="00BD0B70">
          <w:pPr>
            <w:pStyle w:val="TOC1"/>
            <w:rPr>
              <w:rFonts w:asciiTheme="minorHAnsi" w:eastAsiaTheme="minorEastAsia" w:hAnsiTheme="minorHAnsi" w:cstheme="minorBidi"/>
              <w:noProof/>
              <w:color w:val="auto"/>
              <w:szCs w:val="22"/>
            </w:rPr>
          </w:pPr>
          <w:hyperlink w:anchor="_Toc363804111" w:history="1">
            <w:r w:rsidR="00DC016D" w:rsidRPr="000A577D">
              <w:rPr>
                <w:rStyle w:val="Hyperlink"/>
                <w:noProof/>
              </w:rPr>
              <w:t>Annex A: Sector sheets</w:t>
            </w:r>
            <w:r w:rsidR="00DC016D">
              <w:rPr>
                <w:noProof/>
                <w:webHidden/>
              </w:rPr>
              <w:tab/>
            </w:r>
            <w:r w:rsidR="00DC016D">
              <w:rPr>
                <w:noProof/>
                <w:webHidden/>
              </w:rPr>
              <w:fldChar w:fldCharType="begin"/>
            </w:r>
            <w:r w:rsidR="00DC016D">
              <w:rPr>
                <w:noProof/>
                <w:webHidden/>
              </w:rPr>
              <w:instrText xml:space="preserve"> PAGEREF _Toc363804111 \h </w:instrText>
            </w:r>
            <w:r w:rsidR="00DC016D">
              <w:rPr>
                <w:noProof/>
                <w:webHidden/>
              </w:rPr>
            </w:r>
            <w:r w:rsidR="00DC016D">
              <w:rPr>
                <w:noProof/>
                <w:webHidden/>
              </w:rPr>
              <w:fldChar w:fldCharType="separate"/>
            </w:r>
            <w:r w:rsidR="0024777E">
              <w:rPr>
                <w:noProof/>
                <w:webHidden/>
              </w:rPr>
              <w:t>24</w:t>
            </w:r>
            <w:r w:rsidR="00DC016D">
              <w:rPr>
                <w:noProof/>
                <w:webHidden/>
              </w:rPr>
              <w:fldChar w:fldCharType="end"/>
            </w:r>
          </w:hyperlink>
        </w:p>
        <w:p w14:paraId="43564A88" w14:textId="0DB6188F" w:rsidR="00DC016D" w:rsidRDefault="00BD0B70">
          <w:pPr>
            <w:pStyle w:val="TOC1"/>
            <w:rPr>
              <w:rFonts w:asciiTheme="minorHAnsi" w:eastAsiaTheme="minorEastAsia" w:hAnsiTheme="minorHAnsi" w:cstheme="minorBidi"/>
              <w:noProof/>
              <w:color w:val="auto"/>
              <w:szCs w:val="22"/>
            </w:rPr>
          </w:pPr>
          <w:hyperlink w:anchor="_Toc363804112" w:history="1">
            <w:r w:rsidR="00DC016D" w:rsidRPr="000A577D">
              <w:rPr>
                <w:rStyle w:val="Hyperlink"/>
                <w:noProof/>
              </w:rPr>
              <w:t>Education</w:t>
            </w:r>
            <w:r w:rsidR="00DC016D">
              <w:rPr>
                <w:noProof/>
                <w:webHidden/>
              </w:rPr>
              <w:tab/>
            </w:r>
            <w:r w:rsidR="00DC016D">
              <w:rPr>
                <w:noProof/>
                <w:webHidden/>
              </w:rPr>
              <w:fldChar w:fldCharType="begin"/>
            </w:r>
            <w:r w:rsidR="00DC016D">
              <w:rPr>
                <w:noProof/>
                <w:webHidden/>
              </w:rPr>
              <w:instrText xml:space="preserve"> PAGEREF _Toc363804112 \h </w:instrText>
            </w:r>
            <w:r w:rsidR="00DC016D">
              <w:rPr>
                <w:noProof/>
                <w:webHidden/>
              </w:rPr>
            </w:r>
            <w:r w:rsidR="00DC016D">
              <w:rPr>
                <w:noProof/>
                <w:webHidden/>
              </w:rPr>
              <w:fldChar w:fldCharType="separate"/>
            </w:r>
            <w:r w:rsidR="0024777E">
              <w:rPr>
                <w:noProof/>
                <w:webHidden/>
              </w:rPr>
              <w:t>24</w:t>
            </w:r>
            <w:r w:rsidR="00DC016D">
              <w:rPr>
                <w:noProof/>
                <w:webHidden/>
              </w:rPr>
              <w:fldChar w:fldCharType="end"/>
            </w:r>
          </w:hyperlink>
        </w:p>
        <w:p w14:paraId="3057F406" w14:textId="24562E0C" w:rsidR="00DC016D" w:rsidRDefault="00BD0B70">
          <w:pPr>
            <w:pStyle w:val="TOC1"/>
            <w:rPr>
              <w:rFonts w:asciiTheme="minorHAnsi" w:eastAsiaTheme="minorEastAsia" w:hAnsiTheme="minorHAnsi" w:cstheme="minorBidi"/>
              <w:noProof/>
              <w:color w:val="auto"/>
              <w:szCs w:val="22"/>
            </w:rPr>
          </w:pPr>
          <w:hyperlink w:anchor="_Toc363804114" w:history="1">
            <w:r w:rsidR="00DC016D" w:rsidRPr="000A577D">
              <w:rPr>
                <w:rStyle w:val="Hyperlink"/>
                <w:noProof/>
              </w:rPr>
              <w:t>Health</w:t>
            </w:r>
            <w:r w:rsidR="00DC016D">
              <w:rPr>
                <w:noProof/>
                <w:webHidden/>
              </w:rPr>
              <w:tab/>
            </w:r>
            <w:r w:rsidR="00DC016D">
              <w:rPr>
                <w:noProof/>
                <w:webHidden/>
              </w:rPr>
              <w:fldChar w:fldCharType="begin"/>
            </w:r>
            <w:r w:rsidR="00DC016D">
              <w:rPr>
                <w:noProof/>
                <w:webHidden/>
              </w:rPr>
              <w:instrText xml:space="preserve"> PAGEREF _Toc363804114 \h </w:instrText>
            </w:r>
            <w:r w:rsidR="00DC016D">
              <w:rPr>
                <w:noProof/>
                <w:webHidden/>
              </w:rPr>
            </w:r>
            <w:r w:rsidR="00DC016D">
              <w:rPr>
                <w:noProof/>
                <w:webHidden/>
              </w:rPr>
              <w:fldChar w:fldCharType="separate"/>
            </w:r>
            <w:r w:rsidR="0024777E">
              <w:rPr>
                <w:noProof/>
                <w:webHidden/>
              </w:rPr>
              <w:t>27</w:t>
            </w:r>
            <w:r w:rsidR="00DC016D">
              <w:rPr>
                <w:noProof/>
                <w:webHidden/>
              </w:rPr>
              <w:fldChar w:fldCharType="end"/>
            </w:r>
          </w:hyperlink>
        </w:p>
        <w:p w14:paraId="66830ABB" w14:textId="10E81909" w:rsidR="00DC016D" w:rsidRDefault="00BD0B70">
          <w:pPr>
            <w:pStyle w:val="TOC1"/>
            <w:rPr>
              <w:rFonts w:asciiTheme="minorHAnsi" w:eastAsiaTheme="minorEastAsia" w:hAnsiTheme="minorHAnsi" w:cstheme="minorBidi"/>
              <w:noProof/>
              <w:color w:val="auto"/>
              <w:szCs w:val="22"/>
            </w:rPr>
          </w:pPr>
          <w:hyperlink w:anchor="_Toc363804116" w:history="1">
            <w:r w:rsidR="00DC016D" w:rsidRPr="000A577D">
              <w:rPr>
                <w:rStyle w:val="Hyperlink"/>
                <w:noProof/>
              </w:rPr>
              <w:t>Transport and connectivity</w:t>
            </w:r>
            <w:r w:rsidR="00DC016D">
              <w:rPr>
                <w:noProof/>
                <w:webHidden/>
              </w:rPr>
              <w:tab/>
            </w:r>
            <w:r w:rsidR="00DC016D">
              <w:rPr>
                <w:noProof/>
                <w:webHidden/>
              </w:rPr>
              <w:fldChar w:fldCharType="begin"/>
            </w:r>
            <w:r w:rsidR="00DC016D">
              <w:rPr>
                <w:noProof/>
                <w:webHidden/>
              </w:rPr>
              <w:instrText xml:space="preserve"> PAGEREF _Toc363804116 \h </w:instrText>
            </w:r>
            <w:r w:rsidR="00DC016D">
              <w:rPr>
                <w:noProof/>
                <w:webHidden/>
              </w:rPr>
            </w:r>
            <w:r w:rsidR="00DC016D">
              <w:rPr>
                <w:noProof/>
                <w:webHidden/>
              </w:rPr>
              <w:fldChar w:fldCharType="separate"/>
            </w:r>
            <w:r w:rsidR="0024777E">
              <w:rPr>
                <w:noProof/>
                <w:webHidden/>
              </w:rPr>
              <w:t>31</w:t>
            </w:r>
            <w:r w:rsidR="00DC016D">
              <w:rPr>
                <w:noProof/>
                <w:webHidden/>
              </w:rPr>
              <w:fldChar w:fldCharType="end"/>
            </w:r>
          </w:hyperlink>
        </w:p>
        <w:p w14:paraId="40B4DD4D" w14:textId="4FD00A9F" w:rsidR="00DC016D" w:rsidRDefault="00BD0B70">
          <w:pPr>
            <w:pStyle w:val="TOC1"/>
            <w:rPr>
              <w:rFonts w:asciiTheme="minorHAnsi" w:eastAsiaTheme="minorEastAsia" w:hAnsiTheme="minorHAnsi" w:cstheme="minorBidi"/>
              <w:noProof/>
              <w:color w:val="auto"/>
              <w:szCs w:val="22"/>
            </w:rPr>
          </w:pPr>
          <w:hyperlink w:anchor="_Toc363804118" w:history="1">
            <w:r w:rsidR="00DC016D" w:rsidRPr="000A577D">
              <w:rPr>
                <w:rStyle w:val="Hyperlink"/>
                <w:noProof/>
              </w:rPr>
              <w:t>Water and sanitation</w:t>
            </w:r>
            <w:r w:rsidR="00DC016D">
              <w:rPr>
                <w:noProof/>
                <w:webHidden/>
              </w:rPr>
              <w:tab/>
            </w:r>
            <w:r w:rsidR="00DC016D">
              <w:rPr>
                <w:noProof/>
                <w:webHidden/>
              </w:rPr>
              <w:fldChar w:fldCharType="begin"/>
            </w:r>
            <w:r w:rsidR="00DC016D">
              <w:rPr>
                <w:noProof/>
                <w:webHidden/>
              </w:rPr>
              <w:instrText xml:space="preserve"> PAGEREF _Toc363804118 \h </w:instrText>
            </w:r>
            <w:r w:rsidR="00DC016D">
              <w:rPr>
                <w:noProof/>
                <w:webHidden/>
              </w:rPr>
            </w:r>
            <w:r w:rsidR="00DC016D">
              <w:rPr>
                <w:noProof/>
                <w:webHidden/>
              </w:rPr>
              <w:fldChar w:fldCharType="separate"/>
            </w:r>
            <w:r w:rsidR="0024777E">
              <w:rPr>
                <w:noProof/>
                <w:webHidden/>
              </w:rPr>
              <w:t>34</w:t>
            </w:r>
            <w:r w:rsidR="00DC016D">
              <w:rPr>
                <w:noProof/>
                <w:webHidden/>
              </w:rPr>
              <w:fldChar w:fldCharType="end"/>
            </w:r>
          </w:hyperlink>
        </w:p>
        <w:p w14:paraId="4A4BF494" w14:textId="240EF3E4" w:rsidR="00DC016D" w:rsidRDefault="00BD0B70">
          <w:pPr>
            <w:pStyle w:val="TOC1"/>
            <w:rPr>
              <w:rFonts w:asciiTheme="minorHAnsi" w:eastAsiaTheme="minorEastAsia" w:hAnsiTheme="minorHAnsi" w:cstheme="minorBidi"/>
              <w:noProof/>
              <w:color w:val="auto"/>
              <w:szCs w:val="22"/>
            </w:rPr>
          </w:pPr>
          <w:hyperlink w:anchor="_Toc363804120" w:history="1">
            <w:r w:rsidR="00DC016D" w:rsidRPr="000A577D">
              <w:rPr>
                <w:rStyle w:val="Hyperlink"/>
                <w:noProof/>
              </w:rPr>
              <w:t>Social protection and community driven development</w:t>
            </w:r>
            <w:r w:rsidR="00DC016D">
              <w:rPr>
                <w:noProof/>
                <w:webHidden/>
              </w:rPr>
              <w:tab/>
            </w:r>
            <w:r w:rsidR="00DC016D">
              <w:rPr>
                <w:noProof/>
                <w:webHidden/>
              </w:rPr>
              <w:fldChar w:fldCharType="begin"/>
            </w:r>
            <w:r w:rsidR="00DC016D">
              <w:rPr>
                <w:noProof/>
                <w:webHidden/>
              </w:rPr>
              <w:instrText xml:space="preserve"> PAGEREF _Toc363804120 \h </w:instrText>
            </w:r>
            <w:r w:rsidR="00DC016D">
              <w:rPr>
                <w:noProof/>
                <w:webHidden/>
              </w:rPr>
            </w:r>
            <w:r w:rsidR="00DC016D">
              <w:rPr>
                <w:noProof/>
                <w:webHidden/>
              </w:rPr>
              <w:fldChar w:fldCharType="separate"/>
            </w:r>
            <w:r w:rsidR="0024777E">
              <w:rPr>
                <w:noProof/>
                <w:webHidden/>
              </w:rPr>
              <w:t>38</w:t>
            </w:r>
            <w:r w:rsidR="00DC016D">
              <w:rPr>
                <w:noProof/>
                <w:webHidden/>
              </w:rPr>
              <w:fldChar w:fldCharType="end"/>
            </w:r>
          </w:hyperlink>
        </w:p>
        <w:p w14:paraId="1F6062F7" w14:textId="18FA1332" w:rsidR="00DC016D" w:rsidRDefault="00BD0B70">
          <w:pPr>
            <w:pStyle w:val="TOC1"/>
            <w:rPr>
              <w:rFonts w:asciiTheme="minorHAnsi" w:eastAsiaTheme="minorEastAsia" w:hAnsiTheme="minorHAnsi" w:cstheme="minorBidi"/>
              <w:noProof/>
              <w:color w:val="auto"/>
              <w:szCs w:val="22"/>
            </w:rPr>
          </w:pPr>
          <w:hyperlink w:anchor="_Toc363804122" w:history="1">
            <w:r w:rsidR="00DC016D" w:rsidRPr="000A577D">
              <w:rPr>
                <w:rStyle w:val="Hyperlink"/>
                <w:noProof/>
              </w:rPr>
              <w:t>Bureaucratic reform</w:t>
            </w:r>
            <w:r w:rsidR="00DC016D">
              <w:rPr>
                <w:noProof/>
                <w:webHidden/>
              </w:rPr>
              <w:tab/>
            </w:r>
            <w:r w:rsidR="00DC016D">
              <w:rPr>
                <w:noProof/>
                <w:webHidden/>
              </w:rPr>
              <w:fldChar w:fldCharType="begin"/>
            </w:r>
            <w:r w:rsidR="00DC016D">
              <w:rPr>
                <w:noProof/>
                <w:webHidden/>
              </w:rPr>
              <w:instrText xml:space="preserve"> PAGEREF _Toc363804122 \h </w:instrText>
            </w:r>
            <w:r w:rsidR="00DC016D">
              <w:rPr>
                <w:noProof/>
                <w:webHidden/>
              </w:rPr>
            </w:r>
            <w:r w:rsidR="00DC016D">
              <w:rPr>
                <w:noProof/>
                <w:webHidden/>
              </w:rPr>
              <w:fldChar w:fldCharType="separate"/>
            </w:r>
            <w:r w:rsidR="0024777E">
              <w:rPr>
                <w:noProof/>
                <w:webHidden/>
              </w:rPr>
              <w:t>41</w:t>
            </w:r>
            <w:r w:rsidR="00DC016D">
              <w:rPr>
                <w:noProof/>
                <w:webHidden/>
              </w:rPr>
              <w:fldChar w:fldCharType="end"/>
            </w:r>
          </w:hyperlink>
        </w:p>
        <w:p w14:paraId="48381A33" w14:textId="5D5CF801" w:rsidR="00DC016D" w:rsidRDefault="00BD0B70">
          <w:pPr>
            <w:pStyle w:val="TOC1"/>
            <w:rPr>
              <w:rFonts w:asciiTheme="minorHAnsi" w:eastAsiaTheme="minorEastAsia" w:hAnsiTheme="minorHAnsi" w:cstheme="minorBidi"/>
              <w:noProof/>
              <w:color w:val="auto"/>
              <w:szCs w:val="22"/>
            </w:rPr>
          </w:pPr>
          <w:hyperlink w:anchor="_Toc363804124" w:history="1">
            <w:r w:rsidR="00DC016D" w:rsidRPr="000A577D">
              <w:rPr>
                <w:rStyle w:val="Hyperlink"/>
                <w:noProof/>
              </w:rPr>
              <w:t>Climate change</w:t>
            </w:r>
            <w:r w:rsidR="00DC016D">
              <w:rPr>
                <w:noProof/>
                <w:webHidden/>
              </w:rPr>
              <w:tab/>
            </w:r>
            <w:r w:rsidR="00DC016D">
              <w:rPr>
                <w:noProof/>
                <w:webHidden/>
              </w:rPr>
              <w:fldChar w:fldCharType="begin"/>
            </w:r>
            <w:r w:rsidR="00DC016D">
              <w:rPr>
                <w:noProof/>
                <w:webHidden/>
              </w:rPr>
              <w:instrText xml:space="preserve"> PAGEREF _Toc363804124 \h </w:instrText>
            </w:r>
            <w:r w:rsidR="00DC016D">
              <w:rPr>
                <w:noProof/>
                <w:webHidden/>
              </w:rPr>
            </w:r>
            <w:r w:rsidR="00DC016D">
              <w:rPr>
                <w:noProof/>
                <w:webHidden/>
              </w:rPr>
              <w:fldChar w:fldCharType="separate"/>
            </w:r>
            <w:r w:rsidR="0024777E">
              <w:rPr>
                <w:noProof/>
                <w:webHidden/>
              </w:rPr>
              <w:t>43</w:t>
            </w:r>
            <w:r w:rsidR="00DC016D">
              <w:rPr>
                <w:noProof/>
                <w:webHidden/>
              </w:rPr>
              <w:fldChar w:fldCharType="end"/>
            </w:r>
          </w:hyperlink>
        </w:p>
        <w:p w14:paraId="0128DBB4" w14:textId="562F1133" w:rsidR="00DC016D" w:rsidRDefault="00BD0B70">
          <w:pPr>
            <w:pStyle w:val="TOC1"/>
            <w:rPr>
              <w:rFonts w:asciiTheme="minorHAnsi" w:eastAsiaTheme="minorEastAsia" w:hAnsiTheme="minorHAnsi" w:cstheme="minorBidi"/>
              <w:noProof/>
              <w:color w:val="auto"/>
              <w:szCs w:val="22"/>
            </w:rPr>
          </w:pPr>
          <w:hyperlink w:anchor="_Toc363804126" w:history="1">
            <w:r w:rsidR="00DC016D" w:rsidRPr="000A577D">
              <w:rPr>
                <w:rStyle w:val="Hyperlink"/>
                <w:noProof/>
              </w:rPr>
              <w:t>Decentralisation</w:t>
            </w:r>
            <w:r w:rsidR="00DC016D">
              <w:rPr>
                <w:noProof/>
                <w:webHidden/>
              </w:rPr>
              <w:tab/>
            </w:r>
            <w:r w:rsidR="00DC016D">
              <w:rPr>
                <w:noProof/>
                <w:webHidden/>
              </w:rPr>
              <w:fldChar w:fldCharType="begin"/>
            </w:r>
            <w:r w:rsidR="00DC016D">
              <w:rPr>
                <w:noProof/>
                <w:webHidden/>
              </w:rPr>
              <w:instrText xml:space="preserve"> PAGEREF _Toc363804126 \h </w:instrText>
            </w:r>
            <w:r w:rsidR="00DC016D">
              <w:rPr>
                <w:noProof/>
                <w:webHidden/>
              </w:rPr>
            </w:r>
            <w:r w:rsidR="00DC016D">
              <w:rPr>
                <w:noProof/>
                <w:webHidden/>
              </w:rPr>
              <w:fldChar w:fldCharType="separate"/>
            </w:r>
            <w:r w:rsidR="0024777E">
              <w:rPr>
                <w:noProof/>
                <w:webHidden/>
              </w:rPr>
              <w:t>45</w:t>
            </w:r>
            <w:r w:rsidR="00DC016D">
              <w:rPr>
                <w:noProof/>
                <w:webHidden/>
              </w:rPr>
              <w:fldChar w:fldCharType="end"/>
            </w:r>
          </w:hyperlink>
        </w:p>
        <w:p w14:paraId="5518F75A" w14:textId="16E179E4" w:rsidR="00DC016D" w:rsidRDefault="00BD0B70">
          <w:pPr>
            <w:pStyle w:val="TOC1"/>
            <w:rPr>
              <w:rFonts w:asciiTheme="minorHAnsi" w:eastAsiaTheme="minorEastAsia" w:hAnsiTheme="minorHAnsi" w:cstheme="minorBidi"/>
              <w:noProof/>
              <w:color w:val="auto"/>
              <w:szCs w:val="22"/>
            </w:rPr>
          </w:pPr>
          <w:hyperlink w:anchor="_Toc363804128" w:history="1">
            <w:r w:rsidR="00DC016D" w:rsidRPr="000A577D">
              <w:rPr>
                <w:rStyle w:val="Hyperlink"/>
                <w:noProof/>
              </w:rPr>
              <w:t>Disaster risk management</w:t>
            </w:r>
            <w:r w:rsidR="00DC016D">
              <w:rPr>
                <w:noProof/>
                <w:webHidden/>
              </w:rPr>
              <w:tab/>
            </w:r>
            <w:r w:rsidR="00DC016D">
              <w:rPr>
                <w:noProof/>
                <w:webHidden/>
              </w:rPr>
              <w:fldChar w:fldCharType="begin"/>
            </w:r>
            <w:r w:rsidR="00DC016D">
              <w:rPr>
                <w:noProof/>
                <w:webHidden/>
              </w:rPr>
              <w:instrText xml:space="preserve"> PAGEREF _Toc363804128 \h </w:instrText>
            </w:r>
            <w:r w:rsidR="00DC016D">
              <w:rPr>
                <w:noProof/>
                <w:webHidden/>
              </w:rPr>
            </w:r>
            <w:r w:rsidR="00DC016D">
              <w:rPr>
                <w:noProof/>
                <w:webHidden/>
              </w:rPr>
              <w:fldChar w:fldCharType="separate"/>
            </w:r>
            <w:r w:rsidR="0024777E">
              <w:rPr>
                <w:noProof/>
                <w:webHidden/>
              </w:rPr>
              <w:t>48</w:t>
            </w:r>
            <w:r w:rsidR="00DC016D">
              <w:rPr>
                <w:noProof/>
                <w:webHidden/>
              </w:rPr>
              <w:fldChar w:fldCharType="end"/>
            </w:r>
          </w:hyperlink>
        </w:p>
        <w:p w14:paraId="685DE905" w14:textId="25DA58B7" w:rsidR="00DC016D" w:rsidRDefault="00BD0B70">
          <w:pPr>
            <w:pStyle w:val="TOC1"/>
            <w:rPr>
              <w:rFonts w:asciiTheme="minorHAnsi" w:eastAsiaTheme="minorEastAsia" w:hAnsiTheme="minorHAnsi" w:cstheme="minorBidi"/>
              <w:noProof/>
              <w:color w:val="auto"/>
              <w:szCs w:val="22"/>
            </w:rPr>
          </w:pPr>
          <w:hyperlink w:anchor="_Toc363804130" w:history="1">
            <w:r w:rsidR="00DC016D" w:rsidRPr="000A577D">
              <w:rPr>
                <w:rStyle w:val="Hyperlink"/>
                <w:noProof/>
              </w:rPr>
              <w:t>Economic governance</w:t>
            </w:r>
            <w:r w:rsidR="00DC016D">
              <w:rPr>
                <w:noProof/>
                <w:webHidden/>
              </w:rPr>
              <w:tab/>
            </w:r>
            <w:r w:rsidR="00DC016D">
              <w:rPr>
                <w:noProof/>
                <w:webHidden/>
              </w:rPr>
              <w:fldChar w:fldCharType="begin"/>
            </w:r>
            <w:r w:rsidR="00DC016D">
              <w:rPr>
                <w:noProof/>
                <w:webHidden/>
              </w:rPr>
              <w:instrText xml:space="preserve"> PAGEREF _Toc363804130 \h </w:instrText>
            </w:r>
            <w:r w:rsidR="00DC016D">
              <w:rPr>
                <w:noProof/>
                <w:webHidden/>
              </w:rPr>
            </w:r>
            <w:r w:rsidR="00DC016D">
              <w:rPr>
                <w:noProof/>
                <w:webHidden/>
              </w:rPr>
              <w:fldChar w:fldCharType="separate"/>
            </w:r>
            <w:r w:rsidR="0024777E">
              <w:rPr>
                <w:noProof/>
                <w:webHidden/>
              </w:rPr>
              <w:t>51</w:t>
            </w:r>
            <w:r w:rsidR="00DC016D">
              <w:rPr>
                <w:noProof/>
                <w:webHidden/>
              </w:rPr>
              <w:fldChar w:fldCharType="end"/>
            </w:r>
          </w:hyperlink>
        </w:p>
        <w:p w14:paraId="1364EF7F" w14:textId="0360C5AD" w:rsidR="00DC016D" w:rsidRDefault="00BD0B70">
          <w:pPr>
            <w:pStyle w:val="TOC1"/>
            <w:rPr>
              <w:rFonts w:asciiTheme="minorHAnsi" w:eastAsiaTheme="minorEastAsia" w:hAnsiTheme="minorHAnsi" w:cstheme="minorBidi"/>
              <w:noProof/>
              <w:color w:val="auto"/>
              <w:szCs w:val="22"/>
            </w:rPr>
          </w:pPr>
          <w:hyperlink w:anchor="_Toc363804132" w:history="1">
            <w:r w:rsidR="00DC016D" w:rsidRPr="000A577D">
              <w:rPr>
                <w:rStyle w:val="Hyperlink"/>
                <w:noProof/>
              </w:rPr>
              <w:t>Elections</w:t>
            </w:r>
            <w:r w:rsidR="00DC016D">
              <w:rPr>
                <w:noProof/>
                <w:webHidden/>
              </w:rPr>
              <w:tab/>
            </w:r>
            <w:r w:rsidR="00DC016D">
              <w:rPr>
                <w:noProof/>
                <w:webHidden/>
              </w:rPr>
              <w:fldChar w:fldCharType="begin"/>
            </w:r>
            <w:r w:rsidR="00DC016D">
              <w:rPr>
                <w:noProof/>
                <w:webHidden/>
              </w:rPr>
              <w:instrText xml:space="preserve"> PAGEREF _Toc363804132 \h </w:instrText>
            </w:r>
            <w:r w:rsidR="00DC016D">
              <w:rPr>
                <w:noProof/>
                <w:webHidden/>
              </w:rPr>
            </w:r>
            <w:r w:rsidR="00DC016D">
              <w:rPr>
                <w:noProof/>
                <w:webHidden/>
              </w:rPr>
              <w:fldChar w:fldCharType="separate"/>
            </w:r>
            <w:r w:rsidR="0024777E">
              <w:rPr>
                <w:noProof/>
                <w:webHidden/>
              </w:rPr>
              <w:t>54</w:t>
            </w:r>
            <w:r w:rsidR="00DC016D">
              <w:rPr>
                <w:noProof/>
                <w:webHidden/>
              </w:rPr>
              <w:fldChar w:fldCharType="end"/>
            </w:r>
          </w:hyperlink>
        </w:p>
        <w:p w14:paraId="3D421623" w14:textId="47AECA6D" w:rsidR="00DC016D" w:rsidRDefault="00BD0B70">
          <w:pPr>
            <w:pStyle w:val="TOC1"/>
            <w:rPr>
              <w:rFonts w:asciiTheme="minorHAnsi" w:eastAsiaTheme="minorEastAsia" w:hAnsiTheme="minorHAnsi" w:cstheme="minorBidi"/>
              <w:noProof/>
              <w:color w:val="auto"/>
              <w:szCs w:val="22"/>
            </w:rPr>
          </w:pPr>
          <w:hyperlink w:anchor="_Toc363804134" w:history="1">
            <w:r w:rsidR="00DC016D" w:rsidRPr="000A577D">
              <w:rPr>
                <w:rStyle w:val="Hyperlink"/>
                <w:noProof/>
              </w:rPr>
              <w:t>Law and justice</w:t>
            </w:r>
            <w:r w:rsidR="00DC016D">
              <w:rPr>
                <w:noProof/>
                <w:webHidden/>
              </w:rPr>
              <w:tab/>
            </w:r>
            <w:r w:rsidR="00DC016D">
              <w:rPr>
                <w:noProof/>
                <w:webHidden/>
              </w:rPr>
              <w:fldChar w:fldCharType="begin"/>
            </w:r>
            <w:r w:rsidR="00DC016D">
              <w:rPr>
                <w:noProof/>
                <w:webHidden/>
              </w:rPr>
              <w:instrText xml:space="preserve"> PAGEREF _Toc363804134 \h </w:instrText>
            </w:r>
            <w:r w:rsidR="00DC016D">
              <w:rPr>
                <w:noProof/>
                <w:webHidden/>
              </w:rPr>
            </w:r>
            <w:r w:rsidR="00DC016D">
              <w:rPr>
                <w:noProof/>
                <w:webHidden/>
              </w:rPr>
              <w:fldChar w:fldCharType="separate"/>
            </w:r>
            <w:r w:rsidR="0024777E">
              <w:rPr>
                <w:noProof/>
                <w:webHidden/>
              </w:rPr>
              <w:t>56</w:t>
            </w:r>
            <w:r w:rsidR="00DC016D">
              <w:rPr>
                <w:noProof/>
                <w:webHidden/>
              </w:rPr>
              <w:fldChar w:fldCharType="end"/>
            </w:r>
          </w:hyperlink>
        </w:p>
        <w:p w14:paraId="6AF93331" w14:textId="54FEB11D" w:rsidR="00DC016D" w:rsidRDefault="00BD0B70">
          <w:pPr>
            <w:pStyle w:val="TOC1"/>
            <w:rPr>
              <w:rFonts w:asciiTheme="minorHAnsi" w:eastAsiaTheme="minorEastAsia" w:hAnsiTheme="minorHAnsi" w:cstheme="minorBidi"/>
              <w:noProof/>
              <w:color w:val="auto"/>
              <w:szCs w:val="22"/>
            </w:rPr>
          </w:pPr>
          <w:hyperlink w:anchor="_Toc363804136" w:history="1">
            <w:r w:rsidR="00DC016D" w:rsidRPr="000A577D">
              <w:rPr>
                <w:rStyle w:val="Hyperlink"/>
                <w:noProof/>
              </w:rPr>
              <w:t>Rural livelihoods and agribusiness</w:t>
            </w:r>
            <w:r w:rsidR="00DC016D">
              <w:rPr>
                <w:noProof/>
                <w:webHidden/>
              </w:rPr>
              <w:tab/>
            </w:r>
            <w:r w:rsidR="00DC016D">
              <w:rPr>
                <w:noProof/>
                <w:webHidden/>
              </w:rPr>
              <w:fldChar w:fldCharType="begin"/>
            </w:r>
            <w:r w:rsidR="00DC016D">
              <w:rPr>
                <w:noProof/>
                <w:webHidden/>
              </w:rPr>
              <w:instrText xml:space="preserve"> PAGEREF _Toc363804136 \h </w:instrText>
            </w:r>
            <w:r w:rsidR="00DC016D">
              <w:rPr>
                <w:noProof/>
                <w:webHidden/>
              </w:rPr>
            </w:r>
            <w:r w:rsidR="00DC016D">
              <w:rPr>
                <w:noProof/>
                <w:webHidden/>
              </w:rPr>
              <w:fldChar w:fldCharType="separate"/>
            </w:r>
            <w:r w:rsidR="0024777E">
              <w:rPr>
                <w:noProof/>
                <w:webHidden/>
              </w:rPr>
              <w:t>59</w:t>
            </w:r>
            <w:r w:rsidR="00DC016D">
              <w:rPr>
                <w:noProof/>
                <w:webHidden/>
              </w:rPr>
              <w:fldChar w:fldCharType="end"/>
            </w:r>
          </w:hyperlink>
        </w:p>
        <w:p w14:paraId="772AF0A6" w14:textId="545D75AA" w:rsidR="00DC016D" w:rsidRDefault="00BD0B70">
          <w:pPr>
            <w:pStyle w:val="TOC1"/>
            <w:rPr>
              <w:rFonts w:asciiTheme="minorHAnsi" w:eastAsiaTheme="minorEastAsia" w:hAnsiTheme="minorHAnsi" w:cstheme="minorBidi"/>
              <w:noProof/>
              <w:color w:val="auto"/>
              <w:szCs w:val="22"/>
            </w:rPr>
          </w:pPr>
          <w:hyperlink w:anchor="_Toc363804138" w:history="1">
            <w:r w:rsidR="00DC016D" w:rsidRPr="000A577D">
              <w:rPr>
                <w:rStyle w:val="Hyperlink"/>
                <w:noProof/>
              </w:rPr>
              <w:t>Scholarships</w:t>
            </w:r>
            <w:r w:rsidR="00DC016D">
              <w:rPr>
                <w:noProof/>
                <w:webHidden/>
              </w:rPr>
              <w:tab/>
            </w:r>
            <w:r w:rsidR="00DC016D">
              <w:rPr>
                <w:noProof/>
                <w:webHidden/>
              </w:rPr>
              <w:fldChar w:fldCharType="begin"/>
            </w:r>
            <w:r w:rsidR="00DC016D">
              <w:rPr>
                <w:noProof/>
                <w:webHidden/>
              </w:rPr>
              <w:instrText xml:space="preserve"> PAGEREF _Toc363804138 \h </w:instrText>
            </w:r>
            <w:r w:rsidR="00DC016D">
              <w:rPr>
                <w:noProof/>
                <w:webHidden/>
              </w:rPr>
            </w:r>
            <w:r w:rsidR="00DC016D">
              <w:rPr>
                <w:noProof/>
                <w:webHidden/>
              </w:rPr>
              <w:fldChar w:fldCharType="separate"/>
            </w:r>
            <w:r w:rsidR="0024777E">
              <w:rPr>
                <w:noProof/>
                <w:webHidden/>
              </w:rPr>
              <w:t>61</w:t>
            </w:r>
            <w:r w:rsidR="00DC016D">
              <w:rPr>
                <w:noProof/>
                <w:webHidden/>
              </w:rPr>
              <w:fldChar w:fldCharType="end"/>
            </w:r>
          </w:hyperlink>
        </w:p>
        <w:p w14:paraId="68FDF482" w14:textId="2F3DCD9A" w:rsidR="00DC016D" w:rsidRDefault="00BD0B70">
          <w:pPr>
            <w:pStyle w:val="TOC1"/>
            <w:rPr>
              <w:rFonts w:asciiTheme="minorHAnsi" w:eastAsiaTheme="minorEastAsia" w:hAnsiTheme="minorHAnsi" w:cstheme="minorBidi"/>
              <w:noProof/>
              <w:color w:val="auto"/>
              <w:szCs w:val="22"/>
            </w:rPr>
          </w:pPr>
          <w:hyperlink w:anchor="_Toc363804140" w:history="1">
            <w:r w:rsidR="00DC016D" w:rsidRPr="000A577D">
              <w:rPr>
                <w:rStyle w:val="Hyperlink"/>
                <w:noProof/>
              </w:rPr>
              <w:t>Annex B</w:t>
            </w:r>
            <w:r w:rsidR="00DC016D">
              <w:rPr>
                <w:noProof/>
                <w:webHidden/>
              </w:rPr>
              <w:tab/>
            </w:r>
            <w:r w:rsidR="00DC016D">
              <w:rPr>
                <w:noProof/>
                <w:webHidden/>
              </w:rPr>
              <w:fldChar w:fldCharType="begin"/>
            </w:r>
            <w:r w:rsidR="00DC016D">
              <w:rPr>
                <w:noProof/>
                <w:webHidden/>
              </w:rPr>
              <w:instrText xml:space="preserve"> PAGEREF _Toc363804140 \h </w:instrText>
            </w:r>
            <w:r w:rsidR="00DC016D">
              <w:rPr>
                <w:noProof/>
                <w:webHidden/>
              </w:rPr>
            </w:r>
            <w:r w:rsidR="00DC016D">
              <w:rPr>
                <w:noProof/>
                <w:webHidden/>
              </w:rPr>
              <w:fldChar w:fldCharType="separate"/>
            </w:r>
            <w:r w:rsidR="0024777E">
              <w:rPr>
                <w:noProof/>
                <w:webHidden/>
              </w:rPr>
              <w:t>64</w:t>
            </w:r>
            <w:r w:rsidR="00DC016D">
              <w:rPr>
                <w:noProof/>
                <w:webHidden/>
              </w:rPr>
              <w:fldChar w:fldCharType="end"/>
            </w:r>
          </w:hyperlink>
        </w:p>
        <w:p w14:paraId="3F198320" w14:textId="74DDDA5D" w:rsidR="00DC016D" w:rsidRDefault="00BD0B70">
          <w:pPr>
            <w:pStyle w:val="TOC1"/>
            <w:rPr>
              <w:rFonts w:asciiTheme="minorHAnsi" w:eastAsiaTheme="minorEastAsia" w:hAnsiTheme="minorHAnsi" w:cstheme="minorBidi"/>
              <w:noProof/>
              <w:color w:val="auto"/>
              <w:szCs w:val="22"/>
            </w:rPr>
          </w:pPr>
          <w:hyperlink w:anchor="_Toc363804142" w:history="1">
            <w:r w:rsidR="00DC016D" w:rsidRPr="000A577D">
              <w:rPr>
                <w:rStyle w:val="Hyperlink"/>
                <w:noProof/>
              </w:rPr>
              <w:t>Annex C</w:t>
            </w:r>
            <w:r w:rsidR="00DC016D">
              <w:rPr>
                <w:noProof/>
                <w:webHidden/>
              </w:rPr>
              <w:tab/>
            </w:r>
            <w:r w:rsidR="00DC016D">
              <w:rPr>
                <w:noProof/>
                <w:webHidden/>
              </w:rPr>
              <w:fldChar w:fldCharType="begin"/>
            </w:r>
            <w:r w:rsidR="00DC016D">
              <w:rPr>
                <w:noProof/>
                <w:webHidden/>
              </w:rPr>
              <w:instrText xml:space="preserve"> PAGEREF _Toc363804142 \h </w:instrText>
            </w:r>
            <w:r w:rsidR="00DC016D">
              <w:rPr>
                <w:noProof/>
                <w:webHidden/>
              </w:rPr>
            </w:r>
            <w:r w:rsidR="00DC016D">
              <w:rPr>
                <w:noProof/>
                <w:webHidden/>
              </w:rPr>
              <w:fldChar w:fldCharType="separate"/>
            </w:r>
            <w:r w:rsidR="0024777E">
              <w:rPr>
                <w:noProof/>
                <w:webHidden/>
              </w:rPr>
              <w:t>73</w:t>
            </w:r>
            <w:r w:rsidR="00DC016D">
              <w:rPr>
                <w:noProof/>
                <w:webHidden/>
              </w:rPr>
              <w:fldChar w:fldCharType="end"/>
            </w:r>
          </w:hyperlink>
        </w:p>
        <w:p w14:paraId="2EC9DBA0" w14:textId="25753A36" w:rsidR="00DC016D" w:rsidRDefault="00BD0B70">
          <w:pPr>
            <w:pStyle w:val="TOC1"/>
            <w:rPr>
              <w:rFonts w:asciiTheme="minorHAnsi" w:eastAsiaTheme="minorEastAsia" w:hAnsiTheme="minorHAnsi" w:cstheme="minorBidi"/>
              <w:noProof/>
              <w:color w:val="auto"/>
              <w:szCs w:val="22"/>
            </w:rPr>
          </w:pPr>
          <w:hyperlink w:anchor="_Toc363804144" w:history="1">
            <w:r w:rsidR="00DC016D" w:rsidRPr="000A577D">
              <w:rPr>
                <w:rStyle w:val="Hyperlink"/>
                <w:noProof/>
              </w:rPr>
              <w:t>Annex D</w:t>
            </w:r>
            <w:r w:rsidR="00DC016D">
              <w:rPr>
                <w:noProof/>
                <w:webHidden/>
              </w:rPr>
              <w:tab/>
            </w:r>
            <w:r w:rsidR="00DC016D">
              <w:rPr>
                <w:noProof/>
                <w:webHidden/>
              </w:rPr>
              <w:fldChar w:fldCharType="begin"/>
            </w:r>
            <w:r w:rsidR="00DC016D">
              <w:rPr>
                <w:noProof/>
                <w:webHidden/>
              </w:rPr>
              <w:instrText xml:space="preserve"> PAGEREF _Toc363804144 \h </w:instrText>
            </w:r>
            <w:r w:rsidR="00DC016D">
              <w:rPr>
                <w:noProof/>
                <w:webHidden/>
              </w:rPr>
            </w:r>
            <w:r w:rsidR="00DC016D">
              <w:rPr>
                <w:noProof/>
                <w:webHidden/>
              </w:rPr>
              <w:fldChar w:fldCharType="separate"/>
            </w:r>
            <w:r w:rsidR="0024777E">
              <w:rPr>
                <w:noProof/>
                <w:webHidden/>
              </w:rPr>
              <w:t>78</w:t>
            </w:r>
            <w:r w:rsidR="00DC016D">
              <w:rPr>
                <w:noProof/>
                <w:webHidden/>
              </w:rPr>
              <w:fldChar w:fldCharType="end"/>
            </w:r>
          </w:hyperlink>
        </w:p>
        <w:p w14:paraId="1510C66D" w14:textId="4A557B92" w:rsidR="00DC016D" w:rsidRDefault="00DC016D">
          <w:pPr>
            <w:pStyle w:val="TOC1"/>
            <w:rPr>
              <w:rFonts w:asciiTheme="minorHAnsi" w:eastAsiaTheme="minorEastAsia" w:hAnsiTheme="minorHAnsi" w:cstheme="minorBidi"/>
              <w:noProof/>
              <w:color w:val="auto"/>
              <w:szCs w:val="22"/>
            </w:rPr>
          </w:pPr>
        </w:p>
        <w:p w14:paraId="02F1B9E5" w14:textId="6AEC5E54" w:rsidR="00DC016D" w:rsidRDefault="00DC016D">
          <w:r>
            <w:rPr>
              <w:b/>
              <w:bCs/>
              <w:noProof/>
            </w:rPr>
            <w:fldChar w:fldCharType="end"/>
          </w:r>
        </w:p>
      </w:sdtContent>
    </w:sdt>
    <w:p w14:paraId="2D7C52F2" w14:textId="1559C184" w:rsidR="00180B19" w:rsidRPr="00ED6A9C" w:rsidRDefault="00180B19" w:rsidP="00ED6A9C">
      <w:pPr>
        <w:pStyle w:val="Heading1"/>
      </w:pPr>
      <w:bookmarkStart w:id="0" w:name="_Toc359585078"/>
      <w:bookmarkStart w:id="1" w:name="_Toc363804103"/>
      <w:r w:rsidRPr="00ED6A9C">
        <w:lastRenderedPageBreak/>
        <w:t xml:space="preserve">Key </w:t>
      </w:r>
      <w:bookmarkEnd w:id="0"/>
      <w:r w:rsidR="00B8671D" w:rsidRPr="00ED6A9C">
        <w:t>messages</w:t>
      </w:r>
      <w:bookmarkEnd w:id="1"/>
    </w:p>
    <w:p w14:paraId="1586E67B" w14:textId="79A6D435" w:rsidR="00734E5E" w:rsidRPr="00ED6A9C" w:rsidRDefault="00734E5E" w:rsidP="00ED6A9C">
      <w:pPr>
        <w:pStyle w:val="BodyText"/>
      </w:pPr>
      <w:r w:rsidRPr="00ED6A9C">
        <w:t xml:space="preserve">This report summarises the Australian aid program’s progress in Indonesia from </w:t>
      </w:r>
      <w:r w:rsidR="00B8671D" w:rsidRPr="00ED6A9C">
        <w:t xml:space="preserve">1 </w:t>
      </w:r>
      <w:r w:rsidRPr="00ED6A9C">
        <w:t xml:space="preserve">January 2012 to </w:t>
      </w:r>
      <w:r w:rsidR="00B8671D" w:rsidRPr="00ED6A9C">
        <w:t xml:space="preserve">30 </w:t>
      </w:r>
      <w:r w:rsidRPr="00ED6A9C">
        <w:t>June 2013.</w:t>
      </w:r>
      <w:r w:rsidR="00C06B44" w:rsidRPr="00ED6A9C">
        <w:t xml:space="preserve"> </w:t>
      </w:r>
      <w:r w:rsidRPr="00ED6A9C">
        <w:t xml:space="preserve">The primary purpose of the report is to assess Australia’s contribution to Indonesia’s development progress in the key sectors in which Australia works. </w:t>
      </w:r>
    </w:p>
    <w:p w14:paraId="7344CAFB" w14:textId="0253FF9D" w:rsidR="00734E5E" w:rsidRDefault="00734E5E" w:rsidP="00ED6A9C">
      <w:pPr>
        <w:pStyle w:val="ListBullet"/>
      </w:pPr>
      <w:r>
        <w:t>The Australian aid program in Indonesia is the largest bilateral grant program, but equivalent to only around 0.3</w:t>
      </w:r>
      <w:r w:rsidR="00B8671D">
        <w:t xml:space="preserve"> per cent </w:t>
      </w:r>
      <w:r>
        <w:t xml:space="preserve">of the </w:t>
      </w:r>
      <w:r w:rsidR="00B8671D">
        <w:t xml:space="preserve">Indonesian </w:t>
      </w:r>
      <w:r>
        <w:t>Government</w:t>
      </w:r>
      <w:r w:rsidR="00B8671D">
        <w:t>’s</w:t>
      </w:r>
      <w:r>
        <w:t xml:space="preserve"> budget</w:t>
      </w:r>
      <w:r w:rsidR="00B8671D">
        <w:t>.</w:t>
      </w:r>
    </w:p>
    <w:p w14:paraId="312BF845" w14:textId="7157EE09" w:rsidR="00734E5E" w:rsidRDefault="00734E5E" w:rsidP="00ED6A9C">
      <w:pPr>
        <w:pStyle w:val="ListBullet"/>
      </w:pPr>
      <w:r>
        <w:t xml:space="preserve">The program works to </w:t>
      </w:r>
      <w:r w:rsidR="00B8671D">
        <w:t xml:space="preserve">Indonesian </w:t>
      </w:r>
      <w:r>
        <w:t>Government development priorities</w:t>
      </w:r>
      <w:r w:rsidR="00B8671D">
        <w:t>.</w:t>
      </w:r>
    </w:p>
    <w:p w14:paraId="7EE036EB" w14:textId="27E589BE" w:rsidR="00734E5E" w:rsidRDefault="00734E5E" w:rsidP="00ED6A9C">
      <w:pPr>
        <w:pStyle w:val="ListBullet"/>
      </w:pPr>
      <w:r>
        <w:t xml:space="preserve">The program spent a total of $887.7 million over the reporting period, </w:t>
      </w:r>
      <w:r w:rsidR="00B8671D">
        <w:t xml:space="preserve">including </w:t>
      </w:r>
      <w:r>
        <w:t>$823.5 million delivered by AusAID</w:t>
      </w:r>
      <w:r w:rsidR="00B61341">
        <w:rPr>
          <w:rStyle w:val="FootnoteReference"/>
        </w:rPr>
        <w:footnoteReference w:id="1"/>
      </w:r>
      <w:r>
        <w:t xml:space="preserve"> and $64.2 million by other Australian </w:t>
      </w:r>
      <w:r w:rsidR="00B8671D">
        <w:t xml:space="preserve">Government </w:t>
      </w:r>
      <w:r>
        <w:t xml:space="preserve">agencies, leading to key results during the reporting period in: </w:t>
      </w:r>
    </w:p>
    <w:p w14:paraId="7AA7DCFD" w14:textId="5DD86A3F" w:rsidR="00734E5E" w:rsidRDefault="00734E5E" w:rsidP="00ED6A9C">
      <w:pPr>
        <w:pStyle w:val="ListBullet2"/>
      </w:pPr>
      <w:r>
        <w:t>health – maternal deaths in the areas we work are decreasing in contrast to the rest of Indonesia where national rates are stagnant</w:t>
      </w:r>
    </w:p>
    <w:p w14:paraId="14D5CD6C" w14:textId="69F1B968" w:rsidR="00734E5E" w:rsidRDefault="00734E5E" w:rsidP="00ED6A9C">
      <w:pPr>
        <w:pStyle w:val="ListBullet2"/>
      </w:pPr>
      <w:r>
        <w:t xml:space="preserve">water and sanitation </w:t>
      </w:r>
      <w:r w:rsidR="00B8671D">
        <w:t xml:space="preserve">– </w:t>
      </w:r>
      <w:r>
        <w:t>600</w:t>
      </w:r>
      <w:r w:rsidR="00B8671D">
        <w:t xml:space="preserve"> </w:t>
      </w:r>
      <w:r>
        <w:t>000 people received access to safe water and 300</w:t>
      </w:r>
      <w:r w:rsidR="00B8671D">
        <w:t xml:space="preserve"> </w:t>
      </w:r>
      <w:r>
        <w:t>000 to basic sanitation</w:t>
      </w:r>
    </w:p>
    <w:p w14:paraId="69367748" w14:textId="7962B63A" w:rsidR="00734E5E" w:rsidRDefault="00734E5E" w:rsidP="00ED6A9C">
      <w:pPr>
        <w:pStyle w:val="ListBullet2"/>
      </w:pPr>
      <w:r>
        <w:t>economic governance – Australian advice has been key on critical policy issues such as fuel subsidy reform, budget execution blockages and current account deficit</w:t>
      </w:r>
    </w:p>
    <w:p w14:paraId="698AF732" w14:textId="6AD0DB7E" w:rsidR="00734E5E" w:rsidRDefault="00734E5E" w:rsidP="00ED6A9C">
      <w:pPr>
        <w:pStyle w:val="ListBullet2"/>
      </w:pPr>
      <w:proofErr w:type="gramStart"/>
      <w:r>
        <w:t>social</w:t>
      </w:r>
      <w:proofErr w:type="gramEnd"/>
      <w:r>
        <w:t xml:space="preserve"> protection </w:t>
      </w:r>
      <w:r w:rsidR="00B8671D">
        <w:t xml:space="preserve">– the </w:t>
      </w:r>
      <w:r>
        <w:t>growth rate in real per capita consumption is 11.8</w:t>
      </w:r>
      <w:r w:rsidR="00B8671D">
        <w:t xml:space="preserve"> per cent </w:t>
      </w:r>
      <w:r>
        <w:t>higher in supported than non-supported communities</w:t>
      </w:r>
      <w:r w:rsidR="00B8671D">
        <w:t xml:space="preserve">. A total of </w:t>
      </w:r>
      <w:r w:rsidR="00E56CAC">
        <w:t>16</w:t>
      </w:r>
      <w:r w:rsidR="00B8671D">
        <w:t xml:space="preserve"> </w:t>
      </w:r>
      <w:r w:rsidR="00E56CAC">
        <w:t>600</w:t>
      </w:r>
      <w:r>
        <w:t xml:space="preserve"> children </w:t>
      </w:r>
      <w:r w:rsidR="00B8671D">
        <w:t xml:space="preserve">have been </w:t>
      </w:r>
      <w:r>
        <w:t>immunised</w:t>
      </w:r>
    </w:p>
    <w:p w14:paraId="133A248A" w14:textId="6ECF1C41" w:rsidR="00734E5E" w:rsidRDefault="00734E5E" w:rsidP="00ED6A9C">
      <w:pPr>
        <w:pStyle w:val="ListBullet2"/>
      </w:pPr>
      <w:proofErr w:type="gramStart"/>
      <w:r>
        <w:t>law</w:t>
      </w:r>
      <w:proofErr w:type="gramEnd"/>
      <w:r>
        <w:t xml:space="preserve"> and justice </w:t>
      </w:r>
      <w:r w:rsidR="00B8671D">
        <w:t xml:space="preserve">– </w:t>
      </w:r>
      <w:r>
        <w:t>460</w:t>
      </w:r>
      <w:r w:rsidR="00B8671D">
        <w:t xml:space="preserve"> </w:t>
      </w:r>
      <w:r>
        <w:t xml:space="preserve">000 legal decisions </w:t>
      </w:r>
      <w:r w:rsidR="00B8671D">
        <w:t xml:space="preserve">have been </w:t>
      </w:r>
      <w:r>
        <w:t>published online, an increase from 123</w:t>
      </w:r>
      <w:r w:rsidR="00B8671D">
        <w:t xml:space="preserve"> </w:t>
      </w:r>
      <w:r>
        <w:t>000 in December 2011</w:t>
      </w:r>
      <w:r w:rsidR="00B8671D">
        <w:t>. An a</w:t>
      </w:r>
      <w:r>
        <w:t xml:space="preserve">nnual report </w:t>
      </w:r>
      <w:r w:rsidR="00B8671D">
        <w:t xml:space="preserve">was </w:t>
      </w:r>
      <w:r>
        <w:t>published by public prosecutor’s office for the first time in 2012</w:t>
      </w:r>
    </w:p>
    <w:p w14:paraId="389880C6" w14:textId="3F258AC8" w:rsidR="00734E5E" w:rsidRDefault="00734E5E" w:rsidP="00ED6A9C">
      <w:pPr>
        <w:pStyle w:val="ListBullet2"/>
      </w:pPr>
      <w:r>
        <w:t xml:space="preserve">elections – </w:t>
      </w:r>
      <w:r w:rsidR="006A779C">
        <w:t>Australia</w:t>
      </w:r>
      <w:r w:rsidR="00B8671D">
        <w:t xml:space="preserve"> </w:t>
      </w:r>
      <w:r>
        <w:t>supported Indonesia’s general elections commission to develop an accurate list of approximately 190 million voters</w:t>
      </w:r>
    </w:p>
    <w:p w14:paraId="4D910013" w14:textId="7D593C4E" w:rsidR="00734E5E" w:rsidRDefault="00734E5E" w:rsidP="00ED6A9C">
      <w:pPr>
        <w:pStyle w:val="ListBullet2"/>
      </w:pPr>
      <w:r>
        <w:t>decentralised governance –80</w:t>
      </w:r>
      <w:r w:rsidR="00B8671D">
        <w:t xml:space="preserve"> per cent </w:t>
      </w:r>
      <w:r>
        <w:t>of district government</w:t>
      </w:r>
      <w:r w:rsidR="00B8671D">
        <w:t>s were</w:t>
      </w:r>
      <w:r>
        <w:t xml:space="preserve"> </w:t>
      </w:r>
      <w:r w:rsidR="00B8671D">
        <w:t xml:space="preserve">supported </w:t>
      </w:r>
      <w:r>
        <w:t xml:space="preserve">in the provinces of </w:t>
      </w:r>
      <w:r w:rsidR="00B8671D">
        <w:t>Nusa Tenggara Barat (the province of West Nusa Tenggara)</w:t>
      </w:r>
      <w:r>
        <w:t xml:space="preserve">, </w:t>
      </w:r>
      <w:r w:rsidR="00B8671D">
        <w:t xml:space="preserve">Nusa Tenggara </w:t>
      </w:r>
      <w:proofErr w:type="spellStart"/>
      <w:r w:rsidR="00B8671D">
        <w:t>Timur</w:t>
      </w:r>
      <w:proofErr w:type="spellEnd"/>
      <w:r w:rsidR="00B8671D">
        <w:t xml:space="preserve"> (the province of East Nusa Tenggara)</w:t>
      </w:r>
      <w:r>
        <w:t>, South Sulawesi and Southeast Sulawesi to apply participatory approaches to public policy making and budgeting</w:t>
      </w:r>
    </w:p>
    <w:p w14:paraId="4EBCB211" w14:textId="182CBCFE" w:rsidR="00734E5E" w:rsidRDefault="00734E5E" w:rsidP="00ED6A9C">
      <w:pPr>
        <w:pStyle w:val="ListBullet2"/>
      </w:pPr>
      <w:r>
        <w:t xml:space="preserve">rural livelihoods </w:t>
      </w:r>
      <w:r w:rsidR="00B8671D">
        <w:t xml:space="preserve">– </w:t>
      </w:r>
      <w:r>
        <w:t>94</w:t>
      </w:r>
      <w:r w:rsidR="00B8671D">
        <w:t xml:space="preserve"> </w:t>
      </w:r>
      <w:r>
        <w:t>000 poor women and men gained access to agricultural technologies, and 76</w:t>
      </w:r>
      <w:r w:rsidR="00B8671D">
        <w:t xml:space="preserve"> </w:t>
      </w:r>
      <w:r>
        <w:t>000 increased their incomes</w:t>
      </w:r>
    </w:p>
    <w:p w14:paraId="380815DC" w14:textId="1DFBE5F5" w:rsidR="00734E5E" w:rsidRDefault="00734E5E" w:rsidP="00ED6A9C">
      <w:pPr>
        <w:pStyle w:val="ListBullet2"/>
      </w:pPr>
      <w:r>
        <w:t>disaster risk management –</w:t>
      </w:r>
      <w:r w:rsidR="00B8671D">
        <w:t xml:space="preserve"> Indonesia’s </w:t>
      </w:r>
      <w:r>
        <w:t xml:space="preserve">national disaster management agency </w:t>
      </w:r>
      <w:r w:rsidR="00B8671D">
        <w:t xml:space="preserve">was supported </w:t>
      </w:r>
      <w:r>
        <w:t xml:space="preserve">to train 388 disaster managers in </w:t>
      </w:r>
      <w:r w:rsidR="00B8671D">
        <w:t xml:space="preserve">eight </w:t>
      </w:r>
      <w:r>
        <w:t>provinces</w:t>
      </w:r>
    </w:p>
    <w:p w14:paraId="293B710A" w14:textId="3E184E0D" w:rsidR="00734E5E" w:rsidRDefault="00734E5E" w:rsidP="00ED6A9C">
      <w:pPr>
        <w:pStyle w:val="ListBullet2"/>
      </w:pPr>
      <w:proofErr w:type="gramStart"/>
      <w:r>
        <w:t>scholarships</w:t>
      </w:r>
      <w:proofErr w:type="gramEnd"/>
      <w:r>
        <w:t xml:space="preserve"> program </w:t>
      </w:r>
      <w:r w:rsidR="00B8671D">
        <w:t xml:space="preserve">– </w:t>
      </w:r>
      <w:r>
        <w:t>448 Australia Awards scholarships for long</w:t>
      </w:r>
      <w:r w:rsidR="00E668A5">
        <w:t>-</w:t>
      </w:r>
      <w:r>
        <w:t xml:space="preserve">term study and 26 Australia </w:t>
      </w:r>
      <w:r w:rsidR="00B8671D">
        <w:t xml:space="preserve">Award </w:t>
      </w:r>
      <w:r>
        <w:t xml:space="preserve">leadership </w:t>
      </w:r>
      <w:r w:rsidR="00B8671D">
        <w:t xml:space="preserve">awards were provided </w:t>
      </w:r>
      <w:r>
        <w:t xml:space="preserve">to Indonesians </w:t>
      </w:r>
      <w:r w:rsidR="005C59D3">
        <w:t xml:space="preserve">with </w:t>
      </w:r>
      <w:r>
        <w:t>outstanding leadership potential</w:t>
      </w:r>
      <w:r w:rsidR="005C59D3">
        <w:t xml:space="preserve">. The awards are </w:t>
      </w:r>
      <w:r>
        <w:t>promoting knowledge, education links and enduring ties between Australia and Indonesia.</w:t>
      </w:r>
    </w:p>
    <w:p w14:paraId="0CD7FC2D" w14:textId="77777777" w:rsidR="00805D86" w:rsidRDefault="00805D86">
      <w:pPr>
        <w:spacing w:after="200" w:line="276" w:lineRule="auto"/>
        <w:rPr>
          <w:rFonts w:eastAsia="Times New Roman"/>
          <w:sz w:val="22"/>
        </w:rPr>
      </w:pPr>
      <w:r>
        <w:br w:type="page"/>
      </w:r>
    </w:p>
    <w:p w14:paraId="686C577C" w14:textId="2827759E" w:rsidR="00734E5E" w:rsidRDefault="00734E5E" w:rsidP="00ED6A9C">
      <w:pPr>
        <w:pStyle w:val="ListBullet"/>
      </w:pPr>
      <w:r>
        <w:lastRenderedPageBreak/>
        <w:t>Management responses to key issues identified during the reporting period include:</w:t>
      </w:r>
      <w:r w:rsidR="00C06B44">
        <w:t xml:space="preserve"> </w:t>
      </w:r>
    </w:p>
    <w:p w14:paraId="1F651B7F" w14:textId="6965416B" w:rsidR="00734E5E" w:rsidRDefault="00AC44CE" w:rsidP="00ED6A9C">
      <w:pPr>
        <w:pStyle w:val="ListBullet2"/>
      </w:pPr>
      <w:r>
        <w:t>extendi</w:t>
      </w:r>
      <w:r w:rsidR="008E7760">
        <w:t xml:space="preserve">ng </w:t>
      </w:r>
      <w:r w:rsidR="005C59D3">
        <w:t xml:space="preserve">the </w:t>
      </w:r>
      <w:r w:rsidR="00734E5E">
        <w:t xml:space="preserve">current </w:t>
      </w:r>
      <w:r w:rsidR="005C59D3">
        <w:t>Australia–</w:t>
      </w:r>
      <w:r w:rsidR="00734E5E">
        <w:t>Indonesia Partnership Country Strategy (2008</w:t>
      </w:r>
      <w:r w:rsidR="005C59D3">
        <w:t>–20</w:t>
      </w:r>
      <w:r w:rsidR="00734E5E">
        <w:t xml:space="preserve">13) for a year to align with the timing of Indonesia’s next five year </w:t>
      </w:r>
      <w:r w:rsidR="005C59D3">
        <w:t>medium-</w:t>
      </w:r>
      <w:r w:rsidR="00734E5E">
        <w:t>term development plan, to be developed after Indonesian national elections</w:t>
      </w:r>
    </w:p>
    <w:p w14:paraId="04DC9CC0" w14:textId="1E49E729" w:rsidR="00734E5E" w:rsidRDefault="00AC44CE" w:rsidP="00ED6A9C">
      <w:pPr>
        <w:pStyle w:val="ListBullet2"/>
      </w:pPr>
      <w:proofErr w:type="gramStart"/>
      <w:r>
        <w:t>developing</w:t>
      </w:r>
      <w:proofErr w:type="gramEnd"/>
      <w:r>
        <w:t xml:space="preserve"> </w:t>
      </w:r>
      <w:r w:rsidR="005C59D3">
        <w:t xml:space="preserve">delivery </w:t>
      </w:r>
      <w:r w:rsidR="00734E5E">
        <w:t>strategies for infrastructure and other sectors. This follows an A</w:t>
      </w:r>
      <w:r w:rsidR="005C59D3">
        <w:t xml:space="preserve">ustralian </w:t>
      </w:r>
      <w:r w:rsidR="00734E5E">
        <w:t>N</w:t>
      </w:r>
      <w:r w:rsidR="005C59D3">
        <w:t xml:space="preserve">ational </w:t>
      </w:r>
      <w:r w:rsidR="00734E5E">
        <w:t>A</w:t>
      </w:r>
      <w:r w:rsidR="005C59D3">
        <w:t xml:space="preserve">udit </w:t>
      </w:r>
      <w:r w:rsidR="00734E5E">
        <w:t>O</w:t>
      </w:r>
      <w:r w:rsidR="005C59D3">
        <w:t>ffice</w:t>
      </w:r>
      <w:r w:rsidR="00734E5E">
        <w:t xml:space="preserve"> report which found </w:t>
      </w:r>
      <w:r w:rsidR="00B4493C">
        <w:t xml:space="preserve">the </w:t>
      </w:r>
      <w:r w:rsidR="00734E5E">
        <w:t>need for a</w:t>
      </w:r>
      <w:r w:rsidR="00B4493C">
        <w:t>n</w:t>
      </w:r>
      <w:r w:rsidR="00734E5E">
        <w:t xml:space="preserve"> </w:t>
      </w:r>
      <w:r w:rsidR="00B4493C">
        <w:t xml:space="preserve">infrastructure </w:t>
      </w:r>
      <w:r w:rsidR="00734E5E">
        <w:t xml:space="preserve">delivery strategy to guide </w:t>
      </w:r>
      <w:r w:rsidR="002E5E9F">
        <w:t>DFAT</w:t>
      </w:r>
      <w:r w:rsidR="00734E5E">
        <w:t xml:space="preserve"> support to </w:t>
      </w:r>
      <w:r w:rsidR="00B4493C">
        <w:t xml:space="preserve">the sector </w:t>
      </w:r>
      <w:r w:rsidR="00734E5E">
        <w:t>and improve measure</w:t>
      </w:r>
      <w:r w:rsidR="00B4493C">
        <w:t>ment of</w:t>
      </w:r>
      <w:r w:rsidR="00734E5E">
        <w:t xml:space="preserve"> program outcomes</w:t>
      </w:r>
    </w:p>
    <w:p w14:paraId="1E761B6A" w14:textId="4E20DAD7" w:rsidR="00734E5E" w:rsidRDefault="005C59D3" w:rsidP="00ED6A9C">
      <w:pPr>
        <w:pStyle w:val="ListBullet2"/>
      </w:pPr>
      <w:r>
        <w:t>strengthen</w:t>
      </w:r>
      <w:r w:rsidR="00B4493C">
        <w:t>ing</w:t>
      </w:r>
      <w:r>
        <w:t xml:space="preserve"> </w:t>
      </w:r>
      <w:r w:rsidR="00734E5E">
        <w:t>cross-sectoral programming, coordination and collaboration</w:t>
      </w:r>
    </w:p>
    <w:p w14:paraId="340664AF" w14:textId="1435D4D5" w:rsidR="00734E5E" w:rsidRDefault="005C59D3" w:rsidP="00ED6A9C">
      <w:pPr>
        <w:pStyle w:val="ListBullet2"/>
      </w:pPr>
      <w:proofErr w:type="gramStart"/>
      <w:r>
        <w:t>further</w:t>
      </w:r>
      <w:proofErr w:type="gramEnd"/>
      <w:r>
        <w:t xml:space="preserve"> </w:t>
      </w:r>
      <w:r w:rsidR="00734E5E">
        <w:t>strengthen</w:t>
      </w:r>
      <w:r w:rsidR="00B4493C">
        <w:t>ing</w:t>
      </w:r>
      <w:r w:rsidR="00734E5E">
        <w:t xml:space="preserve"> </w:t>
      </w:r>
      <w:r w:rsidR="002E5E9F">
        <w:t>DFAT</w:t>
      </w:r>
      <w:r w:rsidR="00734E5E">
        <w:t xml:space="preserve"> staff evaluation capacity through the evaluation capacity building program</w:t>
      </w:r>
      <w:r>
        <w:t>.</w:t>
      </w:r>
    </w:p>
    <w:p w14:paraId="72523B2B" w14:textId="77777777" w:rsidR="00180B19" w:rsidRPr="00180B19" w:rsidRDefault="00180B19" w:rsidP="00ED6A9C">
      <w:pPr>
        <w:pStyle w:val="Heading1"/>
      </w:pPr>
      <w:bookmarkStart w:id="2" w:name="_Toc359585079"/>
      <w:bookmarkStart w:id="3" w:name="_Toc363804104"/>
      <w:r w:rsidRPr="00180B19">
        <w:t>Context</w:t>
      </w:r>
      <w:bookmarkEnd w:id="2"/>
      <w:bookmarkEnd w:id="3"/>
      <w:r w:rsidRPr="00180B19">
        <w:t xml:space="preserve"> </w:t>
      </w:r>
    </w:p>
    <w:p w14:paraId="57B4D3C9" w14:textId="3899C4B5" w:rsidR="00AC44CE" w:rsidRPr="00ED6A9C" w:rsidRDefault="00A012F6" w:rsidP="00ED6A9C">
      <w:pPr>
        <w:pStyle w:val="BodyText"/>
        <w:rPr>
          <w:rFonts w:eastAsia="SimSun"/>
        </w:rPr>
      </w:pPr>
      <w:r w:rsidRPr="00ED6A9C">
        <w:rPr>
          <w:rFonts w:eastAsia="SimSun"/>
        </w:rPr>
        <w:t>The Australian development program is focused on supporting Indonesia to remain a stable, democratic and increasingly prosperous country.</w:t>
      </w:r>
      <w:r w:rsidR="00C06B44" w:rsidRPr="00ED6A9C">
        <w:rPr>
          <w:rFonts w:eastAsia="SimSun"/>
        </w:rPr>
        <w:t xml:space="preserve"> </w:t>
      </w:r>
      <w:r w:rsidRPr="00ED6A9C">
        <w:rPr>
          <w:rFonts w:eastAsia="SimSun"/>
        </w:rPr>
        <w:t xml:space="preserve">We do this through activities that tackle poverty at the community level, promote macro-economic reforms, </w:t>
      </w:r>
      <w:proofErr w:type="gramStart"/>
      <w:r w:rsidRPr="00ED6A9C">
        <w:rPr>
          <w:rFonts w:eastAsia="SimSun"/>
        </w:rPr>
        <w:t>encourage</w:t>
      </w:r>
      <w:proofErr w:type="gramEnd"/>
      <w:r w:rsidRPr="00ED6A9C">
        <w:rPr>
          <w:rFonts w:eastAsia="SimSun"/>
        </w:rPr>
        <w:t xml:space="preserve"> greater transparency and governance at national and sub-national levels</w:t>
      </w:r>
      <w:r w:rsidR="00AC44CE" w:rsidRPr="00ED6A9C">
        <w:rPr>
          <w:rFonts w:eastAsia="SimSun"/>
        </w:rPr>
        <w:t>,</w:t>
      </w:r>
      <w:r w:rsidRPr="00ED6A9C">
        <w:rPr>
          <w:rFonts w:eastAsia="SimSun"/>
        </w:rPr>
        <w:t xml:space="preserve"> and support disaster risk reduction and mitigation.</w:t>
      </w:r>
      <w:r w:rsidR="00C06B44" w:rsidRPr="00ED6A9C">
        <w:rPr>
          <w:rFonts w:eastAsia="SimSun"/>
        </w:rPr>
        <w:t xml:space="preserve"> </w:t>
      </w:r>
      <w:r w:rsidRPr="00ED6A9C">
        <w:rPr>
          <w:rFonts w:eastAsia="SimSun"/>
        </w:rPr>
        <w:t>We have initiatives in 14 sectors across all 33 Indonesian provinces</w:t>
      </w:r>
      <w:r w:rsidR="00AC44CE" w:rsidRPr="00ED6A9C">
        <w:rPr>
          <w:rFonts w:eastAsia="SimSun"/>
        </w:rPr>
        <w:t>:</w:t>
      </w:r>
    </w:p>
    <w:p w14:paraId="4F2DA6E7" w14:textId="523B317E" w:rsidR="00AC44CE" w:rsidRDefault="00A012F6" w:rsidP="00ED6A9C">
      <w:pPr>
        <w:pStyle w:val="ListBullet"/>
        <w:rPr>
          <w:rFonts w:eastAsia="SimSun"/>
        </w:rPr>
      </w:pPr>
      <w:r w:rsidRPr="00A012F6">
        <w:rPr>
          <w:rFonts w:eastAsia="SimSun"/>
        </w:rPr>
        <w:t>education</w:t>
      </w:r>
    </w:p>
    <w:p w14:paraId="2568C070" w14:textId="43E696D9" w:rsidR="00AC44CE" w:rsidRDefault="00A012F6" w:rsidP="00ED6A9C">
      <w:pPr>
        <w:pStyle w:val="ListBullet"/>
        <w:rPr>
          <w:rFonts w:eastAsia="SimSun"/>
        </w:rPr>
      </w:pPr>
      <w:r w:rsidRPr="00A012F6">
        <w:rPr>
          <w:rFonts w:eastAsia="SimSun"/>
        </w:rPr>
        <w:t>health</w:t>
      </w:r>
    </w:p>
    <w:p w14:paraId="3EAB5E55" w14:textId="0035E824" w:rsidR="00AC44CE" w:rsidRDefault="00A012F6" w:rsidP="00ED6A9C">
      <w:pPr>
        <w:pStyle w:val="ListBullet"/>
        <w:rPr>
          <w:rFonts w:eastAsia="SimSun"/>
        </w:rPr>
      </w:pPr>
      <w:r w:rsidRPr="00A012F6">
        <w:rPr>
          <w:rFonts w:eastAsia="SimSun"/>
        </w:rPr>
        <w:t>transport and connectivity</w:t>
      </w:r>
    </w:p>
    <w:p w14:paraId="4F4EADF5" w14:textId="2F17505F" w:rsidR="00AC44CE" w:rsidRDefault="00A012F6" w:rsidP="00ED6A9C">
      <w:pPr>
        <w:pStyle w:val="ListBullet"/>
        <w:rPr>
          <w:rFonts w:eastAsia="SimSun"/>
        </w:rPr>
      </w:pPr>
      <w:r w:rsidRPr="00A012F6">
        <w:rPr>
          <w:rFonts w:eastAsia="SimSun"/>
        </w:rPr>
        <w:t>water and sanitation</w:t>
      </w:r>
    </w:p>
    <w:p w14:paraId="187469FF" w14:textId="2C731532" w:rsidR="00AC44CE" w:rsidRDefault="00A012F6" w:rsidP="00ED6A9C">
      <w:pPr>
        <w:pStyle w:val="ListBullet"/>
        <w:rPr>
          <w:rFonts w:eastAsia="SimSun"/>
        </w:rPr>
      </w:pPr>
      <w:r w:rsidRPr="00A012F6">
        <w:rPr>
          <w:rFonts w:eastAsia="SimSun"/>
        </w:rPr>
        <w:t>economic governance</w:t>
      </w:r>
    </w:p>
    <w:p w14:paraId="451314E2" w14:textId="5600E85E" w:rsidR="00AC44CE" w:rsidRDefault="00A012F6" w:rsidP="00ED6A9C">
      <w:pPr>
        <w:pStyle w:val="ListBullet"/>
        <w:rPr>
          <w:rFonts w:eastAsia="SimSun"/>
        </w:rPr>
      </w:pPr>
      <w:r w:rsidRPr="00A012F6">
        <w:rPr>
          <w:rFonts w:eastAsia="SimSun"/>
        </w:rPr>
        <w:t>social protection and community driven development</w:t>
      </w:r>
    </w:p>
    <w:p w14:paraId="0814F341" w14:textId="7BDF49BE" w:rsidR="00AC44CE" w:rsidRDefault="00A012F6" w:rsidP="00ED6A9C">
      <w:pPr>
        <w:pStyle w:val="ListBullet"/>
        <w:rPr>
          <w:rFonts w:eastAsia="SimSun"/>
        </w:rPr>
      </w:pPr>
      <w:r w:rsidRPr="00A012F6">
        <w:rPr>
          <w:rFonts w:eastAsia="SimSun"/>
        </w:rPr>
        <w:t>law and justice</w:t>
      </w:r>
    </w:p>
    <w:p w14:paraId="26C4AD3A" w14:textId="401CF7EF" w:rsidR="00AC44CE" w:rsidRDefault="00A012F6" w:rsidP="00ED6A9C">
      <w:pPr>
        <w:pStyle w:val="ListBullet"/>
        <w:rPr>
          <w:rFonts w:eastAsia="SimSun"/>
        </w:rPr>
      </w:pPr>
      <w:r w:rsidRPr="00A012F6">
        <w:rPr>
          <w:rFonts w:eastAsia="SimSun"/>
        </w:rPr>
        <w:t>elections</w:t>
      </w:r>
    </w:p>
    <w:p w14:paraId="62364EC7" w14:textId="326053AE" w:rsidR="00AC44CE" w:rsidRDefault="00A012F6" w:rsidP="00ED6A9C">
      <w:pPr>
        <w:pStyle w:val="ListBullet"/>
        <w:rPr>
          <w:rFonts w:eastAsia="SimSun"/>
        </w:rPr>
      </w:pPr>
      <w:r w:rsidRPr="00A012F6">
        <w:rPr>
          <w:rFonts w:eastAsia="SimSun"/>
        </w:rPr>
        <w:t>decentralisation</w:t>
      </w:r>
    </w:p>
    <w:p w14:paraId="587917C9" w14:textId="34771B78" w:rsidR="00AC44CE" w:rsidRDefault="00A012F6" w:rsidP="00ED6A9C">
      <w:pPr>
        <w:pStyle w:val="ListBullet"/>
        <w:rPr>
          <w:rFonts w:eastAsia="SimSun"/>
        </w:rPr>
      </w:pPr>
      <w:r w:rsidRPr="00A012F6">
        <w:rPr>
          <w:rFonts w:eastAsia="SimSun"/>
        </w:rPr>
        <w:t>rural livelihoods and agribusiness</w:t>
      </w:r>
    </w:p>
    <w:p w14:paraId="38925EA6" w14:textId="58659B97" w:rsidR="00AC44CE" w:rsidRDefault="00A012F6" w:rsidP="00ED6A9C">
      <w:pPr>
        <w:pStyle w:val="ListBullet"/>
        <w:rPr>
          <w:rFonts w:eastAsia="SimSun"/>
        </w:rPr>
      </w:pPr>
      <w:r w:rsidRPr="00A012F6">
        <w:rPr>
          <w:rFonts w:eastAsia="SimSun"/>
        </w:rPr>
        <w:t>bureaucratic reform</w:t>
      </w:r>
    </w:p>
    <w:p w14:paraId="6245DDF8" w14:textId="4D0ED742" w:rsidR="00AC44CE" w:rsidRDefault="00A012F6" w:rsidP="00ED6A9C">
      <w:pPr>
        <w:pStyle w:val="ListBullet"/>
        <w:rPr>
          <w:rFonts w:eastAsia="SimSun"/>
        </w:rPr>
      </w:pPr>
      <w:r w:rsidRPr="00A012F6">
        <w:rPr>
          <w:rFonts w:eastAsia="SimSun"/>
        </w:rPr>
        <w:t>disaster risk management</w:t>
      </w:r>
    </w:p>
    <w:p w14:paraId="2D6160DD" w14:textId="4D64CBED" w:rsidR="00AC44CE" w:rsidRDefault="00A012F6" w:rsidP="00ED6A9C">
      <w:pPr>
        <w:pStyle w:val="ListBullet"/>
        <w:rPr>
          <w:rFonts w:eastAsia="SimSun"/>
        </w:rPr>
      </w:pPr>
      <w:r w:rsidRPr="00A012F6">
        <w:rPr>
          <w:rFonts w:eastAsia="SimSun"/>
        </w:rPr>
        <w:t xml:space="preserve">climate change </w:t>
      </w:r>
    </w:p>
    <w:p w14:paraId="0BCDDC19" w14:textId="4FB4F0C7" w:rsidR="00AC44CE" w:rsidRDefault="00A012F6" w:rsidP="00ED6A9C">
      <w:pPr>
        <w:pStyle w:val="ListBullet"/>
        <w:rPr>
          <w:rFonts w:eastAsia="SimSun"/>
        </w:rPr>
      </w:pPr>
      <w:proofErr w:type="gramStart"/>
      <w:r w:rsidRPr="00A012F6">
        <w:rPr>
          <w:rFonts w:eastAsia="SimSun"/>
        </w:rPr>
        <w:t>scholarships</w:t>
      </w:r>
      <w:proofErr w:type="gramEnd"/>
      <w:r w:rsidRPr="00A012F6">
        <w:rPr>
          <w:rFonts w:eastAsia="SimSun"/>
        </w:rPr>
        <w:t>.</w:t>
      </w:r>
    </w:p>
    <w:p w14:paraId="73816E71" w14:textId="6B85DCCE" w:rsidR="00A012F6" w:rsidRPr="00A012F6" w:rsidRDefault="00A012F6" w:rsidP="004923C5">
      <w:pPr>
        <w:pStyle w:val="BodyText"/>
        <w:rPr>
          <w:rFonts w:eastAsia="SimSun"/>
        </w:rPr>
      </w:pPr>
      <w:r w:rsidRPr="00A012F6">
        <w:rPr>
          <w:rFonts w:eastAsia="SimSun"/>
        </w:rPr>
        <w:t>A core focus of the program is Eastern Indonesia where the poorest communities are located.</w:t>
      </w:r>
      <w:r w:rsidR="00C06B44">
        <w:rPr>
          <w:rFonts w:eastAsia="SimSun"/>
        </w:rPr>
        <w:t xml:space="preserve"> </w:t>
      </w:r>
    </w:p>
    <w:p w14:paraId="4776CA34" w14:textId="7032A70C" w:rsidR="00A012F6" w:rsidRPr="00A012F6" w:rsidRDefault="006A779C" w:rsidP="004923C5">
      <w:pPr>
        <w:pStyle w:val="BodyText"/>
        <w:rPr>
          <w:rFonts w:eastAsia="SimSun"/>
        </w:rPr>
      </w:pPr>
      <w:r>
        <w:rPr>
          <w:rFonts w:eastAsia="SimSun"/>
        </w:rPr>
        <w:t xml:space="preserve">The department </w:t>
      </w:r>
      <w:r w:rsidR="00A012F6" w:rsidRPr="00A012F6">
        <w:rPr>
          <w:rFonts w:eastAsia="SimSun"/>
        </w:rPr>
        <w:t xml:space="preserve">works with the </w:t>
      </w:r>
      <w:r w:rsidR="00AC44CE" w:rsidRPr="00A012F6">
        <w:rPr>
          <w:rFonts w:eastAsia="SimSun"/>
        </w:rPr>
        <w:t>Indonesia</w:t>
      </w:r>
      <w:r w:rsidR="00AC44CE">
        <w:rPr>
          <w:rFonts w:eastAsia="SimSun"/>
        </w:rPr>
        <w:t>n</w:t>
      </w:r>
      <w:r w:rsidR="00AC44CE" w:rsidRPr="00A012F6">
        <w:rPr>
          <w:rFonts w:eastAsia="SimSun"/>
        </w:rPr>
        <w:t xml:space="preserve"> </w:t>
      </w:r>
      <w:r w:rsidR="00A012F6" w:rsidRPr="00A012F6">
        <w:rPr>
          <w:rFonts w:eastAsia="SimSun"/>
        </w:rPr>
        <w:t xml:space="preserve">Government to target our program so that it aligns with </w:t>
      </w:r>
      <w:r w:rsidR="00AC44CE">
        <w:rPr>
          <w:rFonts w:eastAsia="SimSun"/>
        </w:rPr>
        <w:t>government</w:t>
      </w:r>
      <w:r w:rsidR="00AC44CE" w:rsidRPr="00A012F6">
        <w:rPr>
          <w:rFonts w:eastAsia="SimSun"/>
        </w:rPr>
        <w:t xml:space="preserve"> </w:t>
      </w:r>
      <w:r w:rsidR="00A012F6" w:rsidRPr="00A012F6">
        <w:rPr>
          <w:rFonts w:eastAsia="SimSun"/>
        </w:rPr>
        <w:t>priorities and supports Indonesia to meet the Millennium Development Goals.</w:t>
      </w:r>
      <w:r w:rsidR="00C06B44">
        <w:rPr>
          <w:rFonts w:eastAsia="SimSun"/>
        </w:rPr>
        <w:t xml:space="preserve"> </w:t>
      </w:r>
      <w:r w:rsidR="00A012F6" w:rsidRPr="00A012F6">
        <w:rPr>
          <w:rFonts w:eastAsia="SimSun"/>
        </w:rPr>
        <w:t xml:space="preserve">Increasingly this means </w:t>
      </w:r>
      <w:r w:rsidR="00AC44CE">
        <w:rPr>
          <w:rFonts w:eastAsia="SimSun"/>
        </w:rPr>
        <w:t>helping</w:t>
      </w:r>
      <w:r w:rsidR="00A012F6" w:rsidRPr="00A012F6">
        <w:rPr>
          <w:rFonts w:eastAsia="SimSun"/>
        </w:rPr>
        <w:t xml:space="preserve"> to deliver services to the poor and support</w:t>
      </w:r>
      <w:r w:rsidR="00AC44CE">
        <w:rPr>
          <w:rFonts w:eastAsia="SimSun"/>
        </w:rPr>
        <w:t>ing</w:t>
      </w:r>
      <w:r w:rsidR="00A012F6" w:rsidRPr="00A012F6">
        <w:rPr>
          <w:rFonts w:eastAsia="SimSun"/>
        </w:rPr>
        <w:t xml:space="preserve"> better policy making.</w:t>
      </w:r>
      <w:r w:rsidR="00C06B44">
        <w:rPr>
          <w:rFonts w:eastAsia="SimSun"/>
        </w:rPr>
        <w:t xml:space="preserve"> </w:t>
      </w:r>
      <w:r w:rsidR="00A012F6" w:rsidRPr="00A012F6">
        <w:rPr>
          <w:rFonts w:eastAsia="SimSun"/>
        </w:rPr>
        <w:t xml:space="preserve">We aim to leverage </w:t>
      </w:r>
      <w:r w:rsidR="00AC44CE">
        <w:rPr>
          <w:rFonts w:eastAsia="SimSun"/>
        </w:rPr>
        <w:t>government</w:t>
      </w:r>
      <w:r w:rsidR="00AC44CE" w:rsidRPr="00A012F6">
        <w:rPr>
          <w:rFonts w:eastAsia="SimSun"/>
        </w:rPr>
        <w:t xml:space="preserve"> </w:t>
      </w:r>
      <w:r w:rsidR="00A012F6" w:rsidRPr="00A012F6">
        <w:rPr>
          <w:rFonts w:eastAsia="SimSun"/>
        </w:rPr>
        <w:t xml:space="preserve">resources to deliver the greatest impact to the largest number of poor people, at the same time as supporting </w:t>
      </w:r>
      <w:r w:rsidR="00AC44CE">
        <w:rPr>
          <w:rFonts w:eastAsia="SimSun"/>
        </w:rPr>
        <w:t>the government</w:t>
      </w:r>
      <w:r w:rsidR="00AC44CE" w:rsidRPr="00A012F6">
        <w:rPr>
          <w:rFonts w:eastAsia="SimSun"/>
        </w:rPr>
        <w:t xml:space="preserve"> </w:t>
      </w:r>
      <w:r w:rsidR="00A012F6" w:rsidRPr="00A012F6">
        <w:rPr>
          <w:rFonts w:eastAsia="SimSun"/>
        </w:rPr>
        <w:t>to improve its policy, economic and democratic processes.</w:t>
      </w:r>
      <w:r w:rsidR="00C06B44">
        <w:rPr>
          <w:rFonts w:eastAsia="SimSun"/>
        </w:rPr>
        <w:t xml:space="preserve"> </w:t>
      </w:r>
      <w:r w:rsidR="00A012F6" w:rsidRPr="00A012F6">
        <w:rPr>
          <w:rFonts w:eastAsia="SimSun"/>
        </w:rPr>
        <w:t>This is a relatively resource-intensive way to deliver aid but is necessary given the nuances of dealing with poverty alleviation in a middle income country context, and the fact that the Australian aid program is a tiny proportion of Indonesia’s own budget.</w:t>
      </w:r>
      <w:r w:rsidR="00C06B44">
        <w:rPr>
          <w:rFonts w:eastAsia="SimSun"/>
        </w:rPr>
        <w:t xml:space="preserve"> </w:t>
      </w:r>
    </w:p>
    <w:p w14:paraId="33380F1F" w14:textId="01D9E1A4" w:rsidR="00A012F6" w:rsidRPr="00A012F6" w:rsidRDefault="00A012F6" w:rsidP="004923C5">
      <w:pPr>
        <w:pStyle w:val="BodyText"/>
        <w:rPr>
          <w:rFonts w:eastAsia="SimSun"/>
        </w:rPr>
      </w:pPr>
      <w:r w:rsidRPr="00A012F6">
        <w:rPr>
          <w:rFonts w:eastAsia="SimSun"/>
        </w:rPr>
        <w:lastRenderedPageBreak/>
        <w:t>Economic growth in Indonesia remains strong, but is slowing.</w:t>
      </w:r>
      <w:r w:rsidR="00C06B44">
        <w:rPr>
          <w:rFonts w:eastAsia="SimSun"/>
        </w:rPr>
        <w:t xml:space="preserve"> </w:t>
      </w:r>
      <w:r w:rsidRPr="00A012F6">
        <w:rPr>
          <w:rFonts w:eastAsia="SimSun"/>
        </w:rPr>
        <w:t>The Indonesian economy grew by 6.2 per cent in 2012, slightly lower than the 6.5 per cent growth recorded in 2011. The World Bank projects steady growth for Indonesia of 6.2 and 6.5 per cent for 2013 and 2014 respectively. Inflation has been moderate, with the consumer price index increasing by 4.3 per cent in 2012. Food price increases have been an important driver of inflation over the last year, which tends to have a disproportionate impact on the poor.</w:t>
      </w:r>
    </w:p>
    <w:p w14:paraId="08A8F720" w14:textId="5E183795" w:rsidR="00A012F6" w:rsidRPr="00A012F6" w:rsidRDefault="00A012F6" w:rsidP="004923C5">
      <w:pPr>
        <w:pStyle w:val="BodyText"/>
        <w:rPr>
          <w:rFonts w:eastAsia="SimSun"/>
        </w:rPr>
      </w:pPr>
      <w:r w:rsidRPr="00A012F6">
        <w:rPr>
          <w:rFonts w:eastAsia="SimSun"/>
        </w:rPr>
        <w:t>Overall macroeconomic indicators remain healthy, but a significant current account deficit is emerging reflecting slowing exports.</w:t>
      </w:r>
      <w:r w:rsidR="00C06B44">
        <w:rPr>
          <w:rFonts w:eastAsia="SimSun"/>
        </w:rPr>
        <w:t xml:space="preserve"> </w:t>
      </w:r>
      <w:r w:rsidRPr="00A012F6">
        <w:rPr>
          <w:rFonts w:eastAsia="SimSun"/>
        </w:rPr>
        <w:t xml:space="preserve">The current account deficit for 2012 widened to 2.7 per cent of </w:t>
      </w:r>
      <w:r w:rsidR="00AC44CE">
        <w:rPr>
          <w:rFonts w:eastAsia="SimSun"/>
        </w:rPr>
        <w:t>gross domestic product (</w:t>
      </w:r>
      <w:r w:rsidRPr="00A012F6">
        <w:rPr>
          <w:rFonts w:eastAsia="SimSun"/>
        </w:rPr>
        <w:t>GDP</w:t>
      </w:r>
      <w:r w:rsidR="00AC44CE">
        <w:rPr>
          <w:rFonts w:eastAsia="SimSun"/>
        </w:rPr>
        <w:t>)</w:t>
      </w:r>
      <w:r w:rsidRPr="00A012F6">
        <w:rPr>
          <w:rFonts w:eastAsia="SimSun"/>
        </w:rPr>
        <w:t xml:space="preserve">, up from a surplus of 0.2 per cent in 2011. This makes the economy dependent on foreign capital inflows, which remain strong. However, </w:t>
      </w:r>
      <w:r w:rsidR="00AC44CE">
        <w:rPr>
          <w:rFonts w:eastAsia="SimSun"/>
        </w:rPr>
        <w:t xml:space="preserve">if </w:t>
      </w:r>
      <w:r w:rsidRPr="00A012F6">
        <w:rPr>
          <w:rFonts w:eastAsia="SimSun"/>
        </w:rPr>
        <w:t xml:space="preserve">this </w:t>
      </w:r>
      <w:r w:rsidR="00AC44CE" w:rsidRPr="00A012F6">
        <w:rPr>
          <w:rFonts w:eastAsia="SimSun"/>
        </w:rPr>
        <w:t xml:space="preserve">were </w:t>
      </w:r>
      <w:r w:rsidRPr="00A012F6">
        <w:rPr>
          <w:rFonts w:eastAsia="SimSun"/>
        </w:rPr>
        <w:t>to change, a significant impact on the currency</w:t>
      </w:r>
      <w:r w:rsidR="00AC44CE" w:rsidRPr="00AC44CE">
        <w:rPr>
          <w:rFonts w:eastAsia="SimSun"/>
        </w:rPr>
        <w:t xml:space="preserve"> </w:t>
      </w:r>
      <w:r w:rsidR="00AC44CE">
        <w:rPr>
          <w:rFonts w:eastAsia="SimSun"/>
        </w:rPr>
        <w:t xml:space="preserve">would be </w:t>
      </w:r>
      <w:r w:rsidR="00AC44CE" w:rsidRPr="00A012F6">
        <w:rPr>
          <w:rFonts w:eastAsia="SimSun"/>
        </w:rPr>
        <w:t>expect</w:t>
      </w:r>
      <w:r w:rsidR="00AC44CE">
        <w:rPr>
          <w:rFonts w:eastAsia="SimSun"/>
        </w:rPr>
        <w:t>ed</w:t>
      </w:r>
      <w:r w:rsidRPr="00A012F6">
        <w:rPr>
          <w:rFonts w:eastAsia="SimSun"/>
        </w:rPr>
        <w:t>.</w:t>
      </w:r>
      <w:r w:rsidR="00C06B44">
        <w:rPr>
          <w:rFonts w:eastAsia="SimSun"/>
        </w:rPr>
        <w:t xml:space="preserve"> </w:t>
      </w:r>
      <w:r w:rsidRPr="00A012F6">
        <w:rPr>
          <w:rFonts w:eastAsia="SimSun"/>
        </w:rPr>
        <w:t>The recent downgrade in S</w:t>
      </w:r>
      <w:r w:rsidR="00AC44CE">
        <w:rPr>
          <w:rFonts w:eastAsia="SimSun"/>
        </w:rPr>
        <w:t xml:space="preserve">tandard </w:t>
      </w:r>
      <w:r w:rsidRPr="00A012F6">
        <w:rPr>
          <w:rFonts w:eastAsia="SimSun"/>
        </w:rPr>
        <w:t>&amp;</w:t>
      </w:r>
      <w:r w:rsidR="00AC44CE">
        <w:rPr>
          <w:rFonts w:eastAsia="SimSun"/>
        </w:rPr>
        <w:t xml:space="preserve"> </w:t>
      </w:r>
      <w:r w:rsidRPr="00A012F6">
        <w:rPr>
          <w:rFonts w:eastAsia="SimSun"/>
        </w:rPr>
        <w:t>P</w:t>
      </w:r>
      <w:r w:rsidR="00AC44CE">
        <w:rPr>
          <w:rFonts w:eastAsia="SimSun"/>
        </w:rPr>
        <w:t>oor</w:t>
      </w:r>
      <w:r w:rsidRPr="00A012F6">
        <w:rPr>
          <w:rFonts w:eastAsia="SimSun"/>
        </w:rPr>
        <w:t xml:space="preserve">’s rating of Indonesia’s debt from ‘positive’ to ‘stable’ reflects a general sentiment that, </w:t>
      </w:r>
      <w:r w:rsidR="00AC44CE" w:rsidRPr="00A012F6">
        <w:rPr>
          <w:rFonts w:eastAsia="SimSun"/>
        </w:rPr>
        <w:t>whil</w:t>
      </w:r>
      <w:r w:rsidR="00AC44CE">
        <w:rPr>
          <w:rFonts w:eastAsia="SimSun"/>
        </w:rPr>
        <w:t>e</w:t>
      </w:r>
      <w:r w:rsidR="00AC44CE" w:rsidRPr="00A012F6">
        <w:rPr>
          <w:rFonts w:eastAsia="SimSun"/>
        </w:rPr>
        <w:t xml:space="preserve"> </w:t>
      </w:r>
      <w:r w:rsidRPr="00A012F6">
        <w:rPr>
          <w:rFonts w:eastAsia="SimSun"/>
        </w:rPr>
        <w:t>the prospects for consumer driven growth remain strong, there are significant risks ahead.</w:t>
      </w:r>
    </w:p>
    <w:p w14:paraId="551D3874" w14:textId="12B93592" w:rsidR="00A012F6" w:rsidRPr="00A012F6" w:rsidRDefault="00A012F6" w:rsidP="004923C5">
      <w:pPr>
        <w:pStyle w:val="BodyText"/>
        <w:rPr>
          <w:rFonts w:eastAsia="SimSun"/>
        </w:rPr>
      </w:pPr>
      <w:r w:rsidRPr="00A012F6">
        <w:rPr>
          <w:rFonts w:eastAsia="SimSun"/>
        </w:rPr>
        <w:t xml:space="preserve">Growth has been correlated with continued rapid </w:t>
      </w:r>
      <w:r w:rsidR="00AC44CE" w:rsidRPr="00A012F6">
        <w:rPr>
          <w:rFonts w:eastAsia="SimSun"/>
        </w:rPr>
        <w:t>urbani</w:t>
      </w:r>
      <w:r w:rsidR="00AC44CE">
        <w:rPr>
          <w:rFonts w:eastAsia="SimSun"/>
        </w:rPr>
        <w:t>s</w:t>
      </w:r>
      <w:r w:rsidR="00AC44CE" w:rsidRPr="00A012F6">
        <w:rPr>
          <w:rFonts w:eastAsia="SimSun"/>
        </w:rPr>
        <w:t>ation</w:t>
      </w:r>
      <w:r w:rsidRPr="00A012F6">
        <w:rPr>
          <w:rFonts w:eastAsia="SimSun"/>
        </w:rPr>
        <w:t>.</w:t>
      </w:r>
      <w:r w:rsidR="00C06B44">
        <w:rPr>
          <w:rFonts w:eastAsia="SimSun"/>
        </w:rPr>
        <w:t xml:space="preserve"> </w:t>
      </w:r>
      <w:r w:rsidRPr="00A012F6">
        <w:rPr>
          <w:rFonts w:eastAsia="SimSun"/>
        </w:rPr>
        <w:t xml:space="preserve">Over the past 40 years, Indonesia has </w:t>
      </w:r>
      <w:r w:rsidR="009A7C24" w:rsidRPr="00A012F6">
        <w:rPr>
          <w:rFonts w:eastAsia="SimSun"/>
        </w:rPr>
        <w:t>urbani</w:t>
      </w:r>
      <w:r w:rsidR="009A7C24">
        <w:rPr>
          <w:rFonts w:eastAsia="SimSun"/>
        </w:rPr>
        <w:t>s</w:t>
      </w:r>
      <w:r w:rsidR="009A7C24" w:rsidRPr="00A012F6">
        <w:rPr>
          <w:rFonts w:eastAsia="SimSun"/>
        </w:rPr>
        <w:t xml:space="preserve">ed </w:t>
      </w:r>
      <w:r w:rsidRPr="00A012F6">
        <w:rPr>
          <w:rFonts w:eastAsia="SimSun"/>
        </w:rPr>
        <w:t>more rapidly than most other countries in the region, with over 50</w:t>
      </w:r>
      <w:r w:rsidR="00AC44CE">
        <w:rPr>
          <w:rFonts w:eastAsia="SimSun"/>
        </w:rPr>
        <w:t xml:space="preserve"> per </w:t>
      </w:r>
      <w:r w:rsidR="009A7C24">
        <w:rPr>
          <w:rFonts w:eastAsia="SimSun"/>
        </w:rPr>
        <w:t>c</w:t>
      </w:r>
      <w:r w:rsidR="00AC44CE">
        <w:rPr>
          <w:rFonts w:eastAsia="SimSun"/>
        </w:rPr>
        <w:t>ent</w:t>
      </w:r>
      <w:r w:rsidR="00AC44CE" w:rsidRPr="00A012F6">
        <w:rPr>
          <w:rFonts w:eastAsia="SimSun"/>
        </w:rPr>
        <w:t xml:space="preserve"> </w:t>
      </w:r>
      <w:r w:rsidRPr="00A012F6">
        <w:rPr>
          <w:rFonts w:eastAsia="SimSun"/>
        </w:rPr>
        <w:t>of the population now living in areas classified as urban.</w:t>
      </w:r>
      <w:r w:rsidR="00C06B44">
        <w:rPr>
          <w:rFonts w:eastAsia="SimSun"/>
        </w:rPr>
        <w:t xml:space="preserve"> </w:t>
      </w:r>
      <w:r w:rsidRPr="00A012F6">
        <w:rPr>
          <w:rFonts w:eastAsia="SimSun"/>
        </w:rPr>
        <w:t>The urban population has grown from 85 million in 2000 to 118 million in 2010, an increase larger than the total population of Australia.</w:t>
      </w:r>
      <w:r w:rsidR="00C06B44">
        <w:rPr>
          <w:rFonts w:eastAsia="SimSun"/>
        </w:rPr>
        <w:t xml:space="preserve"> </w:t>
      </w:r>
      <w:r w:rsidRPr="00A012F6">
        <w:rPr>
          <w:rFonts w:eastAsia="SimSun"/>
        </w:rPr>
        <w:t>However, Indonesia has been less successful than countries such as China and Thailand in reaping the potential economic benefits of agglomeration.</w:t>
      </w:r>
      <w:r w:rsidR="00C06B44">
        <w:rPr>
          <w:rFonts w:eastAsia="SimSun"/>
        </w:rPr>
        <w:t xml:space="preserve"> </w:t>
      </w:r>
      <w:r w:rsidRPr="00A012F6">
        <w:rPr>
          <w:rFonts w:eastAsia="SimSun"/>
        </w:rPr>
        <w:t>The proportion of urban residents living in poverty averaged 8.6 per cent in September 2012, but varied considerably by region.</w:t>
      </w:r>
      <w:r w:rsidR="00C06B44">
        <w:rPr>
          <w:rFonts w:eastAsia="SimSun"/>
        </w:rPr>
        <w:t xml:space="preserve"> </w:t>
      </w:r>
      <w:r w:rsidRPr="00A012F6">
        <w:rPr>
          <w:rFonts w:eastAsia="SimSun"/>
        </w:rPr>
        <w:t>In total, they account for more than one-third of Indonesia’s poor.</w:t>
      </w:r>
      <w:r w:rsidR="00C06B44">
        <w:rPr>
          <w:rFonts w:eastAsia="SimSun"/>
        </w:rPr>
        <w:t xml:space="preserve"> </w:t>
      </w:r>
      <w:r w:rsidR="005B7653" w:rsidRPr="005B7653">
        <w:rPr>
          <w:rFonts w:eastAsia="SimSun"/>
        </w:rPr>
        <w:t>Women and children are among the most vulnerable. While women actively contribute to the national and household economy, they are excluded from many decision-making structures and processes at the family, local and national level. In the 2010 Gender Development Index Indonesia ranked 108 out of 166 countries. This ranking reflects a combination of a lower literacy rate for women and fewer years of schooling, a smaller share of earned income, one of the highest maternal mortality rates in the region, and political under-representation.</w:t>
      </w:r>
      <w:r w:rsidR="00C06B44">
        <w:rPr>
          <w:rFonts w:eastAsia="SimSun"/>
        </w:rPr>
        <w:t xml:space="preserve"> </w:t>
      </w:r>
    </w:p>
    <w:p w14:paraId="5D0B8BF6" w14:textId="1B29B06E" w:rsidR="00A012F6" w:rsidRPr="00A012F6" w:rsidRDefault="00A012F6" w:rsidP="004923C5">
      <w:pPr>
        <w:pStyle w:val="BodyText"/>
        <w:rPr>
          <w:rFonts w:eastAsia="SimSun"/>
        </w:rPr>
      </w:pPr>
      <w:r w:rsidRPr="00A012F6">
        <w:rPr>
          <w:rFonts w:eastAsia="SimSun"/>
        </w:rPr>
        <w:t>Notwithstanding the policy challenges outlined above, investment and consumption driven growth has continued to reduce poverty, with 11.7</w:t>
      </w:r>
      <w:r w:rsidR="00AC44CE">
        <w:rPr>
          <w:rFonts w:eastAsia="SimSun"/>
        </w:rPr>
        <w:t xml:space="preserve"> per cent</w:t>
      </w:r>
      <w:r w:rsidR="00AC44CE" w:rsidRPr="00A012F6">
        <w:rPr>
          <w:rFonts w:eastAsia="SimSun"/>
        </w:rPr>
        <w:t xml:space="preserve"> </w:t>
      </w:r>
      <w:r w:rsidRPr="00A012F6">
        <w:rPr>
          <w:rFonts w:eastAsia="SimSun"/>
        </w:rPr>
        <w:t>of the population, or 29 million people</w:t>
      </w:r>
      <w:r w:rsidR="00AC44CE">
        <w:rPr>
          <w:rFonts w:eastAsia="SimSun"/>
        </w:rPr>
        <w:t>,</w:t>
      </w:r>
      <w:r w:rsidR="00E86919">
        <w:rPr>
          <w:rStyle w:val="FootnoteReference"/>
          <w:rFonts w:eastAsia="SimSun"/>
        </w:rPr>
        <w:footnoteReference w:id="2"/>
      </w:r>
      <w:r w:rsidR="00C06B44">
        <w:rPr>
          <w:rFonts w:eastAsia="SimSun"/>
        </w:rPr>
        <w:t xml:space="preserve"> </w:t>
      </w:r>
      <w:r w:rsidRPr="00A012F6">
        <w:rPr>
          <w:rFonts w:eastAsia="SimSun"/>
        </w:rPr>
        <w:t xml:space="preserve">living below the Indonesian national poverty line of </w:t>
      </w:r>
      <w:r w:rsidR="007C41D7" w:rsidRPr="007C41D7">
        <w:rPr>
          <w:rFonts w:eastAsia="SimSun"/>
        </w:rPr>
        <w:t>IDR259</w:t>
      </w:r>
      <w:r w:rsidR="00AC44CE">
        <w:rPr>
          <w:rFonts w:eastAsia="SimSun"/>
        </w:rPr>
        <w:t xml:space="preserve"> </w:t>
      </w:r>
      <w:r w:rsidR="007C41D7" w:rsidRPr="007C41D7">
        <w:rPr>
          <w:rFonts w:eastAsia="SimSun"/>
        </w:rPr>
        <w:t xml:space="preserve">520 </w:t>
      </w:r>
      <w:r w:rsidRPr="00A012F6">
        <w:rPr>
          <w:rFonts w:eastAsia="SimSun"/>
        </w:rPr>
        <w:t>or $25 per person per month.</w:t>
      </w:r>
      <w:r w:rsidR="00C06B44">
        <w:rPr>
          <w:rFonts w:eastAsia="SimSun"/>
        </w:rPr>
        <w:t xml:space="preserve"> </w:t>
      </w:r>
      <w:r w:rsidRPr="00A012F6">
        <w:rPr>
          <w:rFonts w:eastAsia="SimSun"/>
        </w:rPr>
        <w:t xml:space="preserve">However, the rate of reduction of poverty is slowing—the average yearly reduction since 2007 has been 0.9 percentage points but it fell by only 0.5 percentage points in the year to March 2012. Moreover, the evidence suggests that rapid growth has been accompanied by a trend of widening inequality. Indonesia’s </w:t>
      </w:r>
      <w:proofErr w:type="spellStart"/>
      <w:r w:rsidRPr="00A012F6">
        <w:rPr>
          <w:rFonts w:eastAsia="SimSun"/>
        </w:rPr>
        <w:t>Gini</w:t>
      </w:r>
      <w:proofErr w:type="spellEnd"/>
      <w:r w:rsidRPr="00A012F6">
        <w:rPr>
          <w:rFonts w:eastAsia="SimSun"/>
        </w:rPr>
        <w:t xml:space="preserve"> index has risen from 0.30 in 2000, to 0.37 in 2009, and 0.41 in 201</w:t>
      </w:r>
      <w:r w:rsidR="006D31A1">
        <w:rPr>
          <w:rFonts w:eastAsia="SimSun"/>
        </w:rPr>
        <w:t>2</w:t>
      </w:r>
      <w:r w:rsidR="00AC44CE">
        <w:rPr>
          <w:rFonts w:eastAsia="SimSun"/>
        </w:rPr>
        <w:t>.</w:t>
      </w:r>
      <w:r w:rsidR="006D31A1">
        <w:rPr>
          <w:rStyle w:val="FootnoteReference"/>
          <w:rFonts w:eastAsia="SimSun"/>
        </w:rPr>
        <w:footnoteReference w:id="3"/>
      </w:r>
      <w:r w:rsidRPr="00A012F6">
        <w:rPr>
          <w:rFonts w:eastAsia="SimSun"/>
        </w:rPr>
        <w:t xml:space="preserve"> Assessments continue to identify that almost half of the Indonesian population (111.8 million people) lives on less than US</w:t>
      </w:r>
      <w:r w:rsidR="00AC44CE">
        <w:rPr>
          <w:rFonts w:eastAsia="SimSun"/>
        </w:rPr>
        <w:t>D</w:t>
      </w:r>
      <w:r w:rsidRPr="00A012F6">
        <w:rPr>
          <w:rFonts w:eastAsia="SimSun"/>
        </w:rPr>
        <w:t xml:space="preserve">2 </w:t>
      </w:r>
      <w:r w:rsidR="00AC44CE">
        <w:rPr>
          <w:rFonts w:eastAsia="SimSun"/>
        </w:rPr>
        <w:t>a</w:t>
      </w:r>
      <w:r w:rsidR="00AC44CE" w:rsidRPr="00A012F6">
        <w:rPr>
          <w:rFonts w:eastAsia="SimSun"/>
        </w:rPr>
        <w:t xml:space="preserve"> </w:t>
      </w:r>
      <w:r w:rsidRPr="00A012F6">
        <w:rPr>
          <w:rFonts w:eastAsia="SimSun"/>
        </w:rPr>
        <w:t>day</w:t>
      </w:r>
      <w:r w:rsidR="00AC44CE">
        <w:rPr>
          <w:rFonts w:eastAsia="SimSun"/>
        </w:rPr>
        <w:t>,</w:t>
      </w:r>
      <w:r w:rsidR="00E86919">
        <w:rPr>
          <w:rStyle w:val="FootnoteReference"/>
          <w:rFonts w:eastAsia="SimSun"/>
        </w:rPr>
        <w:footnoteReference w:id="4"/>
      </w:r>
      <w:r w:rsidRPr="00A012F6">
        <w:rPr>
          <w:rFonts w:eastAsia="SimSun"/>
        </w:rPr>
        <w:t xml:space="preserve"> with tens of millions on just a little more.</w:t>
      </w:r>
      <w:r w:rsidR="00C06B44">
        <w:rPr>
          <w:rFonts w:eastAsia="SimSun"/>
        </w:rPr>
        <w:t xml:space="preserve"> </w:t>
      </w:r>
      <w:r w:rsidRPr="00A012F6">
        <w:rPr>
          <w:rFonts w:eastAsia="SimSun"/>
        </w:rPr>
        <w:t xml:space="preserve">An Indonesian child under five is seven times more likely to die than an Australian child and one in three Indonesian children under the age of five </w:t>
      </w:r>
      <w:proofErr w:type="gramStart"/>
      <w:r w:rsidRPr="00A012F6">
        <w:rPr>
          <w:rFonts w:eastAsia="SimSun"/>
        </w:rPr>
        <w:t>suffer</w:t>
      </w:r>
      <w:proofErr w:type="gramEnd"/>
      <w:r w:rsidRPr="00A012F6">
        <w:rPr>
          <w:rFonts w:eastAsia="SimSun"/>
        </w:rPr>
        <w:t xml:space="preserve"> from stunting due to malnutrition. Indonesia’s maternal mortality rate is 220 per 100</w:t>
      </w:r>
      <w:r w:rsidR="00AC44CE">
        <w:rPr>
          <w:rFonts w:eastAsia="SimSun"/>
        </w:rPr>
        <w:t xml:space="preserve"> </w:t>
      </w:r>
      <w:r w:rsidRPr="00A012F6">
        <w:rPr>
          <w:rFonts w:eastAsia="SimSun"/>
        </w:rPr>
        <w:t>000 live births—around 30 times higher than Australia’s and considerably worse than other countries in East Asia (44 per 100</w:t>
      </w:r>
      <w:r w:rsidR="00AC44CE">
        <w:rPr>
          <w:rFonts w:eastAsia="SimSun"/>
        </w:rPr>
        <w:t xml:space="preserve"> </w:t>
      </w:r>
      <w:r w:rsidRPr="00A012F6">
        <w:rPr>
          <w:rFonts w:eastAsia="SimSun"/>
        </w:rPr>
        <w:t>000 live births). Indonesia has one of the fastest growing HIV epidemics in South East Asia, with HIV infection rates in Papua and West Papua rising rapidly. Nationally, 46 per cent of the population still does not have access to proper sanitation, and in rural areas the rate is 61 per cent.</w:t>
      </w:r>
    </w:p>
    <w:p w14:paraId="1F0543B2" w14:textId="183C46D8" w:rsidR="00A012F6" w:rsidRPr="00A012F6" w:rsidRDefault="00A012F6" w:rsidP="004923C5">
      <w:pPr>
        <w:pStyle w:val="BodyText"/>
        <w:rPr>
          <w:rFonts w:eastAsia="SimSun"/>
        </w:rPr>
      </w:pPr>
      <w:r w:rsidRPr="00A012F6">
        <w:rPr>
          <w:rFonts w:eastAsia="SimSun"/>
        </w:rPr>
        <w:lastRenderedPageBreak/>
        <w:t>Energy subsidies remain a major drain on the government budget. The</w:t>
      </w:r>
      <w:r w:rsidR="00AC44CE">
        <w:rPr>
          <w:rFonts w:eastAsia="SimSun"/>
        </w:rPr>
        <w:t>se</w:t>
      </w:r>
      <w:r w:rsidRPr="00A012F6">
        <w:rPr>
          <w:rFonts w:eastAsia="SimSun"/>
        </w:rPr>
        <w:t xml:space="preserve"> have swollen substantially, particularly the fuel subsidy, which represented over 20 per cent of central government expenditure in 2012 (more than capital and social expenditure put together). The fuel subsidy was allocated IDR137 trillion ($13.7 billion) in the 2012 revised budget, but actual spending was IDR212 trillion ($21.2 billion). For 2013, the subsidy has been budgeted at IDR194 trillion ($19.4 billion), but the World Bank predicts that IDR232 trillion ($23.2 billion) of expenditure will be realised. This unsustainable and regressive subsidy is creating economic uncertainty.</w:t>
      </w:r>
      <w:r w:rsidR="00C06B44">
        <w:rPr>
          <w:rFonts w:eastAsia="SimSun"/>
        </w:rPr>
        <w:t xml:space="preserve"> </w:t>
      </w:r>
      <w:r w:rsidRPr="00A012F6">
        <w:rPr>
          <w:rFonts w:eastAsia="SimSun"/>
        </w:rPr>
        <w:t>Policy</w:t>
      </w:r>
      <w:r w:rsidR="00AC44CE">
        <w:rPr>
          <w:rFonts w:eastAsia="SimSun"/>
        </w:rPr>
        <w:t xml:space="preserve"> </w:t>
      </w:r>
      <w:r w:rsidRPr="00A012F6">
        <w:rPr>
          <w:rFonts w:eastAsia="SimSun"/>
        </w:rPr>
        <w:t xml:space="preserve">makers are worried about the inflationary impact </w:t>
      </w:r>
      <w:r w:rsidR="00E668A5">
        <w:rPr>
          <w:rFonts w:eastAsia="SimSun"/>
        </w:rPr>
        <w:t>a</w:t>
      </w:r>
      <w:r w:rsidR="00AC44CE">
        <w:rPr>
          <w:rFonts w:eastAsia="SimSun"/>
        </w:rPr>
        <w:t xml:space="preserve">s </w:t>
      </w:r>
      <w:r w:rsidRPr="00A012F6">
        <w:rPr>
          <w:rFonts w:eastAsia="SimSun"/>
        </w:rPr>
        <w:t>prices rise to reflect world prices for oil.</w:t>
      </w:r>
      <w:r w:rsidR="00C06B44">
        <w:rPr>
          <w:rFonts w:eastAsia="SimSun"/>
        </w:rPr>
        <w:t xml:space="preserve"> </w:t>
      </w:r>
      <w:r w:rsidRPr="00A012F6">
        <w:rPr>
          <w:rFonts w:eastAsia="SimSun"/>
        </w:rPr>
        <w:t xml:space="preserve">The </w:t>
      </w:r>
      <w:r w:rsidR="00AC44CE">
        <w:rPr>
          <w:rFonts w:eastAsia="SimSun"/>
        </w:rPr>
        <w:t>p</w:t>
      </w:r>
      <w:r w:rsidR="00AC44CE" w:rsidRPr="00A012F6">
        <w:rPr>
          <w:rFonts w:eastAsia="SimSun"/>
        </w:rPr>
        <w:t xml:space="preserve">resident </w:t>
      </w:r>
      <w:r w:rsidRPr="00A012F6">
        <w:rPr>
          <w:rFonts w:eastAsia="SimSun"/>
        </w:rPr>
        <w:t xml:space="preserve">intended to raise the price in April 2012, but was blocked by </w:t>
      </w:r>
      <w:r w:rsidR="00AC44CE">
        <w:rPr>
          <w:rFonts w:eastAsia="SimSun"/>
        </w:rPr>
        <w:t>p</w:t>
      </w:r>
      <w:r w:rsidR="00AC44CE" w:rsidRPr="00A012F6">
        <w:rPr>
          <w:rFonts w:eastAsia="SimSun"/>
        </w:rPr>
        <w:t>arliament</w:t>
      </w:r>
      <w:r w:rsidRPr="00A012F6">
        <w:rPr>
          <w:rFonts w:eastAsia="SimSun"/>
        </w:rPr>
        <w:t xml:space="preserve">. </w:t>
      </w:r>
      <w:r w:rsidR="00AC44CE" w:rsidRPr="00A012F6">
        <w:rPr>
          <w:rFonts w:eastAsia="SimSun"/>
        </w:rPr>
        <w:t>A</w:t>
      </w:r>
      <w:r w:rsidR="00AC44CE">
        <w:rPr>
          <w:rFonts w:eastAsia="SimSun"/>
        </w:rPr>
        <w:t>t</w:t>
      </w:r>
      <w:r w:rsidR="00AC44CE" w:rsidRPr="00A012F6">
        <w:rPr>
          <w:rFonts w:eastAsia="SimSun"/>
        </w:rPr>
        <w:t xml:space="preserve"> </w:t>
      </w:r>
      <w:r w:rsidRPr="00A012F6">
        <w:rPr>
          <w:rFonts w:eastAsia="SimSun"/>
        </w:rPr>
        <w:t>th</w:t>
      </w:r>
      <w:r w:rsidR="00AC44CE">
        <w:rPr>
          <w:rFonts w:eastAsia="SimSun"/>
        </w:rPr>
        <w:t>is</w:t>
      </w:r>
      <w:r w:rsidRPr="00A012F6">
        <w:rPr>
          <w:rFonts w:eastAsia="SimSun"/>
        </w:rPr>
        <w:t xml:space="preserve"> time, it remains to be seen whether the </w:t>
      </w:r>
      <w:r w:rsidR="00AC44CE">
        <w:rPr>
          <w:rFonts w:eastAsia="SimSun"/>
        </w:rPr>
        <w:t>p</w:t>
      </w:r>
      <w:r w:rsidR="00AC44CE" w:rsidRPr="00A012F6">
        <w:rPr>
          <w:rFonts w:eastAsia="SimSun"/>
        </w:rPr>
        <w:t xml:space="preserve">arliament </w:t>
      </w:r>
      <w:r w:rsidRPr="00A012F6">
        <w:rPr>
          <w:rFonts w:eastAsia="SimSun"/>
        </w:rPr>
        <w:t>will approve the government’s proposed compensation mechanism to allow a reduction in the fuel subsidy in 2013.</w:t>
      </w:r>
    </w:p>
    <w:p w14:paraId="2802C9A6" w14:textId="4F2E91B0" w:rsidR="00A012F6" w:rsidRPr="00A012F6" w:rsidRDefault="00A012F6" w:rsidP="004923C5">
      <w:pPr>
        <w:pStyle w:val="BodyText"/>
        <w:rPr>
          <w:rFonts w:eastAsia="SimSun"/>
        </w:rPr>
      </w:pPr>
      <w:r w:rsidRPr="00A012F6">
        <w:rPr>
          <w:rFonts w:eastAsia="SimSun"/>
        </w:rPr>
        <w:t xml:space="preserve">Economic policy has taken a strongly nationalist turn in the </w:t>
      </w:r>
      <w:r w:rsidR="00AC44CE" w:rsidRPr="00A012F6">
        <w:rPr>
          <w:rFonts w:eastAsia="SimSun"/>
        </w:rPr>
        <w:t>run</w:t>
      </w:r>
      <w:r w:rsidR="00AC44CE">
        <w:rPr>
          <w:rFonts w:eastAsia="SimSun"/>
        </w:rPr>
        <w:t>-</w:t>
      </w:r>
      <w:r w:rsidRPr="00A012F6">
        <w:rPr>
          <w:rFonts w:eastAsia="SimSun"/>
        </w:rPr>
        <w:t xml:space="preserve">up to the </w:t>
      </w:r>
      <w:r w:rsidR="00AC44CE">
        <w:rPr>
          <w:rFonts w:eastAsia="SimSun"/>
        </w:rPr>
        <w:t>p</w:t>
      </w:r>
      <w:r w:rsidR="00AC44CE" w:rsidRPr="00A012F6">
        <w:rPr>
          <w:rFonts w:eastAsia="SimSun"/>
        </w:rPr>
        <w:t xml:space="preserve">residential </w:t>
      </w:r>
      <w:r w:rsidRPr="00A012F6">
        <w:rPr>
          <w:rFonts w:eastAsia="SimSun"/>
        </w:rPr>
        <w:t xml:space="preserve">and </w:t>
      </w:r>
      <w:r w:rsidR="00AC44CE">
        <w:rPr>
          <w:rFonts w:eastAsia="SimSun"/>
        </w:rPr>
        <w:t>p</w:t>
      </w:r>
      <w:r w:rsidR="00AC44CE" w:rsidRPr="00A012F6">
        <w:rPr>
          <w:rFonts w:eastAsia="SimSun"/>
        </w:rPr>
        <w:t xml:space="preserve">arliamentary </w:t>
      </w:r>
      <w:r w:rsidRPr="00A012F6">
        <w:rPr>
          <w:rFonts w:eastAsia="SimSun"/>
        </w:rPr>
        <w:t>elections in 2014.</w:t>
      </w:r>
      <w:r w:rsidR="00C06B44">
        <w:rPr>
          <w:rFonts w:eastAsia="SimSun"/>
        </w:rPr>
        <w:t xml:space="preserve"> </w:t>
      </w:r>
      <w:r w:rsidR="009A7C24" w:rsidRPr="00A012F6">
        <w:rPr>
          <w:rFonts w:eastAsia="SimSun"/>
        </w:rPr>
        <w:t>A range of trade restrictions has</w:t>
      </w:r>
      <w:r w:rsidRPr="00A012F6">
        <w:rPr>
          <w:rFonts w:eastAsia="SimSun"/>
        </w:rPr>
        <w:t xml:space="preserve"> been introduced, notably in beef and horticulture, which have caused temporary spikes in local prices.</w:t>
      </w:r>
      <w:r w:rsidR="00C06B44">
        <w:rPr>
          <w:rFonts w:eastAsia="SimSun"/>
        </w:rPr>
        <w:t xml:space="preserve"> </w:t>
      </w:r>
      <w:r w:rsidRPr="00A012F6">
        <w:rPr>
          <w:rFonts w:eastAsia="SimSun"/>
        </w:rPr>
        <w:t>The mining sector in particular has suffered from extreme uncertainty with new regulations banning the export of ore from 2014, a new 20</w:t>
      </w:r>
      <w:r w:rsidR="00AC44CE">
        <w:rPr>
          <w:rFonts w:eastAsia="SimSun"/>
        </w:rPr>
        <w:t xml:space="preserve"> per cent</w:t>
      </w:r>
      <w:r w:rsidR="00AC44CE" w:rsidRPr="00A012F6">
        <w:rPr>
          <w:rFonts w:eastAsia="SimSun"/>
        </w:rPr>
        <w:t xml:space="preserve"> </w:t>
      </w:r>
      <w:r w:rsidRPr="00A012F6">
        <w:rPr>
          <w:rFonts w:eastAsia="SimSun"/>
        </w:rPr>
        <w:t xml:space="preserve">tax on the export of ore, new rules requiring </w:t>
      </w:r>
      <w:r w:rsidR="00C52516" w:rsidRPr="00A012F6">
        <w:rPr>
          <w:rFonts w:eastAsia="SimSun"/>
        </w:rPr>
        <w:t xml:space="preserve">minerals </w:t>
      </w:r>
      <w:r w:rsidR="00C52516">
        <w:rPr>
          <w:rFonts w:eastAsia="SimSun"/>
        </w:rPr>
        <w:t>to be</w:t>
      </w:r>
      <w:r w:rsidR="00C52516" w:rsidRPr="00A012F6">
        <w:rPr>
          <w:rFonts w:eastAsia="SimSun"/>
        </w:rPr>
        <w:t xml:space="preserve"> </w:t>
      </w:r>
      <w:r w:rsidRPr="00A012F6">
        <w:rPr>
          <w:rFonts w:eastAsia="SimSun"/>
        </w:rPr>
        <w:t>process</w:t>
      </w:r>
      <w:r w:rsidR="00C52516">
        <w:rPr>
          <w:rFonts w:eastAsia="SimSun"/>
        </w:rPr>
        <w:t xml:space="preserve">ed </w:t>
      </w:r>
      <w:r w:rsidRPr="00A012F6">
        <w:rPr>
          <w:rFonts w:eastAsia="SimSun"/>
        </w:rPr>
        <w:t>before export, and new rapid divestment requirements for foreign investors.</w:t>
      </w:r>
      <w:r w:rsidR="00C06B44">
        <w:rPr>
          <w:rFonts w:eastAsia="SimSun"/>
        </w:rPr>
        <w:t xml:space="preserve"> </w:t>
      </w:r>
      <w:r w:rsidRPr="00A012F6">
        <w:rPr>
          <w:rFonts w:eastAsia="SimSun"/>
        </w:rPr>
        <w:t>The Fraser Institute now ranks Indonesia as having the worst mining policy environment of the 96 jurisdictions it measures.</w:t>
      </w:r>
    </w:p>
    <w:p w14:paraId="0DFEB1CF" w14:textId="0088BC64" w:rsidR="00A012F6" w:rsidRPr="00A012F6" w:rsidRDefault="00A012F6" w:rsidP="004923C5">
      <w:pPr>
        <w:pStyle w:val="BodyText"/>
        <w:rPr>
          <w:rFonts w:eastAsia="SimSun"/>
        </w:rPr>
      </w:pPr>
      <w:r w:rsidRPr="00A012F6">
        <w:rPr>
          <w:rFonts w:eastAsia="SimSun"/>
        </w:rPr>
        <w:t>Corruption continues to be a major problem for Indonesia, with a spate of major corruption cases in the media.</w:t>
      </w:r>
      <w:r w:rsidR="00C06B44">
        <w:rPr>
          <w:rFonts w:eastAsia="SimSun"/>
        </w:rPr>
        <w:t xml:space="preserve"> </w:t>
      </w:r>
      <w:r w:rsidRPr="00A012F6">
        <w:rPr>
          <w:rFonts w:eastAsia="SimSun"/>
        </w:rPr>
        <w:t>The Corruption Eradication Commission appears to have been effective in uncovering and prosecuting corruption of some senior officials over the last year.</w:t>
      </w:r>
      <w:r w:rsidR="00C06B44">
        <w:rPr>
          <w:rFonts w:eastAsia="SimSun"/>
        </w:rPr>
        <w:t xml:space="preserve"> </w:t>
      </w:r>
      <w:r w:rsidRPr="00A012F6">
        <w:rPr>
          <w:rFonts w:eastAsia="SimSun"/>
        </w:rPr>
        <w:t xml:space="preserve">For example, in January 2013 the Supreme Court sentenced former </w:t>
      </w:r>
      <w:proofErr w:type="spellStart"/>
      <w:r w:rsidRPr="00A012F6">
        <w:rPr>
          <w:rFonts w:eastAsia="SimSun"/>
        </w:rPr>
        <w:t>Partai</w:t>
      </w:r>
      <w:proofErr w:type="spellEnd"/>
      <w:r w:rsidRPr="00A012F6">
        <w:rPr>
          <w:rFonts w:eastAsia="SimSun"/>
        </w:rPr>
        <w:t xml:space="preserve"> </w:t>
      </w:r>
      <w:proofErr w:type="spellStart"/>
      <w:r w:rsidRPr="00A012F6">
        <w:rPr>
          <w:rFonts w:eastAsia="SimSun"/>
        </w:rPr>
        <w:t>Demokrat</w:t>
      </w:r>
      <w:proofErr w:type="spellEnd"/>
      <w:r w:rsidRPr="00A012F6">
        <w:rPr>
          <w:rFonts w:eastAsia="SimSun"/>
        </w:rPr>
        <w:t xml:space="preserve"> </w:t>
      </w:r>
      <w:r w:rsidR="00C52516">
        <w:rPr>
          <w:rFonts w:eastAsia="SimSun"/>
        </w:rPr>
        <w:t>t</w:t>
      </w:r>
      <w:r w:rsidR="00C52516" w:rsidRPr="00A012F6">
        <w:rPr>
          <w:rFonts w:eastAsia="SimSun"/>
        </w:rPr>
        <w:t xml:space="preserve">reasurer </w:t>
      </w:r>
      <w:r w:rsidRPr="00A012F6">
        <w:rPr>
          <w:rFonts w:eastAsia="SimSun"/>
        </w:rPr>
        <w:t xml:space="preserve">and </w:t>
      </w:r>
      <w:r w:rsidR="00C52516">
        <w:rPr>
          <w:rFonts w:eastAsia="SimSun"/>
        </w:rPr>
        <w:t>h</w:t>
      </w:r>
      <w:r w:rsidR="00C52516" w:rsidRPr="00A012F6">
        <w:rPr>
          <w:rFonts w:eastAsia="SimSun"/>
        </w:rPr>
        <w:t xml:space="preserve">ouse </w:t>
      </w:r>
      <w:r w:rsidRPr="00A012F6">
        <w:rPr>
          <w:rFonts w:eastAsia="SimSun"/>
        </w:rPr>
        <w:t xml:space="preserve">sport commission member Muhammad </w:t>
      </w:r>
      <w:proofErr w:type="spellStart"/>
      <w:r w:rsidRPr="00A012F6">
        <w:rPr>
          <w:rFonts w:eastAsia="SimSun"/>
        </w:rPr>
        <w:t>Nazaruddin</w:t>
      </w:r>
      <w:proofErr w:type="spellEnd"/>
      <w:r w:rsidRPr="00A012F6">
        <w:rPr>
          <w:rFonts w:eastAsia="SimSun"/>
        </w:rPr>
        <w:t xml:space="preserve"> to seven years jail for bribery relating to state procurement projects ahead of the Southeast Asian </w:t>
      </w:r>
      <w:r w:rsidR="00C52516">
        <w:rPr>
          <w:rFonts w:eastAsia="SimSun"/>
        </w:rPr>
        <w:t>G</w:t>
      </w:r>
      <w:r w:rsidR="00C52516" w:rsidRPr="00A012F6">
        <w:rPr>
          <w:rFonts w:eastAsia="SimSun"/>
        </w:rPr>
        <w:t>ames</w:t>
      </w:r>
      <w:r w:rsidRPr="00A012F6">
        <w:rPr>
          <w:rFonts w:eastAsia="SimSun"/>
        </w:rPr>
        <w:t>.</w:t>
      </w:r>
      <w:r w:rsidR="00C06B44">
        <w:rPr>
          <w:rFonts w:eastAsia="SimSun"/>
        </w:rPr>
        <w:t xml:space="preserve"> </w:t>
      </w:r>
    </w:p>
    <w:p w14:paraId="7EF81721" w14:textId="2EC12C66" w:rsidR="00A012F6" w:rsidRDefault="00A012F6" w:rsidP="004923C5">
      <w:pPr>
        <w:pStyle w:val="BodyText"/>
        <w:rPr>
          <w:rFonts w:eastAsia="SimSun"/>
        </w:rPr>
      </w:pPr>
      <w:r w:rsidRPr="00A012F6">
        <w:rPr>
          <w:rFonts w:eastAsia="SimSun"/>
        </w:rPr>
        <w:t xml:space="preserve">Indonesia’s ability to track conflict has improved, </w:t>
      </w:r>
      <w:r w:rsidR="00CC7528">
        <w:rPr>
          <w:rFonts w:eastAsia="SimSun"/>
        </w:rPr>
        <w:t xml:space="preserve">but in the past </w:t>
      </w:r>
      <w:r w:rsidR="00C52516">
        <w:rPr>
          <w:rFonts w:eastAsia="SimSun"/>
        </w:rPr>
        <w:t xml:space="preserve">18 </w:t>
      </w:r>
      <w:r w:rsidR="00CC7528">
        <w:rPr>
          <w:rFonts w:eastAsia="SimSun"/>
        </w:rPr>
        <w:t>months localised conflicts and violence remain high. I</w:t>
      </w:r>
      <w:r w:rsidRPr="00A012F6">
        <w:rPr>
          <w:rFonts w:eastAsia="SimSun"/>
        </w:rPr>
        <w:t>n the short term it is difficult to know whether increased levels of conflict represent actual increases, or just improvements in reporting. During this period, violent incidents were dominated by criminality (58</w:t>
      </w:r>
      <w:r w:rsidR="00C52516">
        <w:rPr>
          <w:rFonts w:eastAsia="SimSun"/>
        </w:rPr>
        <w:t xml:space="preserve"> per cent</w:t>
      </w:r>
      <w:r w:rsidR="00C52516" w:rsidRPr="00A012F6">
        <w:rPr>
          <w:rFonts w:eastAsia="SimSun"/>
        </w:rPr>
        <w:t xml:space="preserve">) </w:t>
      </w:r>
      <w:r w:rsidRPr="00A012F6">
        <w:rPr>
          <w:rFonts w:eastAsia="SimSun"/>
        </w:rPr>
        <w:t>followed by conflict (31</w:t>
      </w:r>
      <w:r w:rsidR="00C52516" w:rsidRPr="00C52516">
        <w:rPr>
          <w:rFonts w:eastAsia="SimSun"/>
        </w:rPr>
        <w:t xml:space="preserve"> </w:t>
      </w:r>
      <w:r w:rsidR="00C52516">
        <w:rPr>
          <w:rFonts w:eastAsia="SimSun"/>
        </w:rPr>
        <w:t>per cent</w:t>
      </w:r>
      <w:r w:rsidRPr="00A012F6">
        <w:rPr>
          <w:rFonts w:eastAsia="SimSun"/>
        </w:rPr>
        <w:t>), domestic violence (</w:t>
      </w:r>
      <w:r w:rsidR="00C52516">
        <w:rPr>
          <w:rFonts w:eastAsia="SimSun"/>
        </w:rPr>
        <w:t>eight</w:t>
      </w:r>
      <w:r w:rsidR="00C52516" w:rsidRPr="00C52516">
        <w:rPr>
          <w:rFonts w:eastAsia="SimSun"/>
        </w:rPr>
        <w:t xml:space="preserve"> </w:t>
      </w:r>
      <w:r w:rsidR="00C52516">
        <w:rPr>
          <w:rFonts w:eastAsia="SimSun"/>
        </w:rPr>
        <w:t>per cent</w:t>
      </w:r>
      <w:r w:rsidRPr="00A012F6">
        <w:rPr>
          <w:rFonts w:eastAsia="SimSun"/>
        </w:rPr>
        <w:t>) and violence during law-enforcement (</w:t>
      </w:r>
      <w:r w:rsidR="00C52516">
        <w:rPr>
          <w:rFonts w:eastAsia="SimSun"/>
        </w:rPr>
        <w:t>four per cent</w:t>
      </w:r>
      <w:r w:rsidRPr="00A012F6">
        <w:rPr>
          <w:rFonts w:eastAsia="SimSun"/>
        </w:rPr>
        <w:t>). Several significant incidents during this period include resource-related violence, identity-related conflicts and separatism-related conflicts.</w:t>
      </w:r>
      <w:r w:rsidR="00577506">
        <w:rPr>
          <w:rFonts w:eastAsia="SimSun"/>
        </w:rPr>
        <w:t xml:space="preserve"> </w:t>
      </w:r>
      <w:r w:rsidRPr="00A012F6">
        <w:rPr>
          <w:rFonts w:eastAsia="SimSun"/>
        </w:rPr>
        <w:t xml:space="preserve">There has </w:t>
      </w:r>
      <w:r w:rsidR="00577506">
        <w:rPr>
          <w:rFonts w:eastAsia="SimSun"/>
        </w:rPr>
        <w:t xml:space="preserve">also been an </w:t>
      </w:r>
      <w:r w:rsidRPr="00A012F6">
        <w:rPr>
          <w:rFonts w:eastAsia="SimSun"/>
        </w:rPr>
        <w:t>increase in inc</w:t>
      </w:r>
      <w:r w:rsidR="00577506">
        <w:rPr>
          <w:rFonts w:eastAsia="SimSun"/>
        </w:rPr>
        <w:t>idents of religious intolerance</w:t>
      </w:r>
      <w:r w:rsidR="00C52516">
        <w:rPr>
          <w:rFonts w:eastAsia="SimSun"/>
        </w:rPr>
        <w:t>. F</w:t>
      </w:r>
      <w:r w:rsidR="00577506">
        <w:rPr>
          <w:rFonts w:eastAsia="SimSun"/>
        </w:rPr>
        <w:t xml:space="preserve">or example in </w:t>
      </w:r>
      <w:r w:rsidRPr="00A012F6">
        <w:rPr>
          <w:rFonts w:eastAsia="SimSun"/>
        </w:rPr>
        <w:t>August 2012</w:t>
      </w:r>
      <w:r w:rsidR="00C52516">
        <w:rPr>
          <w:rFonts w:eastAsia="SimSun"/>
        </w:rPr>
        <w:t>,</w:t>
      </w:r>
      <w:r w:rsidRPr="00A012F6">
        <w:rPr>
          <w:rFonts w:eastAsia="SimSun"/>
        </w:rPr>
        <w:t xml:space="preserve"> 500 Sunni Muslims led an attack in </w:t>
      </w:r>
      <w:proofErr w:type="spellStart"/>
      <w:r w:rsidRPr="00A012F6">
        <w:rPr>
          <w:rFonts w:eastAsia="SimSun"/>
        </w:rPr>
        <w:t>Sampang</w:t>
      </w:r>
      <w:proofErr w:type="spellEnd"/>
      <w:r w:rsidRPr="00A012F6">
        <w:rPr>
          <w:rFonts w:eastAsia="SimSun"/>
        </w:rPr>
        <w:t>, Madura, killing one Shiite Muslim and setting fire to more than 30 homes.</w:t>
      </w:r>
      <w:r w:rsidR="00C06B44">
        <w:rPr>
          <w:rFonts w:eastAsia="SimSun"/>
        </w:rPr>
        <w:t xml:space="preserve"> </w:t>
      </w:r>
      <w:r w:rsidR="00FF03BA">
        <w:rPr>
          <w:rFonts w:eastAsia="SimSun"/>
        </w:rPr>
        <w:t>S</w:t>
      </w:r>
      <w:r w:rsidR="00FF03BA" w:rsidRPr="00324DA8">
        <w:rPr>
          <w:rFonts w:eastAsia="SimSun"/>
        </w:rPr>
        <w:t xml:space="preserve">afety and security </w:t>
      </w:r>
      <w:r w:rsidR="00751BA4">
        <w:rPr>
          <w:rFonts w:eastAsia="SimSun"/>
        </w:rPr>
        <w:t>issues remain concerns that</w:t>
      </w:r>
      <w:r w:rsidR="00FF03BA">
        <w:rPr>
          <w:rFonts w:eastAsia="SimSun"/>
        </w:rPr>
        <w:t xml:space="preserve"> </w:t>
      </w:r>
      <w:r w:rsidR="00577506">
        <w:rPr>
          <w:rFonts w:eastAsia="SimSun"/>
        </w:rPr>
        <w:t>impact</w:t>
      </w:r>
      <w:r w:rsidR="00FF03BA">
        <w:rPr>
          <w:rFonts w:eastAsia="SimSun"/>
        </w:rPr>
        <w:t xml:space="preserve"> </w:t>
      </w:r>
      <w:r w:rsidR="00577506">
        <w:rPr>
          <w:rFonts w:eastAsia="SimSun"/>
        </w:rPr>
        <w:t xml:space="preserve">the </w:t>
      </w:r>
      <w:r w:rsidR="00FF03BA">
        <w:rPr>
          <w:rFonts w:eastAsia="SimSun"/>
        </w:rPr>
        <w:t>delivery of Australian aid.</w:t>
      </w:r>
    </w:p>
    <w:p w14:paraId="0E9C5164" w14:textId="4775D60E" w:rsidR="00324DA8" w:rsidRPr="00A012F6" w:rsidRDefault="00324DA8" w:rsidP="004923C5">
      <w:pPr>
        <w:pStyle w:val="BodyText"/>
        <w:rPr>
          <w:rFonts w:eastAsia="SimSun"/>
        </w:rPr>
      </w:pPr>
      <w:r w:rsidRPr="00324DA8">
        <w:rPr>
          <w:rFonts w:eastAsia="SimSun"/>
        </w:rPr>
        <w:t xml:space="preserve">As Indonesia </w:t>
      </w:r>
      <w:r w:rsidR="00751BA4">
        <w:rPr>
          <w:rFonts w:eastAsia="SimSun"/>
        </w:rPr>
        <w:t xml:space="preserve">continues to transform itself into </w:t>
      </w:r>
      <w:r w:rsidRPr="00324DA8">
        <w:rPr>
          <w:rFonts w:eastAsia="SimSun"/>
        </w:rPr>
        <w:t>a</w:t>
      </w:r>
      <w:r w:rsidR="00751BA4">
        <w:rPr>
          <w:rFonts w:eastAsia="SimSun"/>
        </w:rPr>
        <w:t xml:space="preserve"> fully </w:t>
      </w:r>
      <w:r w:rsidRPr="00324DA8">
        <w:rPr>
          <w:rFonts w:eastAsia="SimSun"/>
        </w:rPr>
        <w:t>democratic state, the quality and capacity of local governments to deliver services</w:t>
      </w:r>
      <w:r w:rsidR="00F5607D">
        <w:rPr>
          <w:rFonts w:eastAsia="SimSun"/>
        </w:rPr>
        <w:t xml:space="preserve"> to citizens</w:t>
      </w:r>
      <w:r w:rsidRPr="00324DA8">
        <w:rPr>
          <w:rFonts w:eastAsia="SimSun"/>
        </w:rPr>
        <w:t xml:space="preserve"> </w:t>
      </w:r>
      <w:r w:rsidR="00F5607D">
        <w:rPr>
          <w:rFonts w:eastAsia="SimSun"/>
        </w:rPr>
        <w:t xml:space="preserve">is </w:t>
      </w:r>
      <w:r w:rsidR="00751BA4">
        <w:rPr>
          <w:rFonts w:eastAsia="SimSun"/>
        </w:rPr>
        <w:t xml:space="preserve">the </w:t>
      </w:r>
      <w:r w:rsidR="00F5607D">
        <w:rPr>
          <w:rFonts w:eastAsia="SimSun"/>
        </w:rPr>
        <w:t>proof</w:t>
      </w:r>
      <w:r w:rsidRPr="00324DA8">
        <w:rPr>
          <w:rFonts w:eastAsia="SimSun"/>
        </w:rPr>
        <w:t xml:space="preserve"> that democracy works. Unfortunately</w:t>
      </w:r>
      <w:r w:rsidR="00F5607D">
        <w:rPr>
          <w:rFonts w:eastAsia="SimSun"/>
        </w:rPr>
        <w:t>,</w:t>
      </w:r>
      <w:r w:rsidRPr="00324DA8">
        <w:rPr>
          <w:rFonts w:eastAsia="SimSun"/>
        </w:rPr>
        <w:t xml:space="preserve"> political and technical issues </w:t>
      </w:r>
      <w:r w:rsidR="005B78FF">
        <w:rPr>
          <w:rFonts w:eastAsia="SimSun"/>
        </w:rPr>
        <w:t xml:space="preserve">often </w:t>
      </w:r>
      <w:r w:rsidR="00F5607D">
        <w:rPr>
          <w:rFonts w:eastAsia="SimSun"/>
        </w:rPr>
        <w:t>constrain</w:t>
      </w:r>
      <w:r w:rsidRPr="00324DA8">
        <w:rPr>
          <w:rFonts w:eastAsia="SimSun"/>
        </w:rPr>
        <w:t xml:space="preserve"> local governments </w:t>
      </w:r>
      <w:r w:rsidR="00F5607D">
        <w:rPr>
          <w:rFonts w:eastAsia="SimSun"/>
        </w:rPr>
        <w:t>from performing effectively,</w:t>
      </w:r>
      <w:r w:rsidRPr="00324DA8">
        <w:rPr>
          <w:rFonts w:eastAsia="SimSun"/>
        </w:rPr>
        <w:t xml:space="preserve"> and citizens</w:t>
      </w:r>
      <w:r w:rsidR="00F5607D">
        <w:rPr>
          <w:rFonts w:eastAsia="SimSun"/>
        </w:rPr>
        <w:t xml:space="preserve"> from</w:t>
      </w:r>
      <w:r w:rsidRPr="00324DA8">
        <w:rPr>
          <w:rFonts w:eastAsia="SimSun"/>
        </w:rPr>
        <w:t xml:space="preserve"> demand</w:t>
      </w:r>
      <w:r w:rsidR="00F5607D">
        <w:rPr>
          <w:rFonts w:eastAsia="SimSun"/>
        </w:rPr>
        <w:t>ing</w:t>
      </w:r>
      <w:r w:rsidRPr="00324DA8">
        <w:rPr>
          <w:rFonts w:eastAsia="SimSun"/>
        </w:rPr>
        <w:t xml:space="preserve"> their rights. Weaknesses at the sub-national level such as limited capac</w:t>
      </w:r>
      <w:r w:rsidR="005B78FF">
        <w:rPr>
          <w:rFonts w:eastAsia="SimSun"/>
        </w:rPr>
        <w:t>ity of government service units</w:t>
      </w:r>
      <w:r w:rsidRPr="00324DA8">
        <w:rPr>
          <w:rFonts w:eastAsia="SimSun"/>
        </w:rPr>
        <w:t xml:space="preserve"> and quality of local infrastructure</w:t>
      </w:r>
      <w:r w:rsidR="005B78FF">
        <w:rPr>
          <w:rFonts w:eastAsia="SimSun"/>
        </w:rPr>
        <w:t xml:space="preserve"> </w:t>
      </w:r>
      <w:r w:rsidRPr="00324DA8">
        <w:rPr>
          <w:rFonts w:eastAsia="SimSun"/>
        </w:rPr>
        <w:t xml:space="preserve">have serious implications to the way </w:t>
      </w:r>
      <w:r w:rsidR="005B78FF">
        <w:rPr>
          <w:rFonts w:eastAsia="SimSun"/>
        </w:rPr>
        <w:t>aid is delivered</w:t>
      </w:r>
      <w:r w:rsidRPr="00324DA8">
        <w:rPr>
          <w:rFonts w:eastAsia="SimSun"/>
        </w:rPr>
        <w:t xml:space="preserve">, particularly in remote areas </w:t>
      </w:r>
      <w:r w:rsidR="005B78FF">
        <w:rPr>
          <w:rFonts w:eastAsia="SimSun"/>
        </w:rPr>
        <w:t>such as</w:t>
      </w:r>
      <w:r w:rsidRPr="00324DA8">
        <w:rPr>
          <w:rFonts w:eastAsia="SimSun"/>
        </w:rPr>
        <w:t xml:space="preserve"> Aceh, </w:t>
      </w:r>
      <w:r w:rsidR="00C52516">
        <w:t xml:space="preserve">Nusa Tenggara </w:t>
      </w:r>
      <w:proofErr w:type="spellStart"/>
      <w:r w:rsidR="00C52516">
        <w:t>Timur</w:t>
      </w:r>
      <w:proofErr w:type="spellEnd"/>
      <w:r w:rsidRPr="00324DA8">
        <w:rPr>
          <w:rFonts w:eastAsia="SimSun"/>
        </w:rPr>
        <w:t>, Papua and West Papua.</w:t>
      </w:r>
      <w:r w:rsidR="00C06B44">
        <w:rPr>
          <w:rFonts w:eastAsia="SimSun"/>
        </w:rPr>
        <w:t xml:space="preserve"> </w:t>
      </w:r>
    </w:p>
    <w:p w14:paraId="1DEB1B4F" w14:textId="1827E4EE" w:rsidR="00727052" w:rsidRDefault="00727052" w:rsidP="004923C5">
      <w:pPr>
        <w:pStyle w:val="BodyText"/>
        <w:rPr>
          <w:rFonts w:eastAsia="SimSun"/>
        </w:rPr>
      </w:pPr>
      <w:r>
        <w:rPr>
          <w:rFonts w:eastAsia="SimSun"/>
        </w:rPr>
        <w:t xml:space="preserve">Of the bilateral and multilateral donors working in Indonesia, </w:t>
      </w:r>
      <w:r w:rsidR="00A012F6" w:rsidRPr="00A012F6">
        <w:rPr>
          <w:rFonts w:eastAsia="SimSun"/>
        </w:rPr>
        <w:t xml:space="preserve">Australia </w:t>
      </w:r>
      <w:r w:rsidR="00BC0CB0">
        <w:rPr>
          <w:rFonts w:eastAsia="SimSun"/>
        </w:rPr>
        <w:t>is</w:t>
      </w:r>
      <w:r w:rsidR="00A012F6" w:rsidRPr="00A012F6">
        <w:rPr>
          <w:rFonts w:eastAsia="SimSun"/>
        </w:rPr>
        <w:t xml:space="preserve"> the largest </w:t>
      </w:r>
      <w:r>
        <w:rPr>
          <w:rFonts w:eastAsia="SimSun"/>
        </w:rPr>
        <w:t>bilateral</w:t>
      </w:r>
      <w:r w:rsidR="00BC0CB0">
        <w:rPr>
          <w:rFonts w:eastAsia="SimSun"/>
        </w:rPr>
        <w:t xml:space="preserve"> </w:t>
      </w:r>
      <w:r w:rsidR="00A012F6" w:rsidRPr="00A012F6">
        <w:rPr>
          <w:rFonts w:eastAsia="SimSun"/>
        </w:rPr>
        <w:t>grant donor</w:t>
      </w:r>
      <w:r w:rsidR="00BC0CB0">
        <w:rPr>
          <w:rFonts w:eastAsia="SimSun"/>
        </w:rPr>
        <w:t xml:space="preserve"> </w:t>
      </w:r>
      <w:r w:rsidR="00A012F6" w:rsidRPr="00A012F6">
        <w:rPr>
          <w:rFonts w:eastAsia="SimSun"/>
        </w:rPr>
        <w:t xml:space="preserve">(Japan’s </w:t>
      </w:r>
      <w:r>
        <w:rPr>
          <w:rFonts w:eastAsia="SimSun"/>
        </w:rPr>
        <w:t xml:space="preserve">bilateral </w:t>
      </w:r>
      <w:r w:rsidR="00BC0CB0">
        <w:rPr>
          <w:rFonts w:eastAsia="SimSun"/>
        </w:rPr>
        <w:t>aid, while large,</w:t>
      </w:r>
      <w:r w:rsidR="00A012F6" w:rsidRPr="00A012F6">
        <w:rPr>
          <w:rFonts w:eastAsia="SimSun"/>
        </w:rPr>
        <w:t xml:space="preserve"> is mostly in </w:t>
      </w:r>
      <w:r w:rsidR="00BC0CB0">
        <w:rPr>
          <w:rFonts w:eastAsia="SimSun"/>
        </w:rPr>
        <w:t xml:space="preserve">the form of </w:t>
      </w:r>
      <w:r w:rsidR="00A012F6" w:rsidRPr="00A012F6">
        <w:rPr>
          <w:rFonts w:eastAsia="SimSun"/>
        </w:rPr>
        <w:t>concessional loans).</w:t>
      </w:r>
      <w:r w:rsidR="00C06B44">
        <w:rPr>
          <w:rFonts w:eastAsia="SimSun"/>
        </w:rPr>
        <w:t xml:space="preserve"> </w:t>
      </w:r>
      <w:r>
        <w:rPr>
          <w:rFonts w:eastAsia="SimSun"/>
        </w:rPr>
        <w:t xml:space="preserve">Despite the size of the Australian </w:t>
      </w:r>
      <w:r w:rsidR="006D31A1">
        <w:rPr>
          <w:rFonts w:eastAsia="SimSun"/>
        </w:rPr>
        <w:t xml:space="preserve">aid </w:t>
      </w:r>
      <w:r>
        <w:rPr>
          <w:rFonts w:eastAsia="SimSun"/>
        </w:rPr>
        <w:t>program (see expenditure tables below) it still only represents 0.3</w:t>
      </w:r>
      <w:r w:rsidR="00C52516">
        <w:rPr>
          <w:rFonts w:eastAsia="SimSun"/>
        </w:rPr>
        <w:t xml:space="preserve"> per cent</w:t>
      </w:r>
      <w:r>
        <w:rPr>
          <w:rFonts w:eastAsia="SimSun"/>
        </w:rPr>
        <w:t xml:space="preserve"> of the </w:t>
      </w:r>
      <w:r w:rsidR="00C52516">
        <w:rPr>
          <w:rFonts w:eastAsia="SimSun"/>
        </w:rPr>
        <w:t xml:space="preserve">Indonesian Government’s </w:t>
      </w:r>
      <w:r>
        <w:rPr>
          <w:rFonts w:eastAsia="SimSun"/>
        </w:rPr>
        <w:t xml:space="preserve">budget. In a tighter international fiscal environment Australia is one of the few donors with a growing aid program in Indonesia, although in April 2013 the Indonesian Compact of the US </w:t>
      </w:r>
      <w:r w:rsidR="009A7C24">
        <w:rPr>
          <w:rFonts w:eastAsia="SimSun"/>
        </w:rPr>
        <w:t>Millennium</w:t>
      </w:r>
      <w:r>
        <w:rPr>
          <w:rFonts w:eastAsia="SimSun"/>
        </w:rPr>
        <w:t xml:space="preserve"> Challenge Corporation committed US</w:t>
      </w:r>
      <w:r w:rsidR="00C52516">
        <w:rPr>
          <w:rFonts w:eastAsia="SimSun"/>
        </w:rPr>
        <w:t>D</w:t>
      </w:r>
      <w:r>
        <w:rPr>
          <w:rFonts w:eastAsia="SimSun"/>
        </w:rPr>
        <w:t>600</w:t>
      </w:r>
      <w:r w:rsidR="00C52516">
        <w:rPr>
          <w:rFonts w:eastAsia="SimSun"/>
        </w:rPr>
        <w:t xml:space="preserve"> </w:t>
      </w:r>
      <w:r>
        <w:rPr>
          <w:rFonts w:eastAsia="SimSun"/>
        </w:rPr>
        <w:t>m</w:t>
      </w:r>
      <w:r w:rsidR="00C52516">
        <w:rPr>
          <w:rFonts w:eastAsia="SimSun"/>
        </w:rPr>
        <w:t>illion</w:t>
      </w:r>
      <w:r>
        <w:rPr>
          <w:rFonts w:eastAsia="SimSun"/>
        </w:rPr>
        <w:t xml:space="preserve"> over five years working on nutrition, green growth and government e-procurement. </w:t>
      </w:r>
    </w:p>
    <w:p w14:paraId="5F835F18" w14:textId="64D72DAB" w:rsidR="00A012F6" w:rsidRPr="00A012F6" w:rsidRDefault="00A012F6" w:rsidP="004923C5">
      <w:pPr>
        <w:pStyle w:val="BodyText"/>
        <w:rPr>
          <w:rFonts w:eastAsia="SimSun"/>
        </w:rPr>
      </w:pPr>
      <w:r w:rsidRPr="00A012F6">
        <w:rPr>
          <w:rFonts w:eastAsia="SimSun"/>
        </w:rPr>
        <w:lastRenderedPageBreak/>
        <w:t xml:space="preserve">The Indonesia program has strong relationships with a range of partners. </w:t>
      </w:r>
      <w:r w:rsidR="006D31A1">
        <w:rPr>
          <w:rFonts w:eastAsia="SimSun"/>
        </w:rPr>
        <w:t>Australia’s</w:t>
      </w:r>
      <w:r w:rsidR="006D31A1" w:rsidRPr="00A012F6">
        <w:rPr>
          <w:rFonts w:eastAsia="SimSun"/>
        </w:rPr>
        <w:t xml:space="preserve"> </w:t>
      </w:r>
      <w:r w:rsidRPr="00A012F6">
        <w:rPr>
          <w:rFonts w:eastAsia="SimSun"/>
        </w:rPr>
        <w:t xml:space="preserve">collaboration with the World Bank, </w:t>
      </w:r>
      <w:r w:rsidR="006D31A1">
        <w:rPr>
          <w:rFonts w:eastAsia="SimSun"/>
        </w:rPr>
        <w:t>the</w:t>
      </w:r>
      <w:r w:rsidR="006D31A1" w:rsidRPr="00A012F6">
        <w:rPr>
          <w:rFonts w:eastAsia="SimSun"/>
        </w:rPr>
        <w:t xml:space="preserve"> </w:t>
      </w:r>
      <w:r w:rsidRPr="00A012F6">
        <w:rPr>
          <w:rFonts w:eastAsia="SimSun"/>
        </w:rPr>
        <w:t>largest multilateral development partner with $55.7 million disbursed in 2012</w:t>
      </w:r>
      <w:r w:rsidR="00C52516">
        <w:rPr>
          <w:rFonts w:eastAsia="SimSun"/>
        </w:rPr>
        <w:t>–</w:t>
      </w:r>
      <w:r w:rsidRPr="00A012F6">
        <w:rPr>
          <w:rFonts w:eastAsia="SimSun"/>
        </w:rPr>
        <w:t>13</w:t>
      </w:r>
      <w:r w:rsidR="000F53B2">
        <w:rPr>
          <w:rFonts w:eastAsia="SimSun"/>
        </w:rPr>
        <w:t>,</w:t>
      </w:r>
      <w:r w:rsidRPr="00A012F6">
        <w:rPr>
          <w:rFonts w:eastAsia="SimSun"/>
        </w:rPr>
        <w:t xml:space="preserve"> is extensive. Primarily the work covers areas of transport and infrastructure, so</w:t>
      </w:r>
      <w:r w:rsidR="000F53B2">
        <w:rPr>
          <w:rFonts w:eastAsia="SimSun"/>
        </w:rPr>
        <w:t xml:space="preserve">cial protection, </w:t>
      </w:r>
      <w:r w:rsidRPr="00A012F6">
        <w:rPr>
          <w:rFonts w:eastAsia="SimSun"/>
        </w:rPr>
        <w:t>and water and sanitation</w:t>
      </w:r>
      <w:r w:rsidR="00BB59C6">
        <w:rPr>
          <w:rFonts w:eastAsia="SimSun"/>
        </w:rPr>
        <w:t>.</w:t>
      </w:r>
      <w:r w:rsidRPr="00A012F6">
        <w:rPr>
          <w:rFonts w:eastAsia="SimSun"/>
        </w:rPr>
        <w:t xml:space="preserve"> More broadly </w:t>
      </w:r>
      <w:r w:rsidR="006D31A1">
        <w:rPr>
          <w:rFonts w:eastAsia="SimSun"/>
        </w:rPr>
        <w:t xml:space="preserve">Australia </w:t>
      </w:r>
      <w:r w:rsidR="00BB59C6">
        <w:rPr>
          <w:rFonts w:eastAsia="SimSun"/>
        </w:rPr>
        <w:t>also works</w:t>
      </w:r>
      <w:r w:rsidRPr="00A012F6">
        <w:rPr>
          <w:rFonts w:eastAsia="SimSun"/>
        </w:rPr>
        <w:t xml:space="preserve"> with the Asian Development Bank investing in wastewater master plan</w:t>
      </w:r>
      <w:r w:rsidR="00BB59C6">
        <w:rPr>
          <w:rFonts w:eastAsia="SimSun"/>
        </w:rPr>
        <w:t>s in</w:t>
      </w:r>
      <w:r w:rsidRPr="00A012F6">
        <w:rPr>
          <w:rFonts w:eastAsia="SimSun"/>
        </w:rPr>
        <w:t xml:space="preserve"> eight cities</w:t>
      </w:r>
      <w:r w:rsidR="00BB59C6">
        <w:rPr>
          <w:rFonts w:eastAsia="SimSun"/>
        </w:rPr>
        <w:t>,</w:t>
      </w:r>
      <w:r w:rsidRPr="00A012F6">
        <w:rPr>
          <w:rFonts w:eastAsia="SimSun"/>
        </w:rPr>
        <w:t xml:space="preserve"> and with U</w:t>
      </w:r>
      <w:r w:rsidR="00C52516">
        <w:rPr>
          <w:rFonts w:eastAsia="SimSun"/>
        </w:rPr>
        <w:t xml:space="preserve">nited </w:t>
      </w:r>
      <w:r w:rsidRPr="00A012F6">
        <w:rPr>
          <w:rFonts w:eastAsia="SimSun"/>
        </w:rPr>
        <w:t>N</w:t>
      </w:r>
      <w:r w:rsidR="00C52516">
        <w:rPr>
          <w:rFonts w:eastAsia="SimSun"/>
        </w:rPr>
        <w:t>ations</w:t>
      </w:r>
      <w:r w:rsidRPr="00A012F6">
        <w:rPr>
          <w:rFonts w:eastAsia="SimSun"/>
        </w:rPr>
        <w:t xml:space="preserve"> partners such as </w:t>
      </w:r>
      <w:r w:rsidR="00C52516">
        <w:rPr>
          <w:rFonts w:eastAsia="SimSun"/>
        </w:rPr>
        <w:t xml:space="preserve">the </w:t>
      </w:r>
      <w:r w:rsidRPr="00A012F6">
        <w:rPr>
          <w:rFonts w:eastAsia="SimSun"/>
        </w:rPr>
        <w:t>U</w:t>
      </w:r>
      <w:r w:rsidR="00C52516">
        <w:rPr>
          <w:rFonts w:eastAsia="SimSun"/>
        </w:rPr>
        <w:t xml:space="preserve">nited </w:t>
      </w:r>
      <w:r w:rsidRPr="00A012F6">
        <w:rPr>
          <w:rFonts w:eastAsia="SimSun"/>
        </w:rPr>
        <w:t>N</w:t>
      </w:r>
      <w:r w:rsidR="00C52516">
        <w:rPr>
          <w:rFonts w:eastAsia="SimSun"/>
        </w:rPr>
        <w:t xml:space="preserve">ations </w:t>
      </w:r>
      <w:r w:rsidRPr="00A012F6">
        <w:rPr>
          <w:rFonts w:eastAsia="SimSun"/>
        </w:rPr>
        <w:t>C</w:t>
      </w:r>
      <w:r w:rsidR="00C52516">
        <w:rPr>
          <w:rFonts w:eastAsia="SimSun"/>
        </w:rPr>
        <w:t>hildren’s Fund</w:t>
      </w:r>
      <w:r w:rsidRPr="00A012F6">
        <w:rPr>
          <w:rFonts w:eastAsia="SimSun"/>
        </w:rPr>
        <w:t>, I</w:t>
      </w:r>
      <w:r w:rsidR="00C52516">
        <w:rPr>
          <w:rFonts w:eastAsia="SimSun"/>
        </w:rPr>
        <w:t xml:space="preserve">nternational </w:t>
      </w:r>
      <w:r w:rsidRPr="00A012F6">
        <w:rPr>
          <w:rFonts w:eastAsia="SimSun"/>
        </w:rPr>
        <w:t>L</w:t>
      </w:r>
      <w:r w:rsidR="00C52516">
        <w:rPr>
          <w:rFonts w:eastAsia="SimSun"/>
        </w:rPr>
        <w:t xml:space="preserve">abour </w:t>
      </w:r>
      <w:r w:rsidRPr="00A012F6">
        <w:rPr>
          <w:rFonts w:eastAsia="SimSun"/>
        </w:rPr>
        <w:t>O</w:t>
      </w:r>
      <w:r w:rsidR="00C52516">
        <w:rPr>
          <w:rFonts w:eastAsia="SimSun"/>
        </w:rPr>
        <w:t>rganization</w:t>
      </w:r>
      <w:r w:rsidRPr="00A012F6">
        <w:rPr>
          <w:rFonts w:eastAsia="SimSun"/>
        </w:rPr>
        <w:t xml:space="preserve">, </w:t>
      </w:r>
      <w:proofErr w:type="gramStart"/>
      <w:r w:rsidR="00C52516" w:rsidRPr="00D67028">
        <w:rPr>
          <w:rFonts w:eastAsia="SimSun"/>
          <w:iCs/>
          <w:lang w:val="en-US"/>
        </w:rPr>
        <w:t>Office</w:t>
      </w:r>
      <w:proofErr w:type="gramEnd"/>
      <w:r w:rsidR="00C52516" w:rsidRPr="00D67028">
        <w:rPr>
          <w:rFonts w:eastAsia="SimSun"/>
          <w:iCs/>
          <w:lang w:val="en-US"/>
        </w:rPr>
        <w:t xml:space="preserve"> for the Coordination of Humanitarian Affairs</w:t>
      </w:r>
      <w:r w:rsidR="00C52516">
        <w:rPr>
          <w:rFonts w:eastAsia="SimSun"/>
          <w:iCs/>
          <w:lang w:val="en-US"/>
        </w:rPr>
        <w:t>,</w:t>
      </w:r>
      <w:r w:rsidR="00C52516" w:rsidRPr="00C52516" w:rsidDel="00C52516">
        <w:rPr>
          <w:rFonts w:eastAsia="SimSun"/>
        </w:rPr>
        <w:t xml:space="preserve"> </w:t>
      </w:r>
      <w:r w:rsidRPr="00A012F6">
        <w:rPr>
          <w:rFonts w:eastAsia="SimSun"/>
        </w:rPr>
        <w:t>and U</w:t>
      </w:r>
      <w:r w:rsidR="00C52516">
        <w:rPr>
          <w:rFonts w:eastAsia="SimSun"/>
        </w:rPr>
        <w:t xml:space="preserve">nited </w:t>
      </w:r>
      <w:r w:rsidRPr="00A012F6">
        <w:rPr>
          <w:rFonts w:eastAsia="SimSun"/>
        </w:rPr>
        <w:t>N</w:t>
      </w:r>
      <w:r w:rsidR="00C52516">
        <w:rPr>
          <w:rFonts w:eastAsia="SimSun"/>
        </w:rPr>
        <w:t xml:space="preserve">ations </w:t>
      </w:r>
      <w:r w:rsidRPr="00A012F6">
        <w:rPr>
          <w:rFonts w:eastAsia="SimSun"/>
        </w:rPr>
        <w:t>D</w:t>
      </w:r>
      <w:r w:rsidR="00C52516">
        <w:rPr>
          <w:rFonts w:eastAsia="SimSun"/>
        </w:rPr>
        <w:t xml:space="preserve">evelopment </w:t>
      </w:r>
      <w:r w:rsidRPr="00A012F6">
        <w:rPr>
          <w:rFonts w:eastAsia="SimSun"/>
        </w:rPr>
        <w:t>P</w:t>
      </w:r>
      <w:r w:rsidR="00C52516">
        <w:rPr>
          <w:rFonts w:eastAsia="SimSun"/>
        </w:rPr>
        <w:t>rogramme</w:t>
      </w:r>
      <w:r w:rsidRPr="00A012F6">
        <w:rPr>
          <w:rFonts w:eastAsia="SimSun"/>
        </w:rPr>
        <w:t>.</w:t>
      </w:r>
      <w:r w:rsidR="000F53B2">
        <w:rPr>
          <w:rFonts w:eastAsia="SimSun"/>
        </w:rPr>
        <w:t xml:space="preserve"> </w:t>
      </w:r>
    </w:p>
    <w:p w14:paraId="4DE3FACD" w14:textId="0E0E3084" w:rsidR="00A012F6" w:rsidRPr="00A012F6" w:rsidRDefault="000F53B2" w:rsidP="004923C5">
      <w:pPr>
        <w:pStyle w:val="BodyText"/>
        <w:rPr>
          <w:rFonts w:eastAsia="SimSun"/>
        </w:rPr>
      </w:pPr>
      <w:r>
        <w:rPr>
          <w:rFonts w:eastAsia="SimSun"/>
        </w:rPr>
        <w:t>Australian d</w:t>
      </w:r>
      <w:r w:rsidR="00A012F6" w:rsidRPr="00A012F6">
        <w:rPr>
          <w:rFonts w:eastAsia="SimSun"/>
        </w:rPr>
        <w:t xml:space="preserve">evelopment cooperation activities </w:t>
      </w:r>
      <w:r>
        <w:rPr>
          <w:rFonts w:eastAsia="SimSun"/>
        </w:rPr>
        <w:t xml:space="preserve">outside of </w:t>
      </w:r>
      <w:r w:rsidR="006A779C">
        <w:rPr>
          <w:rFonts w:eastAsia="SimSun"/>
        </w:rPr>
        <w:t>DFAT</w:t>
      </w:r>
      <w:r w:rsidR="00A012F6" w:rsidRPr="00A012F6">
        <w:rPr>
          <w:rFonts w:eastAsia="SimSun"/>
        </w:rPr>
        <w:t xml:space="preserve"> are delivered by </w:t>
      </w:r>
      <w:r w:rsidR="00C52516">
        <w:rPr>
          <w:rFonts w:eastAsia="SimSun"/>
        </w:rPr>
        <w:t>10</w:t>
      </w:r>
      <w:r w:rsidR="00C52516" w:rsidRPr="00A012F6">
        <w:rPr>
          <w:rFonts w:eastAsia="SimSun"/>
        </w:rPr>
        <w:t xml:space="preserve"> </w:t>
      </w:r>
      <w:r w:rsidR="00A012F6" w:rsidRPr="00A012F6">
        <w:rPr>
          <w:rFonts w:eastAsia="SimSun"/>
        </w:rPr>
        <w:t>other federal Australian Government departments, as well as state and territory governments.</w:t>
      </w:r>
      <w:r w:rsidR="00C06B44">
        <w:rPr>
          <w:rFonts w:eastAsia="SimSun"/>
        </w:rPr>
        <w:t xml:space="preserve"> </w:t>
      </w:r>
      <w:r w:rsidR="00A012F6" w:rsidRPr="00A012F6">
        <w:rPr>
          <w:rFonts w:eastAsia="SimSun"/>
        </w:rPr>
        <w:t>In 2012</w:t>
      </w:r>
      <w:r w:rsidR="00C52516">
        <w:rPr>
          <w:rFonts w:eastAsia="SimSun"/>
        </w:rPr>
        <w:t>–</w:t>
      </w:r>
      <w:r w:rsidR="00A012F6" w:rsidRPr="00A012F6">
        <w:rPr>
          <w:rFonts w:eastAsia="SimSun"/>
        </w:rPr>
        <w:t>13 these departments delivered a total of $34.9 million in development assistance to Indonesia</w:t>
      </w:r>
      <w:r w:rsidR="00C52516">
        <w:rPr>
          <w:rFonts w:eastAsia="SimSun"/>
        </w:rPr>
        <w:t>––</w:t>
      </w:r>
      <w:r w:rsidR="00A012F6" w:rsidRPr="00A012F6">
        <w:rPr>
          <w:rFonts w:eastAsia="SimSun"/>
        </w:rPr>
        <w:t>a</w:t>
      </w:r>
      <w:r>
        <w:rPr>
          <w:rFonts w:eastAsia="SimSun"/>
        </w:rPr>
        <w:t xml:space="preserve"> </w:t>
      </w:r>
      <w:r w:rsidR="00A012F6" w:rsidRPr="00A012F6">
        <w:rPr>
          <w:rFonts w:eastAsia="SimSun"/>
        </w:rPr>
        <w:t>$9 million decrease from 2011</w:t>
      </w:r>
      <w:r w:rsidR="00C52516">
        <w:rPr>
          <w:rFonts w:eastAsia="SimSun"/>
        </w:rPr>
        <w:t>–</w:t>
      </w:r>
      <w:r w:rsidR="00A012F6" w:rsidRPr="00A012F6">
        <w:rPr>
          <w:rFonts w:eastAsia="SimSun"/>
        </w:rPr>
        <w:t xml:space="preserve">12. </w:t>
      </w:r>
      <w:r>
        <w:rPr>
          <w:rFonts w:eastAsia="SimSun"/>
        </w:rPr>
        <w:t xml:space="preserve">Outside of </w:t>
      </w:r>
      <w:r w:rsidR="004527F1">
        <w:rPr>
          <w:rFonts w:eastAsia="SimSun"/>
        </w:rPr>
        <w:t>AusAID</w:t>
      </w:r>
      <w:r>
        <w:rPr>
          <w:rFonts w:eastAsia="SimSun"/>
        </w:rPr>
        <w:t>, the largest Australian aid delivery departments in 2012</w:t>
      </w:r>
      <w:r w:rsidR="00C52516">
        <w:rPr>
          <w:rFonts w:eastAsia="SimSun"/>
        </w:rPr>
        <w:t>–</w:t>
      </w:r>
      <w:r>
        <w:rPr>
          <w:rFonts w:eastAsia="SimSun"/>
        </w:rPr>
        <w:t xml:space="preserve">13 were </w:t>
      </w:r>
      <w:r w:rsidR="00A012F6" w:rsidRPr="00A012F6">
        <w:rPr>
          <w:rFonts w:eastAsia="SimSun"/>
        </w:rPr>
        <w:t xml:space="preserve">the Department of Immigration and Citizenship </w:t>
      </w:r>
      <w:r w:rsidR="00F9209E">
        <w:rPr>
          <w:rFonts w:eastAsia="SimSun"/>
        </w:rPr>
        <w:t xml:space="preserve">the Department of Foreign Affairs and Trade, </w:t>
      </w:r>
      <w:r w:rsidR="00A012F6" w:rsidRPr="00A012F6">
        <w:rPr>
          <w:rFonts w:eastAsia="SimSun"/>
        </w:rPr>
        <w:t>and the Australian Centre for International Agricultural Research.</w:t>
      </w:r>
    </w:p>
    <w:p w14:paraId="3E197792" w14:textId="538BC639" w:rsidR="00A012F6" w:rsidRPr="00A012F6" w:rsidRDefault="003933D4" w:rsidP="004923C5">
      <w:pPr>
        <w:pStyle w:val="BodyText"/>
        <w:rPr>
          <w:rFonts w:eastAsia="SimSun"/>
        </w:rPr>
      </w:pPr>
      <w:r>
        <w:rPr>
          <w:rFonts w:eastAsia="SimSun"/>
        </w:rPr>
        <w:t>Looking forward, m</w:t>
      </w:r>
      <w:r w:rsidR="00A012F6" w:rsidRPr="00A012F6">
        <w:rPr>
          <w:rFonts w:eastAsia="SimSun"/>
        </w:rPr>
        <w:t xml:space="preserve">uch attention is now focused on the </w:t>
      </w:r>
      <w:r w:rsidR="006D31A1">
        <w:rPr>
          <w:rFonts w:eastAsia="SimSun"/>
        </w:rPr>
        <w:t xml:space="preserve">Indonesian </w:t>
      </w:r>
      <w:r w:rsidR="00A012F6" w:rsidRPr="00A012F6">
        <w:rPr>
          <w:rFonts w:eastAsia="SimSun"/>
        </w:rPr>
        <w:t>presidential and parliamentary elections in 2014.</w:t>
      </w:r>
      <w:r w:rsidR="00C06B44">
        <w:rPr>
          <w:rFonts w:eastAsia="SimSun"/>
        </w:rPr>
        <w:t xml:space="preserve"> </w:t>
      </w:r>
      <w:r w:rsidR="00A012F6" w:rsidRPr="00A012F6">
        <w:rPr>
          <w:rFonts w:eastAsia="SimSun"/>
        </w:rPr>
        <w:t xml:space="preserve">There has been extensive speculation </w:t>
      </w:r>
      <w:r w:rsidR="00C52516">
        <w:rPr>
          <w:rFonts w:eastAsia="SimSun"/>
        </w:rPr>
        <w:t>about</w:t>
      </w:r>
      <w:r w:rsidR="00C52516" w:rsidRPr="00A012F6">
        <w:rPr>
          <w:rFonts w:eastAsia="SimSun"/>
        </w:rPr>
        <w:t xml:space="preserve"> </w:t>
      </w:r>
      <w:r w:rsidR="00A012F6" w:rsidRPr="00A012F6">
        <w:rPr>
          <w:rFonts w:eastAsia="SimSun"/>
        </w:rPr>
        <w:t xml:space="preserve">the candidates, since the </w:t>
      </w:r>
      <w:r w:rsidR="006D31A1">
        <w:rPr>
          <w:rFonts w:eastAsia="SimSun"/>
        </w:rPr>
        <w:t xml:space="preserve">current </w:t>
      </w:r>
      <w:r w:rsidR="00C52516">
        <w:rPr>
          <w:rFonts w:eastAsia="SimSun"/>
        </w:rPr>
        <w:t>p</w:t>
      </w:r>
      <w:r w:rsidR="00C52516" w:rsidRPr="00A012F6">
        <w:rPr>
          <w:rFonts w:eastAsia="SimSun"/>
        </w:rPr>
        <w:t xml:space="preserve">resident </w:t>
      </w:r>
      <w:r w:rsidR="00A012F6" w:rsidRPr="00A012F6">
        <w:rPr>
          <w:rFonts w:eastAsia="SimSun"/>
        </w:rPr>
        <w:t>cannot stand again.</w:t>
      </w:r>
      <w:r w:rsidR="00C06B44">
        <w:rPr>
          <w:rFonts w:eastAsia="SimSun"/>
        </w:rPr>
        <w:t xml:space="preserve"> </w:t>
      </w:r>
      <w:r w:rsidR="00A012F6" w:rsidRPr="00A012F6">
        <w:rPr>
          <w:rFonts w:eastAsia="SimSun"/>
        </w:rPr>
        <w:t>Indonesia’s electoral system requires candidates to be nominated by parties (or coalitions of parties) that represent at least 20 per cent of seats in parliament or 25 per cent of votes.</w:t>
      </w:r>
      <w:r w:rsidR="00C06B44">
        <w:rPr>
          <w:rFonts w:eastAsia="SimSun"/>
        </w:rPr>
        <w:t xml:space="preserve"> </w:t>
      </w:r>
      <w:r w:rsidR="00A012F6" w:rsidRPr="00A012F6">
        <w:rPr>
          <w:rFonts w:eastAsia="SimSun"/>
        </w:rPr>
        <w:t xml:space="preserve">Parties and candidates are therefore jockeying for position, with many still undeclared about who their candidates will be. </w:t>
      </w:r>
    </w:p>
    <w:p w14:paraId="720CE17F" w14:textId="382C8B97" w:rsidR="00A012F6" w:rsidRDefault="00A012F6" w:rsidP="004923C5">
      <w:pPr>
        <w:pStyle w:val="BodyText"/>
        <w:rPr>
          <w:rFonts w:eastAsia="SimSun"/>
        </w:rPr>
      </w:pPr>
      <w:r w:rsidRPr="00A012F6">
        <w:rPr>
          <w:rFonts w:eastAsia="SimSun"/>
        </w:rPr>
        <w:t xml:space="preserve">In early 2013 the </w:t>
      </w:r>
      <w:r w:rsidR="00C52516" w:rsidRPr="00A012F6">
        <w:rPr>
          <w:rFonts w:eastAsia="SimSun"/>
        </w:rPr>
        <w:t>Indonesia</w:t>
      </w:r>
      <w:r w:rsidR="00C52516">
        <w:rPr>
          <w:rFonts w:eastAsia="SimSun"/>
        </w:rPr>
        <w:t>n</w:t>
      </w:r>
      <w:r w:rsidR="00C52516" w:rsidRPr="00A012F6">
        <w:rPr>
          <w:rFonts w:eastAsia="SimSun"/>
        </w:rPr>
        <w:t xml:space="preserve"> </w:t>
      </w:r>
      <w:r w:rsidRPr="00A012F6">
        <w:rPr>
          <w:rFonts w:eastAsia="SimSun"/>
        </w:rPr>
        <w:t xml:space="preserve">Government requested that Australia delay the finalisation of the new </w:t>
      </w:r>
      <w:r w:rsidR="000A11DD">
        <w:t xml:space="preserve">Australia–Indonesia </w:t>
      </w:r>
      <w:r w:rsidR="004A2D3C">
        <w:t>Partnership Country Strategy</w:t>
      </w:r>
      <w:r w:rsidR="004A2D3C" w:rsidRPr="00A012F6">
        <w:rPr>
          <w:rFonts w:eastAsia="SimSun"/>
        </w:rPr>
        <w:t xml:space="preserve"> </w:t>
      </w:r>
      <w:r w:rsidRPr="00A012F6">
        <w:rPr>
          <w:rFonts w:eastAsia="SimSun"/>
        </w:rPr>
        <w:t xml:space="preserve">to allow alignment with the new </w:t>
      </w:r>
      <w:r w:rsidR="00C52516" w:rsidRPr="00A012F6">
        <w:rPr>
          <w:rFonts w:eastAsia="SimSun"/>
        </w:rPr>
        <w:t>Indonesia</w:t>
      </w:r>
      <w:r w:rsidR="00C52516">
        <w:rPr>
          <w:rFonts w:eastAsia="SimSun"/>
        </w:rPr>
        <w:t>n</w:t>
      </w:r>
      <w:r w:rsidR="00C52516" w:rsidRPr="00A012F6">
        <w:rPr>
          <w:rFonts w:eastAsia="SimSun"/>
        </w:rPr>
        <w:t xml:space="preserve"> Government </w:t>
      </w:r>
      <w:r w:rsidR="000A11DD" w:rsidRPr="00A012F6">
        <w:rPr>
          <w:rFonts w:eastAsia="SimSun"/>
        </w:rPr>
        <w:t>medium</w:t>
      </w:r>
      <w:r w:rsidR="000A11DD">
        <w:rPr>
          <w:rFonts w:eastAsia="SimSun"/>
        </w:rPr>
        <w:t>-</w:t>
      </w:r>
      <w:r w:rsidR="000A11DD" w:rsidRPr="00A012F6">
        <w:rPr>
          <w:rFonts w:eastAsia="SimSun"/>
        </w:rPr>
        <w:t>term development strategy</w:t>
      </w:r>
      <w:r w:rsidR="000A11DD">
        <w:rPr>
          <w:rFonts w:eastAsia="SimSun"/>
        </w:rPr>
        <w:t>,</w:t>
      </w:r>
      <w:r w:rsidRPr="00A012F6">
        <w:rPr>
          <w:rFonts w:eastAsia="SimSun"/>
        </w:rPr>
        <w:t xml:space="preserve"> which will be released in 2015</w:t>
      </w:r>
      <w:r w:rsidR="003933D4">
        <w:rPr>
          <w:rFonts w:eastAsia="SimSun"/>
        </w:rPr>
        <w:t xml:space="preserve"> following the Indonesian elections</w:t>
      </w:r>
      <w:r w:rsidRPr="00A012F6">
        <w:rPr>
          <w:rFonts w:eastAsia="SimSun"/>
        </w:rPr>
        <w:t>.</w:t>
      </w:r>
      <w:r w:rsidR="00C06B44">
        <w:rPr>
          <w:rFonts w:eastAsia="SimSun"/>
        </w:rPr>
        <w:t xml:space="preserve"> </w:t>
      </w:r>
      <w:r w:rsidRPr="00A012F6">
        <w:rPr>
          <w:rFonts w:eastAsia="SimSun"/>
        </w:rPr>
        <w:t>Australia has agreed to this request and will continue to operate under the 2008</w:t>
      </w:r>
      <w:r w:rsidR="00C52516">
        <w:rPr>
          <w:rFonts w:eastAsia="SimSun"/>
        </w:rPr>
        <w:t>–20</w:t>
      </w:r>
      <w:r w:rsidRPr="00A012F6">
        <w:rPr>
          <w:rFonts w:eastAsia="SimSun"/>
        </w:rPr>
        <w:t xml:space="preserve">13 </w:t>
      </w:r>
      <w:r w:rsidR="00C52516">
        <w:t>Australia–</w:t>
      </w:r>
      <w:r w:rsidR="004A2D3C">
        <w:t>Indonesia Partnership Country Strategy</w:t>
      </w:r>
      <w:r w:rsidR="004A2D3C" w:rsidRPr="00A012F6">
        <w:rPr>
          <w:rFonts w:eastAsia="SimSun"/>
        </w:rPr>
        <w:t xml:space="preserve"> </w:t>
      </w:r>
      <w:r w:rsidRPr="00A012F6">
        <w:rPr>
          <w:rFonts w:eastAsia="SimSun"/>
        </w:rPr>
        <w:t xml:space="preserve">until early 2015, when a new </w:t>
      </w:r>
      <w:r w:rsidR="00C52516">
        <w:rPr>
          <w:rFonts w:eastAsia="SimSun"/>
        </w:rPr>
        <w:t>five</w:t>
      </w:r>
      <w:r w:rsidR="00C52516" w:rsidRPr="00A012F6">
        <w:rPr>
          <w:rFonts w:eastAsia="SimSun"/>
        </w:rPr>
        <w:t xml:space="preserve"> </w:t>
      </w:r>
      <w:r w:rsidRPr="00A012F6">
        <w:rPr>
          <w:rFonts w:eastAsia="SimSun"/>
        </w:rPr>
        <w:t xml:space="preserve">year </w:t>
      </w:r>
      <w:r w:rsidR="00C52516">
        <w:rPr>
          <w:rFonts w:eastAsia="SimSun"/>
        </w:rPr>
        <w:t>c</w:t>
      </w:r>
      <w:r w:rsidR="00C52516" w:rsidRPr="00A012F6">
        <w:rPr>
          <w:rFonts w:eastAsia="SimSun"/>
        </w:rPr>
        <w:t xml:space="preserve">ountry </w:t>
      </w:r>
      <w:r w:rsidR="00C52516">
        <w:rPr>
          <w:rFonts w:eastAsia="SimSun"/>
        </w:rPr>
        <w:t>s</w:t>
      </w:r>
      <w:r w:rsidR="00C52516" w:rsidRPr="00A012F6">
        <w:rPr>
          <w:rFonts w:eastAsia="SimSun"/>
        </w:rPr>
        <w:t xml:space="preserve">trategy </w:t>
      </w:r>
      <w:r w:rsidR="00D248C6">
        <w:rPr>
          <w:rFonts w:eastAsia="SimSun"/>
        </w:rPr>
        <w:t xml:space="preserve">will be published </w:t>
      </w:r>
      <w:r w:rsidRPr="00A012F6">
        <w:rPr>
          <w:rFonts w:eastAsia="SimSun"/>
        </w:rPr>
        <w:t xml:space="preserve">that aligns with the </w:t>
      </w:r>
      <w:r w:rsidR="00C52516" w:rsidRPr="00A012F6">
        <w:rPr>
          <w:rFonts w:eastAsia="SimSun"/>
        </w:rPr>
        <w:t>Indonesia</w:t>
      </w:r>
      <w:r w:rsidR="00C52516">
        <w:rPr>
          <w:rFonts w:eastAsia="SimSun"/>
        </w:rPr>
        <w:t>n</w:t>
      </w:r>
      <w:r w:rsidR="00C52516" w:rsidRPr="00A012F6">
        <w:rPr>
          <w:rFonts w:eastAsia="SimSun"/>
        </w:rPr>
        <w:t xml:space="preserve"> Government</w:t>
      </w:r>
      <w:r w:rsidR="00C52516">
        <w:rPr>
          <w:rFonts w:eastAsia="SimSun"/>
        </w:rPr>
        <w:t>’s</w:t>
      </w:r>
      <w:r w:rsidR="00C52516" w:rsidRPr="00A012F6">
        <w:rPr>
          <w:rFonts w:eastAsia="SimSun"/>
        </w:rPr>
        <w:t xml:space="preserve"> </w:t>
      </w:r>
      <w:r w:rsidRPr="00A012F6">
        <w:rPr>
          <w:rFonts w:eastAsia="SimSun"/>
        </w:rPr>
        <w:t xml:space="preserve">new </w:t>
      </w:r>
      <w:r w:rsidR="00C52516">
        <w:rPr>
          <w:rFonts w:eastAsia="SimSun"/>
        </w:rPr>
        <w:t>five</w:t>
      </w:r>
      <w:r w:rsidR="00C52516" w:rsidRPr="00C52516">
        <w:rPr>
          <w:rFonts w:eastAsia="SimSun"/>
        </w:rPr>
        <w:t xml:space="preserve"> </w:t>
      </w:r>
      <w:r w:rsidRPr="00A012F6">
        <w:rPr>
          <w:rFonts w:eastAsia="SimSun"/>
        </w:rPr>
        <w:t>development plan.</w:t>
      </w:r>
    </w:p>
    <w:p w14:paraId="65C2755F" w14:textId="77777777" w:rsidR="00805D86" w:rsidRDefault="00805D86">
      <w:pPr>
        <w:spacing w:after="200" w:line="276" w:lineRule="auto"/>
        <w:rPr>
          <w:rFonts w:ascii="Franklin Gothic Demi" w:eastAsia="Times New Roman" w:hAnsi="Franklin Gothic Demi" w:cs="Arial"/>
          <w:color w:val="AD495D"/>
          <w:kern w:val="28"/>
          <w:sz w:val="24"/>
          <w:szCs w:val="28"/>
        </w:rPr>
      </w:pPr>
      <w:bookmarkStart w:id="4" w:name="_Toc359585080"/>
      <w:bookmarkStart w:id="5" w:name="_Toc363768569"/>
      <w:bookmarkStart w:id="6" w:name="_Toc363804105"/>
      <w:r>
        <w:br w:type="page"/>
      </w:r>
    </w:p>
    <w:p w14:paraId="7333AD95" w14:textId="54F212A7" w:rsidR="00180B19" w:rsidRPr="00ED6A9C" w:rsidRDefault="00180B19" w:rsidP="00ED6A9C">
      <w:pPr>
        <w:pStyle w:val="Heading2"/>
      </w:pPr>
      <w:r w:rsidRPr="00ED6A9C">
        <w:lastRenderedPageBreak/>
        <w:t>Expenditure</w:t>
      </w:r>
      <w:bookmarkEnd w:id="4"/>
      <w:bookmarkEnd w:id="5"/>
      <w:bookmarkEnd w:id="6"/>
    </w:p>
    <w:p w14:paraId="2097356D" w14:textId="4458E44B" w:rsidR="00BE65E4" w:rsidRDefault="00BE65E4" w:rsidP="00BE65E4">
      <w:pPr>
        <w:pStyle w:val="Caption"/>
      </w:pPr>
      <w:r>
        <w:t xml:space="preserve">Table </w:t>
      </w:r>
      <w:fldSimple w:instr=" SEQ Table \* ARABIC ">
        <w:r w:rsidR="0024777E">
          <w:rPr>
            <w:noProof/>
          </w:rPr>
          <w:t>1</w:t>
        </w:r>
      </w:fldSimple>
      <w:r>
        <w:t>A</w:t>
      </w:r>
      <w:r w:rsidR="000A11DD">
        <w:t>:</w:t>
      </w:r>
      <w:r>
        <w:t xml:space="preserve"> Expenditure 1 Jan</w:t>
      </w:r>
      <w:r w:rsidR="000A11DD">
        <w:t>uary</w:t>
      </w:r>
      <w:r>
        <w:t xml:space="preserve"> </w:t>
      </w:r>
      <w:r w:rsidR="000A11DD">
        <w:t>to</w:t>
      </w:r>
      <w:r>
        <w:t xml:space="preserve"> 30 Jun</w:t>
      </w:r>
      <w:r w:rsidR="000A11DD">
        <w:t>e</w:t>
      </w:r>
      <w:r>
        <w:t xml:space="preserve"> </w:t>
      </w:r>
      <w:r w:rsidR="009A28D2">
        <w:t>2012</w:t>
      </w:r>
    </w:p>
    <w:tbl>
      <w:tblPr>
        <w:tblStyle w:val="APPR"/>
        <w:tblW w:w="5000" w:type="pct"/>
        <w:tblLayout w:type="fixed"/>
        <w:tblLook w:val="0000" w:firstRow="0" w:lastRow="0" w:firstColumn="0" w:lastColumn="0" w:noHBand="0" w:noVBand="0"/>
      </w:tblPr>
      <w:tblGrid>
        <w:gridCol w:w="5560"/>
        <w:gridCol w:w="1569"/>
        <w:gridCol w:w="1477"/>
      </w:tblGrid>
      <w:tr w:rsidR="00180B19" w:rsidRPr="00180B19" w14:paraId="2B44B026" w14:textId="77777777" w:rsidTr="00ED6A9C">
        <w:trPr>
          <w:cantSplit/>
          <w:tblHeader w:val="0"/>
        </w:trPr>
        <w:tc>
          <w:tcPr>
            <w:tcW w:w="5481" w:type="dxa"/>
          </w:tcPr>
          <w:p w14:paraId="63E959A8" w14:textId="77777777" w:rsidR="00180B19" w:rsidRPr="00ED6A9C" w:rsidRDefault="00180B19" w:rsidP="00ED6A9C">
            <w:pPr>
              <w:pStyle w:val="TableTextColumnHeading"/>
            </w:pPr>
            <w:r w:rsidRPr="00ED6A9C">
              <w:t>Objective</w:t>
            </w:r>
          </w:p>
        </w:tc>
        <w:tc>
          <w:tcPr>
            <w:tcW w:w="1531" w:type="dxa"/>
          </w:tcPr>
          <w:p w14:paraId="0A2171AE" w14:textId="6A0F170B" w:rsidR="00180B19" w:rsidRPr="00ED6A9C" w:rsidRDefault="008D1329" w:rsidP="00ED6A9C">
            <w:pPr>
              <w:pStyle w:val="TableTextColumnHeading"/>
            </w:pPr>
            <w:r w:rsidRPr="00ED6A9C">
              <w:t>$</w:t>
            </w:r>
            <w:r w:rsidR="00180B19" w:rsidRPr="00ED6A9C">
              <w:t>million</w:t>
            </w:r>
          </w:p>
        </w:tc>
        <w:tc>
          <w:tcPr>
            <w:tcW w:w="1426" w:type="dxa"/>
          </w:tcPr>
          <w:p w14:paraId="4012C60D" w14:textId="77777777" w:rsidR="00180B19" w:rsidRPr="00ED6A9C" w:rsidRDefault="00180B19" w:rsidP="00ED6A9C">
            <w:pPr>
              <w:pStyle w:val="TableTextColumnHeading"/>
            </w:pPr>
            <w:r w:rsidRPr="00ED6A9C">
              <w:t>% of bilateral program</w:t>
            </w:r>
          </w:p>
        </w:tc>
      </w:tr>
      <w:tr w:rsidR="002D2C17" w:rsidRPr="00180B19" w14:paraId="1B2B9DF9"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14:paraId="052669F7" w14:textId="13026F76" w:rsidR="002D2C17" w:rsidRPr="00ED6A9C" w:rsidRDefault="002D2C17" w:rsidP="00ED6A9C">
            <w:pPr>
              <w:pStyle w:val="TableTextEntries"/>
            </w:pPr>
            <w:r w:rsidRPr="00ED6A9C">
              <w:t xml:space="preserve">Education </w:t>
            </w:r>
            <w:r w:rsidR="000A11DD" w:rsidRPr="00ED6A9C">
              <w:t>and k</w:t>
            </w:r>
            <w:r w:rsidRPr="00ED6A9C">
              <w:t xml:space="preserve">nowledge </w:t>
            </w:r>
            <w:r w:rsidR="000A11DD" w:rsidRPr="00ED6A9C">
              <w:t>sector</w:t>
            </w:r>
          </w:p>
        </w:tc>
        <w:tc>
          <w:tcPr>
            <w:tcW w:w="1531" w:type="dxa"/>
          </w:tcPr>
          <w:p w14:paraId="2DBBD923" w14:textId="5B768EEE" w:rsidR="002D2C17" w:rsidRPr="00ED6A9C" w:rsidRDefault="002D2C17" w:rsidP="00ED6A9C">
            <w:pPr>
              <w:pStyle w:val="TableDataEntries"/>
            </w:pPr>
            <w:r w:rsidRPr="00ED6A9C">
              <w:t>73</w:t>
            </w:r>
            <w:r w:rsidR="000A11DD" w:rsidRPr="00ED6A9C">
              <w:t xml:space="preserve"> </w:t>
            </w:r>
            <w:r w:rsidRPr="00ED6A9C">
              <w:t>998</w:t>
            </w:r>
            <w:r w:rsidR="000A11DD" w:rsidRPr="00ED6A9C">
              <w:t xml:space="preserve"> </w:t>
            </w:r>
            <w:r w:rsidRPr="00ED6A9C">
              <w:t xml:space="preserve">533 </w:t>
            </w:r>
          </w:p>
        </w:tc>
        <w:tc>
          <w:tcPr>
            <w:tcW w:w="1426" w:type="dxa"/>
          </w:tcPr>
          <w:p w14:paraId="1A85D43B" w14:textId="77777777" w:rsidR="002D2C17" w:rsidRPr="00ED6A9C" w:rsidRDefault="002D2C17" w:rsidP="00ED6A9C">
            <w:pPr>
              <w:pStyle w:val="TableDataEntries"/>
            </w:pPr>
            <w:r w:rsidRPr="00ED6A9C">
              <w:t>17.8%</w:t>
            </w:r>
          </w:p>
        </w:tc>
      </w:tr>
      <w:tr w:rsidR="002D2C17" w:rsidRPr="00180B19" w14:paraId="335292D5" w14:textId="77777777" w:rsidTr="00ED6A9C">
        <w:trPr>
          <w:cantSplit/>
          <w:tblHeader w:val="0"/>
        </w:trPr>
        <w:tc>
          <w:tcPr>
            <w:tcW w:w="5481" w:type="dxa"/>
          </w:tcPr>
          <w:p w14:paraId="73581852" w14:textId="77777777" w:rsidR="002D2C17" w:rsidRPr="00ED6A9C" w:rsidRDefault="002D2C17" w:rsidP="00ED6A9C">
            <w:pPr>
              <w:pStyle w:val="TableTextEntries"/>
            </w:pPr>
            <w:r w:rsidRPr="00ED6A9C">
              <w:t>Health</w:t>
            </w:r>
          </w:p>
        </w:tc>
        <w:tc>
          <w:tcPr>
            <w:tcW w:w="1531" w:type="dxa"/>
          </w:tcPr>
          <w:p w14:paraId="15A9EAD7" w14:textId="6E561EB8" w:rsidR="002D2C17" w:rsidRPr="00ED6A9C" w:rsidRDefault="002D2C17" w:rsidP="00ED6A9C">
            <w:pPr>
              <w:pStyle w:val="TableDataEntries"/>
            </w:pPr>
            <w:r w:rsidRPr="00ED6A9C">
              <w:t>41</w:t>
            </w:r>
            <w:r w:rsidR="000A11DD" w:rsidRPr="00ED6A9C">
              <w:t xml:space="preserve"> </w:t>
            </w:r>
            <w:r w:rsidRPr="00ED6A9C">
              <w:t>029</w:t>
            </w:r>
            <w:r w:rsidR="000A11DD" w:rsidRPr="00ED6A9C">
              <w:t xml:space="preserve"> </w:t>
            </w:r>
            <w:r w:rsidRPr="00ED6A9C">
              <w:t xml:space="preserve">264 </w:t>
            </w:r>
          </w:p>
        </w:tc>
        <w:tc>
          <w:tcPr>
            <w:tcW w:w="1426" w:type="dxa"/>
          </w:tcPr>
          <w:p w14:paraId="32A3070F" w14:textId="77777777" w:rsidR="002D2C17" w:rsidRPr="00ED6A9C" w:rsidRDefault="002D2C17" w:rsidP="00ED6A9C">
            <w:pPr>
              <w:pStyle w:val="TableDataEntries"/>
            </w:pPr>
            <w:r w:rsidRPr="00ED6A9C">
              <w:t>9.9%</w:t>
            </w:r>
          </w:p>
        </w:tc>
      </w:tr>
      <w:tr w:rsidR="002D2C17" w:rsidRPr="00180B19" w14:paraId="5CC24723"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14:paraId="01D7BAB1" w14:textId="7D18C299" w:rsidR="002D2C17" w:rsidRPr="00ED6A9C" w:rsidRDefault="002D2C17" w:rsidP="00ED6A9C">
            <w:pPr>
              <w:pStyle w:val="TableTextEntries"/>
            </w:pPr>
            <w:r w:rsidRPr="00ED6A9C">
              <w:t xml:space="preserve">Transport and </w:t>
            </w:r>
            <w:r w:rsidR="000A11DD" w:rsidRPr="00ED6A9C">
              <w:t xml:space="preserve">connectivity </w:t>
            </w:r>
          </w:p>
        </w:tc>
        <w:tc>
          <w:tcPr>
            <w:tcW w:w="1531" w:type="dxa"/>
          </w:tcPr>
          <w:p w14:paraId="4C21CC73" w14:textId="78E56603" w:rsidR="002D2C17" w:rsidRPr="00ED6A9C" w:rsidRDefault="002D2C17" w:rsidP="00ED6A9C">
            <w:pPr>
              <w:pStyle w:val="TableDataEntries"/>
            </w:pPr>
            <w:r w:rsidRPr="00ED6A9C">
              <w:t>25</w:t>
            </w:r>
            <w:r w:rsidR="000A11DD" w:rsidRPr="00ED6A9C">
              <w:t xml:space="preserve"> </w:t>
            </w:r>
            <w:r w:rsidRPr="00ED6A9C">
              <w:t>922</w:t>
            </w:r>
            <w:r w:rsidR="000A11DD" w:rsidRPr="00ED6A9C">
              <w:t xml:space="preserve"> </w:t>
            </w:r>
            <w:r w:rsidRPr="00ED6A9C">
              <w:t xml:space="preserve">940 </w:t>
            </w:r>
          </w:p>
        </w:tc>
        <w:tc>
          <w:tcPr>
            <w:tcW w:w="1426" w:type="dxa"/>
          </w:tcPr>
          <w:p w14:paraId="47AD41CE" w14:textId="77777777" w:rsidR="002D2C17" w:rsidRPr="00ED6A9C" w:rsidRDefault="002D2C17" w:rsidP="00ED6A9C">
            <w:pPr>
              <w:pStyle w:val="TableDataEntries"/>
            </w:pPr>
            <w:r w:rsidRPr="00ED6A9C">
              <w:t>6.2%</w:t>
            </w:r>
          </w:p>
        </w:tc>
      </w:tr>
      <w:tr w:rsidR="002D2C17" w:rsidRPr="00180B19" w14:paraId="49B1A65A" w14:textId="77777777" w:rsidTr="00ED6A9C">
        <w:trPr>
          <w:cantSplit/>
          <w:tblHeader w:val="0"/>
        </w:trPr>
        <w:tc>
          <w:tcPr>
            <w:tcW w:w="5481" w:type="dxa"/>
          </w:tcPr>
          <w:p w14:paraId="242FF89C" w14:textId="6FD71840" w:rsidR="002D2C17" w:rsidRPr="00ED6A9C" w:rsidRDefault="002D2C17" w:rsidP="00ED6A9C">
            <w:pPr>
              <w:pStyle w:val="TableTextEntries"/>
            </w:pPr>
            <w:r w:rsidRPr="00ED6A9C">
              <w:t xml:space="preserve">Water and </w:t>
            </w:r>
            <w:r w:rsidR="000A11DD" w:rsidRPr="00ED6A9C">
              <w:t xml:space="preserve">sanitation </w:t>
            </w:r>
          </w:p>
        </w:tc>
        <w:tc>
          <w:tcPr>
            <w:tcW w:w="1531" w:type="dxa"/>
          </w:tcPr>
          <w:p w14:paraId="5F614BEA" w14:textId="138773F5" w:rsidR="002D2C17" w:rsidRPr="00ED6A9C" w:rsidRDefault="002D2C17" w:rsidP="00ED6A9C">
            <w:pPr>
              <w:pStyle w:val="TableDataEntries"/>
            </w:pPr>
            <w:r w:rsidRPr="00ED6A9C">
              <w:t>36</w:t>
            </w:r>
            <w:r w:rsidR="000A11DD" w:rsidRPr="00ED6A9C">
              <w:t xml:space="preserve"> </w:t>
            </w:r>
            <w:r w:rsidRPr="00ED6A9C">
              <w:t>000</w:t>
            </w:r>
            <w:r w:rsidR="000A11DD" w:rsidRPr="00ED6A9C">
              <w:t xml:space="preserve"> </w:t>
            </w:r>
            <w:r w:rsidRPr="00ED6A9C">
              <w:t xml:space="preserve">050 </w:t>
            </w:r>
          </w:p>
        </w:tc>
        <w:tc>
          <w:tcPr>
            <w:tcW w:w="1426" w:type="dxa"/>
          </w:tcPr>
          <w:p w14:paraId="32AA48A5" w14:textId="77777777" w:rsidR="002D2C17" w:rsidRPr="00ED6A9C" w:rsidRDefault="002D2C17" w:rsidP="00ED6A9C">
            <w:pPr>
              <w:pStyle w:val="TableDataEntries"/>
            </w:pPr>
            <w:r w:rsidRPr="00ED6A9C">
              <w:t>8.7%</w:t>
            </w:r>
          </w:p>
        </w:tc>
      </w:tr>
      <w:tr w:rsidR="002D2C17" w:rsidRPr="00180B19" w14:paraId="024B7973"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14:paraId="3F479E51" w14:textId="6549E38E" w:rsidR="002D2C17" w:rsidRPr="00ED6A9C" w:rsidRDefault="002D2C17" w:rsidP="00ED6A9C">
            <w:pPr>
              <w:pStyle w:val="TableTextEntries"/>
            </w:pPr>
            <w:r w:rsidRPr="00ED6A9C">
              <w:t xml:space="preserve">Social </w:t>
            </w:r>
            <w:r w:rsidR="000A11DD" w:rsidRPr="00ED6A9C">
              <w:t>p</w:t>
            </w:r>
            <w:r w:rsidRPr="00ED6A9C">
              <w:t xml:space="preserve">rotection </w:t>
            </w:r>
            <w:r w:rsidR="000A11DD" w:rsidRPr="00ED6A9C">
              <w:t xml:space="preserve">and </w:t>
            </w:r>
            <w:r w:rsidR="00FC61F3" w:rsidRPr="00ED6A9C">
              <w:t>National Program</w:t>
            </w:r>
            <w:r w:rsidR="000A11DD" w:rsidRPr="00ED6A9C">
              <w:t xml:space="preserve"> for Community Empowerment</w:t>
            </w:r>
          </w:p>
        </w:tc>
        <w:tc>
          <w:tcPr>
            <w:tcW w:w="1531" w:type="dxa"/>
          </w:tcPr>
          <w:p w14:paraId="3991582D" w14:textId="4E784303" w:rsidR="002D2C17" w:rsidRPr="00ED6A9C" w:rsidRDefault="002D2C17" w:rsidP="00ED6A9C">
            <w:pPr>
              <w:pStyle w:val="TableDataEntries"/>
            </w:pPr>
            <w:r w:rsidRPr="00ED6A9C">
              <w:t>65</w:t>
            </w:r>
            <w:r w:rsidR="000A11DD" w:rsidRPr="00ED6A9C">
              <w:t xml:space="preserve"> </w:t>
            </w:r>
            <w:r w:rsidRPr="00ED6A9C">
              <w:t>563</w:t>
            </w:r>
            <w:r w:rsidR="000A11DD" w:rsidRPr="00ED6A9C">
              <w:t xml:space="preserve"> </w:t>
            </w:r>
            <w:r w:rsidRPr="00ED6A9C">
              <w:t xml:space="preserve">897 </w:t>
            </w:r>
          </w:p>
        </w:tc>
        <w:tc>
          <w:tcPr>
            <w:tcW w:w="1426" w:type="dxa"/>
          </w:tcPr>
          <w:p w14:paraId="17F08C85" w14:textId="77777777" w:rsidR="002D2C17" w:rsidRPr="00ED6A9C" w:rsidRDefault="002D2C17" w:rsidP="00ED6A9C">
            <w:pPr>
              <w:pStyle w:val="TableDataEntries"/>
            </w:pPr>
            <w:r w:rsidRPr="00ED6A9C">
              <w:t>15.8%</w:t>
            </w:r>
          </w:p>
        </w:tc>
      </w:tr>
      <w:tr w:rsidR="002D2C17" w:rsidRPr="00180B19" w14:paraId="09745B54" w14:textId="77777777" w:rsidTr="00ED6A9C">
        <w:trPr>
          <w:cantSplit/>
          <w:tblHeader w:val="0"/>
        </w:trPr>
        <w:tc>
          <w:tcPr>
            <w:tcW w:w="5481" w:type="dxa"/>
          </w:tcPr>
          <w:p w14:paraId="247EEDEC" w14:textId="3DAEED90" w:rsidR="002D2C17" w:rsidRPr="00ED6A9C" w:rsidRDefault="002D2C17" w:rsidP="00ED6A9C">
            <w:pPr>
              <w:pStyle w:val="TableTextEntries"/>
            </w:pPr>
            <w:r w:rsidRPr="00ED6A9C">
              <w:t xml:space="preserve">Bureaucratic </w:t>
            </w:r>
            <w:r w:rsidR="000A11DD" w:rsidRPr="00ED6A9C">
              <w:t>reform</w:t>
            </w:r>
          </w:p>
        </w:tc>
        <w:tc>
          <w:tcPr>
            <w:tcW w:w="1531" w:type="dxa"/>
          </w:tcPr>
          <w:p w14:paraId="347A329B" w14:textId="67598CF3" w:rsidR="002D2C17" w:rsidRPr="00ED6A9C" w:rsidRDefault="002D2C17" w:rsidP="00ED6A9C">
            <w:pPr>
              <w:pStyle w:val="TableDataEntries"/>
            </w:pPr>
            <w:r w:rsidRPr="00ED6A9C">
              <w:t>3</w:t>
            </w:r>
            <w:r w:rsidR="000A11DD" w:rsidRPr="00ED6A9C">
              <w:t xml:space="preserve"> </w:t>
            </w:r>
            <w:r w:rsidRPr="00ED6A9C">
              <w:t>034</w:t>
            </w:r>
            <w:r w:rsidR="000A11DD" w:rsidRPr="00ED6A9C">
              <w:t xml:space="preserve"> </w:t>
            </w:r>
            <w:r w:rsidRPr="00ED6A9C">
              <w:t xml:space="preserve">099 </w:t>
            </w:r>
          </w:p>
        </w:tc>
        <w:tc>
          <w:tcPr>
            <w:tcW w:w="1426" w:type="dxa"/>
          </w:tcPr>
          <w:p w14:paraId="4EF433CF" w14:textId="77777777" w:rsidR="002D2C17" w:rsidRPr="00ED6A9C" w:rsidRDefault="002D2C17" w:rsidP="00ED6A9C">
            <w:pPr>
              <w:pStyle w:val="TableDataEntries"/>
            </w:pPr>
            <w:r w:rsidRPr="00ED6A9C">
              <w:t>0.7%</w:t>
            </w:r>
          </w:p>
        </w:tc>
      </w:tr>
      <w:tr w:rsidR="002D2C17" w:rsidRPr="00180B19" w14:paraId="2FD1552C"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14:paraId="4FE051CC" w14:textId="71813ACA" w:rsidR="002D2C17" w:rsidRPr="00ED6A9C" w:rsidRDefault="002D2C17" w:rsidP="00ED6A9C">
            <w:pPr>
              <w:pStyle w:val="TableTextEntries"/>
            </w:pPr>
            <w:r w:rsidRPr="00ED6A9C">
              <w:t xml:space="preserve">Climate </w:t>
            </w:r>
            <w:r w:rsidR="000A11DD" w:rsidRPr="00ED6A9C">
              <w:t>change</w:t>
            </w:r>
          </w:p>
        </w:tc>
        <w:tc>
          <w:tcPr>
            <w:tcW w:w="1531" w:type="dxa"/>
          </w:tcPr>
          <w:p w14:paraId="6BAEE65C" w14:textId="76AFAF17" w:rsidR="002D2C17" w:rsidRPr="00ED6A9C" w:rsidRDefault="002D2C17" w:rsidP="00ED6A9C">
            <w:pPr>
              <w:pStyle w:val="TableDataEntries"/>
            </w:pPr>
            <w:r w:rsidRPr="00ED6A9C">
              <w:t>5</w:t>
            </w:r>
            <w:r w:rsidR="000A11DD" w:rsidRPr="00ED6A9C">
              <w:t xml:space="preserve"> </w:t>
            </w:r>
            <w:r w:rsidRPr="00ED6A9C">
              <w:t>125</w:t>
            </w:r>
            <w:r w:rsidR="000A11DD" w:rsidRPr="00ED6A9C">
              <w:t xml:space="preserve"> </w:t>
            </w:r>
            <w:r w:rsidRPr="00ED6A9C">
              <w:t xml:space="preserve">324 </w:t>
            </w:r>
          </w:p>
        </w:tc>
        <w:tc>
          <w:tcPr>
            <w:tcW w:w="1426" w:type="dxa"/>
          </w:tcPr>
          <w:p w14:paraId="2FC83CCD" w14:textId="77777777" w:rsidR="002D2C17" w:rsidRPr="00ED6A9C" w:rsidRDefault="002D2C17" w:rsidP="00ED6A9C">
            <w:pPr>
              <w:pStyle w:val="TableDataEntries"/>
            </w:pPr>
            <w:r w:rsidRPr="00ED6A9C">
              <w:t>1.2%</w:t>
            </w:r>
          </w:p>
        </w:tc>
      </w:tr>
      <w:tr w:rsidR="002D2C17" w:rsidRPr="00180B19" w14:paraId="308DDAFE" w14:textId="77777777" w:rsidTr="00ED6A9C">
        <w:trPr>
          <w:cantSplit/>
          <w:tblHeader w:val="0"/>
        </w:trPr>
        <w:tc>
          <w:tcPr>
            <w:tcW w:w="5481" w:type="dxa"/>
          </w:tcPr>
          <w:p w14:paraId="0CBD4484" w14:textId="77777777" w:rsidR="002D2C17" w:rsidRPr="00ED6A9C" w:rsidRDefault="002D2C17" w:rsidP="00ED6A9C">
            <w:pPr>
              <w:pStyle w:val="TableTextEntries"/>
            </w:pPr>
            <w:r w:rsidRPr="00ED6A9C">
              <w:t>Decentralisation</w:t>
            </w:r>
          </w:p>
        </w:tc>
        <w:tc>
          <w:tcPr>
            <w:tcW w:w="1531" w:type="dxa"/>
          </w:tcPr>
          <w:p w14:paraId="53FA3306" w14:textId="4CDCFFDD" w:rsidR="002D2C17" w:rsidRPr="00ED6A9C" w:rsidRDefault="002D2C17" w:rsidP="00ED6A9C">
            <w:pPr>
              <w:pStyle w:val="TableDataEntries"/>
            </w:pPr>
            <w:r w:rsidRPr="00ED6A9C">
              <w:t>26</w:t>
            </w:r>
            <w:r w:rsidR="000A11DD" w:rsidRPr="00ED6A9C">
              <w:t xml:space="preserve"> </w:t>
            </w:r>
            <w:r w:rsidRPr="00ED6A9C">
              <w:t>888</w:t>
            </w:r>
            <w:r w:rsidR="000A11DD" w:rsidRPr="00ED6A9C">
              <w:t xml:space="preserve"> </w:t>
            </w:r>
            <w:r w:rsidRPr="00ED6A9C">
              <w:t xml:space="preserve">317 </w:t>
            </w:r>
          </w:p>
        </w:tc>
        <w:tc>
          <w:tcPr>
            <w:tcW w:w="1426" w:type="dxa"/>
          </w:tcPr>
          <w:p w14:paraId="40845A6D" w14:textId="77777777" w:rsidR="002D2C17" w:rsidRPr="00ED6A9C" w:rsidRDefault="002D2C17" w:rsidP="00ED6A9C">
            <w:pPr>
              <w:pStyle w:val="TableDataEntries"/>
            </w:pPr>
            <w:r w:rsidRPr="00ED6A9C">
              <w:t>6.5%</w:t>
            </w:r>
          </w:p>
        </w:tc>
      </w:tr>
      <w:tr w:rsidR="002D2C17" w:rsidRPr="00180B19" w14:paraId="05D51168"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14:paraId="4D17227B" w14:textId="793A70E6" w:rsidR="002D2C17" w:rsidRPr="00ED6A9C" w:rsidRDefault="002D2C17" w:rsidP="00ED6A9C">
            <w:pPr>
              <w:pStyle w:val="TableTextEntries"/>
            </w:pPr>
            <w:r w:rsidRPr="00ED6A9C">
              <w:t xml:space="preserve">Disaster </w:t>
            </w:r>
            <w:r w:rsidR="000A11DD" w:rsidRPr="00ED6A9C">
              <w:t xml:space="preserve">risk management </w:t>
            </w:r>
          </w:p>
        </w:tc>
        <w:tc>
          <w:tcPr>
            <w:tcW w:w="1531" w:type="dxa"/>
          </w:tcPr>
          <w:p w14:paraId="0B92AB38" w14:textId="55509A86" w:rsidR="002D2C17" w:rsidRPr="00ED6A9C" w:rsidRDefault="002D2C17" w:rsidP="00ED6A9C">
            <w:pPr>
              <w:pStyle w:val="TableDataEntries"/>
            </w:pPr>
            <w:r w:rsidRPr="00ED6A9C">
              <w:t>18</w:t>
            </w:r>
            <w:r w:rsidR="000A11DD" w:rsidRPr="00ED6A9C">
              <w:t xml:space="preserve"> </w:t>
            </w:r>
            <w:r w:rsidRPr="00ED6A9C">
              <w:t>969</w:t>
            </w:r>
            <w:r w:rsidR="000A11DD" w:rsidRPr="00ED6A9C">
              <w:t xml:space="preserve"> </w:t>
            </w:r>
            <w:r w:rsidRPr="00ED6A9C">
              <w:t xml:space="preserve">917 </w:t>
            </w:r>
          </w:p>
        </w:tc>
        <w:tc>
          <w:tcPr>
            <w:tcW w:w="1426" w:type="dxa"/>
          </w:tcPr>
          <w:p w14:paraId="14BF315A" w14:textId="77777777" w:rsidR="002D2C17" w:rsidRPr="00ED6A9C" w:rsidRDefault="002D2C17" w:rsidP="00ED6A9C">
            <w:pPr>
              <w:pStyle w:val="TableDataEntries"/>
            </w:pPr>
            <w:r w:rsidRPr="00ED6A9C">
              <w:t>4.6%</w:t>
            </w:r>
          </w:p>
        </w:tc>
      </w:tr>
      <w:tr w:rsidR="002D2C17" w:rsidRPr="00180B19" w14:paraId="6E36D93F" w14:textId="77777777" w:rsidTr="00ED6A9C">
        <w:trPr>
          <w:cantSplit/>
          <w:tblHeader w:val="0"/>
        </w:trPr>
        <w:tc>
          <w:tcPr>
            <w:tcW w:w="5481" w:type="dxa"/>
          </w:tcPr>
          <w:p w14:paraId="5A096FBD" w14:textId="4D17D02D" w:rsidR="002D2C17" w:rsidRPr="00ED6A9C" w:rsidRDefault="002D2C17" w:rsidP="00ED6A9C">
            <w:pPr>
              <w:pStyle w:val="TableTextEntries"/>
            </w:pPr>
            <w:r w:rsidRPr="00ED6A9C">
              <w:t xml:space="preserve">Economic </w:t>
            </w:r>
            <w:r w:rsidR="000A11DD" w:rsidRPr="00ED6A9C">
              <w:t>governance</w:t>
            </w:r>
            <w:r w:rsidR="00B525E5" w:rsidRPr="00ED6A9C">
              <w:t xml:space="preserve"> </w:t>
            </w:r>
          </w:p>
        </w:tc>
        <w:tc>
          <w:tcPr>
            <w:tcW w:w="1531" w:type="dxa"/>
          </w:tcPr>
          <w:p w14:paraId="37107EE7" w14:textId="1044ED56" w:rsidR="002D2C17" w:rsidRPr="00ED6A9C" w:rsidRDefault="002D2C17" w:rsidP="00ED6A9C">
            <w:pPr>
              <w:pStyle w:val="TableDataEntries"/>
            </w:pPr>
            <w:r w:rsidRPr="00ED6A9C">
              <w:t>24</w:t>
            </w:r>
            <w:r w:rsidR="000A11DD" w:rsidRPr="00ED6A9C">
              <w:t xml:space="preserve"> </w:t>
            </w:r>
            <w:r w:rsidRPr="00ED6A9C">
              <w:t>725</w:t>
            </w:r>
            <w:r w:rsidR="000A11DD" w:rsidRPr="00ED6A9C">
              <w:t xml:space="preserve"> </w:t>
            </w:r>
            <w:r w:rsidRPr="00ED6A9C">
              <w:t xml:space="preserve">323 </w:t>
            </w:r>
          </w:p>
        </w:tc>
        <w:tc>
          <w:tcPr>
            <w:tcW w:w="1426" w:type="dxa"/>
          </w:tcPr>
          <w:p w14:paraId="0EE12436" w14:textId="77777777" w:rsidR="002D2C17" w:rsidRPr="00ED6A9C" w:rsidRDefault="002D2C17" w:rsidP="00ED6A9C">
            <w:pPr>
              <w:pStyle w:val="TableDataEntries"/>
            </w:pPr>
            <w:r w:rsidRPr="00ED6A9C">
              <w:t>6.0%</w:t>
            </w:r>
          </w:p>
        </w:tc>
      </w:tr>
      <w:tr w:rsidR="002D2C17" w:rsidRPr="00180B19" w14:paraId="58E17A82"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14:paraId="4939377A" w14:textId="77777777" w:rsidR="002D2C17" w:rsidRPr="00ED6A9C" w:rsidRDefault="002D2C17" w:rsidP="00ED6A9C">
            <w:pPr>
              <w:pStyle w:val="TableTextEntries"/>
            </w:pPr>
            <w:r w:rsidRPr="00ED6A9C">
              <w:t xml:space="preserve">Elections </w:t>
            </w:r>
          </w:p>
        </w:tc>
        <w:tc>
          <w:tcPr>
            <w:tcW w:w="1531" w:type="dxa"/>
          </w:tcPr>
          <w:p w14:paraId="33122B3F" w14:textId="3F51A9E0" w:rsidR="002D2C17" w:rsidRPr="00ED6A9C" w:rsidRDefault="002D2C17" w:rsidP="00ED6A9C">
            <w:pPr>
              <w:pStyle w:val="TableDataEntries"/>
            </w:pPr>
            <w:r w:rsidRPr="00ED6A9C">
              <w:t>5</w:t>
            </w:r>
            <w:r w:rsidR="000A11DD" w:rsidRPr="00ED6A9C">
              <w:t xml:space="preserve"> </w:t>
            </w:r>
            <w:r w:rsidRPr="00ED6A9C">
              <w:t>846</w:t>
            </w:r>
            <w:r w:rsidR="000A11DD" w:rsidRPr="00ED6A9C">
              <w:t xml:space="preserve"> </w:t>
            </w:r>
            <w:r w:rsidRPr="00ED6A9C">
              <w:t xml:space="preserve">200 </w:t>
            </w:r>
          </w:p>
        </w:tc>
        <w:tc>
          <w:tcPr>
            <w:tcW w:w="1426" w:type="dxa"/>
          </w:tcPr>
          <w:p w14:paraId="5B11E740" w14:textId="77777777" w:rsidR="002D2C17" w:rsidRPr="00ED6A9C" w:rsidRDefault="002D2C17" w:rsidP="00ED6A9C">
            <w:pPr>
              <w:pStyle w:val="TableDataEntries"/>
            </w:pPr>
            <w:r w:rsidRPr="00ED6A9C">
              <w:t>1.4%</w:t>
            </w:r>
          </w:p>
        </w:tc>
      </w:tr>
      <w:tr w:rsidR="002D2C17" w:rsidRPr="00180B19" w14:paraId="15D34E4A" w14:textId="77777777" w:rsidTr="00ED6A9C">
        <w:trPr>
          <w:cantSplit/>
          <w:tblHeader w:val="0"/>
        </w:trPr>
        <w:tc>
          <w:tcPr>
            <w:tcW w:w="5481" w:type="dxa"/>
          </w:tcPr>
          <w:p w14:paraId="5D25BB85" w14:textId="2A044E78" w:rsidR="002D2C17" w:rsidRPr="00ED6A9C" w:rsidRDefault="002D2C17" w:rsidP="00ED6A9C">
            <w:pPr>
              <w:pStyle w:val="TableTextEntries"/>
            </w:pPr>
            <w:r w:rsidRPr="00ED6A9C">
              <w:t xml:space="preserve">Law and </w:t>
            </w:r>
            <w:r w:rsidR="000A11DD" w:rsidRPr="00ED6A9C">
              <w:t>justice</w:t>
            </w:r>
            <w:r w:rsidR="00C06B44" w:rsidRPr="00ED6A9C">
              <w:t xml:space="preserve"> </w:t>
            </w:r>
          </w:p>
        </w:tc>
        <w:tc>
          <w:tcPr>
            <w:tcW w:w="1531" w:type="dxa"/>
          </w:tcPr>
          <w:p w14:paraId="0B97C58C" w14:textId="3AEEC19B" w:rsidR="002D2C17" w:rsidRPr="00ED6A9C" w:rsidRDefault="002D2C17" w:rsidP="00ED6A9C">
            <w:pPr>
              <w:pStyle w:val="TableDataEntries"/>
            </w:pPr>
            <w:r w:rsidRPr="00ED6A9C">
              <w:t>11</w:t>
            </w:r>
            <w:r w:rsidR="000A11DD" w:rsidRPr="00ED6A9C">
              <w:t xml:space="preserve"> </w:t>
            </w:r>
            <w:r w:rsidRPr="00ED6A9C">
              <w:t>931</w:t>
            </w:r>
            <w:r w:rsidR="000A11DD" w:rsidRPr="00ED6A9C">
              <w:t xml:space="preserve"> </w:t>
            </w:r>
            <w:r w:rsidRPr="00ED6A9C">
              <w:t xml:space="preserve">577 </w:t>
            </w:r>
          </w:p>
        </w:tc>
        <w:tc>
          <w:tcPr>
            <w:tcW w:w="1426" w:type="dxa"/>
          </w:tcPr>
          <w:p w14:paraId="5882325F" w14:textId="77777777" w:rsidR="002D2C17" w:rsidRPr="00ED6A9C" w:rsidRDefault="002D2C17" w:rsidP="00ED6A9C">
            <w:pPr>
              <w:pStyle w:val="TableDataEntries"/>
            </w:pPr>
            <w:r w:rsidRPr="00ED6A9C">
              <w:t>2.9%</w:t>
            </w:r>
          </w:p>
        </w:tc>
      </w:tr>
      <w:tr w:rsidR="002D2C17" w:rsidRPr="00180B19" w14:paraId="69CC88CE"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14:paraId="666F364F" w14:textId="1B13CFF2" w:rsidR="002D2C17" w:rsidRPr="00ED6A9C" w:rsidRDefault="002D2C17" w:rsidP="00ED6A9C">
            <w:pPr>
              <w:pStyle w:val="TableTextEntries"/>
            </w:pPr>
            <w:r w:rsidRPr="00ED6A9C">
              <w:t xml:space="preserve">Rural </w:t>
            </w:r>
            <w:r w:rsidR="000A11DD" w:rsidRPr="00ED6A9C">
              <w:t xml:space="preserve">livelihoods and agribusiness </w:t>
            </w:r>
          </w:p>
        </w:tc>
        <w:tc>
          <w:tcPr>
            <w:tcW w:w="1531" w:type="dxa"/>
          </w:tcPr>
          <w:p w14:paraId="53837533" w14:textId="748618DE" w:rsidR="002D2C17" w:rsidRPr="00ED6A9C" w:rsidRDefault="002D2C17" w:rsidP="00ED6A9C">
            <w:pPr>
              <w:pStyle w:val="TableDataEntries"/>
            </w:pPr>
            <w:r w:rsidRPr="00ED6A9C">
              <w:t>5</w:t>
            </w:r>
            <w:r w:rsidR="000A11DD" w:rsidRPr="00ED6A9C">
              <w:t xml:space="preserve"> </w:t>
            </w:r>
            <w:r w:rsidRPr="00ED6A9C">
              <w:t>486</w:t>
            </w:r>
            <w:r w:rsidR="000A11DD" w:rsidRPr="00ED6A9C">
              <w:t xml:space="preserve"> </w:t>
            </w:r>
            <w:r w:rsidRPr="00ED6A9C">
              <w:t xml:space="preserve">148 </w:t>
            </w:r>
          </w:p>
        </w:tc>
        <w:tc>
          <w:tcPr>
            <w:tcW w:w="1426" w:type="dxa"/>
          </w:tcPr>
          <w:p w14:paraId="75341312" w14:textId="77777777" w:rsidR="002D2C17" w:rsidRPr="00ED6A9C" w:rsidRDefault="002D2C17" w:rsidP="00ED6A9C">
            <w:pPr>
              <w:pStyle w:val="TableDataEntries"/>
            </w:pPr>
            <w:r w:rsidRPr="00ED6A9C">
              <w:t>1.3%</w:t>
            </w:r>
          </w:p>
        </w:tc>
      </w:tr>
      <w:tr w:rsidR="002D2C17" w:rsidRPr="00180B19" w14:paraId="6247739F" w14:textId="77777777" w:rsidTr="00ED6A9C">
        <w:trPr>
          <w:cantSplit/>
          <w:tblHeader w:val="0"/>
        </w:trPr>
        <w:tc>
          <w:tcPr>
            <w:tcW w:w="5481" w:type="dxa"/>
          </w:tcPr>
          <w:p w14:paraId="66A93CFF" w14:textId="77777777" w:rsidR="002D2C17" w:rsidRPr="00ED6A9C" w:rsidRDefault="002D2C17" w:rsidP="00ED6A9C">
            <w:pPr>
              <w:pStyle w:val="TableTextEntries"/>
            </w:pPr>
            <w:r w:rsidRPr="00ED6A9C">
              <w:t>Scholarships</w:t>
            </w:r>
          </w:p>
        </w:tc>
        <w:tc>
          <w:tcPr>
            <w:tcW w:w="1531" w:type="dxa"/>
          </w:tcPr>
          <w:p w14:paraId="0595EDA3" w14:textId="5774FA61" w:rsidR="002D2C17" w:rsidRPr="00ED6A9C" w:rsidRDefault="002D2C17" w:rsidP="00ED6A9C">
            <w:pPr>
              <w:pStyle w:val="TableDataEntries"/>
            </w:pPr>
            <w:r w:rsidRPr="00ED6A9C">
              <w:t>41</w:t>
            </w:r>
            <w:r w:rsidR="000A11DD" w:rsidRPr="00ED6A9C">
              <w:t xml:space="preserve"> </w:t>
            </w:r>
            <w:r w:rsidRPr="00ED6A9C">
              <w:t>535</w:t>
            </w:r>
            <w:r w:rsidR="000A11DD" w:rsidRPr="00ED6A9C">
              <w:t xml:space="preserve"> </w:t>
            </w:r>
            <w:r w:rsidRPr="00ED6A9C">
              <w:t xml:space="preserve">263 </w:t>
            </w:r>
          </w:p>
        </w:tc>
        <w:tc>
          <w:tcPr>
            <w:tcW w:w="1426" w:type="dxa"/>
          </w:tcPr>
          <w:p w14:paraId="63CA4860" w14:textId="77777777" w:rsidR="002D2C17" w:rsidRPr="00ED6A9C" w:rsidRDefault="002D2C17" w:rsidP="00ED6A9C">
            <w:pPr>
              <w:pStyle w:val="TableDataEntries"/>
            </w:pPr>
            <w:r w:rsidRPr="00ED6A9C">
              <w:t>10.0%</w:t>
            </w:r>
          </w:p>
        </w:tc>
      </w:tr>
      <w:tr w:rsidR="002D2C17" w:rsidRPr="00180B19" w14:paraId="578A9387"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481" w:type="dxa"/>
          </w:tcPr>
          <w:p w14:paraId="6A2B986A" w14:textId="37B88BB5" w:rsidR="002D2C17" w:rsidRPr="00ED6A9C" w:rsidRDefault="000A11DD" w:rsidP="00ED6A9C">
            <w:pPr>
              <w:pStyle w:val="TableTextEntries"/>
            </w:pPr>
            <w:r w:rsidRPr="00ED6A9C">
              <w:t>Whole-</w:t>
            </w:r>
            <w:r w:rsidR="002D2C17" w:rsidRPr="00ED6A9C">
              <w:t>of</w:t>
            </w:r>
            <w:r w:rsidRPr="00ED6A9C">
              <w:t>-government</w:t>
            </w:r>
            <w:r w:rsidR="002D2C17" w:rsidRPr="00ED6A9C">
              <w:t xml:space="preserve">* </w:t>
            </w:r>
          </w:p>
        </w:tc>
        <w:tc>
          <w:tcPr>
            <w:tcW w:w="1531" w:type="dxa"/>
          </w:tcPr>
          <w:p w14:paraId="25830BCD" w14:textId="3DB62D49" w:rsidR="002D2C17" w:rsidRPr="00ED6A9C" w:rsidRDefault="002D2C17" w:rsidP="00ED6A9C">
            <w:pPr>
              <w:pStyle w:val="TableDataEntries"/>
            </w:pPr>
            <w:r w:rsidRPr="00ED6A9C">
              <w:t>29</w:t>
            </w:r>
            <w:r w:rsidR="000A11DD" w:rsidRPr="00ED6A9C">
              <w:t xml:space="preserve"> </w:t>
            </w:r>
            <w:r w:rsidRPr="00ED6A9C">
              <w:t>251</w:t>
            </w:r>
            <w:r w:rsidR="000A11DD" w:rsidRPr="00ED6A9C">
              <w:t xml:space="preserve"> </w:t>
            </w:r>
            <w:r w:rsidRPr="00ED6A9C">
              <w:t xml:space="preserve">533 </w:t>
            </w:r>
          </w:p>
        </w:tc>
        <w:tc>
          <w:tcPr>
            <w:tcW w:w="1426" w:type="dxa"/>
          </w:tcPr>
          <w:p w14:paraId="2F688387" w14:textId="77777777" w:rsidR="002D2C17" w:rsidRPr="00ED6A9C" w:rsidRDefault="002D2C17" w:rsidP="00ED6A9C">
            <w:pPr>
              <w:pStyle w:val="TableDataEntries"/>
            </w:pPr>
            <w:r w:rsidRPr="00ED6A9C">
              <w:t>7.0%</w:t>
            </w:r>
          </w:p>
        </w:tc>
      </w:tr>
      <w:tr w:rsidR="002D2C17" w:rsidRPr="00180B19" w14:paraId="16C12549" w14:textId="77777777" w:rsidTr="00ED6A9C">
        <w:trPr>
          <w:cantSplit/>
          <w:tblHeader w:val="0"/>
        </w:trPr>
        <w:tc>
          <w:tcPr>
            <w:tcW w:w="5481" w:type="dxa"/>
          </w:tcPr>
          <w:p w14:paraId="7A4A98CD" w14:textId="77777777" w:rsidR="002D2C17" w:rsidRPr="002D2C17" w:rsidRDefault="002D2C17" w:rsidP="00ED6A9C">
            <w:pPr>
              <w:pStyle w:val="TableTextColumnHeading"/>
            </w:pPr>
            <w:r w:rsidRPr="002D2C17">
              <w:t>TOTAL</w:t>
            </w:r>
          </w:p>
        </w:tc>
        <w:tc>
          <w:tcPr>
            <w:tcW w:w="1531" w:type="dxa"/>
          </w:tcPr>
          <w:p w14:paraId="1AD4ECDB" w14:textId="7A816857" w:rsidR="002D2C17" w:rsidRPr="002D2C17" w:rsidRDefault="002D2C17" w:rsidP="00ED6A9C">
            <w:pPr>
              <w:pStyle w:val="TableDataColumnHeading"/>
              <w:rPr>
                <w:b w:val="0"/>
                <w:color w:val="F79646" w:themeColor="accent6"/>
              </w:rPr>
            </w:pPr>
            <w:r w:rsidRPr="002D2C17">
              <w:t>415</w:t>
            </w:r>
            <w:r w:rsidR="000A11DD">
              <w:t xml:space="preserve"> </w:t>
            </w:r>
            <w:r w:rsidRPr="002D2C17">
              <w:t>308</w:t>
            </w:r>
            <w:r w:rsidR="000A11DD">
              <w:t xml:space="preserve"> </w:t>
            </w:r>
            <w:r w:rsidRPr="002D2C17">
              <w:t xml:space="preserve">383 </w:t>
            </w:r>
          </w:p>
        </w:tc>
        <w:tc>
          <w:tcPr>
            <w:tcW w:w="1426" w:type="dxa"/>
          </w:tcPr>
          <w:p w14:paraId="758F551D" w14:textId="77777777" w:rsidR="002D2C17" w:rsidRPr="002D2C17" w:rsidRDefault="002D2C17" w:rsidP="00ED6A9C">
            <w:pPr>
              <w:pStyle w:val="TableDataColumnHeading"/>
              <w:rPr>
                <w:b w:val="0"/>
                <w:color w:val="F79646" w:themeColor="accent6"/>
              </w:rPr>
            </w:pPr>
            <w:r w:rsidRPr="002D2C17">
              <w:t>100.0%</w:t>
            </w:r>
          </w:p>
        </w:tc>
      </w:tr>
    </w:tbl>
    <w:p w14:paraId="0AC01CCB" w14:textId="0064F8F4" w:rsidR="00180B19" w:rsidRDefault="00180B19" w:rsidP="00ED6A9C">
      <w:pPr>
        <w:pStyle w:val="Note"/>
      </w:pPr>
      <w:r w:rsidRPr="00ED6A9C">
        <w:t xml:space="preserve">Source: </w:t>
      </w:r>
      <w:proofErr w:type="spellStart"/>
      <w:r w:rsidR="002D2C17" w:rsidRPr="00ED6A9C">
        <w:t>Aidworks</w:t>
      </w:r>
      <w:proofErr w:type="spellEnd"/>
      <w:r w:rsidR="002D2C17" w:rsidRPr="00ED6A9C">
        <w:t>: actual expenditure; and * best estimate</w:t>
      </w:r>
      <w:r w:rsidR="00E668A5" w:rsidRPr="00ED6A9C">
        <w:t>.</w:t>
      </w:r>
    </w:p>
    <w:p w14:paraId="5CB84218" w14:textId="77777777" w:rsidR="00ED6A9C" w:rsidRPr="00ED6A9C" w:rsidRDefault="00ED6A9C" w:rsidP="00ED6A9C">
      <w:pPr>
        <w:pStyle w:val="BodyText"/>
      </w:pPr>
    </w:p>
    <w:p w14:paraId="071D3EDD" w14:textId="77C57415" w:rsidR="00180B19" w:rsidRPr="00180B19" w:rsidRDefault="00180B19" w:rsidP="00180B19">
      <w:pPr>
        <w:pStyle w:val="Caption"/>
      </w:pPr>
      <w:r w:rsidRPr="00180B19">
        <w:t>Table 1B</w:t>
      </w:r>
      <w:r w:rsidR="000A11DD">
        <w:t>:</w:t>
      </w:r>
      <w:r w:rsidRPr="00180B19">
        <w:t xml:space="preserve"> Estimated expenditure in 2012</w:t>
      </w:r>
      <w:r w:rsidR="000A11DD">
        <w:t>–</w:t>
      </w:r>
      <w:r w:rsidRPr="00180B19">
        <w:t>13</w:t>
      </w:r>
    </w:p>
    <w:tbl>
      <w:tblPr>
        <w:tblStyle w:val="APPR"/>
        <w:tblW w:w="5000" w:type="pct"/>
        <w:tblLayout w:type="fixed"/>
        <w:tblLook w:val="0000" w:firstRow="0" w:lastRow="0" w:firstColumn="0" w:lastColumn="0" w:noHBand="0" w:noVBand="0"/>
      </w:tblPr>
      <w:tblGrid>
        <w:gridCol w:w="5274"/>
        <w:gridCol w:w="1855"/>
        <w:gridCol w:w="1477"/>
      </w:tblGrid>
      <w:tr w:rsidR="00100AA2" w:rsidRPr="00180B19" w14:paraId="4E77D759" w14:textId="77777777" w:rsidTr="00ED6A9C">
        <w:trPr>
          <w:cantSplit/>
          <w:tblHeader w:val="0"/>
        </w:trPr>
        <w:tc>
          <w:tcPr>
            <w:tcW w:w="5197" w:type="dxa"/>
          </w:tcPr>
          <w:p w14:paraId="080150B9" w14:textId="77777777" w:rsidR="00100AA2" w:rsidRPr="00ED6A9C" w:rsidRDefault="00100AA2" w:rsidP="00ED6A9C">
            <w:pPr>
              <w:pStyle w:val="TableTextColumnHeading"/>
            </w:pPr>
            <w:r w:rsidRPr="00ED6A9C">
              <w:t>Objective</w:t>
            </w:r>
          </w:p>
        </w:tc>
        <w:tc>
          <w:tcPr>
            <w:tcW w:w="1815" w:type="dxa"/>
          </w:tcPr>
          <w:p w14:paraId="358271AB" w14:textId="3170CAEC" w:rsidR="00100AA2" w:rsidRPr="00ED6A9C" w:rsidRDefault="008D1329" w:rsidP="00ED6A9C">
            <w:pPr>
              <w:pStyle w:val="TableTextColumnHeading"/>
            </w:pPr>
            <w:r w:rsidRPr="00ED6A9C">
              <w:t>$</w:t>
            </w:r>
            <w:r w:rsidR="00100AA2" w:rsidRPr="00ED6A9C">
              <w:t>million</w:t>
            </w:r>
          </w:p>
        </w:tc>
        <w:tc>
          <w:tcPr>
            <w:tcW w:w="1426" w:type="dxa"/>
          </w:tcPr>
          <w:p w14:paraId="684F8A41" w14:textId="77777777" w:rsidR="00100AA2" w:rsidRPr="00ED6A9C" w:rsidRDefault="00100AA2" w:rsidP="00ED6A9C">
            <w:pPr>
              <w:pStyle w:val="TableTextColumnHeading"/>
            </w:pPr>
            <w:r w:rsidRPr="00ED6A9C">
              <w:t>% of bilateral program</w:t>
            </w:r>
          </w:p>
        </w:tc>
      </w:tr>
      <w:tr w:rsidR="002D2C17" w:rsidRPr="00180B19" w14:paraId="78E00EA1"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197" w:type="dxa"/>
          </w:tcPr>
          <w:p w14:paraId="668D5536" w14:textId="3EB1CD98" w:rsidR="002D2C17" w:rsidRPr="00ED6A9C" w:rsidRDefault="002D2C17" w:rsidP="00ED6A9C">
            <w:pPr>
              <w:pStyle w:val="TableTextEntries"/>
            </w:pPr>
            <w:r w:rsidRPr="00ED6A9C">
              <w:t xml:space="preserve">Education </w:t>
            </w:r>
            <w:r w:rsidR="000A11DD" w:rsidRPr="00ED6A9C">
              <w:t>and knowledge sector</w:t>
            </w:r>
          </w:p>
        </w:tc>
        <w:tc>
          <w:tcPr>
            <w:tcW w:w="1815" w:type="dxa"/>
          </w:tcPr>
          <w:p w14:paraId="570AD753" w14:textId="3CAF4FE7" w:rsidR="002D2C17" w:rsidRPr="00100AA2" w:rsidRDefault="002D2C17" w:rsidP="00ED6A9C">
            <w:pPr>
              <w:pStyle w:val="TableDataEntries"/>
            </w:pPr>
            <w:r w:rsidRPr="00964DEF">
              <w:t>70</w:t>
            </w:r>
            <w:r w:rsidR="000A11DD">
              <w:t xml:space="preserve"> </w:t>
            </w:r>
            <w:r w:rsidRPr="00964DEF">
              <w:t>134</w:t>
            </w:r>
            <w:r w:rsidR="000A11DD">
              <w:t xml:space="preserve"> </w:t>
            </w:r>
            <w:r w:rsidRPr="00964DEF">
              <w:t xml:space="preserve">746 </w:t>
            </w:r>
          </w:p>
        </w:tc>
        <w:tc>
          <w:tcPr>
            <w:tcW w:w="1426" w:type="dxa"/>
          </w:tcPr>
          <w:p w14:paraId="55F37BC5" w14:textId="77777777" w:rsidR="002D2C17" w:rsidRPr="00100AA2" w:rsidRDefault="002D2C17" w:rsidP="00ED6A9C">
            <w:pPr>
              <w:pStyle w:val="TableDataEntries"/>
            </w:pPr>
            <w:r w:rsidRPr="00964DEF">
              <w:t>14.8%</w:t>
            </w:r>
          </w:p>
        </w:tc>
      </w:tr>
      <w:tr w:rsidR="002D2C17" w:rsidRPr="00180B19" w14:paraId="3834D99A" w14:textId="77777777" w:rsidTr="00ED6A9C">
        <w:trPr>
          <w:cantSplit/>
          <w:tblHeader w:val="0"/>
        </w:trPr>
        <w:tc>
          <w:tcPr>
            <w:tcW w:w="5197" w:type="dxa"/>
          </w:tcPr>
          <w:p w14:paraId="469E1D11" w14:textId="77777777" w:rsidR="002D2C17" w:rsidRPr="00ED6A9C" w:rsidRDefault="002D2C17" w:rsidP="00ED6A9C">
            <w:pPr>
              <w:pStyle w:val="TableTextEntries"/>
            </w:pPr>
            <w:r w:rsidRPr="00ED6A9C">
              <w:t>Health</w:t>
            </w:r>
          </w:p>
        </w:tc>
        <w:tc>
          <w:tcPr>
            <w:tcW w:w="1815" w:type="dxa"/>
          </w:tcPr>
          <w:p w14:paraId="3ACDE247" w14:textId="2C9931A7" w:rsidR="002D2C17" w:rsidRPr="00100AA2" w:rsidRDefault="002D2C17" w:rsidP="00ED6A9C">
            <w:pPr>
              <w:pStyle w:val="TableDataEntries"/>
            </w:pPr>
            <w:r w:rsidRPr="00964DEF">
              <w:t>46</w:t>
            </w:r>
            <w:r w:rsidR="000A11DD">
              <w:t xml:space="preserve"> </w:t>
            </w:r>
            <w:r w:rsidRPr="00964DEF">
              <w:t>310</w:t>
            </w:r>
            <w:r w:rsidR="000A11DD">
              <w:t xml:space="preserve"> </w:t>
            </w:r>
            <w:r w:rsidRPr="00964DEF">
              <w:t xml:space="preserve">217 </w:t>
            </w:r>
          </w:p>
        </w:tc>
        <w:tc>
          <w:tcPr>
            <w:tcW w:w="1426" w:type="dxa"/>
          </w:tcPr>
          <w:p w14:paraId="076E941D" w14:textId="77777777" w:rsidR="002D2C17" w:rsidRPr="00100AA2" w:rsidRDefault="002D2C17" w:rsidP="00ED6A9C">
            <w:pPr>
              <w:pStyle w:val="TableDataEntries"/>
            </w:pPr>
            <w:r w:rsidRPr="00964DEF">
              <w:t>9.8%</w:t>
            </w:r>
          </w:p>
        </w:tc>
      </w:tr>
      <w:tr w:rsidR="002D2C17" w:rsidRPr="00180B19" w14:paraId="5D6F0561"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197" w:type="dxa"/>
          </w:tcPr>
          <w:p w14:paraId="5E8CC435" w14:textId="3921F371" w:rsidR="002D2C17" w:rsidRPr="00ED6A9C" w:rsidRDefault="002D2C17" w:rsidP="00ED6A9C">
            <w:pPr>
              <w:pStyle w:val="TableTextEntries"/>
            </w:pPr>
            <w:r w:rsidRPr="00ED6A9C">
              <w:t xml:space="preserve">Transport and </w:t>
            </w:r>
            <w:r w:rsidR="000A11DD" w:rsidRPr="00ED6A9C">
              <w:t xml:space="preserve">connectivity </w:t>
            </w:r>
          </w:p>
        </w:tc>
        <w:tc>
          <w:tcPr>
            <w:tcW w:w="1815" w:type="dxa"/>
          </w:tcPr>
          <w:p w14:paraId="5950083C" w14:textId="0C12A8A4" w:rsidR="002D2C17" w:rsidRPr="00100AA2" w:rsidRDefault="002D2C17" w:rsidP="00ED6A9C">
            <w:pPr>
              <w:pStyle w:val="TableDataEntries"/>
            </w:pPr>
            <w:r w:rsidRPr="00964DEF">
              <w:t>31</w:t>
            </w:r>
            <w:r w:rsidR="000A11DD">
              <w:t xml:space="preserve"> </w:t>
            </w:r>
            <w:r w:rsidRPr="00964DEF">
              <w:t>894</w:t>
            </w:r>
            <w:r w:rsidR="000A11DD">
              <w:t xml:space="preserve"> </w:t>
            </w:r>
            <w:r w:rsidRPr="00964DEF">
              <w:t xml:space="preserve">642 </w:t>
            </w:r>
          </w:p>
        </w:tc>
        <w:tc>
          <w:tcPr>
            <w:tcW w:w="1426" w:type="dxa"/>
          </w:tcPr>
          <w:p w14:paraId="6E58BD9C" w14:textId="77777777" w:rsidR="002D2C17" w:rsidRPr="00100AA2" w:rsidRDefault="002D2C17" w:rsidP="00ED6A9C">
            <w:pPr>
              <w:pStyle w:val="TableDataEntries"/>
            </w:pPr>
            <w:r w:rsidRPr="00964DEF">
              <w:t>6.8%</w:t>
            </w:r>
          </w:p>
        </w:tc>
      </w:tr>
      <w:tr w:rsidR="002D2C17" w:rsidRPr="00180B19" w14:paraId="368E54A3" w14:textId="77777777" w:rsidTr="00ED6A9C">
        <w:trPr>
          <w:cantSplit/>
          <w:tblHeader w:val="0"/>
        </w:trPr>
        <w:tc>
          <w:tcPr>
            <w:tcW w:w="5197" w:type="dxa"/>
          </w:tcPr>
          <w:p w14:paraId="072E2FE3" w14:textId="096C5069" w:rsidR="002D2C17" w:rsidRPr="00ED6A9C" w:rsidRDefault="002D2C17" w:rsidP="00ED6A9C">
            <w:pPr>
              <w:pStyle w:val="TableTextEntries"/>
            </w:pPr>
            <w:r w:rsidRPr="00ED6A9C">
              <w:t xml:space="preserve">Water and </w:t>
            </w:r>
            <w:r w:rsidR="000A11DD" w:rsidRPr="00ED6A9C">
              <w:t xml:space="preserve">sanitation </w:t>
            </w:r>
          </w:p>
        </w:tc>
        <w:tc>
          <w:tcPr>
            <w:tcW w:w="1815" w:type="dxa"/>
          </w:tcPr>
          <w:p w14:paraId="11EFBC2F" w14:textId="42DC4E4E" w:rsidR="002D2C17" w:rsidRPr="00100AA2" w:rsidRDefault="002D2C17" w:rsidP="00ED6A9C">
            <w:pPr>
              <w:pStyle w:val="TableDataEntries"/>
            </w:pPr>
            <w:r w:rsidRPr="00964DEF">
              <w:t>30</w:t>
            </w:r>
            <w:r w:rsidR="000A11DD">
              <w:t xml:space="preserve"> </w:t>
            </w:r>
            <w:r w:rsidRPr="00964DEF">
              <w:t>005</w:t>
            </w:r>
            <w:r w:rsidR="000A11DD">
              <w:t xml:space="preserve"> </w:t>
            </w:r>
            <w:r w:rsidRPr="00964DEF">
              <w:t xml:space="preserve">050 </w:t>
            </w:r>
          </w:p>
        </w:tc>
        <w:tc>
          <w:tcPr>
            <w:tcW w:w="1426" w:type="dxa"/>
          </w:tcPr>
          <w:p w14:paraId="35130AB3" w14:textId="77777777" w:rsidR="002D2C17" w:rsidRPr="00100AA2" w:rsidRDefault="002D2C17" w:rsidP="00ED6A9C">
            <w:pPr>
              <w:pStyle w:val="TableDataEntries"/>
            </w:pPr>
            <w:r w:rsidRPr="00964DEF">
              <w:t>6.4%</w:t>
            </w:r>
          </w:p>
        </w:tc>
      </w:tr>
      <w:tr w:rsidR="002D2C17" w:rsidRPr="00180B19" w14:paraId="055ECB5B"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197" w:type="dxa"/>
          </w:tcPr>
          <w:p w14:paraId="0D51C25E" w14:textId="4E4488F5" w:rsidR="002D2C17" w:rsidRPr="00ED6A9C" w:rsidRDefault="002D2C17" w:rsidP="00ED6A9C">
            <w:pPr>
              <w:pStyle w:val="TableTextEntries"/>
            </w:pPr>
            <w:r w:rsidRPr="00ED6A9C">
              <w:t xml:space="preserve">Social </w:t>
            </w:r>
            <w:r w:rsidR="000A11DD" w:rsidRPr="00ED6A9C">
              <w:t xml:space="preserve">protection and </w:t>
            </w:r>
            <w:r w:rsidR="00FC61F3" w:rsidRPr="00ED6A9C">
              <w:t>National Program</w:t>
            </w:r>
            <w:r w:rsidR="000A11DD" w:rsidRPr="00ED6A9C">
              <w:t xml:space="preserve"> for Community Empowerment</w:t>
            </w:r>
          </w:p>
        </w:tc>
        <w:tc>
          <w:tcPr>
            <w:tcW w:w="1815" w:type="dxa"/>
          </w:tcPr>
          <w:p w14:paraId="149A38C3" w14:textId="18B4DF0E" w:rsidR="002D2C17" w:rsidRPr="00100AA2" w:rsidRDefault="002D2C17" w:rsidP="00ED6A9C">
            <w:pPr>
              <w:pStyle w:val="TableDataEntries"/>
            </w:pPr>
            <w:r w:rsidRPr="00964DEF">
              <w:t>113</w:t>
            </w:r>
            <w:r w:rsidR="000A11DD">
              <w:t xml:space="preserve"> </w:t>
            </w:r>
            <w:r w:rsidRPr="00964DEF">
              <w:t>191</w:t>
            </w:r>
            <w:r w:rsidR="000A11DD">
              <w:t xml:space="preserve"> </w:t>
            </w:r>
            <w:r w:rsidRPr="00964DEF">
              <w:t xml:space="preserve">964 </w:t>
            </w:r>
          </w:p>
        </w:tc>
        <w:tc>
          <w:tcPr>
            <w:tcW w:w="1426" w:type="dxa"/>
          </w:tcPr>
          <w:p w14:paraId="7B80558C" w14:textId="77777777" w:rsidR="002D2C17" w:rsidRPr="00100AA2" w:rsidRDefault="002D2C17" w:rsidP="00ED6A9C">
            <w:pPr>
              <w:pStyle w:val="TableDataEntries"/>
            </w:pPr>
            <w:r w:rsidRPr="00964DEF">
              <w:t>24.0%</w:t>
            </w:r>
          </w:p>
        </w:tc>
      </w:tr>
      <w:tr w:rsidR="002D2C17" w:rsidRPr="00180B19" w14:paraId="7134CC79" w14:textId="77777777" w:rsidTr="00ED6A9C">
        <w:trPr>
          <w:cantSplit/>
          <w:tblHeader w:val="0"/>
        </w:trPr>
        <w:tc>
          <w:tcPr>
            <w:tcW w:w="5197" w:type="dxa"/>
          </w:tcPr>
          <w:p w14:paraId="20AC2054" w14:textId="582BE67E" w:rsidR="002D2C17" w:rsidRPr="00ED6A9C" w:rsidRDefault="002D2C17" w:rsidP="00ED6A9C">
            <w:pPr>
              <w:pStyle w:val="TableTextEntries"/>
            </w:pPr>
            <w:r w:rsidRPr="00ED6A9C">
              <w:t xml:space="preserve">Bureaucratic </w:t>
            </w:r>
            <w:r w:rsidR="000A11DD" w:rsidRPr="00ED6A9C">
              <w:t>reform</w:t>
            </w:r>
          </w:p>
        </w:tc>
        <w:tc>
          <w:tcPr>
            <w:tcW w:w="1815" w:type="dxa"/>
          </w:tcPr>
          <w:p w14:paraId="0660E7D3" w14:textId="6DDDD1F5" w:rsidR="002D2C17" w:rsidRPr="00100AA2" w:rsidRDefault="002D2C17" w:rsidP="00ED6A9C">
            <w:pPr>
              <w:pStyle w:val="TableDataEntries"/>
            </w:pPr>
            <w:r w:rsidRPr="00964DEF">
              <w:t>2</w:t>
            </w:r>
            <w:r w:rsidR="000A11DD">
              <w:t xml:space="preserve"> </w:t>
            </w:r>
            <w:r w:rsidRPr="00964DEF">
              <w:t>662</w:t>
            </w:r>
            <w:r w:rsidR="000A11DD">
              <w:t xml:space="preserve"> </w:t>
            </w:r>
            <w:r w:rsidRPr="00964DEF">
              <w:t xml:space="preserve">059 </w:t>
            </w:r>
          </w:p>
        </w:tc>
        <w:tc>
          <w:tcPr>
            <w:tcW w:w="1426" w:type="dxa"/>
          </w:tcPr>
          <w:p w14:paraId="4EAA2AB2" w14:textId="77777777" w:rsidR="002D2C17" w:rsidRPr="00100AA2" w:rsidRDefault="002D2C17" w:rsidP="00ED6A9C">
            <w:pPr>
              <w:pStyle w:val="TableDataEntries"/>
            </w:pPr>
            <w:r w:rsidRPr="00964DEF">
              <w:t>0.6%</w:t>
            </w:r>
          </w:p>
        </w:tc>
      </w:tr>
      <w:tr w:rsidR="002D2C17" w:rsidRPr="00180B19" w14:paraId="7F4AE775"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197" w:type="dxa"/>
          </w:tcPr>
          <w:p w14:paraId="119527AF" w14:textId="1AAE3544" w:rsidR="002D2C17" w:rsidRPr="00ED6A9C" w:rsidRDefault="002D2C17" w:rsidP="00ED6A9C">
            <w:pPr>
              <w:pStyle w:val="TableTextEntries"/>
            </w:pPr>
            <w:r w:rsidRPr="00ED6A9C">
              <w:t xml:space="preserve">Climate </w:t>
            </w:r>
            <w:r w:rsidR="000A11DD" w:rsidRPr="00ED6A9C">
              <w:t>change</w:t>
            </w:r>
          </w:p>
        </w:tc>
        <w:tc>
          <w:tcPr>
            <w:tcW w:w="1815" w:type="dxa"/>
          </w:tcPr>
          <w:p w14:paraId="22202371" w14:textId="71CC94D8" w:rsidR="002D2C17" w:rsidRPr="00100AA2" w:rsidRDefault="002D2C17" w:rsidP="00ED6A9C">
            <w:pPr>
              <w:pStyle w:val="TableDataEntries"/>
            </w:pPr>
            <w:r w:rsidRPr="00964DEF">
              <w:t>14</w:t>
            </w:r>
            <w:r w:rsidR="000A11DD">
              <w:t xml:space="preserve"> </w:t>
            </w:r>
            <w:r w:rsidRPr="00964DEF">
              <w:t>308</w:t>
            </w:r>
            <w:r w:rsidR="000A11DD">
              <w:t xml:space="preserve"> </w:t>
            </w:r>
            <w:r w:rsidRPr="00964DEF">
              <w:t xml:space="preserve">995 </w:t>
            </w:r>
          </w:p>
        </w:tc>
        <w:tc>
          <w:tcPr>
            <w:tcW w:w="1426" w:type="dxa"/>
          </w:tcPr>
          <w:p w14:paraId="45FC68BD" w14:textId="77777777" w:rsidR="002D2C17" w:rsidRPr="00100AA2" w:rsidRDefault="002D2C17" w:rsidP="00ED6A9C">
            <w:pPr>
              <w:pStyle w:val="TableDataEntries"/>
            </w:pPr>
            <w:r w:rsidRPr="00964DEF">
              <w:t>3.0%</w:t>
            </w:r>
          </w:p>
        </w:tc>
      </w:tr>
      <w:tr w:rsidR="002D2C17" w:rsidRPr="00180B19" w14:paraId="0395E8DE" w14:textId="77777777" w:rsidTr="00ED6A9C">
        <w:trPr>
          <w:cantSplit/>
          <w:tblHeader w:val="0"/>
        </w:trPr>
        <w:tc>
          <w:tcPr>
            <w:tcW w:w="5197" w:type="dxa"/>
          </w:tcPr>
          <w:p w14:paraId="779E7AAC" w14:textId="77777777" w:rsidR="002D2C17" w:rsidRPr="00ED6A9C" w:rsidRDefault="002D2C17" w:rsidP="00ED6A9C">
            <w:pPr>
              <w:pStyle w:val="TableTextEntries"/>
            </w:pPr>
            <w:r w:rsidRPr="00ED6A9C">
              <w:t>Decentralisation</w:t>
            </w:r>
          </w:p>
        </w:tc>
        <w:tc>
          <w:tcPr>
            <w:tcW w:w="1815" w:type="dxa"/>
          </w:tcPr>
          <w:p w14:paraId="15D50C67" w14:textId="50771196" w:rsidR="002D2C17" w:rsidRPr="00100AA2" w:rsidRDefault="002D2C17" w:rsidP="00ED6A9C">
            <w:pPr>
              <w:pStyle w:val="TableDataEntries"/>
            </w:pPr>
            <w:r w:rsidRPr="00964DEF">
              <w:t>26</w:t>
            </w:r>
            <w:r w:rsidR="000A11DD">
              <w:t xml:space="preserve"> </w:t>
            </w:r>
            <w:r w:rsidRPr="00964DEF">
              <w:t>014</w:t>
            </w:r>
            <w:r w:rsidR="000A11DD">
              <w:t xml:space="preserve"> </w:t>
            </w:r>
            <w:r w:rsidRPr="00964DEF">
              <w:t xml:space="preserve">921 </w:t>
            </w:r>
          </w:p>
        </w:tc>
        <w:tc>
          <w:tcPr>
            <w:tcW w:w="1426" w:type="dxa"/>
          </w:tcPr>
          <w:p w14:paraId="29497EE5" w14:textId="77777777" w:rsidR="002D2C17" w:rsidRPr="00100AA2" w:rsidRDefault="002D2C17" w:rsidP="00ED6A9C">
            <w:pPr>
              <w:pStyle w:val="TableDataEntries"/>
            </w:pPr>
            <w:r w:rsidRPr="00964DEF">
              <w:t>5.5%</w:t>
            </w:r>
          </w:p>
        </w:tc>
      </w:tr>
      <w:tr w:rsidR="002D2C17" w:rsidRPr="00180B19" w14:paraId="743C9B01"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197" w:type="dxa"/>
          </w:tcPr>
          <w:p w14:paraId="29133FAD" w14:textId="49E94B8F" w:rsidR="002D2C17" w:rsidRPr="00ED6A9C" w:rsidRDefault="002D2C17" w:rsidP="00ED6A9C">
            <w:pPr>
              <w:pStyle w:val="TableTextEntries"/>
            </w:pPr>
            <w:r w:rsidRPr="00ED6A9C">
              <w:t xml:space="preserve">Disaster </w:t>
            </w:r>
            <w:r w:rsidR="000A11DD" w:rsidRPr="00ED6A9C">
              <w:t xml:space="preserve">risk management </w:t>
            </w:r>
          </w:p>
        </w:tc>
        <w:tc>
          <w:tcPr>
            <w:tcW w:w="1815" w:type="dxa"/>
          </w:tcPr>
          <w:p w14:paraId="627E9E12" w14:textId="02EA8FB9" w:rsidR="002D2C17" w:rsidRPr="00100AA2" w:rsidRDefault="002D2C17" w:rsidP="00ED6A9C">
            <w:pPr>
              <w:pStyle w:val="TableDataEntries"/>
            </w:pPr>
            <w:r w:rsidRPr="00964DEF">
              <w:t>16</w:t>
            </w:r>
            <w:r w:rsidR="000A11DD">
              <w:t xml:space="preserve"> </w:t>
            </w:r>
            <w:r w:rsidRPr="00964DEF">
              <w:t>386</w:t>
            </w:r>
            <w:r w:rsidR="000A11DD">
              <w:t xml:space="preserve"> </w:t>
            </w:r>
            <w:r w:rsidRPr="00964DEF">
              <w:t xml:space="preserve">887 </w:t>
            </w:r>
          </w:p>
        </w:tc>
        <w:tc>
          <w:tcPr>
            <w:tcW w:w="1426" w:type="dxa"/>
          </w:tcPr>
          <w:p w14:paraId="2E830AA8" w14:textId="77777777" w:rsidR="002D2C17" w:rsidRPr="00100AA2" w:rsidRDefault="002D2C17" w:rsidP="00ED6A9C">
            <w:pPr>
              <w:pStyle w:val="TableDataEntries"/>
            </w:pPr>
            <w:r w:rsidRPr="00964DEF">
              <w:t>3.5%</w:t>
            </w:r>
          </w:p>
        </w:tc>
      </w:tr>
      <w:tr w:rsidR="002D2C17" w:rsidRPr="00180B19" w14:paraId="0536AC63" w14:textId="77777777" w:rsidTr="00ED6A9C">
        <w:trPr>
          <w:cantSplit/>
          <w:tblHeader w:val="0"/>
        </w:trPr>
        <w:tc>
          <w:tcPr>
            <w:tcW w:w="5197" w:type="dxa"/>
          </w:tcPr>
          <w:p w14:paraId="54137C9C" w14:textId="0AD8A529" w:rsidR="002D2C17" w:rsidRPr="00ED6A9C" w:rsidRDefault="002D2C17" w:rsidP="00ED6A9C">
            <w:pPr>
              <w:pStyle w:val="TableTextEntries"/>
            </w:pPr>
            <w:r w:rsidRPr="00ED6A9C">
              <w:t xml:space="preserve">Economic </w:t>
            </w:r>
            <w:r w:rsidR="000A11DD" w:rsidRPr="00ED6A9C">
              <w:t>governance</w:t>
            </w:r>
          </w:p>
        </w:tc>
        <w:tc>
          <w:tcPr>
            <w:tcW w:w="1815" w:type="dxa"/>
          </w:tcPr>
          <w:p w14:paraId="0AA04145" w14:textId="7B9852B8" w:rsidR="002D2C17" w:rsidRPr="00100AA2" w:rsidRDefault="002D2C17" w:rsidP="00ED6A9C">
            <w:pPr>
              <w:pStyle w:val="TableDataEntries"/>
            </w:pPr>
            <w:r w:rsidRPr="00964DEF">
              <w:t>23</w:t>
            </w:r>
            <w:r w:rsidR="000A11DD">
              <w:t xml:space="preserve"> </w:t>
            </w:r>
            <w:r w:rsidRPr="00964DEF">
              <w:t>770</w:t>
            </w:r>
            <w:r w:rsidR="000A11DD">
              <w:t xml:space="preserve"> </w:t>
            </w:r>
            <w:r w:rsidRPr="00964DEF">
              <w:t xml:space="preserve">269 </w:t>
            </w:r>
          </w:p>
        </w:tc>
        <w:tc>
          <w:tcPr>
            <w:tcW w:w="1426" w:type="dxa"/>
          </w:tcPr>
          <w:p w14:paraId="40F4AA51" w14:textId="77777777" w:rsidR="002D2C17" w:rsidRPr="00100AA2" w:rsidRDefault="002D2C17" w:rsidP="00ED6A9C">
            <w:pPr>
              <w:pStyle w:val="TableDataEntries"/>
            </w:pPr>
            <w:r w:rsidRPr="00964DEF">
              <w:t>5.0%</w:t>
            </w:r>
          </w:p>
        </w:tc>
      </w:tr>
      <w:tr w:rsidR="002D2C17" w:rsidRPr="00180B19" w14:paraId="4D26D03A"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197" w:type="dxa"/>
          </w:tcPr>
          <w:p w14:paraId="1D8005F8" w14:textId="77777777" w:rsidR="002D2C17" w:rsidRPr="00ED6A9C" w:rsidRDefault="002D2C17" w:rsidP="00ED6A9C">
            <w:pPr>
              <w:pStyle w:val="TableTextEntries"/>
            </w:pPr>
            <w:r w:rsidRPr="00ED6A9C">
              <w:t xml:space="preserve">Elections </w:t>
            </w:r>
          </w:p>
        </w:tc>
        <w:tc>
          <w:tcPr>
            <w:tcW w:w="1815" w:type="dxa"/>
          </w:tcPr>
          <w:p w14:paraId="5371B0D1" w14:textId="1DAA44A0" w:rsidR="002D2C17" w:rsidRPr="00100AA2" w:rsidRDefault="002D2C17" w:rsidP="00ED6A9C">
            <w:pPr>
              <w:pStyle w:val="TableDataEntries"/>
            </w:pPr>
            <w:r w:rsidRPr="00964DEF">
              <w:t>6</w:t>
            </w:r>
            <w:r w:rsidR="000A11DD">
              <w:t xml:space="preserve"> </w:t>
            </w:r>
            <w:r w:rsidRPr="00964DEF">
              <w:t>319</w:t>
            </w:r>
            <w:r w:rsidR="000A11DD">
              <w:t xml:space="preserve"> </w:t>
            </w:r>
            <w:r w:rsidRPr="00964DEF">
              <w:t xml:space="preserve">960 </w:t>
            </w:r>
          </w:p>
        </w:tc>
        <w:tc>
          <w:tcPr>
            <w:tcW w:w="1426" w:type="dxa"/>
          </w:tcPr>
          <w:p w14:paraId="4B9924D5" w14:textId="77777777" w:rsidR="002D2C17" w:rsidRPr="00100AA2" w:rsidRDefault="002D2C17" w:rsidP="00ED6A9C">
            <w:pPr>
              <w:pStyle w:val="TableDataEntries"/>
            </w:pPr>
            <w:r w:rsidRPr="00964DEF">
              <w:t>1.3%</w:t>
            </w:r>
          </w:p>
        </w:tc>
      </w:tr>
      <w:tr w:rsidR="002D2C17" w:rsidRPr="00180B19" w14:paraId="260C3924" w14:textId="77777777" w:rsidTr="00ED6A9C">
        <w:trPr>
          <w:cantSplit/>
          <w:tblHeader w:val="0"/>
        </w:trPr>
        <w:tc>
          <w:tcPr>
            <w:tcW w:w="5197" w:type="dxa"/>
          </w:tcPr>
          <w:p w14:paraId="650F1A88" w14:textId="3DC3850F" w:rsidR="002D2C17" w:rsidRPr="00ED6A9C" w:rsidRDefault="002D2C17" w:rsidP="00ED6A9C">
            <w:pPr>
              <w:pStyle w:val="TableTextEntries"/>
            </w:pPr>
            <w:r w:rsidRPr="00ED6A9C">
              <w:t xml:space="preserve">Law and </w:t>
            </w:r>
            <w:r w:rsidR="000A11DD" w:rsidRPr="00ED6A9C">
              <w:t>justice</w:t>
            </w:r>
            <w:r w:rsidR="00C06B44" w:rsidRPr="00ED6A9C">
              <w:t xml:space="preserve"> </w:t>
            </w:r>
          </w:p>
        </w:tc>
        <w:tc>
          <w:tcPr>
            <w:tcW w:w="1815" w:type="dxa"/>
          </w:tcPr>
          <w:p w14:paraId="0F79CEF7" w14:textId="28176832" w:rsidR="002D2C17" w:rsidRPr="00100AA2" w:rsidRDefault="002D2C17" w:rsidP="00ED6A9C">
            <w:pPr>
              <w:pStyle w:val="TableDataEntries"/>
            </w:pPr>
            <w:r w:rsidRPr="00964DEF">
              <w:t>12</w:t>
            </w:r>
            <w:r w:rsidR="000A11DD">
              <w:t xml:space="preserve"> </w:t>
            </w:r>
            <w:r w:rsidRPr="00964DEF">
              <w:t>104</w:t>
            </w:r>
            <w:r w:rsidR="000A11DD">
              <w:t xml:space="preserve"> </w:t>
            </w:r>
            <w:r w:rsidRPr="00964DEF">
              <w:t xml:space="preserve">229 </w:t>
            </w:r>
          </w:p>
        </w:tc>
        <w:tc>
          <w:tcPr>
            <w:tcW w:w="1426" w:type="dxa"/>
          </w:tcPr>
          <w:p w14:paraId="4F05A15C" w14:textId="77777777" w:rsidR="002D2C17" w:rsidRPr="00100AA2" w:rsidRDefault="002D2C17" w:rsidP="00ED6A9C">
            <w:pPr>
              <w:pStyle w:val="TableDataEntries"/>
            </w:pPr>
            <w:r w:rsidRPr="00964DEF">
              <w:t>2.6%</w:t>
            </w:r>
          </w:p>
        </w:tc>
      </w:tr>
      <w:tr w:rsidR="002D2C17" w:rsidRPr="00180B19" w14:paraId="1BACE8E8"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197" w:type="dxa"/>
          </w:tcPr>
          <w:p w14:paraId="3DF8D113" w14:textId="2032B736" w:rsidR="002D2C17" w:rsidRPr="00ED6A9C" w:rsidRDefault="002D2C17" w:rsidP="00ED6A9C">
            <w:pPr>
              <w:pStyle w:val="TableTextEntries"/>
            </w:pPr>
            <w:r w:rsidRPr="00ED6A9C">
              <w:t xml:space="preserve">Rural </w:t>
            </w:r>
            <w:r w:rsidR="000A11DD" w:rsidRPr="00ED6A9C">
              <w:t xml:space="preserve">livelihoods and agribusiness </w:t>
            </w:r>
          </w:p>
        </w:tc>
        <w:tc>
          <w:tcPr>
            <w:tcW w:w="1815" w:type="dxa"/>
          </w:tcPr>
          <w:p w14:paraId="0D79AC2F" w14:textId="2505173D" w:rsidR="002D2C17" w:rsidRPr="00100AA2" w:rsidRDefault="002D2C17" w:rsidP="00ED6A9C">
            <w:pPr>
              <w:pStyle w:val="TableDataEntries"/>
            </w:pPr>
            <w:r w:rsidRPr="00964DEF">
              <w:t>3</w:t>
            </w:r>
            <w:r w:rsidR="000A11DD">
              <w:t xml:space="preserve"> </w:t>
            </w:r>
            <w:r w:rsidRPr="00964DEF">
              <w:t>683</w:t>
            </w:r>
            <w:r w:rsidR="000A11DD">
              <w:t xml:space="preserve"> </w:t>
            </w:r>
            <w:r w:rsidRPr="00964DEF">
              <w:t xml:space="preserve">384 </w:t>
            </w:r>
          </w:p>
        </w:tc>
        <w:tc>
          <w:tcPr>
            <w:tcW w:w="1426" w:type="dxa"/>
          </w:tcPr>
          <w:p w14:paraId="0FCF383B" w14:textId="77777777" w:rsidR="002D2C17" w:rsidRPr="00100AA2" w:rsidRDefault="002D2C17" w:rsidP="00ED6A9C">
            <w:pPr>
              <w:pStyle w:val="TableDataEntries"/>
            </w:pPr>
            <w:r w:rsidRPr="00964DEF">
              <w:t>0.8%</w:t>
            </w:r>
          </w:p>
        </w:tc>
      </w:tr>
      <w:tr w:rsidR="002D2C17" w:rsidRPr="00180B19" w14:paraId="03A89B72" w14:textId="77777777" w:rsidTr="00ED6A9C">
        <w:trPr>
          <w:cantSplit/>
          <w:tblHeader w:val="0"/>
        </w:trPr>
        <w:tc>
          <w:tcPr>
            <w:tcW w:w="5197" w:type="dxa"/>
          </w:tcPr>
          <w:p w14:paraId="536FCBF8" w14:textId="77777777" w:rsidR="002D2C17" w:rsidRPr="00ED6A9C" w:rsidRDefault="002D2C17" w:rsidP="00ED6A9C">
            <w:pPr>
              <w:pStyle w:val="TableTextEntries"/>
            </w:pPr>
            <w:r w:rsidRPr="00ED6A9C">
              <w:t>Scholarships</w:t>
            </w:r>
          </w:p>
        </w:tc>
        <w:tc>
          <w:tcPr>
            <w:tcW w:w="1815" w:type="dxa"/>
          </w:tcPr>
          <w:p w14:paraId="02F0D213" w14:textId="4F59472A" w:rsidR="002D2C17" w:rsidRPr="00100AA2" w:rsidRDefault="002D2C17" w:rsidP="00ED6A9C">
            <w:pPr>
              <w:pStyle w:val="TableDataEntries"/>
            </w:pPr>
            <w:r w:rsidRPr="00964DEF">
              <w:t>40</w:t>
            </w:r>
            <w:r w:rsidR="000A11DD">
              <w:t xml:space="preserve"> </w:t>
            </w:r>
            <w:r w:rsidRPr="00964DEF">
              <w:t>689</w:t>
            </w:r>
            <w:r w:rsidR="000A11DD">
              <w:t xml:space="preserve"> </w:t>
            </w:r>
            <w:r w:rsidRPr="00964DEF">
              <w:t xml:space="preserve">660 </w:t>
            </w:r>
          </w:p>
        </w:tc>
        <w:tc>
          <w:tcPr>
            <w:tcW w:w="1426" w:type="dxa"/>
          </w:tcPr>
          <w:p w14:paraId="6BB7C25F" w14:textId="77777777" w:rsidR="002D2C17" w:rsidRPr="00100AA2" w:rsidRDefault="002D2C17" w:rsidP="00ED6A9C">
            <w:pPr>
              <w:pStyle w:val="TableDataEntries"/>
            </w:pPr>
            <w:r w:rsidRPr="00964DEF">
              <w:t>8.6%</w:t>
            </w:r>
          </w:p>
        </w:tc>
      </w:tr>
      <w:tr w:rsidR="002D2C17" w:rsidRPr="00180B19" w14:paraId="60C70F09" w14:textId="77777777" w:rsidTr="00ED6A9C">
        <w:trPr>
          <w:cnfStyle w:val="000000010000" w:firstRow="0" w:lastRow="0" w:firstColumn="0" w:lastColumn="0" w:oddVBand="0" w:evenVBand="0" w:oddHBand="0" w:evenHBand="1" w:firstRowFirstColumn="0" w:firstRowLastColumn="0" w:lastRowFirstColumn="0" w:lastRowLastColumn="0"/>
          <w:cantSplit/>
          <w:tblHeader w:val="0"/>
        </w:trPr>
        <w:tc>
          <w:tcPr>
            <w:tcW w:w="5197" w:type="dxa"/>
          </w:tcPr>
          <w:p w14:paraId="7660223A" w14:textId="56E3FF2B" w:rsidR="002D2C17" w:rsidRPr="00ED6A9C" w:rsidRDefault="000A11DD" w:rsidP="00ED6A9C">
            <w:pPr>
              <w:pStyle w:val="TableTextEntries"/>
            </w:pPr>
            <w:r w:rsidRPr="00ED6A9C">
              <w:t>Whole-of-government</w:t>
            </w:r>
            <w:r w:rsidR="002D2C17" w:rsidRPr="00ED6A9C">
              <w:t xml:space="preserve">* </w:t>
            </w:r>
          </w:p>
        </w:tc>
        <w:tc>
          <w:tcPr>
            <w:tcW w:w="1815" w:type="dxa"/>
          </w:tcPr>
          <w:p w14:paraId="610E05A7" w14:textId="2F0C0574" w:rsidR="002D2C17" w:rsidRPr="00100AA2" w:rsidRDefault="002D2C17" w:rsidP="00ED6A9C">
            <w:pPr>
              <w:pStyle w:val="TableDataEntries"/>
            </w:pPr>
            <w:r w:rsidRPr="00964DEF">
              <w:t>34</w:t>
            </w:r>
            <w:r w:rsidR="000A11DD">
              <w:t xml:space="preserve"> </w:t>
            </w:r>
            <w:r w:rsidRPr="00964DEF">
              <w:t>878</w:t>
            </w:r>
            <w:r w:rsidR="000A11DD">
              <w:t xml:space="preserve"> </w:t>
            </w:r>
            <w:r w:rsidRPr="00964DEF">
              <w:t xml:space="preserve">000 </w:t>
            </w:r>
          </w:p>
        </w:tc>
        <w:tc>
          <w:tcPr>
            <w:tcW w:w="1426" w:type="dxa"/>
          </w:tcPr>
          <w:p w14:paraId="71FBB7CC" w14:textId="77777777" w:rsidR="002D2C17" w:rsidRPr="00100AA2" w:rsidRDefault="002D2C17" w:rsidP="00ED6A9C">
            <w:pPr>
              <w:pStyle w:val="TableDataEntries"/>
            </w:pPr>
            <w:r w:rsidRPr="00964DEF">
              <w:t>7.4%</w:t>
            </w:r>
          </w:p>
        </w:tc>
      </w:tr>
      <w:tr w:rsidR="002D2C17" w:rsidRPr="00180B19" w14:paraId="2A3D56E8" w14:textId="77777777" w:rsidTr="00ED6A9C">
        <w:trPr>
          <w:cantSplit/>
          <w:tblHeader w:val="0"/>
        </w:trPr>
        <w:tc>
          <w:tcPr>
            <w:tcW w:w="5197" w:type="dxa"/>
          </w:tcPr>
          <w:p w14:paraId="4F98A4E9" w14:textId="77777777" w:rsidR="002D2C17" w:rsidRPr="002D2C17" w:rsidRDefault="002D2C17" w:rsidP="00ED6A9C">
            <w:pPr>
              <w:pStyle w:val="TableTextColumnHeading"/>
            </w:pPr>
            <w:r w:rsidRPr="002D2C17">
              <w:t>TOTAL</w:t>
            </w:r>
          </w:p>
        </w:tc>
        <w:tc>
          <w:tcPr>
            <w:tcW w:w="1815" w:type="dxa"/>
          </w:tcPr>
          <w:p w14:paraId="2DFB53EA" w14:textId="7B39FBE5" w:rsidR="002D2C17" w:rsidRPr="002D2C17" w:rsidRDefault="002D2C17" w:rsidP="00ED6A9C">
            <w:pPr>
              <w:pStyle w:val="TableDataColumnHeading"/>
            </w:pPr>
            <w:r w:rsidRPr="002D2C17">
              <w:t>472</w:t>
            </w:r>
            <w:r w:rsidR="000A11DD">
              <w:t xml:space="preserve"> </w:t>
            </w:r>
            <w:r w:rsidRPr="002D2C17">
              <w:t>354</w:t>
            </w:r>
            <w:r w:rsidR="000A11DD">
              <w:t xml:space="preserve"> </w:t>
            </w:r>
            <w:r w:rsidRPr="002D2C17">
              <w:t xml:space="preserve">982 </w:t>
            </w:r>
          </w:p>
        </w:tc>
        <w:tc>
          <w:tcPr>
            <w:tcW w:w="1426" w:type="dxa"/>
          </w:tcPr>
          <w:p w14:paraId="1DCF069C" w14:textId="77777777" w:rsidR="002D2C17" w:rsidRPr="002D2C17" w:rsidRDefault="002D2C17" w:rsidP="00ED6A9C">
            <w:pPr>
              <w:pStyle w:val="TableDataColumnHeading"/>
            </w:pPr>
            <w:r w:rsidRPr="002D2C17">
              <w:t>100.0%</w:t>
            </w:r>
          </w:p>
        </w:tc>
      </w:tr>
    </w:tbl>
    <w:p w14:paraId="0E3BB9A8" w14:textId="77777777" w:rsidR="002D2C17" w:rsidRDefault="006D31A1" w:rsidP="007604D0">
      <w:pPr>
        <w:pStyle w:val="BoxText"/>
      </w:pPr>
      <w:bookmarkStart w:id="7" w:name="_Toc359585081"/>
      <w:r>
        <w:rPr>
          <w:noProof/>
        </w:rPr>
        <w:lastRenderedPageBreak/>
        <w:drawing>
          <wp:inline distT="0" distB="0" distL="0" distR="0" wp14:anchorId="77159829" wp14:editId="147759B7">
            <wp:extent cx="5256530" cy="5547360"/>
            <wp:effectExtent l="0" t="0" r="2032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7"/>
    </w:p>
    <w:p w14:paraId="244E1E6D" w14:textId="77777777" w:rsidR="00102931" w:rsidRDefault="00102931" w:rsidP="00ED6A9C">
      <w:pPr>
        <w:pStyle w:val="BodyText"/>
      </w:pPr>
    </w:p>
    <w:p w14:paraId="63F1FE82" w14:textId="2C12E94B" w:rsidR="00102931" w:rsidRDefault="00102931" w:rsidP="00ED6A9C">
      <w:pPr>
        <w:pStyle w:val="BodyText"/>
      </w:pPr>
      <w:r>
        <w:t xml:space="preserve">Overall </w:t>
      </w:r>
      <w:r w:rsidR="006D31A1">
        <w:t xml:space="preserve">Australia’s </w:t>
      </w:r>
      <w:r>
        <w:t>estimated e</w:t>
      </w:r>
      <w:r w:rsidRPr="004C6B4F">
        <w:t xml:space="preserve">xpenditure </w:t>
      </w:r>
      <w:r>
        <w:t xml:space="preserve">for the </w:t>
      </w:r>
      <w:r w:rsidRPr="004C6B4F">
        <w:t xml:space="preserve">18 months from January 2012 to June 2013 across the </w:t>
      </w:r>
      <w:r w:rsidR="008D1329">
        <w:t>14</w:t>
      </w:r>
      <w:r w:rsidR="008D1329" w:rsidRPr="004C6B4F">
        <w:t xml:space="preserve"> </w:t>
      </w:r>
      <w:r w:rsidRPr="004C6B4F">
        <w:t xml:space="preserve">sectors was </w:t>
      </w:r>
      <w:r w:rsidR="000A11DD">
        <w:t>$</w:t>
      </w:r>
      <w:r w:rsidRPr="004C6B4F">
        <w:t>8</w:t>
      </w:r>
      <w:r>
        <w:t>87</w:t>
      </w:r>
      <w:r w:rsidRPr="004C6B4F">
        <w:t>.</w:t>
      </w:r>
      <w:r>
        <w:t>7</w:t>
      </w:r>
      <w:r w:rsidRPr="004C6B4F">
        <w:t xml:space="preserve"> million</w:t>
      </w:r>
      <w:r>
        <w:t xml:space="preserve"> </w:t>
      </w:r>
      <w:r w:rsidR="002F55DD">
        <w:t>(</w:t>
      </w:r>
      <w:r w:rsidR="000A11DD">
        <w:t>$</w:t>
      </w:r>
      <w:r w:rsidR="002F55DD">
        <w:t>82</w:t>
      </w:r>
      <w:r w:rsidR="00D248C6">
        <w:t>3.5 million was</w:t>
      </w:r>
      <w:r w:rsidR="002F55DD">
        <w:t xml:space="preserve"> delivered by AusAID and </w:t>
      </w:r>
      <w:r w:rsidR="000A11DD">
        <w:t>$</w:t>
      </w:r>
      <w:r w:rsidR="002F55DD">
        <w:t xml:space="preserve">64.2 million by </w:t>
      </w:r>
      <w:r w:rsidR="008D1329">
        <w:t>whole-of-government</w:t>
      </w:r>
      <w:r w:rsidR="002F55DD">
        <w:t>)</w:t>
      </w:r>
      <w:r>
        <w:t xml:space="preserve">. </w:t>
      </w:r>
    </w:p>
    <w:p w14:paraId="55BDA2EF" w14:textId="77777777" w:rsidR="0095742A" w:rsidRPr="00ED6A9C" w:rsidRDefault="0095742A" w:rsidP="00ED6A9C">
      <w:pPr>
        <w:pStyle w:val="Heading1"/>
      </w:pPr>
      <w:bookmarkStart w:id="8" w:name="_Toc359585082"/>
      <w:bookmarkStart w:id="9" w:name="_Toc363804106"/>
      <w:r w:rsidRPr="00ED6A9C">
        <w:t>Progress towards objectives</w:t>
      </w:r>
      <w:bookmarkEnd w:id="8"/>
      <w:bookmarkEnd w:id="9"/>
      <w:r w:rsidRPr="00ED6A9C">
        <w:t xml:space="preserve"> </w:t>
      </w:r>
    </w:p>
    <w:p w14:paraId="67207F44" w14:textId="01BA6BE2" w:rsidR="0095742A" w:rsidRPr="00ED6A9C" w:rsidRDefault="0095742A" w:rsidP="00ED6A9C">
      <w:pPr>
        <w:pStyle w:val="BodyText"/>
        <w:rPr>
          <w:rFonts w:eastAsia="Calibri"/>
        </w:rPr>
      </w:pPr>
      <w:r w:rsidRPr="00ED6A9C">
        <w:rPr>
          <w:rFonts w:eastAsia="Calibri"/>
        </w:rPr>
        <w:t xml:space="preserve">Ratings are an assessment of </w:t>
      </w:r>
      <w:r w:rsidR="006D31A1" w:rsidRPr="00ED6A9C">
        <w:rPr>
          <w:rFonts w:eastAsia="Calibri"/>
        </w:rPr>
        <w:t xml:space="preserve">Australia’s aid program </w:t>
      </w:r>
      <w:r w:rsidRPr="00ED6A9C">
        <w:rPr>
          <w:rFonts w:eastAsia="Calibri"/>
        </w:rPr>
        <w:t xml:space="preserve">performance in supporting the </w:t>
      </w:r>
      <w:r w:rsidR="000A11DD" w:rsidRPr="00ED6A9C">
        <w:rPr>
          <w:rFonts w:eastAsia="Calibri"/>
        </w:rPr>
        <w:t>Indonesian Government</w:t>
      </w:r>
      <w:r w:rsidRPr="00ED6A9C">
        <w:rPr>
          <w:rFonts w:eastAsia="Calibri"/>
        </w:rPr>
        <w:t xml:space="preserve"> to achieve the stated objective.</w:t>
      </w:r>
      <w:r w:rsidR="00C06B44" w:rsidRPr="00ED6A9C">
        <w:rPr>
          <w:rFonts w:eastAsia="Calibri"/>
        </w:rPr>
        <w:t xml:space="preserve"> </w:t>
      </w:r>
      <w:r w:rsidR="007C52D9" w:rsidRPr="00ED6A9C">
        <w:rPr>
          <w:rFonts w:eastAsia="Calibri"/>
        </w:rPr>
        <w:t xml:space="preserve">More </w:t>
      </w:r>
      <w:r w:rsidR="006226F8" w:rsidRPr="00ED6A9C">
        <w:rPr>
          <w:rFonts w:eastAsia="Calibri"/>
        </w:rPr>
        <w:t xml:space="preserve">detailed </w:t>
      </w:r>
      <w:r w:rsidR="007C52D9" w:rsidRPr="00ED6A9C">
        <w:rPr>
          <w:rFonts w:eastAsia="Calibri"/>
        </w:rPr>
        <w:t xml:space="preserve">information on the </w:t>
      </w:r>
      <w:r w:rsidRPr="00ED6A9C">
        <w:rPr>
          <w:rFonts w:eastAsia="Calibri"/>
          <w:b/>
        </w:rPr>
        <w:t xml:space="preserve">performance of each sector </w:t>
      </w:r>
      <w:r w:rsidR="00D9161B" w:rsidRPr="00ED6A9C">
        <w:rPr>
          <w:rFonts w:eastAsia="Calibri"/>
          <w:b/>
        </w:rPr>
        <w:t xml:space="preserve">program </w:t>
      </w:r>
      <w:r w:rsidRPr="00ED6A9C">
        <w:rPr>
          <w:rFonts w:eastAsia="Calibri"/>
          <w:b/>
        </w:rPr>
        <w:t xml:space="preserve">can be found in </w:t>
      </w:r>
      <w:r w:rsidR="006226F8" w:rsidRPr="00ED6A9C">
        <w:rPr>
          <w:rFonts w:eastAsia="Calibri"/>
          <w:b/>
        </w:rPr>
        <w:t>the</w:t>
      </w:r>
      <w:r w:rsidRPr="00ED6A9C">
        <w:rPr>
          <w:rFonts w:eastAsia="Calibri"/>
          <w:b/>
        </w:rPr>
        <w:t xml:space="preserve"> secto</w:t>
      </w:r>
      <w:r w:rsidR="00D9161B" w:rsidRPr="00ED6A9C">
        <w:rPr>
          <w:rFonts w:eastAsia="Calibri"/>
          <w:b/>
        </w:rPr>
        <w:t>r</w:t>
      </w:r>
      <w:r w:rsidRPr="00ED6A9C">
        <w:rPr>
          <w:rFonts w:eastAsia="Calibri"/>
          <w:b/>
        </w:rPr>
        <w:t xml:space="preserve"> sheet</w:t>
      </w:r>
      <w:r w:rsidR="006226F8" w:rsidRPr="00ED6A9C">
        <w:rPr>
          <w:rFonts w:eastAsia="Calibri"/>
          <w:b/>
        </w:rPr>
        <w:t>s</w:t>
      </w:r>
      <w:r w:rsidRPr="00ED6A9C">
        <w:rPr>
          <w:rFonts w:eastAsia="Calibri"/>
          <w:b/>
        </w:rPr>
        <w:t xml:space="preserve"> </w:t>
      </w:r>
      <w:r w:rsidR="002F55DD" w:rsidRPr="00ED6A9C">
        <w:rPr>
          <w:rFonts w:eastAsia="Calibri"/>
          <w:b/>
        </w:rPr>
        <w:t>under</w:t>
      </w:r>
      <w:r w:rsidR="00D9161B" w:rsidRPr="00ED6A9C">
        <w:rPr>
          <w:rFonts w:eastAsia="Calibri"/>
          <w:b/>
        </w:rPr>
        <w:t xml:space="preserve"> Annex A</w:t>
      </w:r>
      <w:r w:rsidR="00D9161B" w:rsidRPr="00ED6A9C">
        <w:rPr>
          <w:rFonts w:eastAsia="Calibri"/>
        </w:rPr>
        <w:t xml:space="preserve">. </w:t>
      </w:r>
      <w:r w:rsidRPr="00ED6A9C">
        <w:rPr>
          <w:rFonts w:eastAsia="Calibri"/>
        </w:rPr>
        <w:t>The number of objectives reported against across the 14 sectors ha</w:t>
      </w:r>
      <w:r w:rsidR="00BA380A" w:rsidRPr="00ED6A9C">
        <w:rPr>
          <w:rFonts w:eastAsia="Calibri"/>
        </w:rPr>
        <w:t>s reduced from 51 in 2011, to 28</w:t>
      </w:r>
      <w:r w:rsidRPr="00ED6A9C">
        <w:rPr>
          <w:rFonts w:eastAsia="Calibri"/>
        </w:rPr>
        <w:t xml:space="preserve"> in this report</w:t>
      </w:r>
      <w:r w:rsidR="007A417D" w:rsidRPr="00ED6A9C">
        <w:rPr>
          <w:rFonts w:eastAsia="Calibri"/>
        </w:rPr>
        <w:t>ing period</w:t>
      </w:r>
      <w:r w:rsidRPr="00ED6A9C">
        <w:rPr>
          <w:rFonts w:eastAsia="Calibri"/>
        </w:rPr>
        <w:t>. Consolidation of objectives is the result of develop</w:t>
      </w:r>
      <w:r w:rsidR="008D1329" w:rsidRPr="00ED6A9C">
        <w:rPr>
          <w:rFonts w:eastAsia="Calibri"/>
        </w:rPr>
        <w:t xml:space="preserve">ing </w:t>
      </w:r>
      <w:r w:rsidRPr="00ED6A9C">
        <w:rPr>
          <w:rFonts w:eastAsia="Calibri"/>
        </w:rPr>
        <w:t xml:space="preserve">sector-level strategies, which will support clearer sector and country-level reporting and more effective management of the </w:t>
      </w:r>
      <w:r w:rsidR="006D31A1" w:rsidRPr="00ED6A9C">
        <w:rPr>
          <w:rFonts w:eastAsia="Calibri"/>
        </w:rPr>
        <w:t xml:space="preserve">Australia’s aid </w:t>
      </w:r>
      <w:r w:rsidRPr="00ED6A9C">
        <w:rPr>
          <w:rFonts w:eastAsia="Calibri"/>
        </w:rPr>
        <w:t>program.</w:t>
      </w:r>
    </w:p>
    <w:p w14:paraId="3AFC2117" w14:textId="77777777" w:rsidR="00805D86" w:rsidRDefault="00805D86">
      <w:pPr>
        <w:spacing w:after="200" w:line="276" w:lineRule="auto"/>
        <w:rPr>
          <w:rFonts w:ascii="Webdings" w:eastAsia="Calibri" w:hAnsi="Webdings"/>
          <w:color w:val="92D050"/>
          <w:szCs w:val="20"/>
          <w:lang w:eastAsia="en-US"/>
        </w:rPr>
      </w:pPr>
      <w:r>
        <w:rPr>
          <w:rFonts w:ascii="Webdings" w:eastAsia="Calibri" w:hAnsi="Webdings"/>
          <w:color w:val="92D050"/>
          <w:szCs w:val="20"/>
          <w:lang w:eastAsia="en-US"/>
        </w:rPr>
        <w:br w:type="page"/>
      </w:r>
    </w:p>
    <w:tbl>
      <w:tblPr>
        <w:tblStyle w:val="APPR"/>
        <w:tblW w:w="4833" w:type="pct"/>
        <w:tblLayout w:type="fixed"/>
        <w:tblLook w:val="0000" w:firstRow="0" w:lastRow="0" w:firstColumn="0" w:lastColumn="0" w:noHBand="0" w:noVBand="0"/>
      </w:tblPr>
      <w:tblGrid>
        <w:gridCol w:w="6125"/>
        <w:gridCol w:w="214"/>
        <w:gridCol w:w="1002"/>
        <w:gridCol w:w="978"/>
      </w:tblGrid>
      <w:tr w:rsidR="00ED6A9C" w:rsidRPr="00D9161B" w14:paraId="4EC08974" w14:textId="77777777" w:rsidTr="00805D86">
        <w:trPr>
          <w:cnfStyle w:val="000000010000" w:firstRow="0" w:lastRow="0" w:firstColumn="0" w:lastColumn="0" w:oddVBand="0" w:evenVBand="0" w:oddHBand="0" w:evenHBand="1" w:firstRowFirstColumn="0" w:firstRowLastColumn="0" w:lastRowFirstColumn="0" w:lastRowLastColumn="0"/>
          <w:cantSplit/>
        </w:trPr>
        <w:tc>
          <w:tcPr>
            <w:tcW w:w="6083" w:type="dxa"/>
          </w:tcPr>
          <w:p w14:paraId="30ACCD20" w14:textId="77777777" w:rsidR="00ED6A9C" w:rsidRPr="00D9161B" w:rsidRDefault="00ED6A9C" w:rsidP="00ED6A9C">
            <w:pPr>
              <w:pStyle w:val="TableTextColumnHeading"/>
            </w:pPr>
            <w:r w:rsidRPr="00D9161B">
              <w:rPr>
                <w:noProof/>
                <w:lang w:eastAsia="en-AU"/>
              </w:rPr>
              <w:lastRenderedPageBreak/>
              <w:drawing>
                <wp:anchor distT="0" distB="0" distL="114300" distR="114300" simplePos="0" relativeHeight="251696128" behindDoc="0" locked="0" layoutInCell="1" allowOverlap="1" wp14:anchorId="1E0923F0" wp14:editId="5FB46BC7">
                  <wp:simplePos x="0" y="0"/>
                  <wp:positionH relativeFrom="column">
                    <wp:posOffset>0</wp:posOffset>
                  </wp:positionH>
                  <wp:positionV relativeFrom="paragraph">
                    <wp:posOffset>0</wp:posOffset>
                  </wp:positionV>
                  <wp:extent cx="1857375" cy="228600"/>
                  <wp:effectExtent l="0" t="0" r="9525" b="0"/>
                  <wp:wrapNone/>
                  <wp:docPr id="4" name="Pictur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61B">
              <w:t>Objective</w:t>
            </w:r>
          </w:p>
        </w:tc>
        <w:tc>
          <w:tcPr>
            <w:tcW w:w="1188" w:type="dxa"/>
            <w:gridSpan w:val="2"/>
          </w:tcPr>
          <w:p w14:paraId="704611B9" w14:textId="3313B06B" w:rsidR="00ED6A9C" w:rsidRPr="00D9161B" w:rsidRDefault="00ED6A9C" w:rsidP="00ED6A9C">
            <w:pPr>
              <w:pStyle w:val="TableTextColumnHeading"/>
            </w:pPr>
            <w:r w:rsidRPr="00D9161B">
              <w:t xml:space="preserve">Current </w:t>
            </w:r>
            <w:r>
              <w:t>r</w:t>
            </w:r>
            <w:r w:rsidRPr="00D9161B">
              <w:t>ating</w:t>
            </w:r>
          </w:p>
        </w:tc>
        <w:tc>
          <w:tcPr>
            <w:tcW w:w="936" w:type="dxa"/>
          </w:tcPr>
          <w:p w14:paraId="146701E6" w14:textId="1563D1F7" w:rsidR="00ED6A9C" w:rsidRPr="00D9161B" w:rsidRDefault="00ED6A9C" w:rsidP="00ED6A9C">
            <w:pPr>
              <w:pStyle w:val="TableTextColumnHeading"/>
            </w:pPr>
            <w:r w:rsidRPr="00D9161B">
              <w:t xml:space="preserve">Previous </w:t>
            </w:r>
            <w:r>
              <w:t>r</w:t>
            </w:r>
            <w:r w:rsidRPr="00D9161B">
              <w:t>ating</w:t>
            </w:r>
          </w:p>
        </w:tc>
      </w:tr>
      <w:tr w:rsidR="00ED6A9C" w:rsidRPr="00D9161B" w14:paraId="0686BBA3" w14:textId="77777777" w:rsidTr="00805D86">
        <w:trPr>
          <w:cantSplit/>
          <w:tblHeader w:val="0"/>
        </w:trPr>
        <w:tc>
          <w:tcPr>
            <w:tcW w:w="6297" w:type="dxa"/>
            <w:gridSpan w:val="2"/>
          </w:tcPr>
          <w:p w14:paraId="4B660A1F" w14:textId="77777777" w:rsidR="00ED6A9C" w:rsidRPr="00D9161B" w:rsidRDefault="00ED6A9C" w:rsidP="00ED6A9C">
            <w:pPr>
              <w:pStyle w:val="TableHeading2"/>
            </w:pPr>
            <w:r w:rsidRPr="00D9161B">
              <w:t>Education</w:t>
            </w:r>
          </w:p>
        </w:tc>
        <w:tc>
          <w:tcPr>
            <w:tcW w:w="974" w:type="dxa"/>
            <w:noWrap/>
          </w:tcPr>
          <w:p w14:paraId="249F1F14" w14:textId="77777777" w:rsidR="00ED6A9C" w:rsidRPr="00D9161B" w:rsidRDefault="00ED6A9C" w:rsidP="000F7781">
            <w:pPr>
              <w:pStyle w:val="TableTextEntries"/>
            </w:pPr>
          </w:p>
        </w:tc>
        <w:tc>
          <w:tcPr>
            <w:tcW w:w="936" w:type="dxa"/>
            <w:noWrap/>
          </w:tcPr>
          <w:p w14:paraId="252E913E" w14:textId="77777777" w:rsidR="00ED6A9C" w:rsidRPr="00D9161B" w:rsidRDefault="00ED6A9C" w:rsidP="000F7781">
            <w:pPr>
              <w:pStyle w:val="TableTextEntries"/>
            </w:pPr>
          </w:p>
        </w:tc>
      </w:tr>
      <w:tr w:rsidR="00ED6A9C" w:rsidRPr="00D9161B" w14:paraId="3E90B347"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79D913F5" w14:textId="77777777" w:rsidR="00ED6A9C" w:rsidRPr="00D9161B" w:rsidRDefault="00ED6A9C" w:rsidP="00ED6A9C">
            <w:pPr>
              <w:pStyle w:val="TableTextEntries"/>
            </w:pPr>
            <w:r w:rsidRPr="00D9161B">
              <w:t>Enrolment in junior secondary education in targeted districts increases (</w:t>
            </w:r>
            <w:r w:rsidRPr="00D9161B">
              <w:rPr>
                <w:i/>
              </w:rPr>
              <w:t>revised wording</w:t>
            </w:r>
            <w:r w:rsidRPr="00D9161B">
              <w:t>)</w:t>
            </w:r>
          </w:p>
        </w:tc>
        <w:tc>
          <w:tcPr>
            <w:tcW w:w="974" w:type="dxa"/>
            <w:shd w:val="clear" w:color="auto" w:fill="92D050"/>
            <w:noWrap/>
          </w:tcPr>
          <w:p w14:paraId="17DFA39B" w14:textId="77777777" w:rsidR="00ED6A9C" w:rsidRPr="00D9161B" w:rsidRDefault="00ED6A9C" w:rsidP="000F7781">
            <w:pPr>
              <w:pStyle w:val="TableTextEntries"/>
            </w:pPr>
            <w:r w:rsidRPr="00D9161B">
              <w:t>Green</w:t>
            </w:r>
          </w:p>
        </w:tc>
        <w:tc>
          <w:tcPr>
            <w:tcW w:w="936" w:type="dxa"/>
            <w:shd w:val="clear" w:color="auto" w:fill="F79646" w:themeFill="accent6"/>
            <w:noWrap/>
          </w:tcPr>
          <w:p w14:paraId="42908D7C" w14:textId="77777777" w:rsidR="00ED6A9C" w:rsidRPr="00D9161B" w:rsidRDefault="00ED6A9C" w:rsidP="000F7781">
            <w:pPr>
              <w:pStyle w:val="TableTextEntries"/>
            </w:pPr>
            <w:r w:rsidRPr="00D9161B">
              <w:t>Amber</w:t>
            </w:r>
          </w:p>
        </w:tc>
      </w:tr>
      <w:tr w:rsidR="00ED6A9C" w:rsidRPr="00D9161B" w14:paraId="4093CFF0" w14:textId="77777777" w:rsidTr="00805D86">
        <w:trPr>
          <w:cantSplit/>
          <w:tblHeader w:val="0"/>
        </w:trPr>
        <w:tc>
          <w:tcPr>
            <w:tcW w:w="6297" w:type="dxa"/>
            <w:gridSpan w:val="2"/>
          </w:tcPr>
          <w:p w14:paraId="503A6D7A" w14:textId="77777777" w:rsidR="00ED6A9C" w:rsidRPr="00D9161B" w:rsidRDefault="00ED6A9C" w:rsidP="00ED6A9C">
            <w:pPr>
              <w:pStyle w:val="TableTextEntries"/>
            </w:pPr>
            <w:r w:rsidRPr="00D9161B">
              <w:t>Management of schools and madrasah improves (</w:t>
            </w:r>
            <w:r w:rsidRPr="00D9161B">
              <w:rPr>
                <w:i/>
              </w:rPr>
              <w:t>revised wording</w:t>
            </w:r>
            <w:r w:rsidRPr="00D9161B">
              <w:t>)</w:t>
            </w:r>
          </w:p>
        </w:tc>
        <w:tc>
          <w:tcPr>
            <w:tcW w:w="974" w:type="dxa"/>
            <w:tcBorders>
              <w:top w:val="nil"/>
              <w:bottom w:val="nil"/>
            </w:tcBorders>
            <w:shd w:val="clear" w:color="auto" w:fill="F79646" w:themeFill="accent6"/>
            <w:noWrap/>
          </w:tcPr>
          <w:p w14:paraId="6C86D47C" w14:textId="77777777" w:rsidR="00ED6A9C" w:rsidRPr="00D9161B" w:rsidRDefault="00ED6A9C" w:rsidP="000F7781">
            <w:pPr>
              <w:pStyle w:val="TableTextEntries"/>
            </w:pPr>
            <w:r w:rsidRPr="00D9161B">
              <w:t>Amber</w:t>
            </w:r>
          </w:p>
        </w:tc>
        <w:tc>
          <w:tcPr>
            <w:tcW w:w="936" w:type="dxa"/>
            <w:tcBorders>
              <w:top w:val="nil"/>
              <w:bottom w:val="nil"/>
            </w:tcBorders>
            <w:shd w:val="clear" w:color="auto" w:fill="F79646" w:themeFill="accent6"/>
            <w:noWrap/>
          </w:tcPr>
          <w:p w14:paraId="0D59941D" w14:textId="77777777" w:rsidR="00ED6A9C" w:rsidRPr="00D9161B" w:rsidRDefault="00ED6A9C" w:rsidP="000F7781">
            <w:pPr>
              <w:pStyle w:val="TableTextEntries"/>
            </w:pPr>
            <w:r w:rsidRPr="00D9161B">
              <w:t>Amber</w:t>
            </w:r>
          </w:p>
        </w:tc>
      </w:tr>
      <w:tr w:rsidR="00ED6A9C" w:rsidRPr="00D9161B" w14:paraId="115704D5"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019CF4E5" w14:textId="77777777" w:rsidR="00ED6A9C" w:rsidRPr="00D9161B" w:rsidRDefault="00ED6A9C" w:rsidP="00ED6A9C">
            <w:pPr>
              <w:pStyle w:val="TableTextEntries"/>
            </w:pPr>
            <w:r w:rsidRPr="00D9161B">
              <w:t>Quality of madrasah improves in line with national education standards (</w:t>
            </w:r>
            <w:r w:rsidRPr="00D9161B">
              <w:rPr>
                <w:i/>
              </w:rPr>
              <w:t>revised wording</w:t>
            </w:r>
            <w:r w:rsidRPr="00D9161B">
              <w:t>)</w:t>
            </w:r>
          </w:p>
        </w:tc>
        <w:tc>
          <w:tcPr>
            <w:tcW w:w="974" w:type="dxa"/>
            <w:shd w:val="clear" w:color="auto" w:fill="92D050"/>
            <w:noWrap/>
          </w:tcPr>
          <w:p w14:paraId="7D6BAC56" w14:textId="77777777" w:rsidR="00ED6A9C" w:rsidRPr="00D9161B" w:rsidRDefault="00ED6A9C" w:rsidP="000F7781">
            <w:pPr>
              <w:pStyle w:val="TableTextEntries"/>
            </w:pPr>
            <w:r w:rsidRPr="00D9161B">
              <w:t>Green</w:t>
            </w:r>
          </w:p>
        </w:tc>
        <w:tc>
          <w:tcPr>
            <w:tcW w:w="936" w:type="dxa"/>
            <w:shd w:val="clear" w:color="auto" w:fill="F79646" w:themeFill="accent6"/>
            <w:noWrap/>
          </w:tcPr>
          <w:p w14:paraId="14F18A65" w14:textId="77777777" w:rsidR="00ED6A9C" w:rsidRPr="00D9161B" w:rsidRDefault="00ED6A9C" w:rsidP="000F7781">
            <w:pPr>
              <w:pStyle w:val="TableTextEntries"/>
            </w:pPr>
            <w:r w:rsidRPr="00D9161B">
              <w:t>Amber</w:t>
            </w:r>
          </w:p>
        </w:tc>
      </w:tr>
      <w:tr w:rsidR="00ED6A9C" w:rsidRPr="00D9161B" w14:paraId="2CDE53E0" w14:textId="77777777" w:rsidTr="00805D86">
        <w:trPr>
          <w:cantSplit/>
          <w:tblHeader w:val="0"/>
        </w:trPr>
        <w:tc>
          <w:tcPr>
            <w:tcW w:w="6297" w:type="dxa"/>
            <w:gridSpan w:val="2"/>
          </w:tcPr>
          <w:p w14:paraId="52612570" w14:textId="77777777" w:rsidR="00ED6A9C" w:rsidRPr="00D9161B" w:rsidRDefault="00ED6A9C" w:rsidP="00ED6A9C">
            <w:pPr>
              <w:pStyle w:val="TableTextEntries"/>
            </w:pPr>
            <w:r w:rsidRPr="00D9161B">
              <w:t>Policy-makers utilise research findings to inform education sector policy, planning and budgeting (</w:t>
            </w:r>
            <w:r w:rsidRPr="00D9161B">
              <w:rPr>
                <w:i/>
              </w:rPr>
              <w:t>revised wording</w:t>
            </w:r>
            <w:r w:rsidRPr="00D9161B">
              <w:t>)</w:t>
            </w:r>
          </w:p>
        </w:tc>
        <w:tc>
          <w:tcPr>
            <w:tcW w:w="974" w:type="dxa"/>
            <w:tcBorders>
              <w:top w:val="nil"/>
              <w:bottom w:val="nil"/>
            </w:tcBorders>
            <w:shd w:val="clear" w:color="auto" w:fill="92D050"/>
            <w:noWrap/>
          </w:tcPr>
          <w:p w14:paraId="73E60D28" w14:textId="77777777" w:rsidR="00ED6A9C" w:rsidRPr="00D9161B" w:rsidRDefault="00ED6A9C" w:rsidP="000F7781">
            <w:pPr>
              <w:pStyle w:val="TableTextEntries"/>
            </w:pPr>
            <w:r w:rsidRPr="00D9161B">
              <w:t>Green</w:t>
            </w:r>
          </w:p>
        </w:tc>
        <w:tc>
          <w:tcPr>
            <w:tcW w:w="936" w:type="dxa"/>
            <w:tcBorders>
              <w:top w:val="nil"/>
              <w:bottom w:val="nil"/>
            </w:tcBorders>
            <w:shd w:val="clear" w:color="auto" w:fill="F79646" w:themeFill="accent6"/>
            <w:noWrap/>
          </w:tcPr>
          <w:p w14:paraId="493C643D" w14:textId="77777777" w:rsidR="00ED6A9C" w:rsidRPr="00D9161B" w:rsidRDefault="00ED6A9C" w:rsidP="000F7781">
            <w:pPr>
              <w:pStyle w:val="TableTextEntries"/>
            </w:pPr>
            <w:r w:rsidRPr="00D9161B">
              <w:t>Amber</w:t>
            </w:r>
          </w:p>
        </w:tc>
      </w:tr>
      <w:tr w:rsidR="00ED6A9C" w:rsidRPr="00D9161B" w14:paraId="796267AA"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68447870" w14:textId="77777777" w:rsidR="00ED6A9C" w:rsidRPr="00D9161B" w:rsidRDefault="00ED6A9C" w:rsidP="00ED6A9C">
            <w:pPr>
              <w:pStyle w:val="TableHeading2"/>
            </w:pPr>
            <w:r w:rsidRPr="00D9161B">
              <w:t xml:space="preserve">Health </w:t>
            </w:r>
          </w:p>
        </w:tc>
        <w:tc>
          <w:tcPr>
            <w:tcW w:w="974" w:type="dxa"/>
            <w:noWrap/>
          </w:tcPr>
          <w:p w14:paraId="25CD4624" w14:textId="77777777" w:rsidR="00ED6A9C" w:rsidRPr="00D9161B" w:rsidRDefault="00ED6A9C" w:rsidP="000F7781">
            <w:pPr>
              <w:pStyle w:val="TableTextEntries"/>
            </w:pPr>
          </w:p>
        </w:tc>
        <w:tc>
          <w:tcPr>
            <w:tcW w:w="936" w:type="dxa"/>
            <w:noWrap/>
          </w:tcPr>
          <w:p w14:paraId="1A8848ED" w14:textId="77777777" w:rsidR="00ED6A9C" w:rsidRPr="00D9161B" w:rsidRDefault="00ED6A9C" w:rsidP="000F7781">
            <w:pPr>
              <w:pStyle w:val="TableTextEntries"/>
            </w:pPr>
          </w:p>
        </w:tc>
      </w:tr>
      <w:tr w:rsidR="00ED6A9C" w:rsidRPr="00D9161B" w14:paraId="564AFE23" w14:textId="77777777" w:rsidTr="00805D86">
        <w:trPr>
          <w:cantSplit/>
          <w:tblHeader w:val="0"/>
        </w:trPr>
        <w:tc>
          <w:tcPr>
            <w:tcW w:w="6297" w:type="dxa"/>
            <w:gridSpan w:val="2"/>
          </w:tcPr>
          <w:p w14:paraId="4F2FCE1B" w14:textId="77777777" w:rsidR="00ED6A9C" w:rsidRPr="00D9161B" w:rsidRDefault="00ED6A9C" w:rsidP="00ED6A9C">
            <w:pPr>
              <w:pStyle w:val="TableTextEntries"/>
            </w:pPr>
            <w:r w:rsidRPr="00D9161B">
              <w:t xml:space="preserve">Improved utilisation of quality primary health care and appropriate referral in selected districts and provinces </w:t>
            </w:r>
          </w:p>
        </w:tc>
        <w:tc>
          <w:tcPr>
            <w:tcW w:w="974" w:type="dxa"/>
            <w:tcBorders>
              <w:top w:val="nil"/>
              <w:bottom w:val="nil"/>
            </w:tcBorders>
            <w:shd w:val="clear" w:color="auto" w:fill="92D050"/>
            <w:noWrap/>
          </w:tcPr>
          <w:p w14:paraId="7802CAA1" w14:textId="77777777" w:rsidR="00ED6A9C" w:rsidRPr="00D9161B" w:rsidRDefault="00ED6A9C" w:rsidP="000F7781">
            <w:pPr>
              <w:pStyle w:val="TableTextEntries"/>
            </w:pPr>
            <w:r w:rsidRPr="00D9161B">
              <w:t>Green</w:t>
            </w:r>
          </w:p>
        </w:tc>
        <w:tc>
          <w:tcPr>
            <w:tcW w:w="936" w:type="dxa"/>
            <w:tcBorders>
              <w:top w:val="nil"/>
              <w:bottom w:val="nil"/>
            </w:tcBorders>
            <w:shd w:val="clear" w:color="auto" w:fill="92D050"/>
            <w:noWrap/>
          </w:tcPr>
          <w:p w14:paraId="7A602A7D" w14:textId="77777777" w:rsidR="00ED6A9C" w:rsidRPr="00D9161B" w:rsidRDefault="00ED6A9C" w:rsidP="000F7781">
            <w:pPr>
              <w:pStyle w:val="TableTextEntries"/>
            </w:pPr>
            <w:r w:rsidRPr="00D9161B">
              <w:t>Green</w:t>
            </w:r>
          </w:p>
        </w:tc>
      </w:tr>
      <w:tr w:rsidR="00ED6A9C" w:rsidRPr="00D9161B" w14:paraId="18CB8E70"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160460F4" w14:textId="317AA315" w:rsidR="00ED6A9C" w:rsidRPr="00D9161B" w:rsidRDefault="00ED6A9C" w:rsidP="00ED6A9C">
            <w:pPr>
              <w:pStyle w:val="TableTextEntries"/>
            </w:pPr>
            <w:r w:rsidRPr="00D9161B">
              <w:t xml:space="preserve">Confident use of health facilities and services for delivery of babies, ante-natal and post-natal care in </w:t>
            </w:r>
            <w:r w:rsidRPr="008D1329">
              <w:t xml:space="preserve">Nusa Tenggara </w:t>
            </w:r>
            <w:proofErr w:type="spellStart"/>
            <w:r w:rsidRPr="008D1329">
              <w:t>Timur</w:t>
            </w:r>
            <w:proofErr w:type="spellEnd"/>
          </w:p>
        </w:tc>
        <w:tc>
          <w:tcPr>
            <w:tcW w:w="974" w:type="dxa"/>
            <w:shd w:val="clear" w:color="auto" w:fill="92D050"/>
            <w:noWrap/>
          </w:tcPr>
          <w:p w14:paraId="41083B1F" w14:textId="77777777" w:rsidR="00ED6A9C" w:rsidRPr="00D9161B" w:rsidRDefault="00ED6A9C" w:rsidP="000F7781">
            <w:pPr>
              <w:pStyle w:val="TableTextEntries"/>
            </w:pPr>
            <w:r w:rsidRPr="00D9161B">
              <w:t>Green</w:t>
            </w:r>
          </w:p>
        </w:tc>
        <w:tc>
          <w:tcPr>
            <w:tcW w:w="936" w:type="dxa"/>
            <w:shd w:val="clear" w:color="auto" w:fill="92D050"/>
            <w:noWrap/>
          </w:tcPr>
          <w:p w14:paraId="2EB60ADD" w14:textId="77777777" w:rsidR="00ED6A9C" w:rsidRPr="00D9161B" w:rsidRDefault="00ED6A9C" w:rsidP="000F7781">
            <w:pPr>
              <w:pStyle w:val="TableTextEntries"/>
            </w:pPr>
            <w:r w:rsidRPr="00D9161B">
              <w:t>Green</w:t>
            </w:r>
          </w:p>
        </w:tc>
      </w:tr>
      <w:tr w:rsidR="00ED6A9C" w:rsidRPr="00D9161B" w14:paraId="1A785F3A" w14:textId="77777777" w:rsidTr="00805D86">
        <w:trPr>
          <w:cantSplit/>
          <w:tblHeader w:val="0"/>
        </w:trPr>
        <w:tc>
          <w:tcPr>
            <w:tcW w:w="6297" w:type="dxa"/>
            <w:gridSpan w:val="2"/>
          </w:tcPr>
          <w:p w14:paraId="54242379" w14:textId="77777777" w:rsidR="00ED6A9C" w:rsidRPr="00D9161B" w:rsidRDefault="00ED6A9C" w:rsidP="00ED6A9C">
            <w:pPr>
              <w:pStyle w:val="TableTextEntries"/>
            </w:pPr>
            <w:r w:rsidRPr="00D9161B">
              <w:t>Increased HIV/AIDS prevention, treatment, care and support in selected regions</w:t>
            </w:r>
          </w:p>
        </w:tc>
        <w:tc>
          <w:tcPr>
            <w:tcW w:w="974" w:type="dxa"/>
            <w:tcBorders>
              <w:top w:val="nil"/>
              <w:bottom w:val="nil"/>
            </w:tcBorders>
            <w:shd w:val="clear" w:color="auto" w:fill="92D050"/>
            <w:noWrap/>
          </w:tcPr>
          <w:p w14:paraId="0971A90F" w14:textId="77777777" w:rsidR="00ED6A9C" w:rsidRPr="00D9161B" w:rsidRDefault="00ED6A9C" w:rsidP="000F7781">
            <w:pPr>
              <w:pStyle w:val="TableTextEntries"/>
            </w:pPr>
            <w:r w:rsidRPr="00D9161B">
              <w:t>Green</w:t>
            </w:r>
          </w:p>
        </w:tc>
        <w:tc>
          <w:tcPr>
            <w:tcW w:w="936" w:type="dxa"/>
            <w:tcBorders>
              <w:top w:val="nil"/>
              <w:bottom w:val="nil"/>
            </w:tcBorders>
            <w:shd w:val="clear" w:color="auto" w:fill="92D050"/>
            <w:noWrap/>
          </w:tcPr>
          <w:p w14:paraId="138CC543" w14:textId="77777777" w:rsidR="00ED6A9C" w:rsidRPr="00D9161B" w:rsidRDefault="00ED6A9C" w:rsidP="000F7781">
            <w:pPr>
              <w:pStyle w:val="TableTextEntries"/>
            </w:pPr>
            <w:r w:rsidRPr="00D9161B">
              <w:t>Green</w:t>
            </w:r>
          </w:p>
        </w:tc>
      </w:tr>
      <w:tr w:rsidR="00ED6A9C" w:rsidRPr="00D9161B" w14:paraId="4B27A527"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16E9FD47" w14:textId="77777777" w:rsidR="00ED6A9C" w:rsidRPr="00D9161B" w:rsidRDefault="00ED6A9C" w:rsidP="00ED6A9C">
            <w:pPr>
              <w:pStyle w:val="TableTextEntries"/>
            </w:pPr>
            <w:r w:rsidRPr="00D9161B">
              <w:t>Strengthened emerging infectious diseases prevention, detection and control mechanisms in the Ministries of Health and Agriculture</w:t>
            </w:r>
          </w:p>
        </w:tc>
        <w:tc>
          <w:tcPr>
            <w:tcW w:w="974" w:type="dxa"/>
            <w:shd w:val="clear" w:color="auto" w:fill="F79646" w:themeFill="accent6"/>
            <w:noWrap/>
          </w:tcPr>
          <w:p w14:paraId="29A65207" w14:textId="77777777" w:rsidR="00ED6A9C" w:rsidRPr="00D9161B" w:rsidRDefault="00ED6A9C" w:rsidP="000F7781">
            <w:pPr>
              <w:pStyle w:val="TableTextEntries"/>
            </w:pPr>
            <w:r w:rsidRPr="00D9161B">
              <w:t>Amber</w:t>
            </w:r>
          </w:p>
        </w:tc>
        <w:tc>
          <w:tcPr>
            <w:tcW w:w="936" w:type="dxa"/>
            <w:shd w:val="clear" w:color="auto" w:fill="F79646" w:themeFill="accent6"/>
            <w:noWrap/>
          </w:tcPr>
          <w:p w14:paraId="2A7AFC23" w14:textId="77777777" w:rsidR="00ED6A9C" w:rsidRPr="00D9161B" w:rsidRDefault="00ED6A9C" w:rsidP="000F7781">
            <w:pPr>
              <w:pStyle w:val="TableTextEntries"/>
            </w:pPr>
            <w:r w:rsidRPr="00D9161B">
              <w:t>Amber</w:t>
            </w:r>
          </w:p>
        </w:tc>
      </w:tr>
      <w:tr w:rsidR="00ED6A9C" w:rsidRPr="00D9161B" w14:paraId="379DABB8" w14:textId="77777777" w:rsidTr="00805D86">
        <w:trPr>
          <w:cantSplit/>
          <w:tblHeader w:val="0"/>
        </w:trPr>
        <w:tc>
          <w:tcPr>
            <w:tcW w:w="6297" w:type="dxa"/>
            <w:gridSpan w:val="2"/>
          </w:tcPr>
          <w:p w14:paraId="4AF7AC39" w14:textId="77777777" w:rsidR="00ED6A9C" w:rsidRPr="00D9161B" w:rsidRDefault="00ED6A9C" w:rsidP="00ED6A9C">
            <w:pPr>
              <w:pStyle w:val="TableHeading2"/>
            </w:pPr>
            <w:r w:rsidRPr="00D9161B">
              <w:t>Transport and connectivity</w:t>
            </w:r>
          </w:p>
        </w:tc>
        <w:tc>
          <w:tcPr>
            <w:tcW w:w="974" w:type="dxa"/>
            <w:noWrap/>
          </w:tcPr>
          <w:p w14:paraId="1A96E57E" w14:textId="77777777" w:rsidR="00ED6A9C" w:rsidRPr="00D9161B" w:rsidRDefault="00ED6A9C" w:rsidP="000F7781">
            <w:pPr>
              <w:pStyle w:val="TableTextEntries"/>
            </w:pPr>
          </w:p>
        </w:tc>
        <w:tc>
          <w:tcPr>
            <w:tcW w:w="936" w:type="dxa"/>
            <w:noWrap/>
          </w:tcPr>
          <w:p w14:paraId="4CAD8394" w14:textId="77777777" w:rsidR="00ED6A9C" w:rsidRPr="00D9161B" w:rsidRDefault="00ED6A9C" w:rsidP="000F7781">
            <w:pPr>
              <w:pStyle w:val="TableTextEntries"/>
            </w:pPr>
          </w:p>
        </w:tc>
      </w:tr>
      <w:tr w:rsidR="00ED6A9C" w:rsidRPr="00D9161B" w14:paraId="41035B21"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36D17B59" w14:textId="50C56720" w:rsidR="00ED6A9C" w:rsidRPr="00D9161B" w:rsidRDefault="00ED6A9C" w:rsidP="00ED6A9C">
            <w:pPr>
              <w:pStyle w:val="TableTextEntries"/>
            </w:pPr>
            <w:r w:rsidRPr="00D9161B">
              <w:t xml:space="preserve">Strategic sections of the national and provincial road network upgraded or maintained to </w:t>
            </w:r>
            <w:r w:rsidRPr="008D1329">
              <w:t xml:space="preserve">Directorate General of Highways </w:t>
            </w:r>
            <w:r w:rsidRPr="00D9161B">
              <w:t xml:space="preserve">standards </w:t>
            </w:r>
          </w:p>
        </w:tc>
        <w:tc>
          <w:tcPr>
            <w:tcW w:w="974" w:type="dxa"/>
            <w:shd w:val="clear" w:color="auto" w:fill="92D050"/>
            <w:noWrap/>
          </w:tcPr>
          <w:p w14:paraId="1D75E671" w14:textId="77777777" w:rsidR="00ED6A9C" w:rsidRPr="00D9161B" w:rsidRDefault="00ED6A9C" w:rsidP="000F7781">
            <w:pPr>
              <w:pStyle w:val="TableTextEntries"/>
            </w:pPr>
            <w:r w:rsidRPr="00D9161B">
              <w:t>Green</w:t>
            </w:r>
          </w:p>
        </w:tc>
        <w:tc>
          <w:tcPr>
            <w:tcW w:w="936" w:type="dxa"/>
            <w:shd w:val="clear" w:color="auto" w:fill="F79646" w:themeFill="accent6"/>
            <w:noWrap/>
          </w:tcPr>
          <w:p w14:paraId="23A661D1" w14:textId="77777777" w:rsidR="00ED6A9C" w:rsidRPr="00D9161B" w:rsidRDefault="00ED6A9C" w:rsidP="000F7781">
            <w:pPr>
              <w:pStyle w:val="TableTextEntries"/>
            </w:pPr>
            <w:r w:rsidRPr="00D9161B">
              <w:t>Amber</w:t>
            </w:r>
          </w:p>
        </w:tc>
      </w:tr>
      <w:tr w:rsidR="00ED6A9C" w:rsidRPr="00D9161B" w14:paraId="0EFE114E" w14:textId="77777777" w:rsidTr="00805D86">
        <w:trPr>
          <w:cantSplit/>
          <w:tblHeader w:val="0"/>
        </w:trPr>
        <w:tc>
          <w:tcPr>
            <w:tcW w:w="6297" w:type="dxa"/>
            <w:gridSpan w:val="2"/>
          </w:tcPr>
          <w:p w14:paraId="38CBD06A" w14:textId="40122598" w:rsidR="00ED6A9C" w:rsidRPr="00D9161B" w:rsidRDefault="00ED6A9C" w:rsidP="00ED6A9C">
            <w:pPr>
              <w:pStyle w:val="TableTextEntries"/>
            </w:pPr>
            <w:r w:rsidRPr="00D9161B">
              <w:t xml:space="preserve">Improved policy, planning, preparation and delivery of </w:t>
            </w:r>
            <w:r>
              <w:t>Indonesian Government</w:t>
            </w:r>
            <w:r w:rsidRPr="00D9161B">
              <w:t xml:space="preserve"> transport priorities </w:t>
            </w:r>
          </w:p>
        </w:tc>
        <w:tc>
          <w:tcPr>
            <w:tcW w:w="974" w:type="dxa"/>
            <w:tcBorders>
              <w:top w:val="nil"/>
              <w:bottom w:val="nil"/>
            </w:tcBorders>
            <w:shd w:val="clear" w:color="auto" w:fill="92D050"/>
            <w:noWrap/>
          </w:tcPr>
          <w:p w14:paraId="7E073AA9" w14:textId="77777777" w:rsidR="00ED6A9C" w:rsidRPr="00D9161B" w:rsidRDefault="00ED6A9C" w:rsidP="000F7781">
            <w:pPr>
              <w:pStyle w:val="TableTextEntries"/>
            </w:pPr>
            <w:r w:rsidRPr="00D9161B">
              <w:t>Green</w:t>
            </w:r>
          </w:p>
        </w:tc>
        <w:tc>
          <w:tcPr>
            <w:tcW w:w="936" w:type="dxa"/>
            <w:tcBorders>
              <w:top w:val="nil"/>
              <w:bottom w:val="nil"/>
            </w:tcBorders>
            <w:shd w:val="clear" w:color="auto" w:fill="F79646" w:themeFill="accent6"/>
            <w:noWrap/>
          </w:tcPr>
          <w:p w14:paraId="376A95B5" w14:textId="77777777" w:rsidR="00ED6A9C" w:rsidRPr="00D9161B" w:rsidRDefault="00ED6A9C" w:rsidP="000F7781">
            <w:pPr>
              <w:pStyle w:val="TableTextEntries"/>
            </w:pPr>
            <w:r w:rsidRPr="00D9161B">
              <w:t>Amber</w:t>
            </w:r>
          </w:p>
        </w:tc>
      </w:tr>
      <w:tr w:rsidR="00ED6A9C" w:rsidRPr="00D9161B" w14:paraId="73E9CB52"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43EA9AED" w14:textId="77777777" w:rsidR="00ED6A9C" w:rsidRPr="00D9161B" w:rsidRDefault="00ED6A9C" w:rsidP="00ED6A9C">
            <w:pPr>
              <w:pStyle w:val="TableHeading2"/>
            </w:pPr>
            <w:r w:rsidRPr="00D9161B">
              <w:t xml:space="preserve">Water and sanitation </w:t>
            </w:r>
          </w:p>
        </w:tc>
        <w:tc>
          <w:tcPr>
            <w:tcW w:w="974" w:type="dxa"/>
            <w:noWrap/>
          </w:tcPr>
          <w:p w14:paraId="1A465BC7" w14:textId="77777777" w:rsidR="00ED6A9C" w:rsidRPr="00D9161B" w:rsidRDefault="00ED6A9C" w:rsidP="000F7781">
            <w:pPr>
              <w:pStyle w:val="TableTextEntries"/>
            </w:pPr>
          </w:p>
        </w:tc>
        <w:tc>
          <w:tcPr>
            <w:tcW w:w="936" w:type="dxa"/>
            <w:noWrap/>
          </w:tcPr>
          <w:p w14:paraId="4392DB09" w14:textId="77777777" w:rsidR="00ED6A9C" w:rsidRPr="00D9161B" w:rsidRDefault="00ED6A9C" w:rsidP="000F7781">
            <w:pPr>
              <w:pStyle w:val="TableTextEntries"/>
            </w:pPr>
          </w:p>
        </w:tc>
      </w:tr>
      <w:tr w:rsidR="00ED6A9C" w:rsidRPr="00D9161B" w14:paraId="1D0E1884" w14:textId="77777777" w:rsidTr="00805D86">
        <w:trPr>
          <w:cantSplit/>
          <w:tblHeader w:val="0"/>
        </w:trPr>
        <w:tc>
          <w:tcPr>
            <w:tcW w:w="6297" w:type="dxa"/>
            <w:gridSpan w:val="2"/>
          </w:tcPr>
          <w:p w14:paraId="6B2A0DEF" w14:textId="77777777" w:rsidR="00ED6A9C" w:rsidRPr="00D9161B" w:rsidRDefault="00ED6A9C" w:rsidP="00ED6A9C">
            <w:pPr>
              <w:pStyle w:val="TableTextEntries"/>
            </w:pPr>
            <w:r w:rsidRPr="00D9161B">
              <w:t>Improved sustainable service delivery of clean water</w:t>
            </w:r>
          </w:p>
        </w:tc>
        <w:tc>
          <w:tcPr>
            <w:tcW w:w="974" w:type="dxa"/>
            <w:tcBorders>
              <w:top w:val="nil"/>
              <w:bottom w:val="nil"/>
            </w:tcBorders>
            <w:shd w:val="clear" w:color="auto" w:fill="F79646" w:themeFill="accent6"/>
            <w:noWrap/>
          </w:tcPr>
          <w:p w14:paraId="4765817C" w14:textId="77777777" w:rsidR="00ED6A9C" w:rsidRPr="00D9161B" w:rsidRDefault="00ED6A9C" w:rsidP="000F7781">
            <w:pPr>
              <w:pStyle w:val="TableTextEntries"/>
            </w:pPr>
            <w:r w:rsidRPr="00D9161B">
              <w:t>Amber</w:t>
            </w:r>
          </w:p>
        </w:tc>
        <w:tc>
          <w:tcPr>
            <w:tcW w:w="936" w:type="dxa"/>
            <w:tcBorders>
              <w:top w:val="nil"/>
              <w:bottom w:val="nil"/>
            </w:tcBorders>
            <w:shd w:val="clear" w:color="auto" w:fill="92D050"/>
            <w:noWrap/>
          </w:tcPr>
          <w:p w14:paraId="5E55CFB4" w14:textId="77777777" w:rsidR="00ED6A9C" w:rsidRPr="00D9161B" w:rsidRDefault="00ED6A9C" w:rsidP="000F7781">
            <w:pPr>
              <w:pStyle w:val="TableTextEntries"/>
            </w:pPr>
            <w:r w:rsidRPr="00D9161B">
              <w:t>Green</w:t>
            </w:r>
          </w:p>
        </w:tc>
      </w:tr>
      <w:tr w:rsidR="00ED6A9C" w:rsidRPr="00D9161B" w14:paraId="487CD2CC"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40CF378D" w14:textId="77777777" w:rsidR="00ED6A9C" w:rsidRPr="00D9161B" w:rsidRDefault="00ED6A9C" w:rsidP="00ED6A9C">
            <w:pPr>
              <w:pStyle w:val="TableTextEntries"/>
            </w:pPr>
            <w:r w:rsidRPr="00D9161B">
              <w:t>Improved sustainable service delivery of basic sanitation and wastewater management</w:t>
            </w:r>
          </w:p>
        </w:tc>
        <w:tc>
          <w:tcPr>
            <w:tcW w:w="974" w:type="dxa"/>
            <w:shd w:val="clear" w:color="auto" w:fill="F79646" w:themeFill="accent6"/>
            <w:noWrap/>
          </w:tcPr>
          <w:p w14:paraId="6892ED85" w14:textId="77777777" w:rsidR="00ED6A9C" w:rsidRPr="00D9161B" w:rsidRDefault="00ED6A9C" w:rsidP="000F7781">
            <w:pPr>
              <w:pStyle w:val="TableTextEntries"/>
            </w:pPr>
            <w:r w:rsidRPr="00D9161B">
              <w:t>Amber</w:t>
            </w:r>
          </w:p>
        </w:tc>
        <w:tc>
          <w:tcPr>
            <w:tcW w:w="936" w:type="dxa"/>
            <w:shd w:val="clear" w:color="auto" w:fill="F79646" w:themeFill="accent6"/>
            <w:noWrap/>
          </w:tcPr>
          <w:p w14:paraId="3B7667E7" w14:textId="77777777" w:rsidR="00ED6A9C" w:rsidRPr="00D9161B" w:rsidRDefault="00ED6A9C" w:rsidP="000F7781">
            <w:pPr>
              <w:pStyle w:val="TableTextEntries"/>
            </w:pPr>
            <w:r w:rsidRPr="00D9161B">
              <w:t>Amber</w:t>
            </w:r>
          </w:p>
        </w:tc>
      </w:tr>
      <w:tr w:rsidR="00ED6A9C" w:rsidRPr="00D9161B" w14:paraId="5446AF89" w14:textId="77777777" w:rsidTr="00805D86">
        <w:trPr>
          <w:cantSplit/>
          <w:tblHeader w:val="0"/>
        </w:trPr>
        <w:tc>
          <w:tcPr>
            <w:tcW w:w="6297" w:type="dxa"/>
            <w:gridSpan w:val="2"/>
          </w:tcPr>
          <w:p w14:paraId="77AFB9B1" w14:textId="77777777" w:rsidR="00ED6A9C" w:rsidRPr="00D9161B" w:rsidRDefault="00ED6A9C" w:rsidP="00ED6A9C">
            <w:pPr>
              <w:pStyle w:val="TableHeading2"/>
            </w:pPr>
            <w:r w:rsidRPr="00D9161B">
              <w:t>Social protection and community driven development</w:t>
            </w:r>
          </w:p>
        </w:tc>
        <w:tc>
          <w:tcPr>
            <w:tcW w:w="974" w:type="dxa"/>
            <w:noWrap/>
          </w:tcPr>
          <w:p w14:paraId="2B73B67C" w14:textId="77777777" w:rsidR="00ED6A9C" w:rsidRPr="00D9161B" w:rsidRDefault="00ED6A9C" w:rsidP="000F7781">
            <w:pPr>
              <w:pStyle w:val="TableTextEntries"/>
            </w:pPr>
          </w:p>
        </w:tc>
        <w:tc>
          <w:tcPr>
            <w:tcW w:w="936" w:type="dxa"/>
            <w:noWrap/>
          </w:tcPr>
          <w:p w14:paraId="72F24B7B" w14:textId="77777777" w:rsidR="00ED6A9C" w:rsidRPr="00D9161B" w:rsidRDefault="00ED6A9C" w:rsidP="000F7781">
            <w:pPr>
              <w:pStyle w:val="TableTextEntries"/>
            </w:pPr>
          </w:p>
        </w:tc>
      </w:tr>
      <w:tr w:rsidR="00ED6A9C" w:rsidRPr="00D9161B" w14:paraId="6B2039B7"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36C8EC5E" w14:textId="1339126F" w:rsidR="00ED6A9C" w:rsidRPr="00D9161B" w:rsidRDefault="00ED6A9C" w:rsidP="00ED6A9C">
            <w:pPr>
              <w:pStyle w:val="TableTextEntries"/>
            </w:pPr>
            <w:r w:rsidRPr="00D9161B">
              <w:t xml:space="preserve">Strengthened ability of the </w:t>
            </w:r>
            <w:r>
              <w:t>Indonesian Government</w:t>
            </w:r>
            <w:r w:rsidRPr="00D9161B">
              <w:t xml:space="preserve"> to make informed and evidence-based policy and program decisions to reach the poor </w:t>
            </w:r>
          </w:p>
          <w:p w14:paraId="5520A492" w14:textId="7340DEE7" w:rsidR="00ED6A9C" w:rsidRPr="00D9161B" w:rsidRDefault="00ED6A9C" w:rsidP="00ED6A9C">
            <w:pPr>
              <w:pStyle w:val="TableTextEntries"/>
            </w:pPr>
            <w:r w:rsidRPr="00D9161B">
              <w:rPr>
                <w:sz w:val="15"/>
                <w:u w:val="single"/>
              </w:rPr>
              <w:t>Note</w:t>
            </w:r>
            <w:r w:rsidRPr="00D9161B">
              <w:rPr>
                <w:sz w:val="15"/>
              </w:rPr>
              <w:t xml:space="preserve">: </w:t>
            </w:r>
            <w:r w:rsidRPr="00D9161B">
              <w:rPr>
                <w:i/>
                <w:sz w:val="15"/>
              </w:rPr>
              <w:t>this section includes our support to the Social Protection,</w:t>
            </w:r>
            <w:r>
              <w:rPr>
                <w:i/>
                <w:sz w:val="15"/>
              </w:rPr>
              <w:t xml:space="preserve"> National Program</w:t>
            </w:r>
            <w:r w:rsidRPr="008D1329">
              <w:rPr>
                <w:i/>
                <w:sz w:val="15"/>
              </w:rPr>
              <w:t xml:space="preserve"> for Community Empowerment </w:t>
            </w:r>
            <w:r w:rsidRPr="00D9161B">
              <w:rPr>
                <w:i/>
                <w:sz w:val="15"/>
              </w:rPr>
              <w:t xml:space="preserve">and </w:t>
            </w:r>
            <w:r>
              <w:rPr>
                <w:i/>
                <w:sz w:val="15"/>
              </w:rPr>
              <w:t xml:space="preserve">the </w:t>
            </w:r>
            <w:r w:rsidRPr="008D1329">
              <w:rPr>
                <w:i/>
                <w:sz w:val="15"/>
              </w:rPr>
              <w:t>Empowering Indonesia Women for Poverty Reduction Program</w:t>
            </w:r>
            <w:r w:rsidRPr="00D9161B">
              <w:rPr>
                <w:i/>
                <w:sz w:val="15"/>
              </w:rPr>
              <w:t xml:space="preserve"> programs</w:t>
            </w:r>
          </w:p>
        </w:tc>
        <w:tc>
          <w:tcPr>
            <w:tcW w:w="974" w:type="dxa"/>
            <w:shd w:val="clear" w:color="auto" w:fill="92D050"/>
            <w:noWrap/>
          </w:tcPr>
          <w:p w14:paraId="60564762" w14:textId="77777777" w:rsidR="00ED6A9C" w:rsidRPr="00D9161B" w:rsidRDefault="00ED6A9C" w:rsidP="000F7781">
            <w:pPr>
              <w:pStyle w:val="TableTextEntries"/>
            </w:pPr>
            <w:r w:rsidRPr="00D9161B">
              <w:t>Green</w:t>
            </w:r>
          </w:p>
        </w:tc>
        <w:tc>
          <w:tcPr>
            <w:tcW w:w="936" w:type="dxa"/>
            <w:shd w:val="clear" w:color="auto" w:fill="92D050"/>
            <w:noWrap/>
          </w:tcPr>
          <w:p w14:paraId="5D323B77" w14:textId="77777777" w:rsidR="00ED6A9C" w:rsidRPr="00D9161B" w:rsidRDefault="00ED6A9C" w:rsidP="000F7781">
            <w:pPr>
              <w:pStyle w:val="TableTextEntries"/>
            </w:pPr>
            <w:r w:rsidRPr="00D9161B">
              <w:t>Green</w:t>
            </w:r>
          </w:p>
        </w:tc>
      </w:tr>
      <w:tr w:rsidR="00ED6A9C" w:rsidRPr="00D9161B" w14:paraId="011BC45A" w14:textId="77777777" w:rsidTr="00805D86">
        <w:trPr>
          <w:cantSplit/>
          <w:tblHeader w:val="0"/>
        </w:trPr>
        <w:tc>
          <w:tcPr>
            <w:tcW w:w="6297" w:type="dxa"/>
            <w:gridSpan w:val="2"/>
          </w:tcPr>
          <w:p w14:paraId="4E531A7D" w14:textId="77777777" w:rsidR="00ED6A9C" w:rsidRPr="00D9161B" w:rsidRDefault="00ED6A9C" w:rsidP="00ED6A9C">
            <w:pPr>
              <w:pStyle w:val="TableHeading2"/>
            </w:pPr>
            <w:r w:rsidRPr="00D9161B">
              <w:t xml:space="preserve">Bureaucratic reform </w:t>
            </w:r>
          </w:p>
        </w:tc>
        <w:tc>
          <w:tcPr>
            <w:tcW w:w="974" w:type="dxa"/>
            <w:noWrap/>
          </w:tcPr>
          <w:p w14:paraId="652C14BC" w14:textId="77777777" w:rsidR="00ED6A9C" w:rsidRPr="00D9161B" w:rsidRDefault="00ED6A9C" w:rsidP="000F7781">
            <w:pPr>
              <w:pStyle w:val="TableTextEntries"/>
            </w:pPr>
          </w:p>
        </w:tc>
        <w:tc>
          <w:tcPr>
            <w:tcW w:w="936" w:type="dxa"/>
            <w:noWrap/>
          </w:tcPr>
          <w:p w14:paraId="7902F271" w14:textId="77777777" w:rsidR="00ED6A9C" w:rsidRPr="00D9161B" w:rsidRDefault="00ED6A9C" w:rsidP="000F7781">
            <w:pPr>
              <w:pStyle w:val="TableTextEntries"/>
            </w:pPr>
          </w:p>
        </w:tc>
      </w:tr>
      <w:tr w:rsidR="00ED6A9C" w:rsidRPr="00D9161B" w14:paraId="3AA7B54F"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2148685F" w14:textId="77777777" w:rsidR="00ED6A9C" w:rsidRPr="00D9161B" w:rsidRDefault="00ED6A9C" w:rsidP="000F7781">
            <w:pPr>
              <w:pStyle w:val="TableTextEntries"/>
            </w:pPr>
            <w:r w:rsidRPr="00D9161B">
              <w:t>A more performance and merit based bureaucracy impacting on improved service delivery (</w:t>
            </w:r>
            <w:r w:rsidRPr="00D9161B">
              <w:rPr>
                <w:i/>
              </w:rPr>
              <w:t>revised objective</w:t>
            </w:r>
            <w:r w:rsidRPr="00D9161B">
              <w:t>)</w:t>
            </w:r>
          </w:p>
        </w:tc>
        <w:tc>
          <w:tcPr>
            <w:tcW w:w="974" w:type="dxa"/>
            <w:shd w:val="clear" w:color="auto" w:fill="F79646" w:themeFill="accent6"/>
            <w:noWrap/>
          </w:tcPr>
          <w:p w14:paraId="71D8B66A" w14:textId="77777777" w:rsidR="00ED6A9C" w:rsidRPr="00D9161B" w:rsidRDefault="00ED6A9C" w:rsidP="000F7781">
            <w:pPr>
              <w:pStyle w:val="TableTextEntries"/>
            </w:pPr>
            <w:r w:rsidRPr="00D9161B">
              <w:t>Amber</w:t>
            </w:r>
          </w:p>
        </w:tc>
        <w:tc>
          <w:tcPr>
            <w:tcW w:w="936" w:type="dxa"/>
            <w:noWrap/>
          </w:tcPr>
          <w:p w14:paraId="65885813" w14:textId="77777777" w:rsidR="00ED6A9C" w:rsidRPr="00D9161B" w:rsidRDefault="00ED6A9C" w:rsidP="000F7781">
            <w:pPr>
              <w:pStyle w:val="TableTextEntries"/>
            </w:pPr>
            <w:r w:rsidRPr="00D9161B">
              <w:t>N/A</w:t>
            </w:r>
          </w:p>
        </w:tc>
      </w:tr>
      <w:tr w:rsidR="00ED6A9C" w:rsidRPr="00D9161B" w14:paraId="776F7FC9" w14:textId="77777777" w:rsidTr="00805D86">
        <w:trPr>
          <w:cantSplit/>
          <w:tblHeader w:val="0"/>
        </w:trPr>
        <w:tc>
          <w:tcPr>
            <w:tcW w:w="6297" w:type="dxa"/>
            <w:gridSpan w:val="2"/>
          </w:tcPr>
          <w:p w14:paraId="4EE35A76" w14:textId="77777777" w:rsidR="00ED6A9C" w:rsidRPr="00D9161B" w:rsidRDefault="00ED6A9C" w:rsidP="000F7781">
            <w:pPr>
              <w:pStyle w:val="TableHeading2"/>
            </w:pPr>
            <w:r w:rsidRPr="00D9161B">
              <w:t xml:space="preserve">Climate change </w:t>
            </w:r>
          </w:p>
        </w:tc>
        <w:tc>
          <w:tcPr>
            <w:tcW w:w="974" w:type="dxa"/>
            <w:noWrap/>
          </w:tcPr>
          <w:p w14:paraId="031234A4" w14:textId="77777777" w:rsidR="00ED6A9C" w:rsidRPr="00D9161B" w:rsidRDefault="00ED6A9C" w:rsidP="000F7781">
            <w:pPr>
              <w:pStyle w:val="TableTextEntries"/>
            </w:pPr>
          </w:p>
        </w:tc>
        <w:tc>
          <w:tcPr>
            <w:tcW w:w="936" w:type="dxa"/>
            <w:noWrap/>
          </w:tcPr>
          <w:p w14:paraId="263FC4D9" w14:textId="77777777" w:rsidR="00ED6A9C" w:rsidRPr="00D9161B" w:rsidRDefault="00ED6A9C" w:rsidP="000F7781">
            <w:pPr>
              <w:pStyle w:val="TableTextEntries"/>
            </w:pPr>
          </w:p>
        </w:tc>
      </w:tr>
      <w:tr w:rsidR="00ED6A9C" w:rsidRPr="00D9161B" w14:paraId="7E33D238" w14:textId="77777777" w:rsidTr="006E3C83">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0B8642C0" w14:textId="77777777" w:rsidR="00ED6A9C" w:rsidRPr="00D9161B" w:rsidRDefault="00ED6A9C" w:rsidP="000F7781">
            <w:pPr>
              <w:pStyle w:val="TableTextEntries"/>
            </w:pPr>
            <w:r w:rsidRPr="00D9161B">
              <w:t>REDD+ demonstrated to be practical, effective and equitable</w:t>
            </w:r>
          </w:p>
        </w:tc>
        <w:tc>
          <w:tcPr>
            <w:tcW w:w="974" w:type="dxa"/>
            <w:shd w:val="clear" w:color="auto" w:fill="FF0000"/>
            <w:noWrap/>
          </w:tcPr>
          <w:p w14:paraId="38BB75A0" w14:textId="77777777" w:rsidR="00ED6A9C" w:rsidRPr="00D9161B" w:rsidRDefault="00ED6A9C" w:rsidP="000F7781">
            <w:pPr>
              <w:pStyle w:val="TableTextEntries"/>
            </w:pPr>
            <w:r>
              <w:t>Red</w:t>
            </w:r>
          </w:p>
        </w:tc>
        <w:tc>
          <w:tcPr>
            <w:tcW w:w="936" w:type="dxa"/>
            <w:shd w:val="clear" w:color="auto" w:fill="F79646" w:themeFill="accent6"/>
            <w:noWrap/>
          </w:tcPr>
          <w:p w14:paraId="282713EA" w14:textId="77777777" w:rsidR="00ED6A9C" w:rsidRPr="00D9161B" w:rsidRDefault="00ED6A9C" w:rsidP="000F7781">
            <w:pPr>
              <w:pStyle w:val="TableTextEntries"/>
            </w:pPr>
            <w:r w:rsidRPr="00D9161B">
              <w:t>Amber</w:t>
            </w:r>
          </w:p>
        </w:tc>
      </w:tr>
      <w:tr w:rsidR="00ED6A9C" w:rsidRPr="00D9161B" w14:paraId="693A35B5" w14:textId="77777777" w:rsidTr="00805D86">
        <w:trPr>
          <w:cantSplit/>
          <w:tblHeader w:val="0"/>
        </w:trPr>
        <w:tc>
          <w:tcPr>
            <w:tcW w:w="6297" w:type="dxa"/>
            <w:gridSpan w:val="2"/>
          </w:tcPr>
          <w:p w14:paraId="2514A2DC" w14:textId="77777777" w:rsidR="00ED6A9C" w:rsidRPr="00D9161B" w:rsidRDefault="00ED6A9C" w:rsidP="000F7781">
            <w:pPr>
              <w:pStyle w:val="TableHeading2"/>
            </w:pPr>
            <w:r w:rsidRPr="00D9161B">
              <w:t xml:space="preserve">Decentralisation </w:t>
            </w:r>
          </w:p>
        </w:tc>
        <w:tc>
          <w:tcPr>
            <w:tcW w:w="974" w:type="dxa"/>
            <w:noWrap/>
          </w:tcPr>
          <w:p w14:paraId="23B896C8" w14:textId="77777777" w:rsidR="00ED6A9C" w:rsidRPr="00D9161B" w:rsidRDefault="00ED6A9C" w:rsidP="000F7781">
            <w:pPr>
              <w:pStyle w:val="TableTextEntries"/>
            </w:pPr>
          </w:p>
        </w:tc>
        <w:tc>
          <w:tcPr>
            <w:tcW w:w="936" w:type="dxa"/>
            <w:noWrap/>
          </w:tcPr>
          <w:p w14:paraId="111B8E99" w14:textId="77777777" w:rsidR="00ED6A9C" w:rsidRPr="00D9161B" w:rsidRDefault="00ED6A9C" w:rsidP="000F7781">
            <w:pPr>
              <w:pStyle w:val="TableTextEntries"/>
            </w:pPr>
          </w:p>
        </w:tc>
      </w:tr>
      <w:tr w:rsidR="00ED6A9C" w:rsidRPr="00D9161B" w14:paraId="1AF7A778"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792B4E72" w14:textId="77777777" w:rsidR="00ED6A9C" w:rsidRPr="00D9161B" w:rsidRDefault="00ED6A9C" w:rsidP="000F7781">
            <w:pPr>
              <w:pStyle w:val="TableTextEntries"/>
            </w:pPr>
            <w:r w:rsidRPr="00D9161B">
              <w:t xml:space="preserve">Improved performance of local governments in delivering services to the poor </w:t>
            </w:r>
          </w:p>
        </w:tc>
        <w:tc>
          <w:tcPr>
            <w:tcW w:w="974" w:type="dxa"/>
            <w:shd w:val="clear" w:color="auto" w:fill="F79646" w:themeFill="accent6"/>
            <w:noWrap/>
          </w:tcPr>
          <w:p w14:paraId="0D6D689F" w14:textId="77777777" w:rsidR="00ED6A9C" w:rsidRPr="00D9161B" w:rsidRDefault="00ED6A9C" w:rsidP="000F7781">
            <w:pPr>
              <w:pStyle w:val="TableTextEntries"/>
            </w:pPr>
            <w:r w:rsidRPr="00D9161B">
              <w:t>Amber</w:t>
            </w:r>
          </w:p>
        </w:tc>
        <w:tc>
          <w:tcPr>
            <w:tcW w:w="936" w:type="dxa"/>
            <w:shd w:val="clear" w:color="auto" w:fill="F79646" w:themeFill="accent6"/>
            <w:noWrap/>
          </w:tcPr>
          <w:p w14:paraId="4F16062C" w14:textId="77777777" w:rsidR="00ED6A9C" w:rsidRPr="00D9161B" w:rsidRDefault="00ED6A9C" w:rsidP="000F7781">
            <w:pPr>
              <w:pStyle w:val="TableTextEntries"/>
            </w:pPr>
            <w:r w:rsidRPr="00D9161B">
              <w:t>Amber</w:t>
            </w:r>
          </w:p>
        </w:tc>
      </w:tr>
      <w:tr w:rsidR="00ED6A9C" w:rsidRPr="00D9161B" w14:paraId="3B2287CD" w14:textId="77777777" w:rsidTr="00805D86">
        <w:trPr>
          <w:cantSplit/>
          <w:tblHeader w:val="0"/>
        </w:trPr>
        <w:tc>
          <w:tcPr>
            <w:tcW w:w="6297" w:type="dxa"/>
            <w:gridSpan w:val="2"/>
          </w:tcPr>
          <w:p w14:paraId="29E06622" w14:textId="1AB44ADE" w:rsidR="00ED6A9C" w:rsidRPr="00D9161B" w:rsidRDefault="00ED6A9C" w:rsidP="000F7781">
            <w:pPr>
              <w:pStyle w:val="TableTextEntries"/>
            </w:pPr>
            <w:r w:rsidRPr="00D9161B">
              <w:t xml:space="preserve">Strengthened capacity of citizens and </w:t>
            </w:r>
            <w:r>
              <w:t>civil society organisations</w:t>
            </w:r>
            <w:r w:rsidRPr="00D9161B">
              <w:t xml:space="preserve"> to engage and demand for better service delivery</w:t>
            </w:r>
          </w:p>
        </w:tc>
        <w:tc>
          <w:tcPr>
            <w:tcW w:w="974" w:type="dxa"/>
            <w:tcBorders>
              <w:top w:val="nil"/>
              <w:bottom w:val="nil"/>
            </w:tcBorders>
            <w:shd w:val="clear" w:color="auto" w:fill="92D050"/>
            <w:noWrap/>
          </w:tcPr>
          <w:p w14:paraId="20BB0164" w14:textId="77777777" w:rsidR="00ED6A9C" w:rsidRPr="00D9161B" w:rsidRDefault="00ED6A9C" w:rsidP="000F7781">
            <w:pPr>
              <w:pStyle w:val="TableTextEntries"/>
            </w:pPr>
            <w:r w:rsidRPr="00D9161B">
              <w:t>Green</w:t>
            </w:r>
          </w:p>
        </w:tc>
        <w:tc>
          <w:tcPr>
            <w:tcW w:w="936" w:type="dxa"/>
            <w:tcBorders>
              <w:top w:val="nil"/>
              <w:bottom w:val="nil"/>
            </w:tcBorders>
            <w:shd w:val="clear" w:color="auto" w:fill="92D050"/>
            <w:noWrap/>
          </w:tcPr>
          <w:p w14:paraId="15C17E9A" w14:textId="77777777" w:rsidR="00ED6A9C" w:rsidRPr="00D9161B" w:rsidRDefault="00ED6A9C" w:rsidP="000F7781">
            <w:pPr>
              <w:pStyle w:val="TableTextEntries"/>
            </w:pPr>
            <w:r w:rsidRPr="00D9161B">
              <w:t>Green</w:t>
            </w:r>
          </w:p>
        </w:tc>
      </w:tr>
      <w:tr w:rsidR="00ED6A9C" w:rsidRPr="00D9161B" w14:paraId="51A69801"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36C0A39B" w14:textId="77777777" w:rsidR="00ED6A9C" w:rsidRPr="00D9161B" w:rsidRDefault="00ED6A9C" w:rsidP="000F7781">
            <w:pPr>
              <w:pStyle w:val="TableHeading2"/>
            </w:pPr>
            <w:r w:rsidRPr="00D9161B">
              <w:t xml:space="preserve">Disaster risk management </w:t>
            </w:r>
          </w:p>
        </w:tc>
        <w:tc>
          <w:tcPr>
            <w:tcW w:w="974" w:type="dxa"/>
            <w:noWrap/>
          </w:tcPr>
          <w:p w14:paraId="17514CE0" w14:textId="77777777" w:rsidR="00ED6A9C" w:rsidRPr="00D9161B" w:rsidRDefault="00ED6A9C" w:rsidP="000F7781">
            <w:pPr>
              <w:pStyle w:val="TableTextEntries"/>
            </w:pPr>
          </w:p>
        </w:tc>
        <w:tc>
          <w:tcPr>
            <w:tcW w:w="936" w:type="dxa"/>
            <w:noWrap/>
          </w:tcPr>
          <w:p w14:paraId="60D11F31" w14:textId="77777777" w:rsidR="00ED6A9C" w:rsidRPr="00D9161B" w:rsidRDefault="00ED6A9C" w:rsidP="000F7781">
            <w:pPr>
              <w:pStyle w:val="TableTextEntries"/>
            </w:pPr>
          </w:p>
        </w:tc>
      </w:tr>
      <w:tr w:rsidR="00ED6A9C" w:rsidRPr="00D9161B" w14:paraId="08682691" w14:textId="77777777" w:rsidTr="00805D86">
        <w:trPr>
          <w:cantSplit/>
          <w:tblHeader w:val="0"/>
        </w:trPr>
        <w:tc>
          <w:tcPr>
            <w:tcW w:w="6297" w:type="dxa"/>
            <w:gridSpan w:val="2"/>
          </w:tcPr>
          <w:p w14:paraId="7F224C34" w14:textId="77777777" w:rsidR="00ED6A9C" w:rsidRPr="00D9161B" w:rsidRDefault="00ED6A9C" w:rsidP="000F7781">
            <w:pPr>
              <w:pStyle w:val="TableTextEntries"/>
            </w:pPr>
            <w:r w:rsidRPr="00D9161B">
              <w:t>Australia effectively and appropriately supports the Indonesian Government and communities to better prepare for, manage and reduce the risks of disasters (</w:t>
            </w:r>
            <w:r w:rsidRPr="00D9161B">
              <w:rPr>
                <w:i/>
              </w:rPr>
              <w:t>revised wording</w:t>
            </w:r>
            <w:r w:rsidRPr="00D9161B">
              <w:t>)</w:t>
            </w:r>
          </w:p>
        </w:tc>
        <w:tc>
          <w:tcPr>
            <w:tcW w:w="974" w:type="dxa"/>
            <w:tcBorders>
              <w:top w:val="nil"/>
              <w:bottom w:val="nil"/>
            </w:tcBorders>
            <w:shd w:val="clear" w:color="auto" w:fill="92D050"/>
            <w:noWrap/>
          </w:tcPr>
          <w:p w14:paraId="61D27208" w14:textId="77777777" w:rsidR="00ED6A9C" w:rsidRPr="00D9161B" w:rsidRDefault="00ED6A9C" w:rsidP="000F7781">
            <w:pPr>
              <w:pStyle w:val="TableTextEntries"/>
            </w:pPr>
            <w:r w:rsidRPr="00D9161B">
              <w:t>Green</w:t>
            </w:r>
          </w:p>
        </w:tc>
        <w:tc>
          <w:tcPr>
            <w:tcW w:w="936" w:type="dxa"/>
            <w:tcBorders>
              <w:top w:val="nil"/>
              <w:bottom w:val="nil"/>
            </w:tcBorders>
            <w:shd w:val="clear" w:color="auto" w:fill="92D050"/>
            <w:noWrap/>
          </w:tcPr>
          <w:p w14:paraId="41377AA0" w14:textId="77777777" w:rsidR="00ED6A9C" w:rsidRPr="00D9161B" w:rsidRDefault="00ED6A9C" w:rsidP="000F7781">
            <w:pPr>
              <w:pStyle w:val="TableTextEntries"/>
            </w:pPr>
            <w:r w:rsidRPr="00D9161B">
              <w:t>Green</w:t>
            </w:r>
          </w:p>
        </w:tc>
      </w:tr>
      <w:tr w:rsidR="00ED6A9C" w:rsidRPr="00D9161B" w14:paraId="69BC95EC"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1E9C455F" w14:textId="77777777" w:rsidR="00ED6A9C" w:rsidRPr="00D9161B" w:rsidRDefault="00ED6A9C" w:rsidP="000F7781">
            <w:pPr>
              <w:pStyle w:val="TableHeading2"/>
            </w:pPr>
            <w:r w:rsidRPr="00D9161B">
              <w:t xml:space="preserve">Economic governance </w:t>
            </w:r>
          </w:p>
        </w:tc>
        <w:tc>
          <w:tcPr>
            <w:tcW w:w="974" w:type="dxa"/>
            <w:noWrap/>
          </w:tcPr>
          <w:p w14:paraId="6C1E05EE" w14:textId="77777777" w:rsidR="00ED6A9C" w:rsidRPr="00D9161B" w:rsidRDefault="00ED6A9C" w:rsidP="000F7781">
            <w:pPr>
              <w:pStyle w:val="TableTextEntries"/>
            </w:pPr>
          </w:p>
        </w:tc>
        <w:tc>
          <w:tcPr>
            <w:tcW w:w="936" w:type="dxa"/>
            <w:noWrap/>
          </w:tcPr>
          <w:p w14:paraId="7C08694C" w14:textId="77777777" w:rsidR="00ED6A9C" w:rsidRPr="00D9161B" w:rsidRDefault="00ED6A9C" w:rsidP="000F7781">
            <w:pPr>
              <w:pStyle w:val="TableTextEntries"/>
            </w:pPr>
          </w:p>
        </w:tc>
      </w:tr>
      <w:tr w:rsidR="00ED6A9C" w:rsidRPr="00D9161B" w14:paraId="115B413B" w14:textId="77777777" w:rsidTr="00805D86">
        <w:trPr>
          <w:cantSplit/>
          <w:tblHeader w:val="0"/>
        </w:trPr>
        <w:tc>
          <w:tcPr>
            <w:tcW w:w="6297" w:type="dxa"/>
            <w:gridSpan w:val="2"/>
          </w:tcPr>
          <w:p w14:paraId="02D06EC2" w14:textId="11A8DF5F" w:rsidR="00ED6A9C" w:rsidRPr="00D9161B" w:rsidRDefault="00ED6A9C" w:rsidP="000F7781">
            <w:pPr>
              <w:pStyle w:val="TableTextEntries"/>
            </w:pPr>
            <w:r w:rsidRPr="00D9161B">
              <w:t>Improved Indonesian Government</w:t>
            </w:r>
            <w:r w:rsidRPr="00D9161B" w:rsidDel="008D1329">
              <w:t xml:space="preserve"> </w:t>
            </w:r>
            <w:r w:rsidRPr="00D9161B">
              <w:t>capacity to ensure macroeconomic and financial market stability (</w:t>
            </w:r>
            <w:r w:rsidRPr="00D9161B">
              <w:rPr>
                <w:i/>
              </w:rPr>
              <w:t>revised objective</w:t>
            </w:r>
            <w:r w:rsidRPr="00D9161B">
              <w:t>)</w:t>
            </w:r>
          </w:p>
        </w:tc>
        <w:tc>
          <w:tcPr>
            <w:tcW w:w="974" w:type="dxa"/>
            <w:tcBorders>
              <w:top w:val="nil"/>
              <w:bottom w:val="nil"/>
            </w:tcBorders>
            <w:shd w:val="clear" w:color="auto" w:fill="92D050"/>
            <w:noWrap/>
          </w:tcPr>
          <w:p w14:paraId="1135AACC" w14:textId="77777777" w:rsidR="00ED6A9C" w:rsidRPr="00D9161B" w:rsidRDefault="00ED6A9C" w:rsidP="000F7781">
            <w:pPr>
              <w:pStyle w:val="TableTextEntries"/>
            </w:pPr>
            <w:r w:rsidRPr="00D9161B">
              <w:t>Green</w:t>
            </w:r>
          </w:p>
        </w:tc>
        <w:tc>
          <w:tcPr>
            <w:tcW w:w="936" w:type="dxa"/>
            <w:noWrap/>
          </w:tcPr>
          <w:p w14:paraId="5ED7A17E" w14:textId="77777777" w:rsidR="00ED6A9C" w:rsidRPr="00D9161B" w:rsidRDefault="00ED6A9C" w:rsidP="000F7781">
            <w:pPr>
              <w:pStyle w:val="TableTextEntries"/>
            </w:pPr>
            <w:r w:rsidRPr="00D9161B">
              <w:t>N/A</w:t>
            </w:r>
          </w:p>
        </w:tc>
      </w:tr>
      <w:tr w:rsidR="00ED6A9C" w:rsidRPr="00D9161B" w14:paraId="4A08B8BE"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74E241D5" w14:textId="168E063F" w:rsidR="00ED6A9C" w:rsidRPr="00D9161B" w:rsidRDefault="00ED6A9C" w:rsidP="000F7781">
            <w:pPr>
              <w:pStyle w:val="TableTextEntries"/>
            </w:pPr>
            <w:r w:rsidRPr="00D9161B">
              <w:lastRenderedPageBreak/>
              <w:t>Improved Indonesian Government</w:t>
            </w:r>
            <w:r w:rsidRPr="00D9161B" w:rsidDel="008D1329">
              <w:t xml:space="preserve"> </w:t>
            </w:r>
            <w:r w:rsidRPr="00D9161B">
              <w:t>capacity to raise tax revenues efficiently and with integrity</w:t>
            </w:r>
          </w:p>
        </w:tc>
        <w:tc>
          <w:tcPr>
            <w:tcW w:w="974" w:type="dxa"/>
            <w:shd w:val="clear" w:color="auto" w:fill="92D050"/>
            <w:noWrap/>
          </w:tcPr>
          <w:p w14:paraId="27047A92" w14:textId="77777777" w:rsidR="00ED6A9C" w:rsidRPr="00D9161B" w:rsidRDefault="00ED6A9C" w:rsidP="000F7781">
            <w:pPr>
              <w:pStyle w:val="TableTextEntries"/>
            </w:pPr>
            <w:r w:rsidRPr="00D9161B">
              <w:t>Green</w:t>
            </w:r>
          </w:p>
        </w:tc>
        <w:tc>
          <w:tcPr>
            <w:tcW w:w="936" w:type="dxa"/>
            <w:shd w:val="clear" w:color="auto" w:fill="F79646" w:themeFill="accent6"/>
            <w:noWrap/>
          </w:tcPr>
          <w:p w14:paraId="13F57150" w14:textId="77777777" w:rsidR="00ED6A9C" w:rsidRPr="00D9161B" w:rsidRDefault="00ED6A9C" w:rsidP="000F7781">
            <w:pPr>
              <w:pStyle w:val="TableTextEntries"/>
            </w:pPr>
            <w:r w:rsidRPr="00D9161B">
              <w:t>Amber</w:t>
            </w:r>
          </w:p>
        </w:tc>
      </w:tr>
      <w:tr w:rsidR="00ED6A9C" w:rsidRPr="00D9161B" w14:paraId="16E00BD4" w14:textId="77777777" w:rsidTr="00805D86">
        <w:trPr>
          <w:cantSplit/>
          <w:tblHeader w:val="0"/>
        </w:trPr>
        <w:tc>
          <w:tcPr>
            <w:tcW w:w="6297" w:type="dxa"/>
            <w:gridSpan w:val="2"/>
          </w:tcPr>
          <w:p w14:paraId="4BA43115" w14:textId="77777777" w:rsidR="00ED6A9C" w:rsidRPr="00D9161B" w:rsidRDefault="00ED6A9C" w:rsidP="000F7781">
            <w:pPr>
              <w:pStyle w:val="TableTextEntries"/>
            </w:pPr>
            <w:r w:rsidRPr="00D9161B">
              <w:t>Improved public financial management to support quality of public spending</w:t>
            </w:r>
          </w:p>
        </w:tc>
        <w:tc>
          <w:tcPr>
            <w:tcW w:w="974" w:type="dxa"/>
            <w:tcBorders>
              <w:top w:val="nil"/>
              <w:bottom w:val="nil"/>
            </w:tcBorders>
            <w:shd w:val="clear" w:color="auto" w:fill="92D050"/>
            <w:noWrap/>
          </w:tcPr>
          <w:p w14:paraId="74FBC738" w14:textId="77777777" w:rsidR="00ED6A9C" w:rsidRPr="00D9161B" w:rsidRDefault="00ED6A9C" w:rsidP="000F7781">
            <w:pPr>
              <w:pStyle w:val="TableTextEntries"/>
            </w:pPr>
            <w:r w:rsidRPr="00D9161B">
              <w:t>Green</w:t>
            </w:r>
          </w:p>
        </w:tc>
        <w:tc>
          <w:tcPr>
            <w:tcW w:w="936" w:type="dxa"/>
            <w:tcBorders>
              <w:top w:val="nil"/>
              <w:bottom w:val="nil"/>
            </w:tcBorders>
            <w:shd w:val="clear" w:color="auto" w:fill="F79646" w:themeFill="accent6"/>
            <w:noWrap/>
          </w:tcPr>
          <w:p w14:paraId="53C3BABF" w14:textId="77777777" w:rsidR="00ED6A9C" w:rsidRPr="00D9161B" w:rsidRDefault="00ED6A9C" w:rsidP="000F7781">
            <w:pPr>
              <w:pStyle w:val="TableTextEntries"/>
            </w:pPr>
            <w:r w:rsidRPr="00D9161B">
              <w:t>Amber</w:t>
            </w:r>
          </w:p>
        </w:tc>
      </w:tr>
      <w:tr w:rsidR="00ED6A9C" w:rsidRPr="00D9161B" w14:paraId="31A308F4"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2C3280B6" w14:textId="61926458" w:rsidR="00ED6A9C" w:rsidRPr="00D9161B" w:rsidRDefault="00ED6A9C" w:rsidP="000F7781">
            <w:pPr>
              <w:pStyle w:val="TableTextEntries"/>
            </w:pPr>
            <w:r w:rsidRPr="00D9161B">
              <w:t>Improved Indonesian Government</w:t>
            </w:r>
            <w:r w:rsidRPr="00D9161B" w:rsidDel="008D1329">
              <w:t xml:space="preserve"> </w:t>
            </w:r>
            <w:r w:rsidRPr="00D9161B">
              <w:t>capacity to use trade and investment policy to promote the international competitiveness of the Indonesian economy (</w:t>
            </w:r>
            <w:r w:rsidRPr="00D9161B">
              <w:rPr>
                <w:i/>
              </w:rPr>
              <w:t>revised wording</w:t>
            </w:r>
            <w:r w:rsidRPr="00D9161B">
              <w:t>)</w:t>
            </w:r>
          </w:p>
        </w:tc>
        <w:tc>
          <w:tcPr>
            <w:tcW w:w="974" w:type="dxa"/>
            <w:shd w:val="clear" w:color="auto" w:fill="F79646" w:themeFill="accent6"/>
            <w:noWrap/>
          </w:tcPr>
          <w:p w14:paraId="28807E8A" w14:textId="77777777" w:rsidR="00ED6A9C" w:rsidRPr="00D9161B" w:rsidRDefault="00ED6A9C" w:rsidP="000F7781">
            <w:pPr>
              <w:pStyle w:val="TableTextEntries"/>
            </w:pPr>
            <w:r w:rsidRPr="00D9161B">
              <w:t>Amber</w:t>
            </w:r>
          </w:p>
        </w:tc>
        <w:tc>
          <w:tcPr>
            <w:tcW w:w="936" w:type="dxa"/>
            <w:shd w:val="clear" w:color="auto" w:fill="FF0000"/>
            <w:noWrap/>
          </w:tcPr>
          <w:p w14:paraId="1B088A01" w14:textId="77777777" w:rsidR="00ED6A9C" w:rsidRPr="00D9161B" w:rsidRDefault="00ED6A9C" w:rsidP="000F7781">
            <w:pPr>
              <w:pStyle w:val="TableTextEntries"/>
            </w:pPr>
            <w:r w:rsidRPr="00D9161B">
              <w:t>Red</w:t>
            </w:r>
          </w:p>
        </w:tc>
      </w:tr>
      <w:tr w:rsidR="00ED6A9C" w:rsidRPr="00D9161B" w14:paraId="433ABBAD" w14:textId="77777777" w:rsidTr="00805D86">
        <w:trPr>
          <w:cantSplit/>
          <w:tblHeader w:val="0"/>
        </w:trPr>
        <w:tc>
          <w:tcPr>
            <w:tcW w:w="6297" w:type="dxa"/>
            <w:gridSpan w:val="2"/>
          </w:tcPr>
          <w:p w14:paraId="569B4225" w14:textId="77777777" w:rsidR="00ED6A9C" w:rsidRPr="00D9161B" w:rsidRDefault="00ED6A9C" w:rsidP="000F7781">
            <w:pPr>
              <w:pStyle w:val="TableHeading2"/>
            </w:pPr>
            <w:r w:rsidRPr="00D9161B">
              <w:t xml:space="preserve">Elections </w:t>
            </w:r>
          </w:p>
        </w:tc>
        <w:tc>
          <w:tcPr>
            <w:tcW w:w="974" w:type="dxa"/>
            <w:noWrap/>
          </w:tcPr>
          <w:p w14:paraId="1D45668D" w14:textId="77777777" w:rsidR="00ED6A9C" w:rsidRPr="00D9161B" w:rsidRDefault="00ED6A9C" w:rsidP="000F7781">
            <w:pPr>
              <w:pStyle w:val="TableTextEntries"/>
            </w:pPr>
          </w:p>
        </w:tc>
        <w:tc>
          <w:tcPr>
            <w:tcW w:w="936" w:type="dxa"/>
            <w:noWrap/>
          </w:tcPr>
          <w:p w14:paraId="500AA3CC" w14:textId="77777777" w:rsidR="00ED6A9C" w:rsidRPr="00D9161B" w:rsidRDefault="00ED6A9C" w:rsidP="000F7781">
            <w:pPr>
              <w:pStyle w:val="TableTextEntries"/>
            </w:pPr>
          </w:p>
        </w:tc>
      </w:tr>
      <w:tr w:rsidR="00ED6A9C" w:rsidRPr="00D9161B" w14:paraId="724B8318"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3F3EAB46" w14:textId="77777777" w:rsidR="00ED6A9C" w:rsidRPr="00D9161B" w:rsidRDefault="00ED6A9C" w:rsidP="000F7781">
            <w:pPr>
              <w:pStyle w:val="TableTextEntries"/>
            </w:pPr>
            <w:r w:rsidRPr="00D9161B">
              <w:t>Improved performance of electoral management bodies in managing and delivering quality elections (local and national)</w:t>
            </w:r>
          </w:p>
        </w:tc>
        <w:tc>
          <w:tcPr>
            <w:tcW w:w="974" w:type="dxa"/>
            <w:shd w:val="clear" w:color="auto" w:fill="F79646" w:themeFill="accent6"/>
            <w:noWrap/>
          </w:tcPr>
          <w:p w14:paraId="623D6495" w14:textId="77777777" w:rsidR="00ED6A9C" w:rsidRPr="00D9161B" w:rsidRDefault="00ED6A9C" w:rsidP="000F7781">
            <w:pPr>
              <w:pStyle w:val="TableTextEntries"/>
            </w:pPr>
            <w:r w:rsidRPr="00D9161B">
              <w:t>Amber</w:t>
            </w:r>
          </w:p>
        </w:tc>
        <w:tc>
          <w:tcPr>
            <w:tcW w:w="936" w:type="dxa"/>
            <w:shd w:val="clear" w:color="auto" w:fill="F79646" w:themeFill="accent6"/>
            <w:noWrap/>
          </w:tcPr>
          <w:p w14:paraId="45F8BBDA" w14:textId="77777777" w:rsidR="00ED6A9C" w:rsidRPr="00D9161B" w:rsidRDefault="00ED6A9C" w:rsidP="000F7781">
            <w:pPr>
              <w:pStyle w:val="TableTextEntries"/>
            </w:pPr>
            <w:r w:rsidRPr="00D9161B">
              <w:t>Amber</w:t>
            </w:r>
          </w:p>
        </w:tc>
      </w:tr>
      <w:tr w:rsidR="00ED6A9C" w:rsidRPr="00D9161B" w14:paraId="1921D5BD" w14:textId="77777777" w:rsidTr="00805D86">
        <w:trPr>
          <w:cantSplit/>
          <w:tblHeader w:val="0"/>
        </w:trPr>
        <w:tc>
          <w:tcPr>
            <w:tcW w:w="6297" w:type="dxa"/>
            <w:gridSpan w:val="2"/>
          </w:tcPr>
          <w:p w14:paraId="55F114F2" w14:textId="77777777" w:rsidR="00ED6A9C" w:rsidRPr="00D9161B" w:rsidRDefault="00ED6A9C" w:rsidP="000F7781">
            <w:pPr>
              <w:pStyle w:val="TableTextEntries"/>
            </w:pPr>
            <w:r w:rsidRPr="00D9161B">
              <w:t>Increased public engagement in Indonesia’s elections and electoral systems</w:t>
            </w:r>
          </w:p>
        </w:tc>
        <w:tc>
          <w:tcPr>
            <w:tcW w:w="974" w:type="dxa"/>
            <w:tcBorders>
              <w:top w:val="nil"/>
              <w:bottom w:val="nil"/>
            </w:tcBorders>
            <w:shd w:val="clear" w:color="auto" w:fill="F79646" w:themeFill="accent6"/>
            <w:noWrap/>
          </w:tcPr>
          <w:p w14:paraId="1CBD710A" w14:textId="77777777" w:rsidR="00ED6A9C" w:rsidRPr="00D9161B" w:rsidRDefault="00ED6A9C" w:rsidP="000F7781">
            <w:pPr>
              <w:pStyle w:val="TableTextEntries"/>
            </w:pPr>
            <w:r w:rsidRPr="00D9161B">
              <w:t>Amber</w:t>
            </w:r>
          </w:p>
        </w:tc>
        <w:tc>
          <w:tcPr>
            <w:tcW w:w="936" w:type="dxa"/>
            <w:tcBorders>
              <w:top w:val="nil"/>
              <w:bottom w:val="nil"/>
            </w:tcBorders>
            <w:shd w:val="clear" w:color="auto" w:fill="F79646" w:themeFill="accent6"/>
            <w:noWrap/>
          </w:tcPr>
          <w:p w14:paraId="4BCD2C1B" w14:textId="77777777" w:rsidR="00ED6A9C" w:rsidRPr="00D9161B" w:rsidRDefault="00ED6A9C" w:rsidP="000F7781">
            <w:pPr>
              <w:pStyle w:val="TableTextEntries"/>
            </w:pPr>
            <w:r w:rsidRPr="00D9161B">
              <w:t>Amber</w:t>
            </w:r>
          </w:p>
        </w:tc>
      </w:tr>
      <w:tr w:rsidR="00ED6A9C" w:rsidRPr="00D9161B" w14:paraId="10C03590"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4211638A" w14:textId="77777777" w:rsidR="00ED6A9C" w:rsidRPr="00D9161B" w:rsidRDefault="00ED6A9C" w:rsidP="000F7781">
            <w:pPr>
              <w:pStyle w:val="TableHeading2"/>
            </w:pPr>
            <w:r w:rsidRPr="00D9161B">
              <w:t xml:space="preserve">Law and justice </w:t>
            </w:r>
          </w:p>
        </w:tc>
        <w:tc>
          <w:tcPr>
            <w:tcW w:w="974" w:type="dxa"/>
            <w:noWrap/>
          </w:tcPr>
          <w:p w14:paraId="30248198" w14:textId="77777777" w:rsidR="00ED6A9C" w:rsidRPr="00D9161B" w:rsidRDefault="00ED6A9C" w:rsidP="000F7781">
            <w:pPr>
              <w:pStyle w:val="TableTextEntries"/>
            </w:pPr>
          </w:p>
        </w:tc>
        <w:tc>
          <w:tcPr>
            <w:tcW w:w="936" w:type="dxa"/>
            <w:noWrap/>
          </w:tcPr>
          <w:p w14:paraId="40A18D8D" w14:textId="77777777" w:rsidR="00ED6A9C" w:rsidRPr="00D9161B" w:rsidRDefault="00ED6A9C" w:rsidP="000F7781">
            <w:pPr>
              <w:pStyle w:val="TableTextEntries"/>
            </w:pPr>
          </w:p>
        </w:tc>
      </w:tr>
      <w:tr w:rsidR="00ED6A9C" w:rsidRPr="00D9161B" w14:paraId="206521F3" w14:textId="77777777" w:rsidTr="00805D86">
        <w:trPr>
          <w:cantSplit/>
          <w:tblHeader w:val="0"/>
        </w:trPr>
        <w:tc>
          <w:tcPr>
            <w:tcW w:w="6297" w:type="dxa"/>
            <w:gridSpan w:val="2"/>
          </w:tcPr>
          <w:p w14:paraId="38D398E6" w14:textId="77777777" w:rsidR="00ED6A9C" w:rsidRPr="00D9161B" w:rsidRDefault="00ED6A9C" w:rsidP="000F7781">
            <w:pPr>
              <w:pStyle w:val="TableTextEntries"/>
            </w:pPr>
            <w:r w:rsidRPr="00D9161B">
              <w:t>Courts and anti-corruption prosecutors are delivering better quality legal information and services</w:t>
            </w:r>
          </w:p>
        </w:tc>
        <w:tc>
          <w:tcPr>
            <w:tcW w:w="974" w:type="dxa"/>
            <w:tcBorders>
              <w:top w:val="nil"/>
              <w:bottom w:val="nil"/>
            </w:tcBorders>
            <w:shd w:val="clear" w:color="auto" w:fill="F79646" w:themeFill="accent6"/>
            <w:noWrap/>
          </w:tcPr>
          <w:p w14:paraId="289D8340" w14:textId="77777777" w:rsidR="00ED6A9C" w:rsidRPr="00D9161B" w:rsidRDefault="00ED6A9C" w:rsidP="000F7781">
            <w:pPr>
              <w:pStyle w:val="TableTextEntries"/>
            </w:pPr>
            <w:r w:rsidRPr="00D9161B">
              <w:t>Amber</w:t>
            </w:r>
          </w:p>
        </w:tc>
        <w:tc>
          <w:tcPr>
            <w:tcW w:w="936" w:type="dxa"/>
            <w:tcBorders>
              <w:top w:val="nil"/>
              <w:bottom w:val="nil"/>
            </w:tcBorders>
            <w:shd w:val="clear" w:color="auto" w:fill="F79646" w:themeFill="accent6"/>
            <w:noWrap/>
          </w:tcPr>
          <w:p w14:paraId="30C21324" w14:textId="77777777" w:rsidR="00ED6A9C" w:rsidRPr="00D9161B" w:rsidRDefault="00ED6A9C" w:rsidP="000F7781">
            <w:pPr>
              <w:pStyle w:val="TableTextEntries"/>
            </w:pPr>
            <w:r w:rsidRPr="00D9161B">
              <w:t>Amber</w:t>
            </w:r>
          </w:p>
        </w:tc>
      </w:tr>
      <w:tr w:rsidR="00ED6A9C" w:rsidRPr="00D9161B" w14:paraId="1669A965"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62D420E5" w14:textId="77777777" w:rsidR="00ED6A9C" w:rsidRPr="00D9161B" w:rsidRDefault="00ED6A9C" w:rsidP="000F7781">
            <w:pPr>
              <w:pStyle w:val="TableTextEntries"/>
            </w:pPr>
            <w:r w:rsidRPr="00D9161B">
              <w:t>A greater number of poor and marginalised Indonesians are able to access legal aid services and legal identity documents (</w:t>
            </w:r>
            <w:r w:rsidRPr="00D9161B">
              <w:rPr>
                <w:i/>
              </w:rPr>
              <w:t>revised objective</w:t>
            </w:r>
            <w:r w:rsidRPr="00D9161B">
              <w:t>)</w:t>
            </w:r>
          </w:p>
        </w:tc>
        <w:tc>
          <w:tcPr>
            <w:tcW w:w="974" w:type="dxa"/>
            <w:shd w:val="clear" w:color="auto" w:fill="F79646" w:themeFill="accent6"/>
            <w:noWrap/>
          </w:tcPr>
          <w:p w14:paraId="7EFEE52D" w14:textId="77777777" w:rsidR="00ED6A9C" w:rsidRPr="00D9161B" w:rsidRDefault="00ED6A9C" w:rsidP="000F7781">
            <w:pPr>
              <w:pStyle w:val="TableTextEntries"/>
            </w:pPr>
            <w:r w:rsidRPr="00D9161B">
              <w:t>Amber</w:t>
            </w:r>
          </w:p>
        </w:tc>
        <w:tc>
          <w:tcPr>
            <w:tcW w:w="936" w:type="dxa"/>
            <w:noWrap/>
          </w:tcPr>
          <w:p w14:paraId="20BD3A13" w14:textId="77777777" w:rsidR="00ED6A9C" w:rsidRPr="00D9161B" w:rsidRDefault="00ED6A9C" w:rsidP="000F7781">
            <w:pPr>
              <w:pStyle w:val="TableTextEntries"/>
            </w:pPr>
            <w:r w:rsidRPr="00D9161B">
              <w:t>N/A</w:t>
            </w:r>
          </w:p>
        </w:tc>
      </w:tr>
      <w:tr w:rsidR="00ED6A9C" w:rsidRPr="00D9161B" w14:paraId="07193C0E" w14:textId="77777777" w:rsidTr="00805D86">
        <w:trPr>
          <w:cantSplit/>
          <w:tblHeader w:val="0"/>
        </w:trPr>
        <w:tc>
          <w:tcPr>
            <w:tcW w:w="6297" w:type="dxa"/>
            <w:gridSpan w:val="2"/>
          </w:tcPr>
          <w:p w14:paraId="6E944DE6" w14:textId="77777777" w:rsidR="00ED6A9C" w:rsidRPr="00D9161B" w:rsidRDefault="00ED6A9C" w:rsidP="000F7781">
            <w:pPr>
              <w:pStyle w:val="TableHeading2"/>
            </w:pPr>
            <w:r w:rsidRPr="00D9161B">
              <w:t xml:space="preserve">Rural </w:t>
            </w:r>
            <w:r>
              <w:t>livelihoods</w:t>
            </w:r>
            <w:r w:rsidRPr="00D9161B">
              <w:t xml:space="preserve"> and agribusiness </w:t>
            </w:r>
          </w:p>
        </w:tc>
        <w:tc>
          <w:tcPr>
            <w:tcW w:w="974" w:type="dxa"/>
            <w:noWrap/>
          </w:tcPr>
          <w:p w14:paraId="4A7D51F6" w14:textId="77777777" w:rsidR="00ED6A9C" w:rsidRPr="00D9161B" w:rsidRDefault="00ED6A9C" w:rsidP="000F7781">
            <w:pPr>
              <w:pStyle w:val="TableTextEntries"/>
            </w:pPr>
          </w:p>
        </w:tc>
        <w:tc>
          <w:tcPr>
            <w:tcW w:w="936" w:type="dxa"/>
            <w:noWrap/>
          </w:tcPr>
          <w:p w14:paraId="4E434E22" w14:textId="77777777" w:rsidR="00ED6A9C" w:rsidRPr="00D9161B" w:rsidRDefault="00ED6A9C" w:rsidP="000F7781">
            <w:pPr>
              <w:pStyle w:val="TableTextEntries"/>
            </w:pPr>
          </w:p>
        </w:tc>
      </w:tr>
      <w:tr w:rsidR="00ED6A9C" w:rsidRPr="00D9161B" w14:paraId="20A5D991"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6E21A66C" w14:textId="48206C6B" w:rsidR="00ED6A9C" w:rsidRPr="00D9161B" w:rsidRDefault="00ED6A9C" w:rsidP="000F7781">
            <w:pPr>
              <w:pStyle w:val="TableTextEntries"/>
            </w:pPr>
            <w:r w:rsidRPr="00D9161B">
              <w:t>Increased access of smallholder farmers to economic opportunities (</w:t>
            </w:r>
            <w:r w:rsidRPr="00D9161B">
              <w:rPr>
                <w:i/>
              </w:rPr>
              <w:t>revised objective</w:t>
            </w:r>
            <w:r w:rsidRPr="00D9161B">
              <w:t>)</w:t>
            </w:r>
          </w:p>
        </w:tc>
        <w:tc>
          <w:tcPr>
            <w:tcW w:w="974" w:type="dxa"/>
            <w:shd w:val="clear" w:color="auto" w:fill="F79646" w:themeFill="accent6"/>
            <w:noWrap/>
          </w:tcPr>
          <w:p w14:paraId="1BFA6610" w14:textId="77777777" w:rsidR="00ED6A9C" w:rsidRPr="00D9161B" w:rsidRDefault="00ED6A9C" w:rsidP="000F7781">
            <w:pPr>
              <w:pStyle w:val="TableTextEntries"/>
            </w:pPr>
            <w:r w:rsidRPr="00D9161B">
              <w:t>Amber</w:t>
            </w:r>
          </w:p>
        </w:tc>
        <w:tc>
          <w:tcPr>
            <w:tcW w:w="936" w:type="dxa"/>
            <w:noWrap/>
          </w:tcPr>
          <w:p w14:paraId="1CDE8BCC" w14:textId="77777777" w:rsidR="00ED6A9C" w:rsidRPr="00D9161B" w:rsidRDefault="00ED6A9C" w:rsidP="000F7781">
            <w:pPr>
              <w:pStyle w:val="TableTextEntries"/>
            </w:pPr>
            <w:r w:rsidRPr="00D9161B">
              <w:t>N/A</w:t>
            </w:r>
          </w:p>
        </w:tc>
      </w:tr>
      <w:tr w:rsidR="00ED6A9C" w:rsidRPr="00D9161B" w14:paraId="36FE49AD" w14:textId="77777777" w:rsidTr="00805D86">
        <w:trPr>
          <w:cantSplit/>
          <w:tblHeader w:val="0"/>
        </w:trPr>
        <w:tc>
          <w:tcPr>
            <w:tcW w:w="6297" w:type="dxa"/>
            <w:gridSpan w:val="2"/>
          </w:tcPr>
          <w:p w14:paraId="15985BF5" w14:textId="77777777" w:rsidR="00ED6A9C" w:rsidRPr="00D9161B" w:rsidRDefault="00ED6A9C" w:rsidP="000F7781">
            <w:pPr>
              <w:pStyle w:val="TableHeading2"/>
            </w:pPr>
            <w:r w:rsidRPr="00D9161B">
              <w:t xml:space="preserve">Scholarships </w:t>
            </w:r>
          </w:p>
        </w:tc>
        <w:tc>
          <w:tcPr>
            <w:tcW w:w="974" w:type="dxa"/>
            <w:noWrap/>
          </w:tcPr>
          <w:p w14:paraId="110C7609" w14:textId="77777777" w:rsidR="00ED6A9C" w:rsidRPr="00D9161B" w:rsidRDefault="00ED6A9C" w:rsidP="000F7781">
            <w:pPr>
              <w:pStyle w:val="TableTextEntries"/>
            </w:pPr>
          </w:p>
        </w:tc>
        <w:tc>
          <w:tcPr>
            <w:tcW w:w="936" w:type="dxa"/>
            <w:noWrap/>
          </w:tcPr>
          <w:p w14:paraId="276DB67B" w14:textId="77777777" w:rsidR="00ED6A9C" w:rsidRPr="00D9161B" w:rsidRDefault="00ED6A9C" w:rsidP="000F7781">
            <w:pPr>
              <w:pStyle w:val="TableTextEntries"/>
            </w:pPr>
          </w:p>
        </w:tc>
      </w:tr>
      <w:tr w:rsidR="00ED6A9C" w:rsidRPr="00D9161B" w14:paraId="6D74A83A"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297" w:type="dxa"/>
            <w:gridSpan w:val="2"/>
          </w:tcPr>
          <w:p w14:paraId="545D4624" w14:textId="6493B014" w:rsidR="00ED6A9C" w:rsidRPr="00D9161B" w:rsidRDefault="00ED6A9C" w:rsidP="000F7781">
            <w:pPr>
              <w:pStyle w:val="TableTextEntries"/>
            </w:pPr>
            <w:r w:rsidRPr="00D9161B">
              <w:t>Developing people</w:t>
            </w:r>
            <w:r>
              <w:t>-</w:t>
            </w:r>
            <w:r w:rsidRPr="00D9161B">
              <w:t>to</w:t>
            </w:r>
            <w:r>
              <w:t>-</w:t>
            </w:r>
            <w:r w:rsidRPr="00D9161B">
              <w:t>people linkages between Indonesia and Australia (</w:t>
            </w:r>
            <w:r w:rsidRPr="00D9161B">
              <w:rPr>
                <w:i/>
              </w:rPr>
              <w:t>revised wording</w:t>
            </w:r>
            <w:r w:rsidRPr="00D9161B">
              <w:t>)</w:t>
            </w:r>
          </w:p>
        </w:tc>
        <w:tc>
          <w:tcPr>
            <w:tcW w:w="974" w:type="dxa"/>
            <w:shd w:val="clear" w:color="auto" w:fill="92D050"/>
            <w:noWrap/>
          </w:tcPr>
          <w:p w14:paraId="1958BA2F" w14:textId="77777777" w:rsidR="00ED6A9C" w:rsidRPr="00D9161B" w:rsidRDefault="00ED6A9C" w:rsidP="000F7781">
            <w:pPr>
              <w:pStyle w:val="TableTextEntries"/>
            </w:pPr>
            <w:r w:rsidRPr="00D9161B">
              <w:t>Green</w:t>
            </w:r>
          </w:p>
        </w:tc>
        <w:tc>
          <w:tcPr>
            <w:tcW w:w="936" w:type="dxa"/>
            <w:shd w:val="clear" w:color="auto" w:fill="92D050"/>
            <w:noWrap/>
          </w:tcPr>
          <w:p w14:paraId="0D220709" w14:textId="77777777" w:rsidR="00ED6A9C" w:rsidRPr="00D9161B" w:rsidRDefault="00ED6A9C" w:rsidP="000F7781">
            <w:pPr>
              <w:pStyle w:val="TableTextEntries"/>
            </w:pPr>
            <w:r w:rsidRPr="00D9161B">
              <w:t>Green</w:t>
            </w:r>
          </w:p>
        </w:tc>
      </w:tr>
    </w:tbl>
    <w:p w14:paraId="6EF20BAB" w14:textId="77777777" w:rsidR="00805D86" w:rsidRPr="00780026" w:rsidRDefault="00805D86" w:rsidP="00805D86">
      <w:pPr>
        <w:pStyle w:val="Note"/>
      </w:pPr>
      <w:bookmarkStart w:id="10" w:name="_Toc359585083"/>
      <w:bookmarkStart w:id="11" w:name="_Toc363804107"/>
      <w:r w:rsidRPr="00780026">
        <w:t xml:space="preserve">Note: </w:t>
      </w:r>
    </w:p>
    <w:p w14:paraId="56B69941" w14:textId="77777777" w:rsidR="00805D86" w:rsidRPr="00780026" w:rsidRDefault="00805D86" w:rsidP="00805D86">
      <w:pPr>
        <w:pStyle w:val="Note"/>
      </w:pPr>
      <w:r w:rsidRPr="00780026">
        <w:rPr>
          <w:color w:val="92D050"/>
        </w:rPr>
        <w:sym w:font="Webdings" w:char="F067"/>
      </w:r>
      <w:r w:rsidRPr="00780026">
        <w:t> </w:t>
      </w:r>
      <w:r w:rsidRPr="00780026">
        <w:t xml:space="preserve"> </w:t>
      </w:r>
      <w:proofErr w:type="gramStart"/>
      <w:r w:rsidRPr="00780026">
        <w:t>Green.</w:t>
      </w:r>
      <w:proofErr w:type="gramEnd"/>
      <w:r w:rsidRPr="00780026">
        <w:t xml:space="preserve"> Progress is as expected for this point in time and it is likely that the objective will be achieved. Standard program management practices are sufficient.</w:t>
      </w:r>
    </w:p>
    <w:p w14:paraId="36222F4D" w14:textId="77777777" w:rsidR="00805D86" w:rsidRPr="00780026" w:rsidRDefault="00805D86" w:rsidP="00805D86">
      <w:pPr>
        <w:pStyle w:val="Note"/>
      </w:pPr>
      <w:r w:rsidRPr="00780026">
        <w:rPr>
          <w:color w:val="F79646" w:themeColor="accent6"/>
        </w:rPr>
        <w:sym w:font="Webdings" w:char="F067"/>
      </w:r>
      <w:r w:rsidRPr="00780026">
        <w:t> </w:t>
      </w:r>
      <w:r w:rsidRPr="00780026">
        <w:t xml:space="preserve"> Amber. Progress is somewhat less than expected for this point in time and restorative action will be necessary if the objective is to be achieved. Close performance monitoring is recommended.</w:t>
      </w:r>
    </w:p>
    <w:p w14:paraId="587D6AE6" w14:textId="77777777" w:rsidR="00805D86" w:rsidRDefault="00805D86" w:rsidP="00805D86">
      <w:pPr>
        <w:pStyle w:val="Note"/>
      </w:pPr>
      <w:r w:rsidRPr="00780026">
        <w:rPr>
          <w:color w:val="FF0000"/>
        </w:rPr>
        <w:sym w:font="Webdings" w:char="F067"/>
      </w:r>
      <w:r w:rsidRPr="00780026">
        <w:t> </w:t>
      </w:r>
      <w:r w:rsidRPr="00780026">
        <w:t xml:space="preserve"> </w:t>
      </w:r>
      <w:proofErr w:type="gramStart"/>
      <w:r w:rsidRPr="00780026">
        <w:t>Red.</w:t>
      </w:r>
      <w:proofErr w:type="gramEnd"/>
      <w:r w:rsidRPr="00780026">
        <w:t xml:space="preserve"> Progress is significantly less than expected for this point in time and the objective is not likely to be met given available resources and priorities. Recasting the objective may be required. </w:t>
      </w:r>
    </w:p>
    <w:p w14:paraId="2F66AF9C" w14:textId="77777777" w:rsidR="0095742A" w:rsidRPr="000F7781" w:rsidRDefault="0095742A" w:rsidP="000F7781">
      <w:pPr>
        <w:pStyle w:val="Heading1"/>
      </w:pPr>
      <w:r w:rsidRPr="000F7781">
        <w:t>Summary of results</w:t>
      </w:r>
      <w:bookmarkEnd w:id="10"/>
      <w:bookmarkEnd w:id="11"/>
      <w:r w:rsidRPr="000F7781">
        <w:t xml:space="preserve"> </w:t>
      </w:r>
    </w:p>
    <w:p w14:paraId="116BB4F0" w14:textId="1D72B7C6" w:rsidR="00AA37A8" w:rsidRPr="00F71581" w:rsidRDefault="00AA37A8" w:rsidP="004923C5">
      <w:pPr>
        <w:pStyle w:val="BodyText"/>
      </w:pPr>
      <w:r w:rsidRPr="00F71581">
        <w:t xml:space="preserve">The Indonesia country program was </w:t>
      </w:r>
      <w:r w:rsidR="006A779C">
        <w:t xml:space="preserve">Australia’s </w:t>
      </w:r>
      <w:r w:rsidRPr="00F71581">
        <w:t xml:space="preserve">largest </w:t>
      </w:r>
      <w:r w:rsidR="006A779C">
        <w:t xml:space="preserve">aid program </w:t>
      </w:r>
      <w:r w:rsidRPr="00F71581">
        <w:t>in 2012</w:t>
      </w:r>
      <w:r w:rsidR="00ED5116">
        <w:t>–</w:t>
      </w:r>
      <w:r w:rsidRPr="00F71581">
        <w:t xml:space="preserve">13, supporting the </w:t>
      </w:r>
      <w:r w:rsidR="000A11DD">
        <w:t>Indonesian Government</w:t>
      </w:r>
      <w:r w:rsidRPr="00F71581">
        <w:t xml:space="preserve"> to pursue its development priorities across 14 sectors.</w:t>
      </w:r>
      <w:r w:rsidR="00B525E5">
        <w:t xml:space="preserve"> </w:t>
      </w:r>
    </w:p>
    <w:p w14:paraId="6C0916AE" w14:textId="6DD00D6B" w:rsidR="00AA37A8" w:rsidRPr="00F71581" w:rsidRDefault="00AA37A8" w:rsidP="004923C5">
      <w:pPr>
        <w:pStyle w:val="BodyText"/>
      </w:pPr>
      <w:r w:rsidRPr="00F71581">
        <w:t xml:space="preserve">The </w:t>
      </w:r>
      <w:r w:rsidRPr="00F71581">
        <w:rPr>
          <w:b/>
        </w:rPr>
        <w:t xml:space="preserve">education </w:t>
      </w:r>
      <w:r w:rsidRPr="00F71581">
        <w:t>sector is a high priority f</w:t>
      </w:r>
      <w:r w:rsidR="003100A0">
        <w:t xml:space="preserve">or the </w:t>
      </w:r>
      <w:r w:rsidR="000A11DD">
        <w:t>Indonesian Government</w:t>
      </w:r>
      <w:r w:rsidR="00ED5116">
        <w:t xml:space="preserve"> and </w:t>
      </w:r>
      <w:r w:rsidRPr="00F71581">
        <w:t>20</w:t>
      </w:r>
      <w:r w:rsidR="00E668A5">
        <w:t xml:space="preserve"> per cent</w:t>
      </w:r>
      <w:r w:rsidRPr="00F71581">
        <w:t xml:space="preserve"> of the government’s budget </w:t>
      </w:r>
      <w:r w:rsidR="003100A0">
        <w:t xml:space="preserve">is </w:t>
      </w:r>
      <w:r w:rsidRPr="00F71581">
        <w:t xml:space="preserve">spent in the sector each year. While significant achievements have been made in increasing school participation rates at the primary and junior secondary levels, results from international standardised tests indicate that education quality remains a serious issue. </w:t>
      </w:r>
      <w:r w:rsidR="006D31A1">
        <w:t xml:space="preserve">Australia </w:t>
      </w:r>
      <w:r w:rsidR="00ED5116">
        <w:t xml:space="preserve">is </w:t>
      </w:r>
      <w:r w:rsidRPr="00F71581">
        <w:t>working with the Ministry of Education and Culture and the Ministry of Religious Affairs toward their objectives. Australia’s flagship program in the sector</w:t>
      </w:r>
      <w:r w:rsidR="00ED5116">
        <w:t>––</w:t>
      </w:r>
      <w:r w:rsidRPr="00F71581">
        <w:t>the Education Partnership 2011</w:t>
      </w:r>
      <w:r w:rsidR="00ED5116">
        <w:t>–</w:t>
      </w:r>
      <w:r w:rsidRPr="00F71581">
        <w:t>2016</w:t>
      </w:r>
      <w:r w:rsidR="00ED5116">
        <w:t>––</w:t>
      </w:r>
      <w:r w:rsidRPr="00F71581">
        <w:t>contributes to increased access to education at the junior secondary level, through school construction</w:t>
      </w:r>
      <w:r w:rsidR="00ED5116">
        <w:t>,</w:t>
      </w:r>
      <w:r w:rsidR="00ED5116" w:rsidRPr="00F71581">
        <w:t xml:space="preserve"> </w:t>
      </w:r>
      <w:r w:rsidRPr="00F71581">
        <w:t xml:space="preserve">improved education quality through better </w:t>
      </w:r>
      <w:r w:rsidR="00ED5116" w:rsidRPr="00F71581">
        <w:t>school</w:t>
      </w:r>
      <w:r w:rsidR="00ED5116">
        <w:t>-</w:t>
      </w:r>
      <w:r w:rsidRPr="00F71581">
        <w:t>based management and accreditation of schools (</w:t>
      </w:r>
      <w:r w:rsidRPr="00E668A5">
        <w:rPr>
          <w:i/>
        </w:rPr>
        <w:t>madrasah</w:t>
      </w:r>
      <w:r w:rsidRPr="00F71581">
        <w:t>) in the Islamic education sector</w:t>
      </w:r>
      <w:r w:rsidR="00D40C29">
        <w:t>,</w:t>
      </w:r>
      <w:r w:rsidR="00D40C29" w:rsidRPr="00F71581">
        <w:t xml:space="preserve"> </w:t>
      </w:r>
      <w:r w:rsidRPr="00F71581">
        <w:t>and more informed policy-making through access to high quality research and analysis.</w:t>
      </w:r>
      <w:r w:rsidR="00B525E5">
        <w:t xml:space="preserve"> </w:t>
      </w:r>
      <w:r w:rsidRPr="00F71581">
        <w:t xml:space="preserve">We also provide targeted support to the provinces of Aceh, Papua and West Papua to improve education policy and service delivery, </w:t>
      </w:r>
      <w:proofErr w:type="gramStart"/>
      <w:r w:rsidRPr="00F71581">
        <w:t xml:space="preserve">and </w:t>
      </w:r>
      <w:r w:rsidR="00D40C29">
        <w:t xml:space="preserve"> </w:t>
      </w:r>
      <w:r w:rsidRPr="00F71581">
        <w:t>support</w:t>
      </w:r>
      <w:proofErr w:type="gramEnd"/>
      <w:r w:rsidRPr="00F71581">
        <w:t xml:space="preserve"> school partnerships between Australian and Indonesian schools through the Building Relations </w:t>
      </w:r>
      <w:r w:rsidR="008621C7">
        <w:t>t</w:t>
      </w:r>
      <w:r w:rsidRPr="00F71581">
        <w:t>hrough Intercultural Dialogue and Engagement (BRIDGE) program.</w:t>
      </w:r>
    </w:p>
    <w:p w14:paraId="33B7F398" w14:textId="38E8116C" w:rsidR="00AA37A8" w:rsidRPr="00F71581" w:rsidRDefault="00AA37A8" w:rsidP="004923C5">
      <w:pPr>
        <w:pStyle w:val="BodyText"/>
      </w:pPr>
      <w:r w:rsidRPr="00F71581">
        <w:t xml:space="preserve">In 2012 we began </w:t>
      </w:r>
      <w:r w:rsidR="00D40C29">
        <w:t>building</w:t>
      </w:r>
      <w:r w:rsidR="00D40C29" w:rsidRPr="00F71581">
        <w:t xml:space="preserve"> </w:t>
      </w:r>
      <w:r w:rsidRPr="00F71581">
        <w:t>451 junior secondary schools, with 95</w:t>
      </w:r>
      <w:r w:rsidR="00D40C29">
        <w:t xml:space="preserve"> per cent</w:t>
      </w:r>
      <w:r w:rsidR="00D40C29" w:rsidRPr="00F71581">
        <w:t xml:space="preserve"> </w:t>
      </w:r>
      <w:r w:rsidRPr="00F71581">
        <w:t xml:space="preserve">expected to be operational by the 2013 school year. Significant training </w:t>
      </w:r>
      <w:r w:rsidR="00D40C29">
        <w:t>for</w:t>
      </w:r>
      <w:r w:rsidR="00D40C29" w:rsidRPr="00F71581">
        <w:t xml:space="preserve"> </w:t>
      </w:r>
      <w:r w:rsidRPr="00F71581">
        <w:t xml:space="preserve">school principals (1240), aspiring school principals (1728), district education officials (1340) and provincial education officials </w:t>
      </w:r>
      <w:r w:rsidRPr="00F71581">
        <w:lastRenderedPageBreak/>
        <w:t xml:space="preserve">(1340) was conducted to build the professionalism and leadership of principals and to improve the selection and management of this vital human resource. </w:t>
      </w:r>
      <w:r w:rsidR="0054203D">
        <w:t>In all Australia helped trained over 19</w:t>
      </w:r>
      <w:r w:rsidR="00D40C29">
        <w:t xml:space="preserve"> </w:t>
      </w:r>
      <w:r w:rsidR="0054203D">
        <w:t xml:space="preserve">000 </w:t>
      </w:r>
      <w:r w:rsidR="00C61DF2">
        <w:t xml:space="preserve">of the government’s school </w:t>
      </w:r>
      <w:r w:rsidR="0054203D">
        <w:t>officials</w:t>
      </w:r>
      <w:r w:rsidR="00C61DF2">
        <w:t xml:space="preserve"> in 2012</w:t>
      </w:r>
      <w:r w:rsidR="00D40C29">
        <w:t>–</w:t>
      </w:r>
      <w:r w:rsidR="00C61DF2">
        <w:t xml:space="preserve">13. </w:t>
      </w:r>
      <w:r w:rsidRPr="00F71581">
        <w:t xml:space="preserve">Meanwhile, </w:t>
      </w:r>
      <w:r w:rsidR="00D40C29">
        <w:t>our</w:t>
      </w:r>
      <w:r w:rsidR="00D40C29" w:rsidRPr="00F71581">
        <w:t xml:space="preserve"> </w:t>
      </w:r>
      <w:r w:rsidRPr="00F71581">
        <w:t xml:space="preserve">partnership with </w:t>
      </w:r>
      <w:r w:rsidR="00D40C29">
        <w:t xml:space="preserve">the </w:t>
      </w:r>
      <w:r w:rsidRPr="00F71581">
        <w:t>U</w:t>
      </w:r>
      <w:r w:rsidR="00D40C29">
        <w:t xml:space="preserve">nited </w:t>
      </w:r>
      <w:r w:rsidRPr="00F71581">
        <w:t>N</w:t>
      </w:r>
      <w:r w:rsidR="00D40C29">
        <w:t xml:space="preserve">ations </w:t>
      </w:r>
      <w:r w:rsidRPr="00F71581">
        <w:t>C</w:t>
      </w:r>
      <w:r w:rsidR="00D40C29">
        <w:t xml:space="preserve">hildren’s </w:t>
      </w:r>
      <w:r w:rsidRPr="00F71581">
        <w:t>F</w:t>
      </w:r>
      <w:r w:rsidR="00D40C29">
        <w:t>und</w:t>
      </w:r>
      <w:r w:rsidRPr="00F71581">
        <w:t xml:space="preserve"> is providing the only bilateral donor support in the education sector in Papua and West Papua at this time. Primary and secondary enrolment levels in these provinces are well below the national average and the partnership is working with schools to implement more effective early grade teaching, providing the foundation for future participation and learning in school.</w:t>
      </w:r>
      <w:r w:rsidR="00B525E5">
        <w:t xml:space="preserve"> </w:t>
      </w:r>
      <w:r w:rsidRPr="00F71581">
        <w:t xml:space="preserve">In 2012, 16 Indonesian schools developed partnerships with Australian schools with support </w:t>
      </w:r>
      <w:r w:rsidR="00D40C29">
        <w:t>from</w:t>
      </w:r>
      <w:r w:rsidR="00D40C29" w:rsidRPr="00F71581">
        <w:t xml:space="preserve"> </w:t>
      </w:r>
      <w:r w:rsidRPr="00F71581">
        <w:t>the BRIDGE program.</w:t>
      </w:r>
      <w:r w:rsidR="00B525E5">
        <w:t xml:space="preserve"> </w:t>
      </w:r>
      <w:r w:rsidRPr="00F71581">
        <w:t xml:space="preserve">A further 16 partnerships were formed in the first </w:t>
      </w:r>
      <w:r w:rsidR="00D40C29">
        <w:t>six</w:t>
      </w:r>
      <w:r w:rsidR="00D40C29" w:rsidRPr="00F71581">
        <w:t xml:space="preserve"> </w:t>
      </w:r>
      <w:r w:rsidRPr="00F71581">
        <w:t>months of 2013.</w:t>
      </w:r>
      <w:r w:rsidR="00B525E5">
        <w:t xml:space="preserve"> </w:t>
      </w:r>
      <w:r w:rsidR="00145765">
        <w:t xml:space="preserve">The program facilitates student-to-student learning, and </w:t>
      </w:r>
      <w:r w:rsidRPr="00F71581">
        <w:t xml:space="preserve">supports </w:t>
      </w:r>
      <w:r w:rsidR="00145765">
        <w:t xml:space="preserve">teacher </w:t>
      </w:r>
      <w:r w:rsidRPr="00F71581">
        <w:t xml:space="preserve">training </w:t>
      </w:r>
      <w:r w:rsidR="00145765">
        <w:t xml:space="preserve">and </w:t>
      </w:r>
      <w:r w:rsidRPr="00F71581">
        <w:t>exchange programs.</w:t>
      </w:r>
    </w:p>
    <w:p w14:paraId="3308D4BA" w14:textId="39F14044" w:rsidR="00AA37A8" w:rsidRPr="00F71581" w:rsidRDefault="00145765" w:rsidP="004923C5">
      <w:pPr>
        <w:pStyle w:val="BodyText"/>
      </w:pPr>
      <w:r>
        <w:t>Government</w:t>
      </w:r>
      <w:r w:rsidR="00AA37A8" w:rsidRPr="00F71581">
        <w:t xml:space="preserve"> </w:t>
      </w:r>
      <w:r>
        <w:t>financing of</w:t>
      </w:r>
      <w:r w:rsidR="00AA37A8" w:rsidRPr="00F71581">
        <w:t xml:space="preserve"> </w:t>
      </w:r>
      <w:r w:rsidR="00AA37A8" w:rsidRPr="00F71581">
        <w:rPr>
          <w:b/>
        </w:rPr>
        <w:t>health</w:t>
      </w:r>
      <w:r w:rsidR="00AA37A8" w:rsidRPr="00F71581">
        <w:t xml:space="preserve"> is low compared </w:t>
      </w:r>
      <w:r>
        <w:t>with</w:t>
      </w:r>
      <w:r w:rsidR="00AA37A8" w:rsidRPr="00F71581">
        <w:t xml:space="preserve"> othe</w:t>
      </w:r>
      <w:r>
        <w:t>r lower middle-income countries</w:t>
      </w:r>
      <w:r w:rsidR="00AA37A8" w:rsidRPr="00F71581">
        <w:t xml:space="preserve"> </w:t>
      </w:r>
      <w:r>
        <w:t>at</w:t>
      </w:r>
      <w:r w:rsidR="00AA37A8" w:rsidRPr="00F71581">
        <w:t xml:space="preserve"> around </w:t>
      </w:r>
      <w:r w:rsidR="00D40C29">
        <w:t>one per cent</w:t>
      </w:r>
      <w:r w:rsidR="00AA37A8" w:rsidRPr="00F71581">
        <w:t xml:space="preserve"> of GDP</w:t>
      </w:r>
      <w:r w:rsidR="00D40C29">
        <w:t>. O</w:t>
      </w:r>
      <w:r w:rsidR="00136B06">
        <w:t xml:space="preserve">verall </w:t>
      </w:r>
      <w:r>
        <w:t>total</w:t>
      </w:r>
      <w:r w:rsidR="00E50156">
        <w:t xml:space="preserve"> annual health sector expenditure</w:t>
      </w:r>
      <w:r w:rsidR="001C2F32">
        <w:t xml:space="preserve"> (</w:t>
      </w:r>
      <w:r w:rsidR="00E50156">
        <w:t>which includes patient expe</w:t>
      </w:r>
      <w:r w:rsidR="001C2F32">
        <w:t>nditure and donor contributions in addition to government financing)</w:t>
      </w:r>
      <w:r w:rsidR="00E50156">
        <w:t xml:space="preserve"> is </w:t>
      </w:r>
      <w:r w:rsidR="00136B06">
        <w:t xml:space="preserve">only at an </w:t>
      </w:r>
      <w:r w:rsidR="00E50156">
        <w:t>equivalent of</w:t>
      </w:r>
      <w:r w:rsidR="00AA37A8" w:rsidRPr="00F71581">
        <w:t xml:space="preserve"> 2.2</w:t>
      </w:r>
      <w:r w:rsidR="00D40C29">
        <w:t xml:space="preserve"> per cent</w:t>
      </w:r>
      <w:r w:rsidR="00D40C29" w:rsidRPr="00F71581">
        <w:t xml:space="preserve"> </w:t>
      </w:r>
      <w:r w:rsidR="00E50156">
        <w:t xml:space="preserve">of </w:t>
      </w:r>
      <w:r w:rsidR="001C2F32">
        <w:t xml:space="preserve">GDP. This compares to </w:t>
      </w:r>
      <w:r w:rsidR="00E50156">
        <w:t>an</w:t>
      </w:r>
      <w:r w:rsidR="001C2F32">
        <w:t xml:space="preserve"> average of 4.3</w:t>
      </w:r>
      <w:r w:rsidR="00D40C29">
        <w:t xml:space="preserve"> per cent </w:t>
      </w:r>
      <w:r w:rsidR="001C2F32">
        <w:t>across lower middle-income countries</w:t>
      </w:r>
      <w:r w:rsidR="00AA37A8" w:rsidRPr="00F71581">
        <w:t>.</w:t>
      </w:r>
      <w:r>
        <w:t xml:space="preserve"> </w:t>
      </w:r>
      <w:r w:rsidR="00A4732C">
        <w:t xml:space="preserve">Australia’s </w:t>
      </w:r>
      <w:r>
        <w:t>health partnership aims</w:t>
      </w:r>
      <w:r w:rsidR="00AA37A8" w:rsidRPr="00F71581">
        <w:t xml:space="preserve"> to support the </w:t>
      </w:r>
      <w:r w:rsidR="000A11DD">
        <w:t>Indonesian Government</w:t>
      </w:r>
      <w:r w:rsidR="00AA37A8" w:rsidRPr="00F71581">
        <w:t xml:space="preserve"> </w:t>
      </w:r>
      <w:r w:rsidR="00D40C29">
        <w:t xml:space="preserve">to </w:t>
      </w:r>
      <w:r w:rsidR="00AA37A8" w:rsidRPr="00F71581">
        <w:t xml:space="preserve">achieve its two overarching objectives for the health sector: accelerating progress towards the off-track </w:t>
      </w:r>
      <w:r w:rsidR="00E668A5">
        <w:t>Millennium Development Goals</w:t>
      </w:r>
      <w:r w:rsidR="00AA37A8" w:rsidRPr="00F71581">
        <w:t xml:space="preserve"> targets for nutrition, maternal health and HIV/AIDS</w:t>
      </w:r>
      <w:r w:rsidR="00D40C29">
        <w:t>,</w:t>
      </w:r>
      <w:r w:rsidR="00D40C29" w:rsidRPr="00F71581">
        <w:t xml:space="preserve"> </w:t>
      </w:r>
      <w:r w:rsidR="00AA37A8" w:rsidRPr="00F71581">
        <w:t>and rolling out universal coverage of essential health services. To achieve this our portfolio currently consists of programs that work across health systems strengthening, maternal and neonatal health, and priority diseases impacting the poor and vulnerable including HIV/AIDS and emerging infectious diseases.</w:t>
      </w:r>
    </w:p>
    <w:p w14:paraId="74D5BA7C" w14:textId="19B8DB68" w:rsidR="00AA37A8" w:rsidRPr="00F71581" w:rsidRDefault="000F57C6" w:rsidP="00D248C6">
      <w:pPr>
        <w:pStyle w:val="BodyText"/>
        <w:tabs>
          <w:tab w:val="left" w:pos="2268"/>
        </w:tabs>
      </w:pPr>
      <w:r>
        <w:t>Australia</w:t>
      </w:r>
      <w:r w:rsidRPr="00F71581">
        <w:t xml:space="preserve">’s </w:t>
      </w:r>
      <w:r w:rsidR="00AA37A8" w:rsidRPr="00F71581">
        <w:t>health systems strengthening program is new, but has already contributed data from the design phase that is being used to make financial projections for the new national health insurance scheme</w:t>
      </w:r>
      <w:r w:rsidR="00D40C29">
        <w:t>. It has also</w:t>
      </w:r>
      <w:r w:rsidR="00AA37A8" w:rsidRPr="00F71581">
        <w:t xml:space="preserve"> provided evidence to inform the need for </w:t>
      </w:r>
      <w:r w:rsidR="000A11DD">
        <w:t>Indonesian Government</w:t>
      </w:r>
      <w:r w:rsidR="00AA37A8" w:rsidRPr="00F71581">
        <w:t xml:space="preserve"> block grant allocations at the community level. The </w:t>
      </w:r>
      <w:r w:rsidR="00D40C29" w:rsidRPr="00F71581">
        <w:t>maternal and neonatal health pr</w:t>
      </w:r>
      <w:r w:rsidR="00AA37A8" w:rsidRPr="00F71581">
        <w:t xml:space="preserve">ogram is having success in the districts </w:t>
      </w:r>
      <w:r w:rsidR="00D40C29">
        <w:t xml:space="preserve">where </w:t>
      </w:r>
      <w:r w:rsidR="00AA37A8" w:rsidRPr="00F71581">
        <w:t xml:space="preserve">it operates </w:t>
      </w:r>
      <w:r w:rsidR="00D40C29">
        <w:t xml:space="preserve">and </w:t>
      </w:r>
      <w:r w:rsidR="00AA37A8" w:rsidRPr="00F71581">
        <w:t xml:space="preserve">at a time when national level maternal mortality rate improvements have stalled. Total maternal deaths in program districts </w:t>
      </w:r>
      <w:r w:rsidR="00D40C29">
        <w:t>were</w:t>
      </w:r>
      <w:r w:rsidR="00AA37A8" w:rsidRPr="00F71581">
        <w:t xml:space="preserve"> 185 deaths in 2009, 175 in 2010, 148 in 2011 and 125 in 2012. Meanwhile, the proportion of births in a health facility in these districts has increased </w:t>
      </w:r>
      <w:r w:rsidR="00E668A5" w:rsidRPr="00F71581">
        <w:t>significant</w:t>
      </w:r>
      <w:r w:rsidR="00E668A5">
        <w:t>ly</w:t>
      </w:r>
      <w:r w:rsidR="00E668A5" w:rsidRPr="00F71581">
        <w:t xml:space="preserve"> </w:t>
      </w:r>
      <w:r w:rsidR="00AA37A8" w:rsidRPr="00F71581">
        <w:t>from 47</w:t>
      </w:r>
      <w:r w:rsidR="00D40C29">
        <w:t xml:space="preserve"> per cent</w:t>
      </w:r>
      <w:r w:rsidR="00D40C29" w:rsidRPr="00F71581">
        <w:t xml:space="preserve"> </w:t>
      </w:r>
      <w:r w:rsidR="00AA37A8" w:rsidRPr="00F71581">
        <w:t>in 2010 to 72</w:t>
      </w:r>
      <w:r w:rsidR="00D40C29">
        <w:t xml:space="preserve"> per cent</w:t>
      </w:r>
      <w:r w:rsidR="00D40C29" w:rsidRPr="00F71581">
        <w:t xml:space="preserve"> </w:t>
      </w:r>
      <w:r w:rsidR="00AA37A8" w:rsidRPr="00F71581">
        <w:t xml:space="preserve">in 2012. In </w:t>
      </w:r>
      <w:r w:rsidR="00D40C29">
        <w:t xml:space="preserve">Nusa Tenggara </w:t>
      </w:r>
      <w:proofErr w:type="spellStart"/>
      <w:r w:rsidR="00D40C29">
        <w:t>Timur</w:t>
      </w:r>
      <w:proofErr w:type="spellEnd"/>
      <w:r w:rsidR="00D40C29" w:rsidRPr="00F71581" w:rsidDel="00D40C29">
        <w:t xml:space="preserve"> </w:t>
      </w:r>
      <w:r w:rsidR="00AA37A8" w:rsidRPr="00F71581">
        <w:t xml:space="preserve">province </w:t>
      </w:r>
      <w:r>
        <w:t>Australia</w:t>
      </w:r>
      <w:r w:rsidRPr="00F71581">
        <w:t xml:space="preserve"> </w:t>
      </w:r>
      <w:r w:rsidR="00AA37A8" w:rsidRPr="00F71581">
        <w:t>made a notable contribution to an additional 19</w:t>
      </w:r>
      <w:r w:rsidR="00D40C29">
        <w:t xml:space="preserve"> </w:t>
      </w:r>
      <w:r w:rsidR="00AA37A8" w:rsidRPr="00F71581">
        <w:t xml:space="preserve">474 births </w:t>
      </w:r>
      <w:r w:rsidR="00D40C29">
        <w:t xml:space="preserve">being </w:t>
      </w:r>
      <w:r w:rsidR="00AA37A8" w:rsidRPr="00F71581">
        <w:t xml:space="preserve">assisted by skilled birth attendants, to which the social protection program (through </w:t>
      </w:r>
      <w:r w:rsidR="00D40C29">
        <w:t xml:space="preserve">Program </w:t>
      </w:r>
      <w:proofErr w:type="spellStart"/>
      <w:r w:rsidR="00D40C29">
        <w:t>Nasional</w:t>
      </w:r>
      <w:proofErr w:type="spellEnd"/>
      <w:r w:rsidR="00D40C29">
        <w:t xml:space="preserve"> </w:t>
      </w:r>
      <w:proofErr w:type="spellStart"/>
      <w:r w:rsidR="00D40C29">
        <w:t>Pemberdayaan</w:t>
      </w:r>
      <w:proofErr w:type="spellEnd"/>
      <w:r w:rsidR="00D40C29">
        <w:t xml:space="preserve"> </w:t>
      </w:r>
      <w:proofErr w:type="spellStart"/>
      <w:r w:rsidR="00D40C29">
        <w:t>Masyarakat</w:t>
      </w:r>
      <w:proofErr w:type="spellEnd"/>
      <w:r w:rsidR="00AA37A8" w:rsidRPr="00F71581">
        <w:t xml:space="preserve">, see below) contributed a </w:t>
      </w:r>
      <w:r w:rsidR="00145765">
        <w:t>further 28</w:t>
      </w:r>
      <w:r w:rsidR="00D40C29">
        <w:t xml:space="preserve"> </w:t>
      </w:r>
      <w:r w:rsidR="00145765">
        <w:t>634</w:t>
      </w:r>
      <w:r w:rsidR="00D40C29">
        <w:t xml:space="preserve">. This means a </w:t>
      </w:r>
      <w:r w:rsidR="00145765">
        <w:t>total</w:t>
      </w:r>
      <w:r w:rsidR="00D40C29">
        <w:t xml:space="preserve"> of</w:t>
      </w:r>
      <w:r w:rsidR="00AA37A8" w:rsidRPr="00F71581">
        <w:t xml:space="preserve"> 48</w:t>
      </w:r>
      <w:r w:rsidR="00D40C29">
        <w:t xml:space="preserve"> </w:t>
      </w:r>
      <w:r w:rsidR="00AA37A8" w:rsidRPr="00F71581">
        <w:t xml:space="preserve">108 births </w:t>
      </w:r>
      <w:r w:rsidR="00D40C29">
        <w:t xml:space="preserve">were </w:t>
      </w:r>
      <w:r w:rsidR="00AA37A8" w:rsidRPr="00F71581">
        <w:t xml:space="preserve">assisted by skilled birth attendants </w:t>
      </w:r>
      <w:r w:rsidR="00D40C29">
        <w:t>during the reporting period due to</w:t>
      </w:r>
      <w:r w:rsidR="00AA37A8" w:rsidRPr="00F71581">
        <w:t xml:space="preserve"> Australian funding. Despite the reduction in maternal deaths, neonatal deaths have not declined and will be difficult to reduce until the issue of maternal under-nutrition is addressed. While the </w:t>
      </w:r>
      <w:r>
        <w:t xml:space="preserve">Australian </w:t>
      </w:r>
      <w:r w:rsidR="00AA37A8" w:rsidRPr="00F71581">
        <w:t xml:space="preserve">health program does not directly provide immunisation to children, </w:t>
      </w:r>
      <w:r>
        <w:t xml:space="preserve">Australia </w:t>
      </w:r>
      <w:r w:rsidR="00AA37A8" w:rsidRPr="00F71581">
        <w:t>contribute</w:t>
      </w:r>
      <w:r w:rsidR="009F53DE">
        <w:t>s</w:t>
      </w:r>
      <w:r w:rsidR="00AA37A8" w:rsidRPr="00F71581">
        <w:t xml:space="preserve"> funding to </w:t>
      </w:r>
      <w:r w:rsidR="009F53DE">
        <w:t xml:space="preserve">the </w:t>
      </w:r>
      <w:r w:rsidR="009F53DE" w:rsidRPr="009F53DE">
        <w:t xml:space="preserve">National Programme for Community Empowerment </w:t>
      </w:r>
      <w:r w:rsidR="00E668A5">
        <w:t xml:space="preserve">(see below), </w:t>
      </w:r>
      <w:r w:rsidR="00AA37A8" w:rsidRPr="00F71581">
        <w:t>which provide</w:t>
      </w:r>
      <w:r w:rsidR="00145765">
        <w:t>s</w:t>
      </w:r>
      <w:r w:rsidR="00AA37A8" w:rsidRPr="00F71581">
        <w:t xml:space="preserve"> an immunisation program.</w:t>
      </w:r>
      <w:r w:rsidR="00B525E5">
        <w:t xml:space="preserve"> </w:t>
      </w:r>
    </w:p>
    <w:p w14:paraId="46601BDC" w14:textId="773B36FC" w:rsidR="00AA37A8" w:rsidRDefault="000F57C6" w:rsidP="004923C5">
      <w:pPr>
        <w:pStyle w:val="BodyText"/>
      </w:pPr>
      <w:r>
        <w:t>Australia</w:t>
      </w:r>
      <w:r w:rsidRPr="00F71581">
        <w:t xml:space="preserve"> </w:t>
      </w:r>
      <w:r w:rsidR="00AA37A8" w:rsidRPr="00F71581">
        <w:t xml:space="preserve">has provided 16 years of HIV assistance in Indonesia. As the largest supporter of harm reduction among people who inject drugs, </w:t>
      </w:r>
      <w:r>
        <w:t xml:space="preserve">Australia </w:t>
      </w:r>
      <w:r w:rsidR="00AA37A8" w:rsidRPr="00F71581">
        <w:t>has contributed to the reduction in HIV prevalence among people who inject drugs from 52</w:t>
      </w:r>
      <w:r w:rsidR="00D40C29">
        <w:t xml:space="preserve"> per cent</w:t>
      </w:r>
      <w:r w:rsidR="00D40C29" w:rsidRPr="00F71581">
        <w:t xml:space="preserve"> </w:t>
      </w:r>
      <w:r w:rsidR="00AA37A8" w:rsidRPr="00F71581">
        <w:t>in 2007 to 41</w:t>
      </w:r>
      <w:r w:rsidR="00D40C29">
        <w:t xml:space="preserve"> per cent</w:t>
      </w:r>
      <w:r w:rsidR="00D40C29" w:rsidRPr="00F71581">
        <w:t xml:space="preserve"> </w:t>
      </w:r>
      <w:r w:rsidR="00AA37A8" w:rsidRPr="00F71581">
        <w:t xml:space="preserve">in 2011. In 2012, following sustained policy dialogue between </w:t>
      </w:r>
      <w:r w:rsidR="00A4732C">
        <w:t>Australian</w:t>
      </w:r>
      <w:r w:rsidR="00AA37A8" w:rsidRPr="00F71581">
        <w:t xml:space="preserve"> HIV personnel and </w:t>
      </w:r>
      <w:r w:rsidR="00D40C29">
        <w:t xml:space="preserve">the </w:t>
      </w:r>
      <w:r w:rsidR="00AA37A8" w:rsidRPr="00F71581">
        <w:t xml:space="preserve">Ministry of Health, a directive </w:t>
      </w:r>
      <w:r w:rsidR="00D40C29">
        <w:t xml:space="preserve">was issued </w:t>
      </w:r>
      <w:r w:rsidR="00AA37A8" w:rsidRPr="00F71581">
        <w:t xml:space="preserve">confirming that </w:t>
      </w:r>
      <w:r w:rsidR="00D40C29" w:rsidRPr="00F71581">
        <w:t xml:space="preserve">civil society organisation </w:t>
      </w:r>
      <w:r w:rsidR="00AA37A8" w:rsidRPr="00F71581">
        <w:t xml:space="preserve">outreach workers </w:t>
      </w:r>
      <w:r w:rsidR="004819C4">
        <w:t>would be</w:t>
      </w:r>
      <w:r w:rsidR="00D40C29" w:rsidRPr="00F71581">
        <w:t xml:space="preserve"> </w:t>
      </w:r>
      <w:r w:rsidR="00AA37A8" w:rsidRPr="00F71581">
        <w:t xml:space="preserve">permitted to work in public health centres to distribute needles and syringes to people who inject drugs. This removed a significant obstacle to </w:t>
      </w:r>
      <w:r w:rsidR="004819C4">
        <w:t xml:space="preserve">HIV prevention by </w:t>
      </w:r>
      <w:r w:rsidR="00AA37A8" w:rsidRPr="00F71581">
        <w:t>increas</w:t>
      </w:r>
      <w:r w:rsidR="004819C4">
        <w:t>ing</w:t>
      </w:r>
      <w:r w:rsidR="00AA37A8" w:rsidRPr="00F71581">
        <w:t xml:space="preserve"> </w:t>
      </w:r>
      <w:r w:rsidR="004819C4">
        <w:t>the number</w:t>
      </w:r>
      <w:r w:rsidR="004819C4" w:rsidRPr="00F71581">
        <w:t xml:space="preserve"> </w:t>
      </w:r>
      <w:r w:rsidR="00AA37A8" w:rsidRPr="00F71581">
        <w:t xml:space="preserve">needles and syringes distributed through health services and </w:t>
      </w:r>
      <w:r w:rsidR="004819C4" w:rsidRPr="00F71581">
        <w:t>civil society organisation</w:t>
      </w:r>
      <w:r w:rsidR="004819C4">
        <w:t>s</w:t>
      </w:r>
      <w:r w:rsidR="004819C4" w:rsidRPr="00F71581">
        <w:t xml:space="preserve"> </w:t>
      </w:r>
      <w:r w:rsidR="00AA37A8" w:rsidRPr="00F71581">
        <w:t>from 646</w:t>
      </w:r>
      <w:r w:rsidR="004819C4">
        <w:t xml:space="preserve"> </w:t>
      </w:r>
      <w:r w:rsidR="00AA37A8" w:rsidRPr="00F71581">
        <w:t>832 in 2011 to 1</w:t>
      </w:r>
      <w:r w:rsidR="004819C4">
        <w:t xml:space="preserve"> </w:t>
      </w:r>
      <w:r w:rsidR="00AA37A8" w:rsidRPr="00F71581">
        <w:t>340</w:t>
      </w:r>
      <w:r w:rsidR="004819C4">
        <w:t xml:space="preserve"> </w:t>
      </w:r>
      <w:r w:rsidR="00AA37A8" w:rsidRPr="00F71581">
        <w:t xml:space="preserve">793 in 2012, </w:t>
      </w:r>
      <w:r w:rsidR="004819C4">
        <w:t xml:space="preserve">and </w:t>
      </w:r>
      <w:r w:rsidR="00AA37A8" w:rsidRPr="00F71581">
        <w:t>reducing the chance of needle sharing.</w:t>
      </w:r>
    </w:p>
    <w:p w14:paraId="7019A7A7" w14:textId="35B949EC" w:rsidR="001C51E9" w:rsidRPr="00F71581" w:rsidRDefault="001C51E9" w:rsidP="004923C5">
      <w:pPr>
        <w:pStyle w:val="BodyText"/>
      </w:pPr>
      <w:r w:rsidRPr="001C51E9">
        <w:t xml:space="preserve">In 2012, 11 provinces were selected </w:t>
      </w:r>
      <w:r w:rsidR="004819C4">
        <w:t>to</w:t>
      </w:r>
      <w:r w:rsidR="004819C4" w:rsidRPr="001C51E9">
        <w:t xml:space="preserve"> </w:t>
      </w:r>
      <w:r w:rsidRPr="001C51E9">
        <w:t>establish</w:t>
      </w:r>
      <w:r w:rsidR="004819C4">
        <w:t xml:space="preserve"> </w:t>
      </w:r>
      <w:r w:rsidRPr="001C51E9">
        <w:t>new Early War</w:t>
      </w:r>
      <w:r w:rsidR="006226F8">
        <w:t xml:space="preserve">ning Alert and Response Systems, </w:t>
      </w:r>
      <w:r w:rsidRPr="001C51E9">
        <w:t xml:space="preserve">previously piloted with </w:t>
      </w:r>
      <w:r w:rsidR="00A4732C">
        <w:t>Australian</w:t>
      </w:r>
      <w:r w:rsidRPr="001C51E9">
        <w:t xml:space="preserve"> support.</w:t>
      </w:r>
      <w:r w:rsidR="00B525E5">
        <w:t xml:space="preserve"> </w:t>
      </w:r>
      <w:r w:rsidR="00492722">
        <w:t xml:space="preserve">The </w:t>
      </w:r>
      <w:r w:rsidRPr="00E668A5">
        <w:t>A</w:t>
      </w:r>
      <w:r w:rsidR="00492722" w:rsidRPr="00E668A5">
        <w:t>ustralia</w:t>
      </w:r>
      <w:r w:rsidR="00E668A5" w:rsidRPr="00E668A5">
        <w:t>–</w:t>
      </w:r>
      <w:r w:rsidR="00492722" w:rsidRPr="00E668A5">
        <w:t xml:space="preserve">Indonesia Partnership for </w:t>
      </w:r>
      <w:r w:rsidR="00492722" w:rsidRPr="00E668A5">
        <w:lastRenderedPageBreak/>
        <w:t>Emerging Infectious Diseases</w:t>
      </w:r>
      <w:r w:rsidRPr="001C51E9">
        <w:t xml:space="preserve"> (human health) will support three of </w:t>
      </w:r>
      <w:r w:rsidR="004819C4" w:rsidRPr="001C51E9">
        <w:t>the</w:t>
      </w:r>
      <w:r w:rsidR="004819C4">
        <w:t>se</w:t>
      </w:r>
      <w:r w:rsidRPr="001C51E9">
        <w:t xml:space="preserve">: </w:t>
      </w:r>
      <w:r w:rsidR="004819C4">
        <w:t xml:space="preserve">Nusa Tenggara </w:t>
      </w:r>
      <w:proofErr w:type="spellStart"/>
      <w:r w:rsidR="004819C4">
        <w:t>Timur</w:t>
      </w:r>
      <w:proofErr w:type="spellEnd"/>
      <w:r w:rsidRPr="001C51E9">
        <w:t>, Maluku and North Maluku.</w:t>
      </w:r>
      <w:r w:rsidR="00C378ED" w:rsidRPr="00C378ED">
        <w:t xml:space="preserve"> </w:t>
      </w:r>
      <w:r w:rsidR="00C378ED" w:rsidRPr="001C51E9">
        <w:t xml:space="preserve">By early 2013, 21 provinces will have </w:t>
      </w:r>
      <w:r w:rsidR="004819C4">
        <w:t>the</w:t>
      </w:r>
      <w:r w:rsidR="006226F8">
        <w:t xml:space="preserve"> </w:t>
      </w:r>
      <w:r w:rsidR="004819C4">
        <w:t>s</w:t>
      </w:r>
      <w:r w:rsidR="006226F8">
        <w:t>ystems</w:t>
      </w:r>
      <w:r w:rsidR="006226F8" w:rsidRPr="001C51E9">
        <w:t xml:space="preserve"> </w:t>
      </w:r>
      <w:r w:rsidR="00C378ED" w:rsidRPr="001C51E9">
        <w:t>established and functioning.</w:t>
      </w:r>
      <w:r w:rsidR="00B525E5">
        <w:t xml:space="preserve"> </w:t>
      </w:r>
      <w:r w:rsidR="00C378ED" w:rsidRPr="001C51E9">
        <w:t>Throughout 2012 the Indonesian Government’s capacity has been steadily strengthened in the areas of zoonotic</w:t>
      </w:r>
      <w:r w:rsidR="00DE361F">
        <w:rPr>
          <w:rStyle w:val="FootnoteReference"/>
        </w:rPr>
        <w:footnoteReference w:id="5"/>
      </w:r>
      <w:r w:rsidR="00C378ED" w:rsidRPr="001C51E9">
        <w:t xml:space="preserve"> risk reduction, risk assessment</w:t>
      </w:r>
      <w:r w:rsidR="004819C4">
        <w:t>,</w:t>
      </w:r>
      <w:r w:rsidR="00C378ED" w:rsidRPr="001C51E9">
        <w:t xml:space="preserve"> and risk communication and epidemic response. Government systems are now providing faster and more complete information about disease occurrence to decision-makers.</w:t>
      </w:r>
    </w:p>
    <w:p w14:paraId="23419E9E" w14:textId="2C2FEB8F" w:rsidR="00AA37A8" w:rsidRPr="00F71581" w:rsidRDefault="00AA37A8" w:rsidP="004923C5">
      <w:pPr>
        <w:pStyle w:val="BodyText"/>
      </w:pPr>
      <w:r w:rsidRPr="00F71581">
        <w:rPr>
          <w:b/>
        </w:rPr>
        <w:t>Transport and connectivity</w:t>
      </w:r>
      <w:r w:rsidRPr="00F71581">
        <w:t xml:space="preserve"> remains a high priority for the </w:t>
      </w:r>
      <w:r w:rsidR="000A11DD">
        <w:t>Indonesian Government</w:t>
      </w:r>
      <w:r w:rsidRPr="00F71581">
        <w:t xml:space="preserve"> as set out in its National Economic Master Plan. </w:t>
      </w:r>
      <w:r w:rsidR="000F57C6">
        <w:t>Australia</w:t>
      </w:r>
      <w:r w:rsidR="000F57C6" w:rsidRPr="00F71581">
        <w:t xml:space="preserve"> </w:t>
      </w:r>
      <w:r w:rsidRPr="00F71581">
        <w:t xml:space="preserve">has continued to support this sector through its core programs of the Eastern Indonesia National Road Improvement Project, the Indonesia Infrastructure Initiative and the Indonesia Infrastructure Support </w:t>
      </w:r>
      <w:r w:rsidR="004819C4">
        <w:t>F</w:t>
      </w:r>
      <w:r w:rsidR="004819C4" w:rsidRPr="00F71581">
        <w:t xml:space="preserve">und </w:t>
      </w:r>
      <w:r w:rsidRPr="00F71581">
        <w:t xml:space="preserve">with the World Bank. </w:t>
      </w:r>
      <w:r w:rsidR="004819C4">
        <w:t xml:space="preserve">The </w:t>
      </w:r>
      <w:r w:rsidR="004819C4" w:rsidRPr="00F71581">
        <w:t xml:space="preserve">Eastern Indonesia National Road Improvement Project </w:t>
      </w:r>
      <w:r w:rsidRPr="00F71581">
        <w:t>is scheduled for completion at the end of 2014, and early assessments of the impacts are very promising</w:t>
      </w:r>
      <w:r w:rsidR="004819C4">
        <w:t>––</w:t>
      </w:r>
      <w:r w:rsidRPr="00F71581">
        <w:t>evidence suggest</w:t>
      </w:r>
      <w:r w:rsidR="004819C4">
        <w:t xml:space="preserve">s </w:t>
      </w:r>
      <w:r w:rsidRPr="00F71581">
        <w:t>vehicle speeds have increased nearly 40</w:t>
      </w:r>
      <w:r w:rsidR="004819C4">
        <w:t xml:space="preserve"> per cent</w:t>
      </w:r>
      <w:r w:rsidR="004819C4" w:rsidRPr="00F71581">
        <w:t xml:space="preserve">, </w:t>
      </w:r>
      <w:r w:rsidRPr="00F71581">
        <w:t>halving long-distance journey times on some roads while lowering operating vehicle operating costs and increasing road safety. Increased traffic volumes of 48</w:t>
      </w:r>
      <w:r w:rsidR="004819C4" w:rsidRPr="004819C4">
        <w:t xml:space="preserve"> </w:t>
      </w:r>
      <w:r w:rsidR="004819C4">
        <w:t>per cent</w:t>
      </w:r>
      <w:r w:rsidRPr="00F71581">
        <w:t xml:space="preserve"> are evidence of increased economic activity. In the last 18 months Australia helpe</w:t>
      </w:r>
      <w:r w:rsidR="001C3BF1">
        <w:t>d Indonesia build and maintain 1</w:t>
      </w:r>
      <w:r w:rsidR="00422033">
        <w:t>11</w:t>
      </w:r>
      <w:r w:rsidRPr="00F71581">
        <w:t xml:space="preserve"> </w:t>
      </w:r>
      <w:r w:rsidR="004819C4">
        <w:t>kilometres</w:t>
      </w:r>
      <w:r w:rsidR="004819C4" w:rsidRPr="00F71581">
        <w:t xml:space="preserve"> </w:t>
      </w:r>
      <w:r w:rsidRPr="00F71581">
        <w:t>of roads. In addition to the tangible benefits, the assistance provided under this program is leveraging important policy changes and institutional reforms within the Directorate General of Highways, such as improved road design standards for longer life pavements, the use of full engineering designs</w:t>
      </w:r>
      <w:r w:rsidR="004819C4">
        <w:t>,</w:t>
      </w:r>
      <w:r w:rsidRPr="00F71581">
        <w:t xml:space="preserve"> and technical audit for capital works programs</w:t>
      </w:r>
      <w:r w:rsidR="004819C4">
        <w:t>. These are</w:t>
      </w:r>
      <w:r w:rsidR="004819C4" w:rsidRPr="00F71581">
        <w:t xml:space="preserve"> </w:t>
      </w:r>
      <w:r w:rsidRPr="00F71581">
        <w:t xml:space="preserve">all innovations first introduced under </w:t>
      </w:r>
      <w:r w:rsidR="004819C4">
        <w:t xml:space="preserve">the </w:t>
      </w:r>
      <w:r w:rsidR="004819C4" w:rsidRPr="00F71581">
        <w:t>Eastern Indonesia National Road Improvement Project</w:t>
      </w:r>
      <w:r w:rsidRPr="00F71581">
        <w:t>.</w:t>
      </w:r>
      <w:r w:rsidR="00B525E5">
        <w:t xml:space="preserve"> </w:t>
      </w:r>
      <w:r w:rsidRPr="00F71581">
        <w:t xml:space="preserve">Analytical and policy development assistance has also continued for connectivity and transport both through the Indonesia Infrastructure Initiative and the Indonesia Infrastructure Support fund. </w:t>
      </w:r>
    </w:p>
    <w:p w14:paraId="276ECB12" w14:textId="14586344" w:rsidR="00AA37A8" w:rsidRPr="00F71581" w:rsidRDefault="00AA37A8" w:rsidP="004923C5">
      <w:pPr>
        <w:pStyle w:val="BodyText"/>
      </w:pPr>
      <w:r w:rsidRPr="00F71581">
        <w:t>In 2012</w:t>
      </w:r>
      <w:r w:rsidR="004819C4">
        <w:t>–</w:t>
      </w:r>
      <w:r w:rsidRPr="00F71581">
        <w:t>13 an A</w:t>
      </w:r>
      <w:r w:rsidR="004819C4">
        <w:t xml:space="preserve">ustralian </w:t>
      </w:r>
      <w:r w:rsidRPr="00F71581">
        <w:t>N</w:t>
      </w:r>
      <w:r w:rsidR="004819C4">
        <w:t xml:space="preserve">ational </w:t>
      </w:r>
      <w:r w:rsidRPr="00F71581">
        <w:t>A</w:t>
      </w:r>
      <w:r w:rsidR="004819C4">
        <w:t xml:space="preserve">udit </w:t>
      </w:r>
      <w:r w:rsidRPr="00F71581">
        <w:t>O</w:t>
      </w:r>
      <w:r w:rsidR="004819C4">
        <w:t>ffice</w:t>
      </w:r>
      <w:r w:rsidRPr="00F71581">
        <w:t xml:space="preserve"> audit was conducted into the management of </w:t>
      </w:r>
      <w:r w:rsidR="000F57C6">
        <w:t>Australia</w:t>
      </w:r>
      <w:r w:rsidR="000F57C6" w:rsidRPr="00F71581">
        <w:t xml:space="preserve">’s </w:t>
      </w:r>
      <w:r w:rsidRPr="00F71581">
        <w:t xml:space="preserve">Indonesian infrastructure activities with a particular focus on </w:t>
      </w:r>
      <w:r w:rsidR="004819C4" w:rsidRPr="00F71581">
        <w:t>the Eastern Indonesia National Road Improvement Project</w:t>
      </w:r>
      <w:r w:rsidR="004819C4" w:rsidRPr="00F71581" w:rsidDel="004819C4">
        <w:t xml:space="preserve"> </w:t>
      </w:r>
      <w:r w:rsidRPr="00F71581">
        <w:t xml:space="preserve">and </w:t>
      </w:r>
      <w:r w:rsidR="004819C4">
        <w:t>the Indonesia Infrastructure Initiative</w:t>
      </w:r>
      <w:r w:rsidRPr="00F71581">
        <w:t xml:space="preserve">. The </w:t>
      </w:r>
      <w:r w:rsidR="004819C4">
        <w:t>audit</w:t>
      </w:r>
      <w:r w:rsidR="004819C4" w:rsidRPr="00F71581">
        <w:t xml:space="preserve"> </w:t>
      </w:r>
      <w:r w:rsidRPr="00F71581">
        <w:t xml:space="preserve">found that management of both programs </w:t>
      </w:r>
      <w:r w:rsidR="004819C4" w:rsidRPr="00F71581">
        <w:t>ha</w:t>
      </w:r>
      <w:r w:rsidR="004819C4">
        <w:t>d</w:t>
      </w:r>
      <w:r w:rsidR="004819C4" w:rsidRPr="00F71581">
        <w:t xml:space="preserve"> </w:t>
      </w:r>
      <w:r w:rsidRPr="00F71581">
        <w:t>been effective, that the programs are highly valued by</w:t>
      </w:r>
      <w:r w:rsidR="004819C4">
        <w:t xml:space="preserve"> the</w:t>
      </w:r>
      <w:r w:rsidRPr="00F71581">
        <w:t xml:space="preserve"> </w:t>
      </w:r>
      <w:r w:rsidR="000A11DD">
        <w:t>Indonesian Government</w:t>
      </w:r>
      <w:r w:rsidRPr="00F71581">
        <w:t xml:space="preserve"> and are delivering tangible benefits for a large number of low income Indonesians. It recommended that </w:t>
      </w:r>
      <w:r w:rsidR="00A4732C">
        <w:t>DFAT</w:t>
      </w:r>
      <w:r w:rsidRPr="00F71581">
        <w:t xml:space="preserve"> develop a delivery strategy for infrastructure (encompassing both transport connectivity and water and sanitation) to guide </w:t>
      </w:r>
      <w:r w:rsidR="00A4732C">
        <w:t>DFAT’s</w:t>
      </w:r>
      <w:r w:rsidRPr="00F71581">
        <w:t xml:space="preserve"> investment in </w:t>
      </w:r>
      <w:r w:rsidR="004819C4" w:rsidRPr="00F71581">
        <w:t xml:space="preserve">infrastructure </w:t>
      </w:r>
      <w:r w:rsidRPr="00F71581">
        <w:t>development over the next five years and improve the ability to measure program outcomes.</w:t>
      </w:r>
    </w:p>
    <w:p w14:paraId="607149CE" w14:textId="37B925DC" w:rsidR="00AA37A8" w:rsidRPr="00F71581" w:rsidRDefault="00AA37A8" w:rsidP="004923C5">
      <w:pPr>
        <w:pStyle w:val="BodyText"/>
      </w:pPr>
      <w:r w:rsidRPr="00F71581">
        <w:t xml:space="preserve">Australia is the largest bilateral grant donor for </w:t>
      </w:r>
      <w:r w:rsidRPr="00F71581">
        <w:rPr>
          <w:b/>
        </w:rPr>
        <w:t>water and sanitation</w:t>
      </w:r>
      <w:r w:rsidRPr="00F71581">
        <w:t xml:space="preserve"> in Indonesia. </w:t>
      </w:r>
      <w:r w:rsidR="000F57C6">
        <w:t>Australia</w:t>
      </w:r>
      <w:r w:rsidR="000F57C6" w:rsidRPr="00F71581">
        <w:t xml:space="preserve"> </w:t>
      </w:r>
      <w:r w:rsidRPr="00F71581">
        <w:t xml:space="preserve">supports the </w:t>
      </w:r>
      <w:r w:rsidR="000A11DD">
        <w:t>Indonesian Government</w:t>
      </w:r>
      <w:r w:rsidRPr="00F71581">
        <w:t xml:space="preserve"> to improve sustainable service delivery for clean water, basic sanitation and wastewater management by improving access, sector governance and financial reform. </w:t>
      </w:r>
      <w:r w:rsidR="00A4732C">
        <w:t>Australian</w:t>
      </w:r>
      <w:r w:rsidRPr="00F71581">
        <w:t xml:space="preserve"> programs work partly through </w:t>
      </w:r>
      <w:r w:rsidR="000A11DD">
        <w:t>Indonesian Government</w:t>
      </w:r>
      <w:r w:rsidRPr="00F71581">
        <w:t xml:space="preserve"> systems to demonstrate new ways of financing local government and supporting decentralisation through the use of grants (</w:t>
      </w:r>
      <w:proofErr w:type="spellStart"/>
      <w:r w:rsidRPr="00D67028">
        <w:rPr>
          <w:i/>
        </w:rPr>
        <w:t>hibahs</w:t>
      </w:r>
      <w:proofErr w:type="spellEnd"/>
      <w:r w:rsidRPr="00F71581">
        <w:t>). In 2012</w:t>
      </w:r>
      <w:r w:rsidR="004819C4">
        <w:t>–</w:t>
      </w:r>
      <w:r w:rsidRPr="00F71581">
        <w:t xml:space="preserve">13, </w:t>
      </w:r>
      <w:r w:rsidR="009A797A">
        <w:t>470,755</w:t>
      </w:r>
      <w:r w:rsidR="009A797A" w:rsidRPr="00D87E91">
        <w:t xml:space="preserve"> </w:t>
      </w:r>
      <w:r w:rsidRPr="00F71581">
        <w:t>people received access to safe water and a further 307</w:t>
      </w:r>
      <w:r w:rsidR="004819C4">
        <w:t xml:space="preserve"> </w:t>
      </w:r>
      <w:r w:rsidRPr="00F71581">
        <w:t xml:space="preserve">110 people received access to basic sanitation through </w:t>
      </w:r>
      <w:r w:rsidR="000F57C6">
        <w:t>Australia</w:t>
      </w:r>
      <w:r w:rsidR="004819C4">
        <w:t>n</w:t>
      </w:r>
      <w:r w:rsidR="000F57C6" w:rsidRPr="00F71581">
        <w:t xml:space="preserve"> </w:t>
      </w:r>
      <w:r w:rsidRPr="00F71581">
        <w:t xml:space="preserve">funded programs. While access provides important direct benefits to recipients, it is changes in the financing, governance and policies that will generate longer-term transformations, impacting sustainability of service delivery. The Indonesia Infrastructure Initiative water </w:t>
      </w:r>
      <w:proofErr w:type="spellStart"/>
      <w:r w:rsidRPr="00D67028">
        <w:rPr>
          <w:i/>
        </w:rPr>
        <w:t>hibah</w:t>
      </w:r>
      <w:proofErr w:type="spellEnd"/>
      <w:r w:rsidRPr="00F71581">
        <w:t xml:space="preserve"> delivers increased access to safe water while using national government financing structures to provide incentives for local government to invest in utilities. In this way, </w:t>
      </w:r>
      <w:r w:rsidR="000F57C6">
        <w:t>Australia’s</w:t>
      </w:r>
      <w:r w:rsidR="000F57C6" w:rsidRPr="00F71581">
        <w:t xml:space="preserve"> </w:t>
      </w:r>
      <w:r w:rsidRPr="00F71581">
        <w:t>programs are demonstrating a results-based reimbursement approach that works in Indonesia’s devolved</w:t>
      </w:r>
      <w:r w:rsidR="00C378ED">
        <w:t xml:space="preserve"> governance</w:t>
      </w:r>
      <w:r w:rsidRPr="00F71581">
        <w:t xml:space="preserve"> system where investment in water infrastructure is the responsibility of local governments. Transparency is also a strong feature of </w:t>
      </w:r>
      <w:r w:rsidR="000F57C6">
        <w:t>Australia</w:t>
      </w:r>
      <w:r w:rsidR="000F57C6" w:rsidRPr="00F71581">
        <w:t xml:space="preserve">’s </w:t>
      </w:r>
      <w:r w:rsidRPr="00F71581">
        <w:t xml:space="preserve">investment in the sector, with the </w:t>
      </w:r>
      <w:r w:rsidR="000F57C6">
        <w:t>Australia</w:t>
      </w:r>
      <w:r w:rsidR="000F57C6" w:rsidRPr="00F71581">
        <w:t xml:space="preserve"> </w:t>
      </w:r>
      <w:r w:rsidRPr="00F71581">
        <w:t>and World Bank co-funded water and sanitation program</w:t>
      </w:r>
      <w:r w:rsidR="00B7426C">
        <w:t xml:space="preserve">––Water Supply </w:t>
      </w:r>
      <w:r w:rsidR="00B7426C">
        <w:lastRenderedPageBreak/>
        <w:t>and Sanitation for Low Income Communities Project––</w:t>
      </w:r>
      <w:r w:rsidRPr="00F71581">
        <w:t>developing the only publicly accessible monitoring and evaluation system for a nationwide development program in Indonesia</w:t>
      </w:r>
      <w:r w:rsidR="00C378ED">
        <w:t>. This system</w:t>
      </w:r>
      <w:r w:rsidRPr="00F71581">
        <w:t xml:space="preserve"> provid</w:t>
      </w:r>
      <w:r w:rsidR="00C378ED">
        <w:t>es</w:t>
      </w:r>
      <w:r w:rsidRPr="00F71581">
        <w:t xml:space="preserve"> transparent information that enables the public to monitor and report on service quality and program outcomes. </w:t>
      </w:r>
    </w:p>
    <w:p w14:paraId="0D389ECF" w14:textId="39D2BBA7" w:rsidR="00A96215" w:rsidRDefault="00AA37A8" w:rsidP="004923C5">
      <w:pPr>
        <w:pStyle w:val="BodyText"/>
      </w:pPr>
      <w:r w:rsidRPr="00FC61F3">
        <w:t xml:space="preserve">The Indonesian Government is undertaking two major initiatives in </w:t>
      </w:r>
      <w:r w:rsidRPr="00FC61F3">
        <w:rPr>
          <w:b/>
        </w:rPr>
        <w:t>social protection and</w:t>
      </w:r>
      <w:r w:rsidRPr="00F71581">
        <w:rPr>
          <w:b/>
        </w:rPr>
        <w:t xml:space="preserve"> community-driven development</w:t>
      </w:r>
      <w:r w:rsidR="00FC61F3">
        <w:t>. The first is</w:t>
      </w:r>
      <w:r w:rsidRPr="00F71581">
        <w:t xml:space="preserve"> the</w:t>
      </w:r>
      <w:r w:rsidR="00FC61F3">
        <w:t xml:space="preserve"> National </w:t>
      </w:r>
      <w:r w:rsidRPr="00F71581">
        <w:t>Program for Community Empowerment</w:t>
      </w:r>
      <w:r w:rsidR="00FC61F3">
        <w:t>,</w:t>
      </w:r>
      <w:r w:rsidRPr="00F71581">
        <w:t xml:space="preserve"> which is the centrepiece the </w:t>
      </w:r>
      <w:r w:rsidR="00FC61F3">
        <w:t>g</w:t>
      </w:r>
      <w:r w:rsidR="00FC61F3" w:rsidRPr="00F71581">
        <w:t xml:space="preserve">overnment’s </w:t>
      </w:r>
      <w:r w:rsidRPr="00F71581">
        <w:t>nationwide poverty reduction strategy</w:t>
      </w:r>
      <w:r w:rsidR="00FC61F3">
        <w:t xml:space="preserve"> and </w:t>
      </w:r>
      <w:r w:rsidRPr="00F71581">
        <w:t>provid</w:t>
      </w:r>
      <w:r w:rsidR="00FC61F3">
        <w:t xml:space="preserve">es </w:t>
      </w:r>
      <w:r w:rsidRPr="00F71581">
        <w:t>grants to poor communities to help villages with development priorities</w:t>
      </w:r>
      <w:r w:rsidR="00FC61F3">
        <w:t>.</w:t>
      </w:r>
      <w:r w:rsidR="00FC61F3" w:rsidRPr="00F71581">
        <w:t xml:space="preserve"> </w:t>
      </w:r>
      <w:r w:rsidR="00FC61F3">
        <w:t xml:space="preserve">The second is an </w:t>
      </w:r>
      <w:r w:rsidRPr="00F71581">
        <w:t>overhaul</w:t>
      </w:r>
      <w:r w:rsidR="00FC61F3">
        <w:t xml:space="preserve"> of the government’s</w:t>
      </w:r>
      <w:r w:rsidRPr="00F71581">
        <w:t xml:space="preserve"> social assistance programs</w:t>
      </w:r>
      <w:r w:rsidR="00FC61F3">
        <w:t>,</w:t>
      </w:r>
      <w:r w:rsidRPr="00F71581">
        <w:t xml:space="preserve"> which provide benefits to poor individuals and households. </w:t>
      </w:r>
      <w:r w:rsidR="006226F8">
        <w:t xml:space="preserve">These </w:t>
      </w:r>
      <w:r w:rsidR="00953D8C">
        <w:t xml:space="preserve">initiatives </w:t>
      </w:r>
      <w:r w:rsidR="006226F8">
        <w:t>aim to</w:t>
      </w:r>
      <w:r w:rsidR="007C41D7" w:rsidRPr="007C41D7">
        <w:t xml:space="preserve"> ensur</w:t>
      </w:r>
      <w:r w:rsidR="00FC61F3">
        <w:t>e</w:t>
      </w:r>
      <w:r w:rsidR="007C41D7" w:rsidRPr="007C41D7">
        <w:t xml:space="preserve"> Indonesia’s poor can access their full entitlements under Indonesia’s social assistance programs.</w:t>
      </w:r>
      <w:r w:rsidR="007C41D7">
        <w:t xml:space="preserve"> </w:t>
      </w:r>
    </w:p>
    <w:p w14:paraId="62164A29" w14:textId="6F0F644C" w:rsidR="00A96215" w:rsidRDefault="000F57C6" w:rsidP="004923C5">
      <w:pPr>
        <w:pStyle w:val="BodyText"/>
      </w:pPr>
      <w:r>
        <w:t>Australia</w:t>
      </w:r>
      <w:r w:rsidRPr="00F71581">
        <w:t xml:space="preserve">’s </w:t>
      </w:r>
      <w:r w:rsidR="00AA37A8" w:rsidRPr="00F71581">
        <w:t xml:space="preserve">support to </w:t>
      </w:r>
      <w:r w:rsidR="00FC61F3" w:rsidRPr="00F71581">
        <w:t>the</w:t>
      </w:r>
      <w:r w:rsidR="00FC61F3">
        <w:t xml:space="preserve"> National </w:t>
      </w:r>
      <w:r w:rsidR="00FC61F3" w:rsidRPr="00F71581">
        <w:t>Program for Community Empowerment</w:t>
      </w:r>
      <w:r w:rsidR="00FC61F3" w:rsidRPr="00F71581" w:rsidDel="00FC61F3">
        <w:t xml:space="preserve"> </w:t>
      </w:r>
      <w:r w:rsidR="00AA37A8" w:rsidRPr="00F71581">
        <w:t xml:space="preserve">has been focused on building the </w:t>
      </w:r>
      <w:r w:rsidR="00A96215">
        <w:t>Indonesian Government’s</w:t>
      </w:r>
      <w:r w:rsidR="00A96215" w:rsidRPr="00F71581">
        <w:t xml:space="preserve"> </w:t>
      </w:r>
      <w:r w:rsidR="00AA37A8" w:rsidRPr="00F71581">
        <w:t>capacity to deliver the program, ensuring decisions are informed by evidence gained through pilots and evaluations</w:t>
      </w:r>
      <w:r w:rsidR="00953D8C">
        <w:t>,</w:t>
      </w:r>
      <w:r w:rsidR="00AA37A8" w:rsidRPr="00F71581">
        <w:t xml:space="preserve"> and strengthened through improved management practices including accreditation of facilitators. Findings from </w:t>
      </w:r>
      <w:r w:rsidR="00953D8C">
        <w:t>the program’s</w:t>
      </w:r>
      <w:r w:rsidR="00953D8C" w:rsidRPr="00F71581">
        <w:t xml:space="preserve"> </w:t>
      </w:r>
      <w:r w:rsidR="00AA37A8" w:rsidRPr="00F71581">
        <w:t xml:space="preserve">rural evaluations </w:t>
      </w:r>
      <w:r w:rsidR="00A96215">
        <w:t xml:space="preserve">have </w:t>
      </w:r>
      <w:r w:rsidR="00AA37A8" w:rsidRPr="00F71581">
        <w:t xml:space="preserve">confirmed that </w:t>
      </w:r>
      <w:r w:rsidR="00953D8C">
        <w:t>its</w:t>
      </w:r>
      <w:r w:rsidR="00AA37A8" w:rsidRPr="00F71581">
        <w:t xml:space="preserve"> impact on poverty is significant</w:t>
      </w:r>
      <w:r w:rsidR="00A96215">
        <w:t>––</w:t>
      </w:r>
      <w:r w:rsidR="00AA37A8" w:rsidRPr="00F71581">
        <w:t xml:space="preserve">growth in real per capita consumption </w:t>
      </w:r>
      <w:r w:rsidR="00A96215">
        <w:t xml:space="preserve">is </w:t>
      </w:r>
      <w:r w:rsidR="00AA37A8" w:rsidRPr="00F71581">
        <w:t>11.8</w:t>
      </w:r>
      <w:r w:rsidR="00953D8C">
        <w:t xml:space="preserve"> per cent</w:t>
      </w:r>
      <w:r w:rsidR="00953D8C" w:rsidRPr="00F71581">
        <w:t xml:space="preserve"> </w:t>
      </w:r>
      <w:r w:rsidR="00AA37A8" w:rsidRPr="00F71581">
        <w:t xml:space="preserve">higher in </w:t>
      </w:r>
      <w:r w:rsidR="00953D8C">
        <w:t>program-</w:t>
      </w:r>
      <w:r w:rsidR="00AA37A8" w:rsidRPr="00F71581">
        <w:t xml:space="preserve">communities </w:t>
      </w:r>
      <w:r w:rsidR="00A96215">
        <w:t>than</w:t>
      </w:r>
      <w:r w:rsidR="00953D8C" w:rsidRPr="00F71581">
        <w:t xml:space="preserve"> </w:t>
      </w:r>
      <w:r w:rsidR="00AA37A8" w:rsidRPr="00F71581">
        <w:t>non-supported communities, and 2.1</w:t>
      </w:r>
      <w:r w:rsidR="00953D8C">
        <w:t xml:space="preserve"> per cent</w:t>
      </w:r>
      <w:r w:rsidR="00953D8C" w:rsidRPr="00F71581">
        <w:t xml:space="preserve"> </w:t>
      </w:r>
      <w:r w:rsidR="00AA37A8" w:rsidRPr="00F71581">
        <w:t xml:space="preserve">more households </w:t>
      </w:r>
      <w:r w:rsidR="00A96215">
        <w:t>move</w:t>
      </w:r>
      <w:r w:rsidR="00A96215" w:rsidRPr="00F71581">
        <w:t xml:space="preserve"> out of poverty </w:t>
      </w:r>
      <w:r w:rsidR="00AA37A8" w:rsidRPr="00F71581">
        <w:t xml:space="preserve">in communities </w:t>
      </w:r>
      <w:r w:rsidR="00A96215">
        <w:t>where the program is active</w:t>
      </w:r>
      <w:r w:rsidR="00AA37A8" w:rsidRPr="00F71581">
        <w:t xml:space="preserve">. </w:t>
      </w:r>
    </w:p>
    <w:p w14:paraId="75293C9F" w14:textId="2FF029F6" w:rsidR="00AA37A8" w:rsidRPr="00F71581" w:rsidRDefault="000F57C6" w:rsidP="004923C5">
      <w:pPr>
        <w:pStyle w:val="BodyText"/>
      </w:pPr>
      <w:r>
        <w:t>Australia</w:t>
      </w:r>
      <w:r w:rsidR="00AA37A8" w:rsidRPr="00F71581">
        <w:t xml:space="preserve"> </w:t>
      </w:r>
      <w:r w:rsidR="00A96215">
        <w:t>also helped</w:t>
      </w:r>
      <w:r w:rsidR="00AA37A8" w:rsidRPr="00F71581">
        <w:t xml:space="preserve"> </w:t>
      </w:r>
      <w:r w:rsidR="00E56CAC">
        <w:t>16</w:t>
      </w:r>
      <w:r w:rsidR="00953D8C">
        <w:t xml:space="preserve"> </w:t>
      </w:r>
      <w:r w:rsidR="00E56CAC">
        <w:t>609</w:t>
      </w:r>
      <w:r w:rsidR="00AA37A8" w:rsidRPr="00F71581">
        <w:t xml:space="preserve"> children </w:t>
      </w:r>
      <w:r w:rsidR="00A96215">
        <w:t>to</w:t>
      </w:r>
      <w:r w:rsidR="00A96215" w:rsidRPr="00F71581">
        <w:t xml:space="preserve"> </w:t>
      </w:r>
      <w:r w:rsidR="00AA37A8" w:rsidRPr="00F71581">
        <w:t xml:space="preserve">receive </w:t>
      </w:r>
      <w:r w:rsidR="00953D8C" w:rsidRPr="00F71581">
        <w:t>immuni</w:t>
      </w:r>
      <w:r w:rsidR="00953D8C">
        <w:t>s</w:t>
      </w:r>
      <w:r w:rsidR="00953D8C" w:rsidRPr="00F71581">
        <w:t xml:space="preserve">ation </w:t>
      </w:r>
      <w:r w:rsidR="00F119EE">
        <w:t>services</w:t>
      </w:r>
      <w:r w:rsidR="00AA37A8" w:rsidRPr="00F71581">
        <w:t xml:space="preserve"> </w:t>
      </w:r>
      <w:r w:rsidR="00A96215">
        <w:t xml:space="preserve">and </w:t>
      </w:r>
      <w:r w:rsidR="00E56CAC">
        <w:t>27</w:t>
      </w:r>
      <w:r w:rsidR="00953D8C">
        <w:t xml:space="preserve"> </w:t>
      </w:r>
      <w:r w:rsidR="00E56CAC">
        <w:t>530</w:t>
      </w:r>
      <w:r w:rsidR="00AA37A8" w:rsidRPr="00F71581">
        <w:t xml:space="preserve"> births </w:t>
      </w:r>
      <w:r w:rsidR="00953D8C">
        <w:t xml:space="preserve">to be </w:t>
      </w:r>
      <w:r w:rsidR="00AA37A8" w:rsidRPr="00F71581">
        <w:t xml:space="preserve">attended by skilled birth attendants, and </w:t>
      </w:r>
      <w:r w:rsidR="00953D8C">
        <w:t xml:space="preserve">provided </w:t>
      </w:r>
      <w:r w:rsidR="00D00512">
        <w:t>45</w:t>
      </w:r>
      <w:r w:rsidR="00953D8C">
        <w:t xml:space="preserve"> </w:t>
      </w:r>
      <w:r w:rsidR="00D00512">
        <w:t>521</w:t>
      </w:r>
      <w:r w:rsidR="00AA37A8" w:rsidRPr="00F71581">
        <w:t xml:space="preserve"> students with financial or nutritional support. </w:t>
      </w:r>
    </w:p>
    <w:p w14:paraId="175AF2CA" w14:textId="5C9F1806" w:rsidR="006514FB" w:rsidRDefault="000F57C6" w:rsidP="004923C5">
      <w:pPr>
        <w:pStyle w:val="BodyText"/>
      </w:pPr>
      <w:r>
        <w:t>Australia’s</w:t>
      </w:r>
      <w:r w:rsidRPr="00F71581">
        <w:t xml:space="preserve"> </w:t>
      </w:r>
      <w:r w:rsidR="00AA37A8" w:rsidRPr="00F71581">
        <w:t>support to overhaul social assistance programs was given a significant boost through the development of a national unified database of program beneficiaries</w:t>
      </w:r>
      <w:r w:rsidR="00F119EE">
        <w:t>, which during 2012</w:t>
      </w:r>
      <w:r w:rsidR="00AA37A8" w:rsidRPr="00F71581">
        <w:t xml:space="preserve"> has been taken up by all of the major social protection programmes target</w:t>
      </w:r>
      <w:r w:rsidR="006514FB">
        <w:t>ing</w:t>
      </w:r>
      <w:r w:rsidR="00AA37A8" w:rsidRPr="00F71581">
        <w:t xml:space="preserve"> </w:t>
      </w:r>
      <w:r w:rsidR="006514FB">
        <w:t xml:space="preserve">these </w:t>
      </w:r>
      <w:r w:rsidR="00AA37A8" w:rsidRPr="00F71581">
        <w:t>beneficiaries</w:t>
      </w:r>
      <w:r w:rsidR="006514FB">
        <w:t>. These include</w:t>
      </w:r>
      <w:r w:rsidR="00AA37A8" w:rsidRPr="00F71581">
        <w:t xml:space="preserve"> </w:t>
      </w:r>
      <w:r w:rsidR="006514FB">
        <w:t>a</w:t>
      </w:r>
      <w:r w:rsidR="00AA37A8" w:rsidRPr="00F71581">
        <w:t xml:space="preserve"> cash transfer program</w:t>
      </w:r>
      <w:r w:rsidR="006514FB">
        <w:t xml:space="preserve">, </w:t>
      </w:r>
      <w:r w:rsidR="00AA37A8" w:rsidRPr="00F71581">
        <w:t>scholarships for the poor, and</w:t>
      </w:r>
      <w:r w:rsidR="006514FB">
        <w:t xml:space="preserve"> a</w:t>
      </w:r>
      <w:r w:rsidR="00AA37A8" w:rsidRPr="00F71581">
        <w:t xml:space="preserve"> rice subsidy program. </w:t>
      </w:r>
    </w:p>
    <w:p w14:paraId="4A07A954" w14:textId="3E4B3107" w:rsidR="00AA37A8" w:rsidRDefault="00AA37A8" w:rsidP="004923C5">
      <w:pPr>
        <w:pStyle w:val="BodyText"/>
      </w:pPr>
      <w:r w:rsidRPr="00F71581">
        <w:t xml:space="preserve">The </w:t>
      </w:r>
      <w:r w:rsidR="000A11DD">
        <w:t>Indonesian Government</w:t>
      </w:r>
      <w:r w:rsidRPr="00F71581">
        <w:t xml:space="preserve"> recognises that the accuracy of the </w:t>
      </w:r>
      <w:r w:rsidR="006514FB">
        <w:t>d</w:t>
      </w:r>
      <w:r w:rsidRPr="00F71581">
        <w:t>atabase is vital.</w:t>
      </w:r>
      <w:r w:rsidR="00B525E5">
        <w:t xml:space="preserve"> </w:t>
      </w:r>
      <w:r w:rsidRPr="00F71581">
        <w:t>Despite improvements made this year through our support to the Vice President’s National Team for Accelerating Poverty Reduction</w:t>
      </w:r>
      <w:r w:rsidR="006514FB">
        <w:t>––</w:t>
      </w:r>
      <w:r w:rsidRPr="00F71581">
        <w:t xml:space="preserve">an additional six million poor men and women </w:t>
      </w:r>
      <w:r w:rsidR="006514FB">
        <w:t>were</w:t>
      </w:r>
      <w:r w:rsidRPr="00F71581">
        <w:t xml:space="preserve"> added </w:t>
      </w:r>
      <w:r w:rsidR="006514FB">
        <w:t xml:space="preserve">to the database </w:t>
      </w:r>
      <w:r w:rsidRPr="00F71581">
        <w:t>and now have access to social protection programs</w:t>
      </w:r>
      <w:r w:rsidR="006514FB">
        <w:t>––</w:t>
      </w:r>
      <w:r w:rsidRPr="00F71581">
        <w:t xml:space="preserve">there is still a high rate of poor </w:t>
      </w:r>
      <w:r w:rsidR="006514FB">
        <w:t xml:space="preserve">people </w:t>
      </w:r>
      <w:r w:rsidRPr="00F71581">
        <w:t>that should be</w:t>
      </w:r>
      <w:r w:rsidR="006514FB">
        <w:t>, but are not</w:t>
      </w:r>
      <w:r w:rsidRPr="00F71581">
        <w:t xml:space="preserve"> </w:t>
      </w:r>
      <w:r w:rsidR="006514FB">
        <w:t>o</w:t>
      </w:r>
      <w:r w:rsidRPr="00F71581">
        <w:t>n the database. A priority for 2013</w:t>
      </w:r>
      <w:r w:rsidR="006514FB">
        <w:t>–</w:t>
      </w:r>
      <w:r w:rsidRPr="00F71581">
        <w:t xml:space="preserve">14 will be to ensure that data is continuously improved, a grievance mechanism is put in place, and that local level verification of data and benefit distribution is </w:t>
      </w:r>
      <w:r w:rsidR="006514FB">
        <w:t>implemented</w:t>
      </w:r>
      <w:r w:rsidRPr="00F71581">
        <w:t xml:space="preserve">. There also continues to be a growing demand for this data from local governments for use in local poverty alleviation programs. This is a breakthrough towards improving pro-poor targeting of these programs, which is a substantial challenge when a large portion of Indonesia’s population are poor or near poor. </w:t>
      </w:r>
      <w:r w:rsidR="000F57C6">
        <w:t>Australia’s</w:t>
      </w:r>
      <w:r w:rsidR="000F57C6" w:rsidRPr="00F71581">
        <w:t xml:space="preserve"> </w:t>
      </w:r>
      <w:r w:rsidRPr="00F71581">
        <w:t xml:space="preserve">support has assisted </w:t>
      </w:r>
      <w:r w:rsidR="006514FB">
        <w:t xml:space="preserve">the </w:t>
      </w:r>
      <w:r w:rsidR="006514FB" w:rsidRPr="00F71581">
        <w:t>Vice President’s National Team for Accelerating Poverty Reduction</w:t>
      </w:r>
      <w:r w:rsidR="006514FB" w:rsidRPr="00F71581" w:rsidDel="006514FB">
        <w:t xml:space="preserve"> </w:t>
      </w:r>
      <w:r w:rsidRPr="00F71581">
        <w:t>to be an initiator of policy change, and it is a much needed role for which a position outside the mainstream bureaucracy is an advantage.</w:t>
      </w:r>
      <w:r w:rsidR="00B525E5">
        <w:t xml:space="preserve"> </w:t>
      </w:r>
      <w:r w:rsidR="000F57C6">
        <w:t>Australia’s</w:t>
      </w:r>
      <w:r w:rsidR="000F57C6" w:rsidRPr="00F71581">
        <w:t xml:space="preserve"> </w:t>
      </w:r>
      <w:r w:rsidRPr="00F71581">
        <w:t xml:space="preserve">support has enabled </w:t>
      </w:r>
      <w:r w:rsidR="006514FB">
        <w:t>the team</w:t>
      </w:r>
      <w:r w:rsidR="006514FB" w:rsidRPr="00F71581">
        <w:t xml:space="preserve"> </w:t>
      </w:r>
      <w:r w:rsidRPr="00F71581">
        <w:t xml:space="preserve">to conduct critical research on how government social protection programs are being implemented, and </w:t>
      </w:r>
      <w:r w:rsidR="006514FB">
        <w:t xml:space="preserve">to </w:t>
      </w:r>
      <w:r w:rsidRPr="00F71581">
        <w:t>pilot activities to test how they may be improved.</w:t>
      </w:r>
    </w:p>
    <w:p w14:paraId="22F7E83D" w14:textId="791C33B2" w:rsidR="00F71581" w:rsidRDefault="00F71581" w:rsidP="004923C5">
      <w:pPr>
        <w:pStyle w:val="BodyText"/>
      </w:pPr>
      <w:r w:rsidRPr="003A6EEF">
        <w:t>Indonesia’s bureaucracy is hampered by systemic issues, including inefficient organisational structures</w:t>
      </w:r>
      <w:r w:rsidR="006514FB">
        <w:t>,</w:t>
      </w:r>
      <w:r w:rsidR="006514FB" w:rsidRPr="003A6EEF">
        <w:t xml:space="preserve"> </w:t>
      </w:r>
      <w:r w:rsidRPr="003A6EEF">
        <w:t>contradictory laws and regulations</w:t>
      </w:r>
      <w:r w:rsidR="006514FB">
        <w:t>,</w:t>
      </w:r>
      <w:r w:rsidR="006514FB" w:rsidRPr="003A6EEF">
        <w:t xml:space="preserve"> </w:t>
      </w:r>
      <w:r w:rsidRPr="003A6EEF">
        <w:t xml:space="preserve">overstaffed and </w:t>
      </w:r>
      <w:r w:rsidR="006514FB" w:rsidRPr="003A6EEF">
        <w:t>under skilled</w:t>
      </w:r>
      <w:r w:rsidRPr="003A6EEF">
        <w:t xml:space="preserve"> public services</w:t>
      </w:r>
      <w:r w:rsidR="006514FB">
        <w:t>,</w:t>
      </w:r>
      <w:r w:rsidR="006514FB" w:rsidRPr="003A6EEF">
        <w:t xml:space="preserve"> </w:t>
      </w:r>
      <w:r w:rsidRPr="003A6EEF">
        <w:t>unclear business processes in servicing the public</w:t>
      </w:r>
      <w:r w:rsidR="006514FB">
        <w:t>,</w:t>
      </w:r>
      <w:r w:rsidR="006514FB" w:rsidRPr="003A6EEF">
        <w:t xml:space="preserve"> </w:t>
      </w:r>
      <w:r w:rsidR="006514FB">
        <w:t xml:space="preserve">and </w:t>
      </w:r>
      <w:r w:rsidRPr="003A6EEF">
        <w:t xml:space="preserve">mindsets and organisational cultures that are not innovative and are resistant to change. </w:t>
      </w:r>
      <w:r w:rsidRPr="003F0364">
        <w:rPr>
          <w:b/>
        </w:rPr>
        <w:t>Bureaucratic reform</w:t>
      </w:r>
      <w:r w:rsidRPr="003A6EEF">
        <w:t xml:space="preserve"> is a prerequisite for the nation to continue advancing as a middle-income country. </w:t>
      </w:r>
      <w:r w:rsidR="000F57C6">
        <w:t>Australia</w:t>
      </w:r>
      <w:r w:rsidR="000F57C6" w:rsidRPr="003A6EEF">
        <w:t xml:space="preserve"> </w:t>
      </w:r>
      <w:r w:rsidRPr="003A6EEF">
        <w:t xml:space="preserve">is supporting </w:t>
      </w:r>
      <w:r w:rsidR="006514FB">
        <w:t xml:space="preserve">the government’s </w:t>
      </w:r>
      <w:r w:rsidRPr="003A6EEF">
        <w:t xml:space="preserve">reform efforts, and has provided a number of tangible results through our Reform the Reformers program. A new performance management system has been introduced </w:t>
      </w:r>
      <w:r w:rsidR="006514FB" w:rsidRPr="003A6EEF">
        <w:t xml:space="preserve">to major central institutions </w:t>
      </w:r>
      <w:r w:rsidRPr="003A6EEF">
        <w:t xml:space="preserve">together with a range of new regulations, replacing the old performance management tool. We have supported internal restructuring within the Ministry </w:t>
      </w:r>
      <w:r w:rsidRPr="003A6EEF">
        <w:lastRenderedPageBreak/>
        <w:t xml:space="preserve">for State Apparatus and Bureaucratic Reform, which has </w:t>
      </w:r>
      <w:r w:rsidR="006514FB">
        <w:t>enabled</w:t>
      </w:r>
      <w:r w:rsidR="006514FB" w:rsidRPr="003A6EEF">
        <w:t xml:space="preserve"> </w:t>
      </w:r>
      <w:r w:rsidRPr="003A6EEF">
        <w:t xml:space="preserve">transparent and competitive recruitment of all new and vacant positions within </w:t>
      </w:r>
      <w:r w:rsidR="006514FB">
        <w:t>the ministry</w:t>
      </w:r>
      <w:r w:rsidRPr="003A6EEF">
        <w:t xml:space="preserve">, and for the heads of the National Institute for Public Administration and National Civil Service Agencies. Reform the Reformers has also supported </w:t>
      </w:r>
      <w:r w:rsidR="006514FB">
        <w:t>an</w:t>
      </w:r>
      <w:r w:rsidRPr="003A6EEF">
        <w:t xml:space="preserve"> organisational assessment of the Ministry of Home Affairs and the Ministry of Agriculture. Strategies to publicly campaign for bureaucratic reform have been developed jointly with </w:t>
      </w:r>
      <w:r w:rsidR="006514FB">
        <w:t xml:space="preserve">the </w:t>
      </w:r>
      <w:r w:rsidR="006514FB" w:rsidRPr="003A6EEF">
        <w:t>Ministry for State Apparatus and Bureaucratic Reform</w:t>
      </w:r>
      <w:r w:rsidR="006514FB" w:rsidRPr="003A6EEF" w:rsidDel="006514FB">
        <w:t xml:space="preserve"> </w:t>
      </w:r>
      <w:r w:rsidRPr="003A6EEF">
        <w:t>and community organisations, and national media organisations have been engaged to distribute bureaucratic reform information to the public.</w:t>
      </w:r>
    </w:p>
    <w:p w14:paraId="1B953525" w14:textId="5E697E89" w:rsidR="000A7C23" w:rsidRPr="003A6EEF" w:rsidRDefault="000A7C23" w:rsidP="004923C5">
      <w:pPr>
        <w:pStyle w:val="BodyText"/>
      </w:pPr>
      <w:r w:rsidRPr="006421B0">
        <w:t>Tackling</w:t>
      </w:r>
      <w:r w:rsidRPr="000A7C23">
        <w:rPr>
          <w:b/>
        </w:rPr>
        <w:t xml:space="preserve"> climate change</w:t>
      </w:r>
      <w:r w:rsidRPr="000A7C23">
        <w:t xml:space="preserve"> remains a priority for Indonesia.</w:t>
      </w:r>
      <w:r w:rsidR="00B525E5">
        <w:t xml:space="preserve"> </w:t>
      </w:r>
      <w:r w:rsidRPr="000A7C23">
        <w:t xml:space="preserve">While initial planning work under the National Action Plan to Reduce Green House Gas Emissions appears to be progressing relatively well, </w:t>
      </w:r>
      <w:r w:rsidR="00145F3A">
        <w:t>implementation efforts to meet its ambitious targets may prove challenging.</w:t>
      </w:r>
      <w:r w:rsidRPr="000A7C23">
        <w:t xml:space="preserve"> Australia is supporting climate change action primarily through the Indonesia</w:t>
      </w:r>
      <w:r w:rsidR="006514FB">
        <w:t>–</w:t>
      </w:r>
      <w:r w:rsidRPr="000A7C23">
        <w:t xml:space="preserve">Australia Forest Carbon Partnership, </w:t>
      </w:r>
      <w:r w:rsidR="006514FB">
        <w:t xml:space="preserve">and is </w:t>
      </w:r>
      <w:r w:rsidRPr="000A7C23">
        <w:t>working with a range of stakeholders at the central and community levels.</w:t>
      </w:r>
      <w:r w:rsidR="00B525E5">
        <w:t xml:space="preserve"> </w:t>
      </w:r>
      <w:r w:rsidR="000F57C6">
        <w:t>Australia’s</w:t>
      </w:r>
      <w:r w:rsidR="000F57C6" w:rsidRPr="000A7C23">
        <w:t xml:space="preserve"> </w:t>
      </w:r>
      <w:proofErr w:type="gramStart"/>
      <w:r w:rsidRPr="000A7C23">
        <w:t>support enabled the completion of important land cover change maps for Papua and Sumatra, showing detailed forest loss and gain</w:t>
      </w:r>
      <w:proofErr w:type="gramEnd"/>
      <w:r w:rsidRPr="000A7C23">
        <w:t xml:space="preserve"> over a </w:t>
      </w:r>
      <w:r w:rsidR="006514FB">
        <w:t>10</w:t>
      </w:r>
      <w:r w:rsidR="006514FB" w:rsidRPr="000A7C23">
        <w:t xml:space="preserve"> </w:t>
      </w:r>
      <w:r w:rsidRPr="000A7C23">
        <w:t>year period, and supported the trialling of payments to local communities for reforestation activities in Kalimantan. Cooperation on green economic development has positioned Australia well to support Indonesia as it strives to improve the quality and targeting of climate change policies into the future.</w:t>
      </w:r>
    </w:p>
    <w:p w14:paraId="71E99C23" w14:textId="10283E3D" w:rsidR="008215EA" w:rsidRDefault="00AA37A8" w:rsidP="004923C5">
      <w:pPr>
        <w:pStyle w:val="BodyText"/>
      </w:pPr>
      <w:r w:rsidRPr="00F71581">
        <w:t xml:space="preserve">The policy environment in the highly </w:t>
      </w:r>
      <w:r w:rsidRPr="00F71581">
        <w:rPr>
          <w:b/>
        </w:rPr>
        <w:t>decentralised</w:t>
      </w:r>
      <w:r w:rsidRPr="003A6EEF">
        <w:t xml:space="preserve"> Indonesian Government system continues to be unstable with ongoing regulatory changes adding uncertainties to the existing lack of skills, knowledge and systems at the local government level. At the provincial level, </w:t>
      </w:r>
      <w:r w:rsidR="006514FB">
        <w:t>a</w:t>
      </w:r>
      <w:r w:rsidR="006514FB" w:rsidRPr="003A6EEF">
        <w:t xml:space="preserve"> Ministry of State Apparatus and Bureaucratic Reform evaluat</w:t>
      </w:r>
      <w:r w:rsidR="006514FB">
        <w:t>ion found</w:t>
      </w:r>
      <w:r w:rsidR="006514FB" w:rsidRPr="003A6EEF">
        <w:t xml:space="preserve"> </w:t>
      </w:r>
      <w:r w:rsidRPr="003A6EEF">
        <w:t>76</w:t>
      </w:r>
      <w:r w:rsidR="006514FB">
        <w:t xml:space="preserve"> per cent</w:t>
      </w:r>
      <w:r w:rsidR="006514FB" w:rsidRPr="003A6EEF">
        <w:t xml:space="preserve"> </w:t>
      </w:r>
      <w:r w:rsidRPr="003A6EEF">
        <w:t>of governments performed at an acceptable level or above (up from 63</w:t>
      </w:r>
      <w:r w:rsidR="006514FB">
        <w:t xml:space="preserve"> per cent</w:t>
      </w:r>
      <w:r w:rsidR="006514FB" w:rsidRPr="003A6EEF">
        <w:t xml:space="preserve"> </w:t>
      </w:r>
      <w:r w:rsidRPr="003A6EEF">
        <w:t xml:space="preserve">in 2011), but </w:t>
      </w:r>
      <w:r w:rsidR="006514FB">
        <w:t xml:space="preserve">that </w:t>
      </w:r>
      <w:r w:rsidRPr="003A6EEF">
        <w:t xml:space="preserve">at </w:t>
      </w:r>
      <w:r w:rsidR="006514FB">
        <w:t xml:space="preserve">a </w:t>
      </w:r>
      <w:r w:rsidRPr="003A6EEF">
        <w:t>district and municipal level</w:t>
      </w:r>
      <w:r w:rsidR="006514FB">
        <w:t>,</w:t>
      </w:r>
      <w:r w:rsidRPr="003A6EEF">
        <w:t xml:space="preserve"> only 24</w:t>
      </w:r>
      <w:r w:rsidR="006514FB">
        <w:t xml:space="preserve"> per cent</w:t>
      </w:r>
      <w:r w:rsidRPr="003A6EEF">
        <w:t xml:space="preserve"> </w:t>
      </w:r>
      <w:r w:rsidR="008215EA" w:rsidRPr="003A6EEF">
        <w:t xml:space="preserve">of governments </w:t>
      </w:r>
      <w:r w:rsidR="008215EA">
        <w:t xml:space="preserve">had performed </w:t>
      </w:r>
      <w:r w:rsidR="008215EA" w:rsidRPr="003A6EEF">
        <w:t xml:space="preserve">at an acceptable level or above </w:t>
      </w:r>
      <w:r w:rsidRPr="003A6EEF">
        <w:t>(although an improvement from 12</w:t>
      </w:r>
      <w:r w:rsidR="006514FB">
        <w:t xml:space="preserve"> per cent</w:t>
      </w:r>
      <w:r w:rsidR="006514FB" w:rsidRPr="003A6EEF">
        <w:t xml:space="preserve"> </w:t>
      </w:r>
      <w:r w:rsidRPr="003A6EEF">
        <w:t>in 2011).</w:t>
      </w:r>
      <w:r w:rsidR="00B525E5">
        <w:t xml:space="preserve"> </w:t>
      </w:r>
      <w:r w:rsidRPr="003A6EEF">
        <w:t xml:space="preserve">While improving, the poor performance has been further exacerbated by the low disbursement of funds by the </w:t>
      </w:r>
      <w:r w:rsidR="000A11DD">
        <w:t>Indonesian Government</w:t>
      </w:r>
      <w:r w:rsidRPr="003A6EEF">
        <w:t xml:space="preserve"> with a cumulative underspend for 2012 of </w:t>
      </w:r>
      <w:r w:rsidR="000A11DD">
        <w:t>$</w:t>
      </w:r>
      <w:r w:rsidRPr="003A6EEF">
        <w:t xml:space="preserve">7 billion. </w:t>
      </w:r>
      <w:r w:rsidR="000F57C6">
        <w:t>Australia</w:t>
      </w:r>
      <w:r w:rsidR="000F57C6" w:rsidRPr="003A6EEF">
        <w:t xml:space="preserve">’s </w:t>
      </w:r>
      <w:r w:rsidRPr="003A6EEF">
        <w:t>decentralisation program</w:t>
      </w:r>
      <w:r w:rsidR="00FB481F">
        <w:t>s</w:t>
      </w:r>
      <w:r w:rsidRPr="003A6EEF">
        <w:t xml:space="preserve"> operate in 10 of Indonesia’s 33 provinces and 40 of its 497 districts and municipalities, as well as within key central government ministries responsible for services at the local level, through </w:t>
      </w:r>
      <w:r w:rsidR="001245AC" w:rsidRPr="001245AC">
        <w:t>five programs</w:t>
      </w:r>
      <w:r w:rsidR="008215EA">
        <w:t>:</w:t>
      </w:r>
    </w:p>
    <w:p w14:paraId="580A40C4" w14:textId="5B8771CD" w:rsidR="008215EA" w:rsidRDefault="008215EA" w:rsidP="00B500DF">
      <w:pPr>
        <w:pStyle w:val="ListBullet"/>
      </w:pPr>
      <w:r>
        <w:t>Local Governance and Infrastructure for Communities in Aceh Program</w:t>
      </w:r>
    </w:p>
    <w:p w14:paraId="56A42728" w14:textId="643A1218" w:rsidR="008215EA" w:rsidRDefault="008215EA" w:rsidP="00B500DF">
      <w:pPr>
        <w:pStyle w:val="ListBullet"/>
      </w:pPr>
      <w:r>
        <w:t>Australia Community Development and Civil Society Strengthening Scheme</w:t>
      </w:r>
    </w:p>
    <w:p w14:paraId="7E5B91F0" w14:textId="6087E482" w:rsidR="008215EA" w:rsidRDefault="008215EA" w:rsidP="00B500DF">
      <w:pPr>
        <w:pStyle w:val="ListBullet"/>
      </w:pPr>
      <w:r>
        <w:t>Australia–Indonesia Partnership for Decentralisation</w:t>
      </w:r>
    </w:p>
    <w:p w14:paraId="18AD19C9" w14:textId="7CE81D8B" w:rsidR="008215EA" w:rsidRDefault="008215EA" w:rsidP="00B500DF">
      <w:pPr>
        <w:pStyle w:val="ListBullet"/>
      </w:pPr>
      <w:r>
        <w:t>Consolidating Peaceful Development in Aceh</w:t>
      </w:r>
      <w:r w:rsidR="00B525E5">
        <w:t xml:space="preserve"> </w:t>
      </w:r>
    </w:p>
    <w:p w14:paraId="507F1B1C" w14:textId="6FC24DBC" w:rsidR="008215EA" w:rsidRDefault="008215EA" w:rsidP="00B500DF">
      <w:pPr>
        <w:pStyle w:val="ListBullet"/>
      </w:pPr>
      <w:r>
        <w:t>Partnership for Governance Strengthening Program</w:t>
      </w:r>
      <w:r w:rsidR="001245AC" w:rsidRPr="001245AC">
        <w:t>.</w:t>
      </w:r>
      <w:r w:rsidR="00AA37A8" w:rsidRPr="003A6EEF">
        <w:t xml:space="preserve"> </w:t>
      </w:r>
    </w:p>
    <w:p w14:paraId="46247CC5" w14:textId="54EE44A2" w:rsidR="00AA37A8" w:rsidRDefault="00AA37A8" w:rsidP="004923C5">
      <w:pPr>
        <w:pStyle w:val="BodyText"/>
      </w:pPr>
      <w:r w:rsidRPr="003A6EEF">
        <w:t xml:space="preserve">We support district governments to understand communities’ needs and priorities and </w:t>
      </w:r>
      <w:r w:rsidR="00FB481F">
        <w:t>adopt</w:t>
      </w:r>
      <w:r w:rsidRPr="003A6EEF">
        <w:t xml:space="preserve"> evidence-based planning and budgeting processes to effectively allocate resources to address </w:t>
      </w:r>
      <w:r w:rsidR="008215EA">
        <w:t>these</w:t>
      </w:r>
      <w:r w:rsidRPr="003A6EEF">
        <w:t xml:space="preserve">. </w:t>
      </w:r>
      <w:r w:rsidR="000F57C6">
        <w:t>A</w:t>
      </w:r>
      <w:r w:rsidR="000F57C6" w:rsidRPr="000F57C6">
        <w:t xml:space="preserve">s a result of </w:t>
      </w:r>
      <w:r w:rsidR="00A4732C">
        <w:t>Australian</w:t>
      </w:r>
      <w:r w:rsidR="000F57C6" w:rsidRPr="000F57C6">
        <w:t xml:space="preserve"> assistance</w:t>
      </w:r>
      <w:r w:rsidR="008215EA">
        <w:t>,</w:t>
      </w:r>
      <w:r w:rsidR="000F57C6" w:rsidRPr="000F57C6">
        <w:t xml:space="preserve"> </w:t>
      </w:r>
      <w:r w:rsidRPr="003A6EEF">
        <w:t xml:space="preserve">168 district government service units in Aceh are implementing </w:t>
      </w:r>
      <w:r w:rsidR="008215EA" w:rsidRPr="003A6EEF">
        <w:t>minimum service standard</w:t>
      </w:r>
      <w:r w:rsidR="008215EA">
        <w:t>s</w:t>
      </w:r>
      <w:r w:rsidRPr="003A6EEF">
        <w:t xml:space="preserve"> and transparent management practices through service charters with their communities. The </w:t>
      </w:r>
      <w:r w:rsidR="008215EA">
        <w:t>Australia Community Development and Civil Society Strengthening Scheme</w:t>
      </w:r>
      <w:r w:rsidR="008215EA" w:rsidRPr="003A6EEF" w:rsidDel="008215EA">
        <w:t xml:space="preserve"> </w:t>
      </w:r>
      <w:r w:rsidRPr="003A6EEF">
        <w:t>has support</w:t>
      </w:r>
      <w:r w:rsidR="008215EA">
        <w:t>ed</w:t>
      </w:r>
      <w:r w:rsidRPr="003A6EEF">
        <w:t xml:space="preserve"> 80</w:t>
      </w:r>
      <w:r w:rsidR="008215EA">
        <w:t xml:space="preserve"> per cent</w:t>
      </w:r>
      <w:r w:rsidR="008215EA" w:rsidRPr="003A6EEF">
        <w:t xml:space="preserve"> </w:t>
      </w:r>
      <w:r w:rsidRPr="003A6EEF">
        <w:t xml:space="preserve">of district governments in the provinces of Nusa Tenggara Barat, Nusa Tenggara Timor, South Sulawesi and Southeast Sulawesi to apply participatory approaches in public policy making and budgeting, increasing their health and education budgets and </w:t>
      </w:r>
      <w:r w:rsidR="008215EA">
        <w:t>using</w:t>
      </w:r>
      <w:r w:rsidR="008215EA" w:rsidRPr="003A6EEF">
        <w:t xml:space="preserve"> </w:t>
      </w:r>
      <w:r w:rsidRPr="003A6EEF">
        <w:t>participatory village planning to inform district level plans.</w:t>
      </w:r>
    </w:p>
    <w:p w14:paraId="00D3717B" w14:textId="2029B67B" w:rsidR="00E86919" w:rsidRPr="003A6EEF" w:rsidRDefault="00E86919" w:rsidP="004923C5">
      <w:pPr>
        <w:pStyle w:val="BodyText"/>
      </w:pPr>
      <w:r w:rsidRPr="003A6EEF">
        <w:t>Indonesia is one of the most disaster prone countries in the world</w:t>
      </w:r>
      <w:r w:rsidR="008215EA">
        <w:t>––</w:t>
      </w:r>
      <w:r w:rsidRPr="003A6EEF">
        <w:t>in the last 10 years alone disasters have killed over 200</w:t>
      </w:r>
      <w:r w:rsidR="008215EA">
        <w:t xml:space="preserve"> </w:t>
      </w:r>
      <w:r w:rsidRPr="003A6EEF">
        <w:t xml:space="preserve">000 people. </w:t>
      </w:r>
      <w:r w:rsidRPr="003F0364">
        <w:rPr>
          <w:b/>
        </w:rPr>
        <w:t>Disaster risk management</w:t>
      </w:r>
      <w:r w:rsidRPr="003A6EEF">
        <w:t xml:space="preserve"> is a </w:t>
      </w:r>
      <w:r w:rsidR="000A11DD">
        <w:t>Indonesian Government</w:t>
      </w:r>
      <w:r w:rsidRPr="003A6EEF">
        <w:t xml:space="preserve"> priority, but the sector in Indonesia is new, evolving and complex and the </w:t>
      </w:r>
      <w:r w:rsidR="008215EA">
        <w:lastRenderedPageBreak/>
        <w:t>g</w:t>
      </w:r>
      <w:r w:rsidR="000A11DD">
        <w:t>overnment</w:t>
      </w:r>
      <w:r w:rsidRPr="003A6EEF">
        <w:t xml:space="preserve"> faces significant challenges to its goal of better self-managing disasters. Australia and Indonesia work in partnership to improve Indonesia’s ability to prepare for, manage and reduce the risks of disasters. A major part of our partnership is delivered through the Australia</w:t>
      </w:r>
      <w:r w:rsidR="008215EA">
        <w:t>–</w:t>
      </w:r>
      <w:r w:rsidRPr="003A6EEF">
        <w:t>Indonesia Facility for Disaster Reduction, which works closely with the National Disaster Management Agency. A key area of focus has been on the development and application of training materials for Indonesian disaster managers to address fundamental gaps in the basic skills of disaster risk management.</w:t>
      </w:r>
      <w:r w:rsidR="00B525E5">
        <w:t xml:space="preserve"> </w:t>
      </w:r>
      <w:r w:rsidR="008215EA">
        <w:t xml:space="preserve">The </w:t>
      </w:r>
      <w:r w:rsidR="008215EA" w:rsidRPr="003A6EEF">
        <w:t>Australia</w:t>
      </w:r>
      <w:r w:rsidR="008215EA">
        <w:t>–</w:t>
      </w:r>
      <w:r w:rsidR="008215EA" w:rsidRPr="003A6EEF">
        <w:t xml:space="preserve">Indonesia Facility for Disaster Reduction </w:t>
      </w:r>
      <w:r w:rsidRPr="003A6EEF">
        <w:t xml:space="preserve">has directly supported training of over 6000 people of </w:t>
      </w:r>
      <w:r w:rsidR="008215EA">
        <w:t>who</w:t>
      </w:r>
      <w:r w:rsidR="008215EA" w:rsidRPr="003A6EEF">
        <w:t xml:space="preserve"> </w:t>
      </w:r>
      <w:r w:rsidRPr="003A6EEF">
        <w:t>more than 40</w:t>
      </w:r>
      <w:r w:rsidR="008215EA">
        <w:t xml:space="preserve"> per cent</w:t>
      </w:r>
      <w:r w:rsidR="008215EA" w:rsidRPr="003A6EEF">
        <w:t xml:space="preserve"> </w:t>
      </w:r>
      <w:r w:rsidRPr="003A6EEF">
        <w:t xml:space="preserve">were women. As a result, </w:t>
      </w:r>
      <w:r w:rsidR="008215EA">
        <w:t xml:space="preserve">the </w:t>
      </w:r>
      <w:r w:rsidR="008215EA" w:rsidRPr="003A6EEF">
        <w:t xml:space="preserve">National Disaster Management Agency </w:t>
      </w:r>
      <w:r w:rsidRPr="003A6EEF">
        <w:t xml:space="preserve">is now training provincial and district disaster managers using materials produced through </w:t>
      </w:r>
      <w:r w:rsidR="008215EA" w:rsidRPr="003A6EEF">
        <w:t>the Australia</w:t>
      </w:r>
      <w:r w:rsidR="008215EA">
        <w:t>–</w:t>
      </w:r>
      <w:r w:rsidR="008215EA" w:rsidRPr="003A6EEF">
        <w:t>Indonesia Facility for Disaster Reduction</w:t>
      </w:r>
      <w:r w:rsidRPr="003A6EEF">
        <w:t xml:space="preserve">. To date, </w:t>
      </w:r>
      <w:r w:rsidR="008215EA">
        <w:t>the agency</w:t>
      </w:r>
      <w:r w:rsidR="008215EA" w:rsidRPr="003A6EEF">
        <w:t xml:space="preserve"> </w:t>
      </w:r>
      <w:r w:rsidRPr="003A6EEF">
        <w:t>has train</w:t>
      </w:r>
      <w:r w:rsidR="008215EA">
        <w:t xml:space="preserve">ed </w:t>
      </w:r>
      <w:r w:rsidRPr="003A6EEF">
        <w:t xml:space="preserve">388 disaster managers in </w:t>
      </w:r>
      <w:r w:rsidR="008215EA">
        <w:t>eight</w:t>
      </w:r>
      <w:r w:rsidR="008215EA" w:rsidRPr="003A6EEF">
        <w:t xml:space="preserve"> </w:t>
      </w:r>
      <w:r w:rsidRPr="003A6EEF">
        <w:t xml:space="preserve">provinces. In 2012 </w:t>
      </w:r>
      <w:r w:rsidR="00DE361F">
        <w:t>Australia</w:t>
      </w:r>
      <w:r w:rsidR="00DE361F" w:rsidRPr="003A6EEF">
        <w:t xml:space="preserve"> </w:t>
      </w:r>
      <w:r w:rsidRPr="003A6EEF">
        <w:t xml:space="preserve">and </w:t>
      </w:r>
      <w:r w:rsidR="008215EA">
        <w:t xml:space="preserve">the agency worked </w:t>
      </w:r>
      <w:r w:rsidRPr="003A6EEF">
        <w:t>with the World Bank</w:t>
      </w:r>
      <w:r w:rsidR="008215EA">
        <w:t xml:space="preserve"> to</w:t>
      </w:r>
      <w:r w:rsidRPr="003A6EEF">
        <w:t xml:space="preserve"> launch the Indonesia Scenario Assessment for Emergencies</w:t>
      </w:r>
      <w:r w:rsidR="008215EA">
        <w:t>––</w:t>
      </w:r>
      <w:r w:rsidRPr="003A6EEF">
        <w:t xml:space="preserve">innovative open source software that allows disaster managers to produce realistic natural hazard scenarios to underpin contingency planning. In addition, </w:t>
      </w:r>
      <w:r w:rsidR="00A4732C">
        <w:t xml:space="preserve">Australia’s </w:t>
      </w:r>
      <w:r w:rsidRPr="003A6EEF">
        <w:t xml:space="preserve">programs to build capacity of Indonesia’s science agencies to understand earthquake hazard and impacts has resulted in new earthquake hazard maps for </w:t>
      </w:r>
      <w:r w:rsidR="008215EA">
        <w:t>seven</w:t>
      </w:r>
      <w:r w:rsidR="008215EA" w:rsidRPr="003A6EEF">
        <w:t xml:space="preserve"> </w:t>
      </w:r>
      <w:r w:rsidRPr="003A6EEF">
        <w:t xml:space="preserve">provinces </w:t>
      </w:r>
      <w:r w:rsidR="00DE361F">
        <w:t xml:space="preserve">being </w:t>
      </w:r>
      <w:r w:rsidRPr="003A6EEF">
        <w:t>developed by Indonesia’s Geology Agency</w:t>
      </w:r>
      <w:r w:rsidR="008215EA">
        <w:t>,</w:t>
      </w:r>
      <w:r w:rsidRPr="003A6EEF">
        <w:t xml:space="preserve"> and real-time earthquake impact assessment</w:t>
      </w:r>
      <w:r w:rsidR="008215EA">
        <w:t>s</w:t>
      </w:r>
      <w:r w:rsidRPr="003A6EEF">
        <w:t xml:space="preserve"> for 160 earthquakes since November 2012. </w:t>
      </w:r>
      <w:r w:rsidR="00A4732C">
        <w:t>DFAT</w:t>
      </w:r>
      <w:r w:rsidR="00A4732C" w:rsidRPr="003A6EEF">
        <w:t xml:space="preserve"> </w:t>
      </w:r>
      <w:r w:rsidRPr="003A6EEF">
        <w:t xml:space="preserve">is also responsible for ensuring that Australia is able to provide an effective disaster response within 48 hours of a request for assistance. The Jakarta Disaster Response Plan was published in December 2012 and a trained </w:t>
      </w:r>
      <w:r w:rsidR="008215EA" w:rsidRPr="003A6EEF">
        <w:t xml:space="preserve">emergency response team </w:t>
      </w:r>
      <w:r w:rsidRPr="003A6EEF">
        <w:t xml:space="preserve">of 60 staff </w:t>
      </w:r>
      <w:r w:rsidR="00CC7528">
        <w:t xml:space="preserve">within the embassy </w:t>
      </w:r>
      <w:r w:rsidRPr="003A6EEF">
        <w:t xml:space="preserve">stand ready to implement </w:t>
      </w:r>
      <w:r w:rsidR="008215EA">
        <w:t>this</w:t>
      </w:r>
      <w:r w:rsidRPr="003A6EEF">
        <w:t xml:space="preserve"> in the event of a disaster in Indonesia requiring Australian assistance.</w:t>
      </w:r>
    </w:p>
    <w:p w14:paraId="4AB51BFA" w14:textId="666BCC7A" w:rsidR="00F71581" w:rsidRDefault="00F71581" w:rsidP="004923C5">
      <w:pPr>
        <w:pStyle w:val="BodyText"/>
      </w:pPr>
      <w:r w:rsidRPr="00F71581">
        <w:t>As discussed above, macroeconomic indicators in Indonesia remain healthy overall, but a significant current account deficit is emerging, reflecting slowing exports. Limited institutional capacity, unclear decision-making authority, and weak coordination across government are major obstacles for economic reform.</w:t>
      </w:r>
      <w:r w:rsidR="00B525E5">
        <w:t xml:space="preserve"> </w:t>
      </w:r>
      <w:r w:rsidR="00DE361F">
        <w:t>Australia</w:t>
      </w:r>
      <w:r w:rsidR="00DE361F" w:rsidRPr="00F71581">
        <w:t xml:space="preserve">’s </w:t>
      </w:r>
      <w:r w:rsidRPr="00F71581">
        <w:rPr>
          <w:b/>
        </w:rPr>
        <w:t>economic governance</w:t>
      </w:r>
      <w:r w:rsidRPr="00F71581">
        <w:t xml:space="preserve"> programs</w:t>
      </w:r>
      <w:r w:rsidR="008215EA">
        <w:t>, including</w:t>
      </w:r>
      <w:r w:rsidRPr="00F71581">
        <w:t xml:space="preserve"> the </w:t>
      </w:r>
      <w:r w:rsidR="000A11DD">
        <w:t>Australia–Indonesia</w:t>
      </w:r>
      <w:r w:rsidRPr="00F71581">
        <w:t xml:space="preserve"> Partnership for Economic Governance and the World Bank-implemented Support for Enhanced Economic and Fiscal Policy Analysis</w:t>
      </w:r>
      <w:r w:rsidR="008215EA">
        <w:t>,</w:t>
      </w:r>
      <w:r w:rsidR="008215EA" w:rsidRPr="00F71581">
        <w:t xml:space="preserve"> </w:t>
      </w:r>
      <w:r w:rsidRPr="00F71581">
        <w:t xml:space="preserve">support key Indonesian Government agencies to improve their capacity to manage the economy and contribute to inclusive economic growth and poverty reduction. Support to Indonesia’s Fiscal Policy Agency has led to considerable improvements in its analytical methods and provided strong evidence to inform </w:t>
      </w:r>
      <w:r w:rsidR="000A11DD">
        <w:t>Indonesian Government</w:t>
      </w:r>
      <w:r w:rsidRPr="00F71581">
        <w:t xml:space="preserve"> policy makers on critical issues such as fuel subsidy reform, budget execution blockages, and the emerging current account deficit. The newly formed independent </w:t>
      </w:r>
      <w:r w:rsidR="009F53DE">
        <w:t>f</w:t>
      </w:r>
      <w:r w:rsidR="009F53DE" w:rsidRPr="00F71581">
        <w:t xml:space="preserve">inancial </w:t>
      </w:r>
      <w:r w:rsidR="009F53DE">
        <w:t>services authority of Indonesia––</w:t>
      </w:r>
      <w:r w:rsidRPr="00F71581">
        <w:t>OJK</w:t>
      </w:r>
      <w:r w:rsidR="009F53DE">
        <w:t>––</w:t>
      </w:r>
      <w:r w:rsidRPr="00F71581">
        <w:t xml:space="preserve">has taken over regulatory and supervisory responsibilities from Bank of Indonesia and the Ministry of Finance in banking, non-banking financial institutions and capital markets. Successful transition of the new body is critical for the future of Indonesia’s financial sector stability and is the major institutional reform in economic governance currently underway in Indonesia. </w:t>
      </w:r>
      <w:r w:rsidR="00DE361F">
        <w:t>Australia</w:t>
      </w:r>
      <w:r w:rsidR="00DE361F" w:rsidRPr="00F71581">
        <w:t xml:space="preserve"> </w:t>
      </w:r>
      <w:r w:rsidRPr="00F71581">
        <w:t xml:space="preserve">is providing assistance directly to the OJK </w:t>
      </w:r>
      <w:r w:rsidR="009F53DE">
        <w:t>b</w:t>
      </w:r>
      <w:r w:rsidR="009F53DE" w:rsidRPr="00F71581">
        <w:t xml:space="preserve">oard </w:t>
      </w:r>
      <w:r w:rsidRPr="00F71581">
        <w:t xml:space="preserve">of </w:t>
      </w:r>
      <w:r w:rsidR="009F53DE">
        <w:t>c</w:t>
      </w:r>
      <w:r w:rsidR="009F53DE" w:rsidRPr="00F71581">
        <w:t xml:space="preserve">ommissioners </w:t>
      </w:r>
      <w:r w:rsidRPr="00F71581">
        <w:t xml:space="preserve">on critical issues, and </w:t>
      </w:r>
      <w:r w:rsidR="00883949">
        <w:t>the</w:t>
      </w:r>
      <w:r w:rsidRPr="00F71581">
        <w:t xml:space="preserve"> A</w:t>
      </w:r>
      <w:r w:rsidR="008215EA">
        <w:t xml:space="preserve">ustralian </w:t>
      </w:r>
      <w:r w:rsidRPr="00F71581">
        <w:t>P</w:t>
      </w:r>
      <w:r w:rsidR="008215EA">
        <w:t xml:space="preserve">rudential </w:t>
      </w:r>
      <w:r w:rsidRPr="00F71581">
        <w:t>R</w:t>
      </w:r>
      <w:r w:rsidR="008215EA">
        <w:t>egulat</w:t>
      </w:r>
      <w:r w:rsidR="00883949">
        <w:t>ion</w:t>
      </w:r>
      <w:r w:rsidR="008215EA">
        <w:t xml:space="preserve"> </w:t>
      </w:r>
      <w:r w:rsidRPr="00F71581">
        <w:t>A</w:t>
      </w:r>
      <w:r w:rsidR="008215EA">
        <w:t>uthority</w:t>
      </w:r>
      <w:r w:rsidRPr="00F71581">
        <w:t xml:space="preserve"> and A</w:t>
      </w:r>
      <w:r w:rsidR="008215EA">
        <w:t xml:space="preserve">ustralian </w:t>
      </w:r>
      <w:r w:rsidRPr="00F71581">
        <w:t>S</w:t>
      </w:r>
      <w:r w:rsidR="008215EA">
        <w:t xml:space="preserve">ecurities and </w:t>
      </w:r>
      <w:r w:rsidRPr="00F71581">
        <w:t>I</w:t>
      </w:r>
      <w:r w:rsidR="008215EA">
        <w:t xml:space="preserve">nvestments </w:t>
      </w:r>
      <w:r w:rsidRPr="00F71581">
        <w:t>C</w:t>
      </w:r>
      <w:r w:rsidR="008215EA">
        <w:t>ommission</w:t>
      </w:r>
      <w:r w:rsidRPr="00F71581">
        <w:t xml:space="preserve"> have been providing ongoing capacity building to OJK on risk-based supervision and financial market development under the Government Partnership Fund.</w:t>
      </w:r>
    </w:p>
    <w:p w14:paraId="20FF2AAD" w14:textId="7B4A4D1E" w:rsidR="007C41D7" w:rsidRDefault="007C41D7" w:rsidP="004923C5">
      <w:pPr>
        <w:pStyle w:val="BodyText"/>
      </w:pPr>
      <w:r w:rsidRPr="007C41D7">
        <w:rPr>
          <w:b/>
        </w:rPr>
        <w:t>Elections</w:t>
      </w:r>
      <w:r w:rsidRPr="007C41D7">
        <w:t xml:space="preserve"> held in 1999 and 2004 resulted in smooth and orderly transitions of power. However, the 2009 elections revealed a number of issues in the management of electoral systems and processes which, if not for incumbent President </w:t>
      </w:r>
      <w:proofErr w:type="spellStart"/>
      <w:r w:rsidRPr="007C41D7">
        <w:t>Susilo</w:t>
      </w:r>
      <w:proofErr w:type="spellEnd"/>
      <w:r w:rsidRPr="007C41D7">
        <w:t xml:space="preserve"> </w:t>
      </w:r>
      <w:proofErr w:type="spellStart"/>
      <w:r w:rsidRPr="007C41D7">
        <w:t>Bambang</w:t>
      </w:r>
      <w:proofErr w:type="spellEnd"/>
      <w:r w:rsidRPr="007C41D7">
        <w:t xml:space="preserve"> </w:t>
      </w:r>
      <w:proofErr w:type="spellStart"/>
      <w:r w:rsidRPr="007C41D7">
        <w:t>Yudhoyono’s</w:t>
      </w:r>
      <w:proofErr w:type="spellEnd"/>
      <w:r w:rsidRPr="007C41D7">
        <w:t xml:space="preserve"> significant winning margin, may have compromised the credibility of the election. Of most concern were inaccuracies in the voter list, errors in vote tabulation, and a high level of invalid votes. Australia’s support for elections is delivered through the Australia</w:t>
      </w:r>
      <w:r w:rsidR="004B23FE">
        <w:t>–</w:t>
      </w:r>
      <w:r w:rsidRPr="007C41D7">
        <w:t>Indonesia Electoral Support Program</w:t>
      </w:r>
      <w:r w:rsidR="004B23FE">
        <w:t xml:space="preserve">, </w:t>
      </w:r>
      <w:r w:rsidRPr="007C41D7">
        <w:t xml:space="preserve">which </w:t>
      </w:r>
      <w:r w:rsidR="004B23FE">
        <w:t>underscores</w:t>
      </w:r>
      <w:r w:rsidRPr="007C41D7">
        <w:t xml:space="preserve"> Indonesia’s efforts to conduct well-organised and credible elections by building the capacity of electoral management bodies and increasing public engagement in electoral processes.</w:t>
      </w:r>
      <w:r w:rsidR="00B525E5">
        <w:t xml:space="preserve"> </w:t>
      </w:r>
      <w:r w:rsidR="00A4732C">
        <w:t>Australia</w:t>
      </w:r>
      <w:r w:rsidRPr="007C41D7">
        <w:t xml:space="preserve"> supported Indonesia’s General Elections </w:t>
      </w:r>
      <w:r w:rsidRPr="007C41D7">
        <w:lastRenderedPageBreak/>
        <w:t>Commission to develop an accurate list of approximately 190 million voters and a mechanism for allocating these voters to polling stations managed by over 500 field officers. This list will be used for the 2014 national elections and will be the largest electronic election management system in the world</w:t>
      </w:r>
      <w:r w:rsidR="00E30A3F">
        <w:t xml:space="preserve">. The </w:t>
      </w:r>
      <w:r w:rsidR="00E30A3F" w:rsidRPr="007C41D7">
        <w:t>General Elections Commission</w:t>
      </w:r>
      <w:r w:rsidRPr="007C41D7">
        <w:t xml:space="preserve"> has already resulted in an international award which acknowledges </w:t>
      </w:r>
      <w:r w:rsidR="00E30A3F">
        <w:t>its</w:t>
      </w:r>
      <w:r w:rsidR="00E30A3F" w:rsidRPr="007C41D7">
        <w:t xml:space="preserve"> </w:t>
      </w:r>
      <w:r w:rsidRPr="007C41D7">
        <w:t xml:space="preserve">innovative efforts. Australia continued to support the long-standing peer-to-peer relationship between the Australian Electoral Commission and the </w:t>
      </w:r>
      <w:r w:rsidR="00E30A3F" w:rsidRPr="007C41D7">
        <w:t>General Elections Commission</w:t>
      </w:r>
      <w:r w:rsidRPr="007C41D7">
        <w:t xml:space="preserve">. The </w:t>
      </w:r>
      <w:r w:rsidR="00E30A3F" w:rsidRPr="007C41D7">
        <w:t>Australian Electoral Commission</w:t>
      </w:r>
      <w:r w:rsidR="00E30A3F" w:rsidRPr="007C41D7" w:rsidDel="00E30A3F">
        <w:t xml:space="preserve"> </w:t>
      </w:r>
      <w:r w:rsidRPr="007C41D7">
        <w:t>delivered training for election officials on internationally regarded good practices in electoral management which was independently reviewed and found to provid</w:t>
      </w:r>
      <w:r w:rsidR="00E30A3F">
        <w:t xml:space="preserve">e </w:t>
      </w:r>
      <w:r w:rsidRPr="007C41D7">
        <w:t xml:space="preserve">a useful foundation for </w:t>
      </w:r>
      <w:r w:rsidR="00E30A3F" w:rsidRPr="007C41D7">
        <w:t>General Elections Commission</w:t>
      </w:r>
      <w:r w:rsidR="00E30A3F">
        <w:t xml:space="preserve"> </w:t>
      </w:r>
      <w:r w:rsidRPr="007C41D7">
        <w:t>staff in electoral administration, management and operations. Delays to approvals meant activities with civil society organisations to ratify election regulations had to be cancelled due to lack of time in the lead up to the 2014 election</w:t>
      </w:r>
      <w:r w:rsidR="00E30A3F">
        <w:t>. These</w:t>
      </w:r>
      <w:r w:rsidRPr="007C41D7">
        <w:t xml:space="preserve"> have been replaced </w:t>
      </w:r>
      <w:r w:rsidR="00E30A3F">
        <w:t>by</w:t>
      </w:r>
      <w:r w:rsidR="00E30A3F" w:rsidRPr="007C41D7">
        <w:t xml:space="preserve"> </w:t>
      </w:r>
      <w:r w:rsidRPr="007C41D7">
        <w:t xml:space="preserve">support for civil society engagement in voter education and election monitoring, which remain </w:t>
      </w:r>
      <w:proofErr w:type="gramStart"/>
      <w:r w:rsidRPr="007C41D7">
        <w:t>key</w:t>
      </w:r>
      <w:proofErr w:type="gramEnd"/>
      <w:r w:rsidRPr="007C41D7">
        <w:t xml:space="preserve"> to reversing the trend of declining independent monitoring of elections.</w:t>
      </w:r>
    </w:p>
    <w:p w14:paraId="78150084" w14:textId="56552385" w:rsidR="00E86919" w:rsidRDefault="00E86919" w:rsidP="004923C5">
      <w:pPr>
        <w:pStyle w:val="BodyText"/>
      </w:pPr>
      <w:r w:rsidRPr="00F119EE">
        <w:t xml:space="preserve">Indonesia’s judiciary was separated from the executive arm of government less than a decade ago. While the country’s courts have made strong progress during this time, and reforms have been introduced to enhance the performance of other law and justice agencies, the Indonesian public continues to be sceptical about the quality and accessibility of justice services. Australia’s support for Indonesia’s </w:t>
      </w:r>
      <w:r w:rsidRPr="00F119EE">
        <w:rPr>
          <w:b/>
        </w:rPr>
        <w:t>law and justice</w:t>
      </w:r>
      <w:r w:rsidRPr="00F119EE">
        <w:t xml:space="preserve"> sector is delivered primarily through the </w:t>
      </w:r>
      <w:r w:rsidR="000A11DD" w:rsidRPr="00F119EE">
        <w:t>Australia–Indonesia</w:t>
      </w:r>
      <w:r w:rsidRPr="00F119EE">
        <w:t xml:space="preserve"> Partnership for Justice, with a focus on realising the rights of the poor and marginalised centred on</w:t>
      </w:r>
      <w:r w:rsidR="00E30A3F" w:rsidRPr="00F119EE">
        <w:t xml:space="preserve"> the right to </w:t>
      </w:r>
      <w:r w:rsidRPr="00F119EE">
        <w:t>legal identity</w:t>
      </w:r>
      <w:r w:rsidR="00E30A3F" w:rsidRPr="00F119EE">
        <w:t xml:space="preserve">, </w:t>
      </w:r>
      <w:r w:rsidRPr="00F119EE">
        <w:t>fair and accessible legal services</w:t>
      </w:r>
      <w:r w:rsidR="00E30A3F" w:rsidRPr="00F119EE">
        <w:t xml:space="preserve">, </w:t>
      </w:r>
      <w:r w:rsidRPr="00F119EE">
        <w:t xml:space="preserve">and accessible legal information. </w:t>
      </w:r>
      <w:r w:rsidR="00DE361F" w:rsidRPr="00F119EE">
        <w:t xml:space="preserve">Australia </w:t>
      </w:r>
      <w:r w:rsidRPr="00F119EE">
        <w:t>has supported ongoing eff</w:t>
      </w:r>
      <w:r w:rsidR="00F119EE" w:rsidRPr="00F119EE">
        <w:t>orts to publish court decisions</w:t>
      </w:r>
      <w:r w:rsidRPr="00F119EE">
        <w:t xml:space="preserve"> </w:t>
      </w:r>
      <w:r w:rsidR="00E30A3F" w:rsidRPr="00F119EE">
        <w:t>and</w:t>
      </w:r>
      <w:r w:rsidR="00F119EE" w:rsidRPr="00F119EE">
        <w:t>,</w:t>
      </w:r>
      <w:r w:rsidR="00E30A3F" w:rsidRPr="00F119EE">
        <w:t xml:space="preserve"> </w:t>
      </w:r>
      <w:r w:rsidRPr="00F119EE">
        <w:t>as of June 2013</w:t>
      </w:r>
      <w:r w:rsidR="00F119EE" w:rsidRPr="00F119EE">
        <w:t>,</w:t>
      </w:r>
      <w:r w:rsidR="00E30A3F" w:rsidRPr="00F119EE">
        <w:t xml:space="preserve"> this</w:t>
      </w:r>
      <w:r w:rsidRPr="00F119EE">
        <w:t xml:space="preserve"> </w:t>
      </w:r>
      <w:r w:rsidR="00E30A3F" w:rsidRPr="00F119EE">
        <w:t xml:space="preserve">had </w:t>
      </w:r>
      <w:r w:rsidRPr="00F119EE">
        <w:t>resulted in over 460</w:t>
      </w:r>
      <w:r w:rsidR="00E30A3F" w:rsidRPr="00F119EE">
        <w:t xml:space="preserve"> </w:t>
      </w:r>
      <w:r w:rsidRPr="00F119EE">
        <w:t xml:space="preserve">000 decisions </w:t>
      </w:r>
      <w:r w:rsidR="00E30A3F" w:rsidRPr="00F119EE">
        <w:t xml:space="preserve">being </w:t>
      </w:r>
      <w:r w:rsidRPr="00F119EE">
        <w:t>published online (up from 123</w:t>
      </w:r>
      <w:r w:rsidR="00E30A3F" w:rsidRPr="00F119EE">
        <w:t xml:space="preserve"> </w:t>
      </w:r>
      <w:r w:rsidRPr="00F119EE">
        <w:t xml:space="preserve">000 in December 2011) and has already had concrete impacts on judicial accountability as evidenced by the first ever dismissal of a Supreme Court judge in late 2012 over doctoring an official decision. Australia also supported the </w:t>
      </w:r>
      <w:r w:rsidR="00E30A3F" w:rsidRPr="00F119EE">
        <w:t xml:space="preserve">government’s </w:t>
      </w:r>
      <w:r w:rsidRPr="00F119EE">
        <w:t xml:space="preserve">efforts to professionalise anti-corruption prosecutions, with support to </w:t>
      </w:r>
      <w:r w:rsidR="00E30A3F" w:rsidRPr="00F119EE">
        <w:t xml:space="preserve">enable the </w:t>
      </w:r>
      <w:r w:rsidRPr="00F119EE">
        <w:t xml:space="preserve">Public Prosecutor’s Office </w:t>
      </w:r>
      <w:r w:rsidR="00E30A3F" w:rsidRPr="00F119EE">
        <w:t xml:space="preserve">to </w:t>
      </w:r>
      <w:r w:rsidRPr="00F119EE">
        <w:t>mak</w:t>
      </w:r>
      <w:r w:rsidR="00E30A3F" w:rsidRPr="00F119EE">
        <w:t xml:space="preserve">e </w:t>
      </w:r>
      <w:r w:rsidRPr="00F119EE">
        <w:t xml:space="preserve">its </w:t>
      </w:r>
      <w:r w:rsidR="00E30A3F" w:rsidRPr="00F119EE">
        <w:t xml:space="preserve">annual report </w:t>
      </w:r>
      <w:r w:rsidRPr="00F119EE">
        <w:t>available to the public for the first time in 2012 likely to lead to enhanced accountability in the long</w:t>
      </w:r>
      <w:r w:rsidR="00E30A3F" w:rsidRPr="00F119EE">
        <w:t xml:space="preserve"> </w:t>
      </w:r>
      <w:r w:rsidRPr="00F119EE">
        <w:t xml:space="preserve">term. Policy advocacy by </w:t>
      </w:r>
      <w:r w:rsidR="00E30A3F" w:rsidRPr="00F119EE">
        <w:t xml:space="preserve">programs supported by </w:t>
      </w:r>
      <w:r w:rsidR="00DE361F" w:rsidRPr="00F119EE">
        <w:t>Australia</w:t>
      </w:r>
      <w:r w:rsidRPr="00F119EE">
        <w:t xml:space="preserve"> </w:t>
      </w:r>
      <w:r w:rsidR="00E30A3F" w:rsidRPr="00F119EE">
        <w:t>has</w:t>
      </w:r>
      <w:r w:rsidRPr="00F119EE">
        <w:t xml:space="preserve"> resulted in key judicial reforms to ensure greater access to justice for poor and marginalised groups, including a Supreme Court decree raising the threshold for a </w:t>
      </w:r>
      <w:r w:rsidR="00F119EE">
        <w:t>serious crime to IDR</w:t>
      </w:r>
      <w:r w:rsidRPr="00F119EE">
        <w:t>2.5 million (</w:t>
      </w:r>
      <w:r w:rsidR="008D1329" w:rsidRPr="00F119EE">
        <w:t>$</w:t>
      </w:r>
      <w:r w:rsidR="00F119EE">
        <w:t>250) from IDR</w:t>
      </w:r>
      <w:r w:rsidRPr="00F119EE">
        <w:t>250 (2.5 cents). If accepted by the Public Prosecutor’s Office, this will keep many children and petty criminals out of prison. Assistance to Indonesia’s Corruption Eradication Commission to build public support for its plan to recruit independent investigators has been highly successful</w:t>
      </w:r>
      <w:r w:rsidR="00E30A3F" w:rsidRPr="00F119EE">
        <w:t xml:space="preserve">. The commission’s </w:t>
      </w:r>
      <w:r w:rsidRPr="00F119EE">
        <w:t xml:space="preserve">leadership and civil society observers </w:t>
      </w:r>
      <w:r w:rsidR="00E30A3F" w:rsidRPr="00F119EE">
        <w:t xml:space="preserve">are </w:t>
      </w:r>
      <w:r w:rsidRPr="00F119EE">
        <w:t xml:space="preserve">considering this important to help </w:t>
      </w:r>
      <w:r w:rsidR="00E30A3F" w:rsidRPr="00F119EE">
        <w:t xml:space="preserve">the commission </w:t>
      </w:r>
      <w:r w:rsidRPr="00F119EE">
        <w:t>continue its effective approach to eradicating corruption.</w:t>
      </w:r>
    </w:p>
    <w:p w14:paraId="58C1C7B4" w14:textId="25ABC13A" w:rsidR="00AA37A8" w:rsidRPr="003A6EEF" w:rsidRDefault="00AA37A8" w:rsidP="004923C5">
      <w:pPr>
        <w:pStyle w:val="BodyText"/>
      </w:pPr>
      <w:r w:rsidRPr="003A6EEF">
        <w:t>Agriculture makes up 43</w:t>
      </w:r>
      <w:r w:rsidR="00E30A3F">
        <w:t xml:space="preserve"> per cent</w:t>
      </w:r>
      <w:r w:rsidR="00E30A3F" w:rsidRPr="003A6EEF">
        <w:t xml:space="preserve"> </w:t>
      </w:r>
      <w:r w:rsidRPr="003A6EEF">
        <w:t xml:space="preserve">of household incomes in Indonesia and will continue to drive Indonesia’s rural economy for the next 20 years. World Bank analysis indicates that agriculture is </w:t>
      </w:r>
      <w:r w:rsidR="00E30A3F">
        <w:t>three</w:t>
      </w:r>
      <w:r w:rsidR="00E30A3F" w:rsidRPr="003A6EEF">
        <w:t xml:space="preserve"> </w:t>
      </w:r>
      <w:r w:rsidRPr="003A6EEF">
        <w:t>times more efficient in reducing poverty compared to other major economic sectors</w:t>
      </w:r>
      <w:r w:rsidR="00E30A3F">
        <w:t>.</w:t>
      </w:r>
      <w:r w:rsidR="00E86919">
        <w:rPr>
          <w:rStyle w:val="FootnoteReference"/>
        </w:rPr>
        <w:footnoteReference w:id="6"/>
      </w:r>
      <w:r w:rsidRPr="003A6EEF">
        <w:t xml:space="preserve"> </w:t>
      </w:r>
      <w:r w:rsidR="00A4732C">
        <w:t xml:space="preserve">Australian </w:t>
      </w:r>
      <w:r w:rsidRPr="003A6EEF">
        <w:t xml:space="preserve">activities in </w:t>
      </w:r>
      <w:r w:rsidRPr="00E86919">
        <w:rPr>
          <w:b/>
        </w:rPr>
        <w:t>rural livelihoods and agribusiness</w:t>
      </w:r>
      <w:r w:rsidRPr="003A6EEF">
        <w:t xml:space="preserve"> have </w:t>
      </w:r>
      <w:r w:rsidR="00E30A3F">
        <w:t>helped</w:t>
      </w:r>
      <w:r w:rsidR="00E30A3F" w:rsidRPr="003A6EEF">
        <w:t xml:space="preserve"> </w:t>
      </w:r>
      <w:r w:rsidRPr="003A6EEF">
        <w:t>94</w:t>
      </w:r>
      <w:r w:rsidR="00E30A3F">
        <w:t xml:space="preserve"> </w:t>
      </w:r>
      <w:r w:rsidRPr="003A6EEF">
        <w:t>039 poor women and men gain access to agricultural technologies</w:t>
      </w:r>
      <w:r w:rsidR="00E30A3F">
        <w:t>, generate</w:t>
      </w:r>
      <w:r w:rsidR="00E30A3F" w:rsidRPr="003A6EEF">
        <w:t xml:space="preserve"> </w:t>
      </w:r>
      <w:r w:rsidR="008D1329">
        <w:t>$</w:t>
      </w:r>
      <w:r w:rsidRPr="003A6EEF">
        <w:t>2.8 million of additional agricultural production dollars</w:t>
      </w:r>
      <w:r w:rsidR="00E30A3F">
        <w:t>,</w:t>
      </w:r>
      <w:r w:rsidR="00E30A3F" w:rsidRPr="003A6EEF">
        <w:t xml:space="preserve"> </w:t>
      </w:r>
      <w:r w:rsidRPr="003A6EEF">
        <w:t>and</w:t>
      </w:r>
      <w:r w:rsidR="0054203D">
        <w:t xml:space="preserve"> </w:t>
      </w:r>
      <w:r w:rsidR="00E30A3F">
        <w:t xml:space="preserve">increased incomes for </w:t>
      </w:r>
      <w:r w:rsidR="0054203D">
        <w:t>32</w:t>
      </w:r>
      <w:r w:rsidR="00E30A3F">
        <w:t xml:space="preserve"> </w:t>
      </w:r>
      <w:r w:rsidR="0054203D">
        <w:t xml:space="preserve">786 </w:t>
      </w:r>
      <w:r w:rsidRPr="003A6EEF">
        <w:t>poor women and men.</w:t>
      </w:r>
      <w:r w:rsidR="00B525E5">
        <w:t xml:space="preserve"> </w:t>
      </w:r>
      <w:r w:rsidRPr="003A6EEF">
        <w:t xml:space="preserve">Up </w:t>
      </w:r>
      <w:r w:rsidR="00E30A3F">
        <w:t>until</w:t>
      </w:r>
      <w:r w:rsidR="00E30A3F" w:rsidRPr="003A6EEF">
        <w:t xml:space="preserve"> </w:t>
      </w:r>
      <w:r w:rsidRPr="003A6EEF">
        <w:t>June 2013</w:t>
      </w:r>
      <w:r w:rsidR="00E30A3F">
        <w:t>,</w:t>
      </w:r>
      <w:r w:rsidRPr="003A6EEF">
        <w:t xml:space="preserve"> focus </w:t>
      </w:r>
      <w:r w:rsidR="00E30A3F" w:rsidRPr="003A6EEF">
        <w:t>ha</w:t>
      </w:r>
      <w:r w:rsidR="00E30A3F">
        <w:t>d</w:t>
      </w:r>
      <w:r w:rsidR="00E30A3F" w:rsidRPr="003A6EEF">
        <w:t xml:space="preserve"> </w:t>
      </w:r>
      <w:r w:rsidRPr="003A6EEF">
        <w:t xml:space="preserve">been </w:t>
      </w:r>
      <w:r w:rsidR="00E30A3F">
        <w:t>on</w:t>
      </w:r>
      <w:r w:rsidRPr="003A6EEF">
        <w:t xml:space="preserve"> preparatory work for a new program to begin in</w:t>
      </w:r>
      <w:r w:rsidR="00E30A3F">
        <w:t xml:space="preserve"> </w:t>
      </w:r>
      <w:r w:rsidRPr="003A6EEF">
        <w:t>2013</w:t>
      </w:r>
      <w:r w:rsidR="00E30A3F">
        <w:t>–</w:t>
      </w:r>
      <w:r w:rsidRPr="003A6EEF">
        <w:t xml:space="preserve">14 </w:t>
      </w:r>
      <w:r w:rsidR="00E30A3F">
        <w:t>which will</w:t>
      </w:r>
      <w:r w:rsidR="00E30A3F" w:rsidRPr="003A6EEF">
        <w:t xml:space="preserve"> </w:t>
      </w:r>
      <w:r w:rsidRPr="003A6EEF">
        <w:t>increase agricultural incomes by 30</w:t>
      </w:r>
      <w:r w:rsidR="00E30A3F">
        <w:t xml:space="preserve"> per cent</w:t>
      </w:r>
      <w:r w:rsidR="00E30A3F" w:rsidRPr="003A6EEF">
        <w:t xml:space="preserve"> </w:t>
      </w:r>
      <w:r w:rsidRPr="003A6EEF">
        <w:t>for 300</w:t>
      </w:r>
      <w:r w:rsidR="00E30A3F">
        <w:t xml:space="preserve"> </w:t>
      </w:r>
      <w:r w:rsidRPr="003A6EEF">
        <w:t xml:space="preserve">000 farmers in the five eastern provinces of East Java, Nusa Tenggara Timor, Nusa Tenggara Barat, West Papua and Papua. </w:t>
      </w:r>
      <w:r w:rsidR="00A4732C">
        <w:t>Australia</w:t>
      </w:r>
      <w:r w:rsidRPr="003A6EEF">
        <w:t xml:space="preserve"> also supported around 90 villages through the Nusa Tenggara Timor Agro</w:t>
      </w:r>
      <w:r w:rsidR="00E30A3F">
        <w:t>–</w:t>
      </w:r>
      <w:r w:rsidRPr="003A6EEF">
        <w:t xml:space="preserve">Forestry </w:t>
      </w:r>
      <w:r w:rsidR="00E30A3F">
        <w:t>C</w:t>
      </w:r>
      <w:r w:rsidR="00E30A3F" w:rsidRPr="003A6EEF">
        <w:t xml:space="preserve">ommunity </w:t>
      </w:r>
      <w:r w:rsidRPr="003A6EEF">
        <w:t>Development activity to increase access to agricultural technologies</w:t>
      </w:r>
      <w:r w:rsidR="00E30A3F">
        <w:t xml:space="preserve"> for </w:t>
      </w:r>
      <w:r w:rsidR="00E30A3F" w:rsidRPr="003A6EEF">
        <w:t>11</w:t>
      </w:r>
      <w:r w:rsidR="00E30A3F">
        <w:t xml:space="preserve"> </w:t>
      </w:r>
      <w:r w:rsidR="00E30A3F" w:rsidRPr="003A6EEF">
        <w:t>000 farmer</w:t>
      </w:r>
      <w:r w:rsidR="00E30A3F">
        <w:t>s</w:t>
      </w:r>
      <w:r w:rsidRPr="003A6EEF">
        <w:t xml:space="preserve">, </w:t>
      </w:r>
      <w:r w:rsidR="00E30A3F">
        <w:t xml:space="preserve">and </w:t>
      </w:r>
      <w:r w:rsidRPr="003A6EEF">
        <w:t>increas</w:t>
      </w:r>
      <w:r w:rsidR="00E30A3F">
        <w:t xml:space="preserve">e </w:t>
      </w:r>
      <w:r w:rsidRPr="003A6EEF">
        <w:t>the incomes of 16</w:t>
      </w:r>
      <w:r w:rsidR="00E30A3F">
        <w:t xml:space="preserve"> </w:t>
      </w:r>
      <w:r w:rsidRPr="003A6EEF">
        <w:t>460 poor women and men.</w:t>
      </w:r>
    </w:p>
    <w:p w14:paraId="1EF4A0CF" w14:textId="686C5D9C" w:rsidR="00AA37A8" w:rsidRPr="003A6EEF" w:rsidRDefault="00AA37A8" w:rsidP="004923C5">
      <w:pPr>
        <w:pStyle w:val="BodyText"/>
      </w:pPr>
      <w:r w:rsidRPr="003A6EEF">
        <w:lastRenderedPageBreak/>
        <w:t xml:space="preserve">Australia Awards provide long and </w:t>
      </w:r>
      <w:r w:rsidR="00E30A3F" w:rsidRPr="003A6EEF">
        <w:t>short</w:t>
      </w:r>
      <w:r w:rsidR="00E30A3F">
        <w:t>-</w:t>
      </w:r>
      <w:r w:rsidRPr="003A6EEF">
        <w:t xml:space="preserve">term study and professional development opportunities to citizens from developing countries. They aim to promote knowledge, education links and enduring ties between Australia and our neighbours through </w:t>
      </w:r>
      <w:r w:rsidRPr="00E86919">
        <w:rPr>
          <w:b/>
        </w:rPr>
        <w:t>scholarships</w:t>
      </w:r>
      <w:r w:rsidRPr="003A6EEF">
        <w:t xml:space="preserve"> programs. In 2012, 448 Australia Awards Scholarships (formerly Australia Development Scholarships) were offered to Indonesians for long-term study in Australia</w:t>
      </w:r>
      <w:r w:rsidR="008621C7">
        <w:t>.</w:t>
      </w:r>
      <w:r w:rsidRPr="003A6EEF">
        <w:t xml:space="preserve"> </w:t>
      </w:r>
      <w:r w:rsidR="008621C7">
        <w:t>A</w:t>
      </w:r>
      <w:r w:rsidRPr="003A6EEF">
        <w:t xml:space="preserve"> further 26 (18 PhD and </w:t>
      </w:r>
      <w:r w:rsidR="00A4308C">
        <w:t>four</w:t>
      </w:r>
      <w:r w:rsidR="00A4308C" w:rsidRPr="003A6EEF">
        <w:t xml:space="preserve"> </w:t>
      </w:r>
      <w:r w:rsidRPr="003A6EEF">
        <w:t xml:space="preserve">Masters) Australia Award Leadership Program (formerly the Australian Leadership Award Scholarships) were awarded to Indonesians demonstrating outstanding leadership potential </w:t>
      </w:r>
      <w:proofErr w:type="gramStart"/>
      <w:r w:rsidRPr="003A6EEF">
        <w:t>and  commitment</w:t>
      </w:r>
      <w:proofErr w:type="gramEnd"/>
      <w:r w:rsidRPr="003A6EEF">
        <w:t xml:space="preserve"> to contributing to development outcomes </w:t>
      </w:r>
      <w:r w:rsidR="008621C7">
        <w:t>in</w:t>
      </w:r>
      <w:r w:rsidRPr="003A6EEF">
        <w:t xml:space="preserve"> their field of expertise. Two rounds of Australia Award Fellowships, which support </w:t>
      </w:r>
      <w:r w:rsidR="00A4308C" w:rsidRPr="003A6EEF">
        <w:t>short</w:t>
      </w:r>
      <w:r w:rsidR="00A4308C">
        <w:t>-</w:t>
      </w:r>
      <w:r w:rsidRPr="003A6EEF">
        <w:t xml:space="preserve">term study, research and professional attachment programs in Australia, were held in 2012, </w:t>
      </w:r>
      <w:r w:rsidR="00A4308C">
        <w:t>and</w:t>
      </w:r>
      <w:r w:rsidR="00A4308C" w:rsidRPr="003A6EEF">
        <w:t xml:space="preserve"> </w:t>
      </w:r>
      <w:r w:rsidRPr="003A6EEF">
        <w:t xml:space="preserve">192 fellows </w:t>
      </w:r>
      <w:r w:rsidR="00A4308C">
        <w:t xml:space="preserve">were </w:t>
      </w:r>
      <w:r w:rsidRPr="003A6EEF">
        <w:t>selected from Indonesia</w:t>
      </w:r>
      <w:r w:rsidR="00A4308C">
        <w:t>––</w:t>
      </w:r>
      <w:r w:rsidRPr="003A6EEF">
        <w:t xml:space="preserve">the highest number of any single country. In 2012, the first </w:t>
      </w:r>
      <w:r w:rsidR="00A4308C">
        <w:t>t</w:t>
      </w:r>
      <w:r w:rsidR="00A4308C" w:rsidRPr="003A6EEF">
        <w:t xml:space="preserve">racer </w:t>
      </w:r>
      <w:r w:rsidR="00A4308C">
        <w:t>s</w:t>
      </w:r>
      <w:r w:rsidR="00A4308C" w:rsidRPr="003A6EEF">
        <w:t xml:space="preserve">tudy </w:t>
      </w:r>
      <w:r w:rsidRPr="003A6EEF">
        <w:t>of 219 alumni who returned from Australia in 2009 found that 79</w:t>
      </w:r>
      <w:r w:rsidR="00A4308C">
        <w:t xml:space="preserve"> per cent</w:t>
      </w:r>
      <w:r w:rsidR="00A4308C" w:rsidRPr="003A6EEF">
        <w:t xml:space="preserve"> </w:t>
      </w:r>
      <w:r w:rsidRPr="003A6EEF">
        <w:t>are regularly using their knowledge and skills gained from Australia in their workplaces</w:t>
      </w:r>
      <w:r w:rsidR="00A4308C">
        <w:t>,</w:t>
      </w:r>
      <w:r w:rsidR="00A4308C" w:rsidRPr="003A6EEF">
        <w:t xml:space="preserve"> </w:t>
      </w:r>
      <w:r w:rsidRPr="003A6EEF">
        <w:t>97</w:t>
      </w:r>
      <w:r w:rsidR="00A4308C">
        <w:t xml:space="preserve"> per cent</w:t>
      </w:r>
      <w:r w:rsidR="00A4308C" w:rsidRPr="003A6EEF">
        <w:t xml:space="preserve"> </w:t>
      </w:r>
      <w:r w:rsidRPr="003A6EEF">
        <w:t>of alumni from the public sector returned back to their former workplace and 77</w:t>
      </w:r>
      <w:r w:rsidR="00A4308C" w:rsidRPr="00A4308C">
        <w:t xml:space="preserve"> </w:t>
      </w:r>
      <w:r w:rsidR="00A4308C">
        <w:t>per cent</w:t>
      </w:r>
      <w:r w:rsidRPr="003A6EEF">
        <w:t xml:space="preserve"> have a greater role in policy making</w:t>
      </w:r>
      <w:r w:rsidR="00A4308C">
        <w:t>. . In total,</w:t>
      </w:r>
      <w:r w:rsidR="00A4308C" w:rsidRPr="003A6EEF">
        <w:t xml:space="preserve"> </w:t>
      </w:r>
      <w:r w:rsidRPr="003A6EEF">
        <w:t>89</w:t>
      </w:r>
      <w:r w:rsidR="00A4308C" w:rsidRPr="00A4308C">
        <w:t xml:space="preserve"> </w:t>
      </w:r>
      <w:r w:rsidR="00A4308C">
        <w:t>per cent</w:t>
      </w:r>
      <w:r w:rsidRPr="003A6EEF">
        <w:t xml:space="preserve"> of alumni rated their scholarship experience in Australia </w:t>
      </w:r>
      <w:r w:rsidR="00A4308C">
        <w:t xml:space="preserve">as </w:t>
      </w:r>
      <w:r w:rsidRPr="003A6EEF">
        <w:t>very positive and 77</w:t>
      </w:r>
      <w:r w:rsidR="00A4308C" w:rsidRPr="00A4308C">
        <w:t xml:space="preserve"> </w:t>
      </w:r>
      <w:r w:rsidR="00A4308C">
        <w:t>per cent</w:t>
      </w:r>
      <w:r w:rsidRPr="003A6EEF">
        <w:t xml:space="preserve"> felt very positive about Australia. In </w:t>
      </w:r>
      <w:r w:rsidR="00DE361F">
        <w:t xml:space="preserve">February </w:t>
      </w:r>
      <w:r w:rsidRPr="003A6EEF">
        <w:t xml:space="preserve">2012 the program </w:t>
      </w:r>
      <w:r w:rsidR="008A61FF">
        <w:t xml:space="preserve">had </w:t>
      </w:r>
      <w:r w:rsidRPr="003A6EEF">
        <w:t>awarded scholarships to 398 Indonesians</w:t>
      </w:r>
      <w:r w:rsidR="00DE361F">
        <w:t xml:space="preserve">, and 474 more awardees </w:t>
      </w:r>
      <w:r w:rsidR="00A4308C">
        <w:t xml:space="preserve">were announced </w:t>
      </w:r>
      <w:r w:rsidR="00DE361F">
        <w:t xml:space="preserve">in </w:t>
      </w:r>
      <w:r w:rsidR="00DE361F" w:rsidRPr="008800AA">
        <w:t>February 2013</w:t>
      </w:r>
      <w:r w:rsidR="00DE361F" w:rsidRPr="003A6EEF">
        <w:t>.</w:t>
      </w:r>
    </w:p>
    <w:p w14:paraId="29C9ED0F" w14:textId="4789F0C3" w:rsidR="00180B19" w:rsidRDefault="00AA37A8" w:rsidP="004923C5">
      <w:pPr>
        <w:pStyle w:val="BodyText"/>
      </w:pPr>
      <w:r w:rsidRPr="003A6EEF">
        <w:t xml:space="preserve">Over the past 18 months </w:t>
      </w:r>
      <w:r w:rsidR="00A4732C">
        <w:t xml:space="preserve">the Australian </w:t>
      </w:r>
      <w:r w:rsidR="002B4236">
        <w:t>G</w:t>
      </w:r>
      <w:r w:rsidR="00A4732C">
        <w:t>overnment</w:t>
      </w:r>
      <w:r w:rsidRPr="003A6EEF">
        <w:t xml:space="preserve"> has delivered real results </w:t>
      </w:r>
      <w:r w:rsidRPr="00F71581">
        <w:t>to large numbers of Indonesia’s poorest people.</w:t>
      </w:r>
      <w:r w:rsidR="00B525E5">
        <w:t xml:space="preserve"> </w:t>
      </w:r>
      <w:r w:rsidRPr="00F71581">
        <w:t xml:space="preserve">Our work has been developed and delivered in partnership with the </w:t>
      </w:r>
      <w:r w:rsidR="000A11DD">
        <w:t>Indonesian Government</w:t>
      </w:r>
      <w:r w:rsidRPr="00F71581">
        <w:t xml:space="preserve">, </w:t>
      </w:r>
      <w:r w:rsidR="00A4308C" w:rsidRPr="00F71581">
        <w:t>civil society organisations</w:t>
      </w:r>
      <w:r w:rsidRPr="00F71581">
        <w:t xml:space="preserve">, other donors and </w:t>
      </w:r>
      <w:r w:rsidR="00274352">
        <w:t xml:space="preserve">the aid program’s </w:t>
      </w:r>
      <w:r w:rsidRPr="00F71581">
        <w:t>implementing partners.</w:t>
      </w:r>
      <w:r w:rsidR="00B525E5">
        <w:t xml:space="preserve"> </w:t>
      </w:r>
      <w:r w:rsidRPr="00F71581">
        <w:t xml:space="preserve">There are however major social and economic challenges to address </w:t>
      </w:r>
      <w:r w:rsidR="00A4308C">
        <w:t>if</w:t>
      </w:r>
      <w:r w:rsidRPr="00F71581">
        <w:t xml:space="preserve"> Indonesia</w:t>
      </w:r>
      <w:r w:rsidR="00A4308C">
        <w:t xml:space="preserve"> is</w:t>
      </w:r>
      <w:r w:rsidRPr="00F71581">
        <w:t xml:space="preserve"> to fulfil its promise of becoming a stable, democratic and increasingly prosperous country playing a strong leadership role in the </w:t>
      </w:r>
      <w:r w:rsidR="00A4308C" w:rsidRPr="00F71581">
        <w:t>Asia</w:t>
      </w:r>
      <w:r w:rsidR="00A4308C">
        <w:t>–</w:t>
      </w:r>
      <w:r w:rsidRPr="00F71581">
        <w:t>Pacific region.</w:t>
      </w:r>
      <w:r w:rsidR="00B525E5">
        <w:t xml:space="preserve"> </w:t>
      </w:r>
      <w:r w:rsidRPr="00F71581">
        <w:t xml:space="preserve">Australia’s development program will continue to support and engage in the sectors where we have been successful to date, </w:t>
      </w:r>
      <w:r w:rsidR="000D0B9B">
        <w:t xml:space="preserve">and </w:t>
      </w:r>
      <w:r w:rsidRPr="00F71581">
        <w:t xml:space="preserve">work with partners to find innovative solutions to tackle the very real challenges that remain in dealing with poverty and </w:t>
      </w:r>
      <w:r w:rsidR="00A4308C" w:rsidRPr="00F71581">
        <w:t>long</w:t>
      </w:r>
      <w:r w:rsidR="00A4308C">
        <w:t>-</w:t>
      </w:r>
      <w:r w:rsidRPr="00F71581">
        <w:t>term prosperity.</w:t>
      </w:r>
      <w:r w:rsidR="00180B19" w:rsidRPr="00180B19">
        <w:t xml:space="preserve"> </w:t>
      </w:r>
    </w:p>
    <w:p w14:paraId="42981358" w14:textId="77D615D4" w:rsidR="007817AD" w:rsidRPr="00B500DF" w:rsidRDefault="007817AD" w:rsidP="00B500DF">
      <w:pPr>
        <w:pStyle w:val="Heading1"/>
      </w:pPr>
      <w:bookmarkStart w:id="12" w:name="_Toc359585084"/>
      <w:bookmarkStart w:id="13" w:name="_Toc363804108"/>
      <w:r w:rsidRPr="00B500DF">
        <w:t xml:space="preserve">Portfolio </w:t>
      </w:r>
      <w:bookmarkEnd w:id="12"/>
      <w:r w:rsidR="00A4308C" w:rsidRPr="00B500DF">
        <w:t>management</w:t>
      </w:r>
      <w:bookmarkEnd w:id="13"/>
      <w:r w:rsidR="00A4308C" w:rsidRPr="00B500DF">
        <w:t xml:space="preserve"> </w:t>
      </w:r>
    </w:p>
    <w:p w14:paraId="5F2AE7F7" w14:textId="29E55ACD" w:rsidR="007817AD" w:rsidRDefault="007817AD" w:rsidP="004923C5">
      <w:pPr>
        <w:pStyle w:val="BodyText"/>
      </w:pPr>
      <w:r>
        <w:t xml:space="preserve">In 2012 the Indonesia </w:t>
      </w:r>
      <w:r w:rsidR="00A93ABA">
        <w:t xml:space="preserve">program </w:t>
      </w:r>
      <w:r>
        <w:t xml:space="preserve">finalised a detailed </w:t>
      </w:r>
      <w:r w:rsidR="00A93ABA">
        <w:t xml:space="preserve">country situation analysis </w:t>
      </w:r>
      <w:r>
        <w:t xml:space="preserve">which will inform the development of the new </w:t>
      </w:r>
      <w:r w:rsidR="000A11DD">
        <w:t>Australia–Indonesia</w:t>
      </w:r>
      <w:r w:rsidR="004A2D3C">
        <w:t xml:space="preserve"> Partnership </w:t>
      </w:r>
      <w:r>
        <w:t>Country</w:t>
      </w:r>
      <w:r w:rsidR="004A2D3C">
        <w:t xml:space="preserve"> </w:t>
      </w:r>
      <w:r>
        <w:t>Strategy.</w:t>
      </w:r>
      <w:r w:rsidR="00FA3FAC">
        <w:t xml:space="preserve"> As discussed above, the current </w:t>
      </w:r>
      <w:r w:rsidR="000A11DD">
        <w:t>Australia–Indonesia</w:t>
      </w:r>
      <w:r w:rsidR="004A2D3C">
        <w:t xml:space="preserve"> Partnership Country Strategy</w:t>
      </w:r>
      <w:r w:rsidR="00FA3FAC">
        <w:t xml:space="preserve"> (2008</w:t>
      </w:r>
      <w:r w:rsidR="00A93ABA">
        <w:t>–20</w:t>
      </w:r>
      <w:r w:rsidR="00FA3FAC">
        <w:t xml:space="preserve">13) will be extended to allow the new strategy to align with </w:t>
      </w:r>
      <w:r w:rsidR="00A93ABA">
        <w:t xml:space="preserve">the </w:t>
      </w:r>
      <w:r>
        <w:t xml:space="preserve">new </w:t>
      </w:r>
      <w:r w:rsidR="000A11DD">
        <w:t>Indonesian Government</w:t>
      </w:r>
      <w:r>
        <w:t xml:space="preserve"> </w:t>
      </w:r>
      <w:r w:rsidR="00A93ABA">
        <w:t xml:space="preserve">medium-term development strategy </w:t>
      </w:r>
      <w:r>
        <w:t>which will be released in 2015</w:t>
      </w:r>
      <w:r w:rsidR="00D73726">
        <w:t xml:space="preserve"> following Indonesian elections</w:t>
      </w:r>
      <w:r>
        <w:t>.</w:t>
      </w:r>
      <w:r w:rsidR="00B525E5">
        <w:t xml:space="preserve"> </w:t>
      </w:r>
    </w:p>
    <w:p w14:paraId="0C11D623" w14:textId="11E655CA" w:rsidR="007817AD" w:rsidRDefault="007817AD" w:rsidP="004923C5">
      <w:pPr>
        <w:pStyle w:val="BodyText"/>
      </w:pPr>
      <w:r>
        <w:t xml:space="preserve">As a large country program, </w:t>
      </w:r>
      <w:r w:rsidR="00274352">
        <w:t xml:space="preserve">the Australian aid program in </w:t>
      </w:r>
      <w:r>
        <w:t>Indonesia has in-country corporate and program support teams that provide assistance at the portfolio level across all sectors.</w:t>
      </w:r>
      <w:r w:rsidR="00B525E5">
        <w:t xml:space="preserve"> </w:t>
      </w:r>
      <w:r>
        <w:t xml:space="preserve">The </w:t>
      </w:r>
      <w:r w:rsidR="00A93ABA">
        <w:t>policy analysis un</w:t>
      </w:r>
      <w:r>
        <w:t>it includes advisers with Indonesia-specific expertise, driving innovation in the program.</w:t>
      </w:r>
      <w:r w:rsidR="00B525E5">
        <w:t xml:space="preserve"> </w:t>
      </w:r>
      <w:r>
        <w:t xml:space="preserve">The </w:t>
      </w:r>
      <w:r w:rsidR="00A93ABA">
        <w:t xml:space="preserve">public affairs </w:t>
      </w:r>
      <w:r>
        <w:t>unit helps respond to Indonesian media and tailors proactive social media engagement in a country with a high use of social media</w:t>
      </w:r>
      <w:r w:rsidR="00A93ABA">
        <w:t>––</w:t>
      </w:r>
      <w:r>
        <w:t xml:space="preserve">Jakarta is the world’s most active city when it comes to </w:t>
      </w:r>
      <w:r w:rsidR="00A93ABA">
        <w:t xml:space="preserve">using </w:t>
      </w:r>
      <w:r>
        <w:t>Twitter.</w:t>
      </w:r>
      <w:r w:rsidR="00B525E5">
        <w:t xml:space="preserve"> </w:t>
      </w:r>
      <w:r>
        <w:t xml:space="preserve">The </w:t>
      </w:r>
      <w:r w:rsidR="00A93ABA">
        <w:t>program effectiveness and perform</w:t>
      </w:r>
      <w:r>
        <w:t>ance section provides portfolio management support and advice to sector teams across the program cycle to enhance quality and minimise risk</w:t>
      </w:r>
      <w:r w:rsidR="00A93ABA">
        <w:t>,</w:t>
      </w:r>
      <w:r>
        <w:t xml:space="preserve"> often in relation to applying corporate guidance in the Indonesian context.</w:t>
      </w:r>
      <w:r w:rsidR="00B525E5">
        <w:t xml:space="preserve"> </w:t>
      </w:r>
    </w:p>
    <w:p w14:paraId="2350A34E" w14:textId="7A325CB3" w:rsidR="007817AD" w:rsidRDefault="007817AD" w:rsidP="004923C5">
      <w:pPr>
        <w:pStyle w:val="BodyText"/>
      </w:pPr>
      <w:r>
        <w:t>A review of the program</w:t>
      </w:r>
      <w:r w:rsidR="00A93ABA">
        <w:t>’s</w:t>
      </w:r>
      <w:r>
        <w:t xml:space="preserve"> management structure was conducted in 2011</w:t>
      </w:r>
      <w:r w:rsidR="00A93ABA">
        <w:t>–</w:t>
      </w:r>
      <w:r>
        <w:t>12</w:t>
      </w:r>
      <w:r w:rsidR="00A93ABA">
        <w:t xml:space="preserve"> and </w:t>
      </w:r>
      <w:r>
        <w:t>result</w:t>
      </w:r>
      <w:r w:rsidR="00A93ABA">
        <w:t xml:space="preserve">ed </w:t>
      </w:r>
      <w:r>
        <w:t xml:space="preserve">in a new </w:t>
      </w:r>
      <w:r w:rsidR="00A93ABA">
        <w:t xml:space="preserve">minister counsellor </w:t>
      </w:r>
      <w:r>
        <w:t xml:space="preserve">position </w:t>
      </w:r>
      <w:r w:rsidR="00A93ABA">
        <w:t xml:space="preserve">being created </w:t>
      </w:r>
      <w:r>
        <w:t xml:space="preserve">in October 2012 as </w:t>
      </w:r>
      <w:r w:rsidR="00A93ABA">
        <w:t xml:space="preserve">head </w:t>
      </w:r>
      <w:r>
        <w:t xml:space="preserve">of </w:t>
      </w:r>
      <w:r w:rsidR="00A93ABA">
        <w:t>programs</w:t>
      </w:r>
      <w:r>
        <w:t>.</w:t>
      </w:r>
      <w:r w:rsidR="00B525E5">
        <w:t xml:space="preserve"> </w:t>
      </w:r>
      <w:r>
        <w:t xml:space="preserve">This appointment enabled management of the program to be divided between the </w:t>
      </w:r>
      <w:r w:rsidR="00A93ABA">
        <w:t xml:space="preserve">head </w:t>
      </w:r>
      <w:r>
        <w:t xml:space="preserve">of </w:t>
      </w:r>
      <w:r w:rsidR="00A93ABA">
        <w:t xml:space="preserve">programs </w:t>
      </w:r>
      <w:r>
        <w:t xml:space="preserve">and the existing </w:t>
      </w:r>
      <w:r w:rsidR="00A93ABA">
        <w:t xml:space="preserve">chief </w:t>
      </w:r>
      <w:r>
        <w:t xml:space="preserve">of </w:t>
      </w:r>
      <w:r w:rsidR="00A93ABA">
        <w:t>operations</w:t>
      </w:r>
      <w:r>
        <w:t>.</w:t>
      </w:r>
      <w:r w:rsidR="00B525E5">
        <w:t xml:space="preserve"> </w:t>
      </w:r>
      <w:r>
        <w:t>The new structure established stronger sen</w:t>
      </w:r>
      <w:r w:rsidR="00D73726">
        <w:t>ior management oversight of</w:t>
      </w:r>
      <w:r>
        <w:t xml:space="preserve"> the delivery of Australia’s largest bilateral development program.</w:t>
      </w:r>
      <w:r w:rsidR="00B525E5">
        <w:t xml:space="preserve"> </w:t>
      </w:r>
    </w:p>
    <w:p w14:paraId="6795AFB7" w14:textId="7C5B3111" w:rsidR="007817AD" w:rsidRDefault="003206D0" w:rsidP="004923C5">
      <w:pPr>
        <w:pStyle w:val="BodyText"/>
      </w:pPr>
      <w:r>
        <w:lastRenderedPageBreak/>
        <w:t xml:space="preserve">The </w:t>
      </w:r>
      <w:r w:rsidR="007817AD">
        <w:t xml:space="preserve">new </w:t>
      </w:r>
      <w:r w:rsidR="00A93ABA">
        <w:t xml:space="preserve">risk and fraud management </w:t>
      </w:r>
      <w:r w:rsidR="007817AD">
        <w:t xml:space="preserve">model was successfully implemented in </w:t>
      </w:r>
      <w:r>
        <w:t xml:space="preserve">the program in </w:t>
      </w:r>
      <w:r w:rsidR="007817AD">
        <w:t xml:space="preserve">Indonesia in 2012, with the cascading risk management approach adopted throughout the program and used by </w:t>
      </w:r>
      <w:r w:rsidR="00A93ABA">
        <w:t xml:space="preserve">senior management </w:t>
      </w:r>
      <w:r w:rsidR="007817AD">
        <w:t>to review and manage risks.</w:t>
      </w:r>
      <w:r w:rsidR="00B525E5">
        <w:t xml:space="preserve"> </w:t>
      </w:r>
      <w:r>
        <w:t xml:space="preserve">The department in </w:t>
      </w:r>
      <w:r w:rsidR="00401788">
        <w:t>Indonesia has a pro</w:t>
      </w:r>
      <w:r w:rsidR="007817AD">
        <w:t>active approach to engagement with partn</w:t>
      </w:r>
      <w:r w:rsidR="00D73726">
        <w:t>ers to manage the risk of fraud. H</w:t>
      </w:r>
      <w:r w:rsidR="007817AD">
        <w:t xml:space="preserve">igher levels of knowledge of </w:t>
      </w:r>
      <w:r>
        <w:t xml:space="preserve">Australian </w:t>
      </w:r>
      <w:r w:rsidR="002B4236">
        <w:t>G</w:t>
      </w:r>
      <w:r>
        <w:t xml:space="preserve">overnment </w:t>
      </w:r>
      <w:r w:rsidR="007817AD">
        <w:t>policies and approaches to fraud mitigation and management are leading to better management, detection and prevention of fraud across the program.</w:t>
      </w:r>
      <w:r w:rsidR="00B525E5">
        <w:t xml:space="preserve"> </w:t>
      </w:r>
      <w:r w:rsidR="007817AD">
        <w:t xml:space="preserve">Transparency is an important element in managing fraud, and to this end the Indonesia </w:t>
      </w:r>
      <w:r w:rsidR="00A93ABA">
        <w:t xml:space="preserve">program guideline </w:t>
      </w:r>
      <w:r w:rsidR="007817AD">
        <w:t>on payment</w:t>
      </w:r>
      <w:r w:rsidR="004376AD">
        <w:t>s</w:t>
      </w:r>
      <w:r w:rsidR="007817AD">
        <w:t xml:space="preserve"> and </w:t>
      </w:r>
      <w:r w:rsidR="00A93ABA">
        <w:t xml:space="preserve">allowances </w:t>
      </w:r>
      <w:r w:rsidR="007817AD">
        <w:t xml:space="preserve">was released </w:t>
      </w:r>
      <w:r w:rsidR="00D73726">
        <w:t>in</w:t>
      </w:r>
      <w:r w:rsidR="007817AD">
        <w:t xml:space="preserve"> March 2013. The purpose of </w:t>
      </w:r>
      <w:r w:rsidR="00A93ABA">
        <w:t xml:space="preserve">this </w:t>
      </w:r>
      <w:r w:rsidR="007817AD">
        <w:t xml:space="preserve">is to ensure the payment of honorarium and allowances is appropriate, transparent, accountable and implemented consistently across the </w:t>
      </w:r>
      <w:r>
        <w:t xml:space="preserve">Australian </w:t>
      </w:r>
      <w:r w:rsidR="007817AD">
        <w:t xml:space="preserve">program in Indonesia. In applying the guidelines </w:t>
      </w:r>
      <w:r>
        <w:t xml:space="preserve">Australia </w:t>
      </w:r>
      <w:r w:rsidR="007817AD">
        <w:t xml:space="preserve">is </w:t>
      </w:r>
      <w:r w:rsidR="004376AD">
        <w:t xml:space="preserve">using </w:t>
      </w:r>
      <w:r w:rsidR="007817AD">
        <w:t xml:space="preserve">existing </w:t>
      </w:r>
      <w:r w:rsidR="004376AD">
        <w:t xml:space="preserve">Indonesian Government </w:t>
      </w:r>
      <w:r w:rsidR="007817AD">
        <w:t xml:space="preserve">processes and </w:t>
      </w:r>
      <w:r w:rsidR="00D73726">
        <w:t>standards</w:t>
      </w:r>
      <w:r w:rsidR="007817AD">
        <w:t xml:space="preserve"> by mirroring the </w:t>
      </w:r>
      <w:r w:rsidR="004376AD">
        <w:t>national l</w:t>
      </w:r>
      <w:r w:rsidR="007817AD">
        <w:t xml:space="preserve">evel </w:t>
      </w:r>
      <w:r w:rsidR="000A11DD">
        <w:t>Indonesian Government</w:t>
      </w:r>
      <w:r w:rsidR="007817AD">
        <w:t xml:space="preserve"> </w:t>
      </w:r>
      <w:r w:rsidR="004376AD">
        <w:t>standard unit costs</w:t>
      </w:r>
      <w:r w:rsidR="007817AD">
        <w:t>.</w:t>
      </w:r>
      <w:r w:rsidR="00B525E5">
        <w:t xml:space="preserve"> </w:t>
      </w:r>
    </w:p>
    <w:p w14:paraId="7482EB26" w14:textId="0E385D5C" w:rsidR="007817AD" w:rsidRDefault="007817AD" w:rsidP="004923C5">
      <w:pPr>
        <w:pStyle w:val="BodyText"/>
      </w:pPr>
      <w:r>
        <w:t xml:space="preserve">The Evaluation Capacity Building Program was developed in 2010 to build Indonesia program staff capacity to assess the standard of designs, reports </w:t>
      </w:r>
      <w:r w:rsidR="00DE361F">
        <w:t>and m</w:t>
      </w:r>
      <w:r>
        <w:t xml:space="preserve">onitoring and </w:t>
      </w:r>
      <w:r w:rsidR="00DE361F">
        <w:t>e</w:t>
      </w:r>
      <w:r>
        <w:t xml:space="preserve">valuation products. An independent review was conducted in December 2012 at the mid-way point of the </w:t>
      </w:r>
      <w:r w:rsidR="004376AD">
        <w:t>five</w:t>
      </w:r>
      <w:r>
        <w:t xml:space="preserve">-year program to assess progress </w:t>
      </w:r>
      <w:r w:rsidR="004376AD">
        <w:t xml:space="preserve">against </w:t>
      </w:r>
      <w:r>
        <w:t xml:space="preserve">its objectives. The review acknowledged good progress in improving staff capacity to manage </w:t>
      </w:r>
      <w:r w:rsidR="004376AD">
        <w:t>monitoring and evaluation</w:t>
      </w:r>
      <w:r>
        <w:t xml:space="preserve"> processes, and made recommendations for some modifications during the second half of the program.</w:t>
      </w:r>
      <w:r w:rsidR="00B525E5">
        <w:t xml:space="preserve"> </w:t>
      </w:r>
      <w:r w:rsidR="009A7C24">
        <w:t xml:space="preserve">Several </w:t>
      </w:r>
      <w:r>
        <w:t xml:space="preserve">other country programs </w:t>
      </w:r>
      <w:r w:rsidR="009A7C24">
        <w:t xml:space="preserve">also adopted the program </w:t>
      </w:r>
      <w:r>
        <w:t xml:space="preserve">during 2012, </w:t>
      </w:r>
      <w:r w:rsidR="009A7C24">
        <w:t xml:space="preserve">and </w:t>
      </w:r>
      <w:r>
        <w:t xml:space="preserve">a community of practice </w:t>
      </w:r>
      <w:r w:rsidR="009A7C24">
        <w:t xml:space="preserve">was </w:t>
      </w:r>
      <w:r>
        <w:t>established in Canberra in early 2013 to enable practitioners to share and learn from others’ experience.</w:t>
      </w:r>
    </w:p>
    <w:p w14:paraId="5D8411AE" w14:textId="19D32DF9" w:rsidR="007817AD" w:rsidRDefault="007817AD" w:rsidP="004923C5">
      <w:pPr>
        <w:pStyle w:val="BodyText"/>
      </w:pPr>
      <w:r>
        <w:t xml:space="preserve">The Indonesia program’s engagement with implementing partners and teams has strengthened during 2012 and 2013. </w:t>
      </w:r>
      <w:r w:rsidR="004376AD">
        <w:t>Monitoring and evaluation s</w:t>
      </w:r>
      <w:r>
        <w:t>pecialist workshop</w:t>
      </w:r>
      <w:r w:rsidR="004376AD">
        <w:t>s</w:t>
      </w:r>
      <w:r>
        <w:t xml:space="preserve"> were held quarterly to discuss issues and communicate quality expectations for </w:t>
      </w:r>
      <w:r w:rsidR="004376AD">
        <w:t xml:space="preserve">monitoring and evaluation </w:t>
      </w:r>
      <w:r>
        <w:t xml:space="preserve">products. Biannual implementing partner forums were held to facilitate learning and information sharing on implementation issues more broadly. These forums, together with the quarterly </w:t>
      </w:r>
      <w:r w:rsidR="004376AD">
        <w:t xml:space="preserve">team leader </w:t>
      </w:r>
      <w:r>
        <w:t xml:space="preserve">sessions, provide a valuable information source for </w:t>
      </w:r>
      <w:r w:rsidR="003206D0">
        <w:t xml:space="preserve">the department </w:t>
      </w:r>
      <w:r>
        <w:t>and its partners to learn from each other and</w:t>
      </w:r>
      <w:r w:rsidR="004B7B47">
        <w:t xml:space="preserve"> continually</w:t>
      </w:r>
      <w:r>
        <w:t xml:space="preserve"> improve the effective</w:t>
      </w:r>
      <w:r w:rsidR="004B7B47">
        <w:t>ness of the</w:t>
      </w:r>
      <w:r>
        <w:t xml:space="preserve"> </w:t>
      </w:r>
      <w:r w:rsidR="004B7B47">
        <w:t>Indonesia</w:t>
      </w:r>
      <w:r>
        <w:t xml:space="preserve"> program. During 2012 </w:t>
      </w:r>
      <w:r w:rsidR="004376AD">
        <w:t xml:space="preserve">a priority was </w:t>
      </w:r>
      <w:r>
        <w:t>strengthening strategic engagement with the World Bank, our largest multilateral development partner (</w:t>
      </w:r>
      <w:r w:rsidR="000A11DD">
        <w:t>$</w:t>
      </w:r>
      <w:r>
        <w:t>55.7 million disbursed in 2012</w:t>
      </w:r>
      <w:r w:rsidR="004376AD">
        <w:t>–</w:t>
      </w:r>
      <w:r>
        <w:t>13)</w:t>
      </w:r>
      <w:r w:rsidR="004376AD">
        <w:t>. W</w:t>
      </w:r>
      <w:r>
        <w:t xml:space="preserve">ith the support of the World Bank </w:t>
      </w:r>
      <w:r w:rsidR="004376AD">
        <w:t xml:space="preserve">country team </w:t>
      </w:r>
      <w:r>
        <w:t xml:space="preserve">we have agreed a governance framework for strategic oversight of </w:t>
      </w:r>
      <w:r w:rsidR="004376AD">
        <w:t xml:space="preserve">trust funds </w:t>
      </w:r>
      <w:r>
        <w:t xml:space="preserve">and </w:t>
      </w:r>
      <w:r w:rsidR="003206D0">
        <w:t>Australian</w:t>
      </w:r>
      <w:r>
        <w:t>/World Bank engagement in Indonesia.</w:t>
      </w:r>
      <w:r w:rsidR="00B525E5">
        <w:t xml:space="preserve"> </w:t>
      </w:r>
      <w:r>
        <w:t xml:space="preserve">Through this framework frequent meetings between the senior management of both sides are held to ensure guidance </w:t>
      </w:r>
      <w:r w:rsidR="004376AD">
        <w:t xml:space="preserve">on </w:t>
      </w:r>
      <w:r>
        <w:t xml:space="preserve">the whole portfolio. </w:t>
      </w:r>
      <w:r w:rsidR="003206D0">
        <w:t xml:space="preserve">Australia </w:t>
      </w:r>
      <w:r>
        <w:t xml:space="preserve">has also been working with the Asian Development Bank </w:t>
      </w:r>
      <w:r w:rsidR="004376AD">
        <w:t>on</w:t>
      </w:r>
      <w:r>
        <w:t xml:space="preserve"> wastewater master plan investments in eight cities and continues to work strategically with U</w:t>
      </w:r>
      <w:r w:rsidR="004376AD">
        <w:t xml:space="preserve">nited </w:t>
      </w:r>
      <w:r>
        <w:t>N</w:t>
      </w:r>
      <w:r w:rsidR="004376AD">
        <w:t>ations</w:t>
      </w:r>
      <w:r>
        <w:t xml:space="preserve"> partners such as </w:t>
      </w:r>
      <w:r w:rsidR="004376AD">
        <w:t xml:space="preserve">the </w:t>
      </w:r>
      <w:r>
        <w:t>U</w:t>
      </w:r>
      <w:r w:rsidR="004376AD">
        <w:t xml:space="preserve">nited </w:t>
      </w:r>
      <w:r>
        <w:t>N</w:t>
      </w:r>
      <w:r w:rsidR="004376AD">
        <w:t xml:space="preserve">ations </w:t>
      </w:r>
      <w:r>
        <w:t>C</w:t>
      </w:r>
      <w:r w:rsidR="004376AD">
        <w:t xml:space="preserve">hildren’s </w:t>
      </w:r>
      <w:r>
        <w:t>F</w:t>
      </w:r>
      <w:r w:rsidR="004376AD">
        <w:t>und</w:t>
      </w:r>
      <w:r>
        <w:t xml:space="preserve">, </w:t>
      </w:r>
      <w:r w:rsidR="004376AD">
        <w:t xml:space="preserve">the </w:t>
      </w:r>
      <w:r>
        <w:t>I</w:t>
      </w:r>
      <w:r w:rsidR="004376AD">
        <w:t xml:space="preserve">nternational </w:t>
      </w:r>
      <w:r>
        <w:t>L</w:t>
      </w:r>
      <w:r w:rsidR="004376AD">
        <w:t xml:space="preserve">abour </w:t>
      </w:r>
      <w:r>
        <w:t>O</w:t>
      </w:r>
      <w:r w:rsidR="004376AD">
        <w:t>rganization</w:t>
      </w:r>
      <w:r>
        <w:t xml:space="preserve">, </w:t>
      </w:r>
      <w:proofErr w:type="gramStart"/>
      <w:r w:rsidR="004376AD">
        <w:t>the</w:t>
      </w:r>
      <w:proofErr w:type="gramEnd"/>
      <w:r w:rsidR="004376AD">
        <w:t xml:space="preserve"> </w:t>
      </w:r>
      <w:r w:rsidR="004376AD" w:rsidRPr="004376AD">
        <w:rPr>
          <w:lang w:val="en-US"/>
        </w:rPr>
        <w:t xml:space="preserve">United Nations </w:t>
      </w:r>
      <w:r w:rsidR="004376AD" w:rsidRPr="00D67028">
        <w:rPr>
          <w:iCs/>
          <w:lang w:val="en-US"/>
        </w:rPr>
        <w:t>Office for the Coordination of Humanitarian Affairs</w:t>
      </w:r>
      <w:r w:rsidR="004376AD">
        <w:t xml:space="preserve"> </w:t>
      </w:r>
      <w:r>
        <w:t>and U</w:t>
      </w:r>
      <w:r w:rsidR="004376AD">
        <w:t xml:space="preserve">nited </w:t>
      </w:r>
      <w:r>
        <w:t>N</w:t>
      </w:r>
      <w:r w:rsidR="004376AD">
        <w:t xml:space="preserve">ations </w:t>
      </w:r>
      <w:r>
        <w:t>D</w:t>
      </w:r>
      <w:r w:rsidR="004376AD">
        <w:t xml:space="preserve">evelopment </w:t>
      </w:r>
      <w:r>
        <w:t>P</w:t>
      </w:r>
      <w:r w:rsidR="004376AD">
        <w:t>rogramme</w:t>
      </w:r>
      <w:r>
        <w:t>.</w:t>
      </w:r>
    </w:p>
    <w:p w14:paraId="2EA72A3C" w14:textId="4EE325B0" w:rsidR="00157EEB" w:rsidRDefault="00157EEB" w:rsidP="004923C5">
      <w:pPr>
        <w:pStyle w:val="BodyText"/>
      </w:pPr>
      <w:r w:rsidRPr="00A27483">
        <w:t>In 2012</w:t>
      </w:r>
      <w:r w:rsidR="006B5929">
        <w:t xml:space="preserve"> </w:t>
      </w:r>
      <w:r w:rsidRPr="00A27483">
        <w:t xml:space="preserve">a more targeted program </w:t>
      </w:r>
      <w:r w:rsidR="006B5929">
        <w:t xml:space="preserve">was developed </w:t>
      </w:r>
      <w:r w:rsidRPr="00A27483">
        <w:t>to address the needs of poor women in Indonesia who face extra hurdles in escaping poverty</w:t>
      </w:r>
      <w:r w:rsidR="00EC3EAF">
        <w:t>.</w:t>
      </w:r>
      <w:r w:rsidRPr="00A27483">
        <w:t xml:space="preserve"> </w:t>
      </w:r>
      <w:r w:rsidR="006B5929">
        <w:t xml:space="preserve">This program was called </w:t>
      </w:r>
      <w:r w:rsidR="006B5929" w:rsidRPr="00A27483">
        <w:t>Empowering Indonesia Women for Poverty Reduction</w:t>
      </w:r>
      <w:r w:rsidR="006B5929">
        <w:t>.</w:t>
      </w:r>
      <w:r w:rsidR="006B5929" w:rsidRPr="00A27483">
        <w:t xml:space="preserve"> </w:t>
      </w:r>
      <w:r w:rsidRPr="00A27483">
        <w:t xml:space="preserve">Considering the program team’s core focus is on gender and poverty, a </w:t>
      </w:r>
      <w:r w:rsidR="004376AD">
        <w:t>g</w:t>
      </w:r>
      <w:r w:rsidR="004376AD" w:rsidRPr="00A27483">
        <w:t xml:space="preserve">ender </w:t>
      </w:r>
      <w:r w:rsidR="004376AD">
        <w:t>u</w:t>
      </w:r>
      <w:r w:rsidR="004376AD" w:rsidRPr="00A27483">
        <w:t xml:space="preserve">nit </w:t>
      </w:r>
      <w:r w:rsidRPr="00A27483">
        <w:t xml:space="preserve">role is also now anchored in this team. This enables the </w:t>
      </w:r>
      <w:r w:rsidR="004376AD">
        <w:t>u</w:t>
      </w:r>
      <w:r w:rsidRPr="00A27483">
        <w:t xml:space="preserve">nit to capitalise on the knowledge and expertise already housed within </w:t>
      </w:r>
      <w:r w:rsidR="008C0A44">
        <w:t xml:space="preserve">the aid program </w:t>
      </w:r>
      <w:r w:rsidRPr="00A27483">
        <w:t xml:space="preserve">and build on the relationships </w:t>
      </w:r>
      <w:r w:rsidR="008C0A44">
        <w:t xml:space="preserve">which it </w:t>
      </w:r>
      <w:r w:rsidRPr="00A27483">
        <w:t xml:space="preserve">has established with gender civil society organisations and the </w:t>
      </w:r>
      <w:r w:rsidR="000A11DD">
        <w:t>Indonesian Government</w:t>
      </w:r>
      <w:r w:rsidRPr="00A27483">
        <w:t xml:space="preserve">. Over the coming 12 months, the </w:t>
      </w:r>
      <w:r w:rsidR="004376AD">
        <w:t>g</w:t>
      </w:r>
      <w:r w:rsidR="004376AD" w:rsidRPr="00A27483">
        <w:t xml:space="preserve">ender </w:t>
      </w:r>
      <w:r w:rsidR="004376AD">
        <w:t>u</w:t>
      </w:r>
      <w:r w:rsidR="004376AD" w:rsidRPr="00A27483">
        <w:t xml:space="preserve">nit </w:t>
      </w:r>
      <w:r w:rsidRPr="00A27483">
        <w:t>will focus on progress made and opportunities available to improve outcomes for women in health, social protection and governance.</w:t>
      </w:r>
    </w:p>
    <w:p w14:paraId="5E0C1A75" w14:textId="13F77533" w:rsidR="00157EEB" w:rsidRDefault="00157EEB" w:rsidP="004923C5">
      <w:pPr>
        <w:pStyle w:val="BodyText"/>
      </w:pPr>
      <w:r>
        <w:t xml:space="preserve">The Program Management Plan is a tool to assist sector teams and senior management to plan and budget over a four year cycle. It enables </w:t>
      </w:r>
      <w:r w:rsidR="004376AD">
        <w:t xml:space="preserve">current portfolio of projects to be </w:t>
      </w:r>
      <w:r>
        <w:t>monitor</w:t>
      </w:r>
      <w:r w:rsidR="004376AD">
        <w:t xml:space="preserve">ed </w:t>
      </w:r>
      <w:r>
        <w:t xml:space="preserve">and new designs </w:t>
      </w:r>
      <w:r w:rsidR="00970B7C">
        <w:t xml:space="preserve">to contribute </w:t>
      </w:r>
      <w:r>
        <w:t xml:space="preserve">different budget scenarios at the portfolio level. During 2012 and early 2013 the </w:t>
      </w:r>
      <w:r w:rsidR="00492722">
        <w:t>Program Management Plan</w:t>
      </w:r>
      <w:r w:rsidR="00970B7C">
        <w:t xml:space="preserve"> </w:t>
      </w:r>
      <w:r>
        <w:t xml:space="preserve">reporting functionality was enhanced and it was </w:t>
      </w:r>
      <w:r>
        <w:lastRenderedPageBreak/>
        <w:t xml:space="preserve">institutionalised into existing reporting systems and management structures. It now draws its data </w:t>
      </w:r>
      <w:r w:rsidR="00EC3EAF">
        <w:t xml:space="preserve">directly </w:t>
      </w:r>
      <w:r>
        <w:t xml:space="preserve">from </w:t>
      </w:r>
      <w:proofErr w:type="spellStart"/>
      <w:r w:rsidR="008C0A44">
        <w:t>Aidworks</w:t>
      </w:r>
      <w:proofErr w:type="spellEnd"/>
      <w:r w:rsidR="008C0A44">
        <w:t xml:space="preserve">, the </w:t>
      </w:r>
      <w:r>
        <w:t>main financial reporting system</w:t>
      </w:r>
      <w:r w:rsidR="008C0A44">
        <w:t xml:space="preserve"> of the aid program</w:t>
      </w:r>
      <w:r>
        <w:t xml:space="preserve">, and has benefited from added functionality allowing scenario data to be added over a four-year period. The </w:t>
      </w:r>
      <w:r w:rsidR="00970B7C">
        <w:t xml:space="preserve">plan </w:t>
      </w:r>
      <w:r>
        <w:t xml:space="preserve">is now effectively an extension of </w:t>
      </w:r>
      <w:proofErr w:type="spellStart"/>
      <w:r>
        <w:t>Aidworks</w:t>
      </w:r>
      <w:proofErr w:type="spellEnd"/>
      <w:r>
        <w:t>, adding reporting functionality (in particular, scenario planning) to inform budget allocation and track the impact of current expenditure over a four-year cycle.</w:t>
      </w:r>
      <w:r w:rsidR="00B525E5">
        <w:t xml:space="preserve"> </w:t>
      </w:r>
      <w:r>
        <w:t xml:space="preserve">The </w:t>
      </w:r>
      <w:r w:rsidR="00970B7C">
        <w:t xml:space="preserve">plan </w:t>
      </w:r>
      <w:r>
        <w:t xml:space="preserve">also provides a snapshot of evaluation and quality assurance events including Quality at Implementation </w:t>
      </w:r>
      <w:r w:rsidR="00970B7C">
        <w:t>reports, delivery strategies, concept peer reviews</w:t>
      </w:r>
      <w:r>
        <w:t xml:space="preserve">, </w:t>
      </w:r>
      <w:r w:rsidR="00970B7C">
        <w:t>strategic programing committee reviews, design peer reviews an</w:t>
      </w:r>
      <w:r>
        <w:t>d program evaluations.</w:t>
      </w:r>
    </w:p>
    <w:p w14:paraId="115FF278" w14:textId="109A0493" w:rsidR="007817AD" w:rsidRDefault="007817AD" w:rsidP="004923C5">
      <w:pPr>
        <w:pStyle w:val="BodyText"/>
      </w:pPr>
      <w:r>
        <w:t xml:space="preserve">Six initiatives have been finalised </w:t>
      </w:r>
      <w:r w:rsidR="00EC3EAF">
        <w:t xml:space="preserve">and will </w:t>
      </w:r>
      <w:r w:rsidR="00157EEB">
        <w:t>begin</w:t>
      </w:r>
      <w:r w:rsidR="007A59D8">
        <w:t xml:space="preserve"> implementation</w:t>
      </w:r>
      <w:r>
        <w:t xml:space="preserve"> in </w:t>
      </w:r>
      <w:r w:rsidR="007A59D8">
        <w:t>2013</w:t>
      </w:r>
      <w:r w:rsidR="00EC3EAF">
        <w:t>:</w:t>
      </w:r>
      <w:r w:rsidR="00B525E5">
        <w:t xml:space="preserve"> </w:t>
      </w:r>
    </w:p>
    <w:p w14:paraId="28E591A7" w14:textId="262E790C" w:rsidR="007817AD" w:rsidRDefault="007817AD" w:rsidP="00B500DF">
      <w:pPr>
        <w:pStyle w:val="ListBullet"/>
      </w:pPr>
      <w:r>
        <w:t>The Australian</w:t>
      </w:r>
      <w:r w:rsidR="00401788">
        <w:t>–</w:t>
      </w:r>
      <w:r>
        <w:t>Indonesian Partnership for Pro-poor Policy</w:t>
      </w:r>
      <w:r w:rsidR="00970B7C">
        <w:t>––</w:t>
      </w:r>
      <w:r>
        <w:t xml:space="preserve">the </w:t>
      </w:r>
      <w:r w:rsidR="00970B7C">
        <w:t xml:space="preserve">knowledge sector initiative </w:t>
      </w:r>
      <w:r>
        <w:t xml:space="preserve">worth </w:t>
      </w:r>
      <w:r w:rsidR="000A11DD">
        <w:t>$</w:t>
      </w:r>
      <w:r>
        <w:t>100 million was announced in July 2012 during</w:t>
      </w:r>
      <w:r w:rsidR="00401788">
        <w:t xml:space="preserve"> a visit to Jakarta by </w:t>
      </w:r>
      <w:r w:rsidR="008C0A44">
        <w:t xml:space="preserve">then </w:t>
      </w:r>
      <w:r w:rsidR="00401788">
        <w:t xml:space="preserve">Minister for </w:t>
      </w:r>
      <w:r w:rsidR="00CC7528">
        <w:t xml:space="preserve">Foreign </w:t>
      </w:r>
      <w:r w:rsidR="00401788">
        <w:t xml:space="preserve">Affairs, Bob Carr, </w:t>
      </w:r>
      <w:r w:rsidR="007A59D8">
        <w:t xml:space="preserve">and will begin operation in the second quarter of </w:t>
      </w:r>
      <w:r>
        <w:t>2013.</w:t>
      </w:r>
    </w:p>
    <w:p w14:paraId="0A118605" w14:textId="3B4E05F8" w:rsidR="007817AD" w:rsidRDefault="007817AD" w:rsidP="00B500DF">
      <w:pPr>
        <w:pStyle w:val="ListBullet"/>
      </w:pPr>
      <w:r>
        <w:t>Women in Leadership</w:t>
      </w:r>
      <w:r w:rsidR="00970B7C">
        <w:t>––</w:t>
      </w:r>
      <w:r>
        <w:t>th</w:t>
      </w:r>
      <w:r w:rsidR="00970B7C">
        <w:t>is</w:t>
      </w:r>
      <w:r>
        <w:t xml:space="preserve"> new </w:t>
      </w:r>
      <w:r w:rsidR="00970B7C">
        <w:t>five-</w:t>
      </w:r>
      <w:r>
        <w:t xml:space="preserve">year </w:t>
      </w:r>
      <w:r w:rsidR="000A11DD">
        <w:t>$</w:t>
      </w:r>
      <w:r>
        <w:t xml:space="preserve">60 million program was announced by the Prime Minister of Australia and </w:t>
      </w:r>
      <w:r w:rsidR="00EC3EAF">
        <w:t xml:space="preserve">the </w:t>
      </w:r>
      <w:r>
        <w:t xml:space="preserve">President of Indonesia in July 2012 and will start in </w:t>
      </w:r>
      <w:r w:rsidR="007A59D8">
        <w:t xml:space="preserve">the second quarter of </w:t>
      </w:r>
      <w:r>
        <w:t>2013</w:t>
      </w:r>
      <w:r w:rsidR="007A59D8">
        <w:t>.</w:t>
      </w:r>
    </w:p>
    <w:p w14:paraId="5D4F12D4" w14:textId="5D67C8C3" w:rsidR="007817AD" w:rsidRDefault="007817AD" w:rsidP="00B500DF">
      <w:pPr>
        <w:pStyle w:val="ListBullet"/>
      </w:pPr>
      <w:r>
        <w:t xml:space="preserve">The </w:t>
      </w:r>
      <w:r w:rsidR="00970B7C">
        <w:t>Rapidly Expanding Access to Care for HIV (REACH) Program––</w:t>
      </w:r>
      <w:r>
        <w:t xml:space="preserve">expansion of Australia’s support to HIV affected people in Papua and West Papua </w:t>
      </w:r>
      <w:r w:rsidR="00970B7C">
        <w:t xml:space="preserve">will be increased </w:t>
      </w:r>
      <w:r>
        <w:t xml:space="preserve">through </w:t>
      </w:r>
      <w:r w:rsidR="000A11DD">
        <w:t>$</w:t>
      </w:r>
      <w:r>
        <w:t xml:space="preserve">25 million agreed </w:t>
      </w:r>
      <w:r w:rsidR="00970B7C">
        <w:t xml:space="preserve">for this program </w:t>
      </w:r>
      <w:r>
        <w:t xml:space="preserve">with the </w:t>
      </w:r>
      <w:r w:rsidR="000A11DD">
        <w:t>Indonesian Government</w:t>
      </w:r>
      <w:r>
        <w:t xml:space="preserve"> in August 2012</w:t>
      </w:r>
      <w:r w:rsidR="00970B7C">
        <w:t>. It began</w:t>
      </w:r>
      <w:r>
        <w:t xml:space="preserve"> operati</w:t>
      </w:r>
      <w:r w:rsidR="00970B7C">
        <w:t xml:space="preserve">ng </w:t>
      </w:r>
      <w:r>
        <w:t>in Papua and West Papua highlands in July 201</w:t>
      </w:r>
      <w:r w:rsidR="00583B13">
        <w:t>2</w:t>
      </w:r>
      <w:r>
        <w:t>.</w:t>
      </w:r>
    </w:p>
    <w:p w14:paraId="3D9244E1" w14:textId="5930476D" w:rsidR="007817AD" w:rsidRDefault="007817AD" w:rsidP="00B500DF">
      <w:pPr>
        <w:pStyle w:val="ListBullet"/>
      </w:pPr>
      <w:r>
        <w:t xml:space="preserve">The new </w:t>
      </w:r>
      <w:r w:rsidR="00970B7C">
        <w:t xml:space="preserve">$50 million </w:t>
      </w:r>
      <w:r>
        <w:t>Australian</w:t>
      </w:r>
      <w:r w:rsidR="00970B7C">
        <w:t>–</w:t>
      </w:r>
      <w:r>
        <w:t xml:space="preserve">Indonesian Partnership Health System Strengthening Program was jointly announced by </w:t>
      </w:r>
      <w:r w:rsidR="00DB0304">
        <w:t xml:space="preserve">the </w:t>
      </w:r>
      <w:r>
        <w:t xml:space="preserve">Prime Minister </w:t>
      </w:r>
      <w:r w:rsidR="00DB0304">
        <w:t xml:space="preserve">of Australia </w:t>
      </w:r>
      <w:r>
        <w:t xml:space="preserve">and </w:t>
      </w:r>
      <w:r w:rsidR="00401788">
        <w:t xml:space="preserve">Indonesia’s </w:t>
      </w:r>
      <w:r>
        <w:t>Minister of Health in Bali on Octobe</w:t>
      </w:r>
      <w:r w:rsidR="007C04DC">
        <w:t>r 2012 and began operati</w:t>
      </w:r>
      <w:r w:rsidR="00401788">
        <w:t xml:space="preserve">ng </w:t>
      </w:r>
      <w:r w:rsidR="007C04DC">
        <w:t>in January 201</w:t>
      </w:r>
      <w:r w:rsidR="00DB0304">
        <w:t>3</w:t>
      </w:r>
      <w:r w:rsidR="007C04DC">
        <w:t>.</w:t>
      </w:r>
    </w:p>
    <w:p w14:paraId="2F693ADD" w14:textId="2C310BAC" w:rsidR="007817AD" w:rsidRDefault="007817AD" w:rsidP="00B500DF">
      <w:pPr>
        <w:pStyle w:val="ListBullet"/>
      </w:pPr>
      <w:r>
        <w:t>The new Australia–Indonesia Program for Decentralisation</w:t>
      </w:r>
      <w:r w:rsidR="00DB0304">
        <w:t xml:space="preserve"> is p</w:t>
      </w:r>
      <w:r>
        <w:t xml:space="preserve">romoting </w:t>
      </w:r>
      <w:r w:rsidR="00970B7C">
        <w:t>rural income through support for markets in agricultur</w:t>
      </w:r>
      <w:r>
        <w:t>e</w:t>
      </w:r>
      <w:r w:rsidR="00A52847">
        <w:t xml:space="preserve">. </w:t>
      </w:r>
      <w:r w:rsidR="00970B7C">
        <w:t xml:space="preserve">This </w:t>
      </w:r>
      <w:r w:rsidR="000A11DD">
        <w:t>$</w:t>
      </w:r>
      <w:r>
        <w:t>77 million</w:t>
      </w:r>
      <w:r w:rsidR="00A52847">
        <w:t xml:space="preserve"> program</w:t>
      </w:r>
      <w:r w:rsidR="00DB0304">
        <w:t xml:space="preserve"> </w:t>
      </w:r>
      <w:r>
        <w:t>will start in mid-2013.</w:t>
      </w:r>
    </w:p>
    <w:p w14:paraId="730402EE" w14:textId="4E0101AA" w:rsidR="007817AD" w:rsidRDefault="007817AD" w:rsidP="00B500DF">
      <w:pPr>
        <w:pStyle w:val="ListBullet"/>
      </w:pPr>
      <w:r>
        <w:t xml:space="preserve">Provincial Road Improvement </w:t>
      </w:r>
      <w:r w:rsidR="00970B7C">
        <w:t xml:space="preserve">and </w:t>
      </w:r>
      <w:r>
        <w:t>Maintenance</w:t>
      </w:r>
      <w:r w:rsidR="00970B7C">
        <w:t>––which includes an allocation of</w:t>
      </w:r>
      <w:r>
        <w:t xml:space="preserve"> </w:t>
      </w:r>
      <w:r w:rsidR="000A11DD">
        <w:t>$</w:t>
      </w:r>
      <w:r>
        <w:t>17</w:t>
      </w:r>
      <w:r w:rsidR="00DB0304">
        <w:t xml:space="preserve"> </w:t>
      </w:r>
      <w:r>
        <w:t xml:space="preserve">million for stage </w:t>
      </w:r>
      <w:r w:rsidR="00970B7C">
        <w:t>1</w:t>
      </w:r>
      <w:r w:rsidR="00401788">
        <w:t>––</w:t>
      </w:r>
      <w:proofErr w:type="gramStart"/>
      <w:r>
        <w:t>has</w:t>
      </w:r>
      <w:proofErr w:type="gramEnd"/>
      <w:r>
        <w:t xml:space="preserve"> been designed as a pilot to be trialled in </w:t>
      </w:r>
      <w:r w:rsidR="00970B7C">
        <w:t>Nusa Tenggara Barat</w:t>
      </w:r>
      <w:r w:rsidR="00970B7C" w:rsidDel="00970B7C">
        <w:t xml:space="preserve"> </w:t>
      </w:r>
      <w:r>
        <w:t>Province. Implementation will commence in June 2013 with maintenance works expected in late 2013</w:t>
      </w:r>
      <w:r w:rsidR="00DB0304">
        <w:t>.</w:t>
      </w:r>
    </w:p>
    <w:p w14:paraId="7BF14BB5" w14:textId="1757EB4A" w:rsidR="007817AD" w:rsidRDefault="00157EEB" w:rsidP="00FA5501">
      <w:pPr>
        <w:pStyle w:val="BodyText"/>
      </w:pPr>
      <w:r>
        <w:t xml:space="preserve">A number of existing initiatives have </w:t>
      </w:r>
      <w:r w:rsidR="00DB0304">
        <w:t xml:space="preserve">also </w:t>
      </w:r>
      <w:r>
        <w:t>been extended. The</w:t>
      </w:r>
      <w:r w:rsidR="007817AD">
        <w:t xml:space="preserve"> current Nusa Tenggara </w:t>
      </w:r>
      <w:proofErr w:type="spellStart"/>
      <w:r w:rsidR="007817AD">
        <w:t>Timur</w:t>
      </w:r>
      <w:proofErr w:type="spellEnd"/>
      <w:r w:rsidR="007817AD">
        <w:t xml:space="preserve"> province</w:t>
      </w:r>
      <w:r w:rsidR="00970B7C">
        <w:t>-</w:t>
      </w:r>
      <w:r w:rsidR="007817AD">
        <w:t xml:space="preserve">focused maternal and neonatal health program </w:t>
      </w:r>
      <w:r>
        <w:t xml:space="preserve">has been extended for one year </w:t>
      </w:r>
      <w:r w:rsidR="007817AD">
        <w:t xml:space="preserve">to ensure a smooth transition to the new multi province maternal and neonatal health program that is currently under design </w:t>
      </w:r>
      <w:r w:rsidR="00970B7C">
        <w:t xml:space="preserve">and </w:t>
      </w:r>
      <w:r w:rsidR="007817AD">
        <w:t xml:space="preserve">expected to start in July 2014. </w:t>
      </w:r>
      <w:r w:rsidR="00970B7C">
        <w:t xml:space="preserve">The </w:t>
      </w:r>
      <w:r w:rsidR="00A71D91">
        <w:t>Australia</w:t>
      </w:r>
      <w:r w:rsidR="00970B7C">
        <w:t>–</w:t>
      </w:r>
      <w:r w:rsidR="00A71D91">
        <w:t xml:space="preserve">Indonesia Facility for Disaster Reduction </w:t>
      </w:r>
      <w:r w:rsidR="007817AD">
        <w:t>will be extended by one year to allow a smooth transition to the new Australian</w:t>
      </w:r>
      <w:r w:rsidR="00401788">
        <w:t>–</w:t>
      </w:r>
      <w:r w:rsidR="007817AD">
        <w:t>Indonesian Disaster Risk Reduction program, which is due to start in late 2014</w:t>
      </w:r>
      <w:r w:rsidR="00970B7C">
        <w:t>. This</w:t>
      </w:r>
      <w:r w:rsidR="007817AD">
        <w:t xml:space="preserve"> will build on the success of </w:t>
      </w:r>
      <w:r w:rsidR="00970B7C">
        <w:t>the Australia–Indonesia Facility for Disaster Reduction</w:t>
      </w:r>
      <w:r w:rsidR="00970B7C" w:rsidDel="00970B7C">
        <w:t xml:space="preserve"> </w:t>
      </w:r>
      <w:r w:rsidR="007817AD">
        <w:t>and expand its scope to include sub-national level support for risk reduction and enhancement of civil society and community engagement and response capacity.</w:t>
      </w:r>
      <w:r w:rsidR="00B525E5">
        <w:t xml:space="preserve"> </w:t>
      </w:r>
      <w:r w:rsidR="008C0A44">
        <w:t>Australia</w:t>
      </w:r>
      <w:r w:rsidR="007817AD">
        <w:t xml:space="preserve"> will continue to support rural water, sanitation and hygiene development through an extension to the </w:t>
      </w:r>
      <w:r w:rsidR="00970B7C">
        <w:t>Water and Sanitation Policy and Action Planning Project</w:t>
      </w:r>
      <w:r w:rsidR="00970B7C" w:rsidDel="00970B7C">
        <w:t xml:space="preserve"> </w:t>
      </w:r>
      <w:r w:rsidR="007817AD">
        <w:t xml:space="preserve">until December 2014 and a contribution of </w:t>
      </w:r>
      <w:r w:rsidR="000A11DD">
        <w:t>$</w:t>
      </w:r>
      <w:r w:rsidR="007817AD">
        <w:t xml:space="preserve">49.5 million to the second phase of </w:t>
      </w:r>
      <w:r w:rsidR="00A71D91">
        <w:t xml:space="preserve">World Bank-managed </w:t>
      </w:r>
      <w:r w:rsidR="00970B7C">
        <w:t>Water Supply and Sanitation for Low Income Communities Project</w:t>
      </w:r>
      <w:r w:rsidR="007817AD">
        <w:t xml:space="preserve">. These programs will assist the Indonesian Government to roll out and implement </w:t>
      </w:r>
      <w:r w:rsidR="00970B7C">
        <w:t xml:space="preserve">water, sanitation and hygiene </w:t>
      </w:r>
      <w:r w:rsidR="007817AD">
        <w:t>policies and to increase water and sanitation access to low-income communities</w:t>
      </w:r>
      <w:r>
        <w:t>.</w:t>
      </w:r>
    </w:p>
    <w:p w14:paraId="72F26AA4" w14:textId="055336DC" w:rsidR="004923C5" w:rsidRDefault="00A71D91" w:rsidP="004923C5">
      <w:pPr>
        <w:pStyle w:val="BodyText"/>
      </w:pPr>
      <w:r>
        <w:t xml:space="preserve">Work </w:t>
      </w:r>
      <w:r w:rsidR="00476242">
        <w:t>ha</w:t>
      </w:r>
      <w:r>
        <w:t>s</w:t>
      </w:r>
      <w:r w:rsidR="00476242">
        <w:t xml:space="preserve"> commenced </w:t>
      </w:r>
      <w:r w:rsidR="004923C5">
        <w:t xml:space="preserve">on </w:t>
      </w:r>
      <w:r w:rsidR="006068A4">
        <w:t xml:space="preserve">new </w:t>
      </w:r>
      <w:r w:rsidR="004923C5">
        <w:t>frontline services, tertiary education, maternal and neonatal child health, scholarships, disaster management, infrastructure and climate change designs.</w:t>
      </w:r>
      <w:r w:rsidR="00B525E5">
        <w:t xml:space="preserve"> </w:t>
      </w:r>
      <w:r w:rsidR="004923C5">
        <w:t xml:space="preserve">Agreement has also been reached with the </w:t>
      </w:r>
      <w:r w:rsidR="000A11DD">
        <w:t>Indonesian Government</w:t>
      </w:r>
      <w:r w:rsidR="004923C5">
        <w:t xml:space="preserve"> to </w:t>
      </w:r>
      <w:r w:rsidR="006068A4">
        <w:t>boost</w:t>
      </w:r>
      <w:r w:rsidR="004923C5">
        <w:t xml:space="preserve"> Australia’s </w:t>
      </w:r>
      <w:r w:rsidR="004923C5">
        <w:lastRenderedPageBreak/>
        <w:t>support in the social protection sector</w:t>
      </w:r>
      <w:r w:rsidR="006068A4">
        <w:t xml:space="preserve">. For example, Foreign Minister Senator Bob Carr announced in April 2013 a </w:t>
      </w:r>
      <w:r w:rsidR="004923C5">
        <w:t xml:space="preserve">decision to expand Australian Government support to </w:t>
      </w:r>
      <w:r w:rsidR="006068A4">
        <w:t xml:space="preserve">the National Programme for Community Empowerment </w:t>
      </w:r>
      <w:r w:rsidR="004923C5">
        <w:t xml:space="preserve">by an additional </w:t>
      </w:r>
      <w:r w:rsidR="000A11DD">
        <w:t>$</w:t>
      </w:r>
      <w:r w:rsidR="004923C5">
        <w:t>99 million.</w:t>
      </w:r>
      <w:r w:rsidR="00B525E5">
        <w:t xml:space="preserve"> </w:t>
      </w:r>
      <w:r w:rsidR="004923C5">
        <w:t>Work on the other designs is progressing with the expectation that all will be finalised by the end of 2013</w:t>
      </w:r>
      <w:r w:rsidR="006068A4">
        <w:t>–</w:t>
      </w:r>
      <w:r w:rsidR="004923C5">
        <w:t xml:space="preserve">14. Work to develop </w:t>
      </w:r>
      <w:r w:rsidR="006068A4">
        <w:t xml:space="preserve">delivery strategies has </w:t>
      </w:r>
      <w:r w:rsidR="004923C5">
        <w:t>also commenced for nearly all sectors.</w:t>
      </w:r>
    </w:p>
    <w:p w14:paraId="58F21A93" w14:textId="4B913B22" w:rsidR="004923C5" w:rsidRDefault="00476242" w:rsidP="004923C5">
      <w:pPr>
        <w:pStyle w:val="BodyText"/>
      </w:pPr>
      <w:r>
        <w:t>D</w:t>
      </w:r>
      <w:r w:rsidR="004923C5">
        <w:t xml:space="preserve">evelopment cooperation activities </w:t>
      </w:r>
      <w:r w:rsidR="00A71D91">
        <w:t xml:space="preserve">are also </w:t>
      </w:r>
      <w:r w:rsidR="004923C5">
        <w:t xml:space="preserve">delivered by </w:t>
      </w:r>
      <w:r w:rsidR="006068A4">
        <w:t xml:space="preserve">10 </w:t>
      </w:r>
      <w:r w:rsidR="004923C5">
        <w:t>other Australian Government departments, as well as state and territory governments.</w:t>
      </w:r>
      <w:r w:rsidR="00B525E5">
        <w:t xml:space="preserve"> </w:t>
      </w:r>
      <w:r w:rsidR="004923C5">
        <w:t>In 2012</w:t>
      </w:r>
      <w:r w:rsidR="006068A4">
        <w:t>–</w:t>
      </w:r>
      <w:r w:rsidR="004923C5">
        <w:t xml:space="preserve">13 these delivered a total of </w:t>
      </w:r>
      <w:r w:rsidR="000A11DD">
        <w:t>$</w:t>
      </w:r>
      <w:r w:rsidR="004923C5">
        <w:t xml:space="preserve">34.9 million in development assistance to Indonesia, a </w:t>
      </w:r>
      <w:r w:rsidR="000A11DD">
        <w:t>$</w:t>
      </w:r>
      <w:r w:rsidR="004923C5">
        <w:t>9 million decrease from 2011</w:t>
      </w:r>
      <w:r w:rsidR="006068A4">
        <w:t>–</w:t>
      </w:r>
      <w:r w:rsidR="004923C5">
        <w:t xml:space="preserve">12. </w:t>
      </w:r>
    </w:p>
    <w:p w14:paraId="5AF26320" w14:textId="305DC37D" w:rsidR="004923C5" w:rsidRDefault="008C0A44" w:rsidP="004923C5">
      <w:pPr>
        <w:pStyle w:val="BodyText"/>
      </w:pPr>
      <w:r>
        <w:t xml:space="preserve">DFAT managed the Debt to Health Swap, under which Australia has agreed to cancel debt owed by Indonesia to Australia in parallel with increased Indonesian Government investment in programs combatting tuberculosis. Other government </w:t>
      </w:r>
      <w:r w:rsidR="00476242">
        <w:t xml:space="preserve">agencies delivering the largest overseas development assistance programs in Indonesia were </w:t>
      </w:r>
      <w:r w:rsidR="004923C5">
        <w:t>the Department of Immigration and Citizenship (</w:t>
      </w:r>
      <w:r w:rsidR="000A11DD">
        <w:t>$</w:t>
      </w:r>
      <w:r w:rsidR="00476242">
        <w:t>1</w:t>
      </w:r>
      <w:r w:rsidR="007819FA">
        <w:t>1</w:t>
      </w:r>
      <w:r w:rsidR="00476242">
        <w:t>.</w:t>
      </w:r>
      <w:r w:rsidR="007819FA">
        <w:t>7</w:t>
      </w:r>
      <w:r w:rsidR="006068A4">
        <w:t xml:space="preserve"> </w:t>
      </w:r>
      <w:r w:rsidR="00476242">
        <w:t>m</w:t>
      </w:r>
      <w:r w:rsidR="006068A4">
        <w:t>illion</w:t>
      </w:r>
      <w:r w:rsidR="004923C5">
        <w:t>) and the Australian Centre for International Agricultural Research (</w:t>
      </w:r>
      <w:r w:rsidR="000A11DD">
        <w:t>$</w:t>
      </w:r>
      <w:r w:rsidR="007819FA">
        <w:t>5.8</w:t>
      </w:r>
      <w:r w:rsidR="006068A4">
        <w:t xml:space="preserve"> </w:t>
      </w:r>
      <w:r w:rsidR="00476242">
        <w:t>m</w:t>
      </w:r>
      <w:r w:rsidR="006068A4">
        <w:t>illion</w:t>
      </w:r>
      <w:r w:rsidR="004923C5">
        <w:t xml:space="preserve">). </w:t>
      </w:r>
      <w:r w:rsidR="006068A4">
        <w:t xml:space="preserve">The </w:t>
      </w:r>
      <w:r w:rsidR="004923C5">
        <w:t>D</w:t>
      </w:r>
      <w:r w:rsidR="006068A4">
        <w:t xml:space="preserve">epartment of </w:t>
      </w:r>
      <w:r w:rsidR="004923C5">
        <w:t>I</w:t>
      </w:r>
      <w:r w:rsidR="00401788">
        <w:t>mmigration</w:t>
      </w:r>
      <w:r w:rsidR="006068A4">
        <w:t xml:space="preserve"> and </w:t>
      </w:r>
      <w:r w:rsidR="004923C5">
        <w:t>C</w:t>
      </w:r>
      <w:r w:rsidR="006068A4">
        <w:t>itizenship</w:t>
      </w:r>
      <w:r w:rsidR="004923C5">
        <w:t xml:space="preserve"> helped build capacity to prevent people smuggling and supported the care of irregular migrants in Indonesia.</w:t>
      </w:r>
      <w:r w:rsidR="00B525E5">
        <w:t xml:space="preserve"> </w:t>
      </w:r>
      <w:r w:rsidR="004923C5">
        <w:t xml:space="preserve">It has improved </w:t>
      </w:r>
      <w:r w:rsidR="006068A4">
        <w:t xml:space="preserve">quarantine </w:t>
      </w:r>
      <w:r w:rsidR="004923C5">
        <w:t>facilities, trained and awarded scholarships to immigration officers, supported border management system</w:t>
      </w:r>
      <w:r w:rsidR="00A71D91">
        <w:t xml:space="preserve"> </w:t>
      </w:r>
      <w:r w:rsidR="007819FA">
        <w:t>enhancement</w:t>
      </w:r>
      <w:r w:rsidR="004923C5">
        <w:t xml:space="preserve">, and strengthened the Directorate General of Immigration. </w:t>
      </w:r>
      <w:r w:rsidR="006068A4">
        <w:t xml:space="preserve">The Australian Centre for International Agricultural Research </w:t>
      </w:r>
      <w:r w:rsidR="004923C5">
        <w:t xml:space="preserve">supported a variety of research projects focused on increasing crop, livestock and aquaculture productivity to increase farmers’ income. The Brahman cattle pilot </w:t>
      </w:r>
      <w:r w:rsidR="00F358F2">
        <w:t>project for instance</w:t>
      </w:r>
      <w:r w:rsidR="004923C5">
        <w:t xml:space="preserve"> provided funding support and expertise to enhance cattle productivity for Indonesian smallholders. </w:t>
      </w:r>
    </w:p>
    <w:p w14:paraId="1FD1A7C8" w14:textId="18216A4E" w:rsidR="007817AD" w:rsidRPr="00180B19" w:rsidRDefault="004923C5" w:rsidP="007817AD">
      <w:pPr>
        <w:pStyle w:val="BodyText"/>
      </w:pPr>
      <w:r>
        <w:t>In 2012</w:t>
      </w:r>
      <w:r w:rsidR="006068A4">
        <w:t>–</w:t>
      </w:r>
      <w:r>
        <w:t xml:space="preserve">13 </w:t>
      </w:r>
      <w:r w:rsidR="008C0A44">
        <w:t>Australia</w:t>
      </w:r>
      <w:r>
        <w:t xml:space="preserve"> </w:t>
      </w:r>
      <w:r w:rsidR="00476242">
        <w:t>began design</w:t>
      </w:r>
      <w:r w:rsidR="006068A4">
        <w:t>ing</w:t>
      </w:r>
      <w:r w:rsidR="00476242">
        <w:t xml:space="preserve"> </w:t>
      </w:r>
      <w:r>
        <w:t xml:space="preserve">a </w:t>
      </w:r>
      <w:r w:rsidR="006068A4">
        <w:t>policy coordination facility, which will</w:t>
      </w:r>
      <w:r>
        <w:t xml:space="preserve"> help </w:t>
      </w:r>
      <w:r w:rsidR="006068A4">
        <w:t>whole-of-</w:t>
      </w:r>
      <w:r>
        <w:t xml:space="preserve">government </w:t>
      </w:r>
      <w:proofErr w:type="gramStart"/>
      <w:r>
        <w:t>partners</w:t>
      </w:r>
      <w:proofErr w:type="gramEnd"/>
      <w:r>
        <w:t xml:space="preserve"> access technical expertise to design, implement and evaluate </w:t>
      </w:r>
      <w:r w:rsidR="006068A4">
        <w:t>activities</w:t>
      </w:r>
      <w:r w:rsidR="006068A4" w:rsidDel="006068A4">
        <w:t xml:space="preserve"> </w:t>
      </w:r>
      <w:r w:rsidR="006068A4">
        <w:t>funded</w:t>
      </w:r>
      <w:r w:rsidR="006068A4" w:rsidDel="006068A4">
        <w:t xml:space="preserve"> </w:t>
      </w:r>
      <w:r w:rsidR="006068A4">
        <w:t>with official development assistance</w:t>
      </w:r>
      <w:r>
        <w:t>.</w:t>
      </w:r>
      <w:r w:rsidR="00B525E5">
        <w:t xml:space="preserve"> </w:t>
      </w:r>
      <w:r>
        <w:t xml:space="preserve">Subject to funding approvals, is it likely that the </w:t>
      </w:r>
      <w:r w:rsidR="006068A4">
        <w:t xml:space="preserve">facility </w:t>
      </w:r>
      <w:r>
        <w:t xml:space="preserve">will be operational in the coming 18 months, which will provide a useful mechanism </w:t>
      </w:r>
      <w:r w:rsidR="00A71D91">
        <w:t xml:space="preserve">for </w:t>
      </w:r>
      <w:r w:rsidR="006068A4">
        <w:t>whole-of-</w:t>
      </w:r>
      <w:r>
        <w:t>government partners to improve the quality of their aid projects.</w:t>
      </w:r>
    </w:p>
    <w:p w14:paraId="491E5F60" w14:textId="77777777" w:rsidR="00180B19" w:rsidRPr="00B500DF" w:rsidRDefault="00180B19" w:rsidP="00B500DF">
      <w:pPr>
        <w:pStyle w:val="Heading2"/>
      </w:pPr>
      <w:bookmarkStart w:id="14" w:name="_Toc359585085"/>
      <w:bookmarkStart w:id="15" w:name="_Toc363768573"/>
      <w:bookmarkStart w:id="16" w:name="_Toc363804109"/>
      <w:r w:rsidRPr="00B500DF">
        <w:t>Quality at Implementation ratings</w:t>
      </w:r>
      <w:bookmarkEnd w:id="14"/>
      <w:bookmarkEnd w:id="15"/>
      <w:bookmarkEnd w:id="16"/>
    </w:p>
    <w:p w14:paraId="2D3DB6CD" w14:textId="54F7E849" w:rsidR="00267AB4" w:rsidRDefault="007817AD" w:rsidP="00FA5501">
      <w:pPr>
        <w:pStyle w:val="BodyText"/>
      </w:pPr>
      <w:r>
        <w:t xml:space="preserve">Quality at Implementation (QAI) reporting </w:t>
      </w:r>
      <w:r w:rsidR="00267AB4">
        <w:t xml:space="preserve">follows policy guidance provided by </w:t>
      </w:r>
      <w:r w:rsidR="008C0A44">
        <w:t xml:space="preserve">the department’s </w:t>
      </w:r>
      <w:r w:rsidR="00267AB4">
        <w:t xml:space="preserve">Program Effectiveness and Performance Division. </w:t>
      </w:r>
      <w:r w:rsidR="00476242">
        <w:t xml:space="preserve">A </w:t>
      </w:r>
      <w:r w:rsidR="00A514C8">
        <w:t xml:space="preserve">division </w:t>
      </w:r>
      <w:r w:rsidR="00476242">
        <w:t xml:space="preserve">staff member from Canberra </w:t>
      </w:r>
      <w:r w:rsidR="00267AB4">
        <w:t>took part in the QAI moderation that was held in January 2013</w:t>
      </w:r>
      <w:r w:rsidR="00A514C8">
        <w:t xml:space="preserve"> and</w:t>
      </w:r>
      <w:r w:rsidR="00A514C8" w:rsidRPr="00476242">
        <w:t xml:space="preserve"> </w:t>
      </w:r>
      <w:r w:rsidR="00476242">
        <w:t>provid</w:t>
      </w:r>
      <w:r w:rsidR="00A514C8">
        <w:t xml:space="preserve">ed </w:t>
      </w:r>
      <w:r w:rsidR="00476242">
        <w:t>an objective arm’s length approach to the assessment initiatives</w:t>
      </w:r>
      <w:r w:rsidR="00267AB4">
        <w:t xml:space="preserve">. This year’s assessment </w:t>
      </w:r>
      <w:r>
        <w:t xml:space="preserve">has produced </w:t>
      </w:r>
      <w:r w:rsidR="00476242">
        <w:t>candid</w:t>
      </w:r>
      <w:r>
        <w:t xml:space="preserve"> reflections on the performance of all 48 monitored initiatives in Indonesia. </w:t>
      </w:r>
    </w:p>
    <w:p w14:paraId="339A908B" w14:textId="7A248CCF" w:rsidR="00476242" w:rsidRDefault="00476242" w:rsidP="00FA5501">
      <w:pPr>
        <w:pStyle w:val="BodyText"/>
      </w:pPr>
      <w:r>
        <w:t xml:space="preserve">The </w:t>
      </w:r>
      <w:r w:rsidR="007817AD">
        <w:t>Eastern Indonesia National Road Improvement Projec</w:t>
      </w:r>
      <w:r w:rsidR="00A514C8">
        <w:t>t,</w:t>
      </w:r>
      <w:r w:rsidR="007817AD">
        <w:t xml:space="preserve"> Counter-terrorism Cooperation Fund</w:t>
      </w:r>
      <w:r w:rsidR="00A514C8">
        <w:t>,</w:t>
      </w:r>
      <w:r w:rsidR="007817AD">
        <w:t xml:space="preserve"> and Indonesia</w:t>
      </w:r>
      <w:r w:rsidR="00A514C8">
        <w:t>–</w:t>
      </w:r>
      <w:r w:rsidR="007817AD">
        <w:t xml:space="preserve">Australia Forest Carbon Partnership </w:t>
      </w:r>
      <w:r>
        <w:t>were categorised as</w:t>
      </w:r>
      <w:r w:rsidR="007817AD">
        <w:t xml:space="preserve"> </w:t>
      </w:r>
      <w:r>
        <w:t>‘</w:t>
      </w:r>
      <w:r w:rsidR="007817AD">
        <w:t>initiatives requiring improvements</w:t>
      </w:r>
      <w:r>
        <w:t>’</w:t>
      </w:r>
      <w:r w:rsidR="007817AD">
        <w:t xml:space="preserve"> in 2011</w:t>
      </w:r>
      <w:r w:rsidR="00A514C8">
        <w:t>. These</w:t>
      </w:r>
      <w:r w:rsidR="007817AD">
        <w:t xml:space="preserve"> have all graduated in 2012 as a result of remedial actions taken by the program team</w:t>
      </w:r>
      <w:r>
        <w:t>s</w:t>
      </w:r>
      <w:r w:rsidR="007817AD">
        <w:t>.</w:t>
      </w:r>
      <w:r w:rsidR="00B525E5">
        <w:t xml:space="preserve"> </w:t>
      </w:r>
      <w:r>
        <w:t xml:space="preserve">A score of 3 on the effectiveness rating for two consecutive years will categorise an initiative as </w:t>
      </w:r>
      <w:r w:rsidR="00A514C8">
        <w:t>requiring improvement</w:t>
      </w:r>
      <w:r>
        <w:t>.</w:t>
      </w:r>
    </w:p>
    <w:p w14:paraId="4BA7F591" w14:textId="1476B861" w:rsidR="007817AD" w:rsidRDefault="007817AD" w:rsidP="00FA5501">
      <w:pPr>
        <w:pStyle w:val="BodyText"/>
      </w:pPr>
      <w:r>
        <w:t>This year</w:t>
      </w:r>
      <w:r w:rsidR="00FF418A">
        <w:t xml:space="preserve"> </w:t>
      </w:r>
      <w:r w:rsidR="00A514C8">
        <w:t xml:space="preserve">five </w:t>
      </w:r>
      <w:r>
        <w:t>initiatives</w:t>
      </w:r>
      <w:r w:rsidR="00A514C8">
        <w:t>––</w:t>
      </w:r>
      <w:r w:rsidR="00FF418A">
        <w:t>two</w:t>
      </w:r>
      <w:r>
        <w:t xml:space="preserve"> Partnership for Health Strengthening System</w:t>
      </w:r>
      <w:r w:rsidR="00FF418A">
        <w:t xml:space="preserve"> initiatives</w:t>
      </w:r>
      <w:r w:rsidR="00A514C8">
        <w:t xml:space="preserve">, </w:t>
      </w:r>
      <w:r w:rsidR="00FF418A">
        <w:t xml:space="preserve">a </w:t>
      </w:r>
      <w:r>
        <w:t>Partnership for Decentralisation</w:t>
      </w:r>
      <w:r w:rsidR="00FF418A">
        <w:t xml:space="preserve"> initiative</w:t>
      </w:r>
      <w:r>
        <w:t xml:space="preserve">, </w:t>
      </w:r>
      <w:r w:rsidR="00FF418A">
        <w:t xml:space="preserve">a </w:t>
      </w:r>
      <w:r>
        <w:t>Provincial Govern</w:t>
      </w:r>
      <w:r w:rsidR="00476242">
        <w:t xml:space="preserve">ance Strengthening Program </w:t>
      </w:r>
      <w:r w:rsidR="00FF418A">
        <w:t xml:space="preserve">initiative </w:t>
      </w:r>
      <w:r w:rsidR="00476242">
        <w:t xml:space="preserve">and </w:t>
      </w:r>
      <w:r w:rsidR="00FF418A">
        <w:t xml:space="preserve">an </w:t>
      </w:r>
      <w:r>
        <w:t>Election Support</w:t>
      </w:r>
      <w:r w:rsidR="00FF418A">
        <w:t xml:space="preserve"> </w:t>
      </w:r>
      <w:r w:rsidR="00A514C8">
        <w:t>initiative––</w:t>
      </w:r>
      <w:r>
        <w:t>all scored 3 under the QAI criteria of effectiveness</w:t>
      </w:r>
      <w:r w:rsidR="00476242">
        <w:t xml:space="preserve"> for the first time</w:t>
      </w:r>
      <w:r w:rsidR="00FF418A">
        <w:t xml:space="preserve"> (</w:t>
      </w:r>
      <w:r w:rsidR="00A514C8">
        <w:t>see</w:t>
      </w:r>
      <w:r w:rsidR="00FF418A">
        <w:t xml:space="preserve"> Annex C)</w:t>
      </w:r>
      <w:r>
        <w:t xml:space="preserve">. </w:t>
      </w:r>
      <w:r w:rsidR="00476242">
        <w:t xml:space="preserve">Causes </w:t>
      </w:r>
      <w:r w:rsidR="00FF418A">
        <w:t>range from the</w:t>
      </w:r>
      <w:r w:rsidR="00476242">
        <w:t xml:space="preserve"> first year of implementation</w:t>
      </w:r>
      <w:r w:rsidR="00FF418A">
        <w:t xml:space="preserve"> starting</w:t>
      </w:r>
      <w:r w:rsidR="00476242">
        <w:t xml:space="preserve"> slowly</w:t>
      </w:r>
      <w:r w:rsidR="00A514C8">
        <w:t xml:space="preserve"> and </w:t>
      </w:r>
      <w:r w:rsidR="00267AB4">
        <w:t xml:space="preserve">slow decision making and approval of plans and </w:t>
      </w:r>
      <w:r w:rsidR="00FF418A">
        <w:t>activities, through to</w:t>
      </w:r>
      <w:r w:rsidR="002E0C9A">
        <w:t xml:space="preserve"> weakness</w:t>
      </w:r>
      <w:r w:rsidR="00A514C8">
        <w:t>es</w:t>
      </w:r>
      <w:r w:rsidR="002E0C9A">
        <w:t xml:space="preserve"> </w:t>
      </w:r>
      <w:r w:rsidR="00A514C8">
        <w:t xml:space="preserve">in </w:t>
      </w:r>
      <w:r w:rsidR="002E0C9A">
        <w:t xml:space="preserve">some aspects of the project management and </w:t>
      </w:r>
      <w:r w:rsidR="00A514C8">
        <w:t>monitoring and evaluation</w:t>
      </w:r>
      <w:r w:rsidR="002E0C9A">
        <w:t xml:space="preserve"> system</w:t>
      </w:r>
      <w:r w:rsidR="00A514C8">
        <w:t>s</w:t>
      </w:r>
      <w:r w:rsidR="002E0C9A">
        <w:t xml:space="preserve">. </w:t>
      </w:r>
      <w:r>
        <w:t>Close monitoring of these initiatives is necessary.</w:t>
      </w:r>
      <w:r w:rsidR="00FF418A">
        <w:t xml:space="preserve"> It is positive that the system is detecting initiatives requiring attention, and overall </w:t>
      </w:r>
      <w:r>
        <w:t xml:space="preserve">most initiatives performed well across </w:t>
      </w:r>
      <w:r w:rsidR="00FF418A">
        <w:t xml:space="preserve">the </w:t>
      </w:r>
      <w:r>
        <w:t>QAI criteria (scores of 4 and above).</w:t>
      </w:r>
      <w:r w:rsidR="00B525E5">
        <w:t xml:space="preserve"> </w:t>
      </w:r>
    </w:p>
    <w:p w14:paraId="0584AA0D" w14:textId="298C1CBC" w:rsidR="00180B19" w:rsidRPr="00B500DF" w:rsidRDefault="00180B19" w:rsidP="00B500DF">
      <w:pPr>
        <w:pStyle w:val="Heading1"/>
      </w:pPr>
      <w:bookmarkStart w:id="17" w:name="_Toc359585086"/>
      <w:bookmarkStart w:id="18" w:name="_Toc363804110"/>
      <w:r w:rsidRPr="00B500DF">
        <w:lastRenderedPageBreak/>
        <w:t xml:space="preserve">Management </w:t>
      </w:r>
      <w:bookmarkEnd w:id="17"/>
      <w:r w:rsidR="00A514C8" w:rsidRPr="00B500DF">
        <w:t>consequences</w:t>
      </w:r>
      <w:bookmarkEnd w:id="18"/>
    </w:p>
    <w:p w14:paraId="4D7C5730" w14:textId="10620C62" w:rsidR="002E0C9A" w:rsidRDefault="002E0C9A" w:rsidP="00FA5501">
      <w:pPr>
        <w:pStyle w:val="BodyText"/>
      </w:pPr>
      <w:r>
        <w:t xml:space="preserve">We have successfully addressed </w:t>
      </w:r>
      <w:r w:rsidR="00A71D91">
        <w:t xml:space="preserve">the majority </w:t>
      </w:r>
      <w:r>
        <w:t xml:space="preserve">of the management responses identified in the </w:t>
      </w:r>
      <w:r w:rsidR="00A71D91" w:rsidRPr="00A71D91">
        <w:t>2011</w:t>
      </w:r>
      <w:r w:rsidR="00A71D91">
        <w:t xml:space="preserve"> </w:t>
      </w:r>
      <w:r w:rsidR="00A514C8">
        <w:t>annual program performance report</w:t>
      </w:r>
      <w:r w:rsidR="00CE17B9">
        <w:rPr>
          <w:rStyle w:val="FootnoteReference"/>
        </w:rPr>
        <w:footnoteReference w:id="7"/>
      </w:r>
      <w:r w:rsidR="00A514C8">
        <w:t xml:space="preserve"> </w:t>
      </w:r>
      <w:r w:rsidR="00AE00FC">
        <w:t xml:space="preserve">(APPR) </w:t>
      </w:r>
      <w:r w:rsidR="000D6B68">
        <w:t>through country program-wide management actions undertaken during 2012</w:t>
      </w:r>
      <w:r w:rsidR="00A514C8">
        <w:t xml:space="preserve"> (see</w:t>
      </w:r>
      <w:r w:rsidR="000D6B68">
        <w:t xml:space="preserve"> Annex B</w:t>
      </w:r>
      <w:r w:rsidR="00A514C8">
        <w:t>)</w:t>
      </w:r>
      <w:r>
        <w:t xml:space="preserve">. Management consequences from </w:t>
      </w:r>
      <w:r w:rsidR="000D6B68">
        <w:t xml:space="preserve">the </w:t>
      </w:r>
      <w:r>
        <w:t>2012</w:t>
      </w:r>
      <w:r w:rsidR="00A514C8">
        <w:t>–</w:t>
      </w:r>
      <w:r>
        <w:t>13</w:t>
      </w:r>
      <w:r w:rsidR="000D6B68">
        <w:t xml:space="preserve"> reporting period for action over the next 12 month</w:t>
      </w:r>
      <w:r w:rsidR="00EC41C6">
        <w:t>s</w:t>
      </w:r>
      <w:r w:rsidR="000D6B68">
        <w:t xml:space="preserve"> are:</w:t>
      </w:r>
    </w:p>
    <w:p w14:paraId="3629BB8F" w14:textId="77777777" w:rsidR="002E0C9A" w:rsidRDefault="002E0C9A" w:rsidP="00B500DF">
      <w:pPr>
        <w:pStyle w:val="ListBullet"/>
      </w:pPr>
      <w:r>
        <w:t xml:space="preserve">Develop delivery strategies for the education, health, infrastructure, economic governance, decentralisation, rural </w:t>
      </w:r>
      <w:r w:rsidR="00AD74A2">
        <w:t>livelihoods</w:t>
      </w:r>
      <w:r>
        <w:t>, social protection and disaster management sectors</w:t>
      </w:r>
      <w:r w:rsidR="00D11B68">
        <w:t>.</w:t>
      </w:r>
    </w:p>
    <w:p w14:paraId="7A0D1EBC" w14:textId="77777777" w:rsidR="002E0C9A" w:rsidRDefault="002E0C9A" w:rsidP="00B500DF">
      <w:pPr>
        <w:pStyle w:val="ListBullet"/>
      </w:pPr>
      <w:r>
        <w:t>Continue designs for the next phase of initiatives in frontline services delivery, tertiary education, infrastr</w:t>
      </w:r>
      <w:bookmarkStart w:id="19" w:name="_GoBack"/>
      <w:bookmarkEnd w:id="19"/>
      <w:r>
        <w:t>ucture, disaster risk management, maternal and neonatal child health, and climate change</w:t>
      </w:r>
      <w:r w:rsidR="00D11B68">
        <w:t>.</w:t>
      </w:r>
    </w:p>
    <w:p w14:paraId="6460FE91" w14:textId="52B222C0" w:rsidR="002E0C9A" w:rsidRDefault="002E0C9A" w:rsidP="00B500DF">
      <w:pPr>
        <w:pStyle w:val="ListBullet"/>
      </w:pPr>
      <w:r>
        <w:t xml:space="preserve">Prepare </w:t>
      </w:r>
      <w:r w:rsidR="00EC41C6">
        <w:t>to increase the</w:t>
      </w:r>
      <w:r>
        <w:t xml:space="preserve"> </w:t>
      </w:r>
      <w:r w:rsidR="00492722">
        <w:t xml:space="preserve">total funding for </w:t>
      </w:r>
      <w:r w:rsidR="00EC41C6">
        <w:t xml:space="preserve">National Programme for Community Empowerment </w:t>
      </w:r>
      <w:r>
        <w:t>over the next two years.</w:t>
      </w:r>
    </w:p>
    <w:p w14:paraId="7812ECA5" w14:textId="16EBF8F7" w:rsidR="002E0C9A" w:rsidRDefault="002E0C9A" w:rsidP="00B500DF">
      <w:pPr>
        <w:pStyle w:val="ListBullet"/>
      </w:pPr>
      <w:r>
        <w:t xml:space="preserve">Analyse future options and areas of engagement for investment in </w:t>
      </w:r>
      <w:r w:rsidR="00EC41C6">
        <w:t>economic governance, green economic development and law and justice</w:t>
      </w:r>
      <w:r w:rsidR="00A71D91">
        <w:t>.</w:t>
      </w:r>
      <w:r>
        <w:t xml:space="preserve"> </w:t>
      </w:r>
    </w:p>
    <w:p w14:paraId="090D6C55" w14:textId="60F7D583" w:rsidR="002E0C9A" w:rsidRDefault="002E0C9A" w:rsidP="00B500DF">
      <w:pPr>
        <w:pStyle w:val="ListBullet"/>
      </w:pPr>
      <w:r>
        <w:t xml:space="preserve">Finalise contracting arrangements for initiatives in the </w:t>
      </w:r>
      <w:r w:rsidR="00EC41C6">
        <w:t>scholarship and rural livelihood and agribusines</w:t>
      </w:r>
      <w:r>
        <w:t>s sectors</w:t>
      </w:r>
      <w:r w:rsidR="00D11B68">
        <w:t>.</w:t>
      </w:r>
    </w:p>
    <w:p w14:paraId="6301AC0E" w14:textId="505F4C40" w:rsidR="002E0C9A" w:rsidRDefault="002E0C9A" w:rsidP="00BD7A1D">
      <w:pPr>
        <w:pStyle w:val="BodyText"/>
      </w:pPr>
      <w:r>
        <w:t xml:space="preserve">Conduct performance assessments for </w:t>
      </w:r>
      <w:r w:rsidR="00F358F2">
        <w:t xml:space="preserve">initiatives including </w:t>
      </w:r>
      <w:r w:rsidR="00EC41C6">
        <w:t>the Government Partnership Fund</w:t>
      </w:r>
      <w:r>
        <w:t xml:space="preserve">, </w:t>
      </w:r>
      <w:r w:rsidR="00F358F2" w:rsidRPr="002950E7">
        <w:t>Enhanced Economic and Fiscal Policy Analysis</w:t>
      </w:r>
      <w:r>
        <w:t xml:space="preserve">, </w:t>
      </w:r>
      <w:r w:rsidR="00492722">
        <w:t>Australia</w:t>
      </w:r>
      <w:r w:rsidR="00F358F2">
        <w:t>–</w:t>
      </w:r>
      <w:r w:rsidR="00492722">
        <w:t>Indonesia Partnership for Justice</w:t>
      </w:r>
      <w:r>
        <w:t xml:space="preserve">, </w:t>
      </w:r>
      <w:r w:rsidR="00EC41C6">
        <w:t>Australia–Indonesia Partnership for Decentralisation</w:t>
      </w:r>
      <w:r>
        <w:t xml:space="preserve">, </w:t>
      </w:r>
      <w:r w:rsidR="00F358F2">
        <w:t xml:space="preserve">the </w:t>
      </w:r>
      <w:r w:rsidR="00EC41C6">
        <w:t>National Programme for Community Empowerment</w:t>
      </w:r>
      <w:r w:rsidR="00F358F2">
        <w:t>, and</w:t>
      </w:r>
      <w:r>
        <w:t xml:space="preserve"> Education Partnership, and reassess </w:t>
      </w:r>
      <w:r w:rsidR="00F358F2">
        <w:t xml:space="preserve">the </w:t>
      </w:r>
      <w:r>
        <w:t xml:space="preserve">monitoring and evaluation framework for </w:t>
      </w:r>
      <w:r w:rsidR="00EC41C6">
        <w:t>the Australia–Indonesia Electoral Support Program</w:t>
      </w:r>
      <w:r>
        <w:t xml:space="preserve">. </w:t>
      </w:r>
    </w:p>
    <w:p w14:paraId="5232713F" w14:textId="72FD0332" w:rsidR="002E0C9A" w:rsidRDefault="002E0C9A" w:rsidP="00B500DF">
      <w:pPr>
        <w:pStyle w:val="ListBullet"/>
      </w:pPr>
      <w:r>
        <w:t xml:space="preserve">Capture lessons learned and embed </w:t>
      </w:r>
      <w:r w:rsidR="00EC41C6">
        <w:t xml:space="preserve">the </w:t>
      </w:r>
      <w:r>
        <w:t xml:space="preserve">gains made under the </w:t>
      </w:r>
      <w:r w:rsidR="00EC41C6">
        <w:t>Support for Education Sector Development in Aceh</w:t>
      </w:r>
      <w:r w:rsidR="00EC41C6" w:rsidDel="00EC41C6">
        <w:t xml:space="preserve"> </w:t>
      </w:r>
      <w:r>
        <w:t xml:space="preserve">program and the broader Education Partnership program, </w:t>
      </w:r>
      <w:r w:rsidR="00EC41C6">
        <w:t>the Australia–Indonesia Partnership Facility for Disaster Reduction</w:t>
      </w:r>
      <w:r>
        <w:t xml:space="preserve">, </w:t>
      </w:r>
      <w:r w:rsidR="00D82E86">
        <w:t>Kalimantan Forests and Climate Partnership</w:t>
      </w:r>
      <w:r>
        <w:t xml:space="preserve">, </w:t>
      </w:r>
      <w:r w:rsidR="00F358F2">
        <w:t xml:space="preserve">and </w:t>
      </w:r>
      <w:r w:rsidR="00EC41C6">
        <w:t>Indonesia Infrastructure Initiative. This will</w:t>
      </w:r>
      <w:r w:rsidR="00EC41C6" w:rsidDel="00EC41C6">
        <w:t xml:space="preserve"> </w:t>
      </w:r>
      <w:r>
        <w:t>inform future activities within the respective sectors</w:t>
      </w:r>
      <w:r w:rsidR="00D11B68">
        <w:t xml:space="preserve"> and across the portfolio</w:t>
      </w:r>
      <w:r>
        <w:t>.</w:t>
      </w:r>
    </w:p>
    <w:p w14:paraId="742F67C2" w14:textId="77777777" w:rsidR="002E0C9A" w:rsidRDefault="002E0C9A" w:rsidP="00B500DF">
      <w:pPr>
        <w:pStyle w:val="ListBullet"/>
      </w:pPr>
      <w:r>
        <w:t>Strengthen cross-sectoral programming, coordination and collaboration.</w:t>
      </w:r>
    </w:p>
    <w:p w14:paraId="59AC7091" w14:textId="77777777" w:rsidR="002E0C9A" w:rsidRDefault="002E0C9A" w:rsidP="00B500DF">
      <w:pPr>
        <w:pStyle w:val="ListBullet"/>
      </w:pPr>
      <w:r>
        <w:t>Strengthen knowledge management to improve the agency’s efficiency and effectiveness.</w:t>
      </w:r>
    </w:p>
    <w:p w14:paraId="47674484" w14:textId="62BA36F3" w:rsidR="002E0C9A" w:rsidRDefault="002E0C9A" w:rsidP="00B500DF">
      <w:pPr>
        <w:pStyle w:val="ListBullet"/>
      </w:pPr>
      <w:r>
        <w:t xml:space="preserve">Further strengthen staff evaluation capacity through implementation of </w:t>
      </w:r>
      <w:r w:rsidR="00D82E86">
        <w:t xml:space="preserve">Evaluation Capacity Building </w:t>
      </w:r>
      <w:r>
        <w:t>program modifications</w:t>
      </w:r>
      <w:r w:rsidR="00EC41C6">
        <w:t>.</w:t>
      </w:r>
    </w:p>
    <w:p w14:paraId="63FF5335" w14:textId="38E960B0" w:rsidR="001D2AFC" w:rsidRDefault="008C0A44" w:rsidP="001D2AFC">
      <w:pPr>
        <w:pStyle w:val="BodyText"/>
        <w:rPr>
          <w:rFonts w:eastAsia="Calibri"/>
        </w:rPr>
      </w:pPr>
      <w:r>
        <w:rPr>
          <w:rFonts w:eastAsia="Calibri"/>
        </w:rPr>
        <w:t xml:space="preserve">The team in </w:t>
      </w:r>
      <w:r w:rsidR="001D2AFC" w:rsidRPr="001D2AFC">
        <w:rPr>
          <w:rFonts w:eastAsia="Calibri"/>
        </w:rPr>
        <w:t xml:space="preserve">Jakarta manages risk through monthly team assessments of a series of cascading risk registers. Implementing partners maintain active risk registers and escalate risks to activity managers as needed. </w:t>
      </w:r>
      <w:r w:rsidR="00D11B68">
        <w:rPr>
          <w:rFonts w:eastAsia="Calibri"/>
        </w:rPr>
        <w:t>A</w:t>
      </w:r>
      <w:r w:rsidR="001D2AFC" w:rsidRPr="001D2AFC">
        <w:rPr>
          <w:rFonts w:eastAsia="Calibri"/>
        </w:rPr>
        <w:t xml:space="preserve">ctivity managers decide whether to escalate risks to the risk registers up the hierarchy, including the sectoral risk registers and country risk registers, </w:t>
      </w:r>
      <w:r w:rsidR="00EC41C6">
        <w:rPr>
          <w:rFonts w:eastAsia="Calibri"/>
        </w:rPr>
        <w:t xml:space="preserve">and </w:t>
      </w:r>
      <w:r w:rsidR="001D2AFC" w:rsidRPr="001D2AFC">
        <w:rPr>
          <w:rFonts w:eastAsia="Calibri"/>
        </w:rPr>
        <w:t xml:space="preserve">to the </w:t>
      </w:r>
      <w:r>
        <w:rPr>
          <w:rFonts w:eastAsia="Calibri"/>
        </w:rPr>
        <w:t xml:space="preserve">department’s </w:t>
      </w:r>
      <w:r w:rsidR="001D2AFC" w:rsidRPr="001D2AFC">
        <w:rPr>
          <w:rFonts w:eastAsia="Calibri"/>
        </w:rPr>
        <w:t>risk register if warran</w:t>
      </w:r>
      <w:r w:rsidR="00F254CC">
        <w:rPr>
          <w:rFonts w:eastAsia="Calibri"/>
        </w:rPr>
        <w:t>ted. The emphasis is on awareness</w:t>
      </w:r>
      <w:r w:rsidR="001D2AFC" w:rsidRPr="001D2AFC">
        <w:rPr>
          <w:rFonts w:eastAsia="Calibri"/>
        </w:rPr>
        <w:t>, developing treatments and communicating our risks.</w:t>
      </w:r>
    </w:p>
    <w:p w14:paraId="48C94A13" w14:textId="77777777" w:rsidR="00805D86" w:rsidRDefault="00805D86">
      <w:pPr>
        <w:spacing w:after="200" w:line="276" w:lineRule="auto"/>
        <w:rPr>
          <w:rFonts w:ascii="Arial" w:eastAsia="Calibri" w:hAnsi="Arial" w:cs="Arial"/>
          <w:color w:val="7E6D5F"/>
          <w:szCs w:val="19"/>
          <w:lang w:eastAsia="en-US"/>
        </w:rPr>
      </w:pPr>
      <w:r>
        <w:rPr>
          <w:rFonts w:eastAsia="Calibri"/>
          <w:lang w:eastAsia="en-US"/>
        </w:rPr>
        <w:br w:type="page"/>
      </w:r>
    </w:p>
    <w:p w14:paraId="68AC6619" w14:textId="06A02572" w:rsidR="00B500DF" w:rsidRPr="00B500DF" w:rsidRDefault="00B500DF" w:rsidP="00BD7A1D">
      <w:pPr>
        <w:pStyle w:val="Caption"/>
        <w:rPr>
          <w:rFonts w:eastAsia="Calibri"/>
          <w:lang w:eastAsia="en-US"/>
        </w:rPr>
      </w:pPr>
      <w:r w:rsidRPr="001D2AFC">
        <w:rPr>
          <w:rFonts w:eastAsia="Calibri"/>
          <w:lang w:eastAsia="en-US"/>
        </w:rPr>
        <w:lastRenderedPageBreak/>
        <w:t>Table 3</w:t>
      </w:r>
      <w:r>
        <w:rPr>
          <w:rFonts w:eastAsia="Calibri"/>
          <w:lang w:eastAsia="en-US"/>
        </w:rPr>
        <w:t>:</w:t>
      </w:r>
      <w:r w:rsidRPr="001D2AFC">
        <w:rPr>
          <w:rFonts w:eastAsia="Calibri"/>
          <w:lang w:eastAsia="en-US"/>
        </w:rPr>
        <w:t xml:space="preserve"> Risks associated with the program and management actions</w:t>
      </w:r>
    </w:p>
    <w:tbl>
      <w:tblPr>
        <w:tblStyle w:val="APPR"/>
        <w:tblW w:w="5000" w:type="pct"/>
        <w:tblLook w:val="04A0" w:firstRow="1" w:lastRow="0" w:firstColumn="1" w:lastColumn="0" w:noHBand="0" w:noVBand="1"/>
      </w:tblPr>
      <w:tblGrid>
        <w:gridCol w:w="4498"/>
        <w:gridCol w:w="4108"/>
      </w:tblGrid>
      <w:tr w:rsidR="00BB0918" w:rsidRPr="00B500DF" w14:paraId="45B03B71" w14:textId="77777777" w:rsidTr="00B500DF">
        <w:trPr>
          <w:cnfStyle w:val="100000000000" w:firstRow="1" w:lastRow="0" w:firstColumn="0" w:lastColumn="0" w:oddVBand="0" w:evenVBand="0" w:oddHBand="0" w:evenHBand="0" w:firstRowFirstColumn="0" w:firstRowLastColumn="0" w:lastRowFirstColumn="0" w:lastRowLastColumn="0"/>
        </w:trPr>
        <w:tc>
          <w:tcPr>
            <w:tcW w:w="4915" w:type="dxa"/>
            <w:hideMark/>
          </w:tcPr>
          <w:p w14:paraId="5527F923" w14:textId="77777777" w:rsidR="00BB0918" w:rsidRPr="00B500DF" w:rsidRDefault="00BB0918" w:rsidP="00B500DF">
            <w:pPr>
              <w:pStyle w:val="TableTextColumnHeading"/>
              <w:rPr>
                <w:rFonts w:eastAsia="Calibri"/>
                <w:b/>
              </w:rPr>
            </w:pPr>
            <w:r w:rsidRPr="00B500DF">
              <w:rPr>
                <w:rFonts w:eastAsia="Calibri"/>
                <w:b/>
              </w:rPr>
              <w:t>Most significant risks</w:t>
            </w:r>
          </w:p>
        </w:tc>
        <w:tc>
          <w:tcPr>
            <w:tcW w:w="4442" w:type="dxa"/>
            <w:hideMark/>
          </w:tcPr>
          <w:p w14:paraId="798D883B" w14:textId="382F060A" w:rsidR="00BB0918" w:rsidRPr="00B500DF" w:rsidRDefault="00BB0918" w:rsidP="00B500DF">
            <w:pPr>
              <w:pStyle w:val="TableTextColumnHeading"/>
              <w:rPr>
                <w:rFonts w:eastAsia="Calibri"/>
                <w:b/>
              </w:rPr>
            </w:pPr>
            <w:r w:rsidRPr="00B500DF">
              <w:rPr>
                <w:rFonts w:eastAsia="Calibri"/>
                <w:b/>
              </w:rPr>
              <w:t xml:space="preserve">Management </w:t>
            </w:r>
            <w:r w:rsidR="00EC41C6" w:rsidRPr="00B500DF">
              <w:rPr>
                <w:rFonts w:eastAsia="Calibri"/>
                <w:b/>
              </w:rPr>
              <w:t xml:space="preserve">response </w:t>
            </w:r>
          </w:p>
        </w:tc>
      </w:tr>
      <w:tr w:rsidR="00BB0918" w:rsidRPr="00B500DF" w14:paraId="3143B052" w14:textId="77777777" w:rsidTr="00B500DF">
        <w:trPr>
          <w:cnfStyle w:val="100000000000" w:firstRow="1" w:lastRow="0" w:firstColumn="0" w:lastColumn="0" w:oddVBand="0" w:evenVBand="0" w:oddHBand="0" w:evenHBand="0" w:firstRowFirstColumn="0" w:firstRowLastColumn="0" w:lastRowFirstColumn="0" w:lastRowLastColumn="0"/>
        </w:trPr>
        <w:tc>
          <w:tcPr>
            <w:tcW w:w="4915" w:type="dxa"/>
          </w:tcPr>
          <w:p w14:paraId="14E52935" w14:textId="77777777" w:rsidR="00BB0918" w:rsidRPr="00B500DF" w:rsidRDefault="00BB0918" w:rsidP="00B500DF">
            <w:pPr>
              <w:pStyle w:val="TableTextEntries"/>
              <w:rPr>
                <w:b w:val="0"/>
              </w:rPr>
            </w:pPr>
            <w:r w:rsidRPr="00B500DF">
              <w:rPr>
                <w:b w:val="0"/>
              </w:rPr>
              <w:t>HEALTH: Weaknesses in the health system may impede the roll-out of the national health insurance from 2014 to 2019.</w:t>
            </w:r>
          </w:p>
        </w:tc>
        <w:tc>
          <w:tcPr>
            <w:tcW w:w="4442" w:type="dxa"/>
          </w:tcPr>
          <w:p w14:paraId="366A90D9" w14:textId="77777777" w:rsidR="00BB0918" w:rsidRPr="00B500DF" w:rsidRDefault="00BB0918" w:rsidP="00B500DF">
            <w:pPr>
              <w:pStyle w:val="TableTextEntries"/>
              <w:rPr>
                <w:rFonts w:eastAsia="Calibri"/>
                <w:b w:val="0"/>
              </w:rPr>
            </w:pPr>
            <w:r w:rsidRPr="00B500DF">
              <w:rPr>
                <w:rFonts w:eastAsia="Calibri"/>
                <w:b w:val="0"/>
              </w:rPr>
              <w:t>We will provide highly targeted technical assistance to support health system strengthening at the central level and also support reform pilots in selected provinces.</w:t>
            </w:r>
          </w:p>
        </w:tc>
      </w:tr>
      <w:tr w:rsidR="00BB0918" w:rsidRPr="00B500DF" w14:paraId="7D48E96B" w14:textId="77777777" w:rsidTr="00B500DF">
        <w:trPr>
          <w:cnfStyle w:val="100000000000" w:firstRow="1" w:lastRow="0" w:firstColumn="0" w:lastColumn="0" w:oddVBand="0" w:evenVBand="0" w:oddHBand="0" w:evenHBand="0" w:firstRowFirstColumn="0" w:firstRowLastColumn="0" w:lastRowFirstColumn="0" w:lastRowLastColumn="0"/>
        </w:trPr>
        <w:tc>
          <w:tcPr>
            <w:tcW w:w="4915" w:type="dxa"/>
          </w:tcPr>
          <w:p w14:paraId="0CD00B51" w14:textId="77777777" w:rsidR="00BB0918" w:rsidRPr="00B500DF" w:rsidRDefault="00BB0918" w:rsidP="00B500DF">
            <w:pPr>
              <w:pStyle w:val="TableTextEntries"/>
              <w:rPr>
                <w:b w:val="0"/>
              </w:rPr>
            </w:pPr>
            <w:r w:rsidRPr="00B500DF">
              <w:rPr>
                <w:b w:val="0"/>
              </w:rPr>
              <w:t>CORRUPTION: Corruption within Indonesia may undermine service delivery to the poor.</w:t>
            </w:r>
          </w:p>
        </w:tc>
        <w:tc>
          <w:tcPr>
            <w:tcW w:w="4442" w:type="dxa"/>
          </w:tcPr>
          <w:p w14:paraId="244EC784" w14:textId="1930E66C" w:rsidR="00BB0918" w:rsidRPr="00B500DF" w:rsidRDefault="00BB0918" w:rsidP="00B500DF">
            <w:pPr>
              <w:pStyle w:val="TableTextEntries"/>
              <w:rPr>
                <w:rFonts w:eastAsia="Calibri"/>
                <w:b w:val="0"/>
              </w:rPr>
            </w:pPr>
            <w:r w:rsidRPr="00B500DF">
              <w:rPr>
                <w:rFonts w:eastAsia="Calibri"/>
                <w:b w:val="0"/>
              </w:rPr>
              <w:t>We have refoc</w:t>
            </w:r>
            <w:r w:rsidR="00F358F2" w:rsidRPr="00B500DF">
              <w:rPr>
                <w:rFonts w:eastAsia="Calibri"/>
                <w:b w:val="0"/>
              </w:rPr>
              <w:t>used</w:t>
            </w:r>
            <w:r w:rsidR="002E0813" w:rsidRPr="00B500DF">
              <w:rPr>
                <w:rFonts w:eastAsia="Calibri"/>
                <w:b w:val="0"/>
              </w:rPr>
              <w:t xml:space="preserve"> the </w:t>
            </w:r>
            <w:r w:rsidRPr="00B500DF">
              <w:rPr>
                <w:rFonts w:eastAsia="Calibri"/>
                <w:b w:val="0"/>
              </w:rPr>
              <w:t>work</w:t>
            </w:r>
            <w:r w:rsidR="00EC41C6" w:rsidRPr="00B500DF">
              <w:rPr>
                <w:rFonts w:eastAsia="Calibri"/>
                <w:b w:val="0"/>
              </w:rPr>
              <w:t xml:space="preserve"> </w:t>
            </w:r>
            <w:r w:rsidRPr="00B500DF">
              <w:rPr>
                <w:rFonts w:eastAsia="Calibri"/>
                <w:b w:val="0"/>
              </w:rPr>
              <w:t xml:space="preserve">plan </w:t>
            </w:r>
            <w:r w:rsidR="002E0813" w:rsidRPr="00B500DF">
              <w:rPr>
                <w:rFonts w:eastAsia="Calibri"/>
                <w:b w:val="0"/>
              </w:rPr>
              <w:t>for the Australia</w:t>
            </w:r>
            <w:r w:rsidR="00F358F2" w:rsidRPr="00B500DF">
              <w:rPr>
                <w:rFonts w:eastAsia="Calibri"/>
                <w:b w:val="0"/>
              </w:rPr>
              <w:t>–</w:t>
            </w:r>
            <w:r w:rsidR="002E0813" w:rsidRPr="00B500DF">
              <w:rPr>
                <w:rFonts w:eastAsia="Calibri"/>
                <w:b w:val="0"/>
              </w:rPr>
              <w:t xml:space="preserve">Indonesia Partnership for Justice </w:t>
            </w:r>
            <w:r w:rsidRPr="00B500DF">
              <w:rPr>
                <w:rFonts w:eastAsia="Calibri"/>
                <w:b w:val="0"/>
              </w:rPr>
              <w:t xml:space="preserve">on realising the legal rights of the poor and marginalised. Support will continue for technical inputs on anti-corruption and civil society anti-corruption programs through multiple sectors. In </w:t>
            </w:r>
            <w:r w:rsidR="00EC41C6" w:rsidRPr="00B500DF">
              <w:rPr>
                <w:rFonts w:eastAsia="Calibri"/>
                <w:b w:val="0"/>
              </w:rPr>
              <w:t>the</w:t>
            </w:r>
            <w:r w:rsidR="00EC41C6" w:rsidRPr="00B500DF">
              <w:rPr>
                <w:b w:val="0"/>
              </w:rPr>
              <w:t xml:space="preserve"> </w:t>
            </w:r>
            <w:r w:rsidR="00EC41C6" w:rsidRPr="00B500DF">
              <w:rPr>
                <w:rFonts w:eastAsia="Calibri"/>
                <w:b w:val="0"/>
              </w:rPr>
              <w:t>Australia</w:t>
            </w:r>
            <w:r w:rsidR="00B525E5" w:rsidRPr="00B500DF">
              <w:rPr>
                <w:rFonts w:eastAsia="Calibri"/>
                <w:b w:val="0"/>
              </w:rPr>
              <w:t>–</w:t>
            </w:r>
            <w:r w:rsidR="00EC41C6" w:rsidRPr="00B500DF">
              <w:rPr>
                <w:rFonts w:eastAsia="Calibri"/>
                <w:b w:val="0"/>
              </w:rPr>
              <w:t>Indonesia Partnership for Decentralisation</w:t>
            </w:r>
            <w:r w:rsidRPr="00B500DF">
              <w:rPr>
                <w:rFonts w:eastAsia="Calibri"/>
                <w:b w:val="0"/>
              </w:rPr>
              <w:t xml:space="preserve">, we are also supporting increased transparency </w:t>
            </w:r>
            <w:r w:rsidR="00EC41C6" w:rsidRPr="00B500DF">
              <w:rPr>
                <w:rFonts w:eastAsia="Calibri"/>
                <w:b w:val="0"/>
              </w:rPr>
              <w:t xml:space="preserve">by </w:t>
            </w:r>
            <w:r w:rsidRPr="00B500DF">
              <w:rPr>
                <w:rFonts w:eastAsia="Calibri"/>
                <w:b w:val="0"/>
              </w:rPr>
              <w:t>establish</w:t>
            </w:r>
            <w:r w:rsidR="00EC41C6" w:rsidRPr="00B500DF">
              <w:rPr>
                <w:rFonts w:eastAsia="Calibri"/>
                <w:b w:val="0"/>
              </w:rPr>
              <w:t xml:space="preserve">ing </w:t>
            </w:r>
            <w:r w:rsidRPr="00B500DF">
              <w:rPr>
                <w:rFonts w:eastAsia="Calibri"/>
                <w:b w:val="0"/>
              </w:rPr>
              <w:t>freedom of information committees (national and local).</w:t>
            </w:r>
          </w:p>
        </w:tc>
      </w:tr>
      <w:tr w:rsidR="00BB0918" w:rsidRPr="00B500DF" w14:paraId="5C823A62" w14:textId="77777777" w:rsidTr="00B500DF">
        <w:trPr>
          <w:cnfStyle w:val="100000000000" w:firstRow="1" w:lastRow="0" w:firstColumn="0" w:lastColumn="0" w:oddVBand="0" w:evenVBand="0" w:oddHBand="0" w:evenHBand="0" w:firstRowFirstColumn="0" w:firstRowLastColumn="0" w:lastRowFirstColumn="0" w:lastRowLastColumn="0"/>
        </w:trPr>
        <w:tc>
          <w:tcPr>
            <w:tcW w:w="4915" w:type="dxa"/>
          </w:tcPr>
          <w:p w14:paraId="712F9F3C" w14:textId="5C813310" w:rsidR="00BB0918" w:rsidRPr="00B500DF" w:rsidRDefault="00BB0918" w:rsidP="00B500DF">
            <w:pPr>
              <w:pStyle w:val="TableTextEntries"/>
              <w:rPr>
                <w:b w:val="0"/>
              </w:rPr>
            </w:pPr>
            <w:r w:rsidRPr="00B500DF">
              <w:rPr>
                <w:b w:val="0"/>
              </w:rPr>
              <w:t xml:space="preserve">FRAUD: Number of fraud cases may increase, putting at risk support for the most affected programs, such as the </w:t>
            </w:r>
            <w:r w:rsidR="00EC41C6" w:rsidRPr="00B500DF">
              <w:rPr>
                <w:b w:val="0"/>
              </w:rPr>
              <w:t>education partnership</w:t>
            </w:r>
            <w:r w:rsidRPr="00B500DF">
              <w:rPr>
                <w:b w:val="0"/>
              </w:rPr>
              <w:t>.</w:t>
            </w:r>
          </w:p>
        </w:tc>
        <w:tc>
          <w:tcPr>
            <w:tcW w:w="4442" w:type="dxa"/>
          </w:tcPr>
          <w:p w14:paraId="4AFCBA41" w14:textId="6C2F167A" w:rsidR="00BB0918" w:rsidRPr="00B500DF" w:rsidRDefault="00BB0918" w:rsidP="0081623A">
            <w:pPr>
              <w:pStyle w:val="TableTextEntries"/>
              <w:rPr>
                <w:rFonts w:eastAsia="Calibri"/>
                <w:b w:val="0"/>
              </w:rPr>
            </w:pPr>
            <w:r w:rsidRPr="00B500DF">
              <w:rPr>
                <w:rFonts w:eastAsia="Calibri"/>
                <w:b w:val="0"/>
              </w:rPr>
              <w:t xml:space="preserve">A program of evaluations and audits of the </w:t>
            </w:r>
            <w:r w:rsidR="00EC41C6" w:rsidRPr="00B500DF">
              <w:rPr>
                <w:rFonts w:eastAsia="Calibri"/>
                <w:b w:val="0"/>
              </w:rPr>
              <w:t xml:space="preserve">education partnership </w:t>
            </w:r>
            <w:r w:rsidRPr="00B500DF">
              <w:rPr>
                <w:rFonts w:eastAsia="Calibri"/>
                <w:b w:val="0"/>
              </w:rPr>
              <w:t>will identify lessons learned to improve program implementation.</w:t>
            </w:r>
            <w:r w:rsidR="00B525E5" w:rsidRPr="00B500DF">
              <w:rPr>
                <w:rFonts w:eastAsia="Calibri"/>
                <w:b w:val="0"/>
              </w:rPr>
              <w:t xml:space="preserve"> </w:t>
            </w:r>
            <w:r w:rsidR="00EC41C6" w:rsidRPr="00B500DF">
              <w:rPr>
                <w:rFonts w:eastAsia="Calibri"/>
                <w:b w:val="0"/>
              </w:rPr>
              <w:t xml:space="preserve">We will continue </w:t>
            </w:r>
            <w:r w:rsidRPr="00B500DF">
              <w:rPr>
                <w:rFonts w:eastAsia="Calibri"/>
                <w:b w:val="0"/>
              </w:rPr>
              <w:t xml:space="preserve">engagement with implementing partners to promote implementation of </w:t>
            </w:r>
            <w:r w:rsidR="0081623A">
              <w:rPr>
                <w:rFonts w:eastAsia="Calibri"/>
                <w:b w:val="0"/>
              </w:rPr>
              <w:t>DFAT</w:t>
            </w:r>
            <w:r w:rsidRPr="00B500DF">
              <w:rPr>
                <w:rFonts w:eastAsia="Calibri"/>
                <w:b w:val="0"/>
              </w:rPr>
              <w:t>’s fraud control policy.</w:t>
            </w:r>
            <w:r w:rsidR="00B525E5" w:rsidRPr="00B500DF">
              <w:rPr>
                <w:rFonts w:eastAsia="Calibri"/>
                <w:b w:val="0"/>
              </w:rPr>
              <w:t xml:space="preserve"> </w:t>
            </w:r>
          </w:p>
        </w:tc>
      </w:tr>
      <w:tr w:rsidR="00BB0918" w:rsidRPr="00B500DF" w14:paraId="591578B1" w14:textId="77777777" w:rsidTr="00B500DF">
        <w:trPr>
          <w:cnfStyle w:val="100000000000" w:firstRow="1" w:lastRow="0" w:firstColumn="0" w:lastColumn="0" w:oddVBand="0" w:evenVBand="0" w:oddHBand="0" w:evenHBand="0" w:firstRowFirstColumn="0" w:firstRowLastColumn="0" w:lastRowFirstColumn="0" w:lastRowLastColumn="0"/>
        </w:trPr>
        <w:tc>
          <w:tcPr>
            <w:tcW w:w="4915" w:type="dxa"/>
          </w:tcPr>
          <w:p w14:paraId="0B06BB97" w14:textId="52905AB8" w:rsidR="00BB0918" w:rsidRPr="00B500DF" w:rsidRDefault="00BB0918" w:rsidP="00B500DF">
            <w:pPr>
              <w:pStyle w:val="TableTextEntries"/>
              <w:rPr>
                <w:b w:val="0"/>
              </w:rPr>
            </w:pPr>
            <w:r w:rsidRPr="00B500DF">
              <w:rPr>
                <w:b w:val="0"/>
              </w:rPr>
              <w:t xml:space="preserve">PAPUA: Progress in controlling HIV, </w:t>
            </w:r>
            <w:r w:rsidR="00EC41C6" w:rsidRPr="00B500DF">
              <w:rPr>
                <w:b w:val="0"/>
              </w:rPr>
              <w:t xml:space="preserve">tuberculosis </w:t>
            </w:r>
            <w:r w:rsidRPr="00B500DF">
              <w:rPr>
                <w:b w:val="0"/>
              </w:rPr>
              <w:t>and malaria</w:t>
            </w:r>
            <w:r w:rsidR="00EC41C6" w:rsidRPr="00B500DF">
              <w:rPr>
                <w:b w:val="0"/>
              </w:rPr>
              <w:t>,</w:t>
            </w:r>
            <w:r w:rsidRPr="00B500DF">
              <w:rPr>
                <w:b w:val="0"/>
              </w:rPr>
              <w:t xml:space="preserve"> and in reducing child and maternal deaths in Papua and West Papua</w:t>
            </w:r>
            <w:r w:rsidR="00EC41C6" w:rsidRPr="00B500DF">
              <w:rPr>
                <w:b w:val="0"/>
              </w:rPr>
              <w:t>,</w:t>
            </w:r>
            <w:r w:rsidRPr="00B500DF">
              <w:rPr>
                <w:b w:val="0"/>
              </w:rPr>
              <w:t xml:space="preserve"> may be impeded.</w:t>
            </w:r>
          </w:p>
        </w:tc>
        <w:tc>
          <w:tcPr>
            <w:tcW w:w="4442" w:type="dxa"/>
          </w:tcPr>
          <w:p w14:paraId="1C57383F" w14:textId="76019176" w:rsidR="00BB0918" w:rsidRPr="00B500DF" w:rsidRDefault="00BB0918" w:rsidP="00B500DF">
            <w:pPr>
              <w:pStyle w:val="TableTextEntries"/>
              <w:rPr>
                <w:rFonts w:eastAsia="Calibri"/>
                <w:b w:val="0"/>
              </w:rPr>
            </w:pPr>
            <w:r w:rsidRPr="00B500DF">
              <w:rPr>
                <w:rFonts w:eastAsia="Calibri"/>
                <w:b w:val="0"/>
              </w:rPr>
              <w:t>We will work in close partnership with the Indonesian Government and international partners</w:t>
            </w:r>
            <w:r w:rsidR="00EC41C6" w:rsidRPr="00B500DF">
              <w:rPr>
                <w:rFonts w:eastAsia="Calibri"/>
                <w:b w:val="0"/>
              </w:rPr>
              <w:t>,</w:t>
            </w:r>
            <w:r w:rsidRPr="00B500DF">
              <w:rPr>
                <w:rFonts w:eastAsia="Calibri"/>
                <w:b w:val="0"/>
              </w:rPr>
              <w:t xml:space="preserve"> including the Global Fund, USAID and U</w:t>
            </w:r>
            <w:r w:rsidR="00EC41C6" w:rsidRPr="00B500DF">
              <w:rPr>
                <w:rFonts w:eastAsia="Calibri"/>
                <w:b w:val="0"/>
              </w:rPr>
              <w:t xml:space="preserve">nited </w:t>
            </w:r>
            <w:r w:rsidRPr="00B500DF">
              <w:rPr>
                <w:rFonts w:eastAsia="Calibri"/>
                <w:b w:val="0"/>
              </w:rPr>
              <w:t>N</w:t>
            </w:r>
            <w:r w:rsidR="00EC41C6" w:rsidRPr="00B500DF">
              <w:rPr>
                <w:rFonts w:eastAsia="Calibri"/>
                <w:b w:val="0"/>
              </w:rPr>
              <w:t>ations</w:t>
            </w:r>
            <w:r w:rsidRPr="00B500DF">
              <w:rPr>
                <w:rFonts w:eastAsia="Calibri"/>
                <w:b w:val="0"/>
              </w:rPr>
              <w:t xml:space="preserve"> agencies</w:t>
            </w:r>
            <w:r w:rsidR="00EC41C6" w:rsidRPr="00B500DF">
              <w:rPr>
                <w:rFonts w:eastAsia="Calibri"/>
                <w:b w:val="0"/>
              </w:rPr>
              <w:t>,</w:t>
            </w:r>
            <w:r w:rsidRPr="00B500DF">
              <w:rPr>
                <w:rFonts w:eastAsia="Calibri"/>
                <w:b w:val="0"/>
              </w:rPr>
              <w:t xml:space="preserve"> </w:t>
            </w:r>
            <w:r w:rsidR="00EC41C6" w:rsidRPr="00B500DF">
              <w:rPr>
                <w:rFonts w:eastAsia="Calibri"/>
                <w:b w:val="0"/>
              </w:rPr>
              <w:t xml:space="preserve">and </w:t>
            </w:r>
            <w:r w:rsidRPr="00B500DF">
              <w:rPr>
                <w:rFonts w:eastAsia="Calibri"/>
                <w:b w:val="0"/>
              </w:rPr>
              <w:t>support local governmental and non-government organisations to deliver an effective response to the health challenges in Papua and West Papua.</w:t>
            </w:r>
          </w:p>
        </w:tc>
      </w:tr>
      <w:tr w:rsidR="00BB0918" w:rsidRPr="00B500DF" w14:paraId="17CCF77C" w14:textId="77777777" w:rsidTr="00B500DF">
        <w:trPr>
          <w:cnfStyle w:val="100000000000" w:firstRow="1" w:lastRow="0" w:firstColumn="0" w:lastColumn="0" w:oddVBand="0" w:evenVBand="0" w:oddHBand="0" w:evenHBand="0" w:firstRowFirstColumn="0" w:firstRowLastColumn="0" w:lastRowFirstColumn="0" w:lastRowLastColumn="0"/>
        </w:trPr>
        <w:tc>
          <w:tcPr>
            <w:tcW w:w="4915" w:type="dxa"/>
          </w:tcPr>
          <w:p w14:paraId="27C3F3CC" w14:textId="77777777" w:rsidR="00BB0918" w:rsidRPr="00B500DF" w:rsidRDefault="00BB0918" w:rsidP="00B500DF">
            <w:pPr>
              <w:pStyle w:val="TableTextEntries"/>
              <w:rPr>
                <w:b w:val="0"/>
              </w:rPr>
            </w:pPr>
            <w:r w:rsidRPr="00B500DF">
              <w:rPr>
                <w:b w:val="0"/>
              </w:rPr>
              <w:t>DELIVERY STRATEGIES: Absence of sector level delivery strategies may reduce our ability to optimise planning and reporting at the sector level.</w:t>
            </w:r>
          </w:p>
        </w:tc>
        <w:tc>
          <w:tcPr>
            <w:tcW w:w="4442" w:type="dxa"/>
          </w:tcPr>
          <w:p w14:paraId="236C9641" w14:textId="77777777" w:rsidR="00BB0918" w:rsidRPr="00B500DF" w:rsidRDefault="00BB0918" w:rsidP="00B500DF">
            <w:pPr>
              <w:pStyle w:val="TableTextEntries"/>
              <w:rPr>
                <w:rFonts w:eastAsia="Calibri"/>
                <w:b w:val="0"/>
              </w:rPr>
            </w:pPr>
            <w:r w:rsidRPr="00B500DF">
              <w:rPr>
                <w:rFonts w:eastAsia="Calibri"/>
                <w:b w:val="0"/>
              </w:rPr>
              <w:t>Nine sectoral delivery strategies are under development.</w:t>
            </w:r>
          </w:p>
        </w:tc>
      </w:tr>
      <w:tr w:rsidR="00BB0918" w:rsidRPr="00B500DF" w14:paraId="7D4FF5C1" w14:textId="77777777" w:rsidTr="00B500DF">
        <w:trPr>
          <w:cnfStyle w:val="100000000000" w:firstRow="1" w:lastRow="0" w:firstColumn="0" w:lastColumn="0" w:oddVBand="0" w:evenVBand="0" w:oddHBand="0" w:evenHBand="0" w:firstRowFirstColumn="0" w:firstRowLastColumn="0" w:lastRowFirstColumn="0" w:lastRowLastColumn="0"/>
        </w:trPr>
        <w:tc>
          <w:tcPr>
            <w:tcW w:w="4915" w:type="dxa"/>
          </w:tcPr>
          <w:p w14:paraId="2D3F088B" w14:textId="353648F7" w:rsidR="00BB0918" w:rsidRPr="00B500DF" w:rsidRDefault="00BB0918" w:rsidP="00B500DF">
            <w:pPr>
              <w:pStyle w:val="TableTextEntries"/>
              <w:rPr>
                <w:rFonts w:eastAsia="Calibri"/>
                <w:b w:val="0"/>
              </w:rPr>
            </w:pPr>
            <w:r w:rsidRPr="00B500DF">
              <w:rPr>
                <w:rFonts w:eastAsia="Calibri"/>
                <w:b w:val="0"/>
              </w:rPr>
              <w:t xml:space="preserve">NATURAL DISASTERS: A major disaster may overwhelm national response systems despite significant improvements in capacity since </w:t>
            </w:r>
            <w:r w:rsidR="00EC41C6" w:rsidRPr="00B500DF">
              <w:rPr>
                <w:rFonts w:eastAsia="Calibri"/>
                <w:b w:val="0"/>
              </w:rPr>
              <w:t xml:space="preserve">the National Coordinating Agency for Disaster </w:t>
            </w:r>
            <w:r w:rsidRPr="00B500DF">
              <w:rPr>
                <w:rFonts w:eastAsia="Calibri"/>
                <w:b w:val="0"/>
              </w:rPr>
              <w:t>was established in 2007.</w:t>
            </w:r>
          </w:p>
        </w:tc>
        <w:tc>
          <w:tcPr>
            <w:tcW w:w="4442" w:type="dxa"/>
          </w:tcPr>
          <w:p w14:paraId="663794AF" w14:textId="657E3EA7" w:rsidR="00BB0918" w:rsidRPr="00B500DF" w:rsidRDefault="00CE10E7" w:rsidP="00CE10E7">
            <w:pPr>
              <w:pStyle w:val="TableTextEntries"/>
              <w:rPr>
                <w:rFonts w:eastAsia="Calibri"/>
                <w:b w:val="0"/>
              </w:rPr>
            </w:pPr>
            <w:r>
              <w:rPr>
                <w:rFonts w:eastAsia="Calibri"/>
                <w:b w:val="0"/>
              </w:rPr>
              <w:t>DFAT</w:t>
            </w:r>
            <w:r w:rsidR="00BB0918" w:rsidRPr="00B500DF">
              <w:rPr>
                <w:rFonts w:eastAsia="Calibri"/>
                <w:b w:val="0"/>
              </w:rPr>
              <w:t xml:space="preserve"> and </w:t>
            </w:r>
            <w:r w:rsidR="00EC41C6" w:rsidRPr="00B500DF">
              <w:rPr>
                <w:rFonts w:eastAsia="Calibri"/>
                <w:b w:val="0"/>
              </w:rPr>
              <w:t xml:space="preserve">the National Coordinating Agency for Disaster </w:t>
            </w:r>
            <w:r w:rsidR="00BB0918" w:rsidRPr="00B500DF">
              <w:rPr>
                <w:rFonts w:eastAsia="Calibri"/>
                <w:b w:val="0"/>
              </w:rPr>
              <w:t>will jointly develop a design for the next phase of our disaster risk management partnership in-line with the concept note that was approved in late 2012.</w:t>
            </w:r>
          </w:p>
        </w:tc>
      </w:tr>
      <w:tr w:rsidR="00BB0918" w:rsidRPr="00B500DF" w14:paraId="652302BC" w14:textId="77777777" w:rsidTr="00B500DF">
        <w:trPr>
          <w:cnfStyle w:val="100000000000" w:firstRow="1" w:lastRow="0" w:firstColumn="0" w:lastColumn="0" w:oddVBand="0" w:evenVBand="0" w:oddHBand="0" w:evenHBand="0" w:firstRowFirstColumn="0" w:firstRowLastColumn="0" w:lastRowFirstColumn="0" w:lastRowLastColumn="0"/>
        </w:trPr>
        <w:tc>
          <w:tcPr>
            <w:tcW w:w="4915" w:type="dxa"/>
          </w:tcPr>
          <w:p w14:paraId="7F93FACD" w14:textId="373681EE" w:rsidR="00BB0918" w:rsidRPr="00B500DF" w:rsidRDefault="00BB0918" w:rsidP="00CE10E7">
            <w:pPr>
              <w:pStyle w:val="TableTextEntries"/>
              <w:rPr>
                <w:rFonts w:eastAsia="Calibri"/>
                <w:b w:val="0"/>
              </w:rPr>
            </w:pPr>
            <w:r w:rsidRPr="00B500DF">
              <w:rPr>
                <w:rFonts w:eastAsia="Calibri"/>
                <w:b w:val="0"/>
              </w:rPr>
              <w:t xml:space="preserve">INDONESIAN ELECTION: </w:t>
            </w:r>
            <w:r w:rsidR="00CE10E7">
              <w:rPr>
                <w:rFonts w:eastAsia="Calibri"/>
                <w:b w:val="0"/>
              </w:rPr>
              <w:t>Australian</w:t>
            </w:r>
            <w:r w:rsidRPr="00B500DF">
              <w:rPr>
                <w:rFonts w:eastAsia="Calibri"/>
                <w:b w:val="0"/>
              </w:rPr>
              <w:t xml:space="preserve"> support through the Australia</w:t>
            </w:r>
            <w:r w:rsidR="00EC41C6" w:rsidRPr="00B500DF">
              <w:rPr>
                <w:rFonts w:eastAsia="Calibri"/>
                <w:b w:val="0"/>
              </w:rPr>
              <w:t>–</w:t>
            </w:r>
            <w:r w:rsidRPr="00B500DF">
              <w:rPr>
                <w:rFonts w:eastAsia="Calibri"/>
                <w:b w:val="0"/>
              </w:rPr>
              <w:t>Indonesia Electoral Support Program may be perceived as interfering in Indonesia’s domestic affairs.</w:t>
            </w:r>
          </w:p>
        </w:tc>
        <w:tc>
          <w:tcPr>
            <w:tcW w:w="4442" w:type="dxa"/>
          </w:tcPr>
          <w:p w14:paraId="6B0976E4" w14:textId="3BFFA9C9" w:rsidR="00BB0918" w:rsidRPr="00B500DF" w:rsidRDefault="00BB0918" w:rsidP="00B500DF">
            <w:pPr>
              <w:pStyle w:val="TableTextEntries"/>
              <w:rPr>
                <w:rFonts w:eastAsia="Calibri"/>
                <w:b w:val="0"/>
              </w:rPr>
            </w:pPr>
            <w:r w:rsidRPr="00B500DF">
              <w:rPr>
                <w:rFonts w:eastAsia="Calibri"/>
                <w:b w:val="0"/>
              </w:rPr>
              <w:t xml:space="preserve">We will require all international </w:t>
            </w:r>
            <w:r w:rsidR="00EC41C6" w:rsidRPr="00B500DF">
              <w:rPr>
                <w:rFonts w:eastAsia="Calibri"/>
                <w:b w:val="0"/>
              </w:rPr>
              <w:t xml:space="preserve">non-government </w:t>
            </w:r>
            <w:r w:rsidRPr="00B500DF">
              <w:rPr>
                <w:rFonts w:eastAsia="Calibri"/>
                <w:b w:val="0"/>
              </w:rPr>
              <w:t xml:space="preserve">partners to deliver support through independent local organisations </w:t>
            </w:r>
            <w:r w:rsidR="00F358F2" w:rsidRPr="00B500DF">
              <w:rPr>
                <w:rFonts w:eastAsia="Calibri"/>
                <w:b w:val="0"/>
              </w:rPr>
              <w:t>that</w:t>
            </w:r>
            <w:r w:rsidRPr="00B500DF">
              <w:rPr>
                <w:rFonts w:eastAsia="Calibri"/>
                <w:b w:val="0"/>
              </w:rPr>
              <w:t xml:space="preserve"> are registered under relevant Indonesian laws, and ensure that international implementing partners do not access raw population data.</w:t>
            </w:r>
          </w:p>
        </w:tc>
      </w:tr>
      <w:tr w:rsidR="00BB0918" w:rsidRPr="00B500DF" w14:paraId="59BEC19D" w14:textId="77777777" w:rsidTr="00B500DF">
        <w:trPr>
          <w:cnfStyle w:val="100000000000" w:firstRow="1" w:lastRow="0" w:firstColumn="0" w:lastColumn="0" w:oddVBand="0" w:evenVBand="0" w:oddHBand="0" w:evenHBand="0" w:firstRowFirstColumn="0" w:firstRowLastColumn="0" w:lastRowFirstColumn="0" w:lastRowLastColumn="0"/>
        </w:trPr>
        <w:tc>
          <w:tcPr>
            <w:tcW w:w="4915" w:type="dxa"/>
          </w:tcPr>
          <w:p w14:paraId="0B2CD485" w14:textId="77777777" w:rsidR="00BB0918" w:rsidRPr="00B500DF" w:rsidRDefault="00BB0918" w:rsidP="00B500DF">
            <w:pPr>
              <w:pStyle w:val="TableTextEntries"/>
              <w:rPr>
                <w:rFonts w:eastAsia="Calibri"/>
                <w:b w:val="0"/>
              </w:rPr>
            </w:pPr>
            <w:r w:rsidRPr="00B500DF">
              <w:rPr>
                <w:b w:val="0"/>
              </w:rPr>
              <w:t>SCALE UP: Insufficient program designs to ensure the effective scale up of the program.</w:t>
            </w:r>
          </w:p>
        </w:tc>
        <w:tc>
          <w:tcPr>
            <w:tcW w:w="4442" w:type="dxa"/>
          </w:tcPr>
          <w:p w14:paraId="51E1AD36" w14:textId="41236B91" w:rsidR="00BB0918" w:rsidRPr="00B500DF" w:rsidRDefault="00BB0918" w:rsidP="00CE10E7">
            <w:pPr>
              <w:pStyle w:val="TableTextEntries"/>
              <w:rPr>
                <w:rFonts w:eastAsia="Calibri"/>
                <w:b w:val="0"/>
              </w:rPr>
            </w:pPr>
            <w:r w:rsidRPr="00B500DF">
              <w:rPr>
                <w:rFonts w:eastAsia="Calibri"/>
                <w:b w:val="0"/>
              </w:rPr>
              <w:t xml:space="preserve">We will use </w:t>
            </w:r>
            <w:r w:rsidR="00CE10E7">
              <w:rPr>
                <w:rFonts w:eastAsia="Calibri"/>
                <w:b w:val="0"/>
              </w:rPr>
              <w:t xml:space="preserve">the department’s Indonesia </w:t>
            </w:r>
            <w:r w:rsidR="002E0813" w:rsidRPr="00B500DF">
              <w:rPr>
                <w:rFonts w:eastAsia="Calibri"/>
                <w:b w:val="0"/>
              </w:rPr>
              <w:t>P</w:t>
            </w:r>
            <w:r w:rsidR="00EC41C6" w:rsidRPr="00B500DF">
              <w:rPr>
                <w:rFonts w:eastAsia="Calibri"/>
                <w:b w:val="0"/>
              </w:rPr>
              <w:t xml:space="preserve">rogram </w:t>
            </w:r>
            <w:r w:rsidR="002E0813" w:rsidRPr="00B500DF">
              <w:rPr>
                <w:rFonts w:eastAsia="Calibri"/>
                <w:b w:val="0"/>
              </w:rPr>
              <w:t>M</w:t>
            </w:r>
            <w:r w:rsidR="00EC41C6" w:rsidRPr="00B500DF">
              <w:rPr>
                <w:rFonts w:eastAsia="Calibri"/>
                <w:b w:val="0"/>
              </w:rPr>
              <w:t xml:space="preserve">anagement </w:t>
            </w:r>
            <w:r w:rsidR="002E0813" w:rsidRPr="00B500DF">
              <w:rPr>
                <w:rFonts w:eastAsia="Calibri"/>
                <w:b w:val="0"/>
              </w:rPr>
              <w:t>P</w:t>
            </w:r>
            <w:r w:rsidR="00EC41C6" w:rsidRPr="00B500DF">
              <w:rPr>
                <w:rFonts w:eastAsia="Calibri"/>
                <w:b w:val="0"/>
              </w:rPr>
              <w:t>lan</w:t>
            </w:r>
            <w:r w:rsidR="00EC41C6" w:rsidRPr="00B500DF" w:rsidDel="00EC41C6">
              <w:rPr>
                <w:rFonts w:eastAsia="Calibri"/>
                <w:b w:val="0"/>
              </w:rPr>
              <w:t xml:space="preserve"> </w:t>
            </w:r>
            <w:r w:rsidRPr="00B500DF">
              <w:rPr>
                <w:rFonts w:eastAsia="Calibri"/>
                <w:b w:val="0"/>
              </w:rPr>
              <w:t xml:space="preserve">to manage </w:t>
            </w:r>
            <w:r w:rsidR="00072DFE" w:rsidRPr="00B500DF">
              <w:rPr>
                <w:rFonts w:eastAsia="Calibri"/>
                <w:b w:val="0"/>
              </w:rPr>
              <w:t xml:space="preserve">design </w:t>
            </w:r>
            <w:r w:rsidRPr="00B500DF">
              <w:rPr>
                <w:rFonts w:eastAsia="Calibri"/>
                <w:b w:val="0"/>
              </w:rPr>
              <w:t>timing</w:t>
            </w:r>
            <w:r w:rsidR="00072DFE" w:rsidRPr="00B500DF">
              <w:rPr>
                <w:rFonts w:eastAsia="Calibri"/>
                <w:b w:val="0"/>
              </w:rPr>
              <w:t>s</w:t>
            </w:r>
            <w:r w:rsidRPr="00B500DF">
              <w:rPr>
                <w:rFonts w:eastAsia="Calibri"/>
                <w:b w:val="0"/>
              </w:rPr>
              <w:t xml:space="preserve">, build in flexibility </w:t>
            </w:r>
            <w:r w:rsidR="00072DFE" w:rsidRPr="00B500DF">
              <w:rPr>
                <w:rFonts w:eastAsia="Calibri"/>
                <w:b w:val="0"/>
              </w:rPr>
              <w:t xml:space="preserve">and </w:t>
            </w:r>
            <w:r w:rsidRPr="00B500DF">
              <w:rPr>
                <w:rFonts w:eastAsia="Calibri"/>
                <w:b w:val="0"/>
              </w:rPr>
              <w:t>develop scenarios per sector for out-years.</w:t>
            </w:r>
          </w:p>
        </w:tc>
      </w:tr>
    </w:tbl>
    <w:p w14:paraId="3C15AD46" w14:textId="77777777" w:rsidR="00805D86" w:rsidRDefault="00805D86" w:rsidP="00B500DF">
      <w:pPr>
        <w:pStyle w:val="Heading1"/>
      </w:pPr>
      <w:bookmarkStart w:id="20" w:name="_Toc359585087"/>
      <w:bookmarkStart w:id="21" w:name="_Toc363804111"/>
    </w:p>
    <w:p w14:paraId="291FE56A" w14:textId="77777777" w:rsidR="00805D86" w:rsidRDefault="00805D86">
      <w:pPr>
        <w:spacing w:after="200" w:line="276" w:lineRule="auto"/>
        <w:rPr>
          <w:rFonts w:ascii="Franklin Gothic Demi" w:eastAsia="Times New Roman" w:hAnsi="Franklin Gothic Demi" w:cs="Arial"/>
          <w:color w:val="AD495D"/>
          <w:kern w:val="28"/>
          <w:sz w:val="28"/>
          <w:szCs w:val="28"/>
        </w:rPr>
      </w:pPr>
      <w:r>
        <w:br w:type="page"/>
      </w:r>
    </w:p>
    <w:p w14:paraId="614D7B2F" w14:textId="26A528ED" w:rsidR="00780026" w:rsidRPr="00FE4491" w:rsidRDefault="00780026" w:rsidP="00B500DF">
      <w:pPr>
        <w:pStyle w:val="Heading1"/>
      </w:pPr>
      <w:r w:rsidRPr="00947003">
        <w:lastRenderedPageBreak/>
        <w:t>Annex A:</w:t>
      </w:r>
      <w:r w:rsidR="00B525E5">
        <w:t xml:space="preserve"> </w:t>
      </w:r>
      <w:r w:rsidRPr="00947003">
        <w:t xml:space="preserve">Sector </w:t>
      </w:r>
      <w:bookmarkEnd w:id="20"/>
      <w:r w:rsidR="00072DFE" w:rsidRPr="00947003">
        <w:t>sheets</w:t>
      </w:r>
      <w:bookmarkEnd w:id="21"/>
      <w:r w:rsidR="00B525E5">
        <w:t xml:space="preserve"> </w:t>
      </w:r>
    </w:p>
    <w:p w14:paraId="747BAE49" w14:textId="77777777" w:rsidR="00780026" w:rsidRPr="00780026" w:rsidRDefault="00780026" w:rsidP="00B500DF">
      <w:pPr>
        <w:pStyle w:val="Heading1"/>
      </w:pPr>
      <w:bookmarkStart w:id="22" w:name="_Toc359585088"/>
      <w:bookmarkStart w:id="23" w:name="_Toc363804112"/>
      <w:r w:rsidRPr="00780026">
        <w:t>Education</w:t>
      </w:r>
      <w:bookmarkEnd w:id="22"/>
      <w:bookmarkEnd w:id="23"/>
    </w:p>
    <w:p w14:paraId="47DA1C28" w14:textId="77777777" w:rsidR="00780026" w:rsidRPr="00780026" w:rsidRDefault="00780026" w:rsidP="00B500DF">
      <w:pPr>
        <w:pStyle w:val="Caption"/>
      </w:pPr>
      <w:r w:rsidRPr="00780026">
        <w:t>Rating of the program's progress towards the objectives</w:t>
      </w:r>
    </w:p>
    <w:tbl>
      <w:tblPr>
        <w:tblStyle w:val="APPR2"/>
        <w:tblW w:w="5000" w:type="pct"/>
        <w:tblLayout w:type="fixed"/>
        <w:tblLook w:val="0000" w:firstRow="0" w:lastRow="0" w:firstColumn="0" w:lastColumn="0" w:noHBand="0" w:noVBand="0"/>
      </w:tblPr>
      <w:tblGrid>
        <w:gridCol w:w="6453"/>
        <w:gridCol w:w="1050"/>
        <w:gridCol w:w="1103"/>
      </w:tblGrid>
      <w:tr w:rsidR="00B500DF" w:rsidRPr="00780026" w14:paraId="0E6E7F35" w14:textId="77777777" w:rsidTr="00B500DF">
        <w:trPr>
          <w:cantSplit/>
          <w:tblHeader w:val="0"/>
        </w:trPr>
        <w:tc>
          <w:tcPr>
            <w:tcW w:w="6048" w:type="dxa"/>
          </w:tcPr>
          <w:p w14:paraId="15770B44" w14:textId="77777777" w:rsidR="00B500DF" w:rsidRPr="00780026" w:rsidRDefault="00B500DF" w:rsidP="00B500DF">
            <w:pPr>
              <w:pStyle w:val="TableTextColumnHeading"/>
            </w:pPr>
            <w:r w:rsidRPr="00780026">
              <w:rPr>
                <w:noProof/>
                <w:lang w:eastAsia="en-AU"/>
              </w:rPr>
              <w:drawing>
                <wp:anchor distT="0" distB="0" distL="114300" distR="114300" simplePos="0" relativeHeight="251698176" behindDoc="0" locked="0" layoutInCell="1" allowOverlap="1" wp14:anchorId="279796F9" wp14:editId="7D879496">
                  <wp:simplePos x="0" y="0"/>
                  <wp:positionH relativeFrom="column">
                    <wp:posOffset>0</wp:posOffset>
                  </wp:positionH>
                  <wp:positionV relativeFrom="paragraph">
                    <wp:posOffset>0</wp:posOffset>
                  </wp:positionV>
                  <wp:extent cx="1857375" cy="228600"/>
                  <wp:effectExtent l="0" t="0" r="9525" b="0"/>
                  <wp:wrapNone/>
                  <wp:docPr id="9" name="Picture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026">
              <w:t>Objective</w:t>
            </w:r>
          </w:p>
        </w:tc>
        <w:tc>
          <w:tcPr>
            <w:tcW w:w="964" w:type="dxa"/>
            <w:vAlign w:val="center"/>
          </w:tcPr>
          <w:p w14:paraId="12F7F64A" w14:textId="5D1AD6CC" w:rsidR="00B500DF" w:rsidRPr="00780026" w:rsidRDefault="00B500DF" w:rsidP="00B500DF">
            <w:pPr>
              <w:pStyle w:val="TableTextColumnHeading"/>
            </w:pPr>
            <w:r w:rsidRPr="00780026">
              <w:t xml:space="preserve">Current </w:t>
            </w:r>
            <w:r>
              <w:t>r</w:t>
            </w:r>
            <w:r w:rsidRPr="00780026">
              <w:t>ating</w:t>
            </w:r>
          </w:p>
        </w:tc>
        <w:tc>
          <w:tcPr>
            <w:tcW w:w="1001" w:type="dxa"/>
            <w:vAlign w:val="center"/>
          </w:tcPr>
          <w:p w14:paraId="7AA45C1B" w14:textId="69AF2706" w:rsidR="00B500DF" w:rsidRPr="00780026" w:rsidRDefault="00B500DF" w:rsidP="00B500DF">
            <w:pPr>
              <w:pStyle w:val="TableTextColumnHeading"/>
            </w:pPr>
            <w:r w:rsidRPr="00780026">
              <w:t xml:space="preserve">Previous </w:t>
            </w:r>
            <w:r>
              <w:t>r</w:t>
            </w:r>
            <w:r w:rsidRPr="00780026">
              <w:t>ating</w:t>
            </w:r>
          </w:p>
        </w:tc>
      </w:tr>
      <w:tr w:rsidR="00B500DF" w:rsidRPr="00780026" w14:paraId="5BC7322B" w14:textId="77777777" w:rsidTr="00B500DF">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4012D06C" w14:textId="60E7C1EE" w:rsidR="00B500DF" w:rsidRPr="00780026" w:rsidRDefault="00B500DF" w:rsidP="00B500DF">
            <w:pPr>
              <w:pStyle w:val="TableTextEntries"/>
            </w:pPr>
            <w:r w:rsidRPr="00780026">
              <w:t xml:space="preserve">Enrolment in </w:t>
            </w:r>
            <w:r>
              <w:t>j</w:t>
            </w:r>
            <w:r w:rsidRPr="00780026">
              <w:t xml:space="preserve">unior </w:t>
            </w:r>
            <w:r>
              <w:t>s</w:t>
            </w:r>
            <w:r w:rsidRPr="00780026">
              <w:t>econdary education in targeted districts increases (</w:t>
            </w:r>
            <w:r w:rsidRPr="00780026">
              <w:rPr>
                <w:i/>
              </w:rPr>
              <w:t>revised wording</w:t>
            </w:r>
            <w:r w:rsidRPr="00780026">
              <w:t>)</w:t>
            </w:r>
          </w:p>
        </w:tc>
        <w:tc>
          <w:tcPr>
            <w:tcW w:w="964" w:type="dxa"/>
            <w:shd w:val="clear" w:color="auto" w:fill="92D050"/>
            <w:noWrap/>
            <w:vAlign w:val="center"/>
          </w:tcPr>
          <w:p w14:paraId="2CD2939B" w14:textId="77777777" w:rsidR="00B500DF" w:rsidRPr="00B500DF" w:rsidRDefault="00B500DF" w:rsidP="00B500DF">
            <w:pPr>
              <w:pStyle w:val="TableTextEntries"/>
            </w:pPr>
            <w:r w:rsidRPr="00B500DF">
              <w:t>Green</w:t>
            </w:r>
          </w:p>
        </w:tc>
        <w:tc>
          <w:tcPr>
            <w:tcW w:w="1001" w:type="dxa"/>
            <w:shd w:val="clear" w:color="auto" w:fill="F79646" w:themeFill="accent6"/>
            <w:noWrap/>
            <w:vAlign w:val="center"/>
          </w:tcPr>
          <w:p w14:paraId="244A91C7" w14:textId="77777777" w:rsidR="00B500DF" w:rsidRPr="00B500DF" w:rsidRDefault="00B500DF" w:rsidP="00B500DF">
            <w:pPr>
              <w:pStyle w:val="TableTextEntries"/>
            </w:pPr>
            <w:r w:rsidRPr="00B500DF">
              <w:t>Amber</w:t>
            </w:r>
          </w:p>
        </w:tc>
      </w:tr>
      <w:tr w:rsidR="00B500DF" w:rsidRPr="00780026" w14:paraId="61C28A21" w14:textId="77777777" w:rsidTr="00B500DF">
        <w:trPr>
          <w:cantSplit/>
          <w:tblHeader w:val="0"/>
        </w:trPr>
        <w:tc>
          <w:tcPr>
            <w:tcW w:w="6048" w:type="dxa"/>
          </w:tcPr>
          <w:p w14:paraId="03DC8247" w14:textId="77777777" w:rsidR="00B500DF" w:rsidRPr="00780026" w:rsidRDefault="00B500DF" w:rsidP="00B500DF">
            <w:pPr>
              <w:pStyle w:val="TableTextEntries"/>
            </w:pPr>
            <w:r w:rsidRPr="00780026">
              <w:t>Management of schools and madrasah improves (</w:t>
            </w:r>
            <w:r w:rsidRPr="00780026">
              <w:rPr>
                <w:i/>
              </w:rPr>
              <w:t>revised wording</w:t>
            </w:r>
            <w:r w:rsidRPr="00780026">
              <w:t>)</w:t>
            </w:r>
          </w:p>
        </w:tc>
        <w:tc>
          <w:tcPr>
            <w:tcW w:w="964" w:type="dxa"/>
            <w:shd w:val="clear" w:color="auto" w:fill="F79646" w:themeFill="accent6"/>
            <w:noWrap/>
            <w:vAlign w:val="center"/>
          </w:tcPr>
          <w:p w14:paraId="3D7E8B6D" w14:textId="77777777" w:rsidR="00B500DF" w:rsidRPr="00B500DF" w:rsidRDefault="00B500DF" w:rsidP="00B500DF">
            <w:pPr>
              <w:pStyle w:val="TableTextEntries"/>
            </w:pPr>
            <w:r w:rsidRPr="00B500DF">
              <w:t>Amber</w:t>
            </w:r>
          </w:p>
        </w:tc>
        <w:tc>
          <w:tcPr>
            <w:tcW w:w="1001" w:type="dxa"/>
            <w:shd w:val="clear" w:color="auto" w:fill="F79646" w:themeFill="accent6"/>
            <w:noWrap/>
            <w:vAlign w:val="center"/>
          </w:tcPr>
          <w:p w14:paraId="317B4994" w14:textId="77777777" w:rsidR="00B500DF" w:rsidRPr="00B500DF" w:rsidRDefault="00B500DF" w:rsidP="00B500DF">
            <w:pPr>
              <w:pStyle w:val="TableTextEntries"/>
            </w:pPr>
            <w:r w:rsidRPr="00B500DF">
              <w:t>Amber</w:t>
            </w:r>
          </w:p>
        </w:tc>
      </w:tr>
      <w:tr w:rsidR="00B500DF" w:rsidRPr="00780026" w14:paraId="54E83488" w14:textId="77777777" w:rsidTr="00B500DF">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7F3A0C3F" w14:textId="5F9B436F" w:rsidR="00B500DF" w:rsidRPr="00780026" w:rsidRDefault="00B500DF" w:rsidP="00B500DF">
            <w:pPr>
              <w:pStyle w:val="TableTextEntries"/>
            </w:pPr>
            <w:r w:rsidRPr="00780026">
              <w:t xml:space="preserve">Quality of madrasah improves in line with national </w:t>
            </w:r>
            <w:r>
              <w:t>e</w:t>
            </w:r>
            <w:r w:rsidRPr="00780026">
              <w:t xml:space="preserve">ducation </w:t>
            </w:r>
            <w:r>
              <w:t>s</w:t>
            </w:r>
            <w:r w:rsidRPr="00780026">
              <w:t>tandards (</w:t>
            </w:r>
            <w:r w:rsidRPr="00780026">
              <w:rPr>
                <w:i/>
              </w:rPr>
              <w:t>revised wording</w:t>
            </w:r>
            <w:r w:rsidRPr="00780026">
              <w:t>)</w:t>
            </w:r>
          </w:p>
        </w:tc>
        <w:tc>
          <w:tcPr>
            <w:tcW w:w="964" w:type="dxa"/>
            <w:shd w:val="clear" w:color="auto" w:fill="92D050"/>
            <w:noWrap/>
            <w:vAlign w:val="center"/>
          </w:tcPr>
          <w:p w14:paraId="70F4BB2E" w14:textId="77777777" w:rsidR="00B500DF" w:rsidRPr="00B500DF" w:rsidRDefault="00B500DF" w:rsidP="00B500DF">
            <w:pPr>
              <w:pStyle w:val="TableTextEntries"/>
            </w:pPr>
            <w:r w:rsidRPr="00B500DF">
              <w:t>Green</w:t>
            </w:r>
          </w:p>
        </w:tc>
        <w:tc>
          <w:tcPr>
            <w:tcW w:w="1001" w:type="dxa"/>
            <w:shd w:val="clear" w:color="auto" w:fill="F79646" w:themeFill="accent6"/>
            <w:noWrap/>
            <w:vAlign w:val="center"/>
          </w:tcPr>
          <w:p w14:paraId="44DFB324" w14:textId="77777777" w:rsidR="00B500DF" w:rsidRPr="00B500DF" w:rsidRDefault="00B500DF" w:rsidP="00B500DF">
            <w:pPr>
              <w:pStyle w:val="TableTextEntries"/>
            </w:pPr>
            <w:r w:rsidRPr="00B500DF">
              <w:t>Amber</w:t>
            </w:r>
          </w:p>
        </w:tc>
      </w:tr>
      <w:tr w:rsidR="00B500DF" w:rsidRPr="00780026" w14:paraId="0E110B2A" w14:textId="77777777" w:rsidTr="00B500DF">
        <w:trPr>
          <w:cantSplit/>
          <w:tblHeader w:val="0"/>
        </w:trPr>
        <w:tc>
          <w:tcPr>
            <w:tcW w:w="6048" w:type="dxa"/>
          </w:tcPr>
          <w:p w14:paraId="6B34380B" w14:textId="77777777" w:rsidR="00B500DF" w:rsidRPr="00780026" w:rsidRDefault="00B500DF" w:rsidP="00B500DF">
            <w:pPr>
              <w:pStyle w:val="TableTextEntries"/>
            </w:pPr>
            <w:r w:rsidRPr="00780026">
              <w:t>Policy-makers utilise research findings to inform education sector policy, planning and budgeting (</w:t>
            </w:r>
            <w:r w:rsidRPr="00780026">
              <w:rPr>
                <w:i/>
              </w:rPr>
              <w:t>revised wording</w:t>
            </w:r>
            <w:r w:rsidRPr="00780026">
              <w:t>)</w:t>
            </w:r>
          </w:p>
        </w:tc>
        <w:tc>
          <w:tcPr>
            <w:tcW w:w="964" w:type="dxa"/>
            <w:shd w:val="clear" w:color="auto" w:fill="92D050"/>
            <w:noWrap/>
            <w:vAlign w:val="center"/>
          </w:tcPr>
          <w:p w14:paraId="4D56FAC0" w14:textId="77777777" w:rsidR="00B500DF" w:rsidRPr="00B500DF" w:rsidRDefault="00B500DF" w:rsidP="00B500DF">
            <w:pPr>
              <w:pStyle w:val="TableTextEntries"/>
            </w:pPr>
            <w:r w:rsidRPr="00B500DF">
              <w:t>Green</w:t>
            </w:r>
          </w:p>
        </w:tc>
        <w:tc>
          <w:tcPr>
            <w:tcW w:w="1001" w:type="dxa"/>
            <w:shd w:val="clear" w:color="auto" w:fill="F79646" w:themeFill="accent6"/>
            <w:noWrap/>
            <w:vAlign w:val="center"/>
          </w:tcPr>
          <w:p w14:paraId="1F36A2D2" w14:textId="77777777" w:rsidR="00B500DF" w:rsidRPr="00B500DF" w:rsidRDefault="00B500DF" w:rsidP="00B500DF">
            <w:pPr>
              <w:pStyle w:val="TableTextEntries"/>
            </w:pPr>
            <w:r w:rsidRPr="00B500DF">
              <w:t>Amber</w:t>
            </w:r>
          </w:p>
        </w:tc>
      </w:tr>
    </w:tbl>
    <w:p w14:paraId="3EE5F890" w14:textId="77777777" w:rsidR="00780026" w:rsidRPr="00780026" w:rsidRDefault="00780026" w:rsidP="00B500DF">
      <w:pPr>
        <w:pStyle w:val="Note"/>
      </w:pPr>
      <w:r w:rsidRPr="00780026">
        <w:t xml:space="preserve">Note: </w:t>
      </w:r>
    </w:p>
    <w:p w14:paraId="177D8FE5" w14:textId="77777777" w:rsidR="00780026" w:rsidRPr="00780026" w:rsidRDefault="00780026" w:rsidP="00B500DF">
      <w:pPr>
        <w:pStyle w:val="Note"/>
      </w:pPr>
      <w:r w:rsidRPr="00780026">
        <w:rPr>
          <w:color w:val="92D050"/>
        </w:rPr>
        <w:sym w:font="Webdings" w:char="F067"/>
      </w:r>
      <w:r w:rsidRPr="00780026">
        <w:t> </w:t>
      </w:r>
      <w:r w:rsidRPr="00780026">
        <w:t xml:space="preserve"> </w:t>
      </w:r>
      <w:proofErr w:type="gramStart"/>
      <w:r w:rsidRPr="00780026">
        <w:t>Green.</w:t>
      </w:r>
      <w:proofErr w:type="gramEnd"/>
      <w:r w:rsidRPr="00780026">
        <w:t xml:space="preserve"> Progress is as expected for this point in time and it is likely that the objective will be achieved. Standard program management practices are sufficient.</w:t>
      </w:r>
    </w:p>
    <w:p w14:paraId="47060707" w14:textId="77777777" w:rsidR="00780026" w:rsidRPr="00780026" w:rsidRDefault="00780026" w:rsidP="00B500DF">
      <w:pPr>
        <w:pStyle w:val="Note"/>
      </w:pPr>
      <w:r w:rsidRPr="00780026">
        <w:rPr>
          <w:color w:val="F79646" w:themeColor="accent6"/>
        </w:rPr>
        <w:sym w:font="Webdings" w:char="F067"/>
      </w:r>
      <w:r w:rsidRPr="00780026">
        <w:t> </w:t>
      </w:r>
      <w:r w:rsidRPr="00780026">
        <w:t xml:space="preserve"> Amber. Progress is somewhat less than expected for this point in time and restorative action will be necessary if the objective is to be achieved. Close performance monitoring is recommended.</w:t>
      </w:r>
    </w:p>
    <w:p w14:paraId="6F550CB8" w14:textId="6C5D332B" w:rsidR="004923C5" w:rsidRDefault="00780026" w:rsidP="00B500DF">
      <w:pPr>
        <w:pStyle w:val="Note"/>
      </w:pPr>
      <w:r w:rsidRPr="00780026">
        <w:rPr>
          <w:color w:val="FF0000"/>
        </w:rPr>
        <w:sym w:font="Webdings" w:char="F067"/>
      </w:r>
      <w:r w:rsidRPr="00780026">
        <w:t> </w:t>
      </w:r>
      <w:r w:rsidRPr="00780026">
        <w:t xml:space="preserve"> </w:t>
      </w:r>
      <w:proofErr w:type="gramStart"/>
      <w:r w:rsidRPr="00780026">
        <w:t>Red.</w:t>
      </w:r>
      <w:proofErr w:type="gramEnd"/>
      <w:r w:rsidRPr="00780026">
        <w:t xml:space="preserve"> Progress is significantly less than expected for this point in time and the objective is not likely to be met given available resources and priorities. Recasting the objective may be required. </w:t>
      </w:r>
      <w:bookmarkStart w:id="24" w:name="_Toc332293880"/>
      <w:bookmarkStart w:id="25" w:name="_Toc332295192"/>
    </w:p>
    <w:p w14:paraId="4E80E74A" w14:textId="77777777" w:rsidR="00B500DF" w:rsidRPr="00B500DF" w:rsidRDefault="00B500DF" w:rsidP="00B500DF">
      <w:pPr>
        <w:pStyle w:val="BodyText"/>
      </w:pPr>
    </w:p>
    <w:p w14:paraId="2CD5E382" w14:textId="1E8FFB1E" w:rsidR="004923C5" w:rsidRPr="004923C5" w:rsidRDefault="004923C5" w:rsidP="00FA5501">
      <w:pPr>
        <w:pStyle w:val="BodyText"/>
        <w:rPr>
          <w:rFonts w:cs="Calibri"/>
          <w:szCs w:val="17"/>
        </w:rPr>
      </w:pPr>
      <w:r w:rsidRPr="004923C5">
        <w:t xml:space="preserve">Indonesia </w:t>
      </w:r>
      <w:bookmarkEnd w:id="24"/>
      <w:bookmarkEnd w:id="25"/>
      <w:r w:rsidRPr="004923C5">
        <w:t xml:space="preserve">has </w:t>
      </w:r>
      <w:r w:rsidR="0082295E">
        <w:t>made</w:t>
      </w:r>
      <w:r w:rsidR="0082295E" w:rsidRPr="004923C5">
        <w:t xml:space="preserve"> </w:t>
      </w:r>
      <w:r w:rsidRPr="004923C5">
        <w:t>steady gains on its commitment to provide nine years education to all children, with national primary school and junior secondary school net enrolment rates at 95.5 per cent and 77.7 per cent respectively in 2011</w:t>
      </w:r>
      <w:r w:rsidR="00947003">
        <w:t>–</w:t>
      </w:r>
      <w:r w:rsidRPr="004923C5">
        <w:t xml:space="preserve">12. While </w:t>
      </w:r>
      <w:r w:rsidR="00AE4348">
        <w:t xml:space="preserve">the </w:t>
      </w:r>
      <w:r w:rsidRPr="004923C5">
        <w:t xml:space="preserve">primary school </w:t>
      </w:r>
      <w:r w:rsidR="00947003" w:rsidRPr="004923C5">
        <w:t xml:space="preserve">net enrolment rate </w:t>
      </w:r>
      <w:r w:rsidRPr="004923C5">
        <w:t xml:space="preserve">has remained fairly steady, the junior secondary school </w:t>
      </w:r>
      <w:r w:rsidR="00947003">
        <w:t>rate</w:t>
      </w:r>
      <w:r w:rsidR="00947003" w:rsidRPr="004923C5">
        <w:t xml:space="preserve"> </w:t>
      </w:r>
      <w:r w:rsidRPr="004923C5">
        <w:t>has increased from 74.5 per cent in 2009</w:t>
      </w:r>
      <w:r w:rsidR="00947003">
        <w:t>–</w:t>
      </w:r>
      <w:r w:rsidRPr="004923C5">
        <w:t>10.</w:t>
      </w:r>
      <w:r w:rsidRPr="004923C5">
        <w:rPr>
          <w:position w:val="6"/>
          <w:sz w:val="12"/>
        </w:rPr>
        <w:footnoteReference w:id="8"/>
      </w:r>
      <w:r w:rsidR="00B525E5">
        <w:t xml:space="preserve"> </w:t>
      </w:r>
      <w:r w:rsidRPr="004923C5">
        <w:t>However, Indonesia’s participation in international standardised tests, such as the Organisation for Economic Cooperation and Development’s (OECD) Programme for International Student Assessment, show that quality remains a serious concern.</w:t>
      </w:r>
      <w:r w:rsidR="00B525E5">
        <w:t xml:space="preserve"> </w:t>
      </w:r>
      <w:r w:rsidRPr="004923C5">
        <w:t xml:space="preserve">More than half the Indonesian students who participated in </w:t>
      </w:r>
      <w:r w:rsidR="00947003">
        <w:t xml:space="preserve">the </w:t>
      </w:r>
      <w:r w:rsidR="00947003" w:rsidRPr="004923C5">
        <w:t xml:space="preserve">Programme for International Student Assessment </w:t>
      </w:r>
      <w:r w:rsidRPr="004923C5">
        <w:t xml:space="preserve">reading literacy tests in 2009 were assessed as </w:t>
      </w:r>
      <w:r w:rsidRPr="004923C5">
        <w:rPr>
          <w:rFonts w:cs="Calibri"/>
          <w:szCs w:val="17"/>
        </w:rPr>
        <w:t>lacking the essential skills to participate effectively and productively in society.</w:t>
      </w:r>
      <w:r w:rsidR="00B525E5">
        <w:rPr>
          <w:rFonts w:cs="Calibri"/>
          <w:szCs w:val="17"/>
        </w:rPr>
        <w:t xml:space="preserve"> </w:t>
      </w:r>
      <w:r w:rsidRPr="004923C5">
        <w:rPr>
          <w:rFonts w:cs="Calibri"/>
          <w:szCs w:val="17"/>
        </w:rPr>
        <w:t xml:space="preserve">Notwithstanding that result, Indonesia’s results for reading </w:t>
      </w:r>
      <w:proofErr w:type="gramStart"/>
      <w:r w:rsidRPr="004923C5">
        <w:rPr>
          <w:rFonts w:cs="Calibri"/>
          <w:szCs w:val="17"/>
        </w:rPr>
        <w:t>have  improved</w:t>
      </w:r>
      <w:proofErr w:type="gramEnd"/>
      <w:r w:rsidRPr="004923C5">
        <w:rPr>
          <w:rFonts w:cs="Calibri"/>
          <w:szCs w:val="17"/>
        </w:rPr>
        <w:t xml:space="preserve"> over the period </w:t>
      </w:r>
      <w:r w:rsidR="00947003">
        <w:rPr>
          <w:rFonts w:cs="Calibri"/>
          <w:szCs w:val="17"/>
        </w:rPr>
        <w:t xml:space="preserve">from </w:t>
      </w:r>
      <w:r w:rsidRPr="004923C5">
        <w:rPr>
          <w:rFonts w:cs="Calibri"/>
          <w:szCs w:val="17"/>
        </w:rPr>
        <w:t>2000</w:t>
      </w:r>
      <w:r w:rsidR="00947003">
        <w:rPr>
          <w:rFonts w:cs="Calibri"/>
          <w:szCs w:val="17"/>
        </w:rPr>
        <w:t>–</w:t>
      </w:r>
      <w:r w:rsidRPr="004923C5">
        <w:rPr>
          <w:rFonts w:cs="Calibri"/>
          <w:szCs w:val="17"/>
        </w:rPr>
        <w:t>2009, whereas the opposite trend is true for mathematics and science.</w:t>
      </w:r>
    </w:p>
    <w:p w14:paraId="2485C506" w14:textId="43C17630" w:rsidR="004923C5" w:rsidRPr="004923C5" w:rsidRDefault="004923C5" w:rsidP="00FA5501">
      <w:pPr>
        <w:pStyle w:val="BodyText"/>
        <w:rPr>
          <w:rFonts w:cs="Calibri"/>
          <w:szCs w:val="17"/>
        </w:rPr>
      </w:pPr>
      <w:r w:rsidRPr="004923C5">
        <w:rPr>
          <w:rFonts w:cs="Calibri"/>
          <w:szCs w:val="17"/>
        </w:rPr>
        <w:t xml:space="preserve">Australia continues to work in partnership with the Ministry of Education and Culture and the Ministry of Religious Affairs, in support of </w:t>
      </w:r>
      <w:r w:rsidR="00947003">
        <w:rPr>
          <w:rFonts w:cs="Calibri"/>
          <w:szCs w:val="17"/>
        </w:rPr>
        <w:t>their</w:t>
      </w:r>
      <w:r w:rsidRPr="004923C5">
        <w:rPr>
          <w:rFonts w:cs="Calibri"/>
          <w:szCs w:val="17"/>
        </w:rPr>
        <w:t xml:space="preserve"> sector objectives, as articulated in their strategic plans (</w:t>
      </w:r>
      <w:proofErr w:type="spellStart"/>
      <w:r w:rsidRPr="004923C5">
        <w:rPr>
          <w:rFonts w:cs="Calibri"/>
          <w:szCs w:val="17"/>
        </w:rPr>
        <w:t>Renstra</w:t>
      </w:r>
      <w:proofErr w:type="spellEnd"/>
      <w:r w:rsidRPr="004923C5">
        <w:rPr>
          <w:rFonts w:cs="Calibri"/>
          <w:szCs w:val="17"/>
        </w:rPr>
        <w:t xml:space="preserve"> 2009</w:t>
      </w:r>
      <w:r w:rsidR="00947003">
        <w:rPr>
          <w:rFonts w:cs="Calibri"/>
          <w:szCs w:val="17"/>
        </w:rPr>
        <w:t>–</w:t>
      </w:r>
      <w:r w:rsidRPr="004923C5">
        <w:rPr>
          <w:rFonts w:cs="Calibri"/>
          <w:szCs w:val="17"/>
        </w:rPr>
        <w:t>2014</w:t>
      </w:r>
      <w:r w:rsidRPr="004923C5">
        <w:rPr>
          <w:rFonts w:cs="Calibri"/>
          <w:position w:val="6"/>
          <w:sz w:val="12"/>
        </w:rPr>
        <w:footnoteReference w:id="9"/>
      </w:r>
      <w:r w:rsidRPr="004923C5">
        <w:rPr>
          <w:rFonts w:cs="Calibri"/>
          <w:szCs w:val="17"/>
        </w:rPr>
        <w:t>). Australia’s flagship program in the sector</w:t>
      </w:r>
      <w:r w:rsidR="00947003">
        <w:rPr>
          <w:rFonts w:cs="Calibri"/>
          <w:szCs w:val="17"/>
        </w:rPr>
        <w:t>––</w:t>
      </w:r>
      <w:r w:rsidRPr="004923C5">
        <w:rPr>
          <w:rFonts w:cs="Calibri"/>
          <w:szCs w:val="17"/>
        </w:rPr>
        <w:t>the Education Partnership 2011</w:t>
      </w:r>
      <w:r w:rsidR="00947003">
        <w:rPr>
          <w:rFonts w:cs="Calibri"/>
          <w:szCs w:val="17"/>
        </w:rPr>
        <w:t>–</w:t>
      </w:r>
      <w:r w:rsidRPr="004923C5">
        <w:rPr>
          <w:rFonts w:cs="Calibri"/>
          <w:szCs w:val="17"/>
        </w:rPr>
        <w:t>2016</w:t>
      </w:r>
      <w:r w:rsidR="00947003">
        <w:rPr>
          <w:rFonts w:cs="Calibri"/>
          <w:szCs w:val="17"/>
        </w:rPr>
        <w:t>––</w:t>
      </w:r>
      <w:r w:rsidRPr="004923C5">
        <w:rPr>
          <w:rFonts w:cs="Calibri"/>
          <w:szCs w:val="17"/>
        </w:rPr>
        <w:t>contributes to increased access to education at the junior secondary level, through school construction</w:t>
      </w:r>
      <w:r w:rsidR="00947003">
        <w:rPr>
          <w:rFonts w:cs="Calibri"/>
          <w:szCs w:val="17"/>
        </w:rPr>
        <w:t>,</w:t>
      </w:r>
      <w:r w:rsidR="00947003" w:rsidRPr="004923C5">
        <w:rPr>
          <w:rFonts w:cs="Calibri"/>
          <w:szCs w:val="17"/>
        </w:rPr>
        <w:t xml:space="preserve"> </w:t>
      </w:r>
      <w:r w:rsidRPr="004923C5">
        <w:rPr>
          <w:rFonts w:cs="Calibri"/>
          <w:szCs w:val="17"/>
        </w:rPr>
        <w:t xml:space="preserve">improved education quality through better </w:t>
      </w:r>
      <w:r w:rsidR="00947003" w:rsidRPr="004923C5">
        <w:rPr>
          <w:rFonts w:cs="Calibri"/>
          <w:szCs w:val="17"/>
        </w:rPr>
        <w:t>school</w:t>
      </w:r>
      <w:r w:rsidR="00947003">
        <w:rPr>
          <w:rFonts w:cs="Calibri"/>
          <w:szCs w:val="17"/>
        </w:rPr>
        <w:t>-</w:t>
      </w:r>
      <w:r w:rsidRPr="004923C5">
        <w:rPr>
          <w:rFonts w:cs="Calibri"/>
          <w:szCs w:val="17"/>
        </w:rPr>
        <w:t>based management and the accreditation of schools (</w:t>
      </w:r>
      <w:r w:rsidRPr="00D0469E">
        <w:rPr>
          <w:rFonts w:cs="Calibri"/>
          <w:i/>
          <w:szCs w:val="17"/>
        </w:rPr>
        <w:t>madrasah</w:t>
      </w:r>
      <w:r w:rsidRPr="004923C5">
        <w:rPr>
          <w:rFonts w:cs="Calibri"/>
          <w:szCs w:val="17"/>
        </w:rPr>
        <w:t>) in the Islamic education sector</w:t>
      </w:r>
      <w:r w:rsidR="00947003">
        <w:rPr>
          <w:rFonts w:cs="Calibri"/>
          <w:szCs w:val="17"/>
        </w:rPr>
        <w:t>,</w:t>
      </w:r>
      <w:r w:rsidR="00947003" w:rsidRPr="004923C5">
        <w:rPr>
          <w:rFonts w:cs="Calibri"/>
          <w:szCs w:val="17"/>
        </w:rPr>
        <w:t xml:space="preserve"> </w:t>
      </w:r>
      <w:r w:rsidRPr="004923C5">
        <w:rPr>
          <w:rFonts w:cs="Calibri"/>
          <w:szCs w:val="17"/>
        </w:rPr>
        <w:t>and more informed policy-making through access to high quality research and analysis.</w:t>
      </w:r>
      <w:r w:rsidR="00B525E5">
        <w:rPr>
          <w:rFonts w:cs="Calibri"/>
          <w:szCs w:val="17"/>
        </w:rPr>
        <w:t xml:space="preserve"> </w:t>
      </w:r>
      <w:r w:rsidRPr="004923C5">
        <w:rPr>
          <w:rFonts w:cs="Calibri"/>
          <w:szCs w:val="17"/>
        </w:rPr>
        <w:t xml:space="preserve">We also provided targeted support to the provinces </w:t>
      </w:r>
      <w:proofErr w:type="spellStart"/>
      <w:r w:rsidRPr="004923C5">
        <w:rPr>
          <w:rFonts w:cs="Calibri"/>
          <w:szCs w:val="17"/>
        </w:rPr>
        <w:t>of</w:t>
      </w:r>
      <w:r w:rsidRPr="004923C5">
        <w:rPr>
          <w:lang w:eastAsia="x-none"/>
        </w:rPr>
        <w:t>Aceh</w:t>
      </w:r>
      <w:proofErr w:type="spellEnd"/>
      <w:r w:rsidRPr="004923C5">
        <w:rPr>
          <w:rFonts w:cs="Calibri"/>
          <w:szCs w:val="17"/>
        </w:rPr>
        <w:t>, Papua and West Papua to improve education policy and service delivery.</w:t>
      </w:r>
      <w:r w:rsidR="00B525E5">
        <w:rPr>
          <w:rFonts w:cs="Calibri"/>
          <w:szCs w:val="17"/>
        </w:rPr>
        <w:t xml:space="preserve"> </w:t>
      </w:r>
      <w:r w:rsidRPr="004923C5">
        <w:rPr>
          <w:rFonts w:cs="Calibri"/>
          <w:szCs w:val="17"/>
        </w:rPr>
        <w:t>Overall support in the sector will be captured in the Education Sector Delivery Strategy 2014</w:t>
      </w:r>
      <w:r w:rsidR="00947003">
        <w:rPr>
          <w:rFonts w:cs="Calibri"/>
          <w:szCs w:val="17"/>
        </w:rPr>
        <w:t>–</w:t>
      </w:r>
      <w:r w:rsidRPr="004923C5">
        <w:rPr>
          <w:rFonts w:cs="Calibri"/>
          <w:szCs w:val="17"/>
        </w:rPr>
        <w:t>2023 that is currently being developed.</w:t>
      </w:r>
    </w:p>
    <w:p w14:paraId="3AE44601" w14:textId="0E19CF54" w:rsidR="004923C5" w:rsidRPr="00947003" w:rsidRDefault="004923C5" w:rsidP="00FA5501">
      <w:pPr>
        <w:pStyle w:val="BodyText"/>
        <w:rPr>
          <w:rFonts w:cs="Calibri"/>
          <w:szCs w:val="17"/>
        </w:rPr>
      </w:pPr>
      <w:r w:rsidRPr="004923C5">
        <w:rPr>
          <w:rFonts w:cs="Calibri"/>
          <w:szCs w:val="17"/>
        </w:rPr>
        <w:lastRenderedPageBreak/>
        <w:t xml:space="preserve">The policy environment in the education sector was dynamic in 2012 as the </w:t>
      </w:r>
      <w:r w:rsidR="000A11DD">
        <w:rPr>
          <w:rFonts w:cs="Calibri"/>
          <w:szCs w:val="17"/>
        </w:rPr>
        <w:t>Indonesian Government</w:t>
      </w:r>
      <w:r w:rsidRPr="004923C5">
        <w:rPr>
          <w:rFonts w:cs="Calibri"/>
          <w:szCs w:val="17"/>
        </w:rPr>
        <w:t xml:space="preserve"> accelerated the pace of reform in advance of </w:t>
      </w:r>
      <w:proofErr w:type="spellStart"/>
      <w:r w:rsidRPr="004923C5">
        <w:rPr>
          <w:rFonts w:cs="Calibri"/>
          <w:szCs w:val="17"/>
        </w:rPr>
        <w:t>the</w:t>
      </w:r>
      <w:r w:rsidR="00947003">
        <w:rPr>
          <w:rFonts w:cs="Calibri"/>
          <w:szCs w:val="17"/>
        </w:rPr>
        <w:t>p</w:t>
      </w:r>
      <w:r w:rsidR="00947003" w:rsidRPr="004923C5">
        <w:rPr>
          <w:rFonts w:cs="Calibri"/>
          <w:szCs w:val="17"/>
        </w:rPr>
        <w:t>residential</w:t>
      </w:r>
      <w:proofErr w:type="spellEnd"/>
      <w:r w:rsidR="00947003" w:rsidRPr="004923C5">
        <w:rPr>
          <w:rFonts w:cs="Calibri"/>
          <w:szCs w:val="17"/>
        </w:rPr>
        <w:t xml:space="preserve"> </w:t>
      </w:r>
      <w:r w:rsidRPr="004923C5">
        <w:rPr>
          <w:rFonts w:cs="Calibri"/>
          <w:szCs w:val="17"/>
        </w:rPr>
        <w:t>elections in 2014.</w:t>
      </w:r>
      <w:r w:rsidR="00B525E5">
        <w:rPr>
          <w:rFonts w:cs="Calibri"/>
          <w:szCs w:val="17"/>
        </w:rPr>
        <w:t xml:space="preserve"> </w:t>
      </w:r>
      <w:r w:rsidRPr="004923C5">
        <w:rPr>
          <w:rFonts w:cs="Calibri"/>
          <w:szCs w:val="17"/>
        </w:rPr>
        <w:t>Two major new policy initiatives were announced: a new national curriculum to commence in school year 2013</w:t>
      </w:r>
      <w:r w:rsidR="00947003">
        <w:rPr>
          <w:rFonts w:cs="Calibri"/>
          <w:szCs w:val="17"/>
        </w:rPr>
        <w:t>–</w:t>
      </w:r>
      <w:r w:rsidRPr="004923C5">
        <w:rPr>
          <w:rFonts w:cs="Calibri"/>
          <w:szCs w:val="17"/>
        </w:rPr>
        <w:t>14, and the provision of universal access to 12 years education.</w:t>
      </w:r>
      <w:r w:rsidR="00B525E5">
        <w:rPr>
          <w:rFonts w:cs="Calibri"/>
          <w:szCs w:val="17"/>
        </w:rPr>
        <w:t xml:space="preserve"> </w:t>
      </w:r>
      <w:r w:rsidRPr="004923C5">
        <w:rPr>
          <w:rFonts w:cs="Calibri"/>
          <w:szCs w:val="17"/>
        </w:rPr>
        <w:t xml:space="preserve">The </w:t>
      </w:r>
      <w:r w:rsidR="00C30236">
        <w:rPr>
          <w:rFonts w:cs="Calibri"/>
          <w:szCs w:val="17"/>
        </w:rPr>
        <w:t>E</w:t>
      </w:r>
      <w:r w:rsidR="00947003" w:rsidRPr="004923C5">
        <w:rPr>
          <w:rFonts w:cs="Calibri"/>
          <w:szCs w:val="17"/>
        </w:rPr>
        <w:t xml:space="preserve">ducation </w:t>
      </w:r>
      <w:r w:rsidR="00C30236">
        <w:rPr>
          <w:rFonts w:cs="Calibri"/>
          <w:szCs w:val="17"/>
        </w:rPr>
        <w:t>P</w:t>
      </w:r>
      <w:r w:rsidR="00947003" w:rsidRPr="004923C5">
        <w:rPr>
          <w:rFonts w:cs="Calibri"/>
          <w:szCs w:val="17"/>
        </w:rPr>
        <w:t xml:space="preserve">artnership </w:t>
      </w:r>
      <w:r w:rsidRPr="004923C5">
        <w:rPr>
          <w:rFonts w:cs="Calibri"/>
          <w:szCs w:val="17"/>
        </w:rPr>
        <w:t xml:space="preserve">support remains highly </w:t>
      </w:r>
      <w:proofErr w:type="gramStart"/>
      <w:r w:rsidRPr="004923C5">
        <w:rPr>
          <w:rFonts w:cs="Calibri"/>
          <w:szCs w:val="17"/>
        </w:rPr>
        <w:t>relevant,</w:t>
      </w:r>
      <w:proofErr w:type="gramEnd"/>
      <w:r w:rsidRPr="004923C5">
        <w:rPr>
          <w:rFonts w:cs="Calibri"/>
          <w:szCs w:val="17"/>
        </w:rPr>
        <w:t xml:space="preserve"> however the </w:t>
      </w:r>
      <w:r w:rsidR="00C30236">
        <w:rPr>
          <w:rFonts w:cs="Calibri"/>
          <w:szCs w:val="17"/>
        </w:rPr>
        <w:t>M</w:t>
      </w:r>
      <w:r w:rsidR="00947003" w:rsidRPr="004923C5">
        <w:rPr>
          <w:rFonts w:cs="Calibri"/>
          <w:szCs w:val="17"/>
        </w:rPr>
        <w:t xml:space="preserve">inistry </w:t>
      </w:r>
      <w:r w:rsidRPr="004923C5">
        <w:rPr>
          <w:rFonts w:cs="Calibri"/>
          <w:szCs w:val="17"/>
        </w:rPr>
        <w:t>has been under pressure to respond to new policy directives.</w:t>
      </w:r>
      <w:r w:rsidR="00B525E5">
        <w:rPr>
          <w:rFonts w:cs="Calibri"/>
          <w:szCs w:val="17"/>
        </w:rPr>
        <w:t xml:space="preserve"> </w:t>
      </w:r>
      <w:r w:rsidRPr="004923C5">
        <w:rPr>
          <w:rFonts w:cs="Calibri"/>
          <w:szCs w:val="17"/>
        </w:rPr>
        <w:t xml:space="preserve">Australia’s support to the Analytical and Capacity Development Partnership, which is managed by the Asian Development Bank and co-funded by the European Union, meant that we were able to </w:t>
      </w:r>
      <w:proofErr w:type="gramStart"/>
      <w:r w:rsidRPr="004923C5">
        <w:rPr>
          <w:rFonts w:cs="Calibri"/>
          <w:szCs w:val="17"/>
        </w:rPr>
        <w:t>respond  to</w:t>
      </w:r>
      <w:proofErr w:type="gramEnd"/>
      <w:r w:rsidRPr="004923C5">
        <w:rPr>
          <w:rFonts w:cs="Calibri"/>
          <w:szCs w:val="17"/>
        </w:rPr>
        <w:t xml:space="preserve"> a request for assistance with the new curriculum.</w:t>
      </w:r>
      <w:r w:rsidR="00B525E5">
        <w:rPr>
          <w:rFonts w:cs="Calibri"/>
          <w:szCs w:val="17"/>
        </w:rPr>
        <w:t xml:space="preserve"> </w:t>
      </w:r>
      <w:r w:rsidRPr="004923C5">
        <w:rPr>
          <w:rFonts w:cs="Calibri"/>
          <w:szCs w:val="17"/>
        </w:rPr>
        <w:t xml:space="preserve">The rapid pace of curriculum reform was identified as a risk to its effectiveness, so we negotiated agreement with </w:t>
      </w:r>
      <w:r w:rsidR="00947003">
        <w:rPr>
          <w:rFonts w:cs="Calibri"/>
          <w:szCs w:val="17"/>
        </w:rPr>
        <w:t>the Indonesian Government</w:t>
      </w:r>
      <w:r w:rsidR="00947003" w:rsidRPr="004923C5">
        <w:rPr>
          <w:rFonts w:cs="Calibri"/>
          <w:szCs w:val="17"/>
        </w:rPr>
        <w:t xml:space="preserve"> </w:t>
      </w:r>
      <w:r w:rsidRPr="004923C5">
        <w:rPr>
          <w:rFonts w:cs="Calibri"/>
          <w:szCs w:val="17"/>
        </w:rPr>
        <w:t xml:space="preserve">to include a focus on monitoring and </w:t>
      </w:r>
      <w:proofErr w:type="gramStart"/>
      <w:r w:rsidRPr="004923C5">
        <w:rPr>
          <w:rFonts w:cs="Calibri"/>
          <w:szCs w:val="17"/>
        </w:rPr>
        <w:t>evaluation  to</w:t>
      </w:r>
      <w:proofErr w:type="gramEnd"/>
      <w:r w:rsidRPr="004923C5">
        <w:rPr>
          <w:rFonts w:cs="Calibri"/>
          <w:szCs w:val="17"/>
        </w:rPr>
        <w:t xml:space="preserve"> support future improvements.</w:t>
      </w:r>
      <w:r w:rsidR="00B525E5">
        <w:rPr>
          <w:rFonts w:cs="Calibri"/>
          <w:szCs w:val="17"/>
        </w:rPr>
        <w:t xml:space="preserve"> </w:t>
      </w:r>
      <w:r w:rsidRPr="004923C5">
        <w:rPr>
          <w:rFonts w:cs="Calibri"/>
          <w:szCs w:val="17"/>
        </w:rPr>
        <w:t xml:space="preserve">The curriculum study is one of 35 anticipated studies to be conducted by </w:t>
      </w:r>
      <w:r w:rsidR="00C53E57">
        <w:rPr>
          <w:rFonts w:cs="Calibri"/>
          <w:szCs w:val="17"/>
        </w:rPr>
        <w:t xml:space="preserve">the </w:t>
      </w:r>
      <w:r w:rsidR="00947003" w:rsidRPr="00947003">
        <w:rPr>
          <w:rFonts w:cs="Calibri"/>
          <w:szCs w:val="17"/>
          <w:lang w:val="en-US"/>
        </w:rPr>
        <w:t xml:space="preserve">Analytical </w:t>
      </w:r>
      <w:r w:rsidR="00947003" w:rsidRPr="00D67028">
        <w:rPr>
          <w:rFonts w:cs="Calibri"/>
          <w:iCs/>
          <w:szCs w:val="17"/>
          <w:lang w:val="en-US"/>
        </w:rPr>
        <w:t>and Capacity Development Partnership</w:t>
      </w:r>
      <w:r w:rsidR="00947003" w:rsidRPr="00947003">
        <w:rPr>
          <w:rFonts w:cs="Calibri"/>
          <w:szCs w:val="17"/>
        </w:rPr>
        <w:t xml:space="preserve">, </w:t>
      </w:r>
      <w:r w:rsidRPr="00947003">
        <w:rPr>
          <w:rFonts w:cs="Calibri"/>
          <w:szCs w:val="17"/>
        </w:rPr>
        <w:t>of which 11 will be finalised by June 2013.</w:t>
      </w:r>
    </w:p>
    <w:p w14:paraId="3FBF0685" w14:textId="64763B03" w:rsidR="00125C16" w:rsidRDefault="00125C16" w:rsidP="00FA5501">
      <w:pPr>
        <w:pStyle w:val="BodyText"/>
        <w:rPr>
          <w:lang w:eastAsia="x-none"/>
        </w:rPr>
      </w:pPr>
      <w:r w:rsidRPr="00125C16">
        <w:rPr>
          <w:lang w:eastAsia="x-none"/>
        </w:rPr>
        <w:t>In 2012 the sector objectives were revised to better reflect the end-of-program outcomes for the Partnership. At this time there is not enough data to accurately assess whether activities have had sufficient impact. Evaluations of all components will commence in 2013, to support annual performance assessments of progress towards end-of-program outcomes.</w:t>
      </w:r>
    </w:p>
    <w:p w14:paraId="5C350CDF" w14:textId="59897265" w:rsidR="004923C5" w:rsidRPr="004923C5" w:rsidRDefault="004923C5" w:rsidP="00FA5501">
      <w:pPr>
        <w:pStyle w:val="BodyText"/>
        <w:rPr>
          <w:lang w:eastAsia="x-none"/>
        </w:rPr>
      </w:pPr>
      <w:r w:rsidRPr="004923C5">
        <w:rPr>
          <w:lang w:eastAsia="x-none"/>
        </w:rPr>
        <w:t xml:space="preserve">Construction commenced in 2012 on 451 junior secondary schools, </w:t>
      </w:r>
      <w:r w:rsidR="00CD2415">
        <w:rPr>
          <w:lang w:eastAsia="x-none"/>
        </w:rPr>
        <w:t>and</w:t>
      </w:r>
      <w:r w:rsidR="00CD2415" w:rsidRPr="004923C5">
        <w:rPr>
          <w:lang w:eastAsia="x-none"/>
        </w:rPr>
        <w:t xml:space="preserve"> </w:t>
      </w:r>
      <w:r w:rsidRPr="004923C5">
        <w:rPr>
          <w:lang w:eastAsia="x-none"/>
        </w:rPr>
        <w:t>95</w:t>
      </w:r>
      <w:r w:rsidR="00CD2415">
        <w:rPr>
          <w:lang w:eastAsia="x-none"/>
        </w:rPr>
        <w:t xml:space="preserve"> per cent</w:t>
      </w:r>
      <w:r w:rsidR="00CD2415" w:rsidRPr="004923C5">
        <w:rPr>
          <w:lang w:eastAsia="x-none"/>
        </w:rPr>
        <w:t xml:space="preserve"> </w:t>
      </w:r>
      <w:r w:rsidR="00CD2415">
        <w:rPr>
          <w:lang w:eastAsia="x-none"/>
        </w:rPr>
        <w:t xml:space="preserve">of these are </w:t>
      </w:r>
      <w:r w:rsidRPr="004923C5">
        <w:rPr>
          <w:lang w:eastAsia="x-none"/>
        </w:rPr>
        <w:t>on track to be operational by the 2013 school year.</w:t>
      </w:r>
      <w:r w:rsidR="00B525E5">
        <w:rPr>
          <w:lang w:eastAsia="x-none"/>
        </w:rPr>
        <w:t xml:space="preserve"> </w:t>
      </w:r>
      <w:r w:rsidRPr="004923C5">
        <w:rPr>
          <w:lang w:eastAsia="x-none"/>
        </w:rPr>
        <w:t xml:space="preserve">The first year of school construction under the </w:t>
      </w:r>
      <w:r w:rsidR="00D328E5">
        <w:rPr>
          <w:lang w:eastAsia="x-none"/>
        </w:rPr>
        <w:t>P</w:t>
      </w:r>
      <w:r w:rsidR="00CD2415" w:rsidRPr="004923C5">
        <w:rPr>
          <w:lang w:eastAsia="x-none"/>
        </w:rPr>
        <w:t xml:space="preserve">artnership </w:t>
      </w:r>
      <w:r w:rsidRPr="004923C5">
        <w:rPr>
          <w:lang w:eastAsia="x-none"/>
        </w:rPr>
        <w:t>demonstrated that the measures put in place to quality assure construction were effective, however more work had to be done on the systems for analysing and reporting on data to support continual improvement in program management.</w:t>
      </w:r>
      <w:r w:rsidR="00B525E5">
        <w:rPr>
          <w:lang w:eastAsia="x-none"/>
        </w:rPr>
        <w:t xml:space="preserve"> </w:t>
      </w:r>
      <w:r w:rsidR="00CE10E7">
        <w:rPr>
          <w:lang w:eastAsia="x-none"/>
        </w:rPr>
        <w:t>The Indonesia program</w:t>
      </w:r>
      <w:r w:rsidRPr="004923C5">
        <w:rPr>
          <w:lang w:eastAsia="x-none"/>
        </w:rPr>
        <w:t>, together with our implementing partners, identified an opportunity to improve the effectiveness of the program by providing district education officials with training in education access planning, which will help them decide how to increase enrolment most efficiently in their district.</w:t>
      </w:r>
      <w:r w:rsidR="00B525E5">
        <w:rPr>
          <w:lang w:eastAsia="x-none"/>
        </w:rPr>
        <w:t xml:space="preserve"> </w:t>
      </w:r>
      <w:r w:rsidRPr="004923C5">
        <w:rPr>
          <w:lang w:eastAsia="x-none"/>
        </w:rPr>
        <w:t>Development of training materials has commenced and will be delivered in 2013.</w:t>
      </w:r>
      <w:r w:rsidR="00B525E5">
        <w:rPr>
          <w:lang w:eastAsia="x-none"/>
        </w:rPr>
        <w:t xml:space="preserve"> </w:t>
      </w:r>
      <w:r w:rsidRPr="004923C5">
        <w:rPr>
          <w:lang w:eastAsia="x-none"/>
        </w:rPr>
        <w:t xml:space="preserve">While the school construction program was intended to boost enrolment rates in districts with </w:t>
      </w:r>
      <w:r w:rsidR="00CD2415">
        <w:rPr>
          <w:lang w:eastAsia="x-none"/>
        </w:rPr>
        <w:t xml:space="preserve">a </w:t>
      </w:r>
      <w:r w:rsidR="00CD2415">
        <w:t>gross enrolment rate</w:t>
      </w:r>
      <w:r w:rsidR="00CD2415" w:rsidRPr="004923C5">
        <w:rPr>
          <w:lang w:eastAsia="x-none"/>
        </w:rPr>
        <w:t xml:space="preserve"> </w:t>
      </w:r>
      <w:r w:rsidRPr="004923C5">
        <w:rPr>
          <w:lang w:eastAsia="x-none"/>
        </w:rPr>
        <w:t>below 90</w:t>
      </w:r>
      <w:r w:rsidR="00CD2415">
        <w:rPr>
          <w:lang w:eastAsia="x-none"/>
        </w:rPr>
        <w:t xml:space="preserve"> per cent</w:t>
      </w:r>
      <w:r w:rsidR="00CD2415" w:rsidRPr="004923C5">
        <w:rPr>
          <w:lang w:eastAsia="x-none"/>
        </w:rPr>
        <w:t xml:space="preserve">, </w:t>
      </w:r>
      <w:r w:rsidRPr="004923C5">
        <w:rPr>
          <w:lang w:eastAsia="x-none"/>
        </w:rPr>
        <w:t xml:space="preserve">it has become increasingly difficult to identify sites for new schools which meet this criterion, </w:t>
      </w:r>
      <w:r w:rsidR="00CD2415">
        <w:rPr>
          <w:lang w:eastAsia="x-none"/>
        </w:rPr>
        <w:t>and</w:t>
      </w:r>
      <w:r w:rsidR="00CD2415" w:rsidRPr="004923C5">
        <w:rPr>
          <w:lang w:eastAsia="x-none"/>
        </w:rPr>
        <w:t xml:space="preserve"> </w:t>
      </w:r>
      <w:r w:rsidR="00CD2415">
        <w:rPr>
          <w:lang w:eastAsia="x-none"/>
        </w:rPr>
        <w:t>the government</w:t>
      </w:r>
      <w:r w:rsidR="00CD2415" w:rsidRPr="004923C5">
        <w:rPr>
          <w:lang w:eastAsia="x-none"/>
        </w:rPr>
        <w:t xml:space="preserve"> </w:t>
      </w:r>
      <w:r w:rsidR="00CD2415">
        <w:rPr>
          <w:lang w:eastAsia="x-none"/>
        </w:rPr>
        <w:t>has</w:t>
      </w:r>
      <w:r w:rsidR="00CD2415" w:rsidRPr="004923C5">
        <w:rPr>
          <w:lang w:eastAsia="x-none"/>
        </w:rPr>
        <w:t xml:space="preserve"> </w:t>
      </w:r>
      <w:r w:rsidRPr="004923C5">
        <w:rPr>
          <w:lang w:eastAsia="x-none"/>
        </w:rPr>
        <w:t>request</w:t>
      </w:r>
      <w:r w:rsidR="00CD2415">
        <w:rPr>
          <w:lang w:eastAsia="x-none"/>
        </w:rPr>
        <w:t>ed that</w:t>
      </w:r>
      <w:r w:rsidRPr="004923C5">
        <w:rPr>
          <w:lang w:eastAsia="x-none"/>
        </w:rPr>
        <w:t xml:space="preserve"> </w:t>
      </w:r>
      <w:r w:rsidR="00CE10E7">
        <w:rPr>
          <w:lang w:eastAsia="x-none"/>
        </w:rPr>
        <w:t>DFAT</w:t>
      </w:r>
      <w:r w:rsidRPr="004923C5">
        <w:rPr>
          <w:lang w:eastAsia="x-none"/>
        </w:rPr>
        <w:t xml:space="preserve"> revise the threshold.</w:t>
      </w:r>
      <w:r w:rsidR="00B525E5">
        <w:rPr>
          <w:lang w:eastAsia="x-none"/>
        </w:rPr>
        <w:t xml:space="preserve"> </w:t>
      </w:r>
      <w:r w:rsidRPr="004923C5">
        <w:rPr>
          <w:lang w:eastAsia="x-none"/>
        </w:rPr>
        <w:t xml:space="preserve">Further analysis of district infrastructure needs, planning capacity, and constraints to participation in the program is needed to inform this decision, which will be conducted in 2013. </w:t>
      </w:r>
    </w:p>
    <w:p w14:paraId="7A3BAAE3" w14:textId="62F8D121" w:rsidR="004923C5" w:rsidRPr="004923C5" w:rsidRDefault="004923C5" w:rsidP="00FA5501">
      <w:pPr>
        <w:pStyle w:val="BodyText"/>
        <w:rPr>
          <w:lang w:eastAsia="x-none"/>
        </w:rPr>
      </w:pPr>
      <w:r w:rsidRPr="004923C5">
        <w:rPr>
          <w:lang w:eastAsia="x-none"/>
        </w:rPr>
        <w:t>In early 2013, Australia and Indonesia reached agreement on the systems and safeguards required to deliver continuing professional development to school principals, using Indonesian Government systems and Australian funds.</w:t>
      </w:r>
      <w:r w:rsidR="00B525E5">
        <w:rPr>
          <w:lang w:eastAsia="x-none"/>
        </w:rPr>
        <w:t xml:space="preserve"> </w:t>
      </w:r>
      <w:r w:rsidRPr="004923C5">
        <w:rPr>
          <w:lang w:eastAsia="x-none"/>
        </w:rPr>
        <w:t xml:space="preserve">Concurrently with this design work, in 2012 we trained 1240 school principals in 31 districts across </w:t>
      </w:r>
      <w:r w:rsidR="00CD2415">
        <w:rPr>
          <w:lang w:eastAsia="x-none"/>
        </w:rPr>
        <w:t>five</w:t>
      </w:r>
      <w:r w:rsidR="00CD2415" w:rsidRPr="004923C5">
        <w:rPr>
          <w:lang w:eastAsia="x-none"/>
        </w:rPr>
        <w:t xml:space="preserve"> </w:t>
      </w:r>
      <w:r w:rsidRPr="004923C5">
        <w:rPr>
          <w:lang w:eastAsia="x-none"/>
        </w:rPr>
        <w:t xml:space="preserve">provinces, through an expanded piloting of the training, delivered by </w:t>
      </w:r>
      <w:r w:rsidR="00CD2415">
        <w:rPr>
          <w:lang w:eastAsia="x-none"/>
        </w:rPr>
        <w:t xml:space="preserve">the </w:t>
      </w:r>
      <w:r w:rsidRPr="004923C5">
        <w:rPr>
          <w:lang w:eastAsia="x-none"/>
        </w:rPr>
        <w:t>managing contractor.</w:t>
      </w:r>
      <w:r w:rsidR="00B525E5">
        <w:rPr>
          <w:lang w:eastAsia="x-none"/>
        </w:rPr>
        <w:t xml:space="preserve"> </w:t>
      </w:r>
      <w:r w:rsidRPr="004923C5">
        <w:rPr>
          <w:lang w:eastAsia="x-none"/>
        </w:rPr>
        <w:t>The pilot also trained 1340 district education officials and 450 provincial education officials in human resource management</w:t>
      </w:r>
      <w:r w:rsidR="00CD2415">
        <w:rPr>
          <w:lang w:eastAsia="x-none"/>
        </w:rPr>
        <w:t xml:space="preserve"> and </w:t>
      </w:r>
      <w:r w:rsidRPr="004923C5">
        <w:rPr>
          <w:lang w:eastAsia="x-none"/>
        </w:rPr>
        <w:t>development in 268 districts.</w:t>
      </w:r>
      <w:r w:rsidR="00B525E5">
        <w:rPr>
          <w:lang w:eastAsia="x-none"/>
        </w:rPr>
        <w:t xml:space="preserve"> </w:t>
      </w:r>
      <w:r w:rsidRPr="004923C5">
        <w:rPr>
          <w:lang w:eastAsia="x-none"/>
        </w:rPr>
        <w:t xml:space="preserve">These training modules are designed to ensure that district governments can provide the policies, processes, and resources to support effective recruitment and management of school principals. Training was also conducted for 1728 aspiring principals, so they were job ready if selected to become principals in </w:t>
      </w:r>
      <w:r w:rsidR="00CD2415">
        <w:rPr>
          <w:lang w:eastAsia="x-none"/>
        </w:rPr>
        <w:t xml:space="preserve">the </w:t>
      </w:r>
      <w:r w:rsidRPr="004923C5">
        <w:rPr>
          <w:lang w:eastAsia="x-none"/>
        </w:rPr>
        <w:t>future.</w:t>
      </w:r>
      <w:r w:rsidR="00C61DF2" w:rsidRPr="00C61DF2">
        <w:t xml:space="preserve"> </w:t>
      </w:r>
      <w:r w:rsidR="00C61DF2" w:rsidRPr="00C61DF2">
        <w:rPr>
          <w:lang w:eastAsia="x-none"/>
        </w:rPr>
        <w:t>In all</w:t>
      </w:r>
      <w:r w:rsidR="00CD2415">
        <w:rPr>
          <w:lang w:eastAsia="x-none"/>
        </w:rPr>
        <w:t>,</w:t>
      </w:r>
      <w:r w:rsidR="00C61DF2" w:rsidRPr="00C61DF2">
        <w:rPr>
          <w:lang w:eastAsia="x-none"/>
        </w:rPr>
        <w:t xml:space="preserve"> Australia helped trained over 19</w:t>
      </w:r>
      <w:r w:rsidR="00CD2415">
        <w:rPr>
          <w:lang w:eastAsia="x-none"/>
        </w:rPr>
        <w:t xml:space="preserve"> </w:t>
      </w:r>
      <w:r w:rsidR="00C61DF2" w:rsidRPr="00C61DF2">
        <w:rPr>
          <w:lang w:eastAsia="x-none"/>
        </w:rPr>
        <w:t>000 government school officials in 201</w:t>
      </w:r>
      <w:r w:rsidR="00C61DF2">
        <w:rPr>
          <w:lang w:eastAsia="x-none"/>
        </w:rPr>
        <w:t>2</w:t>
      </w:r>
      <w:r w:rsidR="00CD2415">
        <w:rPr>
          <w:lang w:eastAsia="x-none"/>
        </w:rPr>
        <w:t>–</w:t>
      </w:r>
      <w:r w:rsidR="00C61DF2" w:rsidRPr="00C61DF2">
        <w:rPr>
          <w:lang w:eastAsia="x-none"/>
        </w:rPr>
        <w:t>1</w:t>
      </w:r>
      <w:r w:rsidR="00C61DF2">
        <w:rPr>
          <w:lang w:eastAsia="x-none"/>
        </w:rPr>
        <w:t>3</w:t>
      </w:r>
      <w:r w:rsidR="00C61DF2" w:rsidRPr="00C61DF2">
        <w:rPr>
          <w:lang w:eastAsia="x-none"/>
        </w:rPr>
        <w:t>.</w:t>
      </w:r>
    </w:p>
    <w:p w14:paraId="5E17CB89" w14:textId="057CEE07" w:rsidR="004923C5" w:rsidRPr="004923C5" w:rsidRDefault="004923C5" w:rsidP="00FA5501">
      <w:pPr>
        <w:pStyle w:val="BodyText"/>
        <w:rPr>
          <w:lang w:eastAsia="x-none"/>
        </w:rPr>
      </w:pPr>
      <w:r w:rsidRPr="004923C5">
        <w:rPr>
          <w:lang w:eastAsia="x-none"/>
        </w:rPr>
        <w:t xml:space="preserve">Block grants were provided to 565 Islamic schools in 2012 to implement improvement plans, based on the </w:t>
      </w:r>
      <w:r w:rsidR="00CD2415">
        <w:rPr>
          <w:lang w:eastAsia="x-none"/>
        </w:rPr>
        <w:t>eight</w:t>
      </w:r>
      <w:r w:rsidR="00CD2415" w:rsidRPr="004923C5">
        <w:rPr>
          <w:lang w:eastAsia="x-none"/>
        </w:rPr>
        <w:t xml:space="preserve"> national education standards</w:t>
      </w:r>
      <w:r w:rsidRPr="004923C5">
        <w:rPr>
          <w:lang w:eastAsia="x-none"/>
        </w:rPr>
        <w:t xml:space="preserve">, and grants were also provided to </w:t>
      </w:r>
      <w:r w:rsidR="00CD2415">
        <w:rPr>
          <w:lang w:eastAsia="x-none"/>
        </w:rPr>
        <w:t>seven</w:t>
      </w:r>
      <w:r w:rsidR="00CD2415" w:rsidRPr="004923C5">
        <w:rPr>
          <w:lang w:eastAsia="x-none"/>
        </w:rPr>
        <w:t xml:space="preserve"> </w:t>
      </w:r>
      <w:r w:rsidRPr="004923C5">
        <w:rPr>
          <w:lang w:eastAsia="x-none"/>
        </w:rPr>
        <w:t>provincial education institutions that supported participating Islamic schools with training and mentoring. The block grants were used to fund a range of physical infrastructure improvements and teaching aids</w:t>
      </w:r>
      <w:r w:rsidR="00CD2415">
        <w:rPr>
          <w:lang w:eastAsia="x-none"/>
        </w:rPr>
        <w:t xml:space="preserve"> for </w:t>
      </w:r>
      <w:r w:rsidR="00CD2415" w:rsidRPr="004923C5">
        <w:rPr>
          <w:lang w:eastAsia="x-none"/>
        </w:rPr>
        <w:t xml:space="preserve">Islamic </w:t>
      </w:r>
      <w:r w:rsidR="00CD2415">
        <w:rPr>
          <w:lang w:eastAsia="x-none"/>
        </w:rPr>
        <w:t>schools</w:t>
      </w:r>
      <w:r w:rsidRPr="004923C5">
        <w:rPr>
          <w:lang w:eastAsia="x-none"/>
        </w:rPr>
        <w:t>, while the training focused on teaching methods and school leadership.</w:t>
      </w:r>
      <w:r w:rsidR="00B525E5">
        <w:rPr>
          <w:lang w:eastAsia="x-none"/>
        </w:rPr>
        <w:t xml:space="preserve"> </w:t>
      </w:r>
      <w:r w:rsidRPr="004923C5">
        <w:rPr>
          <w:lang w:eastAsia="x-none"/>
        </w:rPr>
        <w:t>Evaluation of the effectiveness of the support is underway.</w:t>
      </w:r>
      <w:r w:rsidR="00B525E5">
        <w:rPr>
          <w:lang w:eastAsia="x-none"/>
        </w:rPr>
        <w:t xml:space="preserve"> </w:t>
      </w:r>
      <w:r w:rsidRPr="004923C5">
        <w:rPr>
          <w:lang w:eastAsia="x-none"/>
        </w:rPr>
        <w:t xml:space="preserve">In 2012, we also supported the Ministry of Religious Affairs with technical assistance to prepare and sign a </w:t>
      </w:r>
      <w:r w:rsidR="00CD2415" w:rsidRPr="004923C5">
        <w:rPr>
          <w:lang w:eastAsia="x-none"/>
        </w:rPr>
        <w:t xml:space="preserve">memorandum of understanding </w:t>
      </w:r>
      <w:r w:rsidRPr="004923C5">
        <w:rPr>
          <w:lang w:eastAsia="x-none"/>
        </w:rPr>
        <w:t xml:space="preserve">with the </w:t>
      </w:r>
      <w:r w:rsidR="00CD2415">
        <w:rPr>
          <w:lang w:eastAsia="x-none"/>
        </w:rPr>
        <w:t>n</w:t>
      </w:r>
      <w:r w:rsidR="00CD2415" w:rsidRPr="004923C5">
        <w:rPr>
          <w:lang w:eastAsia="x-none"/>
        </w:rPr>
        <w:t xml:space="preserve">ational </w:t>
      </w:r>
      <w:r w:rsidR="00CD2415">
        <w:rPr>
          <w:lang w:eastAsia="x-none"/>
        </w:rPr>
        <w:t>s</w:t>
      </w:r>
      <w:r w:rsidR="00CD2415" w:rsidRPr="004923C5">
        <w:rPr>
          <w:lang w:eastAsia="x-none"/>
        </w:rPr>
        <w:t>chool</w:t>
      </w:r>
      <w:r w:rsidRPr="004923C5">
        <w:rPr>
          <w:lang w:eastAsia="x-none"/>
        </w:rPr>
        <w:t xml:space="preserve">/Islamic school </w:t>
      </w:r>
      <w:r w:rsidR="00CD2415">
        <w:rPr>
          <w:lang w:eastAsia="x-none"/>
        </w:rPr>
        <w:lastRenderedPageBreak/>
        <w:t>a</w:t>
      </w:r>
      <w:r w:rsidR="00CD2415" w:rsidRPr="004923C5">
        <w:rPr>
          <w:lang w:eastAsia="x-none"/>
        </w:rPr>
        <w:t xml:space="preserve">ccreditation </w:t>
      </w:r>
      <w:r w:rsidR="00CD2415">
        <w:rPr>
          <w:lang w:eastAsia="x-none"/>
        </w:rPr>
        <w:t>b</w:t>
      </w:r>
      <w:r w:rsidR="00CD2415" w:rsidRPr="004923C5">
        <w:rPr>
          <w:lang w:eastAsia="x-none"/>
        </w:rPr>
        <w:t>oard</w:t>
      </w:r>
      <w:r w:rsidRPr="004923C5">
        <w:rPr>
          <w:lang w:eastAsia="x-none"/>
        </w:rPr>
        <w:t xml:space="preserve">, which will see an increased number of Islamic schools included in the annual accreditation quota and contribute to achieving </w:t>
      </w:r>
      <w:proofErr w:type="spellStart"/>
      <w:r w:rsidRPr="004923C5">
        <w:rPr>
          <w:lang w:eastAsia="x-none"/>
        </w:rPr>
        <w:t>Renstra</w:t>
      </w:r>
      <w:proofErr w:type="spellEnd"/>
      <w:r w:rsidRPr="004923C5">
        <w:rPr>
          <w:lang w:eastAsia="x-none"/>
        </w:rPr>
        <w:t xml:space="preserve"> targets.</w:t>
      </w:r>
    </w:p>
    <w:p w14:paraId="51E83763" w14:textId="7182ED29" w:rsidR="004923C5" w:rsidRPr="004923C5" w:rsidRDefault="004923C5" w:rsidP="00FA5501">
      <w:pPr>
        <w:pStyle w:val="BodyText"/>
        <w:rPr>
          <w:lang w:eastAsia="x-none"/>
        </w:rPr>
      </w:pPr>
      <w:r w:rsidRPr="004923C5">
        <w:rPr>
          <w:lang w:eastAsia="x-none"/>
        </w:rPr>
        <w:t xml:space="preserve">Our assistance to the education sector in Aceh entered its final stages in 2012 as we prepare for the transition to support provided through the nationwide </w:t>
      </w:r>
      <w:r w:rsidR="00D328E5">
        <w:rPr>
          <w:lang w:eastAsia="x-none"/>
        </w:rPr>
        <w:t>E</w:t>
      </w:r>
      <w:r w:rsidR="00CD2415" w:rsidRPr="004923C5">
        <w:rPr>
          <w:lang w:eastAsia="x-none"/>
        </w:rPr>
        <w:t xml:space="preserve">ducation </w:t>
      </w:r>
      <w:r w:rsidR="00D328E5">
        <w:rPr>
          <w:lang w:eastAsia="x-none"/>
        </w:rPr>
        <w:t>P</w:t>
      </w:r>
      <w:r w:rsidR="00CD2415" w:rsidRPr="004923C5">
        <w:rPr>
          <w:lang w:eastAsia="x-none"/>
        </w:rPr>
        <w:t>artnership</w:t>
      </w:r>
      <w:r w:rsidRPr="004923C5">
        <w:rPr>
          <w:lang w:eastAsia="x-none"/>
        </w:rPr>
        <w:t>.</w:t>
      </w:r>
      <w:r w:rsidR="00B525E5">
        <w:rPr>
          <w:lang w:eastAsia="x-none"/>
        </w:rPr>
        <w:t xml:space="preserve"> </w:t>
      </w:r>
      <w:r w:rsidRPr="004923C5">
        <w:rPr>
          <w:lang w:eastAsia="x-none"/>
        </w:rPr>
        <w:t>To that end, the program intensified its support to district governments, while sustaining the improvements to planning, budgeting, and policy development at the province level.</w:t>
      </w:r>
      <w:r w:rsidR="00B525E5">
        <w:rPr>
          <w:lang w:eastAsia="x-none"/>
        </w:rPr>
        <w:t xml:space="preserve"> </w:t>
      </w:r>
      <w:r w:rsidRPr="004923C5">
        <w:rPr>
          <w:lang w:eastAsia="x-none"/>
        </w:rPr>
        <w:t xml:space="preserve">Early signs of district government uptake include two districts (Aceh </w:t>
      </w:r>
      <w:proofErr w:type="spellStart"/>
      <w:r w:rsidRPr="004923C5">
        <w:rPr>
          <w:lang w:eastAsia="x-none"/>
        </w:rPr>
        <w:t>Singkil</w:t>
      </w:r>
      <w:proofErr w:type="spellEnd"/>
      <w:r w:rsidRPr="004923C5">
        <w:rPr>
          <w:lang w:eastAsia="x-none"/>
        </w:rPr>
        <w:t xml:space="preserve"> and </w:t>
      </w:r>
      <w:proofErr w:type="spellStart"/>
      <w:r w:rsidRPr="004923C5">
        <w:rPr>
          <w:lang w:eastAsia="x-none"/>
        </w:rPr>
        <w:t>Gayo</w:t>
      </w:r>
      <w:proofErr w:type="spellEnd"/>
      <w:r w:rsidRPr="004923C5">
        <w:rPr>
          <w:lang w:eastAsia="x-none"/>
        </w:rPr>
        <w:t xml:space="preserve"> </w:t>
      </w:r>
      <w:proofErr w:type="spellStart"/>
      <w:r w:rsidRPr="004923C5">
        <w:rPr>
          <w:lang w:eastAsia="x-none"/>
        </w:rPr>
        <w:t>Lues</w:t>
      </w:r>
      <w:proofErr w:type="spellEnd"/>
      <w:r w:rsidRPr="004923C5">
        <w:rPr>
          <w:lang w:eastAsia="x-none"/>
        </w:rPr>
        <w:t>) completing annual reports of sector performance, one district (</w:t>
      </w:r>
      <w:proofErr w:type="spellStart"/>
      <w:r w:rsidRPr="004923C5">
        <w:rPr>
          <w:lang w:eastAsia="x-none"/>
        </w:rPr>
        <w:t>Sabang</w:t>
      </w:r>
      <w:proofErr w:type="spellEnd"/>
      <w:r w:rsidRPr="004923C5">
        <w:rPr>
          <w:lang w:eastAsia="x-none"/>
        </w:rPr>
        <w:t>) passing a mayoral regulation regarding gender responsive budgeting</w:t>
      </w:r>
      <w:r w:rsidR="00CD2415">
        <w:rPr>
          <w:lang w:eastAsia="x-none"/>
        </w:rPr>
        <w:t>,</w:t>
      </w:r>
      <w:r w:rsidR="00CD2415" w:rsidRPr="004923C5">
        <w:rPr>
          <w:lang w:eastAsia="x-none"/>
        </w:rPr>
        <w:t xml:space="preserve"> </w:t>
      </w:r>
      <w:r w:rsidRPr="004923C5">
        <w:rPr>
          <w:lang w:eastAsia="x-none"/>
        </w:rPr>
        <w:t xml:space="preserve">and one district (Aceh </w:t>
      </w:r>
      <w:proofErr w:type="spellStart"/>
      <w:r w:rsidRPr="004923C5">
        <w:rPr>
          <w:lang w:eastAsia="x-none"/>
        </w:rPr>
        <w:t>Singkil</w:t>
      </w:r>
      <w:proofErr w:type="spellEnd"/>
      <w:r w:rsidRPr="004923C5">
        <w:rPr>
          <w:lang w:eastAsia="x-none"/>
        </w:rPr>
        <w:t>) allocating government budget to the cross-departmental team mandated to develop and oversee the district’s strategic plan.</w:t>
      </w:r>
      <w:r w:rsidR="00B525E5">
        <w:rPr>
          <w:lang w:eastAsia="x-none"/>
        </w:rPr>
        <w:t xml:space="preserve"> </w:t>
      </w:r>
      <w:r w:rsidRPr="004923C5">
        <w:rPr>
          <w:lang w:eastAsia="x-none"/>
        </w:rPr>
        <w:t xml:space="preserve">During the period, a change in the political leadership in Aceh posed a potential risk to the sustainability of sector improvement efforts that had been led by government officials, however this transition was well managed and the new </w:t>
      </w:r>
      <w:r w:rsidR="00CD2415">
        <w:rPr>
          <w:lang w:eastAsia="x-none"/>
        </w:rPr>
        <w:t>g</w:t>
      </w:r>
      <w:r w:rsidR="00CD2415" w:rsidRPr="004923C5">
        <w:rPr>
          <w:lang w:eastAsia="x-none"/>
        </w:rPr>
        <w:t xml:space="preserve">overnor </w:t>
      </w:r>
      <w:r w:rsidRPr="004923C5">
        <w:rPr>
          <w:lang w:eastAsia="x-none"/>
        </w:rPr>
        <w:t>is informed and supportive of the program.</w:t>
      </w:r>
    </w:p>
    <w:p w14:paraId="54A1AB07" w14:textId="35169C0A" w:rsidR="004923C5" w:rsidRPr="004923C5" w:rsidRDefault="004923C5" w:rsidP="00FA5501">
      <w:pPr>
        <w:pStyle w:val="BodyText"/>
        <w:rPr>
          <w:lang w:eastAsia="x-none"/>
        </w:rPr>
      </w:pPr>
      <w:r w:rsidRPr="004923C5">
        <w:rPr>
          <w:lang w:eastAsia="x-none"/>
        </w:rPr>
        <w:t xml:space="preserve">Papua and West Papua continue to lag in critical education sector indicators, as geographic, demographic and human resource constraints </w:t>
      </w:r>
      <w:proofErr w:type="gramStart"/>
      <w:r w:rsidRPr="004923C5">
        <w:rPr>
          <w:lang w:eastAsia="x-none"/>
        </w:rPr>
        <w:t>mitigate</w:t>
      </w:r>
      <w:proofErr w:type="gramEnd"/>
      <w:r w:rsidRPr="004923C5">
        <w:rPr>
          <w:lang w:eastAsia="x-none"/>
        </w:rPr>
        <w:t xml:space="preserve"> against the availability of financial resources to support change.</w:t>
      </w:r>
      <w:r w:rsidR="00B525E5">
        <w:rPr>
          <w:lang w:eastAsia="x-none"/>
        </w:rPr>
        <w:t xml:space="preserve"> </w:t>
      </w:r>
      <w:r w:rsidRPr="004923C5">
        <w:rPr>
          <w:lang w:eastAsia="x-none"/>
        </w:rPr>
        <w:t xml:space="preserve">Junior secondary net enrolment in Papua and West Papua was 62.55 </w:t>
      </w:r>
      <w:r w:rsidR="00CD2415">
        <w:rPr>
          <w:lang w:eastAsia="x-none"/>
        </w:rPr>
        <w:t xml:space="preserve">per cent </w:t>
      </w:r>
      <w:r w:rsidRPr="004923C5">
        <w:rPr>
          <w:lang w:eastAsia="x-none"/>
        </w:rPr>
        <w:t>in 2011</w:t>
      </w:r>
      <w:r w:rsidR="00CD2415">
        <w:rPr>
          <w:lang w:eastAsia="x-none"/>
        </w:rPr>
        <w:t>–</w:t>
      </w:r>
      <w:r w:rsidRPr="004923C5">
        <w:rPr>
          <w:lang w:eastAsia="x-none"/>
        </w:rPr>
        <w:t>12, around 15 percentage points below the national average. Primary net enrolment is also well below the national average (Papua: 90.9</w:t>
      </w:r>
      <w:r w:rsidR="00CD2415">
        <w:rPr>
          <w:lang w:eastAsia="x-none"/>
        </w:rPr>
        <w:t xml:space="preserve"> per cent, </w:t>
      </w:r>
      <w:r w:rsidRPr="004923C5">
        <w:rPr>
          <w:lang w:eastAsia="x-none"/>
        </w:rPr>
        <w:t>West Papua: 89.5</w:t>
      </w:r>
      <w:r w:rsidR="00CD2415">
        <w:rPr>
          <w:lang w:eastAsia="x-none"/>
        </w:rPr>
        <w:t xml:space="preserve"> per cent</w:t>
      </w:r>
      <w:r w:rsidR="00CD2415" w:rsidRPr="004923C5">
        <w:rPr>
          <w:lang w:eastAsia="x-none"/>
        </w:rPr>
        <w:t>).</w:t>
      </w:r>
      <w:r w:rsidR="00B525E5">
        <w:rPr>
          <w:lang w:eastAsia="x-none"/>
        </w:rPr>
        <w:t xml:space="preserve"> </w:t>
      </w:r>
      <w:r w:rsidRPr="004923C5">
        <w:rPr>
          <w:lang w:eastAsia="x-none"/>
        </w:rPr>
        <w:t xml:space="preserve">A 2012 study by </w:t>
      </w:r>
      <w:r w:rsidR="00CD2415">
        <w:rPr>
          <w:lang w:eastAsia="x-none"/>
        </w:rPr>
        <w:t xml:space="preserve">the </w:t>
      </w:r>
      <w:r w:rsidRPr="004923C5">
        <w:rPr>
          <w:lang w:eastAsia="x-none"/>
        </w:rPr>
        <w:t>U</w:t>
      </w:r>
      <w:r w:rsidR="00CD2415">
        <w:rPr>
          <w:lang w:eastAsia="x-none"/>
        </w:rPr>
        <w:t>nited Nations Children’s Fund</w:t>
      </w:r>
      <w:r w:rsidRPr="004923C5">
        <w:rPr>
          <w:position w:val="6"/>
          <w:sz w:val="12"/>
          <w:lang w:eastAsia="x-none"/>
        </w:rPr>
        <w:footnoteReference w:id="10"/>
      </w:r>
      <w:r w:rsidRPr="004923C5">
        <w:rPr>
          <w:lang w:eastAsia="x-none"/>
        </w:rPr>
        <w:t xml:space="preserve"> also found that, on any given school day, one in three primary school teachers were absent from class.</w:t>
      </w:r>
      <w:r w:rsidR="00B525E5">
        <w:rPr>
          <w:lang w:eastAsia="x-none"/>
        </w:rPr>
        <w:t xml:space="preserve"> </w:t>
      </w:r>
      <w:r w:rsidRPr="004923C5">
        <w:rPr>
          <w:lang w:eastAsia="x-none"/>
        </w:rPr>
        <w:t xml:space="preserve">Australia’s partnership with </w:t>
      </w:r>
      <w:r w:rsidR="00CD2415">
        <w:rPr>
          <w:lang w:eastAsia="x-none"/>
        </w:rPr>
        <w:t xml:space="preserve">the </w:t>
      </w:r>
      <w:r w:rsidR="00CD2415" w:rsidRPr="004923C5">
        <w:rPr>
          <w:lang w:eastAsia="x-none"/>
        </w:rPr>
        <w:t>U</w:t>
      </w:r>
      <w:r w:rsidR="00CD2415">
        <w:rPr>
          <w:lang w:eastAsia="x-none"/>
        </w:rPr>
        <w:t>nited Nations Children’s Fund</w:t>
      </w:r>
      <w:r w:rsidR="00CD2415" w:rsidRPr="004923C5">
        <w:rPr>
          <w:lang w:eastAsia="x-none"/>
        </w:rPr>
        <w:t xml:space="preserve"> </w:t>
      </w:r>
      <w:r w:rsidRPr="004923C5">
        <w:rPr>
          <w:lang w:eastAsia="x-none"/>
        </w:rPr>
        <w:t>is the only bilateral donor support to education development in the Papuan provinces at this time.</w:t>
      </w:r>
      <w:r w:rsidR="00B525E5">
        <w:rPr>
          <w:lang w:eastAsia="x-none"/>
        </w:rPr>
        <w:t xml:space="preserve"> </w:t>
      </w:r>
      <w:r w:rsidRPr="004923C5">
        <w:rPr>
          <w:lang w:eastAsia="x-none"/>
        </w:rPr>
        <w:t>The program has been working with provincial governments to improve strategic planning using participatory approaches.</w:t>
      </w:r>
      <w:r w:rsidR="00B525E5">
        <w:rPr>
          <w:lang w:eastAsia="x-none"/>
        </w:rPr>
        <w:t xml:space="preserve"> </w:t>
      </w:r>
      <w:r w:rsidRPr="004923C5">
        <w:rPr>
          <w:lang w:eastAsia="x-none"/>
        </w:rPr>
        <w:t xml:space="preserve">Strong commitment and leadership from </w:t>
      </w:r>
      <w:r w:rsidR="00CD2415" w:rsidRPr="004923C5">
        <w:rPr>
          <w:lang w:eastAsia="x-none"/>
        </w:rPr>
        <w:t xml:space="preserve">provincial and district education offices </w:t>
      </w:r>
      <w:r w:rsidRPr="004923C5">
        <w:rPr>
          <w:lang w:eastAsia="x-none"/>
        </w:rPr>
        <w:t>for the process has emerged over the program’s life.</w:t>
      </w:r>
      <w:r w:rsidR="00B525E5">
        <w:rPr>
          <w:lang w:eastAsia="x-none"/>
        </w:rPr>
        <w:t xml:space="preserve"> </w:t>
      </w:r>
      <w:r w:rsidRPr="004923C5">
        <w:rPr>
          <w:lang w:eastAsia="x-none"/>
        </w:rPr>
        <w:t>At the same time, the program has been working directly with urban and peri-urban areas to improve teaching methods and school-based management, including through the establishment of model schools.</w:t>
      </w:r>
      <w:r w:rsidR="00B525E5">
        <w:rPr>
          <w:lang w:eastAsia="x-none"/>
        </w:rPr>
        <w:t xml:space="preserve"> </w:t>
      </w:r>
      <w:r w:rsidRPr="004923C5">
        <w:rPr>
          <w:lang w:eastAsia="x-none"/>
        </w:rPr>
        <w:t>By September 2012, all participating schools had received resources for more effective early grade teaching, and all model schools were actively implementing the improved teaching methods.</w:t>
      </w:r>
      <w:r w:rsidR="00B525E5">
        <w:rPr>
          <w:lang w:eastAsia="x-none"/>
        </w:rPr>
        <w:t xml:space="preserve"> </w:t>
      </w:r>
      <w:r w:rsidRPr="004923C5">
        <w:rPr>
          <w:lang w:eastAsia="x-none"/>
        </w:rPr>
        <w:t>Data is not yet available on student learning outcomes in these schools.</w:t>
      </w:r>
    </w:p>
    <w:p w14:paraId="592B121E" w14:textId="55655A7B" w:rsidR="004923C5" w:rsidRPr="004923C5" w:rsidRDefault="004923C5" w:rsidP="00FA5501">
      <w:pPr>
        <w:pStyle w:val="BodyText"/>
        <w:rPr>
          <w:lang w:eastAsia="x-none"/>
        </w:rPr>
      </w:pPr>
      <w:r w:rsidRPr="004923C5">
        <w:rPr>
          <w:lang w:eastAsia="x-none"/>
        </w:rPr>
        <w:t xml:space="preserve">In 2012, 16 Indonesian schools developed partnerships with Australian schools with support </w:t>
      </w:r>
      <w:r w:rsidR="00CD2415">
        <w:rPr>
          <w:lang w:eastAsia="x-none"/>
        </w:rPr>
        <w:t>from</w:t>
      </w:r>
      <w:r w:rsidR="00CD2415" w:rsidRPr="004923C5">
        <w:rPr>
          <w:lang w:eastAsia="x-none"/>
        </w:rPr>
        <w:t xml:space="preserve"> </w:t>
      </w:r>
      <w:r w:rsidRPr="004923C5">
        <w:rPr>
          <w:lang w:eastAsia="x-none"/>
        </w:rPr>
        <w:t xml:space="preserve">the </w:t>
      </w:r>
      <w:r w:rsidR="00C87ADD">
        <w:t xml:space="preserve">Building Relations through Intercultural Dialog Initiative </w:t>
      </w:r>
      <w:r w:rsidRPr="004923C5">
        <w:rPr>
          <w:lang w:eastAsia="x-none"/>
        </w:rPr>
        <w:t>program.</w:t>
      </w:r>
      <w:r w:rsidR="00B525E5">
        <w:rPr>
          <w:lang w:eastAsia="x-none"/>
        </w:rPr>
        <w:t xml:space="preserve"> </w:t>
      </w:r>
      <w:r w:rsidRPr="004923C5">
        <w:rPr>
          <w:lang w:eastAsia="x-none"/>
        </w:rPr>
        <w:t xml:space="preserve">A further 16 partnerships were formed in the first </w:t>
      </w:r>
      <w:r w:rsidR="00CD2415">
        <w:rPr>
          <w:lang w:eastAsia="x-none"/>
        </w:rPr>
        <w:t>six</w:t>
      </w:r>
      <w:r w:rsidR="00CD2415" w:rsidRPr="004923C5">
        <w:rPr>
          <w:lang w:eastAsia="x-none"/>
        </w:rPr>
        <w:t xml:space="preserve"> </w:t>
      </w:r>
      <w:r w:rsidRPr="004923C5">
        <w:rPr>
          <w:lang w:eastAsia="x-none"/>
        </w:rPr>
        <w:t>months of 2013.</w:t>
      </w:r>
      <w:r w:rsidR="00B525E5">
        <w:rPr>
          <w:lang w:eastAsia="x-none"/>
        </w:rPr>
        <w:t xml:space="preserve"> </w:t>
      </w:r>
      <w:r w:rsidRPr="004923C5">
        <w:rPr>
          <w:lang w:eastAsia="x-none"/>
        </w:rPr>
        <w:t>As well as facilitating student-to-student learning, the program supports training for teachers and exchange programs.</w:t>
      </w:r>
      <w:bookmarkStart w:id="26" w:name="_Toc332293887"/>
      <w:bookmarkStart w:id="27" w:name="_Toc332295199"/>
    </w:p>
    <w:bookmarkEnd w:id="26"/>
    <w:bookmarkEnd w:id="27"/>
    <w:p w14:paraId="6462FC49" w14:textId="6A9714EA" w:rsidR="004923C5" w:rsidRPr="004923C5" w:rsidRDefault="004923C5" w:rsidP="00FA5501">
      <w:pPr>
        <w:pStyle w:val="BodyText"/>
        <w:rPr>
          <w:lang w:eastAsia="x-none"/>
        </w:rPr>
      </w:pPr>
      <w:r w:rsidRPr="004923C5">
        <w:rPr>
          <w:lang w:eastAsia="x-none"/>
        </w:rPr>
        <w:t xml:space="preserve">The management consequences identified in the 2011 </w:t>
      </w:r>
      <w:r w:rsidR="00CD2415">
        <w:rPr>
          <w:lang w:eastAsia="x-none"/>
        </w:rPr>
        <w:t>annual program performance report</w:t>
      </w:r>
      <w:r w:rsidR="00CD2415" w:rsidRPr="004923C5">
        <w:rPr>
          <w:lang w:eastAsia="x-none"/>
        </w:rPr>
        <w:t xml:space="preserve"> </w:t>
      </w:r>
      <w:r w:rsidRPr="004923C5">
        <w:rPr>
          <w:lang w:eastAsia="x-none"/>
        </w:rPr>
        <w:t>have been largely addressed.</w:t>
      </w:r>
      <w:r w:rsidR="00B525E5">
        <w:rPr>
          <w:lang w:eastAsia="x-none"/>
        </w:rPr>
        <w:t xml:space="preserve"> </w:t>
      </w:r>
      <w:r w:rsidRPr="004923C5">
        <w:rPr>
          <w:lang w:eastAsia="x-none"/>
        </w:rPr>
        <w:t xml:space="preserve">The </w:t>
      </w:r>
      <w:r w:rsidR="002E0813">
        <w:rPr>
          <w:lang w:eastAsia="x-none"/>
        </w:rPr>
        <w:t>Education Sector Analytical Capacity Development Partnership’s</w:t>
      </w:r>
      <w:r w:rsidR="002E0813" w:rsidRPr="004923C5">
        <w:rPr>
          <w:lang w:eastAsia="x-none"/>
        </w:rPr>
        <w:t xml:space="preserve"> </w:t>
      </w:r>
      <w:r w:rsidRPr="004923C5">
        <w:rPr>
          <w:lang w:eastAsia="x-none"/>
        </w:rPr>
        <w:t>ability to influence policy processes remains a risk to the effectiveness of the investment, however a stronger monitoring and evaluation plan, adjustments to the staffing of the secretariat and a well-targeted communication strategy were all underway in 2012 to help mitigate the risk.</w:t>
      </w:r>
    </w:p>
    <w:p w14:paraId="4475723B" w14:textId="410A34EB" w:rsidR="00780026" w:rsidRDefault="00780026" w:rsidP="00B500DF">
      <w:pPr>
        <w:pStyle w:val="Heading2"/>
      </w:pPr>
      <w:bookmarkStart w:id="28" w:name="_Toc359585089"/>
      <w:bookmarkStart w:id="29" w:name="_Toc363768577"/>
      <w:bookmarkStart w:id="30" w:name="_Toc363804113"/>
      <w:r w:rsidRPr="00780026">
        <w:t xml:space="preserve">Management </w:t>
      </w:r>
      <w:bookmarkEnd w:id="28"/>
      <w:r w:rsidR="002C77BE">
        <w:t>c</w:t>
      </w:r>
      <w:r w:rsidR="002C77BE" w:rsidRPr="00780026">
        <w:t>onsequences</w:t>
      </w:r>
      <w:bookmarkEnd w:id="29"/>
      <w:bookmarkEnd w:id="30"/>
    </w:p>
    <w:p w14:paraId="68AC28FB" w14:textId="3F9CE207" w:rsidR="00FA5501" w:rsidRDefault="00FA5501" w:rsidP="00FA5501">
      <w:pPr>
        <w:pStyle w:val="BodyText"/>
      </w:pPr>
      <w:r>
        <w:t>Management consequences from 2012</w:t>
      </w:r>
      <w:r w:rsidR="002C77BE">
        <w:t>–</w:t>
      </w:r>
      <w:r>
        <w:t>13 are:</w:t>
      </w:r>
    </w:p>
    <w:p w14:paraId="20A856D4" w14:textId="00980B67" w:rsidR="004923C5" w:rsidRPr="004923C5" w:rsidRDefault="004923C5" w:rsidP="00B500DF">
      <w:pPr>
        <w:pStyle w:val="ListBullet"/>
        <w:rPr>
          <w:lang w:eastAsia="x-none"/>
        </w:rPr>
      </w:pPr>
      <w:r w:rsidRPr="004923C5">
        <w:rPr>
          <w:lang w:eastAsia="x-none"/>
        </w:rPr>
        <w:t xml:space="preserve">Finalise </w:t>
      </w:r>
      <w:r w:rsidRPr="004923C5">
        <w:t>Education Sector Delivery Strategy</w:t>
      </w:r>
      <w:r w:rsidR="002C77BE">
        <w:rPr>
          <w:lang w:eastAsia="x-none"/>
        </w:rPr>
        <w:t>.</w:t>
      </w:r>
    </w:p>
    <w:p w14:paraId="7517C912" w14:textId="2B6AF78C" w:rsidR="004923C5" w:rsidRPr="004923C5" w:rsidRDefault="004923C5" w:rsidP="00B500DF">
      <w:pPr>
        <w:pStyle w:val="ListBullet"/>
        <w:rPr>
          <w:lang w:eastAsia="x-none"/>
        </w:rPr>
      </w:pPr>
      <w:r w:rsidRPr="004923C5">
        <w:rPr>
          <w:lang w:eastAsia="x-none"/>
        </w:rPr>
        <w:lastRenderedPageBreak/>
        <w:t>Conduct analysis to better understand district infrastructure needs, planning capacity and constraints to participation in the school construction program.</w:t>
      </w:r>
      <w:r w:rsidR="00B525E5">
        <w:rPr>
          <w:lang w:eastAsia="x-none"/>
        </w:rPr>
        <w:t xml:space="preserve"> </w:t>
      </w:r>
      <w:r w:rsidRPr="004923C5">
        <w:rPr>
          <w:lang w:eastAsia="x-none"/>
        </w:rPr>
        <w:t xml:space="preserve">Use this information to inform a decision on the appropriate targeting strategy for the program (districts with </w:t>
      </w:r>
      <w:r w:rsidR="002C77BE">
        <w:t xml:space="preserve">gross enrolment rate </w:t>
      </w:r>
      <w:r w:rsidRPr="004923C5">
        <w:rPr>
          <w:lang w:eastAsia="x-none"/>
        </w:rPr>
        <w:t>below the national average of 95</w:t>
      </w:r>
      <w:r w:rsidR="002C77BE">
        <w:rPr>
          <w:lang w:eastAsia="x-none"/>
        </w:rPr>
        <w:t xml:space="preserve"> per cent</w:t>
      </w:r>
      <w:r w:rsidR="002C77BE" w:rsidRPr="004923C5">
        <w:rPr>
          <w:lang w:eastAsia="x-none"/>
        </w:rPr>
        <w:t xml:space="preserve"> </w:t>
      </w:r>
      <w:r w:rsidRPr="004923C5">
        <w:rPr>
          <w:lang w:eastAsia="x-none"/>
        </w:rPr>
        <w:t xml:space="preserve">or districts with </w:t>
      </w:r>
      <w:r w:rsidR="002C77BE">
        <w:t xml:space="preserve">gross enrolment rate </w:t>
      </w:r>
      <w:r w:rsidRPr="004923C5">
        <w:rPr>
          <w:lang w:eastAsia="x-none"/>
        </w:rPr>
        <w:t>below 90</w:t>
      </w:r>
      <w:r w:rsidR="002C77BE">
        <w:rPr>
          <w:lang w:eastAsia="x-none"/>
        </w:rPr>
        <w:t xml:space="preserve"> per cent</w:t>
      </w:r>
      <w:r w:rsidR="002C77BE" w:rsidRPr="004923C5">
        <w:rPr>
          <w:lang w:eastAsia="x-none"/>
        </w:rPr>
        <w:t>).</w:t>
      </w:r>
    </w:p>
    <w:p w14:paraId="2C89B160" w14:textId="7EE71C6A" w:rsidR="004923C5" w:rsidRPr="004923C5" w:rsidRDefault="004923C5" w:rsidP="00B500DF">
      <w:pPr>
        <w:pStyle w:val="ListBullet"/>
        <w:rPr>
          <w:lang w:eastAsia="x-none"/>
        </w:rPr>
      </w:pPr>
      <w:r w:rsidRPr="004923C5">
        <w:rPr>
          <w:lang w:eastAsia="x-none"/>
        </w:rPr>
        <w:t>Transition to the use of partner government systems to deliver training to Indonesia’s school principals</w:t>
      </w:r>
      <w:r w:rsidR="002C77BE">
        <w:rPr>
          <w:lang w:eastAsia="x-none"/>
        </w:rPr>
        <w:t>. This</w:t>
      </w:r>
      <w:r w:rsidRPr="004923C5">
        <w:rPr>
          <w:lang w:eastAsia="x-none"/>
        </w:rPr>
        <w:t xml:space="preserve"> will be a major priority in the next reporting period</w:t>
      </w:r>
      <w:r w:rsidR="002C77BE">
        <w:rPr>
          <w:lang w:eastAsia="x-none"/>
        </w:rPr>
        <w:t xml:space="preserve"> as the </w:t>
      </w:r>
      <w:r w:rsidRPr="004923C5">
        <w:rPr>
          <w:lang w:eastAsia="x-none"/>
        </w:rPr>
        <w:t xml:space="preserve">use of partner government systems will provide a significant opportunity to help build a national continuous professional development system that is sustainable by </w:t>
      </w:r>
      <w:r w:rsidR="002C77BE">
        <w:rPr>
          <w:lang w:eastAsia="x-none"/>
        </w:rPr>
        <w:t>the government. T</w:t>
      </w:r>
      <w:r w:rsidRPr="004923C5">
        <w:rPr>
          <w:lang w:eastAsia="x-none"/>
        </w:rPr>
        <w:t>echnical assistance (advisers) will need to be refocused onto systems improvement, rather than training development and delivery.</w:t>
      </w:r>
    </w:p>
    <w:p w14:paraId="396670D7" w14:textId="2F16CB23" w:rsidR="004923C5" w:rsidRPr="004923C5" w:rsidRDefault="004923C5" w:rsidP="00B500DF">
      <w:pPr>
        <w:pStyle w:val="ListBullet"/>
        <w:rPr>
          <w:lang w:eastAsia="x-none"/>
        </w:rPr>
      </w:pPr>
      <w:r w:rsidRPr="004923C5">
        <w:rPr>
          <w:lang w:eastAsia="x-none"/>
        </w:rPr>
        <w:t xml:space="preserve">The rolling program of evaluations and audits for the </w:t>
      </w:r>
      <w:r w:rsidR="002C77BE">
        <w:rPr>
          <w:lang w:eastAsia="x-none"/>
        </w:rPr>
        <w:t>e</w:t>
      </w:r>
      <w:r w:rsidR="002C77BE" w:rsidRPr="004923C5">
        <w:rPr>
          <w:lang w:eastAsia="x-none"/>
        </w:rPr>
        <w:t xml:space="preserve">ducation </w:t>
      </w:r>
      <w:r w:rsidR="002C77BE">
        <w:rPr>
          <w:lang w:eastAsia="x-none"/>
        </w:rPr>
        <w:t>p</w:t>
      </w:r>
      <w:r w:rsidR="002C77BE" w:rsidRPr="004923C5">
        <w:rPr>
          <w:lang w:eastAsia="x-none"/>
        </w:rPr>
        <w:t xml:space="preserve">artnership </w:t>
      </w:r>
      <w:r w:rsidRPr="004923C5">
        <w:rPr>
          <w:lang w:eastAsia="x-none"/>
        </w:rPr>
        <w:t>will gain momentum in 2013, generating valuable performance data.</w:t>
      </w:r>
      <w:r w:rsidR="00B525E5">
        <w:rPr>
          <w:lang w:eastAsia="x-none"/>
        </w:rPr>
        <w:t xml:space="preserve"> </w:t>
      </w:r>
      <w:r w:rsidRPr="004923C5">
        <w:rPr>
          <w:lang w:eastAsia="x-none"/>
        </w:rPr>
        <w:t xml:space="preserve">It is crucial that the lessons learned are used to continually improve program implementation, so a process for analysing recommendations, formulating responses, and allocating responsibility for implementation, will need to be </w:t>
      </w:r>
      <w:proofErr w:type="spellStart"/>
      <w:r w:rsidR="002C77BE" w:rsidRPr="004923C5">
        <w:rPr>
          <w:lang w:eastAsia="x-none"/>
        </w:rPr>
        <w:t>operationali</w:t>
      </w:r>
      <w:r w:rsidR="002C77BE">
        <w:rPr>
          <w:lang w:eastAsia="x-none"/>
        </w:rPr>
        <w:t>s</w:t>
      </w:r>
      <w:r w:rsidR="002C77BE" w:rsidRPr="004923C5">
        <w:rPr>
          <w:lang w:eastAsia="x-none"/>
        </w:rPr>
        <w:t>ed</w:t>
      </w:r>
      <w:proofErr w:type="spellEnd"/>
      <w:r w:rsidRPr="004923C5">
        <w:rPr>
          <w:lang w:eastAsia="x-none"/>
        </w:rPr>
        <w:t>.</w:t>
      </w:r>
    </w:p>
    <w:p w14:paraId="2A03AE17" w14:textId="7592D2C5" w:rsidR="004923C5" w:rsidRPr="004923C5" w:rsidRDefault="004923C5" w:rsidP="00B500DF">
      <w:pPr>
        <w:pStyle w:val="ListBullet"/>
        <w:rPr>
          <w:lang w:eastAsia="x-none"/>
        </w:rPr>
      </w:pPr>
      <w:r w:rsidRPr="004923C5">
        <w:rPr>
          <w:lang w:eastAsia="x-none"/>
        </w:rPr>
        <w:t xml:space="preserve">As the Support to Education Development in Aceh program comes to an end in June 2013, there will be a strong focus on embedding the gains made under that program and continuing to work closely with the education sector leadership in Aceh to ensure the </w:t>
      </w:r>
      <w:r w:rsidR="002C77BE">
        <w:rPr>
          <w:lang w:eastAsia="x-none"/>
        </w:rPr>
        <w:t>e</w:t>
      </w:r>
      <w:r w:rsidR="002C77BE" w:rsidRPr="004923C5">
        <w:rPr>
          <w:lang w:eastAsia="x-none"/>
        </w:rPr>
        <w:t xml:space="preserve">ducation </w:t>
      </w:r>
      <w:r w:rsidR="002C77BE">
        <w:rPr>
          <w:lang w:eastAsia="x-none"/>
        </w:rPr>
        <w:t>p</w:t>
      </w:r>
      <w:r w:rsidR="002C77BE" w:rsidRPr="004923C5">
        <w:rPr>
          <w:lang w:eastAsia="x-none"/>
        </w:rPr>
        <w:t>artnership</w:t>
      </w:r>
      <w:r w:rsidRPr="004923C5">
        <w:rPr>
          <w:lang w:eastAsia="x-none"/>
        </w:rPr>
        <w:t>, particularly training to aspiring and incumbent school principals, is well-integrated and supportive of provincial priorities.</w:t>
      </w:r>
    </w:p>
    <w:p w14:paraId="5FA1E0DB" w14:textId="0F77B5D6" w:rsidR="00780026" w:rsidRPr="00B500DF" w:rsidRDefault="00154F9B" w:rsidP="00FA5501">
      <w:pPr>
        <w:pStyle w:val="BodyText"/>
      </w:pPr>
      <w:r>
        <w:t>T</w:t>
      </w:r>
      <w:r w:rsidRPr="004048AD">
        <w:t xml:space="preserve">he </w:t>
      </w:r>
      <w:r w:rsidR="002C77BE">
        <w:t>follow-</w:t>
      </w:r>
      <w:r>
        <w:t xml:space="preserve">up of </w:t>
      </w:r>
      <w:r w:rsidRPr="004048AD">
        <w:t xml:space="preserve">management consequences from the </w:t>
      </w:r>
      <w:r w:rsidR="002C77BE">
        <w:t>2011 annual program, performance report</w:t>
      </w:r>
      <w:r w:rsidR="002C77BE" w:rsidRPr="004048AD">
        <w:t xml:space="preserve"> </w:t>
      </w:r>
      <w:r>
        <w:t>can be found in</w:t>
      </w:r>
      <w:r w:rsidRPr="004048AD">
        <w:t xml:space="preserve"> </w:t>
      </w:r>
      <w:r w:rsidRPr="00154F9B">
        <w:rPr>
          <w:b/>
        </w:rPr>
        <w:t>Annex B</w:t>
      </w:r>
      <w:r w:rsidRPr="004048AD">
        <w:t>.</w:t>
      </w:r>
    </w:p>
    <w:p w14:paraId="603C0F98" w14:textId="77777777" w:rsidR="00780026" w:rsidRPr="00780026" w:rsidRDefault="00780026" w:rsidP="00B500DF">
      <w:pPr>
        <w:pStyle w:val="Heading1"/>
      </w:pPr>
      <w:bookmarkStart w:id="31" w:name="_Toc359585090"/>
      <w:bookmarkStart w:id="32" w:name="_Toc363804114"/>
      <w:r w:rsidRPr="00780026">
        <w:t>Health</w:t>
      </w:r>
      <w:bookmarkEnd w:id="31"/>
      <w:bookmarkEnd w:id="32"/>
    </w:p>
    <w:tbl>
      <w:tblPr>
        <w:tblStyle w:val="APPR2"/>
        <w:tblW w:w="5000" w:type="pct"/>
        <w:tblLayout w:type="fixed"/>
        <w:tblLook w:val="0000" w:firstRow="0" w:lastRow="0" w:firstColumn="0" w:lastColumn="0" w:noHBand="0" w:noVBand="0"/>
      </w:tblPr>
      <w:tblGrid>
        <w:gridCol w:w="6453"/>
        <w:gridCol w:w="1050"/>
        <w:gridCol w:w="1103"/>
      </w:tblGrid>
      <w:tr w:rsidR="00CB3B88" w:rsidRPr="00780026" w14:paraId="774A7715" w14:textId="77777777" w:rsidTr="00CB3B88">
        <w:trPr>
          <w:cantSplit/>
          <w:tblHeader w:val="0"/>
        </w:trPr>
        <w:tc>
          <w:tcPr>
            <w:tcW w:w="6048" w:type="dxa"/>
          </w:tcPr>
          <w:p w14:paraId="7B2F127B" w14:textId="77777777" w:rsidR="00CB3B88" w:rsidRPr="00780026" w:rsidRDefault="00CB3B88" w:rsidP="00CB3B88">
            <w:pPr>
              <w:pStyle w:val="TableTextColumnHeading"/>
            </w:pPr>
            <w:r w:rsidRPr="00780026">
              <w:rPr>
                <w:noProof/>
                <w:lang w:eastAsia="en-AU"/>
              </w:rPr>
              <w:drawing>
                <wp:anchor distT="0" distB="0" distL="114300" distR="114300" simplePos="0" relativeHeight="251700224" behindDoc="0" locked="0" layoutInCell="1" allowOverlap="1" wp14:anchorId="555C3F4B" wp14:editId="4EF50360">
                  <wp:simplePos x="0" y="0"/>
                  <wp:positionH relativeFrom="column">
                    <wp:posOffset>0</wp:posOffset>
                  </wp:positionH>
                  <wp:positionV relativeFrom="paragraph">
                    <wp:posOffset>0</wp:posOffset>
                  </wp:positionV>
                  <wp:extent cx="1857375" cy="228600"/>
                  <wp:effectExtent l="0" t="0" r="9525" b="0"/>
                  <wp:wrapNone/>
                  <wp:docPr id="10" name="Picture 1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026">
              <w:t>Objective</w:t>
            </w:r>
          </w:p>
        </w:tc>
        <w:tc>
          <w:tcPr>
            <w:tcW w:w="964" w:type="dxa"/>
            <w:vAlign w:val="center"/>
          </w:tcPr>
          <w:p w14:paraId="57E4F7D6" w14:textId="6A7B757B" w:rsidR="00CB3B88" w:rsidRPr="00780026" w:rsidRDefault="00CB3B88" w:rsidP="00CB3B88">
            <w:pPr>
              <w:pStyle w:val="TableTextColumnHeading"/>
            </w:pPr>
            <w:r w:rsidRPr="00780026">
              <w:t xml:space="preserve">Current </w:t>
            </w:r>
            <w:r>
              <w:t>r</w:t>
            </w:r>
            <w:r w:rsidRPr="00780026">
              <w:t>ating</w:t>
            </w:r>
          </w:p>
        </w:tc>
        <w:tc>
          <w:tcPr>
            <w:tcW w:w="1001" w:type="dxa"/>
            <w:vAlign w:val="center"/>
          </w:tcPr>
          <w:p w14:paraId="7CE1A381" w14:textId="1D56D37E" w:rsidR="00CB3B88" w:rsidRPr="00780026" w:rsidRDefault="00CB3B88" w:rsidP="00CB3B88">
            <w:pPr>
              <w:pStyle w:val="TableTextColumnHeading"/>
            </w:pPr>
            <w:r w:rsidRPr="00780026">
              <w:t xml:space="preserve">Previous </w:t>
            </w:r>
            <w:r>
              <w:t>r</w:t>
            </w:r>
            <w:r w:rsidRPr="00780026">
              <w:t>ating</w:t>
            </w:r>
          </w:p>
        </w:tc>
      </w:tr>
      <w:tr w:rsidR="00CB3B88" w:rsidRPr="00780026" w14:paraId="5924808D" w14:textId="77777777" w:rsidTr="00CB3B88">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7EC75E21" w14:textId="77777777" w:rsidR="00CB3B88" w:rsidRPr="00780026" w:rsidRDefault="00CB3B88" w:rsidP="00CB3B88">
            <w:pPr>
              <w:pStyle w:val="TableTextEntries"/>
            </w:pPr>
            <w:r w:rsidRPr="00780026">
              <w:t xml:space="preserve">Improved utilisation of quality primary health care and appropriate referral in selected districts and provinces </w:t>
            </w:r>
          </w:p>
        </w:tc>
        <w:tc>
          <w:tcPr>
            <w:tcW w:w="964" w:type="dxa"/>
            <w:shd w:val="clear" w:color="auto" w:fill="92D050"/>
            <w:noWrap/>
            <w:vAlign w:val="center"/>
          </w:tcPr>
          <w:p w14:paraId="417321C8" w14:textId="77777777" w:rsidR="00CB3B88" w:rsidRPr="00CB3B88" w:rsidRDefault="00CB3B88" w:rsidP="00CB3B88">
            <w:pPr>
              <w:pStyle w:val="TableTextEntries"/>
            </w:pPr>
            <w:r w:rsidRPr="00CB3B88">
              <w:t>Green</w:t>
            </w:r>
          </w:p>
        </w:tc>
        <w:tc>
          <w:tcPr>
            <w:tcW w:w="1001" w:type="dxa"/>
            <w:shd w:val="clear" w:color="auto" w:fill="92D050"/>
            <w:noWrap/>
            <w:vAlign w:val="center"/>
          </w:tcPr>
          <w:p w14:paraId="56D58A39" w14:textId="77777777" w:rsidR="00CB3B88" w:rsidRPr="00CB3B88" w:rsidRDefault="00CB3B88" w:rsidP="00CB3B88">
            <w:pPr>
              <w:pStyle w:val="TableTextEntries"/>
            </w:pPr>
            <w:r w:rsidRPr="00CB3B88">
              <w:t>Green</w:t>
            </w:r>
          </w:p>
        </w:tc>
      </w:tr>
      <w:tr w:rsidR="00CB3B88" w:rsidRPr="00780026" w14:paraId="162E6C1A" w14:textId="77777777" w:rsidTr="00CB3B88">
        <w:trPr>
          <w:cantSplit/>
          <w:tblHeader w:val="0"/>
        </w:trPr>
        <w:tc>
          <w:tcPr>
            <w:tcW w:w="6048" w:type="dxa"/>
          </w:tcPr>
          <w:p w14:paraId="686484E0" w14:textId="26FC3A27" w:rsidR="00CB3B88" w:rsidRPr="00780026" w:rsidRDefault="00CB3B88" w:rsidP="00CB3B88">
            <w:pPr>
              <w:pStyle w:val="TableTextEntries"/>
            </w:pPr>
            <w:r w:rsidRPr="00780026">
              <w:t xml:space="preserve">Confident use of health facilities and services for delivery of babies, ante-natal and post-natal care in </w:t>
            </w:r>
            <w:r w:rsidRPr="002C77BE">
              <w:t xml:space="preserve">Nusa Tenggara </w:t>
            </w:r>
            <w:proofErr w:type="spellStart"/>
            <w:r w:rsidRPr="002C77BE">
              <w:t>Timur</w:t>
            </w:r>
            <w:proofErr w:type="spellEnd"/>
          </w:p>
        </w:tc>
        <w:tc>
          <w:tcPr>
            <w:tcW w:w="964" w:type="dxa"/>
            <w:shd w:val="clear" w:color="auto" w:fill="92D050"/>
            <w:noWrap/>
            <w:vAlign w:val="center"/>
          </w:tcPr>
          <w:p w14:paraId="734A758A" w14:textId="77777777" w:rsidR="00CB3B88" w:rsidRPr="00CB3B88" w:rsidRDefault="00CB3B88" w:rsidP="00CB3B88">
            <w:pPr>
              <w:pStyle w:val="TableTextEntries"/>
            </w:pPr>
            <w:r w:rsidRPr="00CB3B88">
              <w:t>Green</w:t>
            </w:r>
          </w:p>
        </w:tc>
        <w:tc>
          <w:tcPr>
            <w:tcW w:w="1001" w:type="dxa"/>
            <w:shd w:val="clear" w:color="auto" w:fill="92D050"/>
            <w:noWrap/>
            <w:vAlign w:val="center"/>
          </w:tcPr>
          <w:p w14:paraId="3E852D7A" w14:textId="77777777" w:rsidR="00CB3B88" w:rsidRPr="00CB3B88" w:rsidRDefault="00CB3B88" w:rsidP="00CB3B88">
            <w:pPr>
              <w:pStyle w:val="TableTextEntries"/>
            </w:pPr>
            <w:r w:rsidRPr="00CB3B88">
              <w:t>Green</w:t>
            </w:r>
          </w:p>
        </w:tc>
      </w:tr>
      <w:tr w:rsidR="00CB3B88" w:rsidRPr="00780026" w14:paraId="4F698DEB" w14:textId="77777777" w:rsidTr="00CB3B88">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0DF5DF90" w14:textId="77777777" w:rsidR="00CB3B88" w:rsidRPr="00780026" w:rsidRDefault="00CB3B88" w:rsidP="00CB3B88">
            <w:pPr>
              <w:pStyle w:val="TableTextEntries"/>
            </w:pPr>
            <w:r w:rsidRPr="00780026">
              <w:t>Increased HIV/AIDS prevention, treatment, care and support in selected regions</w:t>
            </w:r>
          </w:p>
        </w:tc>
        <w:tc>
          <w:tcPr>
            <w:tcW w:w="964" w:type="dxa"/>
            <w:shd w:val="clear" w:color="auto" w:fill="92D050"/>
            <w:noWrap/>
            <w:vAlign w:val="center"/>
          </w:tcPr>
          <w:p w14:paraId="2C8E610B" w14:textId="77777777" w:rsidR="00CB3B88" w:rsidRPr="00CB3B88" w:rsidRDefault="00CB3B88" w:rsidP="00CB3B88">
            <w:pPr>
              <w:pStyle w:val="TableTextEntries"/>
            </w:pPr>
            <w:r w:rsidRPr="00CB3B88">
              <w:t>Green</w:t>
            </w:r>
          </w:p>
        </w:tc>
        <w:tc>
          <w:tcPr>
            <w:tcW w:w="1001" w:type="dxa"/>
            <w:shd w:val="clear" w:color="auto" w:fill="92D050"/>
            <w:noWrap/>
            <w:vAlign w:val="center"/>
          </w:tcPr>
          <w:p w14:paraId="0D2B4101" w14:textId="77777777" w:rsidR="00CB3B88" w:rsidRPr="00CB3B88" w:rsidRDefault="00CB3B88" w:rsidP="00CB3B88">
            <w:pPr>
              <w:pStyle w:val="TableTextEntries"/>
            </w:pPr>
            <w:r w:rsidRPr="00CB3B88">
              <w:t>Green</w:t>
            </w:r>
          </w:p>
        </w:tc>
      </w:tr>
      <w:tr w:rsidR="00CB3B88" w:rsidRPr="00780026" w14:paraId="4D6F5D3B" w14:textId="77777777" w:rsidTr="00CB3B88">
        <w:trPr>
          <w:cantSplit/>
          <w:tblHeader w:val="0"/>
        </w:trPr>
        <w:tc>
          <w:tcPr>
            <w:tcW w:w="6048" w:type="dxa"/>
          </w:tcPr>
          <w:p w14:paraId="1F763FF2" w14:textId="77777777" w:rsidR="00CB3B88" w:rsidRPr="00780026" w:rsidRDefault="00CB3B88" w:rsidP="00CB3B88">
            <w:pPr>
              <w:pStyle w:val="TableTextEntries"/>
            </w:pPr>
            <w:r w:rsidRPr="00780026">
              <w:t>Strengthened emerging infectious diseases prevention, detection and control mechanisms in the Ministries of Health and Agriculture</w:t>
            </w:r>
          </w:p>
        </w:tc>
        <w:tc>
          <w:tcPr>
            <w:tcW w:w="964" w:type="dxa"/>
            <w:shd w:val="clear" w:color="auto" w:fill="F79646" w:themeFill="accent6"/>
            <w:noWrap/>
            <w:vAlign w:val="center"/>
          </w:tcPr>
          <w:p w14:paraId="167FFD02" w14:textId="77777777" w:rsidR="00CB3B88" w:rsidRPr="00CB3B88" w:rsidRDefault="00CB3B88" w:rsidP="00CB3B88">
            <w:pPr>
              <w:pStyle w:val="TableTextEntries"/>
            </w:pPr>
            <w:r w:rsidRPr="00CB3B88">
              <w:t>Amber</w:t>
            </w:r>
          </w:p>
        </w:tc>
        <w:tc>
          <w:tcPr>
            <w:tcW w:w="1001" w:type="dxa"/>
            <w:shd w:val="clear" w:color="auto" w:fill="F79646" w:themeFill="accent6"/>
            <w:noWrap/>
            <w:vAlign w:val="center"/>
          </w:tcPr>
          <w:p w14:paraId="4C21F2E0" w14:textId="77777777" w:rsidR="00CB3B88" w:rsidRPr="00CB3B88" w:rsidRDefault="00CB3B88" w:rsidP="00CB3B88">
            <w:pPr>
              <w:pStyle w:val="TableTextEntries"/>
            </w:pPr>
            <w:r w:rsidRPr="00CB3B88">
              <w:t>Amber</w:t>
            </w:r>
          </w:p>
        </w:tc>
      </w:tr>
    </w:tbl>
    <w:p w14:paraId="129F525D" w14:textId="77777777" w:rsidR="00780026" w:rsidRPr="00780026" w:rsidRDefault="00780026" w:rsidP="00CB3B88">
      <w:pPr>
        <w:pStyle w:val="Note"/>
      </w:pPr>
      <w:r w:rsidRPr="00780026">
        <w:t xml:space="preserve">Note: </w:t>
      </w:r>
    </w:p>
    <w:p w14:paraId="05276360" w14:textId="77777777" w:rsidR="00780026" w:rsidRPr="00780026" w:rsidRDefault="00780026" w:rsidP="00CB3B88">
      <w:pPr>
        <w:pStyle w:val="Note"/>
      </w:pPr>
      <w:r w:rsidRPr="00780026">
        <w:rPr>
          <w:color w:val="92D050"/>
        </w:rPr>
        <w:sym w:font="Webdings" w:char="F067"/>
      </w:r>
      <w:r w:rsidRPr="00780026">
        <w:t> </w:t>
      </w:r>
      <w:r w:rsidRPr="00780026">
        <w:t xml:space="preserve"> </w:t>
      </w:r>
      <w:proofErr w:type="gramStart"/>
      <w:r w:rsidRPr="00780026">
        <w:t>Green.</w:t>
      </w:r>
      <w:proofErr w:type="gramEnd"/>
      <w:r w:rsidRPr="00780026">
        <w:t xml:space="preserve"> Progress is as expected for this point in time and it is likely that the objective will be achieved. Standard program management practices are sufficient.</w:t>
      </w:r>
    </w:p>
    <w:p w14:paraId="531C0615" w14:textId="77777777" w:rsidR="00780026" w:rsidRPr="00780026" w:rsidRDefault="00780026" w:rsidP="00CB3B88">
      <w:pPr>
        <w:pStyle w:val="Note"/>
      </w:pPr>
      <w:r w:rsidRPr="00780026">
        <w:rPr>
          <w:color w:val="F79646" w:themeColor="accent6"/>
        </w:rPr>
        <w:sym w:font="Webdings" w:char="F067"/>
      </w:r>
      <w:r w:rsidRPr="00780026">
        <w:t> </w:t>
      </w:r>
      <w:r w:rsidRPr="00780026">
        <w:t xml:space="preserve"> Amber. Progress is somewhat less than expected for this point in time and restorative action will be necessary if the objective is to be achieved. Close performance monitoring is recommended.</w:t>
      </w:r>
    </w:p>
    <w:p w14:paraId="752233E9" w14:textId="77777777" w:rsidR="00780026" w:rsidRPr="00780026" w:rsidRDefault="00780026" w:rsidP="00CB3B88">
      <w:pPr>
        <w:pStyle w:val="Note"/>
      </w:pPr>
      <w:r w:rsidRPr="00780026">
        <w:rPr>
          <w:color w:val="FF0000"/>
        </w:rPr>
        <w:sym w:font="Webdings" w:char="F067"/>
      </w:r>
      <w:r w:rsidRPr="00780026">
        <w:t> </w:t>
      </w:r>
      <w:r w:rsidRPr="00780026">
        <w:t xml:space="preserve"> </w:t>
      </w:r>
      <w:proofErr w:type="gramStart"/>
      <w:r w:rsidRPr="00780026">
        <w:t>Red.</w:t>
      </w:r>
      <w:proofErr w:type="gramEnd"/>
      <w:r w:rsidRPr="00780026">
        <w:t xml:space="preserve"> Progress is significantly less than expected for this point in time and the objective is not likely to be met given available resources and priorities. Recasting the objective may be required. </w:t>
      </w:r>
    </w:p>
    <w:p w14:paraId="3C2E5B25" w14:textId="77777777" w:rsidR="001C51E9" w:rsidRPr="00CB3B88" w:rsidRDefault="001C51E9" w:rsidP="00CB3B88">
      <w:pPr>
        <w:pStyle w:val="BodyText"/>
      </w:pPr>
    </w:p>
    <w:p w14:paraId="596B6AB0" w14:textId="4A498505" w:rsidR="001C51E9" w:rsidRPr="001C51E9" w:rsidRDefault="001C51E9" w:rsidP="00BD7A1D">
      <w:pPr>
        <w:pStyle w:val="ListBullet"/>
      </w:pPr>
      <w:r w:rsidRPr="001C51E9">
        <w:t xml:space="preserve">Indonesia has achieved a number of improvements in the health of its population over the past </w:t>
      </w:r>
      <w:r w:rsidR="002C77BE">
        <w:t>20</w:t>
      </w:r>
      <w:r w:rsidR="002C77BE" w:rsidRPr="001C51E9">
        <w:t xml:space="preserve"> </w:t>
      </w:r>
      <w:r w:rsidRPr="001C51E9">
        <w:t>years.</w:t>
      </w:r>
      <w:r w:rsidR="00B525E5">
        <w:t xml:space="preserve"> </w:t>
      </w:r>
      <w:r w:rsidR="002C77BE">
        <w:t xml:space="preserve">According to the </w:t>
      </w:r>
      <w:r w:rsidR="002C77BE" w:rsidRPr="001C51E9">
        <w:t>World Bank</w:t>
      </w:r>
      <w:r w:rsidR="002C77BE">
        <w:t>,</w:t>
      </w:r>
      <w:r w:rsidR="002C77BE" w:rsidRPr="001C51E9">
        <w:t xml:space="preserve"> </w:t>
      </w:r>
      <w:r w:rsidR="002C77BE">
        <w:t>b</w:t>
      </w:r>
      <w:r w:rsidR="002C77BE" w:rsidRPr="001C51E9">
        <w:t xml:space="preserve">etween </w:t>
      </w:r>
      <w:r w:rsidRPr="001C51E9">
        <w:t>1991 and 2012 life expectancy increased from 62 to 69, under-five mortality decreased from 97 to 40 per 1000 live births and infant mortality from 68 to 32 per 1000 live births (</w:t>
      </w:r>
      <w:r w:rsidR="002C77BE" w:rsidRPr="00BD7A1D">
        <w:rPr>
          <w:rStyle w:val="BodyTextChar"/>
        </w:rPr>
        <w:t xml:space="preserve">Indonesia Demographic Heath Survey </w:t>
      </w:r>
      <w:r w:rsidRPr="001C51E9">
        <w:t>2012).</w:t>
      </w:r>
      <w:r w:rsidR="00B525E5">
        <w:t xml:space="preserve"> </w:t>
      </w:r>
      <w:r w:rsidRPr="001C51E9">
        <w:t xml:space="preserve">Indonesia has already achieved all of its </w:t>
      </w:r>
      <w:r w:rsidR="00504094">
        <w:t>Millennium Development Goals (</w:t>
      </w:r>
      <w:r w:rsidRPr="001C51E9">
        <w:t>MDG</w:t>
      </w:r>
      <w:r w:rsidR="00504094">
        <w:t>)</w:t>
      </w:r>
      <w:r w:rsidRPr="001C51E9">
        <w:t xml:space="preserve"> targets for reversing the incidence of tuberculosis.</w:t>
      </w:r>
      <w:r w:rsidR="00B525E5">
        <w:t xml:space="preserve"> </w:t>
      </w:r>
    </w:p>
    <w:p w14:paraId="08E8D063" w14:textId="72DBA362" w:rsidR="001C51E9" w:rsidRPr="00CB3B88" w:rsidRDefault="001C51E9" w:rsidP="00BD7A1D">
      <w:pPr>
        <w:pStyle w:val="ListBullet"/>
      </w:pPr>
      <w:r w:rsidRPr="00CB3B88">
        <w:t xml:space="preserve">However, </w:t>
      </w:r>
      <w:r w:rsidR="002C77BE" w:rsidRPr="00CB3B88">
        <w:t xml:space="preserve">the country </w:t>
      </w:r>
      <w:r w:rsidRPr="00CB3B88">
        <w:t xml:space="preserve">remains off-track with regard to the MDGs for nutrition, maternal health and HIV/AIDS, and the latest data show that the MDGs for child mortality and for </w:t>
      </w:r>
      <w:r w:rsidRPr="00CB3B88">
        <w:lastRenderedPageBreak/>
        <w:t>malaria may not be met.</w:t>
      </w:r>
      <w:r w:rsidR="00B525E5" w:rsidRPr="00CB3B88">
        <w:t xml:space="preserve"> </w:t>
      </w:r>
      <w:r w:rsidRPr="00CB3B88">
        <w:t xml:space="preserve">Although malaria is well on the way to being controlled in most of the country, extremely high incidence rates in the three eastern provinces of Nusa Tenggara </w:t>
      </w:r>
      <w:proofErr w:type="spellStart"/>
      <w:r w:rsidRPr="00CB3B88">
        <w:t>Timur</w:t>
      </w:r>
      <w:proofErr w:type="spellEnd"/>
      <w:r w:rsidRPr="00CB3B88">
        <w:t>, Papua and Papua Barat are adversely affecting the national statistics.</w:t>
      </w:r>
      <w:r w:rsidR="00B525E5" w:rsidRPr="00CB3B88">
        <w:t xml:space="preserve"> </w:t>
      </w:r>
      <w:r w:rsidRPr="00CB3B88">
        <w:t>The maternal mortality statistics are of particular concern.</w:t>
      </w:r>
      <w:r w:rsidR="00B525E5" w:rsidRPr="00CB3B88">
        <w:t xml:space="preserve"> </w:t>
      </w:r>
      <w:r w:rsidRPr="00CB3B88">
        <w:t xml:space="preserve">The 2007 </w:t>
      </w:r>
      <w:r w:rsidR="002C77BE" w:rsidRPr="00CB3B88">
        <w:t>Indonesia</w:t>
      </w:r>
      <w:r w:rsidR="002C77BE" w:rsidRPr="00BD7A1D">
        <w:rPr>
          <w:rStyle w:val="BodyTextChar"/>
        </w:rPr>
        <w:t xml:space="preserve"> Demographic Heath Survey</w:t>
      </w:r>
      <w:r w:rsidR="002C77BE" w:rsidRPr="00BD7A1D">
        <w:t xml:space="preserve"> </w:t>
      </w:r>
      <w:r w:rsidRPr="00CB3B88">
        <w:t xml:space="preserve">estimated the national </w:t>
      </w:r>
      <w:r w:rsidR="002C77BE" w:rsidRPr="00CB3B88">
        <w:t xml:space="preserve">maternal mortality ratio </w:t>
      </w:r>
      <w:r w:rsidRPr="00CB3B88">
        <w:t>to be 228 maternal deaths per 100</w:t>
      </w:r>
      <w:r w:rsidR="002C77BE" w:rsidRPr="00CB3B88">
        <w:t xml:space="preserve"> </w:t>
      </w:r>
      <w:r w:rsidRPr="00CB3B88">
        <w:t xml:space="preserve">000 live births, already very high compared to other middle income countries in the region, but preliminary data analysis of the 2012 </w:t>
      </w:r>
      <w:r w:rsidR="007E116E" w:rsidRPr="00BD7A1D">
        <w:rPr>
          <w:rStyle w:val="BodyTextChar"/>
        </w:rPr>
        <w:t xml:space="preserve">Indonesia Demographic Heath Survey </w:t>
      </w:r>
      <w:r w:rsidRPr="00CB3B88">
        <w:t>suggests that the figure is over 300.</w:t>
      </w:r>
      <w:r w:rsidR="00B525E5" w:rsidRPr="00CB3B88">
        <w:t xml:space="preserve"> </w:t>
      </w:r>
      <w:r w:rsidRPr="00CB3B88">
        <w:t>Analysis of the 2010 census data gave a probably more accurate estimate of 260.</w:t>
      </w:r>
      <w:r w:rsidR="00B525E5" w:rsidRPr="00CB3B88">
        <w:t xml:space="preserve"> </w:t>
      </w:r>
      <w:r w:rsidRPr="00CB3B88">
        <w:t>It is clear that the MDG target of 102 cannot be met.</w:t>
      </w:r>
      <w:r w:rsidR="00B525E5" w:rsidRPr="00CB3B88">
        <w:t xml:space="preserve"> </w:t>
      </w:r>
      <w:r w:rsidRPr="00CB3B88">
        <w:t>Furthermore, inequalities in health and nutrition outcomes are tending to increase.</w:t>
      </w:r>
      <w:r w:rsidR="00B525E5" w:rsidRPr="00CB3B88">
        <w:t xml:space="preserve"> </w:t>
      </w:r>
      <w:r w:rsidRPr="00CB3B88">
        <w:t>For example, between 2007 and 2010 rates of childhood stunting increased in the poorest quintile from 40</w:t>
      </w:r>
      <w:r w:rsidR="007E116E" w:rsidRPr="00CB3B88">
        <w:t xml:space="preserve"> per cent </w:t>
      </w:r>
      <w:r w:rsidRPr="00CB3B88">
        <w:t>to 43</w:t>
      </w:r>
      <w:r w:rsidR="007E116E" w:rsidRPr="00CB3B88">
        <w:t xml:space="preserve"> per cent </w:t>
      </w:r>
      <w:r w:rsidRPr="00CB3B88">
        <w:t>while decreasing slightly from 37</w:t>
      </w:r>
      <w:r w:rsidR="007E116E" w:rsidRPr="00CB3B88">
        <w:t xml:space="preserve"> per cent </w:t>
      </w:r>
      <w:r w:rsidRPr="00CB3B88">
        <w:t>to 36</w:t>
      </w:r>
      <w:r w:rsidR="007E116E" w:rsidRPr="00CB3B88">
        <w:t xml:space="preserve"> per cent </w:t>
      </w:r>
      <w:r w:rsidRPr="00CB3B88">
        <w:t>across the total population (</w:t>
      </w:r>
      <w:proofErr w:type="spellStart"/>
      <w:r w:rsidRPr="00CB3B88">
        <w:t>Riskesdas</w:t>
      </w:r>
      <w:proofErr w:type="spellEnd"/>
      <w:r w:rsidRPr="00CB3B88">
        <w:t xml:space="preserve"> 2007 </w:t>
      </w:r>
      <w:r w:rsidR="007E116E" w:rsidRPr="00CB3B88">
        <w:t xml:space="preserve">and </w:t>
      </w:r>
      <w:r w:rsidRPr="00CB3B88">
        <w:t>2010).</w:t>
      </w:r>
    </w:p>
    <w:p w14:paraId="668F0F66" w14:textId="3EA99011" w:rsidR="001C51E9" w:rsidRPr="001C51E9" w:rsidRDefault="001C51E9" w:rsidP="001C51E9">
      <w:pPr>
        <w:pStyle w:val="BodyText"/>
      </w:pPr>
      <w:r w:rsidRPr="001C51E9">
        <w:t>Indonesia’s investment in health is low compared with other lower middle income countries, with government financing being only around 1</w:t>
      </w:r>
      <w:r w:rsidR="007E116E">
        <w:t xml:space="preserve"> per cent</w:t>
      </w:r>
      <w:r w:rsidR="007E116E" w:rsidRPr="001C51E9">
        <w:t xml:space="preserve"> </w:t>
      </w:r>
      <w:r w:rsidRPr="001C51E9">
        <w:t>of GDP and total financing only 2.2</w:t>
      </w:r>
      <w:r w:rsidR="007E116E">
        <w:t xml:space="preserve"> per cent</w:t>
      </w:r>
      <w:r w:rsidRPr="001C51E9">
        <w:t xml:space="preserve"> (compared with an average of 4.3</w:t>
      </w:r>
      <w:r w:rsidR="007E116E">
        <w:t xml:space="preserve"> per cent</w:t>
      </w:r>
      <w:r w:rsidR="007E116E" w:rsidRPr="001C51E9">
        <w:t xml:space="preserve"> </w:t>
      </w:r>
      <w:r w:rsidRPr="001C51E9">
        <w:t>in lower middle income countries).</w:t>
      </w:r>
      <w:r w:rsidR="00B525E5">
        <w:t xml:space="preserve"> </w:t>
      </w:r>
      <w:r w:rsidRPr="001C51E9">
        <w:t xml:space="preserve">At the end of 2011 the </w:t>
      </w:r>
      <w:r w:rsidR="000A11DD">
        <w:t>Indonesian Government</w:t>
      </w:r>
      <w:r w:rsidRPr="001C51E9">
        <w:t xml:space="preserve"> passed legislation outlining the roll-out of universal health care coverage through a unified publicly financed national health insurance scheme with policy and institutional frameworks to be operational by 1 January 2014.</w:t>
      </w:r>
      <w:r w:rsidR="00B525E5">
        <w:t xml:space="preserve"> </w:t>
      </w:r>
      <w:r w:rsidRPr="001C51E9">
        <w:t>This will fundamentally change health financing and systems in Indonesia over the coming decade and is likely to increase significantly the government’s investment in health.</w:t>
      </w:r>
    </w:p>
    <w:p w14:paraId="194EA70E" w14:textId="6837AB9B" w:rsidR="001C51E9" w:rsidRPr="001C51E9" w:rsidRDefault="001C51E9" w:rsidP="001C51E9">
      <w:pPr>
        <w:pStyle w:val="BodyText"/>
      </w:pPr>
      <w:r w:rsidRPr="001C51E9">
        <w:t xml:space="preserve">Australia’s health partnership with Indonesia is aimed at supporting the </w:t>
      </w:r>
      <w:r w:rsidR="000A11DD">
        <w:t>Indonesian Government</w:t>
      </w:r>
      <w:r w:rsidRPr="001C51E9">
        <w:t xml:space="preserve"> in achieving its two overarching objectives for the sector:</w:t>
      </w:r>
      <w:r w:rsidR="00B525E5">
        <w:t xml:space="preserve"> </w:t>
      </w:r>
      <w:r w:rsidRPr="001C51E9">
        <w:t>accelerating progress towards the off-track MDG targets</w:t>
      </w:r>
      <w:r w:rsidR="007E116E">
        <w:t>,</w:t>
      </w:r>
      <w:r w:rsidRPr="001C51E9">
        <w:t xml:space="preserve"> and rolling out universal coverage of essential health services.</w:t>
      </w:r>
      <w:r w:rsidR="00B525E5">
        <w:t xml:space="preserve"> </w:t>
      </w:r>
      <w:r w:rsidRPr="001C51E9">
        <w:t>To achieve this, our portfolio currently consists of programs that work across the areas of:</w:t>
      </w:r>
    </w:p>
    <w:p w14:paraId="796B863F" w14:textId="0655DC31" w:rsidR="001C51E9" w:rsidRPr="001C51E9" w:rsidRDefault="001C51E9" w:rsidP="00CB3B88">
      <w:pPr>
        <w:pStyle w:val="ListBullet"/>
      </w:pPr>
      <w:r w:rsidRPr="001C51E9">
        <w:t xml:space="preserve">health system strengthening, with </w:t>
      </w:r>
      <w:r w:rsidR="007E116E">
        <w:t xml:space="preserve">an </w:t>
      </w:r>
      <w:r w:rsidRPr="001C51E9">
        <w:t xml:space="preserve">emphases on primary health care financing and health workforce system reforms to improve access for poor women and children </w:t>
      </w:r>
    </w:p>
    <w:p w14:paraId="2D0A07A3" w14:textId="77777777" w:rsidR="001C51E9" w:rsidRPr="001C51E9" w:rsidRDefault="001C51E9" w:rsidP="00CB3B88">
      <w:pPr>
        <w:pStyle w:val="ListBullet"/>
      </w:pPr>
      <w:r w:rsidRPr="001C51E9">
        <w:t xml:space="preserve">maternal and neonatal health (currently only in Nusa Tenggara </w:t>
      </w:r>
      <w:proofErr w:type="spellStart"/>
      <w:r w:rsidRPr="001C51E9">
        <w:t>Timur</w:t>
      </w:r>
      <w:proofErr w:type="spellEnd"/>
      <w:r w:rsidRPr="001C51E9">
        <w:t xml:space="preserve"> province)</w:t>
      </w:r>
    </w:p>
    <w:p w14:paraId="74D3CFA7" w14:textId="77777777" w:rsidR="001C51E9" w:rsidRPr="001C51E9" w:rsidRDefault="001C51E9" w:rsidP="00CB3B88">
      <w:pPr>
        <w:pStyle w:val="ListBullet"/>
      </w:pPr>
      <w:r w:rsidRPr="001C51E9">
        <w:t xml:space="preserve">priority diseases impacting the poor and vulnerable including HIV/AIDS and emerging infectious diseases </w:t>
      </w:r>
    </w:p>
    <w:p w14:paraId="7CD238E5" w14:textId="679CE858" w:rsidR="001C51E9" w:rsidRPr="001C51E9" w:rsidRDefault="001C51E9" w:rsidP="00CB3B88">
      <w:pPr>
        <w:pStyle w:val="ListBullet"/>
      </w:pPr>
      <w:proofErr w:type="gramStart"/>
      <w:r w:rsidRPr="001C51E9">
        <w:t>programs</w:t>
      </w:r>
      <w:proofErr w:type="gramEnd"/>
      <w:r w:rsidRPr="001C51E9">
        <w:t xml:space="preserve"> under the health portfolio </w:t>
      </w:r>
      <w:r w:rsidR="007E116E">
        <w:t xml:space="preserve">that </w:t>
      </w:r>
      <w:r w:rsidRPr="001C51E9">
        <w:t xml:space="preserve">complement the </w:t>
      </w:r>
      <w:r w:rsidR="00504094">
        <w:t>Poverty reduction sub program to improve health and education</w:t>
      </w:r>
      <w:r w:rsidR="007E116E">
        <w:t>. This</w:t>
      </w:r>
      <w:r w:rsidRPr="001C51E9">
        <w:t xml:space="preserve"> covers </w:t>
      </w:r>
      <w:r w:rsidR="007E116E" w:rsidRPr="001C51E9">
        <w:t>immuni</w:t>
      </w:r>
      <w:r w:rsidR="007E116E">
        <w:t>s</w:t>
      </w:r>
      <w:r w:rsidR="007E116E" w:rsidRPr="001C51E9">
        <w:t>ation</w:t>
      </w:r>
      <w:r w:rsidRPr="001C51E9">
        <w:t>, prenatal care and assisted delivery.</w:t>
      </w:r>
    </w:p>
    <w:p w14:paraId="27DD9384" w14:textId="37DCD44B" w:rsidR="001C51E9" w:rsidRPr="001C51E9" w:rsidRDefault="001C51E9" w:rsidP="001C51E9">
      <w:pPr>
        <w:pStyle w:val="BodyText"/>
      </w:pPr>
      <w:r w:rsidRPr="001C51E9">
        <w:t xml:space="preserve">The </w:t>
      </w:r>
      <w:r w:rsidR="000A11DD">
        <w:t>Australia–Indonesia</w:t>
      </w:r>
      <w:r w:rsidRPr="001C51E9">
        <w:t xml:space="preserve"> Partnership for Health System Strengthening has been in its inception phase, so measurable results for the period are not yet available.</w:t>
      </w:r>
      <w:r w:rsidR="00B525E5">
        <w:t xml:space="preserve"> </w:t>
      </w:r>
      <w:r w:rsidRPr="001C51E9">
        <w:t>However, the magnitude of the reform to the health sector that is required to introduce and support the national health insurance scheme in 2014 is considerable</w:t>
      </w:r>
      <w:r w:rsidR="007E116E">
        <w:t>. The</w:t>
      </w:r>
      <w:r w:rsidRPr="001C51E9">
        <w:t xml:space="preserve"> </w:t>
      </w:r>
      <w:r w:rsidR="007E116E">
        <w:t>program</w:t>
      </w:r>
      <w:r w:rsidR="007E116E" w:rsidRPr="001C51E9">
        <w:t xml:space="preserve"> </w:t>
      </w:r>
      <w:r w:rsidRPr="001C51E9">
        <w:t xml:space="preserve">is now ideally positioned to assist the </w:t>
      </w:r>
      <w:r w:rsidR="007E116E">
        <w:t>g</w:t>
      </w:r>
      <w:r w:rsidR="007E116E" w:rsidRPr="001C51E9">
        <w:t xml:space="preserve">overnment </w:t>
      </w:r>
      <w:r w:rsidRPr="001C51E9">
        <w:t>with this reform</w:t>
      </w:r>
      <w:r w:rsidR="007E116E">
        <w:t>,</w:t>
      </w:r>
      <w:r w:rsidRPr="001C51E9">
        <w:t xml:space="preserve"> aligned with </w:t>
      </w:r>
      <w:r w:rsidR="007E116E">
        <w:t>its</w:t>
      </w:r>
      <w:r w:rsidRPr="001C51E9">
        <w:t xml:space="preserve"> key priorities as outlined in the </w:t>
      </w:r>
      <w:r w:rsidR="007E116E">
        <w:t>g</w:t>
      </w:r>
      <w:r w:rsidR="007E116E" w:rsidRPr="001C51E9">
        <w:t xml:space="preserve">overnment’s </w:t>
      </w:r>
      <w:r w:rsidRPr="001C51E9">
        <w:t>own Roadmap toward National Health Insurance 2012</w:t>
      </w:r>
      <w:r w:rsidR="007E116E">
        <w:t>–</w:t>
      </w:r>
      <w:r w:rsidRPr="001C51E9">
        <w:t>2019.</w:t>
      </w:r>
      <w:r w:rsidR="00B525E5">
        <w:t xml:space="preserve"> </w:t>
      </w:r>
      <w:r w:rsidR="007E116E" w:rsidRPr="001C51E9">
        <w:t xml:space="preserve">The </w:t>
      </w:r>
      <w:r w:rsidR="007E116E">
        <w:t>Australia–Indonesia</w:t>
      </w:r>
      <w:r w:rsidR="007E116E" w:rsidRPr="001C51E9">
        <w:t xml:space="preserve"> Partnership for Health System Strengthening </w:t>
      </w:r>
      <w:r w:rsidRPr="001C51E9">
        <w:t>achieved several positive outcomes through activities initiated in the design phase which are now incorporated into the program.</w:t>
      </w:r>
      <w:r w:rsidR="00B525E5">
        <w:t xml:space="preserve"> </w:t>
      </w:r>
      <w:r w:rsidRPr="001C51E9">
        <w:t>They included the production of national-level health data that has been used as an evidence base for policy makers</w:t>
      </w:r>
      <w:r w:rsidR="00760516">
        <w:t>––</w:t>
      </w:r>
      <w:r w:rsidRPr="001C51E9">
        <w:t>including financial projections for the new national health insurance scheme</w:t>
      </w:r>
      <w:r w:rsidR="00760516">
        <w:t>––</w:t>
      </w:r>
      <w:r w:rsidRPr="001C51E9">
        <w:t>and district level data used by local governments to advocate for increased health budgets, including block grant allocations for operational costs of primary care health centres at the community level.</w:t>
      </w:r>
    </w:p>
    <w:p w14:paraId="7A70FF33" w14:textId="07D47943" w:rsidR="001C51E9" w:rsidRPr="001C51E9" w:rsidRDefault="001C51E9" w:rsidP="001C51E9">
      <w:pPr>
        <w:pStyle w:val="BodyText"/>
      </w:pPr>
      <w:r w:rsidRPr="001C51E9">
        <w:t xml:space="preserve">At a time when improvement in the Maternal Mortality Ratio at the national level has stalled, data from Nusa Tenggara </w:t>
      </w:r>
      <w:proofErr w:type="spellStart"/>
      <w:r w:rsidRPr="001C51E9">
        <w:t>Timur</w:t>
      </w:r>
      <w:proofErr w:type="spellEnd"/>
      <w:r w:rsidRPr="001C51E9">
        <w:t xml:space="preserve"> province show that the absolute numbers of maternal deaths have significantly declined since 2009 with support from the </w:t>
      </w:r>
      <w:r w:rsidR="000A11DD">
        <w:t>Australia–Indonesia</w:t>
      </w:r>
      <w:r w:rsidRPr="001C51E9">
        <w:t xml:space="preserve"> Partnership </w:t>
      </w:r>
      <w:r w:rsidRPr="001C51E9">
        <w:lastRenderedPageBreak/>
        <w:t>for Maternal and Neonatal Health program.</w:t>
      </w:r>
      <w:r w:rsidR="00B525E5">
        <w:t xml:space="preserve"> </w:t>
      </w:r>
      <w:r w:rsidRPr="001C51E9">
        <w:t xml:space="preserve">Maternal deaths in the 14 </w:t>
      </w:r>
      <w:r w:rsidR="00760516">
        <w:t>program</w:t>
      </w:r>
      <w:r w:rsidRPr="001C51E9">
        <w:t>-supported districts by year were 185 in 2009, 175 in 2010, 148 in 2011 and 125 in 2012.</w:t>
      </w:r>
      <w:r w:rsidR="00B525E5">
        <w:t xml:space="preserve"> </w:t>
      </w:r>
      <w:r w:rsidRPr="001C51E9">
        <w:t>Since January 2012 the program has contributed to 27</w:t>
      </w:r>
      <w:r w:rsidR="00760516">
        <w:t xml:space="preserve"> </w:t>
      </w:r>
      <w:r w:rsidRPr="001C51E9">
        <w:t>530 women using skilled birth attendants and 22</w:t>
      </w:r>
      <w:r w:rsidR="00760516">
        <w:t xml:space="preserve"> </w:t>
      </w:r>
      <w:r w:rsidRPr="001C51E9">
        <w:t>475 women delivering in health facilities (</w:t>
      </w:r>
      <w:r w:rsidR="00760516" w:rsidRPr="001C51E9">
        <w:t xml:space="preserve">Nusa Tenggara </w:t>
      </w:r>
      <w:proofErr w:type="spellStart"/>
      <w:r w:rsidR="00760516" w:rsidRPr="001C51E9">
        <w:t>Timur</w:t>
      </w:r>
      <w:proofErr w:type="spellEnd"/>
      <w:r w:rsidR="00760516" w:rsidRPr="001C51E9">
        <w:t xml:space="preserve"> </w:t>
      </w:r>
      <w:r w:rsidRPr="001C51E9">
        <w:t>Provincial Health Office data).</w:t>
      </w:r>
      <w:r w:rsidR="00B525E5">
        <w:t xml:space="preserve"> </w:t>
      </w:r>
      <w:r w:rsidRPr="001C51E9">
        <w:t>The proportion of births in a health facility in the 14 districts has increased steadily as follows: 47</w:t>
      </w:r>
      <w:r w:rsidR="00760516">
        <w:t xml:space="preserve"> per cent</w:t>
      </w:r>
      <w:r w:rsidR="00760516" w:rsidRPr="001C51E9">
        <w:t xml:space="preserve"> </w:t>
      </w:r>
      <w:r w:rsidRPr="001C51E9">
        <w:t>in 2009, 56</w:t>
      </w:r>
      <w:r w:rsidR="00760516">
        <w:t xml:space="preserve"> per cent</w:t>
      </w:r>
      <w:r w:rsidR="00760516" w:rsidRPr="001C51E9">
        <w:t xml:space="preserve"> </w:t>
      </w:r>
      <w:r w:rsidRPr="001C51E9">
        <w:t>2010, 65</w:t>
      </w:r>
      <w:r w:rsidR="00760516">
        <w:t xml:space="preserve"> per cent</w:t>
      </w:r>
      <w:r w:rsidR="00760516" w:rsidRPr="001C51E9">
        <w:t xml:space="preserve"> </w:t>
      </w:r>
      <w:r w:rsidRPr="001C51E9">
        <w:t>in 2011 and 72</w:t>
      </w:r>
      <w:r w:rsidR="00760516">
        <w:t xml:space="preserve"> per cent</w:t>
      </w:r>
      <w:r w:rsidR="00760516" w:rsidRPr="001C51E9">
        <w:t xml:space="preserve"> </w:t>
      </w:r>
      <w:r w:rsidRPr="001C51E9">
        <w:t>in 2012. Despite the reduction in maternal deaths, neonatal deaths have not declined and have remained approximately constant over the period.</w:t>
      </w:r>
      <w:r w:rsidR="00B525E5">
        <w:t xml:space="preserve"> </w:t>
      </w:r>
      <w:r w:rsidRPr="001C51E9">
        <w:t>Nationally, neonatal mortality accounts for 47</w:t>
      </w:r>
      <w:r w:rsidR="00760516">
        <w:t xml:space="preserve"> per cent</w:t>
      </w:r>
      <w:r w:rsidR="00760516" w:rsidRPr="001C51E9">
        <w:t xml:space="preserve"> </w:t>
      </w:r>
      <w:r w:rsidRPr="001C51E9">
        <w:t>of under-five mortality.</w:t>
      </w:r>
      <w:r w:rsidR="00B525E5">
        <w:t xml:space="preserve"> </w:t>
      </w:r>
      <w:r w:rsidRPr="001C51E9">
        <w:t>The leading causes are low birth</w:t>
      </w:r>
      <w:r w:rsidR="00760516">
        <w:t xml:space="preserve"> </w:t>
      </w:r>
      <w:r w:rsidRPr="001C51E9">
        <w:t>weight and asphyxia.</w:t>
      </w:r>
      <w:r w:rsidR="00B525E5">
        <w:t xml:space="preserve"> </w:t>
      </w:r>
      <w:r w:rsidRPr="001C51E9">
        <w:t>Several of the supported districts are now intensifying post-natal monitoring to try to address this problem.</w:t>
      </w:r>
      <w:r w:rsidR="00B525E5">
        <w:t xml:space="preserve"> </w:t>
      </w:r>
      <w:r w:rsidRPr="001C51E9">
        <w:t>However, it will be difficult to achieve a major breakthrough until the issue of maternal under-nutrition is adequately addressed.</w:t>
      </w:r>
    </w:p>
    <w:p w14:paraId="5BFB35F8" w14:textId="17646F29" w:rsidR="001C51E9" w:rsidRPr="001C51E9" w:rsidRDefault="001C51E9" w:rsidP="001C51E9">
      <w:pPr>
        <w:pStyle w:val="BodyText"/>
      </w:pPr>
      <w:r w:rsidRPr="001C51E9">
        <w:t xml:space="preserve">The </w:t>
      </w:r>
      <w:r w:rsidR="00760516">
        <w:t>Australia–Indonesia</w:t>
      </w:r>
      <w:r w:rsidR="00760516" w:rsidRPr="001C51E9">
        <w:t xml:space="preserve"> Partnership for Maternal and Neonatal Health</w:t>
      </w:r>
      <w:r w:rsidRPr="001C51E9">
        <w:t xml:space="preserve">-supported Sister Hospital Program enables 11 </w:t>
      </w:r>
      <w:r w:rsidR="00760516">
        <w:t>d</w:t>
      </w:r>
      <w:r w:rsidR="00760516" w:rsidRPr="001C51E9">
        <w:t xml:space="preserve">istrict </w:t>
      </w:r>
      <w:r w:rsidR="00760516">
        <w:t>h</w:t>
      </w:r>
      <w:r w:rsidR="00760516" w:rsidRPr="001C51E9">
        <w:t xml:space="preserve">ospitals </w:t>
      </w:r>
      <w:r w:rsidRPr="001C51E9">
        <w:t xml:space="preserve">in </w:t>
      </w:r>
      <w:r w:rsidR="00760516" w:rsidRPr="001C51E9">
        <w:t xml:space="preserve">Nusa Tenggara </w:t>
      </w:r>
      <w:proofErr w:type="spellStart"/>
      <w:r w:rsidR="00760516" w:rsidRPr="001C51E9">
        <w:t>Timur</w:t>
      </w:r>
      <w:proofErr w:type="spellEnd"/>
      <w:r w:rsidR="00760516" w:rsidRPr="001C51E9">
        <w:t xml:space="preserve"> </w:t>
      </w:r>
      <w:r w:rsidRPr="001C51E9">
        <w:t>to manage emergencies and complicated deliveries by ensuring access to specialist care</w:t>
      </w:r>
      <w:r w:rsidR="00760516">
        <w:t>––including</w:t>
      </w:r>
      <w:r w:rsidRPr="001C51E9">
        <w:t xml:space="preserve"> obstetricians, gynaecologists, paediatricians and anaesthetists</w:t>
      </w:r>
      <w:r w:rsidR="00760516">
        <w:t>––and</w:t>
      </w:r>
      <w:r w:rsidRPr="001C51E9">
        <w:t xml:space="preserve"> reducing maternal and neonatal deaths.</w:t>
      </w:r>
      <w:r w:rsidR="00B525E5">
        <w:t xml:space="preserve"> </w:t>
      </w:r>
      <w:r w:rsidRPr="001C51E9">
        <w:t>In 2012 the program’s support assisted an additional 19</w:t>
      </w:r>
      <w:r w:rsidR="00760516">
        <w:t xml:space="preserve"> </w:t>
      </w:r>
      <w:r w:rsidRPr="001C51E9">
        <w:t>474 births by skilled birth attendants. This program has received recognition at the national level, with potential for replication in other provinces being explored by the Ministry of Health.</w:t>
      </w:r>
    </w:p>
    <w:p w14:paraId="505638D3" w14:textId="11BAAE39" w:rsidR="00760516" w:rsidRDefault="00760516" w:rsidP="001C51E9">
      <w:pPr>
        <w:pStyle w:val="BodyText"/>
      </w:pPr>
      <w:r>
        <w:t>Australia–Indonesia</w:t>
      </w:r>
      <w:r w:rsidRPr="001C51E9">
        <w:t xml:space="preserve"> Partnership for Maternal and Neonatal Health</w:t>
      </w:r>
      <w:r>
        <w:t xml:space="preserve"> </w:t>
      </w:r>
      <w:r w:rsidR="001C51E9" w:rsidRPr="001C51E9">
        <w:t xml:space="preserve">support to maternal and child health services by districts in </w:t>
      </w:r>
      <w:r w:rsidRPr="001C51E9">
        <w:t xml:space="preserve">Nusa Tenggara </w:t>
      </w:r>
      <w:proofErr w:type="spellStart"/>
      <w:r w:rsidRPr="001C51E9">
        <w:t>Timur</w:t>
      </w:r>
      <w:proofErr w:type="spellEnd"/>
      <w:r w:rsidRPr="001C51E9">
        <w:t xml:space="preserve"> </w:t>
      </w:r>
      <w:r w:rsidR="001C51E9" w:rsidRPr="001C51E9">
        <w:t>has resulted</w:t>
      </w:r>
      <w:r>
        <w:t xml:space="preserve"> in:</w:t>
      </w:r>
    </w:p>
    <w:p w14:paraId="1D4ADC62" w14:textId="433098E3" w:rsidR="00760516" w:rsidRDefault="001C51E9" w:rsidP="00CB3B88">
      <w:pPr>
        <w:pStyle w:val="ListBullet"/>
      </w:pPr>
      <w:r w:rsidRPr="001C51E9">
        <w:t>improved data collection</w:t>
      </w:r>
      <w:r w:rsidR="00760516">
        <w:t xml:space="preserve"> in</w:t>
      </w:r>
      <w:r w:rsidR="00760516" w:rsidRPr="001C51E9">
        <w:t xml:space="preserve"> </w:t>
      </w:r>
      <w:r w:rsidRPr="001C51E9">
        <w:t>five of 14 supported districts and 96 of 305 supported villages issuing pro-</w:t>
      </w:r>
      <w:r w:rsidR="00760516" w:rsidRPr="001C51E9">
        <w:t xml:space="preserve">maternal and neonatal child health </w:t>
      </w:r>
      <w:r w:rsidRPr="001C51E9">
        <w:t>decrees</w:t>
      </w:r>
    </w:p>
    <w:p w14:paraId="7D1161C6" w14:textId="6230E6FF" w:rsidR="005970B2" w:rsidRDefault="001C51E9" w:rsidP="00CB3B88">
      <w:pPr>
        <w:pStyle w:val="ListBullet"/>
      </w:pPr>
      <w:r w:rsidRPr="001C51E9">
        <w:t>an increase in absorption rates of the</w:t>
      </w:r>
      <w:r w:rsidR="00BD7A1D">
        <w:t xml:space="preserve"> </w:t>
      </w:r>
      <w:r w:rsidRPr="001C51E9">
        <w:t>health operational assistance fund</w:t>
      </w:r>
      <w:r w:rsidR="00D82E86">
        <w:t xml:space="preserve"> (BOK)</w:t>
      </w:r>
      <w:r w:rsidRPr="001C51E9">
        <w:t xml:space="preserve"> in all districts from 77</w:t>
      </w:r>
      <w:r w:rsidR="005970B2">
        <w:t xml:space="preserve"> per cent</w:t>
      </w:r>
      <w:r w:rsidR="005970B2" w:rsidRPr="001C51E9">
        <w:t xml:space="preserve"> </w:t>
      </w:r>
      <w:r w:rsidRPr="001C51E9">
        <w:t>in 2011 to 92</w:t>
      </w:r>
      <w:r w:rsidR="005970B2">
        <w:t xml:space="preserve"> per cent</w:t>
      </w:r>
      <w:r w:rsidR="005970B2" w:rsidRPr="001C51E9">
        <w:t xml:space="preserve"> </w:t>
      </w:r>
      <w:r w:rsidRPr="001C51E9">
        <w:t>in 2012</w:t>
      </w:r>
    </w:p>
    <w:p w14:paraId="049E237D" w14:textId="73C16B8A" w:rsidR="005970B2" w:rsidRDefault="001C51E9" w:rsidP="00CB3B88">
      <w:pPr>
        <w:pStyle w:val="ListBullet"/>
      </w:pPr>
      <w:r w:rsidRPr="001C51E9">
        <w:t xml:space="preserve">an increase in absorption rates for community health insurance </w:t>
      </w:r>
      <w:r w:rsidR="005970B2">
        <w:t xml:space="preserve">and </w:t>
      </w:r>
      <w:r w:rsidRPr="001C51E9">
        <w:t>community insurance for ante-natal, child birth and post natal care in all districts from approximately 55</w:t>
      </w:r>
      <w:r w:rsidR="005970B2">
        <w:t xml:space="preserve"> per cent</w:t>
      </w:r>
      <w:r w:rsidR="005970B2" w:rsidRPr="001C51E9">
        <w:t xml:space="preserve"> </w:t>
      </w:r>
      <w:r w:rsidRPr="001C51E9">
        <w:t>in 2011 to 71</w:t>
      </w:r>
      <w:r w:rsidR="005970B2">
        <w:t xml:space="preserve"> per cent</w:t>
      </w:r>
      <w:r w:rsidR="005970B2" w:rsidRPr="001C51E9">
        <w:t xml:space="preserve"> </w:t>
      </w:r>
      <w:r w:rsidRPr="001C51E9">
        <w:t>in 2012</w:t>
      </w:r>
    </w:p>
    <w:p w14:paraId="4F526168" w14:textId="46D128D1" w:rsidR="001C51E9" w:rsidRPr="001C51E9" w:rsidRDefault="001C51E9" w:rsidP="00CB3B88">
      <w:pPr>
        <w:pStyle w:val="ListBullet"/>
      </w:pPr>
      <w:proofErr w:type="gramStart"/>
      <w:r w:rsidRPr="001C51E9">
        <w:t>an</w:t>
      </w:r>
      <w:proofErr w:type="gramEnd"/>
      <w:r w:rsidRPr="001C51E9">
        <w:t xml:space="preserve"> increase by all </w:t>
      </w:r>
      <w:r w:rsidR="005970B2">
        <w:t xml:space="preserve">Australia–Indonesia Partnership for Maternal and Neonatal Health </w:t>
      </w:r>
      <w:r w:rsidRPr="001C51E9">
        <w:t xml:space="preserve">districts in the proportion of budget allocated to health from </w:t>
      </w:r>
      <w:r w:rsidR="005970B2">
        <w:t>four per cent</w:t>
      </w:r>
      <w:r w:rsidR="005970B2" w:rsidRPr="001C51E9">
        <w:t xml:space="preserve"> </w:t>
      </w:r>
      <w:r w:rsidRPr="001C51E9">
        <w:t xml:space="preserve">in 2011 to </w:t>
      </w:r>
      <w:r w:rsidR="005970B2">
        <w:t>seven per cent</w:t>
      </w:r>
      <w:r w:rsidR="005970B2" w:rsidRPr="001C51E9">
        <w:t xml:space="preserve"> </w:t>
      </w:r>
      <w:r w:rsidRPr="001C51E9">
        <w:t xml:space="preserve">in 2012. The target of </w:t>
      </w:r>
      <w:r w:rsidR="00826884">
        <w:t>ten</w:t>
      </w:r>
      <w:r w:rsidR="005970B2">
        <w:t xml:space="preserve"> per cent</w:t>
      </w:r>
      <w:r w:rsidR="005970B2" w:rsidRPr="001C51E9">
        <w:t xml:space="preserve"> </w:t>
      </w:r>
      <w:r w:rsidR="002E0813">
        <w:t xml:space="preserve">or greater </w:t>
      </w:r>
      <w:r w:rsidRPr="001C51E9">
        <w:t xml:space="preserve">of local government budgets spent on health is still not being achieved in some </w:t>
      </w:r>
      <w:r w:rsidR="00760516" w:rsidRPr="001C51E9">
        <w:t xml:space="preserve">Nusa Tenggara </w:t>
      </w:r>
      <w:proofErr w:type="spellStart"/>
      <w:r w:rsidR="00760516" w:rsidRPr="001C51E9">
        <w:t>Timur</w:t>
      </w:r>
      <w:proofErr w:type="spellEnd"/>
      <w:r w:rsidR="00760516" w:rsidRPr="001C51E9">
        <w:t xml:space="preserve"> </w:t>
      </w:r>
      <w:r w:rsidRPr="001C51E9">
        <w:t>districts, with the most notable exception being Timor Tengah Selatan, which allocated 45</w:t>
      </w:r>
      <w:r w:rsidR="005970B2">
        <w:t xml:space="preserve"> per cent</w:t>
      </w:r>
      <w:r w:rsidR="005970B2" w:rsidRPr="001C51E9">
        <w:t xml:space="preserve"> </w:t>
      </w:r>
      <w:r w:rsidRPr="001C51E9">
        <w:t xml:space="preserve">of its local budget to </w:t>
      </w:r>
      <w:r w:rsidR="00760516" w:rsidRPr="001C51E9">
        <w:t>maternal and neonatal child health</w:t>
      </w:r>
      <w:r w:rsidRPr="001C51E9">
        <w:t xml:space="preserve">. </w:t>
      </w:r>
    </w:p>
    <w:p w14:paraId="266FA55B" w14:textId="6117BB8E" w:rsidR="001C51E9" w:rsidRPr="001C51E9" w:rsidRDefault="001C51E9" w:rsidP="001C51E9">
      <w:pPr>
        <w:pStyle w:val="BodyText"/>
      </w:pPr>
      <w:r w:rsidRPr="001C51E9">
        <w:t xml:space="preserve">The </w:t>
      </w:r>
      <w:r w:rsidR="000A11DD">
        <w:t>Australia–Indonesia</w:t>
      </w:r>
      <w:r w:rsidRPr="001C51E9">
        <w:t xml:space="preserve"> Partnership for HIV builds on more than 16 years of Australian HIV assistance in Indonesia.</w:t>
      </w:r>
      <w:r w:rsidR="00B525E5">
        <w:t xml:space="preserve"> </w:t>
      </w:r>
      <w:r w:rsidRPr="001C51E9">
        <w:t xml:space="preserve">It currently operates at the national level and in nine provinces: Jakarta, West Java, </w:t>
      </w:r>
      <w:proofErr w:type="spellStart"/>
      <w:r w:rsidRPr="001C51E9">
        <w:t>Banten</w:t>
      </w:r>
      <w:proofErr w:type="spellEnd"/>
      <w:r w:rsidRPr="001C51E9">
        <w:t>, Central Java, Jogjakarta, East Java, Bali, Papua and West Papua.</w:t>
      </w:r>
      <w:r w:rsidR="00B525E5">
        <w:t xml:space="preserve"> </w:t>
      </w:r>
      <w:r w:rsidRPr="001C51E9">
        <w:t>It also supports up to another eight provinces through various national programs.</w:t>
      </w:r>
      <w:r w:rsidR="00B525E5">
        <w:t xml:space="preserve"> </w:t>
      </w:r>
      <w:r w:rsidR="00CE10E7">
        <w:t>The aid program in Indonesia</w:t>
      </w:r>
      <w:r w:rsidRPr="001C51E9">
        <w:t xml:space="preserve"> has certainly contributed to the reduction in HIV prevalence among </w:t>
      </w:r>
      <w:r w:rsidR="005970B2">
        <w:t>people who inject drugs,</w:t>
      </w:r>
      <w:r w:rsidR="005970B2" w:rsidRPr="001C51E9">
        <w:t xml:space="preserve"> </w:t>
      </w:r>
      <w:r w:rsidRPr="001C51E9">
        <w:t>from 52</w:t>
      </w:r>
      <w:r w:rsidR="005970B2">
        <w:t xml:space="preserve"> per cent</w:t>
      </w:r>
      <w:r w:rsidR="005970B2" w:rsidRPr="001C51E9">
        <w:t xml:space="preserve"> </w:t>
      </w:r>
      <w:r w:rsidRPr="001C51E9">
        <w:t>in 2007 to 41</w:t>
      </w:r>
      <w:r w:rsidR="005970B2">
        <w:t xml:space="preserve"> per cent</w:t>
      </w:r>
      <w:r w:rsidR="005970B2" w:rsidRPr="001C51E9">
        <w:t xml:space="preserve"> </w:t>
      </w:r>
      <w:r w:rsidRPr="001C51E9">
        <w:t>in 2011. Most new HIV infections in Indonesia are now through sexual transmission rather than unsafe injecting practices.</w:t>
      </w:r>
      <w:r w:rsidR="00B525E5">
        <w:t xml:space="preserve"> </w:t>
      </w:r>
      <w:r w:rsidRPr="001C51E9">
        <w:t xml:space="preserve">The reason for this (possibly the role of men who have sex with men or sexual transmission from </w:t>
      </w:r>
      <w:r w:rsidR="005970B2">
        <w:t>people who inject drugs</w:t>
      </w:r>
      <w:r w:rsidR="005970B2" w:rsidRPr="001C51E9">
        <w:t xml:space="preserve"> </w:t>
      </w:r>
      <w:r w:rsidRPr="001C51E9">
        <w:t>to partners) is unclear, but the impetus in the national response is to shift resources to preventing sexual transmission.</w:t>
      </w:r>
      <w:r w:rsidR="00B525E5">
        <w:t xml:space="preserve"> </w:t>
      </w:r>
    </w:p>
    <w:p w14:paraId="24274DFB" w14:textId="5163488C" w:rsidR="001C51E9" w:rsidRPr="001C51E9" w:rsidRDefault="001C51E9" w:rsidP="001C51E9">
      <w:pPr>
        <w:pStyle w:val="BodyText"/>
      </w:pPr>
      <w:r w:rsidRPr="001C51E9">
        <w:t xml:space="preserve">The HIV Cooperation Program for Indonesia is the largest component of </w:t>
      </w:r>
      <w:r w:rsidR="005970B2">
        <w:t>the Australia–Indonesia</w:t>
      </w:r>
      <w:r w:rsidR="005970B2" w:rsidRPr="001C51E9">
        <w:t xml:space="preserve"> Partnership for HIV </w:t>
      </w:r>
      <w:r w:rsidRPr="001C51E9">
        <w:t xml:space="preserve">and focuses on strengthening Indonesian leadership on HIV issues and reducing transmission </w:t>
      </w:r>
      <w:r w:rsidR="005970B2">
        <w:t xml:space="preserve">of the virus </w:t>
      </w:r>
      <w:r w:rsidRPr="001C51E9">
        <w:t>among people who inject drugs and in prisons.</w:t>
      </w:r>
      <w:r w:rsidR="00B525E5">
        <w:t xml:space="preserve"> </w:t>
      </w:r>
      <w:r w:rsidRPr="001C51E9">
        <w:t xml:space="preserve">It also has a focus on preventing the spread of HIV in Papua and West Papua </w:t>
      </w:r>
      <w:r w:rsidR="005970B2">
        <w:t>by</w:t>
      </w:r>
      <w:r w:rsidR="005970B2" w:rsidRPr="001C51E9">
        <w:t xml:space="preserve"> </w:t>
      </w:r>
      <w:r w:rsidRPr="001C51E9">
        <w:t>developing effective behaviour change approaches</w:t>
      </w:r>
      <w:r w:rsidR="005970B2">
        <w:t>,</w:t>
      </w:r>
      <w:r w:rsidRPr="001C51E9">
        <w:t xml:space="preserve"> and supports a comprehensive program to address the sexual transmission of HIV in Bali.</w:t>
      </w:r>
      <w:r w:rsidR="00B525E5">
        <w:t xml:space="preserve"> </w:t>
      </w:r>
      <w:r w:rsidRPr="001C51E9">
        <w:t xml:space="preserve">The number of needles and syringes distributed through </w:t>
      </w:r>
      <w:r w:rsidRPr="001C51E9">
        <w:lastRenderedPageBreak/>
        <w:t>health services and civil society organisations increased from 646</w:t>
      </w:r>
      <w:r w:rsidR="005970B2">
        <w:t xml:space="preserve"> </w:t>
      </w:r>
      <w:r w:rsidRPr="001C51E9">
        <w:t>832 in 2011 to 1</w:t>
      </w:r>
      <w:r w:rsidR="005970B2">
        <w:t xml:space="preserve"> </w:t>
      </w:r>
      <w:r w:rsidRPr="001C51E9">
        <w:t>340</w:t>
      </w:r>
      <w:r w:rsidR="005970B2">
        <w:t xml:space="preserve"> </w:t>
      </w:r>
      <w:r w:rsidRPr="001C51E9">
        <w:t>793 in 2012.</w:t>
      </w:r>
      <w:r w:rsidR="00B525E5">
        <w:t xml:space="preserve"> </w:t>
      </w:r>
      <w:r w:rsidRPr="001C51E9">
        <w:t>In addition, 589</w:t>
      </w:r>
      <w:r w:rsidR="005970B2">
        <w:t xml:space="preserve"> </w:t>
      </w:r>
      <w:r w:rsidRPr="001C51E9">
        <w:t xml:space="preserve">965 condoms were distributed in Bali, a 19 per cent increase on 2011, and 716 new clients were put on </w:t>
      </w:r>
      <w:r w:rsidR="005970B2" w:rsidRPr="001C51E9">
        <w:t>methadone maintenance therapy</w:t>
      </w:r>
      <w:r w:rsidRPr="001C51E9">
        <w:t>, a slight decrease from 2011.</w:t>
      </w:r>
      <w:r w:rsidR="00B525E5">
        <w:t xml:space="preserve"> </w:t>
      </w:r>
    </w:p>
    <w:p w14:paraId="12E75953" w14:textId="2596FA27" w:rsidR="001C51E9" w:rsidRPr="001C51E9" w:rsidRDefault="001C51E9" w:rsidP="001C51E9">
      <w:pPr>
        <w:pStyle w:val="BodyText"/>
      </w:pPr>
      <w:r w:rsidRPr="001C51E9">
        <w:t xml:space="preserve">Efforts by </w:t>
      </w:r>
      <w:r w:rsidR="005970B2">
        <w:t xml:space="preserve">the </w:t>
      </w:r>
      <w:r w:rsidR="005970B2" w:rsidRPr="001C51E9">
        <w:t xml:space="preserve">HIV Cooperation Program for Indonesia </w:t>
      </w:r>
      <w:r w:rsidRPr="001C51E9">
        <w:t xml:space="preserve">to clarify a legal grey area concerning the ability of </w:t>
      </w:r>
      <w:r w:rsidR="005970B2">
        <w:t>civil society</w:t>
      </w:r>
      <w:r w:rsidR="005970B2" w:rsidRPr="001C51E9">
        <w:t xml:space="preserve"> </w:t>
      </w:r>
      <w:r w:rsidRPr="001C51E9">
        <w:t xml:space="preserve">outreach workers to distribute </w:t>
      </w:r>
      <w:r w:rsidR="005970B2">
        <w:t>needles and syringes</w:t>
      </w:r>
      <w:r w:rsidR="005970B2" w:rsidRPr="001C51E9">
        <w:t xml:space="preserve"> </w:t>
      </w:r>
      <w:r w:rsidRPr="001C51E9">
        <w:t>in the field contributed to this strong result</w:t>
      </w:r>
      <w:r w:rsidR="005970B2">
        <w:t>. S</w:t>
      </w:r>
      <w:r w:rsidRPr="001C51E9">
        <w:t>ustained policy dialogue on this issue with the Ministry of Health was followed by a directive released</w:t>
      </w:r>
      <w:r w:rsidR="005970B2">
        <w:t xml:space="preserve"> by the ministry</w:t>
      </w:r>
      <w:r w:rsidRPr="001C51E9">
        <w:t xml:space="preserve"> in 2012 confirming that outreach workers are permitted to work with public health centres (</w:t>
      </w:r>
      <w:proofErr w:type="spellStart"/>
      <w:r w:rsidRPr="008A1B87">
        <w:rPr>
          <w:i/>
        </w:rPr>
        <w:t>puskesmas</w:t>
      </w:r>
      <w:proofErr w:type="spellEnd"/>
      <w:r w:rsidRPr="001C51E9">
        <w:t xml:space="preserve">) to distribute </w:t>
      </w:r>
      <w:r w:rsidR="005970B2">
        <w:t>needles and syringes</w:t>
      </w:r>
      <w:r w:rsidRPr="001C51E9">
        <w:t>.</w:t>
      </w:r>
      <w:r w:rsidR="00B525E5">
        <w:t xml:space="preserve"> </w:t>
      </w:r>
      <w:r w:rsidRPr="001C51E9">
        <w:t xml:space="preserve">This removed a significant obstacle to the provision of </w:t>
      </w:r>
      <w:r w:rsidR="005970B2">
        <w:t>needles and syringes</w:t>
      </w:r>
      <w:r w:rsidR="005970B2" w:rsidRPr="001C51E9">
        <w:t xml:space="preserve"> </w:t>
      </w:r>
      <w:r w:rsidRPr="001C51E9">
        <w:t xml:space="preserve">to </w:t>
      </w:r>
      <w:r w:rsidR="005970B2">
        <w:t>people who inject drugs</w:t>
      </w:r>
      <w:r w:rsidRPr="001C51E9">
        <w:t>, which in turn reduces the incidence of needle sharing.</w:t>
      </w:r>
      <w:r w:rsidR="00B525E5">
        <w:t xml:space="preserve"> </w:t>
      </w:r>
      <w:r w:rsidRPr="001C51E9">
        <w:t xml:space="preserve">The proportion of clients who reported not sharing </w:t>
      </w:r>
      <w:r w:rsidR="005970B2">
        <w:t>needles and syringes</w:t>
      </w:r>
      <w:r w:rsidR="005970B2" w:rsidRPr="001C51E9">
        <w:t xml:space="preserve"> </w:t>
      </w:r>
      <w:r w:rsidRPr="001C51E9">
        <w:t xml:space="preserve">in the previous week </w:t>
      </w:r>
      <w:proofErr w:type="gramStart"/>
      <w:r w:rsidRPr="001C51E9">
        <w:t>rose</w:t>
      </w:r>
      <w:proofErr w:type="gramEnd"/>
      <w:r w:rsidRPr="001C51E9">
        <w:t xml:space="preserve"> from 83</w:t>
      </w:r>
      <w:r w:rsidR="005970B2">
        <w:t xml:space="preserve"> per cent</w:t>
      </w:r>
      <w:r w:rsidR="005970B2" w:rsidRPr="001C51E9">
        <w:t xml:space="preserve"> </w:t>
      </w:r>
      <w:r w:rsidRPr="001C51E9">
        <w:t>in 2011 to 87</w:t>
      </w:r>
      <w:r w:rsidR="005970B2">
        <w:t xml:space="preserve"> per cent</w:t>
      </w:r>
      <w:r w:rsidR="005970B2" w:rsidRPr="001C51E9">
        <w:t xml:space="preserve"> </w:t>
      </w:r>
      <w:r w:rsidRPr="001C51E9">
        <w:t>in 2012.</w:t>
      </w:r>
      <w:r w:rsidR="00B525E5">
        <w:t xml:space="preserve"> </w:t>
      </w:r>
    </w:p>
    <w:p w14:paraId="505A6F09" w14:textId="51956C22" w:rsidR="001C51E9" w:rsidRPr="001C51E9" w:rsidRDefault="001C51E9" w:rsidP="001C51E9">
      <w:pPr>
        <w:pStyle w:val="BodyText"/>
      </w:pPr>
      <w:r w:rsidRPr="001C51E9">
        <w:t>The newly launched Rapidly Expanding Access and Care for HIV in Tanah Papua (REACH) program continues to improve procurement and supply chain management of anti-retroviral drugs and HIV test reagents, builds government capacity for better care, support and treatment in Papua and West Papua</w:t>
      </w:r>
      <w:r w:rsidR="005970B2">
        <w:t>,</w:t>
      </w:r>
      <w:r w:rsidRPr="001C51E9">
        <w:t xml:space="preserve"> and strengthens policy implementation for HIV services by health agencies.</w:t>
      </w:r>
      <w:r w:rsidR="00B525E5">
        <w:t xml:space="preserve"> </w:t>
      </w:r>
      <w:r w:rsidR="005970B2">
        <w:t>Between</w:t>
      </w:r>
      <w:r w:rsidR="005970B2" w:rsidRPr="001C51E9">
        <w:t xml:space="preserve"> </w:t>
      </w:r>
      <w:r w:rsidRPr="001C51E9">
        <w:t xml:space="preserve">January to June 2012, 449 patients were receiving HIV treatment supported by REACH, compared with 377 for </w:t>
      </w:r>
      <w:r w:rsidR="005970B2">
        <w:t xml:space="preserve">the period between </w:t>
      </w:r>
      <w:r w:rsidRPr="001C51E9">
        <w:t>July</w:t>
      </w:r>
      <w:r w:rsidR="005970B2">
        <w:t xml:space="preserve"> and </w:t>
      </w:r>
      <w:r w:rsidRPr="001C51E9">
        <w:t>December 2011.</w:t>
      </w:r>
      <w:r w:rsidR="00B525E5">
        <w:t xml:space="preserve"> </w:t>
      </w:r>
      <w:r w:rsidRPr="001C51E9">
        <w:t>That figure is estimated to be 23</w:t>
      </w:r>
      <w:r w:rsidR="005970B2">
        <w:t xml:space="preserve"> per cent</w:t>
      </w:r>
      <w:r w:rsidR="005970B2" w:rsidRPr="001C51E9">
        <w:t xml:space="preserve"> </w:t>
      </w:r>
      <w:r w:rsidRPr="001C51E9">
        <w:t>of the 1936 who are eligible for treatment.</w:t>
      </w:r>
      <w:r w:rsidR="00B525E5">
        <w:t xml:space="preserve"> </w:t>
      </w:r>
      <w:r w:rsidRPr="001C51E9">
        <w:t xml:space="preserve">There was a slight decrease to 410 in the period </w:t>
      </w:r>
      <w:r w:rsidR="005970B2">
        <w:t xml:space="preserve">from </w:t>
      </w:r>
      <w:r w:rsidRPr="001C51E9">
        <w:t>July</w:t>
      </w:r>
      <w:r w:rsidR="005970B2">
        <w:t xml:space="preserve"> to </w:t>
      </w:r>
      <w:r w:rsidRPr="001C51E9">
        <w:t>December 2012.</w:t>
      </w:r>
      <w:r w:rsidR="00B525E5">
        <w:t xml:space="preserve"> </w:t>
      </w:r>
      <w:r w:rsidRPr="001C51E9">
        <w:t>While in numerical terms, this represents an increase on July</w:t>
      </w:r>
      <w:r w:rsidR="005970B2">
        <w:t xml:space="preserve"> to </w:t>
      </w:r>
      <w:r w:rsidRPr="001C51E9">
        <w:t xml:space="preserve">December 2011, as a percentage of the estimate of patients eligible it represents a </w:t>
      </w:r>
      <w:r w:rsidR="005970B2">
        <w:t>four per cent</w:t>
      </w:r>
      <w:r w:rsidRPr="001C51E9">
        <w:t xml:space="preserve"> decline (from 25</w:t>
      </w:r>
      <w:r w:rsidR="005970B2">
        <w:t xml:space="preserve"> per cent</w:t>
      </w:r>
      <w:r w:rsidR="005970B2" w:rsidRPr="001C51E9">
        <w:t xml:space="preserve"> </w:t>
      </w:r>
      <w:r w:rsidRPr="001C51E9">
        <w:t>to 21</w:t>
      </w:r>
      <w:r w:rsidR="005970B2">
        <w:t xml:space="preserve"> per cent</w:t>
      </w:r>
      <w:r w:rsidR="005970B2" w:rsidRPr="001C51E9">
        <w:t xml:space="preserve">) </w:t>
      </w:r>
      <w:r w:rsidRPr="001C51E9">
        <w:t xml:space="preserve">of the 1936 estimated </w:t>
      </w:r>
      <w:r w:rsidR="005970B2">
        <w:t xml:space="preserve">people </w:t>
      </w:r>
      <w:r w:rsidRPr="001C51E9">
        <w:t>eligible for treatment at 31 December 2012.</w:t>
      </w:r>
      <w:r w:rsidR="00B525E5">
        <w:t xml:space="preserve"> </w:t>
      </w:r>
      <w:r w:rsidRPr="001C51E9">
        <w:t xml:space="preserve">The prevalence of HIV in the Papuan provinces is 18 times higher than in the rest of Indonesia at around </w:t>
      </w:r>
      <w:r w:rsidR="005970B2">
        <w:t>three per cent</w:t>
      </w:r>
      <w:r w:rsidRPr="001C51E9">
        <w:t xml:space="preserve"> and rising, compared to below </w:t>
      </w:r>
      <w:r w:rsidR="005970B2">
        <w:t>one per cent</w:t>
      </w:r>
      <w:r w:rsidRPr="001C51E9">
        <w:t xml:space="preserve"> and falling in neighbouring Papua New Guinea.</w:t>
      </w:r>
    </w:p>
    <w:p w14:paraId="38629AB7" w14:textId="66832A6C" w:rsidR="001C51E9" w:rsidRPr="001C51E9" w:rsidRDefault="001C51E9" w:rsidP="001C51E9">
      <w:pPr>
        <w:pStyle w:val="BodyText"/>
        <w:rPr>
          <w:szCs w:val="22"/>
        </w:rPr>
      </w:pPr>
      <w:r w:rsidRPr="001C51E9">
        <w:t xml:space="preserve">The </w:t>
      </w:r>
      <w:r w:rsidR="000A11DD">
        <w:t>Australia–Indonesia</w:t>
      </w:r>
      <w:r w:rsidRPr="001C51E9">
        <w:t xml:space="preserve"> Partnership for Emerging Infectious Diseases is vital </w:t>
      </w:r>
      <w:r w:rsidR="009A7C24">
        <w:t>to</w:t>
      </w:r>
      <w:r w:rsidR="009A7C24" w:rsidRPr="001C51E9">
        <w:t xml:space="preserve"> </w:t>
      </w:r>
      <w:r w:rsidRPr="001C51E9">
        <w:t xml:space="preserve">help ensure that Australia remains free of </w:t>
      </w:r>
      <w:r w:rsidR="008A1B87">
        <w:t>these</w:t>
      </w:r>
      <w:r w:rsidRPr="001C51E9">
        <w:t xml:space="preserve"> diseases.</w:t>
      </w:r>
      <w:r w:rsidR="009A7C24">
        <w:t xml:space="preserve"> E</w:t>
      </w:r>
      <w:r w:rsidR="009A7C24" w:rsidRPr="001C51E9">
        <w:t xml:space="preserve">merging </w:t>
      </w:r>
      <w:r w:rsidRPr="001C51E9">
        <w:t>and re-emerging zoonotic diseases such as avian influenza and rabies</w:t>
      </w:r>
      <w:r w:rsidR="009A7C24">
        <w:t xml:space="preserve"> have affected </w:t>
      </w:r>
      <w:r w:rsidR="009A7C24" w:rsidRPr="001C51E9">
        <w:t>Indonesia</w:t>
      </w:r>
      <w:r w:rsidR="009A7C24">
        <w:t>,</w:t>
      </w:r>
      <w:r w:rsidR="009A7C24" w:rsidRPr="001C51E9">
        <w:t xml:space="preserve"> </w:t>
      </w:r>
      <w:r w:rsidR="009A7C24">
        <w:t>and the</w:t>
      </w:r>
      <w:r w:rsidR="009A7C24" w:rsidRPr="009A7C24">
        <w:t xml:space="preserve"> </w:t>
      </w:r>
      <w:r w:rsidR="009A7C24" w:rsidRPr="001C51E9">
        <w:t xml:space="preserve">control and prevention of </w:t>
      </w:r>
      <w:r w:rsidR="009A7C24">
        <w:t xml:space="preserve">these </w:t>
      </w:r>
      <w:r w:rsidR="009A7C24" w:rsidRPr="001C51E9">
        <w:t>is also a priority</w:t>
      </w:r>
      <w:r w:rsidRPr="001C51E9">
        <w:t>.</w:t>
      </w:r>
      <w:r w:rsidR="00B525E5">
        <w:t xml:space="preserve"> </w:t>
      </w:r>
      <w:r w:rsidRPr="001C51E9">
        <w:t xml:space="preserve">Indonesia has had the largest number of </w:t>
      </w:r>
      <w:r w:rsidR="00EB3A32" w:rsidRPr="001C51E9">
        <w:t xml:space="preserve">avian influenza </w:t>
      </w:r>
      <w:r w:rsidRPr="001C51E9">
        <w:t>cases and fatalities in the world.</w:t>
      </w:r>
      <w:r w:rsidR="00B525E5">
        <w:t xml:space="preserve"> </w:t>
      </w:r>
      <w:r w:rsidRPr="001C51E9">
        <w:t xml:space="preserve">In 2012, 11 provinces were selected </w:t>
      </w:r>
      <w:r w:rsidR="00072ACA">
        <w:t>to</w:t>
      </w:r>
      <w:r w:rsidR="00072ACA" w:rsidRPr="001C51E9">
        <w:t xml:space="preserve"> </w:t>
      </w:r>
      <w:r w:rsidRPr="001C51E9">
        <w:t xml:space="preserve">establish </w:t>
      </w:r>
      <w:r w:rsidR="00072ACA">
        <w:t>a</w:t>
      </w:r>
      <w:r w:rsidR="00072ACA" w:rsidRPr="001C51E9">
        <w:t xml:space="preserve"> </w:t>
      </w:r>
      <w:r w:rsidRPr="001C51E9">
        <w:t>new Early Warning Alert and Response System</w:t>
      </w:r>
      <w:r w:rsidR="00072ACA">
        <w:t>,</w:t>
      </w:r>
      <w:r w:rsidRPr="001C51E9">
        <w:t xml:space="preserve"> previously piloted with </w:t>
      </w:r>
      <w:r w:rsidR="00CE10E7">
        <w:t>Australian</w:t>
      </w:r>
      <w:r w:rsidRPr="001C51E9">
        <w:t xml:space="preserve"> support.</w:t>
      </w:r>
      <w:r w:rsidR="00B525E5">
        <w:t xml:space="preserve"> </w:t>
      </w:r>
      <w:r w:rsidR="00072ACA" w:rsidRPr="001C51E9">
        <w:t xml:space="preserve">The </w:t>
      </w:r>
      <w:r w:rsidR="00072ACA">
        <w:t>Australia–Indonesia</w:t>
      </w:r>
      <w:r w:rsidR="00072ACA" w:rsidRPr="001C51E9">
        <w:t xml:space="preserve"> Partnership for Emerging Infectious Diseases </w:t>
      </w:r>
      <w:r w:rsidRPr="001C51E9">
        <w:t>(human health) will support three of them</w:t>
      </w:r>
      <w:r w:rsidR="009B3212">
        <w:t xml:space="preserve"> in Nusa Tenggara </w:t>
      </w:r>
      <w:proofErr w:type="spellStart"/>
      <w:r w:rsidR="009B3212">
        <w:t>Timur</w:t>
      </w:r>
      <w:proofErr w:type="spellEnd"/>
      <w:r w:rsidRPr="001C51E9">
        <w:t>, Maluku and North Maluku.</w:t>
      </w:r>
      <w:r w:rsidR="00B525E5">
        <w:t xml:space="preserve"> </w:t>
      </w:r>
      <w:r w:rsidRPr="001C51E9">
        <w:t>It is a healthy sign of the sustainability of this program that the eight other new provinces are being funded from the Indonesian budget.</w:t>
      </w:r>
      <w:r w:rsidR="00B525E5">
        <w:t xml:space="preserve"> </w:t>
      </w:r>
      <w:r w:rsidRPr="001C51E9">
        <w:t>By early 2013, 21 provinces will have established and functioning</w:t>
      </w:r>
      <w:r w:rsidR="009B3212" w:rsidRPr="009B3212">
        <w:t xml:space="preserve"> </w:t>
      </w:r>
      <w:r w:rsidR="009B3212">
        <w:t>systems</w:t>
      </w:r>
      <w:r w:rsidRPr="001C51E9">
        <w:t>.</w:t>
      </w:r>
      <w:r w:rsidR="00B525E5">
        <w:t xml:space="preserve"> </w:t>
      </w:r>
      <w:r w:rsidRPr="001C51E9">
        <w:t>Throughout 2012 the Indonesian Government’s capacity has been steadily strengthened in the areas of zoonotic risk reduction, risk assessment and risk communication</w:t>
      </w:r>
      <w:r w:rsidR="009B3212">
        <w:t>,</w:t>
      </w:r>
      <w:r w:rsidRPr="001C51E9">
        <w:t xml:space="preserve"> and epidemic response. Government systems are now providing faster and more complete information about disease occurrence to decision-makers. For example, outbreak simulation exercises have strengthened emergency preparedness and response capacity, and policy guidelines are enhancing effective planning and management of disease control. In the face of the emergence of a new strain of avian influenza in Indonesia in 2012, diagnostic laboratories were capable of performing advanced tests to </w:t>
      </w:r>
      <w:r w:rsidR="009B3212" w:rsidRPr="001C51E9">
        <w:t>characteri</w:t>
      </w:r>
      <w:r w:rsidR="009B3212">
        <w:t>s</w:t>
      </w:r>
      <w:r w:rsidR="009B3212" w:rsidRPr="001C51E9">
        <w:t xml:space="preserve">e </w:t>
      </w:r>
      <w:r w:rsidRPr="001C51E9">
        <w:t>the new virus.</w:t>
      </w:r>
    </w:p>
    <w:p w14:paraId="39D62E48" w14:textId="71A17383" w:rsidR="00154F9B" w:rsidRPr="001C51E9" w:rsidRDefault="001C51E9" w:rsidP="001C51E9">
      <w:pPr>
        <w:pStyle w:val="BodyText"/>
        <w:rPr>
          <w:kern w:val="28"/>
          <w:szCs w:val="22"/>
        </w:rPr>
      </w:pPr>
      <w:r w:rsidRPr="001C51E9">
        <w:rPr>
          <w:szCs w:val="22"/>
        </w:rPr>
        <w:t xml:space="preserve">A </w:t>
      </w:r>
      <w:r w:rsidR="009B3212" w:rsidRPr="001C51E9">
        <w:rPr>
          <w:szCs w:val="22"/>
        </w:rPr>
        <w:t xml:space="preserve">health sector delivery strategy </w:t>
      </w:r>
      <w:r w:rsidRPr="001C51E9">
        <w:rPr>
          <w:szCs w:val="22"/>
        </w:rPr>
        <w:t>is currently being prepared and will be finalised in 201</w:t>
      </w:r>
      <w:r w:rsidR="00826884">
        <w:rPr>
          <w:szCs w:val="22"/>
        </w:rPr>
        <w:t>4</w:t>
      </w:r>
      <w:r w:rsidRPr="001C51E9">
        <w:rPr>
          <w:szCs w:val="22"/>
        </w:rPr>
        <w:t xml:space="preserve">. In response to the changing burden of HIV, </w:t>
      </w:r>
      <w:r w:rsidR="00CE10E7">
        <w:rPr>
          <w:szCs w:val="22"/>
        </w:rPr>
        <w:t xml:space="preserve">Australian </w:t>
      </w:r>
      <w:r w:rsidRPr="001C51E9">
        <w:rPr>
          <w:szCs w:val="22"/>
        </w:rPr>
        <w:t xml:space="preserve">support has been refocused to include increased support for the Papuan </w:t>
      </w:r>
      <w:r w:rsidR="009B3212">
        <w:rPr>
          <w:szCs w:val="22"/>
        </w:rPr>
        <w:t>p</w:t>
      </w:r>
      <w:r w:rsidR="009B3212" w:rsidRPr="001C51E9">
        <w:rPr>
          <w:szCs w:val="22"/>
        </w:rPr>
        <w:t>rovinces</w:t>
      </w:r>
      <w:r w:rsidRPr="001C51E9">
        <w:rPr>
          <w:szCs w:val="22"/>
        </w:rPr>
        <w:t xml:space="preserve">. </w:t>
      </w:r>
      <w:r w:rsidRPr="001C51E9">
        <w:rPr>
          <w:szCs w:val="22"/>
          <w:lang w:eastAsia="x-none"/>
        </w:rPr>
        <w:t>More independent evaluations are being conducted, and programs are being adjusted continuously to take account of their findings and recommendations.</w:t>
      </w:r>
    </w:p>
    <w:p w14:paraId="68BA44CA" w14:textId="7356C77B" w:rsidR="00780026" w:rsidRPr="00780026" w:rsidRDefault="00780026" w:rsidP="00CB3B88">
      <w:pPr>
        <w:pStyle w:val="Heading2"/>
      </w:pPr>
      <w:bookmarkStart w:id="33" w:name="_Toc359585091"/>
      <w:bookmarkStart w:id="34" w:name="_Toc363768579"/>
      <w:bookmarkStart w:id="35" w:name="_Toc363804115"/>
      <w:r w:rsidRPr="00780026">
        <w:lastRenderedPageBreak/>
        <w:t xml:space="preserve">Management </w:t>
      </w:r>
      <w:bookmarkEnd w:id="33"/>
      <w:r w:rsidR="009B3212">
        <w:t>c</w:t>
      </w:r>
      <w:r w:rsidR="009B3212" w:rsidRPr="00780026">
        <w:t>onsequences</w:t>
      </w:r>
      <w:bookmarkEnd w:id="34"/>
      <w:bookmarkEnd w:id="35"/>
    </w:p>
    <w:p w14:paraId="4CEDE1E8" w14:textId="632FBF0E" w:rsidR="001C51E9" w:rsidRPr="001C51E9" w:rsidRDefault="001C51E9" w:rsidP="001C51E9">
      <w:pPr>
        <w:pStyle w:val="BodyText"/>
      </w:pPr>
      <w:r w:rsidRPr="001C51E9">
        <w:t>Management consequences for 2013</w:t>
      </w:r>
      <w:r w:rsidR="009B3212">
        <w:t>–</w:t>
      </w:r>
      <w:r w:rsidRPr="001C51E9">
        <w:t>14 include:</w:t>
      </w:r>
    </w:p>
    <w:p w14:paraId="5D006A08" w14:textId="0DC96460" w:rsidR="001C51E9" w:rsidRPr="001C51E9" w:rsidRDefault="001C51E9" w:rsidP="00CB3B88">
      <w:pPr>
        <w:pStyle w:val="ListBullet"/>
      </w:pPr>
      <w:r w:rsidRPr="001C51E9">
        <w:t xml:space="preserve">Finalise </w:t>
      </w:r>
      <w:r w:rsidR="00EA1C97">
        <w:t xml:space="preserve">the </w:t>
      </w:r>
      <w:r w:rsidR="00EA1C97" w:rsidRPr="001C51E9">
        <w:t>health sector delivery strategy</w:t>
      </w:r>
      <w:r w:rsidRPr="001C51E9">
        <w:t>.</w:t>
      </w:r>
    </w:p>
    <w:p w14:paraId="73F08C32" w14:textId="3EF115B9" w:rsidR="001C51E9" w:rsidRPr="001C51E9" w:rsidRDefault="00EA1C97" w:rsidP="00CB3B88">
      <w:pPr>
        <w:pStyle w:val="ListBullet"/>
      </w:pPr>
      <w:r>
        <w:t>Continue p</w:t>
      </w:r>
      <w:r w:rsidR="001C51E9" w:rsidRPr="001C51E9">
        <w:t xml:space="preserve">lanning to </w:t>
      </w:r>
      <w:r>
        <w:t xml:space="preserve">boost </w:t>
      </w:r>
      <w:r w:rsidR="001C51E9" w:rsidRPr="001C51E9">
        <w:t>the current maternal and neonatal health work with the design of a new program to cover multiple provinces from 2014.</w:t>
      </w:r>
      <w:r w:rsidR="00B525E5">
        <w:t xml:space="preserve"> </w:t>
      </w:r>
      <w:r w:rsidR="001C51E9" w:rsidRPr="001C51E9">
        <w:t>This will include new components to address nutrition and family planning.</w:t>
      </w:r>
      <w:r w:rsidR="00B525E5">
        <w:t xml:space="preserve"> </w:t>
      </w:r>
      <w:r w:rsidR="001C51E9" w:rsidRPr="001C51E9">
        <w:t xml:space="preserve">This is a high priority, </w:t>
      </w:r>
      <w:r>
        <w:t>as</w:t>
      </w:r>
      <w:r w:rsidRPr="001C51E9">
        <w:t xml:space="preserve"> </w:t>
      </w:r>
      <w:r w:rsidR="001C51E9" w:rsidRPr="001C51E9">
        <w:t>Indonesia</w:t>
      </w:r>
      <w:r>
        <w:t xml:space="preserve"> ha</w:t>
      </w:r>
      <w:r w:rsidR="001C51E9" w:rsidRPr="001C51E9">
        <w:t>s unacceptably high levels of maternal mortality and childhood stunting.</w:t>
      </w:r>
    </w:p>
    <w:p w14:paraId="6E3F4B74" w14:textId="77777777" w:rsidR="001C51E9" w:rsidRPr="001C51E9" w:rsidRDefault="001C51E9" w:rsidP="00CB3B88">
      <w:pPr>
        <w:pStyle w:val="ListBullet"/>
      </w:pPr>
      <w:r w:rsidRPr="001C51E9">
        <w:t>Stalled progress on malaria control in eastern Indonesia is of concern and consideration is being given to introducing malaria control work within the expanded maternal and neonatal health program.</w:t>
      </w:r>
    </w:p>
    <w:p w14:paraId="0D3E938F" w14:textId="05147FCE" w:rsidR="001C51E9" w:rsidRPr="001C51E9" w:rsidRDefault="001C51E9" w:rsidP="00CB3B88">
      <w:pPr>
        <w:pStyle w:val="ListBullet"/>
      </w:pPr>
      <w:r w:rsidRPr="001C51E9">
        <w:t>The roll-out of universal national health insurance from 2014 to 2019 is hugely challenging and will require intensive health system strengthening work if it is to succeed, especially in equipping the primary health care system to cope with the inevitable increase in demand.</w:t>
      </w:r>
      <w:r w:rsidR="00B525E5">
        <w:t xml:space="preserve"> </w:t>
      </w:r>
      <w:r w:rsidR="00F3020A">
        <w:t xml:space="preserve">DFAT </w:t>
      </w:r>
      <w:r w:rsidRPr="001C51E9">
        <w:t>will provide highly targeted technical assistance to support this process at the central level and also support reform pilots in selected provinces.</w:t>
      </w:r>
    </w:p>
    <w:p w14:paraId="34AF9683" w14:textId="0D47FF5F" w:rsidR="001C51E9" w:rsidRDefault="001C51E9" w:rsidP="00CB3B88">
      <w:pPr>
        <w:pStyle w:val="ListBullet"/>
      </w:pPr>
      <w:r w:rsidRPr="001C51E9">
        <w:t>The HIV epidemic in the Papuan provinces is extremely concerning.</w:t>
      </w:r>
      <w:r w:rsidR="00B525E5">
        <w:t xml:space="preserve"> </w:t>
      </w:r>
      <w:r w:rsidRPr="001C51E9">
        <w:t xml:space="preserve">Australia will work in close partnership with the </w:t>
      </w:r>
      <w:r w:rsidRPr="008A1B87">
        <w:t>G</w:t>
      </w:r>
      <w:r w:rsidR="00D82E86" w:rsidRPr="008A1B87">
        <w:t xml:space="preserve">lobal </w:t>
      </w:r>
      <w:r w:rsidRPr="008A1B87">
        <w:t>F</w:t>
      </w:r>
      <w:r w:rsidR="00D82E86" w:rsidRPr="008A1B87">
        <w:t>und to Fight AIDS Tuberculosis and Malaria</w:t>
      </w:r>
      <w:r w:rsidRPr="001C51E9">
        <w:t xml:space="preserve"> to support Indonesian counterparts at national and local levels to deliver an effective response.</w:t>
      </w:r>
    </w:p>
    <w:p w14:paraId="4F2DF6F5" w14:textId="0F62CEDC" w:rsidR="00154F9B" w:rsidRDefault="00154F9B" w:rsidP="001C51E9">
      <w:pPr>
        <w:pStyle w:val="BodyText"/>
      </w:pPr>
      <w:r>
        <w:t>T</w:t>
      </w:r>
      <w:r w:rsidRPr="004048AD">
        <w:t xml:space="preserve">he </w:t>
      </w:r>
      <w:r w:rsidR="00EA1C97">
        <w:t>follow-</w:t>
      </w:r>
      <w:r>
        <w:t xml:space="preserve">up of </w:t>
      </w:r>
      <w:r w:rsidRPr="004048AD">
        <w:t xml:space="preserve">management consequences from the </w:t>
      </w:r>
      <w:r w:rsidR="00EA1C97">
        <w:t>2011 annual program performance report</w:t>
      </w:r>
      <w:r w:rsidR="00EA1C97" w:rsidRPr="004048AD">
        <w:t xml:space="preserve"> </w:t>
      </w:r>
      <w:r>
        <w:t>can be found in</w:t>
      </w:r>
      <w:r w:rsidRPr="004048AD">
        <w:t xml:space="preserve"> </w:t>
      </w:r>
      <w:r w:rsidRPr="00154F9B">
        <w:rPr>
          <w:b/>
        </w:rPr>
        <w:t>Annex B</w:t>
      </w:r>
      <w:r w:rsidRPr="004048AD">
        <w:t>.</w:t>
      </w:r>
    </w:p>
    <w:p w14:paraId="7A11F3D9" w14:textId="77777777" w:rsidR="00780026" w:rsidRPr="00780026" w:rsidRDefault="00780026" w:rsidP="00CB3B88">
      <w:pPr>
        <w:pStyle w:val="Heading1"/>
      </w:pPr>
      <w:bookmarkStart w:id="36" w:name="_Toc359585092"/>
      <w:bookmarkStart w:id="37" w:name="_Toc363804116"/>
      <w:r w:rsidRPr="00780026">
        <w:t>Transport and connectivity</w:t>
      </w:r>
      <w:bookmarkEnd w:id="36"/>
      <w:bookmarkEnd w:id="37"/>
      <w:r w:rsidRPr="00780026">
        <w:t xml:space="preserve"> </w:t>
      </w:r>
    </w:p>
    <w:tbl>
      <w:tblPr>
        <w:tblStyle w:val="APPR2"/>
        <w:tblW w:w="5000" w:type="pct"/>
        <w:tblLayout w:type="fixed"/>
        <w:tblLook w:val="0000" w:firstRow="0" w:lastRow="0" w:firstColumn="0" w:lastColumn="0" w:noHBand="0" w:noVBand="0"/>
      </w:tblPr>
      <w:tblGrid>
        <w:gridCol w:w="6453"/>
        <w:gridCol w:w="1050"/>
        <w:gridCol w:w="1103"/>
      </w:tblGrid>
      <w:tr w:rsidR="00CB3B88" w:rsidRPr="00780026" w14:paraId="33F59B2C" w14:textId="77777777" w:rsidTr="00CB3B88">
        <w:trPr>
          <w:cantSplit/>
          <w:tblHeader w:val="0"/>
        </w:trPr>
        <w:tc>
          <w:tcPr>
            <w:tcW w:w="6048" w:type="dxa"/>
          </w:tcPr>
          <w:p w14:paraId="1DC4B40F" w14:textId="77777777" w:rsidR="00CB3B88" w:rsidRPr="00780026" w:rsidRDefault="00CB3B88" w:rsidP="00CB3B88">
            <w:pPr>
              <w:pStyle w:val="TableTextColumnHeading"/>
            </w:pPr>
            <w:r w:rsidRPr="00780026">
              <w:rPr>
                <w:noProof/>
                <w:lang w:eastAsia="en-AU"/>
              </w:rPr>
              <w:drawing>
                <wp:anchor distT="0" distB="0" distL="114300" distR="114300" simplePos="0" relativeHeight="251702272" behindDoc="0" locked="0" layoutInCell="1" allowOverlap="1" wp14:anchorId="288F5FA1" wp14:editId="1F547098">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026">
              <w:t>Objective</w:t>
            </w:r>
          </w:p>
        </w:tc>
        <w:tc>
          <w:tcPr>
            <w:tcW w:w="964" w:type="dxa"/>
            <w:vAlign w:val="center"/>
          </w:tcPr>
          <w:p w14:paraId="1E3C7067" w14:textId="5CA67CD3" w:rsidR="00CB3B88" w:rsidRPr="00780026" w:rsidRDefault="00CB3B88" w:rsidP="00CB3B88">
            <w:pPr>
              <w:pStyle w:val="TableTextColumnHeading"/>
            </w:pPr>
            <w:r w:rsidRPr="00780026">
              <w:t xml:space="preserve">Current </w:t>
            </w:r>
            <w:r>
              <w:t>r</w:t>
            </w:r>
            <w:r w:rsidRPr="00780026">
              <w:t>ating</w:t>
            </w:r>
          </w:p>
        </w:tc>
        <w:tc>
          <w:tcPr>
            <w:tcW w:w="1001" w:type="dxa"/>
            <w:vAlign w:val="center"/>
          </w:tcPr>
          <w:p w14:paraId="10B968C9" w14:textId="7A0F9F9D" w:rsidR="00CB3B88" w:rsidRPr="00780026" w:rsidRDefault="00CB3B88" w:rsidP="00CB3B88">
            <w:pPr>
              <w:pStyle w:val="TableTextColumnHeading"/>
            </w:pPr>
            <w:r w:rsidRPr="00780026">
              <w:t xml:space="preserve">Previous </w:t>
            </w:r>
            <w:r>
              <w:t>r</w:t>
            </w:r>
            <w:r w:rsidRPr="00780026">
              <w:t>ating</w:t>
            </w:r>
          </w:p>
        </w:tc>
      </w:tr>
      <w:tr w:rsidR="00CB3B88" w:rsidRPr="00780026" w14:paraId="7EA86E84" w14:textId="77777777" w:rsidTr="00CB3B88">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704EAAA4" w14:textId="60685639" w:rsidR="00CB3B88" w:rsidRPr="00780026" w:rsidRDefault="00CB3B88" w:rsidP="00CB3B88">
            <w:pPr>
              <w:pStyle w:val="TableTextEntries"/>
            </w:pPr>
            <w:r w:rsidRPr="00780026">
              <w:t>Strategic sections of the national and provincial</w:t>
            </w:r>
            <w:r>
              <w:t xml:space="preserve"> </w:t>
            </w:r>
            <w:r w:rsidRPr="00780026">
              <w:t xml:space="preserve">road network upgraded or maintained to </w:t>
            </w:r>
            <w:r w:rsidRPr="00EA1C97">
              <w:t xml:space="preserve">Directorate General of Highways </w:t>
            </w:r>
            <w:r w:rsidRPr="00780026">
              <w:t xml:space="preserve">standards </w:t>
            </w:r>
          </w:p>
        </w:tc>
        <w:tc>
          <w:tcPr>
            <w:tcW w:w="964" w:type="dxa"/>
            <w:shd w:val="clear" w:color="auto" w:fill="92D050"/>
            <w:noWrap/>
            <w:vAlign w:val="center"/>
          </w:tcPr>
          <w:p w14:paraId="14F5569C" w14:textId="77777777" w:rsidR="00CB3B88" w:rsidRPr="00CB3B88" w:rsidRDefault="00CB3B88" w:rsidP="00CB3B88">
            <w:pPr>
              <w:pStyle w:val="TableTextEntries"/>
            </w:pPr>
            <w:r w:rsidRPr="00CB3B88">
              <w:t>Green</w:t>
            </w:r>
          </w:p>
        </w:tc>
        <w:tc>
          <w:tcPr>
            <w:tcW w:w="1001" w:type="dxa"/>
            <w:shd w:val="clear" w:color="auto" w:fill="F79646" w:themeFill="accent6"/>
            <w:noWrap/>
            <w:vAlign w:val="center"/>
          </w:tcPr>
          <w:p w14:paraId="100DDB72" w14:textId="77777777" w:rsidR="00CB3B88" w:rsidRPr="00CB3B88" w:rsidRDefault="00CB3B88" w:rsidP="00CB3B88">
            <w:pPr>
              <w:pStyle w:val="TableTextEntries"/>
            </w:pPr>
            <w:r w:rsidRPr="00CB3B88">
              <w:t>Amber</w:t>
            </w:r>
          </w:p>
        </w:tc>
      </w:tr>
      <w:tr w:rsidR="00CB3B88" w:rsidRPr="00780026" w14:paraId="495BB0D4" w14:textId="77777777" w:rsidTr="00CB3B88">
        <w:trPr>
          <w:cantSplit/>
          <w:tblHeader w:val="0"/>
        </w:trPr>
        <w:tc>
          <w:tcPr>
            <w:tcW w:w="6048" w:type="dxa"/>
          </w:tcPr>
          <w:p w14:paraId="1EA4B072" w14:textId="1DC0AB77" w:rsidR="00CB3B88" w:rsidRPr="00780026" w:rsidRDefault="00CB3B88" w:rsidP="00CB3B88">
            <w:pPr>
              <w:pStyle w:val="TableTextEntries"/>
            </w:pPr>
            <w:r w:rsidRPr="00780026">
              <w:t xml:space="preserve">Improved policy, planning, preparation and delivery of </w:t>
            </w:r>
            <w:r>
              <w:t>Indonesian Government</w:t>
            </w:r>
            <w:r w:rsidRPr="00780026">
              <w:t xml:space="preserve"> transport priorities </w:t>
            </w:r>
          </w:p>
        </w:tc>
        <w:tc>
          <w:tcPr>
            <w:tcW w:w="964" w:type="dxa"/>
            <w:shd w:val="clear" w:color="auto" w:fill="92D050"/>
            <w:noWrap/>
            <w:vAlign w:val="center"/>
          </w:tcPr>
          <w:p w14:paraId="2F11CDDF" w14:textId="77777777" w:rsidR="00CB3B88" w:rsidRPr="00CB3B88" w:rsidRDefault="00CB3B88" w:rsidP="00CB3B88">
            <w:pPr>
              <w:pStyle w:val="TableTextEntries"/>
            </w:pPr>
            <w:r w:rsidRPr="00CB3B88">
              <w:t>Green</w:t>
            </w:r>
          </w:p>
        </w:tc>
        <w:tc>
          <w:tcPr>
            <w:tcW w:w="1001" w:type="dxa"/>
            <w:shd w:val="clear" w:color="auto" w:fill="F79646" w:themeFill="accent6"/>
            <w:noWrap/>
            <w:vAlign w:val="center"/>
          </w:tcPr>
          <w:p w14:paraId="635EDD46" w14:textId="77777777" w:rsidR="00CB3B88" w:rsidRPr="00CB3B88" w:rsidRDefault="00CB3B88" w:rsidP="00CB3B88">
            <w:pPr>
              <w:pStyle w:val="TableTextEntries"/>
            </w:pPr>
            <w:r w:rsidRPr="00CB3B88">
              <w:t>Amber</w:t>
            </w:r>
          </w:p>
        </w:tc>
      </w:tr>
    </w:tbl>
    <w:p w14:paraId="335CBDE3" w14:textId="77777777" w:rsidR="00780026" w:rsidRPr="00780026" w:rsidRDefault="00780026" w:rsidP="00CB3B88">
      <w:pPr>
        <w:pStyle w:val="Note"/>
      </w:pPr>
      <w:r w:rsidRPr="00780026">
        <w:t xml:space="preserve">Note: </w:t>
      </w:r>
    </w:p>
    <w:p w14:paraId="07ED81C3" w14:textId="77777777" w:rsidR="00780026" w:rsidRPr="00780026" w:rsidRDefault="00780026" w:rsidP="00CB3B88">
      <w:pPr>
        <w:pStyle w:val="Note"/>
      </w:pPr>
      <w:r w:rsidRPr="00780026">
        <w:rPr>
          <w:color w:val="92D050"/>
        </w:rPr>
        <w:sym w:font="Webdings" w:char="F067"/>
      </w:r>
      <w:r w:rsidRPr="00780026">
        <w:t> </w:t>
      </w:r>
      <w:r w:rsidRPr="00780026">
        <w:t xml:space="preserve"> </w:t>
      </w:r>
      <w:proofErr w:type="gramStart"/>
      <w:r w:rsidRPr="00780026">
        <w:t>Green.</w:t>
      </w:r>
      <w:proofErr w:type="gramEnd"/>
      <w:r w:rsidRPr="00780026">
        <w:t xml:space="preserve"> Progress is as expected for this point in time and it is likely that the objective will be achieved. Standard program management practices are sufficient.</w:t>
      </w:r>
    </w:p>
    <w:p w14:paraId="3D97D694" w14:textId="77777777" w:rsidR="00780026" w:rsidRPr="00780026" w:rsidRDefault="00780026" w:rsidP="00CB3B88">
      <w:pPr>
        <w:pStyle w:val="Note"/>
      </w:pPr>
      <w:r w:rsidRPr="00780026">
        <w:rPr>
          <w:color w:val="F79646" w:themeColor="accent6"/>
        </w:rPr>
        <w:sym w:font="Webdings" w:char="F067"/>
      </w:r>
      <w:r w:rsidRPr="00780026">
        <w:t> </w:t>
      </w:r>
      <w:r w:rsidRPr="00780026">
        <w:t xml:space="preserve"> Amber. Progress is somewhat less than expected for this point in time and restorative action will be necessary if the objective is to be achieved. Close performance monitoring is recommended.</w:t>
      </w:r>
    </w:p>
    <w:p w14:paraId="050FC336" w14:textId="77777777" w:rsidR="00780026" w:rsidRPr="00780026" w:rsidRDefault="00780026" w:rsidP="00CB3B88">
      <w:pPr>
        <w:pStyle w:val="Note"/>
      </w:pPr>
      <w:r w:rsidRPr="00780026">
        <w:rPr>
          <w:color w:val="FF0000"/>
        </w:rPr>
        <w:sym w:font="Webdings" w:char="F067"/>
      </w:r>
      <w:r w:rsidRPr="00780026">
        <w:t> </w:t>
      </w:r>
      <w:r w:rsidRPr="00780026">
        <w:t xml:space="preserve"> </w:t>
      </w:r>
      <w:proofErr w:type="gramStart"/>
      <w:r w:rsidRPr="00780026">
        <w:t>Red.</w:t>
      </w:r>
      <w:proofErr w:type="gramEnd"/>
      <w:r w:rsidRPr="00780026">
        <w:t xml:space="preserve"> Progress is significantly less than expected for this point in time and the objective is not likely to be met given available resources and priorities. Recasting the objective may be required. </w:t>
      </w:r>
    </w:p>
    <w:p w14:paraId="48C0A11E" w14:textId="77777777" w:rsidR="007C41D7" w:rsidRPr="00CB3B88" w:rsidRDefault="007C41D7" w:rsidP="00CB3B88">
      <w:pPr>
        <w:pStyle w:val="BodyText"/>
      </w:pPr>
    </w:p>
    <w:p w14:paraId="20F1E613" w14:textId="2D786390" w:rsidR="001C51E9" w:rsidRPr="001C51E9" w:rsidRDefault="001C51E9" w:rsidP="00CB3B88">
      <w:pPr>
        <w:pStyle w:val="BodyText"/>
      </w:pPr>
      <w:r w:rsidRPr="00CB3B88">
        <w:t xml:space="preserve">The transport and connectivity vision set out in the </w:t>
      </w:r>
      <w:r w:rsidR="000A11DD" w:rsidRPr="00CB3B88">
        <w:t>Indonesian Government</w:t>
      </w:r>
      <w:r w:rsidRPr="00CB3B88">
        <w:t>’s</w:t>
      </w:r>
      <w:r w:rsidR="00EA1C97" w:rsidRPr="00CB3B88">
        <w:t xml:space="preserve"> </w:t>
      </w:r>
      <w:r w:rsidRPr="00CB3B88">
        <w:t>National Economic Master</w:t>
      </w:r>
      <w:r w:rsidRPr="001C51E9">
        <w:t xml:space="preserve"> Plan continued to be </w:t>
      </w:r>
      <w:r w:rsidR="00EA1C97">
        <w:t>its</w:t>
      </w:r>
      <w:r w:rsidR="00EA1C97" w:rsidRPr="001C51E9">
        <w:t xml:space="preserve"> </w:t>
      </w:r>
      <w:r w:rsidRPr="001C51E9">
        <w:t>major priority during 2012.</w:t>
      </w:r>
      <w:r w:rsidR="00B525E5">
        <w:t xml:space="preserve"> </w:t>
      </w:r>
      <w:r w:rsidRPr="001C51E9">
        <w:t xml:space="preserve">The election of a reformist </w:t>
      </w:r>
      <w:r w:rsidR="00C86990">
        <w:t>g</w:t>
      </w:r>
      <w:r w:rsidRPr="001C51E9">
        <w:t xml:space="preserve">overnor of Jakarta in 2012 on a mandate of improving public infrastructure demonstrates a growing public impatience with progress on infrastructure development which can be expected to further increase in the lead up to </w:t>
      </w:r>
      <w:r w:rsidR="00EA1C97">
        <w:t>p</w:t>
      </w:r>
      <w:r w:rsidR="00EA1C97" w:rsidRPr="001C51E9">
        <w:t xml:space="preserve">residential </w:t>
      </w:r>
      <w:r w:rsidRPr="001C51E9">
        <w:t>elections in 2014.</w:t>
      </w:r>
      <w:r w:rsidR="00B525E5">
        <w:t xml:space="preserve"> </w:t>
      </w:r>
      <w:r w:rsidRPr="001C51E9">
        <w:t xml:space="preserve">Challenges include managing Indonesia’s rapid </w:t>
      </w:r>
      <w:r w:rsidR="00356E26" w:rsidRPr="001C51E9">
        <w:t>urbani</w:t>
      </w:r>
      <w:r w:rsidR="00356E26">
        <w:t>s</w:t>
      </w:r>
      <w:r w:rsidR="00356E26" w:rsidRPr="001C51E9">
        <w:t>ation</w:t>
      </w:r>
      <w:r w:rsidR="00356E26">
        <w:t>,</w:t>
      </w:r>
      <w:r w:rsidR="00356E26" w:rsidRPr="001C51E9">
        <w:t xml:space="preserve"> </w:t>
      </w:r>
      <w:r w:rsidRPr="001C51E9">
        <w:t>which is exacerbating already severe traffic congestion in Jakarta and other major cities, and addressing the economic cost of poor quality sub-national roads</w:t>
      </w:r>
      <w:r w:rsidR="00356E26">
        <w:t xml:space="preserve"> </w:t>
      </w:r>
      <w:r w:rsidR="00356E26" w:rsidRPr="001C51E9">
        <w:t>in rural areas</w:t>
      </w:r>
      <w:r w:rsidRPr="001C51E9">
        <w:t>, and the poor productivity of small ports.</w:t>
      </w:r>
      <w:r w:rsidR="00B525E5">
        <w:t xml:space="preserve"> </w:t>
      </w:r>
    </w:p>
    <w:p w14:paraId="7B142923" w14:textId="7E77C651" w:rsidR="001C51E9" w:rsidRPr="001C51E9" w:rsidRDefault="001C51E9" w:rsidP="007C41D7">
      <w:pPr>
        <w:pStyle w:val="BodyText"/>
      </w:pPr>
      <w:r w:rsidRPr="001C51E9">
        <w:t>Public sector spending accounts for nearly 90 per cent of total transport sector investment, with the role of the private sector limited to a small network of tolled expressways and private rail lines.</w:t>
      </w:r>
      <w:r w:rsidR="00B525E5">
        <w:t xml:space="preserve"> </w:t>
      </w:r>
      <w:r w:rsidRPr="001C51E9">
        <w:t xml:space="preserve">The road sector in particular plays a critical role in facilitating inter-urban passenger movements and linking economic centres across the country, with central government </w:t>
      </w:r>
      <w:r w:rsidRPr="001C51E9">
        <w:lastRenderedPageBreak/>
        <w:t xml:space="preserve">spending on national roads representing 60 per cent of total spending on all modes of transport. </w:t>
      </w:r>
      <w:r w:rsidR="00CE10E7">
        <w:t>Australia</w:t>
      </w:r>
      <w:r w:rsidRPr="001C51E9">
        <w:t xml:space="preserve"> has continued to support transport and connectivity through its core programs of the Eastern Indonesia National Road Improvement Project, the Indonesian Infrastructure Initiative and the Indonesian Infrastructure Support fund with the World Bank. Support to the Ministry of Transport continues to build on targeted assistance from previous years </w:t>
      </w:r>
      <w:r w:rsidR="00761A04">
        <w:t xml:space="preserve">and is </w:t>
      </w:r>
      <w:r w:rsidRPr="001C51E9">
        <w:t>focus</w:t>
      </w:r>
      <w:r w:rsidR="00761A04">
        <w:t xml:space="preserve">ing </w:t>
      </w:r>
      <w:r w:rsidRPr="001C51E9">
        <w:t>on policy and planning for regulatory reforms in the ports, aviation and rail sectors</w:t>
      </w:r>
      <w:r w:rsidR="00761A04">
        <w:t>,</w:t>
      </w:r>
      <w:r w:rsidRPr="001C51E9">
        <w:t xml:space="preserve"> as well as strengthening links between </w:t>
      </w:r>
      <w:r w:rsidR="00761A04" w:rsidRPr="001C51E9">
        <w:t>the Ministry of Transport</w:t>
      </w:r>
      <w:r w:rsidRPr="001C51E9">
        <w:t>, Ministry of Public Works (Directorate General of Highways) and the transport police for improved road safety.</w:t>
      </w:r>
    </w:p>
    <w:p w14:paraId="4F7B136F" w14:textId="21CDDDF2" w:rsidR="001C51E9" w:rsidRPr="001C51E9" w:rsidRDefault="001C51E9" w:rsidP="007C41D7">
      <w:pPr>
        <w:pStyle w:val="BodyText"/>
      </w:pPr>
      <w:r w:rsidRPr="001C51E9">
        <w:t xml:space="preserve">Progress has continued to be made in the delivery of </w:t>
      </w:r>
      <w:r w:rsidR="00761A04">
        <w:t xml:space="preserve">the </w:t>
      </w:r>
      <w:r w:rsidR="00761A04" w:rsidRPr="001C51E9">
        <w:t xml:space="preserve">Eastern Indonesia National Road Improvement Project </w:t>
      </w:r>
      <w:r w:rsidRPr="001C51E9">
        <w:t>with 11 of the 20 road projects reaching substantive completion by June 2013.</w:t>
      </w:r>
      <w:r w:rsidR="00B525E5">
        <w:t xml:space="preserve"> </w:t>
      </w:r>
      <w:r w:rsidRPr="001C51E9">
        <w:t xml:space="preserve">Past issues of implementation progress, construction quality and land acquisition have been overcome through continued close cooperation between </w:t>
      </w:r>
      <w:r w:rsidR="00CE10E7">
        <w:t>Australia</w:t>
      </w:r>
      <w:r w:rsidRPr="001C51E9">
        <w:t xml:space="preserve"> and </w:t>
      </w:r>
      <w:r w:rsidR="00761A04">
        <w:t>the Directorate General of Highways</w:t>
      </w:r>
      <w:r w:rsidRPr="001C51E9">
        <w:t>.</w:t>
      </w:r>
      <w:r w:rsidR="00B525E5">
        <w:t xml:space="preserve"> </w:t>
      </w:r>
      <w:r w:rsidRPr="001C51E9">
        <w:t xml:space="preserve">Following negotiations with </w:t>
      </w:r>
      <w:r w:rsidR="00761A04">
        <w:t>the directorate</w:t>
      </w:r>
      <w:r w:rsidRPr="001C51E9">
        <w:t xml:space="preserve">, </w:t>
      </w:r>
      <w:r w:rsidR="00CE10E7">
        <w:t xml:space="preserve">it was </w:t>
      </w:r>
      <w:r w:rsidRPr="001C51E9">
        <w:t xml:space="preserve">agreed to extend the </w:t>
      </w:r>
      <w:r w:rsidR="00761A04" w:rsidRPr="001C51E9">
        <w:t>Eastern Indonesia National Road Improvement Project</w:t>
      </w:r>
      <w:r w:rsidR="00761A04" w:rsidRPr="001C51E9" w:rsidDel="00761A04">
        <w:t xml:space="preserve"> </w:t>
      </w:r>
      <w:r w:rsidRPr="001C51E9">
        <w:t>loan by 21 months to 31 December 2014. Loan drawdowns over the 18 months to June 2013 were in the order of $64 million equating to the construction of a total of 1</w:t>
      </w:r>
      <w:r w:rsidR="00422033">
        <w:t>11</w:t>
      </w:r>
      <w:r w:rsidR="00761A04">
        <w:t xml:space="preserve"> kilometres</w:t>
      </w:r>
      <w:r w:rsidR="00761A04" w:rsidRPr="001C51E9">
        <w:t xml:space="preserve"> </w:t>
      </w:r>
      <w:r w:rsidRPr="001C51E9">
        <w:t>of high quality road over the same period.</w:t>
      </w:r>
      <w:r w:rsidR="00B525E5">
        <w:t xml:space="preserve"> </w:t>
      </w:r>
      <w:r w:rsidR="00761A04">
        <w:t>R</w:t>
      </w:r>
      <w:r w:rsidRPr="001C51E9">
        <w:t>oads have been designed and built to last 20 years, compared to 10</w:t>
      </w:r>
      <w:r w:rsidR="00C86990">
        <w:t>-</w:t>
      </w:r>
      <w:r w:rsidRPr="001C51E9">
        <w:t>year design lives for other Indonesian national roads.</w:t>
      </w:r>
      <w:r w:rsidR="00B525E5">
        <w:t xml:space="preserve"> </w:t>
      </w:r>
      <w:r w:rsidRPr="001C51E9">
        <w:t xml:space="preserve">Early assessments of the impacts of </w:t>
      </w:r>
      <w:r w:rsidR="00761A04">
        <w:t>the project</w:t>
      </w:r>
      <w:r w:rsidR="00761A04" w:rsidRPr="001C51E9">
        <w:t xml:space="preserve"> </w:t>
      </w:r>
      <w:r w:rsidRPr="001C51E9">
        <w:t xml:space="preserve">are very promising with evidence suggesting that vehicle speeds on </w:t>
      </w:r>
      <w:r w:rsidR="00761A04">
        <w:t>the</w:t>
      </w:r>
      <w:r w:rsidR="00761A04" w:rsidRPr="001C51E9">
        <w:t xml:space="preserve"> </w:t>
      </w:r>
      <w:r w:rsidRPr="001C51E9">
        <w:t>roads have increased by nearly 40</w:t>
      </w:r>
      <w:r w:rsidR="00761A04">
        <w:t xml:space="preserve"> per cent</w:t>
      </w:r>
      <w:r w:rsidR="00761A04" w:rsidRPr="001C51E9">
        <w:t xml:space="preserve">, </w:t>
      </w:r>
      <w:r w:rsidRPr="001C51E9">
        <w:t>halving long-distance journey times on some roads.</w:t>
      </w:r>
      <w:r w:rsidR="00B525E5">
        <w:t xml:space="preserve"> </w:t>
      </w:r>
      <w:r w:rsidRPr="001C51E9">
        <w:t xml:space="preserve">In the case of Sumbawa </w:t>
      </w:r>
      <w:proofErr w:type="gramStart"/>
      <w:r w:rsidRPr="001C51E9">
        <w:t>island</w:t>
      </w:r>
      <w:proofErr w:type="gramEnd"/>
      <w:r w:rsidRPr="001C51E9">
        <w:t xml:space="preserve"> for example, the long-distance journey between the towns of </w:t>
      </w:r>
      <w:proofErr w:type="spellStart"/>
      <w:r w:rsidRPr="001C51E9">
        <w:t>Dompu</w:t>
      </w:r>
      <w:proofErr w:type="spellEnd"/>
      <w:r w:rsidRPr="001C51E9">
        <w:t xml:space="preserve"> and Sumbawa </w:t>
      </w:r>
      <w:proofErr w:type="spellStart"/>
      <w:r w:rsidRPr="001C51E9">
        <w:t>Besar</w:t>
      </w:r>
      <w:proofErr w:type="spellEnd"/>
      <w:r w:rsidRPr="001C51E9">
        <w:t xml:space="preserve"> now takes </w:t>
      </w:r>
      <w:r w:rsidR="00761A04">
        <w:t>four</w:t>
      </w:r>
      <w:r w:rsidR="00761A04" w:rsidRPr="001C51E9">
        <w:t xml:space="preserve"> </w:t>
      </w:r>
      <w:r w:rsidRPr="001C51E9">
        <w:t xml:space="preserve">to </w:t>
      </w:r>
      <w:r w:rsidR="00761A04">
        <w:t>five</w:t>
      </w:r>
      <w:r w:rsidR="00761A04" w:rsidRPr="001C51E9">
        <w:t xml:space="preserve"> </w:t>
      </w:r>
      <w:r w:rsidRPr="001C51E9">
        <w:t xml:space="preserve">hours against previous journey times of </w:t>
      </w:r>
      <w:r w:rsidR="00761A04">
        <w:t>eight</w:t>
      </w:r>
      <w:r w:rsidR="00761A04" w:rsidRPr="001C51E9">
        <w:t xml:space="preserve"> </w:t>
      </w:r>
      <w:r w:rsidRPr="001C51E9">
        <w:t xml:space="preserve">to </w:t>
      </w:r>
      <w:r w:rsidR="00761A04">
        <w:t>nine</w:t>
      </w:r>
      <w:r w:rsidR="00761A04" w:rsidRPr="001C51E9">
        <w:t xml:space="preserve"> </w:t>
      </w:r>
      <w:r w:rsidRPr="001C51E9">
        <w:t>hours.</w:t>
      </w:r>
      <w:r w:rsidR="00B525E5">
        <w:t xml:space="preserve"> </w:t>
      </w:r>
      <w:r w:rsidRPr="001C51E9">
        <w:t>Further data suggest that vehicle operating costs have fallen sharply and road safety has increased.</w:t>
      </w:r>
      <w:r w:rsidR="00B525E5">
        <w:t xml:space="preserve"> </w:t>
      </w:r>
      <w:r w:rsidRPr="001C51E9">
        <w:t>Increased economic activity is also evident with traffic volumes increasing by 48</w:t>
      </w:r>
      <w:r w:rsidR="00761A04">
        <w:t xml:space="preserve"> per cent</w:t>
      </w:r>
      <w:r w:rsidR="00761A04" w:rsidRPr="001C51E9">
        <w:t>.</w:t>
      </w:r>
    </w:p>
    <w:p w14:paraId="3FA55C92" w14:textId="02050A7A" w:rsidR="001C51E9" w:rsidRPr="001C51E9" w:rsidRDefault="001C51E9" w:rsidP="007C41D7">
      <w:pPr>
        <w:pStyle w:val="BodyText"/>
      </w:pPr>
      <w:r w:rsidRPr="001C51E9">
        <w:t>In 2012</w:t>
      </w:r>
      <w:r w:rsidR="00C86990">
        <w:t>–</w:t>
      </w:r>
      <w:r w:rsidRPr="001C51E9">
        <w:t xml:space="preserve">13 </w:t>
      </w:r>
      <w:r w:rsidR="00171696">
        <w:t>the</w:t>
      </w:r>
      <w:r w:rsidR="00171696" w:rsidRPr="001C51E9">
        <w:t xml:space="preserve"> </w:t>
      </w:r>
      <w:r w:rsidRPr="001C51E9">
        <w:t>A</w:t>
      </w:r>
      <w:r w:rsidR="00761A04">
        <w:t xml:space="preserve">ustralian </w:t>
      </w:r>
      <w:r w:rsidRPr="001C51E9">
        <w:t>N</w:t>
      </w:r>
      <w:r w:rsidR="00761A04">
        <w:t xml:space="preserve">ational </w:t>
      </w:r>
      <w:r w:rsidRPr="001C51E9">
        <w:t>A</w:t>
      </w:r>
      <w:r w:rsidR="00761A04">
        <w:t xml:space="preserve">udit </w:t>
      </w:r>
      <w:r w:rsidRPr="001C51E9">
        <w:t>O</w:t>
      </w:r>
      <w:r w:rsidR="00761A04">
        <w:t>ffice</w:t>
      </w:r>
      <w:r w:rsidRPr="001C51E9">
        <w:t xml:space="preserve"> </w:t>
      </w:r>
      <w:r w:rsidR="00761A04">
        <w:t>reviewed</w:t>
      </w:r>
      <w:r w:rsidRPr="001C51E9">
        <w:t xml:space="preserve"> the management of </w:t>
      </w:r>
      <w:r w:rsidR="00CE10E7">
        <w:t xml:space="preserve">Australia’s </w:t>
      </w:r>
      <w:r w:rsidRPr="001C51E9">
        <w:t xml:space="preserve">Indonesian infrastructure activities with a particular focus on </w:t>
      </w:r>
      <w:r w:rsidR="00761A04">
        <w:t xml:space="preserve">the </w:t>
      </w:r>
      <w:r w:rsidR="00761A04" w:rsidRPr="001C51E9">
        <w:t>Eastern Indonesia National Road Improvement Project</w:t>
      </w:r>
      <w:r w:rsidR="00761A04" w:rsidRPr="001C51E9" w:rsidDel="00761A04">
        <w:t xml:space="preserve"> </w:t>
      </w:r>
      <w:r w:rsidRPr="001C51E9">
        <w:t xml:space="preserve">and </w:t>
      </w:r>
      <w:r w:rsidR="00761A04">
        <w:t xml:space="preserve">the </w:t>
      </w:r>
      <w:r w:rsidR="00761A04" w:rsidRPr="001C51E9">
        <w:t>Indonesian Infrastructure Initiative</w:t>
      </w:r>
      <w:r w:rsidRPr="001C51E9">
        <w:t>.</w:t>
      </w:r>
      <w:r w:rsidR="00B525E5">
        <w:t xml:space="preserve"> </w:t>
      </w:r>
      <w:r w:rsidRPr="001C51E9">
        <w:t xml:space="preserve">The </w:t>
      </w:r>
      <w:r w:rsidR="00761A04">
        <w:t>audit</w:t>
      </w:r>
      <w:r w:rsidR="00761A04" w:rsidRPr="001C51E9">
        <w:t xml:space="preserve"> </w:t>
      </w:r>
      <w:r w:rsidRPr="001C51E9">
        <w:t xml:space="preserve">found that management of both programs has been effective, that the programs are highly valued by </w:t>
      </w:r>
      <w:r w:rsidR="000A11DD">
        <w:t>Indonesian Government</w:t>
      </w:r>
      <w:r w:rsidRPr="001C51E9">
        <w:t xml:space="preserve"> and are delivering tangible benefits for a large number of low income Indonesians. In addition, the </w:t>
      </w:r>
      <w:r w:rsidR="00761A04">
        <w:t>audit</w:t>
      </w:r>
      <w:r w:rsidR="00761A04" w:rsidRPr="001C51E9">
        <w:t xml:space="preserve"> </w:t>
      </w:r>
      <w:r w:rsidRPr="001C51E9">
        <w:t xml:space="preserve">found that </w:t>
      </w:r>
      <w:r w:rsidR="00CE10E7">
        <w:t xml:space="preserve">the aid program </w:t>
      </w:r>
      <w:r w:rsidRPr="001C51E9">
        <w:t>has acquired the institutional capability and sectoral understanding to support ongoing engagement in the infrastructure sector</w:t>
      </w:r>
      <w:r w:rsidR="00761A04">
        <w:t>.</w:t>
      </w:r>
      <w:r w:rsidRPr="001C51E9">
        <w:t xml:space="preserve"> Individual recommendations to improve the management and oversight of our activities have been accepted by </w:t>
      </w:r>
      <w:r w:rsidR="00CE10E7">
        <w:t>the department</w:t>
      </w:r>
      <w:r w:rsidRPr="001C51E9">
        <w:t xml:space="preserve"> and will be addressed in 2013</w:t>
      </w:r>
      <w:r w:rsidR="00761A04">
        <w:t>–</w:t>
      </w:r>
      <w:r w:rsidRPr="001C51E9">
        <w:t xml:space="preserve">14 with progress to be reported in the 2013 Indonesian program </w:t>
      </w:r>
      <w:r w:rsidR="00AE00FC">
        <w:t xml:space="preserve">aid </w:t>
      </w:r>
      <w:r w:rsidR="00761A04">
        <w:t>program performance report</w:t>
      </w:r>
      <w:r w:rsidRPr="001C51E9">
        <w:t xml:space="preserve">. In particular, as recommended in the audit, in 2013 Australia will develop a delivery strategy for infrastructure encompassing both transport connectivity and water and sanitation to guide </w:t>
      </w:r>
      <w:r w:rsidR="00F3020A">
        <w:t xml:space="preserve">DFAT’s </w:t>
      </w:r>
      <w:r w:rsidRPr="001C51E9">
        <w:t xml:space="preserve">investment in the development of Indonesian infrastructure over the next five years and improve the ability to measure program outcomes. </w:t>
      </w:r>
    </w:p>
    <w:p w14:paraId="45DD1F4F" w14:textId="49E02033" w:rsidR="001C51E9" w:rsidRPr="001C51E9" w:rsidRDefault="001C51E9" w:rsidP="007C41D7">
      <w:pPr>
        <w:pStyle w:val="BodyText"/>
      </w:pPr>
      <w:r w:rsidRPr="001C51E9">
        <w:t xml:space="preserve">There is increasing evidence that </w:t>
      </w:r>
      <w:r w:rsidR="007D1737">
        <w:t xml:space="preserve">Australian </w:t>
      </w:r>
      <w:r w:rsidRPr="001C51E9">
        <w:t xml:space="preserve">assistance is leveraging important policy changes and institutional reforms in </w:t>
      </w:r>
      <w:r w:rsidR="00761A04" w:rsidRPr="001C51E9">
        <w:t>Directorate General of Highways</w:t>
      </w:r>
      <w:r w:rsidRPr="001C51E9">
        <w:t>.</w:t>
      </w:r>
      <w:r w:rsidR="00B525E5">
        <w:t xml:space="preserve"> </w:t>
      </w:r>
      <w:r w:rsidRPr="001C51E9">
        <w:t xml:space="preserve">During 2012 </w:t>
      </w:r>
      <w:r w:rsidR="00761A04">
        <w:t>d</w:t>
      </w:r>
      <w:r w:rsidR="00761A04" w:rsidRPr="001C51E9">
        <w:t xml:space="preserve">irectorate </w:t>
      </w:r>
      <w:r w:rsidRPr="001C51E9">
        <w:t>formally adopted improved road design standards for longer life pavements</w:t>
      </w:r>
      <w:r w:rsidR="00761A04">
        <w:t>,</w:t>
      </w:r>
      <w:r w:rsidRPr="001C51E9">
        <w:t xml:space="preserve"> requested the use of full engineering designs (as opposed to simplified designs) on the preparation of other donor-funded programs</w:t>
      </w:r>
      <w:r w:rsidR="00761A04">
        <w:t>,</w:t>
      </w:r>
      <w:r w:rsidR="00761A04" w:rsidRPr="001C51E9">
        <w:t xml:space="preserve"> </w:t>
      </w:r>
      <w:r w:rsidRPr="001C51E9">
        <w:t>and introduced technical audit capital works programs funded by both the A</w:t>
      </w:r>
      <w:r w:rsidR="00761A04">
        <w:t xml:space="preserve">sian </w:t>
      </w:r>
      <w:r w:rsidRPr="001C51E9">
        <w:t>D</w:t>
      </w:r>
      <w:r w:rsidR="00761A04">
        <w:t xml:space="preserve">evelopment </w:t>
      </w:r>
      <w:r w:rsidRPr="001C51E9">
        <w:t>B</w:t>
      </w:r>
      <w:r w:rsidR="00761A04">
        <w:t>ank</w:t>
      </w:r>
      <w:r w:rsidRPr="001C51E9">
        <w:t xml:space="preserve"> and the World Bank.</w:t>
      </w:r>
      <w:r w:rsidR="00B525E5">
        <w:t xml:space="preserve"> </w:t>
      </w:r>
      <w:r w:rsidRPr="001C51E9">
        <w:t xml:space="preserve">These changes are all innovations first introduced under </w:t>
      </w:r>
      <w:r w:rsidR="00761A04">
        <w:t xml:space="preserve">the </w:t>
      </w:r>
      <w:r w:rsidR="00761A04" w:rsidRPr="001C51E9">
        <w:t>Eastern Indonesia National Road Improvement Project</w:t>
      </w:r>
      <w:r w:rsidRPr="001C51E9">
        <w:t xml:space="preserve">. The design for the Asian Development Bank’s Regional Roads Development Program phase II for example has adopted </w:t>
      </w:r>
      <w:r w:rsidR="00761A04" w:rsidRPr="001C51E9">
        <w:t>Eastern Indonesia National Road Improvement Project</w:t>
      </w:r>
      <w:r w:rsidR="00761A04" w:rsidRPr="001C51E9" w:rsidDel="00761A04">
        <w:t xml:space="preserve"> </w:t>
      </w:r>
      <w:r w:rsidRPr="001C51E9">
        <w:t xml:space="preserve">geometric and pavement design standards resulting in the preparation of detailed engineering designs for 600 </w:t>
      </w:r>
      <w:r w:rsidR="00761A04">
        <w:t>kilometres</w:t>
      </w:r>
      <w:r w:rsidR="00761A04" w:rsidRPr="001C51E9">
        <w:t xml:space="preserve"> </w:t>
      </w:r>
      <w:r w:rsidRPr="001C51E9">
        <w:t>of road improvements.</w:t>
      </w:r>
    </w:p>
    <w:p w14:paraId="4F070479" w14:textId="16F05F91" w:rsidR="001C51E9" w:rsidRPr="001C51E9" w:rsidRDefault="001C51E9" w:rsidP="007C41D7">
      <w:pPr>
        <w:pStyle w:val="BodyText"/>
      </w:pPr>
      <w:r w:rsidRPr="001C51E9">
        <w:lastRenderedPageBreak/>
        <w:t xml:space="preserve">At the sub-national level, </w:t>
      </w:r>
      <w:r w:rsidR="00761A04">
        <w:t>the g</w:t>
      </w:r>
      <w:r w:rsidR="00761A04" w:rsidRPr="001C51E9">
        <w:t xml:space="preserve">overnment </w:t>
      </w:r>
      <w:r w:rsidRPr="001C51E9">
        <w:t xml:space="preserve">has shown strong interest in trialling new approaches to provincial road upgrading and maintenance. </w:t>
      </w:r>
      <w:r w:rsidR="00CE10E7">
        <w:t>T</w:t>
      </w:r>
      <w:r w:rsidR="00761A04">
        <w:t>he Indonesia Infrastructure Initiative</w:t>
      </w:r>
      <w:r w:rsidR="00CE10E7">
        <w:t xml:space="preserve"> </w:t>
      </w:r>
      <w:r w:rsidRPr="001C51E9">
        <w:t xml:space="preserve">has </w:t>
      </w:r>
      <w:r w:rsidR="00761A04">
        <w:t>helped</w:t>
      </w:r>
      <w:r w:rsidRPr="001C51E9">
        <w:t xml:space="preserve"> develop</w:t>
      </w:r>
      <w:r w:rsidR="00761A04">
        <w:t xml:space="preserve"> </w:t>
      </w:r>
      <w:r w:rsidRPr="001C51E9">
        <w:t>a Provincial Road Improvement and Maintenance program</w:t>
      </w:r>
      <w:r w:rsidR="00761A04">
        <w:t>,</w:t>
      </w:r>
      <w:r w:rsidRPr="001C51E9">
        <w:t xml:space="preserve"> which will pilot an output-based mechanism to improve maintenance and associated governance reforms by </w:t>
      </w:r>
      <w:r w:rsidR="00C54D82">
        <w:t>p</w:t>
      </w:r>
      <w:r w:rsidR="00C54D82" w:rsidRPr="001C51E9">
        <w:t xml:space="preserve">rovincial </w:t>
      </w:r>
      <w:r w:rsidR="00C54D82">
        <w:t>g</w:t>
      </w:r>
      <w:r w:rsidR="00C54D82" w:rsidRPr="001C51E9">
        <w:t>overnments</w:t>
      </w:r>
      <w:r w:rsidRPr="001C51E9">
        <w:t>.</w:t>
      </w:r>
      <w:r w:rsidR="00B525E5">
        <w:t xml:space="preserve"> </w:t>
      </w:r>
      <w:r w:rsidRPr="001C51E9">
        <w:t xml:space="preserve">Initial planning work including identifying road links for maintenance, designing rehabilitation works and allocating pre-financing from </w:t>
      </w:r>
      <w:r w:rsidR="00C54D82">
        <w:t>p</w:t>
      </w:r>
      <w:r w:rsidR="00C54D82" w:rsidRPr="001C51E9">
        <w:t xml:space="preserve">rovincial </w:t>
      </w:r>
      <w:r w:rsidR="00C54D82">
        <w:t>g</w:t>
      </w:r>
      <w:r w:rsidR="00C54D82" w:rsidRPr="001C51E9">
        <w:t xml:space="preserve">overnment </w:t>
      </w:r>
      <w:r w:rsidRPr="001C51E9">
        <w:t>budgets commenced in early 2013 with road-works to start in late 2013.</w:t>
      </w:r>
      <w:r w:rsidR="00B525E5">
        <w:t xml:space="preserve"> </w:t>
      </w:r>
      <w:r w:rsidRPr="001C51E9">
        <w:t>The program will initially be piloted in Nusa Tenggara Barat Province.</w:t>
      </w:r>
      <w:r w:rsidR="00B525E5">
        <w:t xml:space="preserve"> </w:t>
      </w:r>
      <w:r w:rsidRPr="001C51E9">
        <w:t>The pilot program has significant scope for scale</w:t>
      </w:r>
      <w:r w:rsidR="00DC3B4B">
        <w:t xml:space="preserve"> </w:t>
      </w:r>
      <w:r w:rsidRPr="001C51E9">
        <w:t xml:space="preserve">up to other provinces and is designed to offer a replicable model for the eventual use of national </w:t>
      </w:r>
      <w:r w:rsidR="00C54D82">
        <w:t>g</w:t>
      </w:r>
      <w:r w:rsidR="00C54D82" w:rsidRPr="001C51E9">
        <w:t xml:space="preserve">overnment </w:t>
      </w:r>
      <w:r w:rsidRPr="001C51E9">
        <w:t>funds.</w:t>
      </w:r>
    </w:p>
    <w:p w14:paraId="5B436993" w14:textId="06FE2B33" w:rsidR="001C51E9" w:rsidRPr="001C51E9" w:rsidRDefault="001C51E9" w:rsidP="007C41D7">
      <w:pPr>
        <w:pStyle w:val="BodyText"/>
      </w:pPr>
      <w:r w:rsidRPr="001C51E9">
        <w:t xml:space="preserve">Analytical and policy development assistance continued to be provided for connectivity and transport through both </w:t>
      </w:r>
      <w:r w:rsidR="00C54D82">
        <w:t>the Indonesia Infrastructure Initiative</w:t>
      </w:r>
      <w:r w:rsidR="00C54D82" w:rsidRPr="001C51E9" w:rsidDel="00C54D82">
        <w:t xml:space="preserve"> </w:t>
      </w:r>
      <w:r w:rsidRPr="001C51E9">
        <w:t xml:space="preserve">and </w:t>
      </w:r>
      <w:r w:rsidR="00C54D82" w:rsidRPr="00D67028">
        <w:rPr>
          <w:iCs/>
          <w:lang w:val="en-US"/>
        </w:rPr>
        <w:t>Indonesia</w:t>
      </w:r>
      <w:r w:rsidR="00C54D82" w:rsidRPr="00D67028">
        <w:rPr>
          <w:lang w:val="en-US"/>
        </w:rPr>
        <w:t xml:space="preserve"> Infrastructure Support</w:t>
      </w:r>
      <w:r w:rsidR="00C54D82" w:rsidRPr="00D67028" w:rsidDel="00C54D82">
        <w:t xml:space="preserve"> </w:t>
      </w:r>
      <w:r w:rsidR="00C54D82">
        <w:t xml:space="preserve">trust fund </w:t>
      </w:r>
      <w:r w:rsidRPr="001C51E9">
        <w:t>with the World Bank.</w:t>
      </w:r>
      <w:r w:rsidR="00B525E5">
        <w:t xml:space="preserve"> </w:t>
      </w:r>
      <w:r w:rsidRPr="001C51E9">
        <w:t xml:space="preserve">Using the test case of the </w:t>
      </w:r>
      <w:r w:rsidR="00C54D82" w:rsidRPr="001C51E9">
        <w:t xml:space="preserve">National Economic Master Plan </w:t>
      </w:r>
      <w:r w:rsidRPr="001C51E9">
        <w:t xml:space="preserve">North Java economic corridor, </w:t>
      </w:r>
      <w:r w:rsidR="00C54D82">
        <w:t>the Indonesia Infrastructure Initiative</w:t>
      </w:r>
      <w:r w:rsidR="00C54D82" w:rsidRPr="001C51E9">
        <w:t xml:space="preserve"> </w:t>
      </w:r>
      <w:r w:rsidRPr="001C51E9">
        <w:t>has supported a study to assess how the various modes of transport (road, rail, sea and air) can best be integrated and harmonised to improve connectivity and prioritise public and private infrastructure investments.</w:t>
      </w:r>
      <w:r w:rsidR="00B525E5">
        <w:t xml:space="preserve"> </w:t>
      </w:r>
      <w:r w:rsidRPr="001C51E9">
        <w:t xml:space="preserve">In Jakarta, </w:t>
      </w:r>
      <w:r w:rsidR="00C54D82">
        <w:t>the Indonesia Infrastructure Initiative</w:t>
      </w:r>
      <w:r w:rsidR="00DC3B4B">
        <w:t xml:space="preserve"> is</w:t>
      </w:r>
      <w:r w:rsidR="00C54D82" w:rsidRPr="001C51E9">
        <w:t xml:space="preserve"> </w:t>
      </w:r>
      <w:r w:rsidRPr="001C51E9">
        <w:t>collaborat</w:t>
      </w:r>
      <w:r w:rsidR="00DC3B4B">
        <w:t xml:space="preserve">ing </w:t>
      </w:r>
      <w:r w:rsidRPr="001C51E9">
        <w:t>with the World Bank</w:t>
      </w:r>
      <w:r w:rsidR="00DC3B4B">
        <w:t xml:space="preserve"> to</w:t>
      </w:r>
      <w:r w:rsidR="00C54D82" w:rsidRPr="001C51E9">
        <w:t xml:space="preserve"> </w:t>
      </w:r>
      <w:r w:rsidRPr="001C51E9">
        <w:t>help impro</w:t>
      </w:r>
      <w:r w:rsidR="00DC3B4B">
        <w:t>ve the management and operation</w:t>
      </w:r>
      <w:r w:rsidRPr="001C51E9">
        <w:t xml:space="preserve"> of the public bu</w:t>
      </w:r>
      <w:r w:rsidR="00C54D82">
        <w:t>s</w:t>
      </w:r>
      <w:r w:rsidRPr="001C51E9">
        <w:t xml:space="preserve"> system, </w:t>
      </w:r>
      <w:proofErr w:type="spellStart"/>
      <w:r w:rsidRPr="001C51E9">
        <w:t>TransJakarta</w:t>
      </w:r>
      <w:proofErr w:type="spellEnd"/>
      <w:r w:rsidRPr="001C51E9">
        <w:t xml:space="preserve">, to </w:t>
      </w:r>
      <w:r w:rsidR="00DC3B4B">
        <w:t>increase</w:t>
      </w:r>
      <w:r w:rsidRPr="001C51E9">
        <w:t xml:space="preserve"> productivity, customer satisfaction and ridership, and enhance the efficiency and profitability of </w:t>
      </w:r>
      <w:proofErr w:type="spellStart"/>
      <w:r w:rsidRPr="001C51E9">
        <w:t>TransJakarta’s</w:t>
      </w:r>
      <w:proofErr w:type="spellEnd"/>
      <w:r w:rsidRPr="001C51E9">
        <w:t xml:space="preserve"> operations.</w:t>
      </w:r>
      <w:r w:rsidR="00B525E5">
        <w:t xml:space="preserve"> </w:t>
      </w:r>
      <w:r w:rsidRPr="001C51E9">
        <w:t xml:space="preserve">Broader assistance to inform transport policy includes a public expenditure review of the roads sector, advice on increased private sector investment in the delivery of transport infrastructure, and a review of the road construction industry all undertaken by the World Bank through </w:t>
      </w:r>
      <w:r w:rsidR="00C54D82">
        <w:t>the Indonesia Infrastructure Initiative</w:t>
      </w:r>
      <w:r w:rsidRPr="001C51E9">
        <w:t>.</w:t>
      </w:r>
    </w:p>
    <w:p w14:paraId="44362184" w14:textId="0BD8296E" w:rsidR="00154F9B" w:rsidRDefault="001C51E9" w:rsidP="007C41D7">
      <w:pPr>
        <w:pStyle w:val="BodyText"/>
      </w:pPr>
      <w:r w:rsidRPr="001C51E9">
        <w:t xml:space="preserve">The </w:t>
      </w:r>
      <w:r w:rsidR="000C7E07">
        <w:t>p</w:t>
      </w:r>
      <w:r w:rsidR="000C7E07" w:rsidRPr="001C51E9">
        <w:t xml:space="preserve">ilot </w:t>
      </w:r>
      <w:r w:rsidR="000C7E07">
        <w:t>p</w:t>
      </w:r>
      <w:r w:rsidR="000C7E07" w:rsidRPr="001C51E9">
        <w:t xml:space="preserve">rogram </w:t>
      </w:r>
      <w:r w:rsidRPr="001C51E9">
        <w:t>for Provincial Road Improvement and Maintenance was designed during 2012</w:t>
      </w:r>
      <w:r w:rsidR="00C54D82">
        <w:t>–</w:t>
      </w:r>
      <w:r w:rsidRPr="001C51E9">
        <w:t>13 and will commence implementation in 2013</w:t>
      </w:r>
      <w:r w:rsidR="00C54D82">
        <w:t>. A</w:t>
      </w:r>
      <w:r w:rsidR="00C54D82" w:rsidRPr="001C51E9">
        <w:t xml:space="preserve"> </w:t>
      </w:r>
      <w:r w:rsidRPr="001C51E9">
        <w:t xml:space="preserve">further extension to the </w:t>
      </w:r>
      <w:r w:rsidR="00C54D82">
        <w:t xml:space="preserve">Eastern Indonesia National Road Improvement Program </w:t>
      </w:r>
      <w:r w:rsidRPr="001C51E9">
        <w:t xml:space="preserve">loan closing date was negotiated to 31 December 2014, and transport and connectivity sub-sector outcomes have been revised during this reporting period to better align with the overall transport and connectivity programming across </w:t>
      </w:r>
      <w:r w:rsidR="00C54D82">
        <w:t>the Indonesia Infrastructure Initiative</w:t>
      </w:r>
      <w:r w:rsidRPr="001C51E9">
        <w:t xml:space="preserve">, </w:t>
      </w:r>
      <w:r w:rsidR="00C54D82">
        <w:t xml:space="preserve">Eastern Indonesia National Road Improvement Program </w:t>
      </w:r>
      <w:r w:rsidRPr="001C51E9">
        <w:t xml:space="preserve">and the </w:t>
      </w:r>
      <w:r w:rsidR="00C54D82">
        <w:t>Indonesia Infrastructure Initiative</w:t>
      </w:r>
      <w:r w:rsidR="00C54D82" w:rsidRPr="001C51E9" w:rsidDel="00C54D82">
        <w:t xml:space="preserve"> </w:t>
      </w:r>
      <w:r w:rsidR="00C54D82">
        <w:t xml:space="preserve">trust </w:t>
      </w:r>
      <w:r w:rsidRPr="001C51E9">
        <w:t>fund with the World Bank.</w:t>
      </w:r>
    </w:p>
    <w:p w14:paraId="6BB09B1E" w14:textId="7EBA2272" w:rsidR="00780026" w:rsidRPr="00780026" w:rsidRDefault="00780026" w:rsidP="00CB3B88">
      <w:pPr>
        <w:pStyle w:val="Heading2"/>
      </w:pPr>
      <w:bookmarkStart w:id="38" w:name="_Toc359585093"/>
      <w:bookmarkStart w:id="39" w:name="_Toc363768581"/>
      <w:bookmarkStart w:id="40" w:name="_Toc363804117"/>
      <w:r w:rsidRPr="00780026">
        <w:t xml:space="preserve">Management </w:t>
      </w:r>
      <w:bookmarkEnd w:id="38"/>
      <w:r w:rsidR="00C54D82">
        <w:t>c</w:t>
      </w:r>
      <w:r w:rsidR="00C54D82" w:rsidRPr="00780026">
        <w:t>onsequences</w:t>
      </w:r>
      <w:bookmarkEnd w:id="39"/>
      <w:bookmarkEnd w:id="40"/>
    </w:p>
    <w:p w14:paraId="713BC9C1" w14:textId="45C8662D" w:rsidR="00D87E91" w:rsidRPr="00D87E91" w:rsidRDefault="00D87E91" w:rsidP="00D87E91">
      <w:pPr>
        <w:pStyle w:val="BodyText"/>
      </w:pPr>
      <w:r w:rsidRPr="00D87E91">
        <w:t>Management consequences for 2013</w:t>
      </w:r>
      <w:r w:rsidR="001B156C">
        <w:t>–</w:t>
      </w:r>
      <w:r w:rsidRPr="00D87E91">
        <w:t>14 include:</w:t>
      </w:r>
    </w:p>
    <w:p w14:paraId="1DB7D4B2" w14:textId="6D758EF3" w:rsidR="00D87E91" w:rsidRPr="00D87E91" w:rsidRDefault="00D87E91" w:rsidP="00CB3B88">
      <w:pPr>
        <w:pStyle w:val="ListBullet"/>
      </w:pPr>
      <w:r w:rsidRPr="00D87E91">
        <w:t xml:space="preserve">Implementation progress on the </w:t>
      </w:r>
      <w:r w:rsidR="000C7E07" w:rsidRPr="001C51E9">
        <w:t xml:space="preserve">Provincial Road Improvement and Maintenance </w:t>
      </w:r>
      <w:r w:rsidR="000C7E07" w:rsidRPr="00D87E91">
        <w:t xml:space="preserve">pilot </w:t>
      </w:r>
      <w:r w:rsidR="000C7E07">
        <w:t>p</w:t>
      </w:r>
      <w:r w:rsidR="000C7E07" w:rsidRPr="00D87E91">
        <w:t xml:space="preserve">rogram </w:t>
      </w:r>
      <w:r w:rsidRPr="00D87E91">
        <w:t>in 2013</w:t>
      </w:r>
      <w:r w:rsidR="000C7E07">
        <w:t>–</w:t>
      </w:r>
      <w:r w:rsidRPr="00D87E91">
        <w:t xml:space="preserve">14 will be critical for </w:t>
      </w:r>
      <w:r w:rsidR="00F3020A">
        <w:t xml:space="preserve">DFAT </w:t>
      </w:r>
      <w:r w:rsidR="000C7E07">
        <w:t>to</w:t>
      </w:r>
      <w:r w:rsidR="000C7E07" w:rsidRPr="00D87E91">
        <w:t xml:space="preserve"> </w:t>
      </w:r>
      <w:r w:rsidRPr="00D87E91">
        <w:t>assess</w:t>
      </w:r>
      <w:r w:rsidR="000C7E07">
        <w:t xml:space="preserve"> </w:t>
      </w:r>
      <w:r w:rsidRPr="00D87E91">
        <w:t>whether the program can be rolled out at scale to other provinces.</w:t>
      </w:r>
      <w:r w:rsidR="00B525E5">
        <w:t xml:space="preserve"> </w:t>
      </w:r>
      <w:r w:rsidRPr="00D87E91">
        <w:t xml:space="preserve">The pilot remains of high interest to </w:t>
      </w:r>
      <w:r w:rsidR="000C7E07">
        <w:t>the Indonesian</w:t>
      </w:r>
      <w:r w:rsidR="000C7E07" w:rsidRPr="00D87E91">
        <w:t xml:space="preserve"> </w:t>
      </w:r>
      <w:r w:rsidRPr="00D87E91">
        <w:t>Government</w:t>
      </w:r>
      <w:r w:rsidR="00DC3B4B">
        <w:t>,</w:t>
      </w:r>
      <w:r w:rsidRPr="00D87E91">
        <w:t xml:space="preserve"> </w:t>
      </w:r>
      <w:r w:rsidR="000C7E07">
        <w:t>which</w:t>
      </w:r>
      <w:r w:rsidR="000C7E07" w:rsidRPr="00D87E91">
        <w:t xml:space="preserve"> </w:t>
      </w:r>
      <w:r w:rsidRPr="00D87E91">
        <w:t>see</w:t>
      </w:r>
      <w:r w:rsidR="000C7E07">
        <w:t>s</w:t>
      </w:r>
      <w:r w:rsidRPr="00D87E91">
        <w:t xml:space="preserve"> it as a potential model for improving the quality of spending by sub-national </w:t>
      </w:r>
      <w:r w:rsidR="000C7E07">
        <w:t>g</w:t>
      </w:r>
      <w:r w:rsidR="000C7E07" w:rsidRPr="00D87E91">
        <w:t>overnment</w:t>
      </w:r>
      <w:r w:rsidR="000C7E07">
        <w:t>. A</w:t>
      </w:r>
      <w:r w:rsidR="000C7E07" w:rsidRPr="00D87E91">
        <w:t xml:space="preserve"> </w:t>
      </w:r>
      <w:r w:rsidRPr="00D87E91">
        <w:t xml:space="preserve">key test of this interest will be </w:t>
      </w:r>
      <w:r w:rsidR="000C7E07">
        <w:t>government’s</w:t>
      </w:r>
      <w:r w:rsidR="000C7E07" w:rsidRPr="00D87E91">
        <w:t xml:space="preserve"> </w:t>
      </w:r>
      <w:r w:rsidRPr="00D87E91">
        <w:t xml:space="preserve">willingness to devote national budget to this program and whether this will provide the necessary catalyst to establish </w:t>
      </w:r>
      <w:r w:rsidR="000C7E07">
        <w:t>the government’s</w:t>
      </w:r>
      <w:r w:rsidR="000C7E07" w:rsidRPr="00D87E91">
        <w:t xml:space="preserve"> </w:t>
      </w:r>
      <w:r w:rsidRPr="00D87E91">
        <w:t>already legislated, but as yet unfunded, Road Preservation Fund.</w:t>
      </w:r>
    </w:p>
    <w:p w14:paraId="30677394" w14:textId="3F863782" w:rsidR="00D87E91" w:rsidRDefault="00D87E91" w:rsidP="00CB3B88">
      <w:pPr>
        <w:pStyle w:val="ListBullet"/>
      </w:pPr>
      <w:r w:rsidRPr="00D87E91">
        <w:t xml:space="preserve">As recommended </w:t>
      </w:r>
      <w:r w:rsidR="00C22A69">
        <w:t>by</w:t>
      </w:r>
      <w:r w:rsidR="00C22A69" w:rsidRPr="00D87E91">
        <w:t xml:space="preserve"> </w:t>
      </w:r>
      <w:r w:rsidRPr="00D87E91">
        <w:t>the A</w:t>
      </w:r>
      <w:r w:rsidR="000C7E07">
        <w:t xml:space="preserve">ustralian </w:t>
      </w:r>
      <w:r w:rsidRPr="00D87E91">
        <w:t>N</w:t>
      </w:r>
      <w:r w:rsidR="000C7E07">
        <w:t xml:space="preserve">ational </w:t>
      </w:r>
      <w:r w:rsidRPr="00D87E91">
        <w:t>A</w:t>
      </w:r>
      <w:r w:rsidR="000C7E07">
        <w:t xml:space="preserve">udit </w:t>
      </w:r>
      <w:r w:rsidR="009A7C24" w:rsidRPr="00D87E91">
        <w:t>O</w:t>
      </w:r>
      <w:r w:rsidR="009A7C24">
        <w:t>ffice</w:t>
      </w:r>
      <w:r w:rsidRPr="00D87E91">
        <w:t xml:space="preserve">, in 2013 a delivery strategy </w:t>
      </w:r>
      <w:r w:rsidR="00C22A69">
        <w:t xml:space="preserve">will be </w:t>
      </w:r>
      <w:r w:rsidR="00C22A69" w:rsidRPr="00D87E91">
        <w:t>develop</w:t>
      </w:r>
      <w:r w:rsidR="00C22A69">
        <w:t>ed</w:t>
      </w:r>
      <w:r w:rsidR="00C22A69" w:rsidRPr="00D87E91">
        <w:t xml:space="preserve"> </w:t>
      </w:r>
      <w:r w:rsidRPr="00D87E91">
        <w:t xml:space="preserve">for infrastructure (encompassing both transport connectivity and water and sanitation) to guide </w:t>
      </w:r>
      <w:r w:rsidR="00F3020A">
        <w:t xml:space="preserve">DFAT’s </w:t>
      </w:r>
      <w:r w:rsidRPr="00D87E91">
        <w:t xml:space="preserve">investment in the development of Indonesian infrastructure over the next five years and improve the ability to measure program outcomes. This work will be completed by </w:t>
      </w:r>
      <w:r w:rsidR="009A797A">
        <w:t>20 December 2013</w:t>
      </w:r>
      <w:r w:rsidRPr="00D87E91">
        <w:t xml:space="preserve">. Key issues to be considered in the strategy include determining the future focus of the </w:t>
      </w:r>
      <w:r w:rsidR="00CE10E7">
        <w:t xml:space="preserve">Australian </w:t>
      </w:r>
      <w:r w:rsidRPr="00D87E91">
        <w:t xml:space="preserve">infrastructure program and how to best leverage </w:t>
      </w:r>
      <w:r w:rsidR="00C22A69">
        <w:t>Indonesian Government</w:t>
      </w:r>
      <w:r w:rsidR="00C22A69" w:rsidRPr="00D87E91">
        <w:t xml:space="preserve"> </w:t>
      </w:r>
      <w:r w:rsidRPr="00D87E91">
        <w:t xml:space="preserve">resources </w:t>
      </w:r>
      <w:r w:rsidR="00C22A69">
        <w:t>to</w:t>
      </w:r>
      <w:r w:rsidR="00C22A69" w:rsidRPr="00D87E91">
        <w:t xml:space="preserve"> </w:t>
      </w:r>
      <w:r w:rsidRPr="00D87E91">
        <w:t>ensure our infrastructure program strikes the right balance between interventions that target broad economic growth</w:t>
      </w:r>
      <w:r w:rsidR="00C22A69">
        <w:t>,</w:t>
      </w:r>
      <w:r w:rsidRPr="00D87E91">
        <w:t xml:space="preserve"> and equity and access to basic services. The strategy will also consider the most efficient and </w:t>
      </w:r>
      <w:r w:rsidRPr="00D87E91">
        <w:lastRenderedPageBreak/>
        <w:t xml:space="preserve">cost effective delivery mechanisms including the ongoing relevance of a large pilot project/capital works program. In addition, with </w:t>
      </w:r>
      <w:r w:rsidR="00F3020A">
        <w:t xml:space="preserve">DFAT </w:t>
      </w:r>
      <w:r w:rsidRPr="00D87E91">
        <w:t>delivering infrastructure support through multiple partners</w:t>
      </w:r>
      <w:r w:rsidR="00C22A69">
        <w:t>,</w:t>
      </w:r>
      <w:r w:rsidRPr="00D87E91">
        <w:t xml:space="preserve"> there is an increasing need to ensure a coordinated and coherent approach to activity pipeline development and implementation between all partners.</w:t>
      </w:r>
      <w:r w:rsidR="00B525E5">
        <w:t xml:space="preserve"> </w:t>
      </w:r>
      <w:r w:rsidRPr="00D87E91">
        <w:t xml:space="preserve">Further clarity on how to best capitalise on the comparative advantages of each organisation will be a key consideration to be detailed in </w:t>
      </w:r>
      <w:r w:rsidR="00CE10E7">
        <w:t>the department’s</w:t>
      </w:r>
      <w:r w:rsidR="00F3020A">
        <w:t xml:space="preserve"> </w:t>
      </w:r>
      <w:r w:rsidRPr="00D87E91">
        <w:t>infrastructure delivery strategy.</w:t>
      </w:r>
    </w:p>
    <w:p w14:paraId="0BC9B01D" w14:textId="601D4710" w:rsidR="00BA5F8B" w:rsidRDefault="00BA5F8B" w:rsidP="00CB3B88">
      <w:pPr>
        <w:pStyle w:val="ListBullet"/>
      </w:pPr>
      <w:r>
        <w:t xml:space="preserve">Ongoing monitoring and engagement with </w:t>
      </w:r>
      <w:r w:rsidR="00C22A69">
        <w:t xml:space="preserve">the Indonesian Government will be undertaken </w:t>
      </w:r>
      <w:r>
        <w:t xml:space="preserve">to ensure that the implementation of all </w:t>
      </w:r>
      <w:r w:rsidR="00C22A69">
        <w:t xml:space="preserve">Eastern Indonesia National Road Improvement Program </w:t>
      </w:r>
      <w:r>
        <w:t>projects proceed on schedule and in accordance with a project completion date of December 2014.</w:t>
      </w:r>
    </w:p>
    <w:p w14:paraId="6F82DA12" w14:textId="2E76970C" w:rsidR="00780026" w:rsidRPr="00DC3B4B" w:rsidRDefault="00154F9B" w:rsidP="00DC3B4B">
      <w:pPr>
        <w:pStyle w:val="BodyText"/>
      </w:pPr>
      <w:r>
        <w:t>T</w:t>
      </w:r>
      <w:r w:rsidRPr="004048AD">
        <w:t xml:space="preserve">he </w:t>
      </w:r>
      <w:r w:rsidR="00C22A69">
        <w:t>follow-</w:t>
      </w:r>
      <w:r>
        <w:t xml:space="preserve">up of </w:t>
      </w:r>
      <w:r w:rsidRPr="004048AD">
        <w:t xml:space="preserve">management consequences from the </w:t>
      </w:r>
      <w:r>
        <w:t>2011</w:t>
      </w:r>
      <w:r w:rsidR="00C22A69">
        <w:t xml:space="preserve"> annual program performance report</w:t>
      </w:r>
      <w:r>
        <w:t xml:space="preserve"> can be found in</w:t>
      </w:r>
      <w:r w:rsidRPr="004048AD">
        <w:t xml:space="preserve"> </w:t>
      </w:r>
      <w:r w:rsidRPr="00154F9B">
        <w:rPr>
          <w:b/>
        </w:rPr>
        <w:t>Annex B</w:t>
      </w:r>
      <w:r w:rsidRPr="004048AD">
        <w:t>.</w:t>
      </w:r>
    </w:p>
    <w:p w14:paraId="09F4DA1B" w14:textId="77777777" w:rsidR="00780026" w:rsidRPr="00780026" w:rsidRDefault="00780026" w:rsidP="00CB3B88">
      <w:pPr>
        <w:pStyle w:val="Heading1"/>
      </w:pPr>
      <w:bookmarkStart w:id="41" w:name="_Toc359585094"/>
      <w:bookmarkStart w:id="42" w:name="_Toc363804118"/>
      <w:r w:rsidRPr="00CB3B88">
        <w:t>Water</w:t>
      </w:r>
      <w:r w:rsidRPr="00780026">
        <w:t xml:space="preserve"> and sanitation</w:t>
      </w:r>
      <w:bookmarkEnd w:id="41"/>
      <w:bookmarkEnd w:id="42"/>
      <w:r w:rsidRPr="00780026">
        <w:t xml:space="preserve"> </w:t>
      </w:r>
    </w:p>
    <w:tbl>
      <w:tblPr>
        <w:tblStyle w:val="APPR2"/>
        <w:tblW w:w="5000" w:type="pct"/>
        <w:tblLayout w:type="fixed"/>
        <w:tblLook w:val="0000" w:firstRow="0" w:lastRow="0" w:firstColumn="0" w:lastColumn="0" w:noHBand="0" w:noVBand="0"/>
      </w:tblPr>
      <w:tblGrid>
        <w:gridCol w:w="6453"/>
        <w:gridCol w:w="1050"/>
        <w:gridCol w:w="1103"/>
      </w:tblGrid>
      <w:tr w:rsidR="00CB3B88" w:rsidRPr="00780026" w14:paraId="021AFB90" w14:textId="77777777" w:rsidTr="00CB3B88">
        <w:trPr>
          <w:cantSplit/>
          <w:tblHeader w:val="0"/>
        </w:trPr>
        <w:tc>
          <w:tcPr>
            <w:tcW w:w="6048" w:type="dxa"/>
          </w:tcPr>
          <w:p w14:paraId="115FF123" w14:textId="77777777" w:rsidR="00CB3B88" w:rsidRPr="00780026" w:rsidRDefault="00CB3B88" w:rsidP="00CB3B88">
            <w:pPr>
              <w:pStyle w:val="TableTextColumnHeading"/>
            </w:pPr>
            <w:r w:rsidRPr="00780026">
              <w:rPr>
                <w:noProof/>
                <w:lang w:eastAsia="en-AU"/>
              </w:rPr>
              <w:drawing>
                <wp:anchor distT="0" distB="0" distL="114300" distR="114300" simplePos="0" relativeHeight="251704320" behindDoc="0" locked="0" layoutInCell="1" allowOverlap="1" wp14:anchorId="0570272D" wp14:editId="3A9BA66A">
                  <wp:simplePos x="0" y="0"/>
                  <wp:positionH relativeFrom="column">
                    <wp:posOffset>0</wp:posOffset>
                  </wp:positionH>
                  <wp:positionV relativeFrom="paragraph">
                    <wp:posOffset>0</wp:posOffset>
                  </wp:positionV>
                  <wp:extent cx="1857375" cy="228600"/>
                  <wp:effectExtent l="0" t="0" r="9525" b="0"/>
                  <wp:wrapNone/>
                  <wp:docPr id="19" name="Picture 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026">
              <w:t>Objective</w:t>
            </w:r>
          </w:p>
        </w:tc>
        <w:tc>
          <w:tcPr>
            <w:tcW w:w="964" w:type="dxa"/>
            <w:vAlign w:val="center"/>
          </w:tcPr>
          <w:p w14:paraId="28B28F74" w14:textId="5BB4865A" w:rsidR="00CB3B88" w:rsidRPr="00780026" w:rsidRDefault="00CB3B88" w:rsidP="00CB3B88">
            <w:pPr>
              <w:pStyle w:val="TableTextColumnHeading"/>
            </w:pPr>
            <w:r w:rsidRPr="00780026">
              <w:t xml:space="preserve">Current </w:t>
            </w:r>
            <w:r>
              <w:t>r</w:t>
            </w:r>
            <w:r w:rsidRPr="00780026">
              <w:t>ating</w:t>
            </w:r>
          </w:p>
        </w:tc>
        <w:tc>
          <w:tcPr>
            <w:tcW w:w="1001" w:type="dxa"/>
            <w:vAlign w:val="center"/>
          </w:tcPr>
          <w:p w14:paraId="6620599E" w14:textId="379317F1" w:rsidR="00CB3B88" w:rsidRPr="00780026" w:rsidRDefault="00CB3B88" w:rsidP="00CB3B88">
            <w:pPr>
              <w:pStyle w:val="TableTextColumnHeading"/>
            </w:pPr>
            <w:r w:rsidRPr="00780026">
              <w:t xml:space="preserve">Previous </w:t>
            </w:r>
            <w:r>
              <w:t>r</w:t>
            </w:r>
            <w:r w:rsidRPr="00780026">
              <w:t>ating</w:t>
            </w:r>
          </w:p>
        </w:tc>
      </w:tr>
      <w:tr w:rsidR="00CB3B88" w:rsidRPr="00780026" w14:paraId="2DD6E0CE" w14:textId="77777777" w:rsidTr="00CB3B88">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60316BC6" w14:textId="77777777" w:rsidR="00CB3B88" w:rsidRPr="00780026" w:rsidRDefault="00CB3B88" w:rsidP="00CB3B88">
            <w:pPr>
              <w:pStyle w:val="TableTextEntries"/>
              <w:rPr>
                <w:szCs w:val="16"/>
              </w:rPr>
            </w:pPr>
            <w:r w:rsidRPr="00780026">
              <w:t>Improved sustainable service delivery of clean water</w:t>
            </w:r>
          </w:p>
        </w:tc>
        <w:tc>
          <w:tcPr>
            <w:tcW w:w="964" w:type="dxa"/>
            <w:shd w:val="clear" w:color="auto" w:fill="F79646" w:themeFill="accent6"/>
            <w:noWrap/>
            <w:vAlign w:val="center"/>
          </w:tcPr>
          <w:p w14:paraId="63006811" w14:textId="77777777" w:rsidR="00CB3B88" w:rsidRPr="00CB3B88" w:rsidRDefault="00CB3B88" w:rsidP="00CB3B88">
            <w:pPr>
              <w:pStyle w:val="TableTextEntries"/>
            </w:pPr>
            <w:r w:rsidRPr="00CB3B88">
              <w:t>Amber</w:t>
            </w:r>
          </w:p>
        </w:tc>
        <w:tc>
          <w:tcPr>
            <w:tcW w:w="1001" w:type="dxa"/>
            <w:shd w:val="clear" w:color="auto" w:fill="92D050"/>
            <w:noWrap/>
            <w:vAlign w:val="center"/>
          </w:tcPr>
          <w:p w14:paraId="5B10C809" w14:textId="77777777" w:rsidR="00CB3B88" w:rsidRPr="00CB3B88" w:rsidRDefault="00CB3B88" w:rsidP="00CB3B88">
            <w:pPr>
              <w:pStyle w:val="TableTextEntries"/>
            </w:pPr>
            <w:r w:rsidRPr="00CB3B88">
              <w:t>Green</w:t>
            </w:r>
          </w:p>
        </w:tc>
      </w:tr>
      <w:tr w:rsidR="00CB3B88" w:rsidRPr="00780026" w14:paraId="1D913AE5" w14:textId="77777777" w:rsidTr="00CB3B88">
        <w:trPr>
          <w:cantSplit/>
          <w:tblHeader w:val="0"/>
        </w:trPr>
        <w:tc>
          <w:tcPr>
            <w:tcW w:w="6048" w:type="dxa"/>
          </w:tcPr>
          <w:p w14:paraId="277B0904" w14:textId="77777777" w:rsidR="00CB3B88" w:rsidRPr="00780026" w:rsidRDefault="00CB3B88" w:rsidP="00CB3B88">
            <w:pPr>
              <w:pStyle w:val="TableTextEntries"/>
              <w:rPr>
                <w:szCs w:val="16"/>
              </w:rPr>
            </w:pPr>
            <w:r w:rsidRPr="00780026">
              <w:t>Improved sustainable service delivery of basic sanitation and wastewater management</w:t>
            </w:r>
          </w:p>
        </w:tc>
        <w:tc>
          <w:tcPr>
            <w:tcW w:w="964" w:type="dxa"/>
            <w:shd w:val="clear" w:color="auto" w:fill="F79646" w:themeFill="accent6"/>
            <w:noWrap/>
            <w:vAlign w:val="center"/>
          </w:tcPr>
          <w:p w14:paraId="3615B18D" w14:textId="77777777" w:rsidR="00CB3B88" w:rsidRPr="00CB3B88" w:rsidRDefault="00CB3B88" w:rsidP="00CB3B88">
            <w:pPr>
              <w:pStyle w:val="TableTextEntries"/>
            </w:pPr>
            <w:r w:rsidRPr="00CB3B88">
              <w:t>Amber</w:t>
            </w:r>
          </w:p>
        </w:tc>
        <w:tc>
          <w:tcPr>
            <w:tcW w:w="1001" w:type="dxa"/>
            <w:shd w:val="clear" w:color="auto" w:fill="F79646" w:themeFill="accent6"/>
            <w:noWrap/>
            <w:vAlign w:val="center"/>
          </w:tcPr>
          <w:p w14:paraId="0825649B" w14:textId="77777777" w:rsidR="00CB3B88" w:rsidRPr="00CB3B88" w:rsidRDefault="00CB3B88" w:rsidP="00CB3B88">
            <w:pPr>
              <w:pStyle w:val="TableTextEntries"/>
            </w:pPr>
            <w:r w:rsidRPr="00CB3B88">
              <w:t>Amber</w:t>
            </w:r>
          </w:p>
        </w:tc>
      </w:tr>
    </w:tbl>
    <w:p w14:paraId="2B1B8AC0" w14:textId="77777777" w:rsidR="00780026" w:rsidRPr="00780026" w:rsidRDefault="00780026" w:rsidP="00CB3B88">
      <w:pPr>
        <w:pStyle w:val="Note"/>
      </w:pPr>
      <w:r w:rsidRPr="00780026">
        <w:t xml:space="preserve">Note: </w:t>
      </w:r>
    </w:p>
    <w:p w14:paraId="5AA6B9DF" w14:textId="77777777" w:rsidR="00780026" w:rsidRPr="00780026" w:rsidRDefault="00780026" w:rsidP="00CB3B88">
      <w:pPr>
        <w:pStyle w:val="Note"/>
      </w:pPr>
      <w:r w:rsidRPr="00780026">
        <w:rPr>
          <w:color w:val="92D050"/>
        </w:rPr>
        <w:sym w:font="Webdings" w:char="F067"/>
      </w:r>
      <w:r w:rsidRPr="00780026">
        <w:t> </w:t>
      </w:r>
      <w:r w:rsidRPr="00780026">
        <w:t xml:space="preserve"> </w:t>
      </w:r>
      <w:proofErr w:type="gramStart"/>
      <w:r w:rsidRPr="00780026">
        <w:t>Green.</w:t>
      </w:r>
      <w:proofErr w:type="gramEnd"/>
      <w:r w:rsidRPr="00780026">
        <w:t xml:space="preserve"> Progress is as expected for this point in time and it is likely that the objective will be achieved. Standard program management practices are sufficient.</w:t>
      </w:r>
    </w:p>
    <w:p w14:paraId="49357CD9" w14:textId="77777777" w:rsidR="00780026" w:rsidRPr="00780026" w:rsidRDefault="00780026" w:rsidP="00CB3B88">
      <w:pPr>
        <w:pStyle w:val="Note"/>
      </w:pPr>
      <w:r w:rsidRPr="00780026">
        <w:rPr>
          <w:color w:val="F79646" w:themeColor="accent6"/>
        </w:rPr>
        <w:sym w:font="Webdings" w:char="F067"/>
      </w:r>
      <w:r w:rsidRPr="00780026">
        <w:t> </w:t>
      </w:r>
      <w:r w:rsidRPr="00780026">
        <w:t xml:space="preserve"> Amber. Progress is somewhat less than expected for this point in time and restorative action will be necessary if the objective is to be achieved. Close performance monitoring is recommended.</w:t>
      </w:r>
    </w:p>
    <w:p w14:paraId="24036CB2" w14:textId="77777777" w:rsidR="00780026" w:rsidRPr="00780026" w:rsidRDefault="00780026" w:rsidP="00CB3B88">
      <w:pPr>
        <w:pStyle w:val="Note"/>
      </w:pPr>
      <w:r w:rsidRPr="00780026">
        <w:rPr>
          <w:color w:val="FF0000"/>
        </w:rPr>
        <w:sym w:font="Webdings" w:char="F067"/>
      </w:r>
      <w:r w:rsidRPr="00780026">
        <w:t> </w:t>
      </w:r>
      <w:r w:rsidRPr="00780026">
        <w:t xml:space="preserve"> </w:t>
      </w:r>
      <w:proofErr w:type="gramStart"/>
      <w:r w:rsidRPr="00780026">
        <w:t>Red.</w:t>
      </w:r>
      <w:proofErr w:type="gramEnd"/>
      <w:r w:rsidRPr="00780026">
        <w:t xml:space="preserve"> Progress is significantly less than expected for this point in time and the objective is not likely to be met given available resources and priorities. Recasting the objective may be required. </w:t>
      </w:r>
    </w:p>
    <w:p w14:paraId="326DB6AA" w14:textId="77777777" w:rsidR="00D87E91" w:rsidRPr="00CB3B88" w:rsidRDefault="00D87E91" w:rsidP="00CB3B88">
      <w:pPr>
        <w:pStyle w:val="BodyText"/>
      </w:pPr>
    </w:p>
    <w:p w14:paraId="360574F8" w14:textId="06EE4457" w:rsidR="00D87E91" w:rsidRPr="00CB3B88" w:rsidRDefault="00D87E91" w:rsidP="00CB3B88">
      <w:pPr>
        <w:pStyle w:val="BodyText"/>
      </w:pPr>
      <w:r w:rsidRPr="00CB3B88">
        <w:t>Indonesia is making good progress towards the MDG-defined target for drinking water</w:t>
      </w:r>
      <w:r w:rsidR="00C22A69" w:rsidRPr="00CB3B88">
        <w:t>––</w:t>
      </w:r>
      <w:r w:rsidRPr="00CB3B88">
        <w:t>to halve the proportion of people without access to improved drinking water by 2015</w:t>
      </w:r>
      <w:r w:rsidR="00C22A69" w:rsidRPr="00CB3B88">
        <w:t>––</w:t>
      </w:r>
      <w:r w:rsidRPr="00CB3B88">
        <w:t>but according to 2010 data there is still a large regional and urban/rural disparity in coverage (92 and 74 per cent improved water respectively). The progress towards the basic sanitation target</w:t>
      </w:r>
      <w:r w:rsidR="00DC3B4B" w:rsidRPr="00CB3B88">
        <w:t xml:space="preserve">, </w:t>
      </w:r>
      <w:r w:rsidRPr="00CB3B88">
        <w:t>to halve the proportion of people without access to improved sanitation by 2015, is slow</w:t>
      </w:r>
      <w:r w:rsidR="00C22A69" w:rsidRPr="00CB3B88">
        <w:t xml:space="preserve">––the </w:t>
      </w:r>
      <w:r w:rsidRPr="00CB3B88">
        <w:t xml:space="preserve">target is 66 per cent and </w:t>
      </w:r>
      <w:r w:rsidR="00C22A69" w:rsidRPr="00CB3B88">
        <w:t xml:space="preserve">the </w:t>
      </w:r>
      <w:r w:rsidRPr="00CB3B88">
        <w:t>actual to 2010 is 54 per cent</w:t>
      </w:r>
      <w:r w:rsidR="00C22A69" w:rsidRPr="00CB3B88">
        <w:t>––</w:t>
      </w:r>
      <w:r w:rsidRPr="00CB3B88">
        <w:t xml:space="preserve">but the </w:t>
      </w:r>
      <w:r w:rsidR="00C22A69" w:rsidRPr="00CB3B88">
        <w:t>Indonesian G</w:t>
      </w:r>
      <w:r w:rsidRPr="00CB3B88">
        <w:t xml:space="preserve">overnment’s commitment to the national plan for community-led total sanitation has helped bring attention to the different sanitation needs in urban and rural areas. Sanitation has traditionally been seen as a private responsibility but the government is moving towards greater community level responsibility. </w:t>
      </w:r>
    </w:p>
    <w:p w14:paraId="0A652670" w14:textId="198074DB" w:rsidR="00D87E91" w:rsidRPr="00D87E91" w:rsidRDefault="00D87E91" w:rsidP="00D87E91">
      <w:pPr>
        <w:pStyle w:val="BodyText"/>
      </w:pPr>
      <w:r w:rsidRPr="00D87E91">
        <w:t xml:space="preserve">The responsibility </w:t>
      </w:r>
      <w:r w:rsidR="00C22A69">
        <w:t xml:space="preserve">for </w:t>
      </w:r>
      <w:r w:rsidRPr="00D87E91">
        <w:t xml:space="preserve">and provision of water infrastructure financing is a key challenge to sustained improvements in this area. </w:t>
      </w:r>
      <w:r w:rsidR="00C22A69">
        <w:t>The government</w:t>
      </w:r>
      <w:r w:rsidR="00C22A69" w:rsidRPr="00D87E91">
        <w:t xml:space="preserve"> </w:t>
      </w:r>
      <w:r w:rsidRPr="00D87E91">
        <w:t xml:space="preserve">planned to move from predominantly centrally-funded to predominantly locally-funded local water infrastructure between 2009 and 2015, but as of 2011 local government funding still lags behind annual targets. A recent World Health Organization report shows a conservative estimate of the financial capital cost required for Indonesia to reach the MDG targets is USD4.5 billion for water and USD2.3 billion for sanitation. Barriers to reaching this level of investment include a lack of local government sense of ownership and good governance, </w:t>
      </w:r>
      <w:r w:rsidR="00C22A69">
        <w:t xml:space="preserve">a </w:t>
      </w:r>
      <w:r w:rsidRPr="00D87E91">
        <w:t xml:space="preserve">low level of equitable access to water, lack of inter-departmental coordination and weak utility management. A key role for </w:t>
      </w:r>
      <w:r w:rsidR="00F3020A">
        <w:t xml:space="preserve">DFAT </w:t>
      </w:r>
      <w:r w:rsidRPr="00D87E91">
        <w:t>is to help catalyse the governance and financing reforms needed to overcome these barriers and bridge this gap to ensure access improvement exceeds population growth</w:t>
      </w:r>
      <w:r w:rsidR="00C22A69">
        <w:t>,</w:t>
      </w:r>
      <w:r w:rsidRPr="00D87E91">
        <w:t xml:space="preserve"> especially given rapid urbanisation and economic growth. </w:t>
      </w:r>
    </w:p>
    <w:p w14:paraId="65805015" w14:textId="7DC07520" w:rsidR="00D87E91" w:rsidRPr="00D87E91" w:rsidRDefault="00D87E91" w:rsidP="00BD7A1D">
      <w:pPr>
        <w:pStyle w:val="ListBullet"/>
      </w:pPr>
      <w:r w:rsidRPr="00D87E91">
        <w:lastRenderedPageBreak/>
        <w:t xml:space="preserve">Australia is the largest bilateral grant donor for water and sanitation in Indonesia. Responsibility for the sector lies with the Ministries of Public Works, Health and Home Affairs, along with planning oversight by </w:t>
      </w:r>
      <w:r w:rsidR="009F53DE">
        <w:t xml:space="preserve">the </w:t>
      </w:r>
      <w:r w:rsidR="009F53DE" w:rsidRPr="00BD7A1D">
        <w:rPr>
          <w:rStyle w:val="BodyTextChar"/>
        </w:rPr>
        <w:t>National Development Planning Agency</w:t>
      </w:r>
      <w:r w:rsidRPr="00D87E91">
        <w:t xml:space="preserve">. Australia’s program supports </w:t>
      </w:r>
      <w:r w:rsidR="00C22A69">
        <w:t>Indonesian Government</w:t>
      </w:r>
      <w:r w:rsidR="00C22A69" w:rsidRPr="00D87E91">
        <w:t xml:space="preserve"> </w:t>
      </w:r>
      <w:r w:rsidRPr="00D87E91">
        <w:t xml:space="preserve">priorities and works with central and local governments, the World Bank, the Asian Development </w:t>
      </w:r>
      <w:r w:rsidR="00DC3B4B">
        <w:t xml:space="preserve">Bank </w:t>
      </w:r>
      <w:r w:rsidRPr="00D87E91">
        <w:t xml:space="preserve">and the United States Agency for International Development. The program works partly through </w:t>
      </w:r>
      <w:r w:rsidR="00C22A69">
        <w:t>government</w:t>
      </w:r>
      <w:r w:rsidR="00C22A69" w:rsidRPr="00D87E91">
        <w:t xml:space="preserve"> </w:t>
      </w:r>
      <w:r w:rsidRPr="00D87E91">
        <w:t>systems to demonstrate new ways of financing local government and supporting decentralisation</w:t>
      </w:r>
      <w:r w:rsidR="00C22A69">
        <w:t>,</w:t>
      </w:r>
      <w:r w:rsidRPr="00D87E91">
        <w:t xml:space="preserve"> and does this by leveraging grants that increase access to water and sanitation. </w:t>
      </w:r>
    </w:p>
    <w:p w14:paraId="068D14B7" w14:textId="08058C38" w:rsidR="00D87E91" w:rsidRPr="00D87E91" w:rsidRDefault="00D87E91" w:rsidP="00D87E91">
      <w:pPr>
        <w:pStyle w:val="BodyText"/>
      </w:pPr>
      <w:r w:rsidRPr="00D87E91">
        <w:t xml:space="preserve">Addressing access, the </w:t>
      </w:r>
      <w:r w:rsidR="00C22A69">
        <w:t>w</w:t>
      </w:r>
      <w:r w:rsidR="00C22A69" w:rsidRPr="00D87E91">
        <w:t xml:space="preserve">ater </w:t>
      </w:r>
      <w:r w:rsidRPr="00D87E91">
        <w:t xml:space="preserve">and </w:t>
      </w:r>
      <w:r w:rsidR="00C22A69">
        <w:t>s</w:t>
      </w:r>
      <w:r w:rsidR="00C22A69" w:rsidRPr="00D87E91">
        <w:t xml:space="preserve">anitation </w:t>
      </w:r>
      <w:proofErr w:type="spellStart"/>
      <w:r w:rsidR="00C22A69" w:rsidRPr="00D67028">
        <w:rPr>
          <w:i/>
        </w:rPr>
        <w:t>hibah</w:t>
      </w:r>
      <w:proofErr w:type="spellEnd"/>
      <w:r w:rsidR="00C22A69" w:rsidRPr="00D87E91">
        <w:t xml:space="preserve"> </w:t>
      </w:r>
      <w:r w:rsidRPr="00D87E91">
        <w:t>is a grant program to increase the number of households in urban areas with piped water and sanitation</w:t>
      </w:r>
      <w:r w:rsidR="00C22A69">
        <w:t>.</w:t>
      </w:r>
      <w:r w:rsidRPr="00D87E91">
        <w:t xml:space="preserve"> </w:t>
      </w:r>
      <w:r w:rsidR="00CE10E7">
        <w:t>Australia</w:t>
      </w:r>
      <w:r w:rsidRPr="00D87E91">
        <w:t xml:space="preserve"> also supports </w:t>
      </w:r>
      <w:r w:rsidR="00C22A69">
        <w:t>the Indonesian Government’s</w:t>
      </w:r>
      <w:r w:rsidR="00C22A69" w:rsidRPr="00D87E91">
        <w:t xml:space="preserve"> </w:t>
      </w:r>
      <w:r w:rsidRPr="00D87E91">
        <w:t>Water and Sanitation for Low Income Communities program through the World Bank, which provides similar support to rural areas. These activities have accelerated the water connection rate for low-income households</w:t>
      </w:r>
      <w:r w:rsidR="00016173">
        <w:t>,</w:t>
      </w:r>
      <w:r w:rsidRPr="00D87E91">
        <w:t xml:space="preserve"> resulting in better quality, less expensive water. </w:t>
      </w:r>
      <w:r w:rsidR="00C22A69">
        <w:t xml:space="preserve">A total of </w:t>
      </w:r>
      <w:r w:rsidR="009A797A">
        <w:t>470,755</w:t>
      </w:r>
      <w:r w:rsidRPr="00D87E91">
        <w:t xml:space="preserve"> people were provided with access to safe water through our programs in 2012</w:t>
      </w:r>
      <w:r w:rsidR="00C22A69">
        <w:t>–</w:t>
      </w:r>
      <w:r w:rsidRPr="00D87E91">
        <w:t xml:space="preserve">13, </w:t>
      </w:r>
      <w:r w:rsidR="00016173">
        <w:t>including</w:t>
      </w:r>
      <w:r w:rsidRPr="00D87E91">
        <w:t xml:space="preserve"> 340</w:t>
      </w:r>
      <w:r w:rsidR="00C22A69">
        <w:t xml:space="preserve"> </w:t>
      </w:r>
      <w:r w:rsidRPr="00D87E91">
        <w:t xml:space="preserve">000 through </w:t>
      </w:r>
      <w:r w:rsidR="00016173">
        <w:t>the Water Supply and Sanitation for Low Income Communities Project,</w:t>
      </w:r>
      <w:r w:rsidR="00016173" w:rsidRPr="00D87E91">
        <w:t xml:space="preserve"> </w:t>
      </w:r>
      <w:r w:rsidRPr="00D87E91">
        <w:t xml:space="preserve">and </w:t>
      </w:r>
      <w:r w:rsidR="009A797A" w:rsidRPr="009A797A">
        <w:t xml:space="preserve">130,755 </w:t>
      </w:r>
      <w:r w:rsidRPr="00D87E91">
        <w:t xml:space="preserve">through the water </w:t>
      </w:r>
      <w:proofErr w:type="spellStart"/>
      <w:r w:rsidRPr="00D67028">
        <w:rPr>
          <w:i/>
        </w:rPr>
        <w:t>hibah</w:t>
      </w:r>
      <w:proofErr w:type="spellEnd"/>
      <w:r w:rsidRPr="00D87E91">
        <w:t xml:space="preserve">. </w:t>
      </w:r>
      <w:r w:rsidR="00C22A69">
        <w:t xml:space="preserve">Another </w:t>
      </w:r>
      <w:r w:rsidRPr="00D87E91">
        <w:t>130</w:t>
      </w:r>
      <w:r w:rsidR="00C22A69">
        <w:t xml:space="preserve"> </w:t>
      </w:r>
      <w:r w:rsidRPr="00D87E91">
        <w:t xml:space="preserve">000 people received access to basic sanitation through </w:t>
      </w:r>
      <w:r w:rsidR="00016173">
        <w:t>the Water Supply and Sanitation for Low Income Communities Project</w:t>
      </w:r>
      <w:r w:rsidRPr="00D87E91">
        <w:t xml:space="preserve">. Ensuring the ongoing sustainability of these achievements is a key priority, with 78 per cent of water supply systems built </w:t>
      </w:r>
      <w:r w:rsidR="00016173">
        <w:t>under the Water Supply and Sanitation for Low Income Communities Project</w:t>
      </w:r>
      <w:r w:rsidR="00016173" w:rsidRPr="00D87E91">
        <w:t xml:space="preserve"> </w:t>
      </w:r>
      <w:r w:rsidRPr="00D87E91">
        <w:t>between 2008 and 2011 still functioning well</w:t>
      </w:r>
      <w:r w:rsidR="00016173">
        <w:t>,</w:t>
      </w:r>
      <w:r w:rsidRPr="00D87E91">
        <w:t xml:space="preserve"> and almost 97 per cent of beneficiaries from the water </w:t>
      </w:r>
      <w:proofErr w:type="spellStart"/>
      <w:r w:rsidRPr="00D67028">
        <w:rPr>
          <w:i/>
        </w:rPr>
        <w:t>hibah</w:t>
      </w:r>
      <w:proofErr w:type="spellEnd"/>
      <w:r w:rsidRPr="00D87E91">
        <w:t xml:space="preserve"> phase 1 (2010 to 2011) </w:t>
      </w:r>
      <w:r w:rsidR="00C22A69" w:rsidRPr="00D87E91">
        <w:t>indicat</w:t>
      </w:r>
      <w:r w:rsidR="00C22A69">
        <w:t>ing</w:t>
      </w:r>
      <w:r w:rsidR="00C22A69" w:rsidRPr="00D87E91">
        <w:t xml:space="preserve"> </w:t>
      </w:r>
      <w:r w:rsidRPr="00D87E91">
        <w:t>they were satisfied with the services provided</w:t>
      </w:r>
      <w:r w:rsidR="00C22A69">
        <w:t xml:space="preserve">. </w:t>
      </w:r>
      <w:r w:rsidRPr="00D87E91">
        <w:t>Women represented about 30 per cent of water committee members</w:t>
      </w:r>
      <w:r w:rsidR="00C22A69">
        <w:t>––</w:t>
      </w:r>
      <w:r w:rsidRPr="00D87E91">
        <w:t>31 per cent of community organisations and 28 per cent of community water management bodies</w:t>
      </w:r>
      <w:r w:rsidR="00C22A69">
        <w:t xml:space="preserve"> were</w:t>
      </w:r>
      <w:r w:rsidRPr="00D87E91">
        <w:t xml:space="preserve"> formed under </w:t>
      </w:r>
      <w:r w:rsidR="00016173">
        <w:t>the Water Supply and Sanitation for Low Income Communities Project</w:t>
      </w:r>
      <w:r w:rsidRPr="00D87E91">
        <w:t xml:space="preserve">. In addition Australia also helped Indonesia address Jakarta’s critical need for additional water supply by producing a high quality pre-feasibility study on a water supply treatment system and pipeline to bring water from the </w:t>
      </w:r>
      <w:proofErr w:type="spellStart"/>
      <w:r w:rsidRPr="00D87E91">
        <w:t>Jatiluhur</w:t>
      </w:r>
      <w:proofErr w:type="spellEnd"/>
      <w:r w:rsidRPr="00D87E91">
        <w:t xml:space="preserve"> dam to Jakarta.</w:t>
      </w:r>
    </w:p>
    <w:p w14:paraId="6D607736" w14:textId="66A8D39F" w:rsidR="00D87E91" w:rsidRPr="00D87E91" w:rsidRDefault="00D87E91" w:rsidP="00D87E91">
      <w:pPr>
        <w:pStyle w:val="BodyText"/>
      </w:pPr>
      <w:r w:rsidRPr="00D87E91">
        <w:t>While improving access provides important direct benefits to recipients, it is the changes to financing, governance and policy that will generate longer-term and sustainable transformations of service delivery.</w:t>
      </w:r>
      <w:r w:rsidR="00B525E5">
        <w:t xml:space="preserve"> </w:t>
      </w:r>
      <w:r w:rsidRPr="00D87E91">
        <w:t xml:space="preserve">The water </w:t>
      </w:r>
      <w:proofErr w:type="spellStart"/>
      <w:r w:rsidRPr="00D67028">
        <w:rPr>
          <w:i/>
        </w:rPr>
        <w:t>hibah</w:t>
      </w:r>
      <w:proofErr w:type="spellEnd"/>
      <w:r w:rsidRPr="00D87E91">
        <w:t xml:space="preserve"> does both by influencing changes in national government sector financing structures and local government investment in utilities through its water connection program. As a result of the </w:t>
      </w:r>
      <w:proofErr w:type="spellStart"/>
      <w:r w:rsidRPr="00D67028">
        <w:rPr>
          <w:i/>
        </w:rPr>
        <w:t>hibah</w:t>
      </w:r>
      <w:proofErr w:type="spellEnd"/>
      <w:r w:rsidRPr="00D87E91">
        <w:t xml:space="preserve">, local governments have invested more in their water supply utilities and strengthened the governance of their water and wastewater operators. The Indonesian </w:t>
      </w:r>
      <w:r w:rsidR="001B156C">
        <w:t>G</w:t>
      </w:r>
      <w:r w:rsidR="001B156C" w:rsidRPr="00D87E91">
        <w:t xml:space="preserve">overnment </w:t>
      </w:r>
      <w:r w:rsidRPr="00D87E91">
        <w:t xml:space="preserve">is able to provide more targeted funding to local governments through the </w:t>
      </w:r>
      <w:proofErr w:type="spellStart"/>
      <w:r w:rsidRPr="00D67028">
        <w:rPr>
          <w:i/>
        </w:rPr>
        <w:t>hibah’s</w:t>
      </w:r>
      <w:proofErr w:type="spellEnd"/>
      <w:r w:rsidRPr="00D87E91">
        <w:t xml:space="preserve"> results-based reimbursement approach and </w:t>
      </w:r>
      <w:r w:rsidR="001B156C">
        <w:t>it is</w:t>
      </w:r>
      <w:r w:rsidRPr="00D87E91">
        <w:t xml:space="preserve"> examining opportunities to apply the approach to other programs.</w:t>
      </w:r>
    </w:p>
    <w:p w14:paraId="28CA3E71" w14:textId="12EB3664" w:rsidR="00D87E91" w:rsidRPr="00D87E91" w:rsidRDefault="00D87E91" w:rsidP="00D87E91">
      <w:pPr>
        <w:pStyle w:val="BodyText"/>
      </w:pPr>
      <w:r w:rsidRPr="00D87E91">
        <w:t xml:space="preserve">The water </w:t>
      </w:r>
      <w:r w:rsidR="006421B0">
        <w:t xml:space="preserve">and sanitation </w:t>
      </w:r>
      <w:proofErr w:type="spellStart"/>
      <w:r w:rsidRPr="00D67028">
        <w:rPr>
          <w:i/>
        </w:rPr>
        <w:t>hibah</w:t>
      </w:r>
      <w:proofErr w:type="spellEnd"/>
      <w:r w:rsidRPr="00D87E91">
        <w:t xml:space="preserve"> phase 2 began late in 2012 following negotiations with </w:t>
      </w:r>
      <w:r w:rsidR="001B156C">
        <w:t xml:space="preserve">the </w:t>
      </w:r>
      <w:r w:rsidR="001B156C" w:rsidRPr="00D87E91">
        <w:t xml:space="preserve">Indonesian </w:t>
      </w:r>
      <w:r w:rsidR="001B156C">
        <w:t>G</w:t>
      </w:r>
      <w:r w:rsidR="001B156C" w:rsidRPr="00D87E91">
        <w:t xml:space="preserve">overnment </w:t>
      </w:r>
      <w:r w:rsidRPr="00D87E91">
        <w:t>to strengthen program outcomes and sustainability through multi-year programming and increase non-grant investment in utilities through commercial loans.</w:t>
      </w:r>
      <w:r w:rsidR="00B525E5">
        <w:t xml:space="preserve"> </w:t>
      </w:r>
      <w:r w:rsidRPr="00D87E91">
        <w:t xml:space="preserve">Despite starting six months behind schedule, it connected </w:t>
      </w:r>
      <w:r w:rsidR="009A797A" w:rsidRPr="009A797A">
        <w:t xml:space="preserve">26,151 </w:t>
      </w:r>
      <w:r w:rsidRPr="00D87E91">
        <w:t>households by June 2013.</w:t>
      </w:r>
      <w:r w:rsidR="006421B0">
        <w:t xml:space="preserve"> The water and sanitation </w:t>
      </w:r>
      <w:proofErr w:type="spellStart"/>
      <w:r w:rsidR="006421B0" w:rsidRPr="00D67028">
        <w:rPr>
          <w:i/>
        </w:rPr>
        <w:t>hibah</w:t>
      </w:r>
      <w:proofErr w:type="spellEnd"/>
      <w:r w:rsidR="006421B0">
        <w:t xml:space="preserve">, as well as a new grant program for small-scale sanitation systems, are behind schedule. It is expected that the </w:t>
      </w:r>
      <w:proofErr w:type="spellStart"/>
      <w:r w:rsidR="006421B0" w:rsidRPr="00D67028">
        <w:rPr>
          <w:i/>
        </w:rPr>
        <w:t>hibah</w:t>
      </w:r>
      <w:proofErr w:type="spellEnd"/>
      <w:r w:rsidR="006421B0">
        <w:t xml:space="preserve"> will achieve the expected targets within the planned timeframe for the activity (30 June 2015).</w:t>
      </w:r>
      <w:r w:rsidRPr="00D87E91">
        <w:t xml:space="preserve"> An audit conducted by the Australian National Audit Office found that a close, positive and highly valued relationship existed between </w:t>
      </w:r>
      <w:r w:rsidR="001B156C">
        <w:t xml:space="preserve">the </w:t>
      </w:r>
      <w:r w:rsidR="001B156C" w:rsidRPr="00D87E91">
        <w:t xml:space="preserve">Indonesian </w:t>
      </w:r>
      <w:r w:rsidR="001B156C">
        <w:t>G</w:t>
      </w:r>
      <w:r w:rsidR="001B156C" w:rsidRPr="00D87E91">
        <w:t xml:space="preserve">overnment </w:t>
      </w:r>
      <w:r w:rsidRPr="00D87E91">
        <w:t xml:space="preserve">and the </w:t>
      </w:r>
      <w:r w:rsidR="00CE10E7">
        <w:t xml:space="preserve">Australian aid </w:t>
      </w:r>
      <w:r w:rsidRPr="00D87E91">
        <w:t xml:space="preserve">program and also noted </w:t>
      </w:r>
      <w:r w:rsidR="001B156C">
        <w:t xml:space="preserve">the </w:t>
      </w:r>
      <w:r w:rsidR="009A7C24">
        <w:t>government’s</w:t>
      </w:r>
      <w:r w:rsidR="001B156C" w:rsidRPr="00D87E91">
        <w:t xml:space="preserve"> </w:t>
      </w:r>
      <w:r w:rsidRPr="00D87E91">
        <w:t xml:space="preserve">assessment of the activity as both effective and good value for money. </w:t>
      </w:r>
    </w:p>
    <w:p w14:paraId="71CA3736" w14:textId="111B0B21" w:rsidR="00D87E91" w:rsidRPr="00D87E91" w:rsidRDefault="001B156C" w:rsidP="00D87E91">
      <w:pPr>
        <w:pStyle w:val="BodyText"/>
      </w:pPr>
      <w:r>
        <w:t>The Indonesia Infrastructure Initiative’s</w:t>
      </w:r>
      <w:r w:rsidRPr="00D87E91">
        <w:t xml:space="preserve"> </w:t>
      </w:r>
      <w:r w:rsidR="00D87E91" w:rsidRPr="00D87E91">
        <w:t xml:space="preserve">financial reform program for some of the most poorly performing water utilities has resulted in three utilities being approved for commercial loans through the Indonesian </w:t>
      </w:r>
      <w:r>
        <w:t>G</w:t>
      </w:r>
      <w:r w:rsidRPr="00D87E91">
        <w:t>overnment</w:t>
      </w:r>
      <w:r>
        <w:t>’s</w:t>
      </w:r>
      <w:r w:rsidRPr="00D87E91">
        <w:t xml:space="preserve"> </w:t>
      </w:r>
      <w:r w:rsidR="00D87E91" w:rsidRPr="00D87E91">
        <w:t xml:space="preserve">loan subsidy program. This is the first time Indonesia utilities have received commercial loans. Five more utilities are waiting for approval for </w:t>
      </w:r>
      <w:r w:rsidR="00D87E91" w:rsidRPr="00D87E91">
        <w:lastRenderedPageBreak/>
        <w:t>similar loans.</w:t>
      </w:r>
      <w:r w:rsidR="00B525E5">
        <w:t xml:space="preserve"> </w:t>
      </w:r>
      <w:r w:rsidR="00D87E91" w:rsidRPr="00D87E91">
        <w:t>The resulting $22.1 million increased annual investment will directly improve water treatment and distribution infrastructure, and the improved utility financial management systems will ensure sustainable service delivery.</w:t>
      </w:r>
      <w:r w:rsidR="00B525E5">
        <w:t xml:space="preserve"> </w:t>
      </w:r>
      <w:r>
        <w:t xml:space="preserve">Indonesia Infrastructure Initiative </w:t>
      </w:r>
      <w:r w:rsidR="00D87E91" w:rsidRPr="00D87E91">
        <w:t xml:space="preserve">activities have also leveraged other donor investments, with water </w:t>
      </w:r>
      <w:proofErr w:type="spellStart"/>
      <w:r w:rsidR="00D87E91" w:rsidRPr="00D67028">
        <w:rPr>
          <w:i/>
        </w:rPr>
        <w:t>hibah</w:t>
      </w:r>
      <w:proofErr w:type="spellEnd"/>
      <w:r w:rsidR="00D87E91" w:rsidRPr="00D87E91">
        <w:t xml:space="preserve"> support from USAID (USD10</w:t>
      </w:r>
      <w:r>
        <w:t xml:space="preserve"> </w:t>
      </w:r>
      <w:r w:rsidR="00D87E91" w:rsidRPr="00D87E91">
        <w:t>m</w:t>
      </w:r>
      <w:r>
        <w:t>illion</w:t>
      </w:r>
      <w:r w:rsidR="00D87E91" w:rsidRPr="00D87E91">
        <w:t>), Australia</w:t>
      </w:r>
      <w:r>
        <w:t>,</w:t>
      </w:r>
      <w:r w:rsidR="00D87E91" w:rsidRPr="00D87E91">
        <w:t xml:space="preserve"> the Asian Development Bank and Korea investing in wastewater treatment for five cities</w:t>
      </w:r>
      <w:r>
        <w:t>,</w:t>
      </w:r>
      <w:r w:rsidR="00D87E91" w:rsidRPr="00D87E91">
        <w:t xml:space="preserve"> and the World Bank planning a sector investment program based partly on </w:t>
      </w:r>
      <w:r>
        <w:t>the Indonesia Infrastructure Initiative’s</w:t>
      </w:r>
      <w:r w:rsidRPr="00D87E91">
        <w:t xml:space="preserve"> </w:t>
      </w:r>
      <w:r w:rsidR="00D87E91" w:rsidRPr="00D87E91">
        <w:t>financial reform program.</w:t>
      </w:r>
    </w:p>
    <w:p w14:paraId="75B4FB5D" w14:textId="64925D03" w:rsidR="00D87E91" w:rsidRPr="00D87E91" w:rsidRDefault="001B156C" w:rsidP="00D87E91">
      <w:pPr>
        <w:pStyle w:val="BodyText"/>
      </w:pPr>
      <w:r>
        <w:t>The</w:t>
      </w:r>
      <w:r w:rsidR="00D87E91" w:rsidRPr="00D87E91">
        <w:t xml:space="preserve"> World Bank-led, </w:t>
      </w:r>
      <w:r>
        <w:t>Indonesian Government-</w:t>
      </w:r>
      <w:r w:rsidR="00D87E91" w:rsidRPr="00D87E91">
        <w:t xml:space="preserve">managed </w:t>
      </w:r>
      <w:r w:rsidR="00016173">
        <w:t>Water Supply and Sanitation for Low Income Communities Project</w:t>
      </w:r>
      <w:r w:rsidR="00016173" w:rsidRPr="00D87E91" w:rsidDel="00016173">
        <w:t xml:space="preserve"> </w:t>
      </w:r>
      <w:r w:rsidR="00D87E91" w:rsidRPr="00D87E91">
        <w:t xml:space="preserve">2 </w:t>
      </w:r>
      <w:r>
        <w:t>is the government’s</w:t>
      </w:r>
      <w:r w:rsidRPr="00D87E91">
        <w:t xml:space="preserve"> </w:t>
      </w:r>
      <w:r w:rsidR="00D87E91" w:rsidRPr="00D87E91">
        <w:t xml:space="preserve">primary vehicle for increasing water and sanitation access in rural Indonesia, moving towards a sector approach to management. This governance improvement will help ensure the best approaches and Indonesian standards are being applied consistently across programs. Recommendations from an independent review of </w:t>
      </w:r>
      <w:r w:rsidR="00016173">
        <w:t>the Water Supply and Sanitation for Low Income Communities Project</w:t>
      </w:r>
      <w:r w:rsidR="00016173" w:rsidRPr="00D87E91">
        <w:t xml:space="preserve"> </w:t>
      </w:r>
      <w:r w:rsidR="00D87E91" w:rsidRPr="00D87E91">
        <w:t xml:space="preserve">conducted in November 2012 showed that Australia’s support was valuable and had resulted in a stronger, more sustainable and more transparent program. Applying the recommendations of the review will improve sector governance by improving community management of water supplies and </w:t>
      </w:r>
      <w:r>
        <w:t>provide</w:t>
      </w:r>
      <w:r w:rsidR="00D87E91" w:rsidRPr="00D87E91">
        <w:t xml:space="preserve"> district level support for those communities. </w:t>
      </w:r>
      <w:r>
        <w:t xml:space="preserve">The </w:t>
      </w:r>
      <w:r w:rsidR="00016173">
        <w:t>program’s</w:t>
      </w:r>
      <w:r w:rsidR="00016173" w:rsidRPr="00D87E91">
        <w:t xml:space="preserve"> </w:t>
      </w:r>
      <w:r w:rsidR="00D87E91" w:rsidRPr="00D87E91">
        <w:t xml:space="preserve">online </w:t>
      </w:r>
      <w:r w:rsidRPr="00D87E91">
        <w:t>monitoring information system</w:t>
      </w:r>
      <w:r>
        <w:t>––</w:t>
      </w:r>
      <w:r w:rsidR="00D87E91" w:rsidRPr="00D87E91">
        <w:t xml:space="preserve">the only publicly accessible </w:t>
      </w:r>
      <w:r>
        <w:t>monitoring and evaluation</w:t>
      </w:r>
      <w:r w:rsidR="00D87E91" w:rsidRPr="00D87E91">
        <w:t xml:space="preserve"> system for a nation-wide development program in Indonesia</w:t>
      </w:r>
      <w:r>
        <w:t>––</w:t>
      </w:r>
      <w:r w:rsidR="00D87E91" w:rsidRPr="00D87E91">
        <w:t>provides transparent information that enables the public to monitor and report on service quality and program outcomes.</w:t>
      </w:r>
    </w:p>
    <w:p w14:paraId="48C24DE3" w14:textId="5562D7BB" w:rsidR="00780026" w:rsidRPr="00780026" w:rsidRDefault="00780026" w:rsidP="009A2B98">
      <w:pPr>
        <w:pStyle w:val="Heading2"/>
      </w:pPr>
      <w:bookmarkStart w:id="43" w:name="_Toc359585095"/>
      <w:bookmarkStart w:id="44" w:name="_Toc363768583"/>
      <w:bookmarkStart w:id="45" w:name="_Toc363804119"/>
      <w:r w:rsidRPr="00780026">
        <w:t xml:space="preserve">Management </w:t>
      </w:r>
      <w:bookmarkEnd w:id="43"/>
      <w:r w:rsidR="001B156C">
        <w:t>c</w:t>
      </w:r>
      <w:r w:rsidR="001B156C" w:rsidRPr="00780026">
        <w:t>onsequences</w:t>
      </w:r>
      <w:bookmarkEnd w:id="44"/>
      <w:bookmarkEnd w:id="45"/>
    </w:p>
    <w:p w14:paraId="51CAADCD" w14:textId="5B5A544F" w:rsidR="001B156C" w:rsidRDefault="001B156C" w:rsidP="001B156C">
      <w:pPr>
        <w:pStyle w:val="BodyText"/>
      </w:pPr>
      <w:r w:rsidRPr="00D87E91">
        <w:t>Management consequences from 2011 have been acted upon.</w:t>
      </w:r>
      <w:r w:rsidR="00B525E5">
        <w:t xml:space="preserve"> </w:t>
      </w:r>
      <w:r w:rsidRPr="00D87E91">
        <w:t>Detailed engineering design and environmental safeguards for wastewater investment plans will increase sanitation infrastructure investment in five cities by three donors, including the Asian Development Bank</w:t>
      </w:r>
      <w:r w:rsidR="00DC3B4B">
        <w:t>,</w:t>
      </w:r>
      <w:r w:rsidRPr="00D87E91">
        <w:t xml:space="preserve"> resulting in increased access to piped sanitation.</w:t>
      </w:r>
    </w:p>
    <w:p w14:paraId="6132E1F1" w14:textId="4BFAFD9F" w:rsidR="00D87E91" w:rsidRDefault="00D87E91" w:rsidP="00D87E91">
      <w:pPr>
        <w:pStyle w:val="BodyText"/>
      </w:pPr>
      <w:r>
        <w:t>Management consequences for 2013</w:t>
      </w:r>
      <w:r w:rsidR="001B156C">
        <w:t>–</w:t>
      </w:r>
      <w:r>
        <w:t>14 include:</w:t>
      </w:r>
    </w:p>
    <w:p w14:paraId="7812CAA4" w14:textId="0ACE6F1B" w:rsidR="00D87E91" w:rsidRDefault="00D87E91" w:rsidP="009A2B98">
      <w:pPr>
        <w:pStyle w:val="ListBullet"/>
      </w:pPr>
      <w:r>
        <w:t xml:space="preserve">Finalise </w:t>
      </w:r>
      <w:r w:rsidR="001B156C">
        <w:t xml:space="preserve">the </w:t>
      </w:r>
      <w:r>
        <w:t xml:space="preserve">delivery strategy for infrastructure (encompassing both transport connectivity and water and sanitation) to guide </w:t>
      </w:r>
      <w:r w:rsidR="00F3020A">
        <w:t>DFAT’s</w:t>
      </w:r>
      <w:r>
        <w:t xml:space="preserve"> investment in the development of Indonesian infrastructure over the next five years and improve the ability to measure program outcomes. Given the catalytic nature of Australia’s programs, </w:t>
      </w:r>
      <w:r w:rsidR="00F3020A">
        <w:t>DFAT</w:t>
      </w:r>
      <w:r w:rsidR="007D1737">
        <w:t xml:space="preserve"> </w:t>
      </w:r>
      <w:r>
        <w:t xml:space="preserve">will work with </w:t>
      </w:r>
      <w:r w:rsidR="001B156C">
        <w:t xml:space="preserve">the Indonesia Infrastructure Initiative </w:t>
      </w:r>
      <w:r>
        <w:t xml:space="preserve">to ensure senior </w:t>
      </w:r>
      <w:r w:rsidR="001B156C">
        <w:t xml:space="preserve">Indonesian Government </w:t>
      </w:r>
      <w:r>
        <w:t xml:space="preserve">officials are well briefed and equipped to apply program outcomes to improve future policy development. Since some activities are behind schedule, </w:t>
      </w:r>
      <w:r w:rsidR="00297BCB">
        <w:t>the department</w:t>
      </w:r>
      <w:r w:rsidR="007D1737">
        <w:t xml:space="preserve"> </w:t>
      </w:r>
      <w:r>
        <w:t xml:space="preserve">will closely monitor </w:t>
      </w:r>
      <w:r w:rsidR="001B156C">
        <w:t>Indonesia Infrastructure Initiative</w:t>
      </w:r>
      <w:r w:rsidR="001B156C" w:rsidDel="001B156C">
        <w:t xml:space="preserve"> </w:t>
      </w:r>
      <w:r>
        <w:t xml:space="preserve">activities </w:t>
      </w:r>
      <w:r w:rsidR="006421B0">
        <w:t xml:space="preserve">(including the water and sanitation </w:t>
      </w:r>
      <w:proofErr w:type="spellStart"/>
      <w:r w:rsidR="006421B0" w:rsidRPr="00D67028">
        <w:rPr>
          <w:i/>
        </w:rPr>
        <w:t>hibah</w:t>
      </w:r>
      <w:proofErr w:type="spellEnd"/>
      <w:r w:rsidR="006421B0">
        <w:t xml:space="preserve">) </w:t>
      </w:r>
      <w:r>
        <w:t xml:space="preserve">and </w:t>
      </w:r>
      <w:r w:rsidR="00016173">
        <w:t>Water Supply and Sanitation for Low Income Communities Project</w:t>
      </w:r>
      <w:r w:rsidR="00016173" w:rsidDel="00016173">
        <w:t xml:space="preserve"> </w:t>
      </w:r>
      <w:r>
        <w:t>2 to improve program</w:t>
      </w:r>
      <w:r w:rsidR="006421B0">
        <w:t xml:space="preserve"> implementation progress, efficiency</w:t>
      </w:r>
      <w:r w:rsidR="00DC3B4B">
        <w:t xml:space="preserve"> and</w:t>
      </w:r>
      <w:r w:rsidR="006421B0">
        <w:t xml:space="preserve"> effectiveness</w:t>
      </w:r>
      <w:r w:rsidR="00DC3B4B">
        <w:t>,</w:t>
      </w:r>
      <w:r w:rsidR="006421B0">
        <w:t xml:space="preserve"> and</w:t>
      </w:r>
      <w:r>
        <w:t xml:space="preserve"> </w:t>
      </w:r>
      <w:r w:rsidR="006421B0">
        <w:t xml:space="preserve">to </w:t>
      </w:r>
      <w:r>
        <w:t>ensure expected sector outcomes are achieved and new services have the governance and financial management structures to sustain them.</w:t>
      </w:r>
    </w:p>
    <w:p w14:paraId="03F4EB98" w14:textId="4869228D" w:rsidR="00154F9B" w:rsidRDefault="00154F9B" w:rsidP="00D87E91">
      <w:pPr>
        <w:pStyle w:val="BodyText"/>
      </w:pPr>
      <w:r>
        <w:t>T</w:t>
      </w:r>
      <w:r w:rsidRPr="004048AD">
        <w:t xml:space="preserve">he </w:t>
      </w:r>
      <w:r w:rsidR="00B525E5">
        <w:t>follow-</w:t>
      </w:r>
      <w:r>
        <w:t xml:space="preserve">up of </w:t>
      </w:r>
      <w:r w:rsidRPr="004048AD">
        <w:t xml:space="preserve">management consequences from the </w:t>
      </w:r>
      <w:r w:rsidR="001B156C">
        <w:t>2011 annual program performance report</w:t>
      </w:r>
      <w:r w:rsidR="001B156C" w:rsidRPr="004048AD">
        <w:t xml:space="preserve"> </w:t>
      </w:r>
      <w:r>
        <w:t>can be found in</w:t>
      </w:r>
      <w:r w:rsidRPr="004048AD">
        <w:t xml:space="preserve"> </w:t>
      </w:r>
      <w:r w:rsidRPr="00154F9B">
        <w:rPr>
          <w:b/>
        </w:rPr>
        <w:t>Annex B</w:t>
      </w:r>
      <w:r w:rsidRPr="004048AD">
        <w:t>.</w:t>
      </w:r>
    </w:p>
    <w:p w14:paraId="66C56113" w14:textId="77777777" w:rsidR="00805D86" w:rsidRDefault="00805D86">
      <w:pPr>
        <w:spacing w:after="200" w:line="276" w:lineRule="auto"/>
        <w:rPr>
          <w:rFonts w:ascii="Franklin Gothic Demi" w:eastAsia="Times New Roman" w:hAnsi="Franklin Gothic Demi" w:cs="Arial"/>
          <w:color w:val="AD495D"/>
          <w:kern w:val="28"/>
          <w:sz w:val="28"/>
          <w:szCs w:val="28"/>
        </w:rPr>
      </w:pPr>
      <w:bookmarkStart w:id="46" w:name="_Toc359585096"/>
      <w:bookmarkStart w:id="47" w:name="_Toc363804120"/>
      <w:r>
        <w:br w:type="page"/>
      </w:r>
    </w:p>
    <w:p w14:paraId="7D70CDA4" w14:textId="47B0DAC4" w:rsidR="00AE1E32" w:rsidRPr="00AE1E32" w:rsidRDefault="00AE1E32" w:rsidP="009A2B98">
      <w:pPr>
        <w:pStyle w:val="Heading1"/>
      </w:pPr>
      <w:r w:rsidRPr="00AE1E32">
        <w:lastRenderedPageBreak/>
        <w:t>Social protection and community driven development</w:t>
      </w:r>
      <w:bookmarkEnd w:id="46"/>
      <w:bookmarkEnd w:id="47"/>
      <w:r w:rsidRPr="00AE1E32">
        <w:t xml:space="preserve"> </w:t>
      </w:r>
    </w:p>
    <w:tbl>
      <w:tblPr>
        <w:tblStyle w:val="APPR12"/>
        <w:tblW w:w="5000" w:type="pct"/>
        <w:tblLayout w:type="fixed"/>
        <w:tblLook w:val="0000" w:firstRow="0" w:lastRow="0" w:firstColumn="0" w:lastColumn="0" w:noHBand="0" w:noVBand="0"/>
      </w:tblPr>
      <w:tblGrid>
        <w:gridCol w:w="6453"/>
        <w:gridCol w:w="1050"/>
        <w:gridCol w:w="1103"/>
      </w:tblGrid>
      <w:tr w:rsidR="009A2B98" w:rsidRPr="00AE1E32" w14:paraId="3D34AB85" w14:textId="77777777" w:rsidTr="009A2B98">
        <w:trPr>
          <w:cantSplit/>
          <w:tblHeader w:val="0"/>
        </w:trPr>
        <w:tc>
          <w:tcPr>
            <w:tcW w:w="6048" w:type="dxa"/>
          </w:tcPr>
          <w:p w14:paraId="6B8E16D2" w14:textId="77777777" w:rsidR="009A2B98" w:rsidRPr="00AE1E32" w:rsidRDefault="009A2B98" w:rsidP="009A2B98">
            <w:pPr>
              <w:pStyle w:val="TableTextColumnHeading"/>
            </w:pPr>
            <w:r w:rsidRPr="00AE1E32">
              <w:rPr>
                <w:noProof/>
                <w:lang w:eastAsia="en-AU"/>
              </w:rPr>
              <w:drawing>
                <wp:anchor distT="0" distB="0" distL="114300" distR="114300" simplePos="0" relativeHeight="251706368" behindDoc="0" locked="0" layoutInCell="1" allowOverlap="1" wp14:anchorId="004C0BC6" wp14:editId="006C678D">
                  <wp:simplePos x="0" y="0"/>
                  <wp:positionH relativeFrom="column">
                    <wp:posOffset>0</wp:posOffset>
                  </wp:positionH>
                  <wp:positionV relativeFrom="paragraph">
                    <wp:posOffset>0</wp:posOffset>
                  </wp:positionV>
                  <wp:extent cx="1857375" cy="228600"/>
                  <wp:effectExtent l="0" t="0" r="9525" b="0"/>
                  <wp:wrapNone/>
                  <wp:docPr id="32" name="Picture 3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32">
              <w:t>Objective</w:t>
            </w:r>
          </w:p>
        </w:tc>
        <w:tc>
          <w:tcPr>
            <w:tcW w:w="964" w:type="dxa"/>
            <w:vAlign w:val="center"/>
          </w:tcPr>
          <w:p w14:paraId="450E5513" w14:textId="0B477194" w:rsidR="009A2B98" w:rsidRPr="00AE1E32" w:rsidRDefault="009A2B98" w:rsidP="009A2B98">
            <w:pPr>
              <w:pStyle w:val="TableTextColumnHeading"/>
            </w:pPr>
            <w:r w:rsidRPr="00AE1E32">
              <w:t xml:space="preserve">Current </w:t>
            </w:r>
            <w:r>
              <w:t>r</w:t>
            </w:r>
            <w:r w:rsidRPr="00AE1E32">
              <w:t>ating</w:t>
            </w:r>
          </w:p>
        </w:tc>
        <w:tc>
          <w:tcPr>
            <w:tcW w:w="1001" w:type="dxa"/>
            <w:vAlign w:val="center"/>
          </w:tcPr>
          <w:p w14:paraId="7B03006F" w14:textId="4EDCFB34" w:rsidR="009A2B98" w:rsidRPr="00AE1E32" w:rsidRDefault="009A2B98" w:rsidP="009A2B98">
            <w:pPr>
              <w:pStyle w:val="TableTextColumnHeading"/>
            </w:pPr>
            <w:r w:rsidRPr="00AE1E32">
              <w:t xml:space="preserve">Previous </w:t>
            </w:r>
            <w:r>
              <w:t>r</w:t>
            </w:r>
            <w:r w:rsidRPr="00AE1E32">
              <w:t>ating</w:t>
            </w:r>
          </w:p>
        </w:tc>
      </w:tr>
      <w:tr w:rsidR="009A2B98" w:rsidRPr="00AE1E32" w14:paraId="6847ECDE" w14:textId="77777777" w:rsidTr="009A2B98">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28A4D746" w14:textId="0E9DDBD3" w:rsidR="009A2B98" w:rsidRPr="00AE1E32" w:rsidRDefault="009A2B98" w:rsidP="009A2B98">
            <w:pPr>
              <w:pStyle w:val="TableTextEntries"/>
            </w:pPr>
            <w:r w:rsidRPr="00AE1E32">
              <w:t xml:space="preserve">Strengthened ability of the </w:t>
            </w:r>
            <w:r>
              <w:t>Indonesian Government</w:t>
            </w:r>
            <w:r w:rsidRPr="00AE1E32">
              <w:t xml:space="preserve"> to make informed and evidence-based policy and program decisions to reach the poor </w:t>
            </w:r>
          </w:p>
          <w:p w14:paraId="56E3569E" w14:textId="3C563471" w:rsidR="009A2B98" w:rsidRPr="00AE1E32" w:rsidRDefault="009A2B98" w:rsidP="009A2B98">
            <w:pPr>
              <w:pStyle w:val="Note"/>
              <w:rPr>
                <w:szCs w:val="16"/>
              </w:rPr>
            </w:pPr>
            <w:r w:rsidRPr="00D67028">
              <w:t>Note</w:t>
            </w:r>
            <w:r w:rsidRPr="00AE1E32">
              <w:t>: this section includes our support to the Social Protection</w:t>
            </w:r>
            <w:r>
              <w:t xml:space="preserve"> program</w:t>
            </w:r>
            <w:r w:rsidRPr="00AE1E32">
              <w:t xml:space="preserve">, </w:t>
            </w:r>
            <w:r>
              <w:t>National Programme for Community Empowerment,</w:t>
            </w:r>
            <w:r w:rsidRPr="00C71D16">
              <w:t xml:space="preserve"> </w:t>
            </w:r>
            <w:r>
              <w:t>a</w:t>
            </w:r>
            <w:r w:rsidRPr="00AE1E32">
              <w:t>nd</w:t>
            </w:r>
            <w:r>
              <w:t xml:space="preserve"> the</w:t>
            </w:r>
            <w:r w:rsidRPr="00AE1E32">
              <w:t xml:space="preserve"> </w:t>
            </w:r>
            <w:r w:rsidRPr="00C71D16">
              <w:t xml:space="preserve">Empowering Indonesia Women For Poverty Reduction Program </w:t>
            </w:r>
            <w:proofErr w:type="spellStart"/>
            <w:r w:rsidRPr="00AE1E32">
              <w:t>program</w:t>
            </w:r>
            <w:proofErr w:type="spellEnd"/>
          </w:p>
        </w:tc>
        <w:tc>
          <w:tcPr>
            <w:tcW w:w="964" w:type="dxa"/>
            <w:shd w:val="clear" w:color="auto" w:fill="92D050"/>
            <w:noWrap/>
            <w:vAlign w:val="center"/>
          </w:tcPr>
          <w:p w14:paraId="6A7EE275" w14:textId="77777777" w:rsidR="009A2B98" w:rsidRPr="009A2B98" w:rsidRDefault="009A2B98" w:rsidP="009A2B98">
            <w:pPr>
              <w:pStyle w:val="TableTextEntries"/>
            </w:pPr>
            <w:r w:rsidRPr="009A2B98">
              <w:t>Green</w:t>
            </w:r>
          </w:p>
        </w:tc>
        <w:tc>
          <w:tcPr>
            <w:tcW w:w="1001" w:type="dxa"/>
            <w:shd w:val="clear" w:color="auto" w:fill="92D050"/>
            <w:noWrap/>
            <w:vAlign w:val="center"/>
          </w:tcPr>
          <w:p w14:paraId="63C3C420" w14:textId="77777777" w:rsidR="009A2B98" w:rsidRPr="009A2B98" w:rsidRDefault="009A2B98" w:rsidP="009A2B98">
            <w:pPr>
              <w:pStyle w:val="TableTextEntries"/>
            </w:pPr>
            <w:r w:rsidRPr="009A2B98">
              <w:t>Green</w:t>
            </w:r>
          </w:p>
        </w:tc>
      </w:tr>
    </w:tbl>
    <w:p w14:paraId="65D147FD" w14:textId="77777777" w:rsidR="00AE1E32" w:rsidRPr="00AE1E32" w:rsidRDefault="00AE1E32" w:rsidP="009A2B98">
      <w:pPr>
        <w:pStyle w:val="Note"/>
      </w:pPr>
      <w:r w:rsidRPr="00AE1E32">
        <w:t xml:space="preserve">Note: </w:t>
      </w:r>
    </w:p>
    <w:p w14:paraId="28C39771" w14:textId="77777777" w:rsidR="00AE1E32" w:rsidRPr="00AE1E32" w:rsidRDefault="00AE1E32" w:rsidP="009A2B98">
      <w:pPr>
        <w:pStyle w:val="Note"/>
      </w:pPr>
      <w:r w:rsidRPr="00AE1E32">
        <w:rPr>
          <w:color w:val="92D050"/>
        </w:rPr>
        <w:sym w:font="Webdings" w:char="F067"/>
      </w:r>
      <w:r w:rsidRPr="00AE1E32">
        <w:t> </w:t>
      </w:r>
      <w:r w:rsidRPr="00AE1E32">
        <w:t xml:space="preserve"> </w:t>
      </w:r>
      <w:proofErr w:type="gramStart"/>
      <w:r w:rsidRPr="00AE1E32">
        <w:t>Green.</w:t>
      </w:r>
      <w:proofErr w:type="gramEnd"/>
      <w:r w:rsidRPr="00AE1E32">
        <w:t xml:space="preserve"> Progress is as expected for this point in time and it is likely that the objective will be achieved. Standard program management practices are sufficient.</w:t>
      </w:r>
    </w:p>
    <w:p w14:paraId="72959E6B" w14:textId="77777777" w:rsidR="00AE1E32" w:rsidRPr="00AE1E32" w:rsidRDefault="00AE1E32" w:rsidP="009A2B98">
      <w:pPr>
        <w:pStyle w:val="Note"/>
      </w:pPr>
      <w:r w:rsidRPr="00AE1E32">
        <w:rPr>
          <w:color w:val="F79646" w:themeColor="accent6"/>
        </w:rPr>
        <w:sym w:font="Webdings" w:char="F067"/>
      </w:r>
      <w:r w:rsidRPr="00AE1E32">
        <w:t> </w:t>
      </w:r>
      <w:r w:rsidRPr="00AE1E32">
        <w:t xml:space="preserve"> Amber. Progress is somewhat less than expected for this point in time and restorative action will be necessary if the objective is to be achieved. Close performance monitoring is recommended.</w:t>
      </w:r>
    </w:p>
    <w:p w14:paraId="70EB5CF0" w14:textId="77777777" w:rsidR="00AE1E32" w:rsidRPr="00AE1E32" w:rsidRDefault="00AE1E32" w:rsidP="009A2B98">
      <w:pPr>
        <w:pStyle w:val="Note"/>
      </w:pPr>
      <w:r w:rsidRPr="00AE1E32">
        <w:rPr>
          <w:color w:val="FF0000"/>
        </w:rPr>
        <w:sym w:font="Webdings" w:char="F067"/>
      </w:r>
      <w:r w:rsidRPr="00AE1E32">
        <w:t> </w:t>
      </w:r>
      <w:r w:rsidRPr="00AE1E32">
        <w:t xml:space="preserve"> </w:t>
      </w:r>
      <w:proofErr w:type="gramStart"/>
      <w:r w:rsidRPr="00AE1E32">
        <w:t>Red.</w:t>
      </w:r>
      <w:proofErr w:type="gramEnd"/>
      <w:r w:rsidRPr="00AE1E32">
        <w:t xml:space="preserve"> Progress is significantly less than expected for this point in time and the objective is not likely to be met given available resources and priorities. Recasting the objective may be required. </w:t>
      </w:r>
    </w:p>
    <w:p w14:paraId="10595CF3" w14:textId="77777777" w:rsidR="00D87E91" w:rsidRPr="009A2B98" w:rsidRDefault="00D87E91" w:rsidP="009A2B98">
      <w:pPr>
        <w:pStyle w:val="BodyText"/>
      </w:pPr>
    </w:p>
    <w:p w14:paraId="4F4F9032" w14:textId="2FD1649B" w:rsidR="00D87E91" w:rsidRPr="009A2B98" w:rsidRDefault="00D87E91" w:rsidP="009A2B98">
      <w:pPr>
        <w:pStyle w:val="BodyText"/>
      </w:pPr>
      <w:r w:rsidRPr="009A2B98">
        <w:rPr>
          <w:rFonts w:eastAsia="SimSun"/>
        </w:rPr>
        <w:t>Indonesia’s economy continues to grow</w:t>
      </w:r>
      <w:r w:rsidR="00E81ED8">
        <w:rPr>
          <w:rFonts w:eastAsia="SimSun"/>
        </w:rPr>
        <w:t xml:space="preserve"> and</w:t>
      </w:r>
      <w:r w:rsidRPr="009A2B98">
        <w:rPr>
          <w:rFonts w:eastAsia="SimSun"/>
        </w:rPr>
        <w:t xml:space="preserve"> the official poverty rate continues to fall, although at a slower rate than in previous years. March 2012’s year-on-year decline of 0.5 percentage points was the smallest since 2003 (with the exception of 2006’s global food price shock-induced increase). Statistics Indonesia estimated the September 2012 national poverty rate at 11.7</w:t>
      </w:r>
      <w:r w:rsidR="008C3862" w:rsidRPr="009A2B98">
        <w:rPr>
          <w:rFonts w:eastAsia="SimSun"/>
        </w:rPr>
        <w:t xml:space="preserve"> per cent, </w:t>
      </w:r>
      <w:r w:rsidRPr="009A2B98">
        <w:rPr>
          <w:rFonts w:eastAsia="SimSun"/>
        </w:rPr>
        <w:t>down from 12.0</w:t>
      </w:r>
      <w:r w:rsidR="008C3862" w:rsidRPr="009A2B98">
        <w:rPr>
          <w:rFonts w:eastAsia="SimSun"/>
        </w:rPr>
        <w:t xml:space="preserve"> per cent </w:t>
      </w:r>
      <w:r w:rsidRPr="009A2B98">
        <w:rPr>
          <w:rFonts w:eastAsia="SimSun"/>
        </w:rPr>
        <w:t>in March. There are still almost 120 million people in Indonesia living under the US</w:t>
      </w:r>
      <w:r w:rsidR="008C3862" w:rsidRPr="009A2B98">
        <w:rPr>
          <w:rFonts w:eastAsia="SimSun"/>
        </w:rPr>
        <w:t>D</w:t>
      </w:r>
      <w:r w:rsidRPr="009A2B98">
        <w:rPr>
          <w:rFonts w:eastAsia="SimSun"/>
        </w:rPr>
        <w:t xml:space="preserve">2 </w:t>
      </w:r>
      <w:r w:rsidR="008C3862" w:rsidRPr="009A2B98">
        <w:rPr>
          <w:rFonts w:eastAsia="SimSun"/>
        </w:rPr>
        <w:t xml:space="preserve">a </w:t>
      </w:r>
      <w:r w:rsidRPr="009A2B98">
        <w:rPr>
          <w:rFonts w:eastAsia="SimSun"/>
        </w:rPr>
        <w:t>day poverty line, with millions more living just above it.</w:t>
      </w:r>
    </w:p>
    <w:p w14:paraId="3A5BB7AA" w14:textId="1A05B139" w:rsidR="00D87E91" w:rsidRPr="00D87E91" w:rsidRDefault="00D87E91" w:rsidP="003E7DF9">
      <w:pPr>
        <w:pStyle w:val="BodyText"/>
      </w:pPr>
      <w:r w:rsidRPr="00D87E91">
        <w:rPr>
          <w:rFonts w:eastAsia="SimSun"/>
        </w:rPr>
        <w:t>In 2012</w:t>
      </w:r>
      <w:r w:rsidR="008C3862">
        <w:rPr>
          <w:rFonts w:eastAsia="SimSun"/>
        </w:rPr>
        <w:t>–</w:t>
      </w:r>
      <w:r w:rsidRPr="00D87E91">
        <w:rPr>
          <w:rFonts w:eastAsia="SimSun"/>
        </w:rPr>
        <w:t xml:space="preserve">13 our </w:t>
      </w:r>
      <w:r w:rsidR="0052207C">
        <w:rPr>
          <w:rFonts w:eastAsia="SimSun"/>
        </w:rPr>
        <w:t xml:space="preserve">support </w:t>
      </w:r>
      <w:r w:rsidR="00052FE3">
        <w:rPr>
          <w:rFonts w:eastAsia="SimSun"/>
        </w:rPr>
        <w:t>in the social protection sector focused</w:t>
      </w:r>
      <w:r w:rsidRPr="00D87E91">
        <w:rPr>
          <w:rFonts w:eastAsia="SimSun"/>
        </w:rPr>
        <w:t xml:space="preserve"> on two major Indonesian </w:t>
      </w:r>
      <w:r w:rsidR="008C3862">
        <w:rPr>
          <w:rFonts w:eastAsia="SimSun"/>
        </w:rPr>
        <w:t>G</w:t>
      </w:r>
      <w:r w:rsidR="008C3862" w:rsidRPr="00D87E91">
        <w:rPr>
          <w:rFonts w:eastAsia="SimSun"/>
        </w:rPr>
        <w:t xml:space="preserve">overnment </w:t>
      </w:r>
      <w:r w:rsidRPr="00D87E91">
        <w:rPr>
          <w:rFonts w:eastAsia="SimSun"/>
        </w:rPr>
        <w:t>initiatives. The first is the overhaul of Indonesia’s social assistance programs, which provide benefits to poor individuals and households. Our primary partner for this work is the Vice President’s National Team for Accelerati</w:t>
      </w:r>
      <w:r w:rsidR="002C79B7">
        <w:rPr>
          <w:rFonts w:eastAsia="SimSun"/>
        </w:rPr>
        <w:t>ng Poverty Reduction</w:t>
      </w:r>
      <w:r w:rsidRPr="00D87E91">
        <w:rPr>
          <w:rFonts w:eastAsia="SimSun"/>
        </w:rPr>
        <w:t>. The second is the National Program for Community Empowerment, which provides grants to poor communities to help villages develop</w:t>
      </w:r>
      <w:r w:rsidR="008C3862">
        <w:rPr>
          <w:rFonts w:eastAsia="SimSun"/>
        </w:rPr>
        <w:t xml:space="preserve"> </w:t>
      </w:r>
      <w:r w:rsidRPr="00D87E91">
        <w:rPr>
          <w:rFonts w:eastAsia="SimSun"/>
        </w:rPr>
        <w:t>small</w:t>
      </w:r>
      <w:r w:rsidR="008C3862">
        <w:rPr>
          <w:rFonts w:eastAsia="SimSun"/>
        </w:rPr>
        <w:t xml:space="preserve"> </w:t>
      </w:r>
      <w:r w:rsidRPr="00D87E91">
        <w:rPr>
          <w:rFonts w:eastAsia="SimSun"/>
        </w:rPr>
        <w:t xml:space="preserve">scale infrastructure, </w:t>
      </w:r>
      <w:r w:rsidR="008C3862">
        <w:rPr>
          <w:rFonts w:eastAsia="SimSun"/>
        </w:rPr>
        <w:t xml:space="preserve">make </w:t>
      </w:r>
      <w:r w:rsidRPr="00D87E91">
        <w:rPr>
          <w:rFonts w:eastAsia="SimSun"/>
        </w:rPr>
        <w:t>improvements to health and education services and access microfinance through savings and loans groups.</w:t>
      </w:r>
      <w:r w:rsidR="00B525E5">
        <w:rPr>
          <w:rFonts w:eastAsia="SimSun"/>
        </w:rPr>
        <w:t xml:space="preserve"> </w:t>
      </w:r>
      <w:r w:rsidRPr="00D87E91">
        <w:rPr>
          <w:rFonts w:eastAsia="SimSun"/>
        </w:rPr>
        <w:t xml:space="preserve">In addition to </w:t>
      </w:r>
      <w:proofErr w:type="spellStart"/>
      <w:r w:rsidRPr="00D87E91">
        <w:rPr>
          <w:rFonts w:eastAsia="SimSun"/>
        </w:rPr>
        <w:t>these</w:t>
      </w:r>
      <w:proofErr w:type="gramStart"/>
      <w:r w:rsidR="000E089D">
        <w:rPr>
          <w:rFonts w:eastAsia="SimSun"/>
        </w:rPr>
        <w:t>,</w:t>
      </w:r>
      <w:r w:rsidRPr="00D87E91">
        <w:rPr>
          <w:rFonts w:eastAsia="SimSun"/>
        </w:rPr>
        <w:t>the</w:t>
      </w:r>
      <w:proofErr w:type="spellEnd"/>
      <w:proofErr w:type="gramEnd"/>
      <w:r w:rsidRPr="00D87E91">
        <w:rPr>
          <w:rFonts w:eastAsia="SimSun"/>
        </w:rPr>
        <w:t xml:space="preserve"> new Empowering Indonesian Women for Poverty Reduction program </w:t>
      </w:r>
      <w:r w:rsidR="00052FE3">
        <w:rPr>
          <w:rFonts w:eastAsia="SimSun"/>
        </w:rPr>
        <w:t xml:space="preserve">commenced </w:t>
      </w:r>
      <w:r w:rsidRPr="00D87E91">
        <w:rPr>
          <w:rFonts w:eastAsia="SimSun"/>
        </w:rPr>
        <w:t xml:space="preserve">in 2012. An independent review of </w:t>
      </w:r>
      <w:r w:rsidR="00297BCB">
        <w:rPr>
          <w:rFonts w:eastAsia="SimSun"/>
        </w:rPr>
        <w:t>Australian</w:t>
      </w:r>
      <w:r w:rsidRPr="00D87E91">
        <w:rPr>
          <w:rFonts w:eastAsia="SimSun"/>
        </w:rPr>
        <w:t xml:space="preserve"> support to </w:t>
      </w:r>
      <w:r w:rsidR="002C79B7" w:rsidRPr="00D87E91">
        <w:rPr>
          <w:rFonts w:eastAsia="SimSun"/>
        </w:rPr>
        <w:t xml:space="preserve">the Vice President’s National Team for Accelerating Poverty Reduction </w:t>
      </w:r>
      <w:r w:rsidRPr="00D87E91">
        <w:rPr>
          <w:rFonts w:eastAsia="SimSun"/>
        </w:rPr>
        <w:t xml:space="preserve">in early 2013 noted that the ‘initiator of policy change’ role played by </w:t>
      </w:r>
      <w:r w:rsidR="002C79B7">
        <w:rPr>
          <w:rFonts w:eastAsia="SimSun"/>
        </w:rPr>
        <w:t xml:space="preserve">this </w:t>
      </w:r>
      <w:r w:rsidR="00052FE3">
        <w:rPr>
          <w:rFonts w:eastAsia="SimSun"/>
        </w:rPr>
        <w:t>team</w:t>
      </w:r>
      <w:r w:rsidRPr="00D87E91">
        <w:rPr>
          <w:rFonts w:eastAsia="SimSun"/>
        </w:rPr>
        <w:t xml:space="preserve"> has been effective </w:t>
      </w:r>
      <w:r w:rsidR="00052FE3">
        <w:rPr>
          <w:rFonts w:eastAsia="SimSun"/>
        </w:rPr>
        <w:t>and advantageous</w:t>
      </w:r>
      <w:proofErr w:type="gramStart"/>
      <w:r w:rsidR="00052FE3">
        <w:rPr>
          <w:rFonts w:eastAsia="SimSun"/>
        </w:rPr>
        <w:t>.</w:t>
      </w:r>
      <w:r w:rsidRPr="00D87E91">
        <w:rPr>
          <w:rFonts w:eastAsia="SimSun"/>
        </w:rPr>
        <w:t>.</w:t>
      </w:r>
      <w:proofErr w:type="gramEnd"/>
      <w:r w:rsidRPr="00D87E91">
        <w:rPr>
          <w:rFonts w:eastAsia="SimSun"/>
        </w:rPr>
        <w:t xml:space="preserve"> </w:t>
      </w:r>
      <w:r w:rsidR="00297BCB">
        <w:rPr>
          <w:rFonts w:eastAsia="SimSun"/>
        </w:rPr>
        <w:t>Australian</w:t>
      </w:r>
      <w:r w:rsidRPr="00D87E91">
        <w:rPr>
          <w:rFonts w:eastAsia="SimSun"/>
        </w:rPr>
        <w:t xml:space="preserve"> support has enabled </w:t>
      </w:r>
      <w:r w:rsidR="002C79B7">
        <w:rPr>
          <w:rFonts w:eastAsia="SimSun"/>
        </w:rPr>
        <w:t xml:space="preserve">the </w:t>
      </w:r>
      <w:r w:rsidR="00DE34A4">
        <w:rPr>
          <w:rFonts w:eastAsia="SimSun"/>
        </w:rPr>
        <w:t xml:space="preserve">poverty reduction </w:t>
      </w:r>
      <w:proofErr w:type="gramStart"/>
      <w:r w:rsidR="00DE34A4">
        <w:rPr>
          <w:rFonts w:eastAsia="SimSun"/>
        </w:rPr>
        <w:t xml:space="preserve">team </w:t>
      </w:r>
      <w:r w:rsidRPr="00D87E91">
        <w:rPr>
          <w:rFonts w:eastAsia="SimSun"/>
        </w:rPr>
        <w:t xml:space="preserve"> to</w:t>
      </w:r>
      <w:proofErr w:type="gramEnd"/>
      <w:r w:rsidRPr="00D87E91">
        <w:rPr>
          <w:rFonts w:eastAsia="SimSun"/>
        </w:rPr>
        <w:t xml:space="preserve"> conduct critical research on how government social protection programs are being implemented, and pilot activities to test how they may be improved. Development of a national unified database of program beneficiaries was one of these reforms. During 2012, all of the major social protection programmes began to use the unified database for targeting program beneficiaries. Indonesia’s three largest social protection programs</w:t>
      </w:r>
      <w:r w:rsidR="008C3862">
        <w:rPr>
          <w:rFonts w:eastAsia="SimSun"/>
        </w:rPr>
        <w:t>––</w:t>
      </w:r>
      <w:r w:rsidRPr="00D87E91">
        <w:rPr>
          <w:rFonts w:eastAsia="SimSun"/>
        </w:rPr>
        <w:t>the conditional cash transfer program, the scholarships for the poor program, and the rice subsidy program (</w:t>
      </w:r>
      <w:proofErr w:type="spellStart"/>
      <w:r w:rsidRPr="00D87E91">
        <w:rPr>
          <w:rFonts w:eastAsia="SimSun"/>
          <w:i/>
        </w:rPr>
        <w:t>Raskin</w:t>
      </w:r>
      <w:proofErr w:type="spellEnd"/>
      <w:r w:rsidR="008C3862" w:rsidRPr="00D87E91">
        <w:rPr>
          <w:rFonts w:eastAsia="SimSun"/>
        </w:rPr>
        <w:t>)</w:t>
      </w:r>
      <w:r w:rsidR="008C3862">
        <w:rPr>
          <w:rFonts w:eastAsia="SimSun"/>
        </w:rPr>
        <w:t>––</w:t>
      </w:r>
      <w:r w:rsidRPr="00D87E91">
        <w:rPr>
          <w:rFonts w:eastAsia="SimSun"/>
        </w:rPr>
        <w:t>are currently using the unified database to target program beneficiaries</w:t>
      </w:r>
      <w:r w:rsidR="00DE34A4">
        <w:rPr>
          <w:rFonts w:eastAsia="SimSun"/>
        </w:rPr>
        <w:t>.</w:t>
      </w:r>
      <w:r w:rsidRPr="00D87E91">
        <w:rPr>
          <w:rFonts w:eastAsia="SimSun"/>
        </w:rPr>
        <w:t xml:space="preserve">  </w:t>
      </w:r>
      <w:r w:rsidR="00DE34A4">
        <w:rPr>
          <w:rFonts w:eastAsia="SimSun"/>
        </w:rPr>
        <w:t>T</w:t>
      </w:r>
      <w:r w:rsidRPr="00D87E91">
        <w:rPr>
          <w:rFonts w:eastAsia="SimSun"/>
        </w:rPr>
        <w:t xml:space="preserve">here is </w:t>
      </w:r>
      <w:r w:rsidR="00DE34A4">
        <w:rPr>
          <w:rFonts w:eastAsia="SimSun"/>
        </w:rPr>
        <w:t xml:space="preserve">also </w:t>
      </w:r>
      <w:r w:rsidRPr="00D87E91">
        <w:rPr>
          <w:rFonts w:eastAsia="SimSun"/>
        </w:rPr>
        <w:t>a growing demand from local governments for data to use in local poverty alleviation programs. This is a breakthrough towards improving the pro-poor targeting of all these programs</w:t>
      </w:r>
    </w:p>
    <w:p w14:paraId="3A1D0F3A" w14:textId="77777777" w:rsidR="00DE34A4" w:rsidRDefault="00D87E91" w:rsidP="003E7DF9">
      <w:pPr>
        <w:pStyle w:val="BodyText"/>
        <w:rPr>
          <w:rFonts w:eastAsia="SimSun"/>
        </w:rPr>
      </w:pPr>
      <w:r w:rsidRPr="00D87E91">
        <w:rPr>
          <w:rFonts w:eastAsia="SimSun"/>
        </w:rPr>
        <w:t xml:space="preserve">Two national-level reform pilots have generated positive results. Under </w:t>
      </w:r>
      <w:proofErr w:type="spellStart"/>
      <w:r w:rsidRPr="00D87E91">
        <w:rPr>
          <w:rFonts w:eastAsia="SimSun"/>
          <w:i/>
        </w:rPr>
        <w:t>Raskin</w:t>
      </w:r>
      <w:proofErr w:type="spellEnd"/>
      <w:r w:rsidRPr="00D87E91">
        <w:rPr>
          <w:rFonts w:eastAsia="SimSun"/>
        </w:rPr>
        <w:t xml:space="preserve">, </w:t>
      </w:r>
      <w:r w:rsidR="002C79B7" w:rsidRPr="00D87E91">
        <w:rPr>
          <w:rFonts w:eastAsia="SimSun"/>
        </w:rPr>
        <w:t>the Vice President’s National Team for Accelerating Poverty Reduction</w:t>
      </w:r>
      <w:r w:rsidR="002C79B7">
        <w:rPr>
          <w:rFonts w:eastAsia="SimSun"/>
        </w:rPr>
        <w:t xml:space="preserve"> initiative</w:t>
      </w:r>
      <w:r w:rsidR="002C79B7" w:rsidRPr="00D87E91">
        <w:rPr>
          <w:rFonts w:eastAsia="SimSun"/>
        </w:rPr>
        <w:t xml:space="preserve"> </w:t>
      </w:r>
      <w:r w:rsidRPr="00D87E91">
        <w:rPr>
          <w:rFonts w:eastAsia="SimSun"/>
        </w:rPr>
        <w:t>improved awareness</w:t>
      </w:r>
      <w:r w:rsidR="008C3862">
        <w:rPr>
          <w:rFonts w:eastAsia="SimSun"/>
        </w:rPr>
        <w:t xml:space="preserve"> </w:t>
      </w:r>
      <w:r w:rsidRPr="00D87E91">
        <w:rPr>
          <w:rFonts w:eastAsia="SimSun"/>
        </w:rPr>
        <w:t xml:space="preserve">raising </w:t>
      </w:r>
      <w:r w:rsidR="008C3862">
        <w:rPr>
          <w:rFonts w:eastAsia="SimSun"/>
        </w:rPr>
        <w:t>by distributing</w:t>
      </w:r>
      <w:r w:rsidRPr="00D87E91">
        <w:rPr>
          <w:rFonts w:eastAsia="SimSun"/>
        </w:rPr>
        <w:t xml:space="preserve"> information materials and a </w:t>
      </w:r>
      <w:proofErr w:type="spellStart"/>
      <w:r w:rsidRPr="00D87E91">
        <w:rPr>
          <w:rFonts w:eastAsia="SimSun"/>
          <w:i/>
        </w:rPr>
        <w:t>Raskin</w:t>
      </w:r>
      <w:proofErr w:type="spellEnd"/>
      <w:r w:rsidRPr="00D87E91">
        <w:rPr>
          <w:rFonts w:eastAsia="SimSun"/>
        </w:rPr>
        <w:t xml:space="preserve"> </w:t>
      </w:r>
      <w:r w:rsidR="008C3862">
        <w:rPr>
          <w:rFonts w:eastAsia="SimSun"/>
        </w:rPr>
        <w:t>‘</w:t>
      </w:r>
      <w:r w:rsidRPr="00D87E91">
        <w:rPr>
          <w:rFonts w:eastAsia="SimSun"/>
        </w:rPr>
        <w:t>card</w:t>
      </w:r>
      <w:r w:rsidR="008C3862">
        <w:rPr>
          <w:rFonts w:eastAsia="SimSun"/>
        </w:rPr>
        <w:t>’</w:t>
      </w:r>
      <w:r w:rsidR="008C3862" w:rsidRPr="00D87E91">
        <w:rPr>
          <w:rFonts w:eastAsia="SimSun"/>
        </w:rPr>
        <w:t xml:space="preserve"> </w:t>
      </w:r>
      <w:r w:rsidR="008C3862">
        <w:rPr>
          <w:rFonts w:eastAsia="SimSun"/>
        </w:rPr>
        <w:t>to recipients</w:t>
      </w:r>
      <w:r w:rsidR="008C3862" w:rsidRPr="00D87E91">
        <w:rPr>
          <w:rFonts w:eastAsia="SimSun"/>
        </w:rPr>
        <w:t xml:space="preserve"> </w:t>
      </w:r>
      <w:r w:rsidRPr="00D87E91">
        <w:rPr>
          <w:rFonts w:eastAsia="SimSun"/>
        </w:rPr>
        <w:t>on the unified database</w:t>
      </w:r>
      <w:r w:rsidR="008C3862">
        <w:rPr>
          <w:rFonts w:eastAsia="SimSun"/>
        </w:rPr>
        <w:t>. A total of</w:t>
      </w:r>
      <w:r w:rsidRPr="00D87E91">
        <w:rPr>
          <w:rFonts w:eastAsia="SimSun"/>
        </w:rPr>
        <w:t xml:space="preserve"> 1.3 million poor households</w:t>
      </w:r>
      <w:r w:rsidR="008C3862">
        <w:rPr>
          <w:rFonts w:eastAsia="SimSun"/>
        </w:rPr>
        <w:t xml:space="preserve"> were reached, </w:t>
      </w:r>
      <w:r w:rsidRPr="00D87E91">
        <w:rPr>
          <w:rFonts w:eastAsia="SimSun"/>
        </w:rPr>
        <w:t>result</w:t>
      </w:r>
      <w:r w:rsidR="008C3862">
        <w:rPr>
          <w:rFonts w:eastAsia="SimSun"/>
        </w:rPr>
        <w:t xml:space="preserve">ing </w:t>
      </w:r>
      <w:r w:rsidRPr="00D87E91">
        <w:rPr>
          <w:rFonts w:eastAsia="SimSun"/>
        </w:rPr>
        <w:t xml:space="preserve">in more rice </w:t>
      </w:r>
      <w:r w:rsidR="008C3862">
        <w:rPr>
          <w:rFonts w:eastAsia="SimSun"/>
        </w:rPr>
        <w:t xml:space="preserve">being </w:t>
      </w:r>
      <w:r w:rsidRPr="00D87E91">
        <w:rPr>
          <w:rFonts w:eastAsia="SimSun"/>
        </w:rPr>
        <w:t>purchased per household at lower prices</w:t>
      </w:r>
      <w:r w:rsidR="008C3862">
        <w:rPr>
          <w:rFonts w:eastAsia="SimSun"/>
        </w:rPr>
        <w:t>. O</w:t>
      </w:r>
      <w:r w:rsidRPr="00D87E91">
        <w:rPr>
          <w:rFonts w:eastAsia="SimSun"/>
        </w:rPr>
        <w:t>n average</w:t>
      </w:r>
      <w:r w:rsidR="008C3862">
        <w:rPr>
          <w:rFonts w:eastAsia="SimSun"/>
        </w:rPr>
        <w:t>,</w:t>
      </w:r>
      <w:r w:rsidRPr="00D87E91">
        <w:rPr>
          <w:rFonts w:eastAsia="SimSun"/>
        </w:rPr>
        <w:t xml:space="preserve"> households that received information and cards purchased 36</w:t>
      </w:r>
      <w:r w:rsidR="008C3862">
        <w:rPr>
          <w:rFonts w:eastAsia="SimSun"/>
        </w:rPr>
        <w:t xml:space="preserve"> per cent</w:t>
      </w:r>
      <w:r w:rsidR="008C3862" w:rsidRPr="00D87E91">
        <w:rPr>
          <w:rFonts w:eastAsia="SimSun"/>
        </w:rPr>
        <w:t xml:space="preserve"> </w:t>
      </w:r>
      <w:r w:rsidRPr="00D87E91">
        <w:rPr>
          <w:rFonts w:eastAsia="SimSun"/>
        </w:rPr>
        <w:t>more rice than households that did not receive cards or additional information, and for 29</w:t>
      </w:r>
      <w:r w:rsidR="008C3862">
        <w:rPr>
          <w:rFonts w:eastAsia="SimSun"/>
        </w:rPr>
        <w:t xml:space="preserve"> per cent</w:t>
      </w:r>
      <w:r w:rsidR="008C3862" w:rsidRPr="00D87E91">
        <w:rPr>
          <w:rFonts w:eastAsia="SimSun"/>
        </w:rPr>
        <w:t xml:space="preserve"> </w:t>
      </w:r>
      <w:r w:rsidRPr="00D87E91">
        <w:rPr>
          <w:rFonts w:eastAsia="SimSun"/>
        </w:rPr>
        <w:t xml:space="preserve">less cost. </w:t>
      </w:r>
    </w:p>
    <w:p w14:paraId="6BA1C501" w14:textId="0916910A" w:rsidR="00D87E91" w:rsidRPr="00D87E91" w:rsidRDefault="00D87E91" w:rsidP="003E7DF9">
      <w:pPr>
        <w:pStyle w:val="BodyText"/>
      </w:pPr>
      <w:r w:rsidRPr="00D87E91">
        <w:rPr>
          <w:rFonts w:eastAsia="SimSun"/>
        </w:rPr>
        <w:lastRenderedPageBreak/>
        <w:t xml:space="preserve">In the first phase of reforms to the scholarships for the poor program, cards based on the unified database were distributed to poor </w:t>
      </w:r>
      <w:r w:rsidR="002C79B7">
        <w:rPr>
          <w:rFonts w:eastAsia="SimSun"/>
        </w:rPr>
        <w:t>G</w:t>
      </w:r>
      <w:r w:rsidRPr="00D87E91">
        <w:rPr>
          <w:rFonts w:eastAsia="SimSun"/>
        </w:rPr>
        <w:t xml:space="preserve">rade 6 students making the transition to </w:t>
      </w:r>
      <w:r w:rsidR="002C79B7">
        <w:rPr>
          <w:rFonts w:eastAsia="SimSun"/>
        </w:rPr>
        <w:t>G</w:t>
      </w:r>
      <w:r w:rsidRPr="00D87E91">
        <w:rPr>
          <w:rFonts w:eastAsia="SimSun"/>
        </w:rPr>
        <w:t>rade 7 (normally a time of high drop-out rates). Before the pilot only 12</w:t>
      </w:r>
      <w:r w:rsidR="008C3862">
        <w:rPr>
          <w:rFonts w:eastAsia="SimSun"/>
        </w:rPr>
        <w:t xml:space="preserve"> to </w:t>
      </w:r>
      <w:r w:rsidRPr="00D87E91">
        <w:rPr>
          <w:rFonts w:eastAsia="SimSun"/>
        </w:rPr>
        <w:t>13</w:t>
      </w:r>
      <w:r w:rsidR="008C3862">
        <w:rPr>
          <w:rFonts w:eastAsia="SimSun"/>
        </w:rPr>
        <w:t xml:space="preserve"> per cent</w:t>
      </w:r>
      <w:r w:rsidR="008C3862" w:rsidRPr="00D87E91">
        <w:rPr>
          <w:rFonts w:eastAsia="SimSun"/>
        </w:rPr>
        <w:t xml:space="preserve"> </w:t>
      </w:r>
      <w:r w:rsidRPr="00D87E91">
        <w:rPr>
          <w:rFonts w:eastAsia="SimSun"/>
        </w:rPr>
        <w:t xml:space="preserve">of the poorest </w:t>
      </w:r>
      <w:proofErr w:type="spellStart"/>
      <w:r w:rsidRPr="00D87E91">
        <w:rPr>
          <w:rFonts w:eastAsia="SimSun"/>
        </w:rPr>
        <w:t>decile</w:t>
      </w:r>
      <w:proofErr w:type="spellEnd"/>
      <w:r w:rsidRPr="00D87E91">
        <w:rPr>
          <w:rFonts w:eastAsia="SimSun"/>
        </w:rPr>
        <w:t xml:space="preserve"> of students received support, however, through the new targeting system, this increased to 22</w:t>
      </w:r>
      <w:r w:rsidR="008C3862">
        <w:rPr>
          <w:rFonts w:eastAsia="SimSun"/>
        </w:rPr>
        <w:t xml:space="preserve"> per cent</w:t>
      </w:r>
      <w:r w:rsidR="008C3862" w:rsidRPr="00D87E91">
        <w:rPr>
          <w:rFonts w:eastAsia="SimSun"/>
        </w:rPr>
        <w:t xml:space="preserve">. </w:t>
      </w:r>
      <w:r w:rsidR="00DE34A4">
        <w:rPr>
          <w:rFonts w:eastAsia="SimSun"/>
        </w:rPr>
        <w:t>T</w:t>
      </w:r>
      <w:r w:rsidRPr="00D87E91">
        <w:rPr>
          <w:rFonts w:eastAsia="SimSun"/>
        </w:rPr>
        <w:t>he causes of low take-up rates</w:t>
      </w:r>
      <w:r w:rsidRPr="00D87E91">
        <w:rPr>
          <w:rFonts w:eastAsia="SimSun"/>
          <w:vertAlign w:val="superscript"/>
        </w:rPr>
        <w:footnoteReference w:id="11"/>
      </w:r>
      <w:r w:rsidRPr="00D87E91">
        <w:rPr>
          <w:rFonts w:eastAsia="SimSun"/>
        </w:rPr>
        <w:t xml:space="preserve"> are being </w:t>
      </w:r>
      <w:r w:rsidR="003774CE">
        <w:rPr>
          <w:rFonts w:eastAsia="SimSun"/>
        </w:rPr>
        <w:t>further investigated</w:t>
      </w:r>
      <w:r w:rsidRPr="00D87E91">
        <w:rPr>
          <w:rFonts w:eastAsia="SimSun"/>
        </w:rPr>
        <w:t xml:space="preserve"> in the second phase of the pilot</w:t>
      </w:r>
      <w:r w:rsidR="008C3862">
        <w:rPr>
          <w:rFonts w:eastAsia="SimSun"/>
        </w:rPr>
        <w:t>,</w:t>
      </w:r>
      <w:r w:rsidRPr="00D87E91">
        <w:rPr>
          <w:rFonts w:eastAsia="SimSun"/>
        </w:rPr>
        <w:t xml:space="preserve"> and numbers are expected to increase</w:t>
      </w:r>
      <w:r w:rsidR="003774CE">
        <w:rPr>
          <w:rFonts w:eastAsia="SimSun"/>
        </w:rPr>
        <w:t xml:space="preserve"> as a result</w:t>
      </w:r>
      <w:r w:rsidRPr="00D87E91">
        <w:rPr>
          <w:rFonts w:eastAsia="SimSun"/>
        </w:rPr>
        <w:t>.</w:t>
      </w:r>
    </w:p>
    <w:p w14:paraId="380FA5CF" w14:textId="0400D5D3" w:rsidR="00D87E91" w:rsidRPr="00D87E91" w:rsidRDefault="00297BCB" w:rsidP="003E7DF9">
      <w:pPr>
        <w:pStyle w:val="BodyText"/>
      </w:pPr>
      <w:r>
        <w:rPr>
          <w:rFonts w:eastAsia="SimSun"/>
        </w:rPr>
        <w:t>Australia</w:t>
      </w:r>
      <w:r w:rsidR="00D87E91" w:rsidRPr="00D87E91">
        <w:rPr>
          <w:rFonts w:eastAsia="SimSun"/>
        </w:rPr>
        <w:t xml:space="preserve"> provided separate but linked support to the World Bank Partnership for Knowledge-based Poverty Reduction. This </w:t>
      </w:r>
      <w:r w:rsidR="0052207C">
        <w:rPr>
          <w:rFonts w:eastAsia="SimSun"/>
        </w:rPr>
        <w:t xml:space="preserve">partnership </w:t>
      </w:r>
      <w:r w:rsidR="00D87E91" w:rsidRPr="00D87E91">
        <w:rPr>
          <w:rFonts w:eastAsia="SimSun"/>
        </w:rPr>
        <w:t xml:space="preserve">delivered several flagship reports that supported the reform of the </w:t>
      </w:r>
      <w:proofErr w:type="gramStart"/>
      <w:r w:rsidR="00D87E91" w:rsidRPr="00D87E91">
        <w:rPr>
          <w:rFonts w:eastAsia="SimSun"/>
        </w:rPr>
        <w:t>abovementioned</w:t>
      </w:r>
      <w:r w:rsidR="003774CE">
        <w:rPr>
          <w:rFonts w:eastAsia="SimSun"/>
        </w:rPr>
        <w:t xml:space="preserve"> </w:t>
      </w:r>
      <w:r w:rsidR="00D87E91" w:rsidRPr="00D87E91">
        <w:rPr>
          <w:rFonts w:eastAsia="SimSun"/>
        </w:rPr>
        <w:t xml:space="preserve"> household</w:t>
      </w:r>
      <w:proofErr w:type="gramEnd"/>
      <w:r w:rsidR="00D87E91" w:rsidRPr="00D87E91">
        <w:rPr>
          <w:rFonts w:eastAsia="SimSun"/>
        </w:rPr>
        <w:t>-based social assistance programs in Indonesia. Most importantly, a comprehensive public expenditure and program review of the eight largest social assistance programs has stimulated interest and engagement from numerous Indonesian Government implementing agencies</w:t>
      </w:r>
      <w:r w:rsidR="008C3862">
        <w:rPr>
          <w:rFonts w:eastAsia="SimSun"/>
        </w:rPr>
        <w:t>,</w:t>
      </w:r>
      <w:r w:rsidR="00D87E91" w:rsidRPr="00D87E91">
        <w:rPr>
          <w:rFonts w:eastAsia="SimSun"/>
        </w:rPr>
        <w:t xml:space="preserve"> and provided an empirical foundation for social policy planning. </w:t>
      </w:r>
      <w:r w:rsidR="002C79B7">
        <w:rPr>
          <w:rFonts w:eastAsia="SimSun"/>
        </w:rPr>
        <w:t>T</w:t>
      </w:r>
      <w:r w:rsidR="002C79B7" w:rsidRPr="00D87E91">
        <w:rPr>
          <w:rFonts w:eastAsia="SimSun"/>
        </w:rPr>
        <w:t xml:space="preserve">he Vice President’s National Team for Accelerating Poverty Reduction has used </w:t>
      </w:r>
      <w:r w:rsidR="002C79B7">
        <w:rPr>
          <w:rFonts w:eastAsia="SimSun"/>
        </w:rPr>
        <w:t>this</w:t>
      </w:r>
      <w:r w:rsidR="002C79B7" w:rsidRPr="00D87E91">
        <w:rPr>
          <w:rFonts w:eastAsia="SimSun"/>
        </w:rPr>
        <w:t xml:space="preserve"> </w:t>
      </w:r>
      <w:r w:rsidR="00D87E91" w:rsidRPr="00D87E91">
        <w:rPr>
          <w:rFonts w:eastAsia="SimSun"/>
        </w:rPr>
        <w:t xml:space="preserve">to begin major reforms to these programs. </w:t>
      </w:r>
    </w:p>
    <w:p w14:paraId="4B58C626" w14:textId="2F17B00F" w:rsidR="00D87E91" w:rsidRPr="00D87E91" w:rsidRDefault="002E0813" w:rsidP="003E7DF9">
      <w:pPr>
        <w:pStyle w:val="BodyText"/>
      </w:pPr>
      <w:r>
        <w:t xml:space="preserve">The </w:t>
      </w:r>
      <w:r w:rsidR="00150EE9">
        <w:t>National Programme for Community Empowerment</w:t>
      </w:r>
      <w:r w:rsidR="002C79B7">
        <w:t xml:space="preserve"> </w:t>
      </w:r>
      <w:r w:rsidR="00D87E91" w:rsidRPr="00D87E91">
        <w:t xml:space="preserve">is the centrepiece of </w:t>
      </w:r>
      <w:r w:rsidR="008C3862">
        <w:t>the Indonesian Government’s</w:t>
      </w:r>
      <w:r w:rsidR="008C3862" w:rsidRPr="00D87E91">
        <w:t xml:space="preserve"> </w:t>
      </w:r>
      <w:r w:rsidR="00D87E91" w:rsidRPr="00D87E91">
        <w:t>poverty reduction strategy and has nation</w:t>
      </w:r>
      <w:r w:rsidR="008C3862">
        <w:t xml:space="preserve">al </w:t>
      </w:r>
      <w:r w:rsidR="00D87E91" w:rsidRPr="00D87E91">
        <w:t xml:space="preserve">coverage. Adopting </w:t>
      </w:r>
      <w:r w:rsidR="008C3862">
        <w:t>a</w:t>
      </w:r>
      <w:r w:rsidR="008C3862" w:rsidRPr="00D87E91">
        <w:t xml:space="preserve"> </w:t>
      </w:r>
      <w:r w:rsidR="00D87E91" w:rsidRPr="00D87E91">
        <w:t xml:space="preserve">community-driven development approach, it improves the welfare of communities through community level cash transfers for small scale infrastructure, and fosters increased participation in decision-making at local level decision making forums. </w:t>
      </w:r>
      <w:r w:rsidR="00297BCB">
        <w:t>Australian</w:t>
      </w:r>
      <w:r w:rsidR="00D87E91" w:rsidRPr="00D87E91">
        <w:t xml:space="preserve"> support to </w:t>
      </w:r>
      <w:r w:rsidR="008C3862">
        <w:t>the program</w:t>
      </w:r>
      <w:r w:rsidR="008C3862" w:rsidRPr="00D87E91">
        <w:t xml:space="preserve"> </w:t>
      </w:r>
      <w:r w:rsidR="00D87E91" w:rsidRPr="00D87E91">
        <w:t xml:space="preserve">has been focused on building the </w:t>
      </w:r>
      <w:r w:rsidR="000E5DB9">
        <w:t>Indonesian Government’s</w:t>
      </w:r>
      <w:r w:rsidR="000E5DB9" w:rsidRPr="00D87E91">
        <w:t xml:space="preserve"> </w:t>
      </w:r>
      <w:r w:rsidR="00D87E91" w:rsidRPr="00D87E91">
        <w:t>capacity to deliver the program, ensuring decisions are informed by evidence gained through pilots and evaluations</w:t>
      </w:r>
      <w:r w:rsidR="000E5DB9">
        <w:t>,</w:t>
      </w:r>
      <w:r w:rsidR="00D87E91" w:rsidRPr="00D87E91">
        <w:t xml:space="preserve"> and strengthened through improved management practices including accreditation of facilitators.</w:t>
      </w:r>
      <w:r w:rsidR="00B525E5">
        <w:t xml:space="preserve"> </w:t>
      </w:r>
      <w:r w:rsidR="00D87E91" w:rsidRPr="00D87E91">
        <w:t xml:space="preserve">Findings from </w:t>
      </w:r>
      <w:r w:rsidR="000E5DB9">
        <w:t>the program’s</w:t>
      </w:r>
      <w:r w:rsidR="000E5DB9" w:rsidRPr="00D87E91">
        <w:t xml:space="preserve"> </w:t>
      </w:r>
      <w:r w:rsidR="00D87E91" w:rsidRPr="00D87E91">
        <w:t xml:space="preserve">Rural Impact Evaluation confirmed that </w:t>
      </w:r>
      <w:r w:rsidR="000E5DB9">
        <w:t>its</w:t>
      </w:r>
      <w:r w:rsidR="00D87E91" w:rsidRPr="00D87E91">
        <w:t xml:space="preserve"> impact on poverty is significant</w:t>
      </w:r>
      <w:r w:rsidR="000E5DB9">
        <w:t>,</w:t>
      </w:r>
      <w:r w:rsidR="00D87E91" w:rsidRPr="00D87E91">
        <w:t xml:space="preserve"> with an increase in the growth rate of real per capita consumption in </w:t>
      </w:r>
      <w:r w:rsidR="000E5DB9">
        <w:t>program</w:t>
      </w:r>
      <w:r w:rsidR="00D87E91" w:rsidRPr="00D87E91">
        <w:t xml:space="preserve">-supported communities </w:t>
      </w:r>
      <w:r w:rsidR="000E5DB9">
        <w:t>of</w:t>
      </w:r>
      <w:r w:rsidR="000E5DB9" w:rsidRPr="00D87E91">
        <w:t xml:space="preserve"> </w:t>
      </w:r>
      <w:r w:rsidR="00D87E91" w:rsidRPr="00D87E91">
        <w:t>11.8</w:t>
      </w:r>
      <w:r w:rsidR="000E5DB9">
        <w:t xml:space="preserve"> per cent</w:t>
      </w:r>
      <w:r w:rsidR="000E5DB9" w:rsidRPr="00D87E91">
        <w:t xml:space="preserve"> </w:t>
      </w:r>
      <w:r w:rsidR="00D87E91" w:rsidRPr="00D87E91">
        <w:t xml:space="preserve">more than those that do not receive the program. </w:t>
      </w:r>
    </w:p>
    <w:p w14:paraId="27B67261" w14:textId="189D5597" w:rsidR="00D87E91" w:rsidRPr="00D87E91" w:rsidRDefault="00D87E91" w:rsidP="003E7DF9">
      <w:pPr>
        <w:pStyle w:val="BodyText"/>
      </w:pPr>
      <w:r w:rsidRPr="00D87E91">
        <w:t xml:space="preserve">Two of the large pilots that </w:t>
      </w:r>
      <w:r w:rsidR="00297BCB">
        <w:t>DFAT</w:t>
      </w:r>
      <w:r w:rsidRPr="00D87E91">
        <w:t xml:space="preserve"> supports under </w:t>
      </w:r>
      <w:r w:rsidR="000E5DB9">
        <w:t>the Poverty Reduction Sub Program to Improve Health and Education</w:t>
      </w:r>
      <w:r w:rsidR="000E5DB9" w:rsidRPr="00D87E91">
        <w:t xml:space="preserve"> </w:t>
      </w:r>
      <w:r w:rsidRPr="00D87E91">
        <w:t xml:space="preserve">are </w:t>
      </w:r>
      <w:proofErr w:type="spellStart"/>
      <w:r w:rsidRPr="00D87E91">
        <w:rPr>
          <w:i/>
        </w:rPr>
        <w:t>Generasi</w:t>
      </w:r>
      <w:proofErr w:type="spellEnd"/>
      <w:r w:rsidR="000E5DB9">
        <w:t xml:space="preserve">, </w:t>
      </w:r>
      <w:r w:rsidRPr="00D87E91">
        <w:t>which aims to improve health and education outcomes</w:t>
      </w:r>
      <w:r w:rsidR="000E5DB9">
        <w:t xml:space="preserve"> in line </w:t>
      </w:r>
      <w:r w:rsidRPr="00D87E91">
        <w:t>with the M</w:t>
      </w:r>
      <w:r w:rsidR="000E5DB9">
        <w:t>DGs</w:t>
      </w:r>
      <w:r w:rsidRPr="00D87E91">
        <w:t>, and the Revolving Loan Fund.</w:t>
      </w:r>
      <w:r w:rsidR="00B525E5">
        <w:t xml:space="preserve"> </w:t>
      </w:r>
      <w:r w:rsidR="009A7C24">
        <w:t>Working</w:t>
      </w:r>
      <w:r w:rsidR="000E5DB9">
        <w:t xml:space="preserve"> </w:t>
      </w:r>
      <w:r w:rsidRPr="00D87E91">
        <w:t xml:space="preserve">with the </w:t>
      </w:r>
      <w:r w:rsidR="000E5DB9">
        <w:t>Indonesian Government</w:t>
      </w:r>
      <w:r w:rsidRPr="00D87E91">
        <w:t xml:space="preserve">, </w:t>
      </w:r>
      <w:r w:rsidR="00297BCB">
        <w:t>the department</w:t>
      </w:r>
      <w:r w:rsidRPr="00D87E91">
        <w:t xml:space="preserve"> provides around 40</w:t>
      </w:r>
      <w:r w:rsidR="000E5DB9">
        <w:t xml:space="preserve"> per cent</w:t>
      </w:r>
      <w:r w:rsidR="000E5DB9" w:rsidRPr="00D87E91">
        <w:t xml:space="preserve"> </w:t>
      </w:r>
      <w:r w:rsidRPr="00D87E91">
        <w:t xml:space="preserve">of the total </w:t>
      </w:r>
      <w:proofErr w:type="spellStart"/>
      <w:r w:rsidRPr="00D87E91">
        <w:rPr>
          <w:i/>
        </w:rPr>
        <w:t>Generasi</w:t>
      </w:r>
      <w:proofErr w:type="spellEnd"/>
      <w:r w:rsidRPr="00D87E91">
        <w:t xml:space="preserve"> budget, which allows the program to take place in 369 sub-districts or 3710 villages across </w:t>
      </w:r>
      <w:r w:rsidR="000E5DB9">
        <w:t>eight</w:t>
      </w:r>
      <w:r w:rsidR="000E5DB9" w:rsidRPr="00D87E91">
        <w:t xml:space="preserve"> </w:t>
      </w:r>
      <w:r w:rsidRPr="00D87E91">
        <w:t xml:space="preserve">provinces with around </w:t>
      </w:r>
      <w:r w:rsidR="000E5DB9">
        <w:t>four</w:t>
      </w:r>
      <w:r w:rsidR="000E5DB9" w:rsidRPr="00D87E91">
        <w:t xml:space="preserve"> </w:t>
      </w:r>
      <w:r w:rsidRPr="00D87E91">
        <w:t>million beneficiaries.</w:t>
      </w:r>
      <w:r w:rsidR="00B525E5">
        <w:t xml:space="preserve"> </w:t>
      </w:r>
      <w:r w:rsidRPr="00D87E91">
        <w:t xml:space="preserve">No large scale evaluations of </w:t>
      </w:r>
      <w:proofErr w:type="spellStart"/>
      <w:r w:rsidRPr="00D87E91">
        <w:rPr>
          <w:i/>
        </w:rPr>
        <w:t>Generasi</w:t>
      </w:r>
      <w:proofErr w:type="spellEnd"/>
      <w:r w:rsidRPr="00D87E91">
        <w:t xml:space="preserve"> were completed in this </w:t>
      </w:r>
      <w:r w:rsidR="000E5DB9">
        <w:t xml:space="preserve">reporting </w:t>
      </w:r>
      <w:r w:rsidRPr="00D87E91">
        <w:t xml:space="preserve">period (the next review is scheduled for </w:t>
      </w:r>
      <w:r w:rsidR="00AA1FBB" w:rsidRPr="00D87E91">
        <w:t>201</w:t>
      </w:r>
      <w:r w:rsidR="00AA1FBB">
        <w:t>4</w:t>
      </w:r>
      <w:r w:rsidRPr="00D87E91">
        <w:t xml:space="preserve">) but an evaluation completed in 2011 showed that the </w:t>
      </w:r>
      <w:r w:rsidR="000E5DB9">
        <w:t>p</w:t>
      </w:r>
      <w:r w:rsidR="000E5DB9" w:rsidRPr="00D87E91">
        <w:t xml:space="preserve">rogram </w:t>
      </w:r>
      <w:r w:rsidRPr="00D87E91">
        <w:t xml:space="preserve">was successful in increasing </w:t>
      </w:r>
      <w:r w:rsidR="000E5DB9" w:rsidRPr="00D87E91">
        <w:t>immuni</w:t>
      </w:r>
      <w:r w:rsidR="000E5DB9">
        <w:t>s</w:t>
      </w:r>
      <w:r w:rsidR="000E5DB9" w:rsidRPr="00D87E91">
        <w:t xml:space="preserve">ation </w:t>
      </w:r>
      <w:r w:rsidRPr="00D87E91">
        <w:t>coverage</w:t>
      </w:r>
      <w:r w:rsidR="000E5DB9">
        <w:t xml:space="preserve"> and</w:t>
      </w:r>
      <w:r w:rsidR="000E5DB9" w:rsidRPr="00D87E91">
        <w:t xml:space="preserve"> </w:t>
      </w:r>
      <w:r w:rsidRPr="00D87E91">
        <w:t>prenatal care visits</w:t>
      </w:r>
      <w:r w:rsidR="000E5DB9">
        <w:t>,</w:t>
      </w:r>
      <w:r w:rsidRPr="00D87E91">
        <w:t xml:space="preserve"> and </w:t>
      </w:r>
      <w:r w:rsidR="000E5DB9">
        <w:t xml:space="preserve">that it </w:t>
      </w:r>
      <w:r w:rsidRPr="00D87E91">
        <w:t xml:space="preserve">assisted deliveries by between 10 and 11 per cent </w:t>
      </w:r>
      <w:r w:rsidR="000E5DB9">
        <w:t>from</w:t>
      </w:r>
      <w:r w:rsidRPr="00D87E91">
        <w:t xml:space="preserve"> 2007</w:t>
      </w:r>
      <w:r w:rsidR="000E5DB9">
        <w:t>–</w:t>
      </w:r>
      <w:r w:rsidRPr="00D87E91">
        <w:t>2010</w:t>
      </w:r>
      <w:r w:rsidR="000E5DB9">
        <w:t>.</w:t>
      </w:r>
      <w:r w:rsidRPr="00D87E91">
        <w:t xml:space="preserve"> </w:t>
      </w:r>
      <w:r w:rsidR="000E5DB9">
        <w:t>A</w:t>
      </w:r>
      <w:r w:rsidRPr="00D87E91">
        <w:t>necdotal evidence from communities and facilitator reports suggests we will find similar positive results in the next review.</w:t>
      </w:r>
      <w:r w:rsidR="00B525E5">
        <w:t xml:space="preserve"> </w:t>
      </w:r>
      <w:r w:rsidR="00E56CAC">
        <w:t>Up to November</w:t>
      </w:r>
      <w:r w:rsidR="00E56CAC" w:rsidRPr="00D87E91">
        <w:t xml:space="preserve"> </w:t>
      </w:r>
      <w:r w:rsidRPr="00D87E91">
        <w:t>201</w:t>
      </w:r>
      <w:r w:rsidR="00E56CAC">
        <w:t>2</w:t>
      </w:r>
      <w:r w:rsidRPr="00D87E91">
        <w:t xml:space="preserve">, </w:t>
      </w:r>
      <w:r w:rsidR="00297BCB">
        <w:t>Australian</w:t>
      </w:r>
      <w:r w:rsidRPr="00D87E91">
        <w:t xml:space="preserve"> support to </w:t>
      </w:r>
      <w:proofErr w:type="spellStart"/>
      <w:r w:rsidRPr="00D87E91">
        <w:rPr>
          <w:i/>
        </w:rPr>
        <w:t>Generasi</w:t>
      </w:r>
      <w:proofErr w:type="spellEnd"/>
      <w:r w:rsidRPr="00D87E91">
        <w:t xml:space="preserve"> benefited </w:t>
      </w:r>
      <w:r w:rsidR="00E56CAC">
        <w:t>16</w:t>
      </w:r>
      <w:r w:rsidR="000E5DB9">
        <w:t xml:space="preserve"> </w:t>
      </w:r>
      <w:r w:rsidR="00E56CAC">
        <w:t>609</w:t>
      </w:r>
      <w:r w:rsidRPr="00D87E91">
        <w:t xml:space="preserve"> children who received </w:t>
      </w:r>
      <w:r w:rsidR="000E5DB9" w:rsidRPr="00D87E91">
        <w:t>immuni</w:t>
      </w:r>
      <w:r w:rsidR="000E5DB9">
        <w:t>s</w:t>
      </w:r>
      <w:r w:rsidR="000E5DB9" w:rsidRPr="00D87E91">
        <w:t xml:space="preserve">ation </w:t>
      </w:r>
      <w:r w:rsidRPr="00D87E91">
        <w:t xml:space="preserve">services and helped </w:t>
      </w:r>
      <w:r w:rsidR="000E5DB9" w:rsidRPr="00D87E91">
        <w:t xml:space="preserve">skilled </w:t>
      </w:r>
      <w:r w:rsidR="002E0813">
        <w:t xml:space="preserve">birth </w:t>
      </w:r>
      <w:r w:rsidR="000E5DB9" w:rsidRPr="00D87E91">
        <w:t>attendants</w:t>
      </w:r>
      <w:r w:rsidR="000E5DB9">
        <w:t xml:space="preserve"> attend </w:t>
      </w:r>
      <w:r w:rsidR="00D00512">
        <w:t>6521</w:t>
      </w:r>
      <w:r w:rsidRPr="00D87E91">
        <w:t xml:space="preserve"> births. </w:t>
      </w:r>
    </w:p>
    <w:p w14:paraId="1D4EAD29" w14:textId="778B48D2" w:rsidR="00D87E91" w:rsidRPr="00D87E91" w:rsidRDefault="00D87E91" w:rsidP="003E7DF9">
      <w:pPr>
        <w:pStyle w:val="BodyText"/>
      </w:pPr>
      <w:r w:rsidRPr="00D87E91">
        <w:t>The</w:t>
      </w:r>
      <w:r w:rsidR="003774CE">
        <w:t xml:space="preserve"> </w:t>
      </w:r>
      <w:r w:rsidRPr="00D87E91">
        <w:t>Revolving Loan Fund Capacity Building and Sustainability Project</w:t>
      </w:r>
      <w:r w:rsidR="00462A3F">
        <w:t xml:space="preserve"> (Approximately AUD 820 million)</w:t>
      </w:r>
      <w:r w:rsidRPr="00D87E91">
        <w:t xml:space="preserve"> </w:t>
      </w:r>
      <w:r w:rsidR="009E5650">
        <w:t xml:space="preserve">comprises activities to </w:t>
      </w:r>
      <w:r w:rsidR="000E5DB9">
        <w:t xml:space="preserve">test </w:t>
      </w:r>
      <w:r w:rsidRPr="00D87E91">
        <w:t xml:space="preserve">to inform the </w:t>
      </w:r>
      <w:r w:rsidR="000E5DB9">
        <w:t>g</w:t>
      </w:r>
      <w:r w:rsidR="000E5DB9" w:rsidRPr="00D87E91">
        <w:t xml:space="preserve">overnment's </w:t>
      </w:r>
      <w:r w:rsidRPr="00D87E91">
        <w:t xml:space="preserve">actions </w:t>
      </w:r>
      <w:r w:rsidR="004D6DD5">
        <w:t xml:space="preserve">and </w:t>
      </w:r>
      <w:r w:rsidRPr="00D87E91">
        <w:t xml:space="preserve">to build sustainability. In 2012, a legal review of the ownership of </w:t>
      </w:r>
      <w:r w:rsidR="004D6DD5" w:rsidRPr="00D87E91">
        <w:t xml:space="preserve">Revolving Loan Fund </w:t>
      </w:r>
      <w:r w:rsidRPr="00D87E91">
        <w:t xml:space="preserve">assets and alternatives for </w:t>
      </w:r>
      <w:r w:rsidR="004D6DD5" w:rsidRPr="00D87E91">
        <w:t>formali</w:t>
      </w:r>
      <w:r w:rsidR="004D6DD5">
        <w:t>s</w:t>
      </w:r>
      <w:r w:rsidR="004D6DD5" w:rsidRPr="00D87E91">
        <w:t xml:space="preserve">ing </w:t>
      </w:r>
      <w:r w:rsidR="004D6DD5">
        <w:t>the fund’s</w:t>
      </w:r>
      <w:r w:rsidR="004D6DD5" w:rsidRPr="00D87E91">
        <w:t xml:space="preserve"> </w:t>
      </w:r>
      <w:r w:rsidRPr="00D87E91">
        <w:t xml:space="preserve">legal status was started, as was </w:t>
      </w:r>
      <w:r w:rsidR="002C79B7">
        <w:t xml:space="preserve">the </w:t>
      </w:r>
      <w:r w:rsidRPr="00D87E91">
        <w:t xml:space="preserve">design of new </w:t>
      </w:r>
      <w:r w:rsidR="004D6DD5" w:rsidRPr="00D87E91">
        <w:t xml:space="preserve">management information systems </w:t>
      </w:r>
      <w:r w:rsidRPr="00D87E91">
        <w:t xml:space="preserve">that will improve the accuracy and transparency of </w:t>
      </w:r>
      <w:r w:rsidR="004D6DD5">
        <w:t>f</w:t>
      </w:r>
      <w:r w:rsidR="004D6DD5" w:rsidRPr="00D87E91">
        <w:t xml:space="preserve">und </w:t>
      </w:r>
      <w:r w:rsidRPr="00D87E91">
        <w:t>data.</w:t>
      </w:r>
      <w:r w:rsidR="00B525E5">
        <w:t xml:space="preserve"> </w:t>
      </w:r>
      <w:r w:rsidRPr="00D87E91">
        <w:t xml:space="preserve">The project also surveyed 3614 </w:t>
      </w:r>
      <w:r w:rsidR="004D6DD5">
        <w:t>funds</w:t>
      </w:r>
      <w:r w:rsidR="004D6DD5" w:rsidRPr="00D87E91">
        <w:t xml:space="preserve"> </w:t>
      </w:r>
      <w:r w:rsidRPr="00D87E91">
        <w:t xml:space="preserve">to learn about </w:t>
      </w:r>
      <w:r w:rsidR="002C79B7">
        <w:t xml:space="preserve">their </w:t>
      </w:r>
      <w:r w:rsidRPr="00D87E91">
        <w:t xml:space="preserve">linkages </w:t>
      </w:r>
      <w:r w:rsidR="002C79B7">
        <w:t>with</w:t>
      </w:r>
      <w:r w:rsidRPr="00D87E91">
        <w:t xml:space="preserve"> banks and other formal institutions in the financial sector.</w:t>
      </w:r>
      <w:r w:rsidR="00B525E5">
        <w:t xml:space="preserve"> </w:t>
      </w:r>
      <w:r w:rsidRPr="00D87E91">
        <w:t>This is an important step toward finding non-</w:t>
      </w:r>
      <w:r w:rsidR="004D6DD5">
        <w:t>g</w:t>
      </w:r>
      <w:r w:rsidR="004D6DD5" w:rsidRPr="00D87E91">
        <w:t xml:space="preserve">overnment </w:t>
      </w:r>
      <w:r w:rsidRPr="00D87E91">
        <w:t xml:space="preserve">sources of </w:t>
      </w:r>
      <w:r w:rsidR="004D6DD5">
        <w:t>finance</w:t>
      </w:r>
      <w:r w:rsidR="004D6DD5" w:rsidRPr="00D87E91">
        <w:t xml:space="preserve"> </w:t>
      </w:r>
      <w:r w:rsidRPr="00D87E91">
        <w:t xml:space="preserve">to help the </w:t>
      </w:r>
      <w:r w:rsidR="00D47319">
        <w:t>fund</w:t>
      </w:r>
      <w:r w:rsidR="004D6DD5">
        <w:t>s</w:t>
      </w:r>
      <w:r w:rsidR="004D6DD5" w:rsidRPr="00D87E91">
        <w:t xml:space="preserve"> </w:t>
      </w:r>
      <w:r w:rsidRPr="00D87E91">
        <w:t xml:space="preserve">continue to operate and grow after they no longer receive </w:t>
      </w:r>
      <w:r w:rsidR="004D6DD5">
        <w:t>g</w:t>
      </w:r>
      <w:r w:rsidR="004D6DD5" w:rsidRPr="00D87E91">
        <w:t xml:space="preserve">overnment </w:t>
      </w:r>
      <w:r w:rsidRPr="00D87E91">
        <w:t>grants. These activities continued to progress in 2013 and testing will begin in the second quarter.</w:t>
      </w:r>
    </w:p>
    <w:p w14:paraId="6E55C107" w14:textId="2A0A6C74" w:rsidR="00D87E91" w:rsidRPr="00D87E91" w:rsidRDefault="00297BCB" w:rsidP="001078A8">
      <w:pPr>
        <w:pStyle w:val="BodyText"/>
      </w:pPr>
      <w:r>
        <w:lastRenderedPageBreak/>
        <w:t>Australian</w:t>
      </w:r>
      <w:r w:rsidRPr="00D87E91">
        <w:t xml:space="preserve"> </w:t>
      </w:r>
      <w:r w:rsidR="00D87E91" w:rsidRPr="00D87E91">
        <w:t>support also strengthened the community facilitation system</w:t>
      </w:r>
      <w:r w:rsidR="004D6DD5">
        <w:t>,</w:t>
      </w:r>
      <w:r w:rsidR="00D87E91" w:rsidRPr="00D87E91">
        <w:t xml:space="preserve"> which is at the core of </w:t>
      </w:r>
      <w:r w:rsidR="004D6DD5">
        <w:t>National Programme for Community Empowerment (</w:t>
      </w:r>
      <w:r w:rsidR="00D87E91" w:rsidRPr="00D87E91">
        <w:t xml:space="preserve">there are around </w:t>
      </w:r>
      <w:r w:rsidR="00AA1FBB">
        <w:t>1</w:t>
      </w:r>
      <w:r w:rsidR="00AA1FBB" w:rsidRPr="00D87E91">
        <w:t>5</w:t>
      </w:r>
      <w:r w:rsidR="00AA1FBB">
        <w:t xml:space="preserve"> </w:t>
      </w:r>
      <w:r w:rsidR="00D87E91" w:rsidRPr="00D87E91">
        <w:t xml:space="preserve">000 facilitators </w:t>
      </w:r>
      <w:r w:rsidR="004D6DD5">
        <w:t xml:space="preserve">for the program </w:t>
      </w:r>
      <w:r w:rsidR="00D87E91" w:rsidRPr="00D87E91">
        <w:t>nation</w:t>
      </w:r>
      <w:r w:rsidR="004D6DD5">
        <w:t>ally</w:t>
      </w:r>
      <w:r w:rsidR="00D87E91" w:rsidRPr="00D87E91">
        <w:t>)</w:t>
      </w:r>
      <w:r w:rsidR="00D47319">
        <w:t>,</w:t>
      </w:r>
      <w:r w:rsidR="00D87E91" w:rsidRPr="00D87E91">
        <w:t xml:space="preserve"> </w:t>
      </w:r>
      <w:r w:rsidR="004D6DD5">
        <w:t>by</w:t>
      </w:r>
      <w:r w:rsidR="00D87E91" w:rsidRPr="00D87E91">
        <w:t xml:space="preserve"> establish</w:t>
      </w:r>
      <w:r w:rsidR="004D6DD5">
        <w:t xml:space="preserve">ing </w:t>
      </w:r>
      <w:r w:rsidR="00D87E91" w:rsidRPr="00D87E91">
        <w:t xml:space="preserve">a certification institute. </w:t>
      </w:r>
      <w:r w:rsidR="004D6DD5">
        <w:t xml:space="preserve">We </w:t>
      </w:r>
      <w:r w:rsidR="00D87E91" w:rsidRPr="00D87E91">
        <w:t xml:space="preserve">worked with the </w:t>
      </w:r>
      <w:r w:rsidR="000A11DD">
        <w:t>Indonesian Government</w:t>
      </w:r>
      <w:r w:rsidR="00D87E91" w:rsidRPr="00D87E91">
        <w:t xml:space="preserve"> to develop training modules for </w:t>
      </w:r>
      <w:r w:rsidR="004D6DD5">
        <w:t>program</w:t>
      </w:r>
      <w:r w:rsidR="004D6DD5" w:rsidRPr="00D87E91">
        <w:t xml:space="preserve"> </w:t>
      </w:r>
      <w:r w:rsidR="00D87E91" w:rsidRPr="00D87E91">
        <w:t xml:space="preserve">facilitators and provided six months of training in basic engineering to 420 local high school graduates to fill the resource gap of technical facilitators in Papua and West Papua. Our support for the Local Government Capacity Development Program has </w:t>
      </w:r>
      <w:r w:rsidR="004D6DD5">
        <w:t>helped</w:t>
      </w:r>
      <w:r w:rsidR="004D6DD5" w:rsidRPr="00D87E91">
        <w:t xml:space="preserve"> </w:t>
      </w:r>
      <w:r w:rsidR="00D87E91" w:rsidRPr="00D87E91">
        <w:t>adjust</w:t>
      </w:r>
      <w:r w:rsidR="004D6DD5">
        <w:t xml:space="preserve"> National Programme for Community Empowerment </w:t>
      </w:r>
      <w:r w:rsidR="00D87E91" w:rsidRPr="00D87E91">
        <w:t xml:space="preserve">implementation mechanisms in </w:t>
      </w:r>
      <w:r w:rsidR="004D6DD5">
        <w:t xml:space="preserve">the </w:t>
      </w:r>
      <w:r w:rsidR="00D87E91" w:rsidRPr="00D87E91">
        <w:t>Papua and West Papua provinces, and improve</w:t>
      </w:r>
      <w:r w:rsidR="004D6DD5">
        <w:t xml:space="preserve"> </w:t>
      </w:r>
      <w:r w:rsidR="00D87E91" w:rsidRPr="00D87E91">
        <w:t>the Village Training Program</w:t>
      </w:r>
      <w:r w:rsidR="004D6DD5">
        <w:t>,</w:t>
      </w:r>
      <w:r w:rsidR="00D87E91" w:rsidRPr="00D87E91">
        <w:t xml:space="preserve"> which strengthened the capacity of subnational governments in pro-poor planning and budgeting.</w:t>
      </w:r>
      <w:r w:rsidR="00B525E5">
        <w:t xml:space="preserve"> </w:t>
      </w:r>
      <w:r w:rsidR="00D87E91" w:rsidRPr="00D47319">
        <w:t xml:space="preserve">In 2012, 326 government </w:t>
      </w:r>
      <w:r w:rsidR="00150EE9" w:rsidRPr="00D47319">
        <w:t xml:space="preserve">officials </w:t>
      </w:r>
      <w:r w:rsidR="00D87E91" w:rsidRPr="00D47319">
        <w:t>were trained under this program</w:t>
      </w:r>
      <w:r w:rsidR="00D87E91" w:rsidRPr="00D87E91">
        <w:t xml:space="preserve">. </w:t>
      </w:r>
    </w:p>
    <w:p w14:paraId="6ADB2027" w14:textId="76B7B8F5" w:rsidR="001078A8" w:rsidRDefault="00D87E91" w:rsidP="00A52847">
      <w:pPr>
        <w:pStyle w:val="BodyText"/>
        <w:rPr>
          <w:rFonts w:ascii="Franklin Gothic Book" w:hAnsi="Franklin Gothic Book"/>
          <w:sz w:val="17"/>
          <w:szCs w:val="17"/>
        </w:rPr>
      </w:pPr>
      <w:bookmarkStart w:id="48" w:name="_Toc359585097"/>
      <w:r w:rsidRPr="00D87E91">
        <w:t xml:space="preserve">The </w:t>
      </w:r>
      <w:r w:rsidR="004D6DD5">
        <w:t xml:space="preserve">Empowering Indonesia Women for Poverty Reduction Program </w:t>
      </w:r>
      <w:r w:rsidRPr="00D87E91">
        <w:t xml:space="preserve">is </w:t>
      </w:r>
      <w:r w:rsidR="009E5650">
        <w:t xml:space="preserve">a new long </w:t>
      </w:r>
      <w:proofErr w:type="spellStart"/>
      <w:r w:rsidR="009E5650">
        <w:t>term</w:t>
      </w:r>
      <w:r w:rsidR="004D6DD5">
        <w:t>initiative</w:t>
      </w:r>
      <w:proofErr w:type="spellEnd"/>
      <w:r w:rsidR="004D6DD5" w:rsidRPr="00D87E91">
        <w:t xml:space="preserve"> </w:t>
      </w:r>
      <w:r w:rsidRPr="00D87E91">
        <w:t xml:space="preserve">to improve the lives of poor women and specifically targets poor women to reduce poverty and close inequality gaps. </w:t>
      </w:r>
      <w:r w:rsidR="004D6DD5">
        <w:t>The program</w:t>
      </w:r>
      <w:r w:rsidR="004D6DD5" w:rsidRPr="00D87E91">
        <w:t xml:space="preserve"> </w:t>
      </w:r>
      <w:r w:rsidRPr="00D87E91">
        <w:t>is supporting gender</w:t>
      </w:r>
      <w:r w:rsidR="009E5650">
        <w:t xml:space="preserve"> </w:t>
      </w:r>
      <w:r w:rsidRPr="00D87E91">
        <w:t xml:space="preserve">interested coalitions and civil society organisations to </w:t>
      </w:r>
      <w:r w:rsidR="009E5650">
        <w:t xml:space="preserve">examine </w:t>
      </w:r>
      <w:proofErr w:type="spellStart"/>
      <w:r w:rsidR="009E5650">
        <w:t>the</w:t>
      </w:r>
      <w:r w:rsidRPr="00D87E91">
        <w:t>issues</w:t>
      </w:r>
      <w:proofErr w:type="spellEnd"/>
      <w:r w:rsidRPr="00D87E91">
        <w:t xml:space="preserve"> facing poor Indonesian women</w:t>
      </w:r>
      <w:r w:rsidR="004D6DD5">
        <w:t>,</w:t>
      </w:r>
      <w:r w:rsidRPr="00D87E91">
        <w:t xml:space="preserve"> and </w:t>
      </w:r>
      <w:r w:rsidR="004D6DD5">
        <w:t xml:space="preserve">to </w:t>
      </w:r>
      <w:r w:rsidRPr="00D87E91">
        <w:t>use this evidence base to pilot interventions. Evidence generated will be used to advocate for large</w:t>
      </w:r>
      <w:r w:rsidR="00D47319">
        <w:t>-</w:t>
      </w:r>
      <w:r w:rsidRPr="00D87E91">
        <w:t xml:space="preserve">scale reforms that will improve women’s access to services and livelihoods. </w:t>
      </w:r>
      <w:r w:rsidR="004D6DD5">
        <w:t>The program</w:t>
      </w:r>
      <w:r w:rsidR="004D6DD5" w:rsidRPr="00D87E91">
        <w:t xml:space="preserve"> </w:t>
      </w:r>
      <w:r w:rsidRPr="00D87E91">
        <w:t xml:space="preserve">is working through networks and coalitions of gender interested </w:t>
      </w:r>
      <w:r w:rsidR="004D6DD5">
        <w:t>non-government</w:t>
      </w:r>
      <w:r w:rsidR="004D6DD5" w:rsidRPr="00D87E91">
        <w:t xml:space="preserve"> </w:t>
      </w:r>
      <w:r w:rsidRPr="00D87E91">
        <w:t xml:space="preserve">and </w:t>
      </w:r>
      <w:r w:rsidR="004D6DD5" w:rsidRPr="00D87E91">
        <w:t xml:space="preserve">civil society organisations </w:t>
      </w:r>
      <w:r w:rsidR="009E5650">
        <w:t xml:space="preserve">as well as </w:t>
      </w:r>
      <w:r w:rsidRPr="00D87E91">
        <w:t xml:space="preserve">with the national and sub-national </w:t>
      </w:r>
      <w:r w:rsidR="004D6DD5">
        <w:t>g</w:t>
      </w:r>
      <w:r w:rsidR="004D6DD5" w:rsidRPr="00D87E91">
        <w:t>overnment</w:t>
      </w:r>
      <w:r w:rsidRPr="00D87E91">
        <w:t xml:space="preserve">, </w:t>
      </w:r>
      <w:r w:rsidR="004D6DD5">
        <w:t>p</w:t>
      </w:r>
      <w:r w:rsidR="004D6DD5" w:rsidRPr="00D87E91">
        <w:t>arliamentarians</w:t>
      </w:r>
      <w:r w:rsidRPr="00D87E91">
        <w:t>, and the private sector</w:t>
      </w:r>
      <w:r w:rsidR="009E5650">
        <w:t>.</w:t>
      </w:r>
      <w:r w:rsidRPr="00D87E91">
        <w:t xml:space="preserve"> </w:t>
      </w:r>
      <w:r w:rsidR="00F3020A">
        <w:t xml:space="preserve">DFAT </w:t>
      </w:r>
      <w:r w:rsidRPr="00D87E91">
        <w:t xml:space="preserve">funding allows </w:t>
      </w:r>
      <w:r w:rsidR="004D6DD5">
        <w:t>the Indonesian Government</w:t>
      </w:r>
      <w:r w:rsidR="004D6DD5" w:rsidRPr="00D87E91">
        <w:t xml:space="preserve"> </w:t>
      </w:r>
      <w:r w:rsidRPr="00D87E91">
        <w:t xml:space="preserve">to undertake innovative activities that would not otherwise be possible due to their budgetary rigidities, and to reach the poorest </w:t>
      </w:r>
      <w:r w:rsidR="009E5650">
        <w:t>women</w:t>
      </w:r>
      <w:r w:rsidRPr="00D87E91">
        <w:t xml:space="preserve"> that are often marginalised and may otherwise remain without access to social protection. The first phase of the program (up to </w:t>
      </w:r>
      <w:r w:rsidR="000A11DD">
        <w:t>$</w:t>
      </w:r>
      <w:r w:rsidRPr="00D87E91">
        <w:t xml:space="preserve">60 million) is for four years (July 2012 </w:t>
      </w:r>
      <w:r w:rsidR="004D6DD5">
        <w:t>to</w:t>
      </w:r>
      <w:r w:rsidR="004D6DD5" w:rsidRPr="00D87E91">
        <w:t xml:space="preserve"> </w:t>
      </w:r>
      <w:r w:rsidRPr="00D87E91">
        <w:t>June 2016).</w:t>
      </w:r>
      <w:r w:rsidR="00B525E5">
        <w:rPr>
          <w:rFonts w:ascii="Franklin Gothic Book" w:hAnsi="Franklin Gothic Book"/>
          <w:sz w:val="17"/>
          <w:szCs w:val="17"/>
        </w:rPr>
        <w:t xml:space="preserve"> </w:t>
      </w:r>
    </w:p>
    <w:p w14:paraId="736D66AF" w14:textId="77EEDD3B" w:rsidR="00AE1E32" w:rsidRPr="00AE1E32" w:rsidRDefault="00AE1E32" w:rsidP="009A2B98">
      <w:pPr>
        <w:pStyle w:val="Heading2"/>
      </w:pPr>
      <w:bookmarkStart w:id="49" w:name="_Toc363768585"/>
      <w:bookmarkStart w:id="50" w:name="_Toc363804121"/>
      <w:r w:rsidRPr="00AE1E32">
        <w:t xml:space="preserve">Management </w:t>
      </w:r>
      <w:bookmarkEnd w:id="48"/>
      <w:r w:rsidR="004D6DD5">
        <w:t>c</w:t>
      </w:r>
      <w:r w:rsidR="004D6DD5" w:rsidRPr="00AE1E32">
        <w:t>onsequences</w:t>
      </w:r>
      <w:bookmarkEnd w:id="49"/>
      <w:bookmarkEnd w:id="50"/>
    </w:p>
    <w:p w14:paraId="7D39A214" w14:textId="77777777" w:rsidR="004D6DD5" w:rsidRPr="008335E2" w:rsidRDefault="004D6DD5" w:rsidP="009A2B98">
      <w:pPr>
        <w:pStyle w:val="BodyText"/>
      </w:pPr>
      <w:r w:rsidRPr="00D67028">
        <w:t>Management consequences for 2013–14 include:</w:t>
      </w:r>
    </w:p>
    <w:p w14:paraId="49A07436" w14:textId="1DD70527" w:rsidR="00D87E91" w:rsidRDefault="00D87E91" w:rsidP="009A2B98">
      <w:pPr>
        <w:pStyle w:val="ListBullet"/>
      </w:pPr>
      <w:r>
        <w:t>.</w:t>
      </w:r>
    </w:p>
    <w:p w14:paraId="2B97275E" w14:textId="7570E586" w:rsidR="00D87E91" w:rsidRDefault="004D6DD5" w:rsidP="009A2B98">
      <w:pPr>
        <w:pStyle w:val="ListBullet"/>
      </w:pPr>
      <w:r>
        <w:t xml:space="preserve">Finalise </w:t>
      </w:r>
      <w:r w:rsidR="00D87E91">
        <w:t xml:space="preserve">design and contracting arrangements </w:t>
      </w:r>
      <w:r>
        <w:t xml:space="preserve">to </w:t>
      </w:r>
      <w:r w:rsidR="00D87E91">
        <w:t>increas</w:t>
      </w:r>
      <w:r>
        <w:t xml:space="preserve">e </w:t>
      </w:r>
      <w:r w:rsidR="00D87E91">
        <w:t xml:space="preserve">support to social protection </w:t>
      </w:r>
      <w:r>
        <w:t>by</w:t>
      </w:r>
      <w:r w:rsidR="00D87E91">
        <w:t xml:space="preserve"> mid-2013.</w:t>
      </w:r>
      <w:r w:rsidR="00B525E5">
        <w:t xml:space="preserve"> </w:t>
      </w:r>
      <w:r w:rsidR="00D87E91">
        <w:t xml:space="preserve">In response to recommendations from the recent review, </w:t>
      </w:r>
      <w:r w:rsidR="00F3020A">
        <w:t>DFAT</w:t>
      </w:r>
      <w:r w:rsidR="007D1737">
        <w:t xml:space="preserve"> </w:t>
      </w:r>
      <w:r w:rsidR="00D87E91">
        <w:t>will work with key partners to update governance and management structures and quality assurance processes.</w:t>
      </w:r>
      <w:r w:rsidR="00B525E5">
        <w:t xml:space="preserve"> </w:t>
      </w:r>
      <w:r w:rsidR="00D87E91">
        <w:t xml:space="preserve">As Indonesia approaches a general election in 2014, </w:t>
      </w:r>
      <w:r w:rsidR="007D1737">
        <w:t xml:space="preserve">Australia’s </w:t>
      </w:r>
      <w:r w:rsidR="00D87E91">
        <w:t>support will have to become increasingly flexible as we seek opportunities to improve social protection programs</w:t>
      </w:r>
      <w:proofErr w:type="gramStart"/>
      <w:r w:rsidR="009E5650">
        <w:t>.</w:t>
      </w:r>
      <w:r w:rsidR="00D87E91">
        <w:t>.</w:t>
      </w:r>
      <w:proofErr w:type="gramEnd"/>
      <w:r w:rsidR="00D87E91">
        <w:t xml:space="preserve"> To be well positioned to do this we will continue to support the work of </w:t>
      </w:r>
      <w:r w:rsidR="00D47319" w:rsidRPr="00D87E91">
        <w:rPr>
          <w:rFonts w:eastAsia="SimSun"/>
        </w:rPr>
        <w:t>the Vice President’s National Team for Accelerating Poverty Reduction</w:t>
      </w:r>
      <w:r w:rsidR="00D47319">
        <w:t xml:space="preserve"> </w:t>
      </w:r>
      <w:r>
        <w:t>and</w:t>
      </w:r>
      <w:r w:rsidR="00D87E91">
        <w:t xml:space="preserve"> increas</w:t>
      </w:r>
      <w:r>
        <w:t xml:space="preserve">e </w:t>
      </w:r>
      <w:r w:rsidR="00D87E91">
        <w:t>engagement with relevant implementing agencies.</w:t>
      </w:r>
      <w:r w:rsidR="00B525E5">
        <w:t xml:space="preserve"> </w:t>
      </w:r>
    </w:p>
    <w:p w14:paraId="60CDFC44" w14:textId="78CFEA0F" w:rsidR="00D87E91" w:rsidRDefault="00D87E91" w:rsidP="009A2B98">
      <w:pPr>
        <w:pStyle w:val="ListBullet"/>
      </w:pPr>
      <w:r>
        <w:t xml:space="preserve">The increase in funding to </w:t>
      </w:r>
      <w:r w:rsidR="004D6DD5">
        <w:t>the National Programme for Community Empowerment</w:t>
      </w:r>
      <w:r w:rsidR="00856E94">
        <w:t>,</w:t>
      </w:r>
      <w:r w:rsidR="004D6DD5">
        <w:t xml:space="preserve"> </w:t>
      </w:r>
      <w:r>
        <w:t xml:space="preserve">and establishment of the </w:t>
      </w:r>
      <w:r w:rsidR="004D6DD5">
        <w:t xml:space="preserve">program’s </w:t>
      </w:r>
      <w:r>
        <w:t>road map</w:t>
      </w:r>
      <w:r w:rsidR="00856E94">
        <w:t>,</w:t>
      </w:r>
      <w:r>
        <w:t xml:space="preserve"> mean</w:t>
      </w:r>
      <w:r w:rsidR="00856E94">
        <w:t>s</w:t>
      </w:r>
      <w:r>
        <w:t xml:space="preserve"> that </w:t>
      </w:r>
      <w:r w:rsidR="00E043E4">
        <w:t xml:space="preserve">the aid program </w:t>
      </w:r>
      <w:r>
        <w:t xml:space="preserve">will be </w:t>
      </w:r>
      <w:r w:rsidR="00856E94">
        <w:t xml:space="preserve">both </w:t>
      </w:r>
      <w:r>
        <w:t xml:space="preserve">supporting a larger number of programs and pilots as well as developing a sharper focus on building Indonesian </w:t>
      </w:r>
      <w:r w:rsidR="00856E94">
        <w:t xml:space="preserve">Government </w:t>
      </w:r>
      <w:r>
        <w:t xml:space="preserve">and institution </w:t>
      </w:r>
      <w:r w:rsidR="00856E94">
        <w:t xml:space="preserve">implementation </w:t>
      </w:r>
      <w:r>
        <w:t>capacity</w:t>
      </w:r>
      <w:r w:rsidR="00C061DD">
        <w:t>.</w:t>
      </w:r>
      <w:r w:rsidR="00856E94">
        <w:t>,</w:t>
      </w:r>
      <w:r>
        <w:t xml:space="preserve">. This will require more concerted and complex engagement with government than has previously been the case. </w:t>
      </w:r>
    </w:p>
    <w:p w14:paraId="5953A29B" w14:textId="5B5333B7" w:rsidR="00D87E91" w:rsidRDefault="00D87E91" w:rsidP="009A2B98">
      <w:pPr>
        <w:pStyle w:val="ListBullet"/>
      </w:pPr>
      <w:r>
        <w:t xml:space="preserve">In 2013 we will conduct </w:t>
      </w:r>
      <w:r w:rsidR="00856E94">
        <w:t>a National Programme for Community Empowerment</w:t>
      </w:r>
      <w:r w:rsidR="00856E94" w:rsidDel="00856E94">
        <w:t xml:space="preserve"> </w:t>
      </w:r>
      <w:r w:rsidR="00856E94">
        <w:t>independent progress review</w:t>
      </w:r>
      <w:r>
        <w:t xml:space="preserve">, </w:t>
      </w:r>
      <w:r w:rsidR="00856E94">
        <w:t xml:space="preserve">which will </w:t>
      </w:r>
      <w:r>
        <w:t xml:space="preserve">focus on ensuring our </w:t>
      </w:r>
      <w:proofErr w:type="gramStart"/>
      <w:r>
        <w:t>support</w:t>
      </w:r>
      <w:proofErr w:type="gramEnd"/>
      <w:r>
        <w:t xml:space="preserve"> is being effectively managed and used, and the role and capacity of the Aus</w:t>
      </w:r>
      <w:r w:rsidR="00E043E4">
        <w:t xml:space="preserve">tralian aid </w:t>
      </w:r>
      <w:r w:rsidR="00856E94">
        <w:t xml:space="preserve">program </w:t>
      </w:r>
      <w:r>
        <w:t>team.</w:t>
      </w:r>
      <w:r w:rsidR="00B525E5">
        <w:t xml:space="preserve"> </w:t>
      </w:r>
      <w:r>
        <w:t xml:space="preserve">We will use the </w:t>
      </w:r>
      <w:r w:rsidR="00856E94">
        <w:t xml:space="preserve">review </w:t>
      </w:r>
      <w:r>
        <w:t>findings to make the necessary changes as we scale up our support over the next two years.</w:t>
      </w:r>
    </w:p>
    <w:p w14:paraId="7891EF58" w14:textId="4C907FE8" w:rsidR="00154F9B" w:rsidRDefault="00154F9B" w:rsidP="003E7DF9">
      <w:pPr>
        <w:pStyle w:val="BodyText"/>
      </w:pPr>
      <w:r>
        <w:t>T</w:t>
      </w:r>
      <w:r w:rsidRPr="004048AD">
        <w:t xml:space="preserve">he </w:t>
      </w:r>
      <w:r w:rsidR="00856E94">
        <w:t>follow-</w:t>
      </w:r>
      <w:r>
        <w:t xml:space="preserve">up of </w:t>
      </w:r>
      <w:r w:rsidRPr="004048AD">
        <w:t xml:space="preserve">management consequences from the </w:t>
      </w:r>
      <w:r w:rsidR="004D6DD5">
        <w:t>2011 annual program performance report</w:t>
      </w:r>
      <w:r w:rsidR="004D6DD5" w:rsidRPr="004048AD">
        <w:t xml:space="preserve"> </w:t>
      </w:r>
      <w:r>
        <w:t>can be found in</w:t>
      </w:r>
      <w:r w:rsidRPr="004048AD">
        <w:t xml:space="preserve"> </w:t>
      </w:r>
      <w:r w:rsidRPr="00154F9B">
        <w:rPr>
          <w:b/>
        </w:rPr>
        <w:t>Annex B</w:t>
      </w:r>
      <w:r w:rsidRPr="004048AD">
        <w:t>.</w:t>
      </w:r>
    </w:p>
    <w:p w14:paraId="79315553" w14:textId="77777777" w:rsidR="00780026" w:rsidRPr="00780026" w:rsidRDefault="00780026" w:rsidP="009A2B98">
      <w:pPr>
        <w:pStyle w:val="Heading1"/>
      </w:pPr>
      <w:bookmarkStart w:id="51" w:name="_Toc359585098"/>
      <w:bookmarkStart w:id="52" w:name="_Toc363804122"/>
      <w:r w:rsidRPr="00780026">
        <w:lastRenderedPageBreak/>
        <w:t>Bureaucratic reform</w:t>
      </w:r>
      <w:bookmarkEnd w:id="51"/>
      <w:bookmarkEnd w:id="52"/>
      <w:r w:rsidRPr="00780026">
        <w:t xml:space="preserve"> </w:t>
      </w:r>
    </w:p>
    <w:tbl>
      <w:tblPr>
        <w:tblStyle w:val="APPR3"/>
        <w:tblW w:w="5000" w:type="pct"/>
        <w:tblLayout w:type="fixed"/>
        <w:tblLook w:val="0000" w:firstRow="0" w:lastRow="0" w:firstColumn="0" w:lastColumn="0" w:noHBand="0" w:noVBand="0"/>
      </w:tblPr>
      <w:tblGrid>
        <w:gridCol w:w="6453"/>
        <w:gridCol w:w="1050"/>
        <w:gridCol w:w="1103"/>
      </w:tblGrid>
      <w:tr w:rsidR="009A2B98" w:rsidRPr="00780026" w14:paraId="3582317E" w14:textId="77777777" w:rsidTr="009A2B98">
        <w:trPr>
          <w:cantSplit/>
          <w:tblHeader w:val="0"/>
        </w:trPr>
        <w:tc>
          <w:tcPr>
            <w:tcW w:w="6048" w:type="dxa"/>
          </w:tcPr>
          <w:p w14:paraId="74A34F67" w14:textId="523BAAC2" w:rsidR="009A2B98" w:rsidRPr="00780026" w:rsidRDefault="009A2B98" w:rsidP="009A2B98">
            <w:pPr>
              <w:pStyle w:val="TableTextColumnHeading"/>
            </w:pPr>
            <w:r w:rsidRPr="00780026">
              <w:rPr>
                <w:noProof/>
                <w:lang w:eastAsia="en-AU"/>
              </w:rPr>
              <w:drawing>
                <wp:anchor distT="0" distB="0" distL="114300" distR="114300" simplePos="0" relativeHeight="251708416" behindDoc="0" locked="0" layoutInCell="1" allowOverlap="1" wp14:anchorId="59CD3DAD" wp14:editId="31C3F991">
                  <wp:simplePos x="0" y="0"/>
                  <wp:positionH relativeFrom="column">
                    <wp:posOffset>0</wp:posOffset>
                  </wp:positionH>
                  <wp:positionV relativeFrom="paragraph">
                    <wp:posOffset>0</wp:posOffset>
                  </wp:positionV>
                  <wp:extent cx="1857375" cy="228600"/>
                  <wp:effectExtent l="0" t="0" r="9525" b="0"/>
                  <wp:wrapNone/>
                  <wp:docPr id="23" name="Picture 2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026">
              <w:t>Objective</w:t>
            </w:r>
            <w:r>
              <w:tab/>
            </w:r>
          </w:p>
        </w:tc>
        <w:tc>
          <w:tcPr>
            <w:tcW w:w="964" w:type="dxa"/>
            <w:vAlign w:val="center"/>
          </w:tcPr>
          <w:p w14:paraId="382A252B" w14:textId="5E87BDF9" w:rsidR="009A2B98" w:rsidRPr="00780026" w:rsidRDefault="009A2B98" w:rsidP="009A2B98">
            <w:pPr>
              <w:pStyle w:val="TableTextColumnHeading"/>
            </w:pPr>
            <w:r w:rsidRPr="00780026">
              <w:t xml:space="preserve">Current </w:t>
            </w:r>
            <w:r>
              <w:t>r</w:t>
            </w:r>
            <w:r w:rsidRPr="00780026">
              <w:t>ating</w:t>
            </w:r>
          </w:p>
        </w:tc>
        <w:tc>
          <w:tcPr>
            <w:tcW w:w="1001" w:type="dxa"/>
            <w:vAlign w:val="center"/>
          </w:tcPr>
          <w:p w14:paraId="1F770EDF" w14:textId="188FD95E" w:rsidR="009A2B98" w:rsidRPr="00780026" w:rsidRDefault="009A2B98" w:rsidP="009A2B98">
            <w:pPr>
              <w:pStyle w:val="TableTextColumnHeading"/>
            </w:pPr>
            <w:r w:rsidRPr="00780026">
              <w:t xml:space="preserve">Previous </w:t>
            </w:r>
            <w:r>
              <w:t>r</w:t>
            </w:r>
            <w:r w:rsidRPr="00780026">
              <w:t>ating</w:t>
            </w:r>
          </w:p>
        </w:tc>
      </w:tr>
      <w:tr w:rsidR="009A2B98" w:rsidRPr="00780026" w14:paraId="1F6DE479" w14:textId="77777777" w:rsidTr="009A2B98">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5EB17641" w14:textId="77777777" w:rsidR="009A2B98" w:rsidRPr="00780026" w:rsidRDefault="009A2B98" w:rsidP="009A2B98">
            <w:pPr>
              <w:pStyle w:val="TableTextEntries"/>
              <w:rPr>
                <w:szCs w:val="18"/>
              </w:rPr>
            </w:pPr>
            <w:r w:rsidRPr="00780026">
              <w:t>A more performance and merit based bureaucracy impacting on improved service delivery (</w:t>
            </w:r>
            <w:r w:rsidRPr="00780026">
              <w:rPr>
                <w:i/>
              </w:rPr>
              <w:t>revised objective</w:t>
            </w:r>
            <w:r w:rsidRPr="00780026">
              <w:t>)</w:t>
            </w:r>
          </w:p>
        </w:tc>
        <w:tc>
          <w:tcPr>
            <w:tcW w:w="964" w:type="dxa"/>
            <w:shd w:val="clear" w:color="auto" w:fill="F79646" w:themeFill="accent6"/>
            <w:noWrap/>
            <w:vAlign w:val="center"/>
          </w:tcPr>
          <w:p w14:paraId="59128064" w14:textId="77777777" w:rsidR="009A2B98" w:rsidRPr="009A2B98" w:rsidRDefault="009A2B98" w:rsidP="009A2B98">
            <w:pPr>
              <w:pStyle w:val="TableTextEntries"/>
            </w:pPr>
            <w:r w:rsidRPr="009A2B98">
              <w:t>Amber</w:t>
            </w:r>
          </w:p>
        </w:tc>
        <w:tc>
          <w:tcPr>
            <w:tcW w:w="1001" w:type="dxa"/>
            <w:shd w:val="clear" w:color="auto" w:fill="auto"/>
            <w:noWrap/>
            <w:vAlign w:val="center"/>
          </w:tcPr>
          <w:p w14:paraId="2FBDCCFD" w14:textId="77777777" w:rsidR="009A2B98" w:rsidRPr="009A2B98" w:rsidRDefault="009A2B98" w:rsidP="009A2B98">
            <w:pPr>
              <w:pStyle w:val="TableTextEntries"/>
            </w:pPr>
            <w:r w:rsidRPr="009A2B98">
              <w:t>N/A</w:t>
            </w:r>
          </w:p>
        </w:tc>
      </w:tr>
    </w:tbl>
    <w:p w14:paraId="74DE09BC" w14:textId="77777777" w:rsidR="00780026" w:rsidRPr="00780026" w:rsidRDefault="00780026" w:rsidP="009A2B98">
      <w:pPr>
        <w:pStyle w:val="Note"/>
      </w:pPr>
      <w:r w:rsidRPr="00780026">
        <w:t xml:space="preserve">Note: </w:t>
      </w:r>
    </w:p>
    <w:p w14:paraId="05285721" w14:textId="77777777" w:rsidR="00780026" w:rsidRPr="00780026" w:rsidRDefault="00780026" w:rsidP="009A2B98">
      <w:pPr>
        <w:pStyle w:val="Note"/>
      </w:pPr>
      <w:r w:rsidRPr="00780026">
        <w:rPr>
          <w:color w:val="92D050"/>
        </w:rPr>
        <w:sym w:font="Webdings" w:char="F067"/>
      </w:r>
      <w:r w:rsidRPr="00780026">
        <w:t> </w:t>
      </w:r>
      <w:r w:rsidRPr="00780026">
        <w:t xml:space="preserve"> </w:t>
      </w:r>
      <w:proofErr w:type="gramStart"/>
      <w:r w:rsidRPr="00780026">
        <w:t>Green.</w:t>
      </w:r>
      <w:proofErr w:type="gramEnd"/>
      <w:r w:rsidRPr="00780026">
        <w:t xml:space="preserve"> Progress is as expected for this point in time and it is likely that the objective will be achieved. Standard program management practices are sufficient.</w:t>
      </w:r>
    </w:p>
    <w:p w14:paraId="77A33AC4" w14:textId="77777777" w:rsidR="00780026" w:rsidRPr="00780026" w:rsidRDefault="00780026" w:rsidP="009A2B98">
      <w:pPr>
        <w:pStyle w:val="Note"/>
      </w:pPr>
      <w:r w:rsidRPr="00780026">
        <w:rPr>
          <w:color w:val="F79646" w:themeColor="accent6"/>
        </w:rPr>
        <w:sym w:font="Webdings" w:char="F067"/>
      </w:r>
      <w:r w:rsidRPr="00780026">
        <w:t> </w:t>
      </w:r>
      <w:r w:rsidRPr="00780026">
        <w:t xml:space="preserve"> Amber. Progress is somewhat less than expected for this point in time and restorative action will be necessary if the objective is to be achieved. Close performance monitoring is recommended.</w:t>
      </w:r>
    </w:p>
    <w:p w14:paraId="4C1270BB" w14:textId="77777777" w:rsidR="00780026" w:rsidRPr="00780026" w:rsidRDefault="00780026" w:rsidP="009A2B98">
      <w:pPr>
        <w:pStyle w:val="Note"/>
      </w:pPr>
      <w:r w:rsidRPr="00780026">
        <w:rPr>
          <w:color w:val="FF0000"/>
        </w:rPr>
        <w:sym w:font="Webdings" w:char="F067"/>
      </w:r>
      <w:r w:rsidRPr="00780026">
        <w:t> </w:t>
      </w:r>
      <w:r w:rsidRPr="00780026">
        <w:t xml:space="preserve"> </w:t>
      </w:r>
      <w:proofErr w:type="gramStart"/>
      <w:r w:rsidRPr="00780026">
        <w:t>Red.</w:t>
      </w:r>
      <w:proofErr w:type="gramEnd"/>
      <w:r w:rsidRPr="00780026">
        <w:t xml:space="preserve"> Progress is significantly less than expected for this point in time and the objective is not likely to be met given available resources and priorities. Recasting the objective may be required. </w:t>
      </w:r>
    </w:p>
    <w:p w14:paraId="7A7B95C3" w14:textId="77777777" w:rsidR="001D2AFC" w:rsidRPr="009A2B98" w:rsidRDefault="001D2AFC" w:rsidP="009A2B98">
      <w:pPr>
        <w:pStyle w:val="BodyText"/>
      </w:pPr>
    </w:p>
    <w:p w14:paraId="241ABF73" w14:textId="6192B1CE" w:rsidR="00C93493" w:rsidRPr="009A2B98" w:rsidRDefault="002950E7" w:rsidP="009A2B98">
      <w:pPr>
        <w:pStyle w:val="BodyText"/>
      </w:pPr>
      <w:r w:rsidRPr="009A2B98">
        <w:t xml:space="preserve">Indonesia’s bureaucracy is hampered by a number of systemic issues. According to Ministry for State Apparatus and Bureaucratic Reform, these issues include: </w:t>
      </w:r>
    </w:p>
    <w:p w14:paraId="0230B9BC" w14:textId="0F5F5EFE" w:rsidR="00C93493" w:rsidRDefault="002950E7" w:rsidP="009A2B98">
      <w:pPr>
        <w:pStyle w:val="ListBullet"/>
      </w:pPr>
      <w:r>
        <w:t>ministries and institutions with inefficien</w:t>
      </w:r>
      <w:r w:rsidR="00D47319">
        <w:t>t structures that lack function</w:t>
      </w:r>
    </w:p>
    <w:p w14:paraId="14AB14A7" w14:textId="542788A2" w:rsidR="00C93493" w:rsidRDefault="002950E7" w:rsidP="009A2B98">
      <w:pPr>
        <w:pStyle w:val="ListBullet"/>
      </w:pPr>
      <w:r>
        <w:t>laws and regulations that are contradictive and ambiguous</w:t>
      </w:r>
    </w:p>
    <w:p w14:paraId="6D3AA441" w14:textId="0BB18DCA" w:rsidR="00C93493" w:rsidRDefault="002950E7" w:rsidP="009A2B98">
      <w:pPr>
        <w:pStyle w:val="ListBullet"/>
      </w:pPr>
      <w:r>
        <w:t xml:space="preserve">public services that are overstaffed, </w:t>
      </w:r>
      <w:r w:rsidR="009A7C24">
        <w:t>under skilled</w:t>
      </w:r>
      <w:r>
        <w:t xml:space="preserve"> and lack integrity</w:t>
      </w:r>
    </w:p>
    <w:p w14:paraId="7822359C" w14:textId="51E6AD69" w:rsidR="00C93493" w:rsidRDefault="002950E7" w:rsidP="009A2B98">
      <w:pPr>
        <w:pStyle w:val="ListBullet"/>
      </w:pPr>
      <w:r>
        <w:t>unclear business processes to service the public (in terms of procedures, costs and time) that are of poor quality and open to corruption</w:t>
      </w:r>
    </w:p>
    <w:p w14:paraId="7CDE3D54" w14:textId="19977CD9" w:rsidR="00C93493" w:rsidRDefault="002950E7" w:rsidP="009A2B98">
      <w:pPr>
        <w:pStyle w:val="ListBullet"/>
      </w:pPr>
      <w:proofErr w:type="gramStart"/>
      <w:r>
        <w:t>mindsets</w:t>
      </w:r>
      <w:proofErr w:type="gramEnd"/>
      <w:r>
        <w:t xml:space="preserve"> and organisational cultures that are not innovative and are resistant to change.</w:t>
      </w:r>
      <w:r w:rsidR="00B525E5">
        <w:t xml:space="preserve"> </w:t>
      </w:r>
    </w:p>
    <w:p w14:paraId="722D6641" w14:textId="25914282" w:rsidR="002950E7" w:rsidRDefault="002950E7" w:rsidP="002950E7">
      <w:pPr>
        <w:pStyle w:val="BodyText"/>
      </w:pPr>
      <w:r>
        <w:t xml:space="preserve">Reform of Indonesia’s bureaucracy is a prerequisite for the nation to continue advancing as a </w:t>
      </w:r>
      <w:r w:rsidR="00C93493">
        <w:t>middle-</w:t>
      </w:r>
      <w:r>
        <w:t>income country</w:t>
      </w:r>
      <w:r w:rsidR="00C93493">
        <w:t>. A</w:t>
      </w:r>
      <w:r>
        <w:t xml:space="preserve"> poor performing bureaucracy hampers investment and increases transactional costs. </w:t>
      </w:r>
    </w:p>
    <w:p w14:paraId="52B8B4BD" w14:textId="2391200A" w:rsidR="002950E7" w:rsidRDefault="002950E7" w:rsidP="002950E7">
      <w:pPr>
        <w:pStyle w:val="BodyText"/>
      </w:pPr>
      <w:r>
        <w:t xml:space="preserve">The </w:t>
      </w:r>
      <w:r w:rsidR="000A11DD">
        <w:t>Indonesian Government</w:t>
      </w:r>
      <w:r>
        <w:t xml:space="preserve"> is currently undertaking reform of civil service agencies. Examples include drafting the </w:t>
      </w:r>
      <w:r w:rsidR="00C93493">
        <w:t xml:space="preserve">civil service law </w:t>
      </w:r>
      <w:r>
        <w:t xml:space="preserve">that was initiated by the Parliament and internal human resource and organisational reforms (including the introduction of e-government systems) to the Ministry for State Apparatus and Bureaucratic Reform, </w:t>
      </w:r>
      <w:r w:rsidR="00C93493">
        <w:t xml:space="preserve">the </w:t>
      </w:r>
      <w:r>
        <w:t xml:space="preserve">National Institute for Public Administration, </w:t>
      </w:r>
      <w:r w:rsidR="00C93493">
        <w:t>n</w:t>
      </w:r>
      <w:r>
        <w:t xml:space="preserve">ational </w:t>
      </w:r>
      <w:r w:rsidR="00C93493">
        <w:t>civil service a</w:t>
      </w:r>
      <w:r>
        <w:t>gencies</w:t>
      </w:r>
      <w:r w:rsidR="00C93493">
        <w:t>,</w:t>
      </w:r>
      <w:r>
        <w:t xml:space="preserve"> and some other government agencies and sub-national governments. There has been political resistance from some senior bureaucrats due to resulting uncertainty around current benefits and potential loss of power. </w:t>
      </w:r>
      <w:r w:rsidR="005D3792">
        <w:t>To</w:t>
      </w:r>
      <w:r>
        <w:t xml:space="preserve"> accelerate </w:t>
      </w:r>
      <w:r w:rsidR="005D3792">
        <w:t>bureaucratic reform</w:t>
      </w:r>
      <w:r>
        <w:t xml:space="preserve">, the </w:t>
      </w:r>
      <w:r w:rsidR="000A11DD">
        <w:t>Indonesian Government</w:t>
      </w:r>
      <w:r>
        <w:t xml:space="preserve"> has budgeted allocations for performance incentives. In 2012, 36 central ministries and institutions </w:t>
      </w:r>
      <w:r w:rsidR="005D3792">
        <w:t>implemented</w:t>
      </w:r>
      <w:r>
        <w:t xml:space="preserve"> reforms and are now receiving higher remuneration as a result</w:t>
      </w:r>
      <w:r w:rsidR="005D3792">
        <w:t>––</w:t>
      </w:r>
      <w:r>
        <w:t>an increase from 16 institutions in 2011.</w:t>
      </w:r>
      <w:r w:rsidR="00B525E5">
        <w:t xml:space="preserve"> </w:t>
      </w:r>
    </w:p>
    <w:p w14:paraId="12FA8A82" w14:textId="0C939737" w:rsidR="002950E7" w:rsidRDefault="002950E7" w:rsidP="002950E7">
      <w:pPr>
        <w:pStyle w:val="BodyText"/>
      </w:pPr>
      <w:r>
        <w:t>With higher remuneration, the expectation is that corruption will decrease as civil servants receiving additional performance based incentives are no longer struggling to survive. While there are still cases of corruption in agencies receiving additional remuneration, the fact that these cases are being seriously investigated is a positive sign that overall, changes in the system are beginning to have an impact. The challenge moving forward will be to further consolidate advances, including new laws on public service promoting</w:t>
      </w:r>
      <w:r w:rsidR="005D3792">
        <w:t>,</w:t>
      </w:r>
      <w:r>
        <w:t xml:space="preserve"> open recruitment and merit-based appointments and promotions. </w:t>
      </w:r>
    </w:p>
    <w:p w14:paraId="30A05A85" w14:textId="007C9B63" w:rsidR="002950E7" w:rsidRDefault="002950E7" w:rsidP="002950E7">
      <w:pPr>
        <w:pStyle w:val="BodyText"/>
      </w:pPr>
      <w:r>
        <w:t xml:space="preserve">There are three elements to the </w:t>
      </w:r>
      <w:r w:rsidR="00F3020A">
        <w:t xml:space="preserve">DFAT </w:t>
      </w:r>
      <w:r w:rsidR="00E043E4">
        <w:t xml:space="preserve">aid program </w:t>
      </w:r>
      <w:r>
        <w:t>bureaucratic reform program:</w:t>
      </w:r>
    </w:p>
    <w:p w14:paraId="12BD6A20" w14:textId="0111EC0D" w:rsidR="002950E7" w:rsidRDefault="005D3792" w:rsidP="009A2B98">
      <w:pPr>
        <w:pStyle w:val="ListBullet"/>
      </w:pPr>
      <w:r>
        <w:t xml:space="preserve">strengthening </w:t>
      </w:r>
      <w:r w:rsidR="002950E7">
        <w:t xml:space="preserve">the internal capacity of </w:t>
      </w:r>
      <w:r>
        <w:t xml:space="preserve">the </w:t>
      </w:r>
      <w:r w:rsidR="002950E7">
        <w:t>Ministry of State Apparatus and Bureaucratic Reform to lead reform at national and local government levels to widen coverage</w:t>
      </w:r>
    </w:p>
    <w:p w14:paraId="079CFDE2" w14:textId="3F931025" w:rsidR="002950E7" w:rsidRDefault="005D3792" w:rsidP="009A2B98">
      <w:pPr>
        <w:pStyle w:val="ListBullet"/>
      </w:pPr>
      <w:r>
        <w:lastRenderedPageBreak/>
        <w:t xml:space="preserve">strengthening </w:t>
      </w:r>
      <w:r w:rsidR="002950E7">
        <w:t>the capacity of civil society organisations, universities, media and the parliament to advocate, oversee, lobby and support the implementation of bureaucratic reform plans and agendas</w:t>
      </w:r>
    </w:p>
    <w:p w14:paraId="2CC479AE" w14:textId="4761C7BB" w:rsidR="002950E7" w:rsidRDefault="005D3792" w:rsidP="009A2B98">
      <w:pPr>
        <w:pStyle w:val="ListBullet"/>
      </w:pPr>
      <w:proofErr w:type="gramStart"/>
      <w:r>
        <w:t>establishing</w:t>
      </w:r>
      <w:proofErr w:type="gramEnd"/>
      <w:r>
        <w:t xml:space="preserve"> </w:t>
      </w:r>
      <w:r w:rsidR="002950E7">
        <w:t xml:space="preserve">a hub of bureaucratic reform that acts as the coordinating mechanism for </w:t>
      </w:r>
      <w:r w:rsidR="00297BCB">
        <w:t xml:space="preserve">Australian </w:t>
      </w:r>
      <w:r w:rsidR="002950E7">
        <w:t>support to reform programs in Indonesia.</w:t>
      </w:r>
    </w:p>
    <w:p w14:paraId="087CD2FE" w14:textId="0D383591" w:rsidR="002950E7" w:rsidRDefault="00297BCB" w:rsidP="002950E7">
      <w:pPr>
        <w:pStyle w:val="BodyText"/>
      </w:pPr>
      <w:r>
        <w:t>Australian</w:t>
      </w:r>
      <w:r w:rsidR="002950E7">
        <w:t xml:space="preserve"> support in this sector has provided a number of tangible results through our Reform the Reformers program. A new performance management system has been introduced together with a range of new regulations to major central institutions </w:t>
      </w:r>
      <w:r w:rsidR="005D3792">
        <w:t xml:space="preserve">that </w:t>
      </w:r>
      <w:r w:rsidR="002950E7">
        <w:t>replac</w:t>
      </w:r>
      <w:r w:rsidR="005D3792">
        <w:t>e</w:t>
      </w:r>
      <w:r w:rsidR="002950E7">
        <w:t xml:space="preserve"> the old performance management tool. We have supported internal restructuring within </w:t>
      </w:r>
      <w:r w:rsidR="005D3792">
        <w:t>the Ministry for State Apparatus and Bureaucratic Reform</w:t>
      </w:r>
      <w:r w:rsidR="002950E7">
        <w:t xml:space="preserve"> based on the </w:t>
      </w:r>
      <w:r w:rsidR="005D3792">
        <w:t xml:space="preserve">organisational </w:t>
      </w:r>
      <w:r w:rsidR="002950E7">
        <w:t xml:space="preserve">assessment facilitated by </w:t>
      </w:r>
      <w:r w:rsidR="005D3792">
        <w:t>the Reform the Reformers program</w:t>
      </w:r>
      <w:r w:rsidR="002950E7">
        <w:t xml:space="preserve">. This has brought about </w:t>
      </w:r>
      <w:r w:rsidR="005D3792">
        <w:t xml:space="preserve">more </w:t>
      </w:r>
      <w:r w:rsidR="002950E7">
        <w:t xml:space="preserve">transparent and competitive recruitment of all new and vacant positions in </w:t>
      </w:r>
      <w:r w:rsidR="005D3792">
        <w:t xml:space="preserve">the ministry </w:t>
      </w:r>
      <w:r w:rsidR="002950E7">
        <w:t xml:space="preserve">and for the heads of </w:t>
      </w:r>
      <w:r w:rsidR="005D3792">
        <w:t xml:space="preserve">institutions </w:t>
      </w:r>
      <w:r w:rsidR="002950E7">
        <w:t xml:space="preserve">such as </w:t>
      </w:r>
      <w:r w:rsidR="005D3792">
        <w:t xml:space="preserve">the National Institute for Public Administration </w:t>
      </w:r>
      <w:r w:rsidR="002950E7">
        <w:t xml:space="preserve">and </w:t>
      </w:r>
      <w:r w:rsidR="005D3792">
        <w:t>Bureau of Civil Service</w:t>
      </w:r>
      <w:r w:rsidR="002950E7">
        <w:t xml:space="preserve">. A ministerial circular providing standard operational </w:t>
      </w:r>
      <w:proofErr w:type="gramStart"/>
      <w:r w:rsidR="002950E7">
        <w:t>procedures</w:t>
      </w:r>
      <w:proofErr w:type="gramEnd"/>
      <w:r w:rsidR="002950E7">
        <w:t xml:space="preserve"> for open selection processes has been issued, and is currently being adopted by the province of Jakarta for sub district positions.</w:t>
      </w:r>
    </w:p>
    <w:p w14:paraId="1D253C5B" w14:textId="7F8FACCD" w:rsidR="005D3792" w:rsidRDefault="002950E7" w:rsidP="002950E7">
      <w:pPr>
        <w:pStyle w:val="BodyText"/>
      </w:pPr>
      <w:r>
        <w:t xml:space="preserve">An </w:t>
      </w:r>
      <w:r w:rsidR="005D3792">
        <w:t xml:space="preserve">organisational </w:t>
      </w:r>
      <w:r>
        <w:t xml:space="preserve">assessment </w:t>
      </w:r>
      <w:r w:rsidR="005D3792">
        <w:t xml:space="preserve">of the Ministry for State Apparatus and the Bureaucratic Reform </w:t>
      </w:r>
      <w:r>
        <w:t xml:space="preserve">was also completed in 2012, and </w:t>
      </w:r>
      <w:r w:rsidR="005D3792">
        <w:t xml:space="preserve">Reform the Reformers </w:t>
      </w:r>
      <w:r>
        <w:t xml:space="preserve">supported </w:t>
      </w:r>
      <w:r w:rsidR="005D3792">
        <w:t>the Ministry for State Apparatus and Bureaucratic Reform</w:t>
      </w:r>
      <w:r>
        <w:t xml:space="preserve"> </w:t>
      </w:r>
      <w:r w:rsidR="005D3792">
        <w:t xml:space="preserve">to </w:t>
      </w:r>
      <w:r>
        <w:t>commenc</w:t>
      </w:r>
      <w:r w:rsidR="005D3792">
        <w:t xml:space="preserve">e </w:t>
      </w:r>
      <w:r>
        <w:t xml:space="preserve">an assessment </w:t>
      </w:r>
      <w:r w:rsidR="005D3792">
        <w:t xml:space="preserve">of </w:t>
      </w:r>
      <w:r>
        <w:t xml:space="preserve">the Ministry of Home Affairs and the Ministry of Agriculture. </w:t>
      </w:r>
    </w:p>
    <w:p w14:paraId="37B71864" w14:textId="430F0C57" w:rsidR="0062642C" w:rsidRDefault="002950E7" w:rsidP="002950E7">
      <w:pPr>
        <w:pStyle w:val="BodyText"/>
      </w:pPr>
      <w:r>
        <w:t>Indonesia’s Ombudsmen and</w:t>
      </w:r>
      <w:r w:rsidR="005D3792">
        <w:t xml:space="preserve"> the Ministry for State Apparatus and Bureaucratic Reform </w:t>
      </w:r>
      <w:r>
        <w:t xml:space="preserve">have also agreed to work together </w:t>
      </w:r>
      <w:r w:rsidR="005D3792">
        <w:t>to</w:t>
      </w:r>
      <w:r>
        <w:t xml:space="preserve"> creat</w:t>
      </w:r>
      <w:r w:rsidR="005D3792">
        <w:t xml:space="preserve">e </w:t>
      </w:r>
      <w:r>
        <w:t xml:space="preserve">a </w:t>
      </w:r>
      <w:r w:rsidR="005D3792">
        <w:t>national handling complaint system for the public service</w:t>
      </w:r>
      <w:r>
        <w:t xml:space="preserve">. </w:t>
      </w:r>
      <w:r w:rsidR="005D3792">
        <w:t>T</w:t>
      </w:r>
      <w:r>
        <w:t>rain</w:t>
      </w:r>
      <w:r w:rsidR="005D3792">
        <w:t xml:space="preserve">ing has been undertaken for </w:t>
      </w:r>
      <w:r>
        <w:t>3888 individuals</w:t>
      </w:r>
      <w:r w:rsidR="005D3792">
        <w:t xml:space="preserve">, including </w:t>
      </w:r>
      <w:r>
        <w:t>1263 women</w:t>
      </w:r>
      <w:r w:rsidR="00C87FE6">
        <w:t>, while</w:t>
      </w:r>
      <w:r w:rsidR="00B525E5">
        <w:t xml:space="preserve"> </w:t>
      </w:r>
      <w:r w:rsidR="00C87FE6">
        <w:t xml:space="preserve">strategies </w:t>
      </w:r>
      <w:r>
        <w:t xml:space="preserve">to </w:t>
      </w:r>
      <w:r w:rsidR="005D3792">
        <w:t>promote</w:t>
      </w:r>
      <w:r>
        <w:t xml:space="preserve"> </w:t>
      </w:r>
      <w:r w:rsidR="005D3792">
        <w:t>bureaucratic reform have</w:t>
      </w:r>
      <w:r>
        <w:t xml:space="preserve"> also been developed jointly with </w:t>
      </w:r>
      <w:r w:rsidR="005D3792">
        <w:t>civil society organisations</w:t>
      </w:r>
      <w:r>
        <w:t xml:space="preserve">, </w:t>
      </w:r>
      <w:r w:rsidR="005D3792">
        <w:t>five</w:t>
      </w:r>
      <w:r>
        <w:t xml:space="preserve"> national and 30 local </w:t>
      </w:r>
      <w:r w:rsidR="005D3792">
        <w:t>non-government organisations</w:t>
      </w:r>
      <w:r>
        <w:t xml:space="preserve">. </w:t>
      </w:r>
      <w:r w:rsidR="00C87FE6">
        <w:t xml:space="preserve">Eight </w:t>
      </w:r>
      <w:r>
        <w:t xml:space="preserve">national media corporations and </w:t>
      </w:r>
      <w:r w:rsidR="00C87FE6">
        <w:t xml:space="preserve">seven </w:t>
      </w:r>
      <w:r>
        <w:t xml:space="preserve">electronic media </w:t>
      </w:r>
      <w:r w:rsidR="00C87FE6">
        <w:t xml:space="preserve">outlets </w:t>
      </w:r>
      <w:r>
        <w:t xml:space="preserve">are also distributing information on </w:t>
      </w:r>
      <w:r w:rsidR="00C87FE6">
        <w:t xml:space="preserve">bureaucratic reform </w:t>
      </w:r>
      <w:r>
        <w:t>to the public.</w:t>
      </w:r>
      <w:r w:rsidR="0062642C" w:rsidRPr="0062642C">
        <w:t xml:space="preserve"> </w:t>
      </w:r>
    </w:p>
    <w:p w14:paraId="062F7E10" w14:textId="45E527F0" w:rsidR="00154F9B" w:rsidRDefault="0062642C" w:rsidP="002950E7">
      <w:pPr>
        <w:pStyle w:val="BodyText"/>
      </w:pPr>
      <w:r>
        <w:t xml:space="preserve">Ongoing discussion on proposed governance arrangements will continue with the </w:t>
      </w:r>
      <w:r w:rsidR="00C87FE6">
        <w:t>vice minister</w:t>
      </w:r>
      <w:r>
        <w:t xml:space="preserve">. </w:t>
      </w:r>
      <w:r w:rsidR="00C87FE6">
        <w:t xml:space="preserve">This </w:t>
      </w:r>
      <w:r>
        <w:t>process is expected to be completed by 2013</w:t>
      </w:r>
      <w:r w:rsidR="00C87FE6">
        <w:t xml:space="preserve"> and to result in </w:t>
      </w:r>
      <w:r>
        <w:t xml:space="preserve">tangible improvements to services </w:t>
      </w:r>
      <w:r w:rsidR="00C87FE6">
        <w:t xml:space="preserve">that are </w:t>
      </w:r>
      <w:r>
        <w:t>delivered to the poor.</w:t>
      </w:r>
    </w:p>
    <w:p w14:paraId="6703D519" w14:textId="64D3BD2D" w:rsidR="00780026" w:rsidRPr="00780026" w:rsidRDefault="00780026" w:rsidP="009A2B98">
      <w:pPr>
        <w:pStyle w:val="Heading2"/>
      </w:pPr>
      <w:bookmarkStart w:id="53" w:name="_Toc359585099"/>
      <w:bookmarkStart w:id="54" w:name="_Toc363768587"/>
      <w:bookmarkStart w:id="55" w:name="_Toc363804123"/>
      <w:r w:rsidRPr="00780026">
        <w:t xml:space="preserve">Management </w:t>
      </w:r>
      <w:bookmarkEnd w:id="53"/>
      <w:r w:rsidR="00C87FE6">
        <w:t>c</w:t>
      </w:r>
      <w:r w:rsidR="00C87FE6" w:rsidRPr="00780026">
        <w:t>onsequences</w:t>
      </w:r>
      <w:bookmarkEnd w:id="54"/>
      <w:bookmarkEnd w:id="55"/>
    </w:p>
    <w:p w14:paraId="527B54C7" w14:textId="77777777" w:rsidR="00C87FE6" w:rsidRPr="008335E2" w:rsidRDefault="00C87FE6" w:rsidP="009A2B98">
      <w:pPr>
        <w:pStyle w:val="BodyText"/>
      </w:pPr>
      <w:r w:rsidRPr="00D67028">
        <w:t>Management consequences for 2013–14 include:</w:t>
      </w:r>
    </w:p>
    <w:p w14:paraId="08863ED9" w14:textId="0339F895" w:rsidR="002950E7" w:rsidRDefault="002950E7" w:rsidP="009A2B98">
      <w:pPr>
        <w:pStyle w:val="ListBullet"/>
      </w:pPr>
      <w:r>
        <w:t xml:space="preserve">Merging </w:t>
      </w:r>
      <w:r w:rsidR="00C87FE6">
        <w:t>bureaucratic reform</w:t>
      </w:r>
      <w:r>
        <w:t xml:space="preserve"> work with </w:t>
      </w:r>
      <w:r w:rsidR="00F3020A">
        <w:t>DFAT</w:t>
      </w:r>
      <w:r>
        <w:t xml:space="preserve"> support in decentralisation to allow for better </w:t>
      </w:r>
      <w:r w:rsidR="00C87FE6">
        <w:t xml:space="preserve">information </w:t>
      </w:r>
      <w:r>
        <w:t>flow</w:t>
      </w:r>
      <w:r w:rsidR="00C87FE6">
        <w:t xml:space="preserve"> </w:t>
      </w:r>
      <w:r>
        <w:t>to national policy makers.</w:t>
      </w:r>
    </w:p>
    <w:p w14:paraId="2125CC79" w14:textId="77777777" w:rsidR="002950E7" w:rsidRDefault="002950E7" w:rsidP="009A2B98">
      <w:pPr>
        <w:pStyle w:val="ListBullet"/>
      </w:pPr>
      <w:r>
        <w:t>Ensuring cross-sectoral collaboration to ensure information flows from human development sectors are also fed into policies to improve civil service standards.</w:t>
      </w:r>
    </w:p>
    <w:p w14:paraId="4221F5EE" w14:textId="56EFBCA3" w:rsidR="00154F9B" w:rsidRDefault="00154F9B" w:rsidP="003E7DF9">
      <w:pPr>
        <w:pStyle w:val="BodyText"/>
      </w:pPr>
      <w:r>
        <w:t>T</w:t>
      </w:r>
      <w:r w:rsidRPr="004048AD">
        <w:t xml:space="preserve">he </w:t>
      </w:r>
      <w:r>
        <w:t>follow</w:t>
      </w:r>
      <w:r w:rsidR="00B525E5">
        <w:t>-</w:t>
      </w:r>
      <w:r>
        <w:t xml:space="preserve">up of </w:t>
      </w:r>
      <w:r w:rsidRPr="004048AD">
        <w:t xml:space="preserve">management consequences from the </w:t>
      </w:r>
      <w:r w:rsidR="00C87FE6">
        <w:t>2011 annual program performance report</w:t>
      </w:r>
      <w:r w:rsidR="00C87FE6" w:rsidRPr="004048AD">
        <w:t xml:space="preserve"> </w:t>
      </w:r>
      <w:r>
        <w:t>can be found in</w:t>
      </w:r>
      <w:r w:rsidRPr="004048AD">
        <w:t xml:space="preserve"> </w:t>
      </w:r>
      <w:r w:rsidRPr="00154F9B">
        <w:rPr>
          <w:b/>
        </w:rPr>
        <w:t>Annex B</w:t>
      </w:r>
      <w:r w:rsidRPr="004048AD">
        <w:t>.</w:t>
      </w:r>
    </w:p>
    <w:p w14:paraId="770BE177" w14:textId="77777777" w:rsidR="00780026" w:rsidRPr="00780026" w:rsidRDefault="00780026" w:rsidP="009A2B98">
      <w:pPr>
        <w:pStyle w:val="Heading1"/>
      </w:pPr>
      <w:bookmarkStart w:id="56" w:name="_Toc359585100"/>
      <w:bookmarkStart w:id="57" w:name="_Toc363804124"/>
      <w:r w:rsidRPr="00780026">
        <w:t>Climate change</w:t>
      </w:r>
      <w:bookmarkEnd w:id="56"/>
      <w:bookmarkEnd w:id="57"/>
      <w:r w:rsidRPr="00780026">
        <w:t xml:space="preserve"> </w:t>
      </w:r>
    </w:p>
    <w:tbl>
      <w:tblPr>
        <w:tblStyle w:val="APPR4"/>
        <w:tblW w:w="5000" w:type="pct"/>
        <w:tblLayout w:type="fixed"/>
        <w:tblLook w:val="0000" w:firstRow="0" w:lastRow="0" w:firstColumn="0" w:lastColumn="0" w:noHBand="0" w:noVBand="0"/>
      </w:tblPr>
      <w:tblGrid>
        <w:gridCol w:w="6453"/>
        <w:gridCol w:w="1050"/>
        <w:gridCol w:w="1103"/>
      </w:tblGrid>
      <w:tr w:rsidR="009A2B98" w:rsidRPr="00780026" w14:paraId="5666C3E5" w14:textId="77777777" w:rsidTr="009A2B98">
        <w:trPr>
          <w:cantSplit/>
          <w:tblHeader w:val="0"/>
        </w:trPr>
        <w:tc>
          <w:tcPr>
            <w:tcW w:w="6048" w:type="dxa"/>
          </w:tcPr>
          <w:p w14:paraId="1DD576F0" w14:textId="77777777" w:rsidR="009A2B98" w:rsidRPr="00780026" w:rsidRDefault="009A2B98" w:rsidP="009A2B98">
            <w:pPr>
              <w:pStyle w:val="TableTextColumnHeading"/>
            </w:pPr>
            <w:r w:rsidRPr="00780026">
              <w:rPr>
                <w:noProof/>
                <w:lang w:eastAsia="en-AU"/>
              </w:rPr>
              <w:drawing>
                <wp:anchor distT="0" distB="0" distL="114300" distR="114300" simplePos="0" relativeHeight="251710464" behindDoc="0" locked="0" layoutInCell="1" allowOverlap="1" wp14:anchorId="4649F50F" wp14:editId="1E4B21EF">
                  <wp:simplePos x="0" y="0"/>
                  <wp:positionH relativeFrom="column">
                    <wp:posOffset>0</wp:posOffset>
                  </wp:positionH>
                  <wp:positionV relativeFrom="paragraph">
                    <wp:posOffset>0</wp:posOffset>
                  </wp:positionV>
                  <wp:extent cx="1857375" cy="228600"/>
                  <wp:effectExtent l="0" t="0" r="9525" b="0"/>
                  <wp:wrapNone/>
                  <wp:docPr id="24" name="Picture 2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026">
              <w:t>Objective</w:t>
            </w:r>
          </w:p>
        </w:tc>
        <w:tc>
          <w:tcPr>
            <w:tcW w:w="964" w:type="dxa"/>
            <w:vAlign w:val="center"/>
          </w:tcPr>
          <w:p w14:paraId="21408D76" w14:textId="4624A20A" w:rsidR="009A2B98" w:rsidRPr="00780026" w:rsidRDefault="009A2B98" w:rsidP="009A2B98">
            <w:pPr>
              <w:pStyle w:val="TableTextColumnHeading"/>
            </w:pPr>
            <w:r w:rsidRPr="00780026">
              <w:t xml:space="preserve">Current </w:t>
            </w:r>
            <w:r>
              <w:t>r</w:t>
            </w:r>
            <w:r w:rsidRPr="00780026">
              <w:t>ating</w:t>
            </w:r>
          </w:p>
        </w:tc>
        <w:tc>
          <w:tcPr>
            <w:tcW w:w="1001" w:type="dxa"/>
            <w:vAlign w:val="center"/>
          </w:tcPr>
          <w:p w14:paraId="70D5D55A" w14:textId="066937E5" w:rsidR="009A2B98" w:rsidRPr="00780026" w:rsidRDefault="009A2B98" w:rsidP="009A2B98">
            <w:pPr>
              <w:pStyle w:val="TableTextColumnHeading"/>
            </w:pPr>
            <w:r w:rsidRPr="00780026">
              <w:t xml:space="preserve">Previous </w:t>
            </w:r>
            <w:r>
              <w:t>r</w:t>
            </w:r>
            <w:r w:rsidRPr="00780026">
              <w:t>ating</w:t>
            </w:r>
          </w:p>
        </w:tc>
      </w:tr>
      <w:tr w:rsidR="009A2B98" w:rsidRPr="00780026" w14:paraId="7B439A65" w14:textId="77777777" w:rsidTr="009A2B98">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3F761F1A" w14:textId="77777777" w:rsidR="009A2B98" w:rsidRPr="00780026" w:rsidRDefault="009A2B98" w:rsidP="009A2B98">
            <w:pPr>
              <w:pStyle w:val="TableTextEntries"/>
              <w:rPr>
                <w:szCs w:val="18"/>
              </w:rPr>
            </w:pPr>
            <w:r w:rsidRPr="00780026">
              <w:t>REDD+ demonstrated to be practical, effective and equitable</w:t>
            </w:r>
          </w:p>
        </w:tc>
        <w:tc>
          <w:tcPr>
            <w:tcW w:w="964" w:type="dxa"/>
            <w:shd w:val="clear" w:color="auto" w:fill="FF0000"/>
            <w:noWrap/>
            <w:vAlign w:val="center"/>
          </w:tcPr>
          <w:p w14:paraId="31940C67" w14:textId="77777777" w:rsidR="009A2B98" w:rsidRPr="009A2B98" w:rsidRDefault="009A2B98" w:rsidP="009A2B98">
            <w:pPr>
              <w:pStyle w:val="TableTextEntries"/>
            </w:pPr>
            <w:r w:rsidRPr="009A2B98">
              <w:t>Red</w:t>
            </w:r>
          </w:p>
        </w:tc>
        <w:tc>
          <w:tcPr>
            <w:tcW w:w="1001" w:type="dxa"/>
            <w:shd w:val="clear" w:color="auto" w:fill="F79646" w:themeFill="accent6"/>
            <w:noWrap/>
            <w:vAlign w:val="center"/>
          </w:tcPr>
          <w:p w14:paraId="5153146E" w14:textId="77777777" w:rsidR="009A2B98" w:rsidRPr="009A2B98" w:rsidRDefault="009A2B98" w:rsidP="009A2B98">
            <w:pPr>
              <w:pStyle w:val="TableTextEntries"/>
            </w:pPr>
            <w:r w:rsidRPr="009A2B98">
              <w:t>Amber</w:t>
            </w:r>
          </w:p>
        </w:tc>
      </w:tr>
    </w:tbl>
    <w:p w14:paraId="399AF71B" w14:textId="77777777" w:rsidR="00780026" w:rsidRPr="00780026" w:rsidRDefault="00780026" w:rsidP="009A2B98">
      <w:pPr>
        <w:pStyle w:val="Note"/>
      </w:pPr>
      <w:r w:rsidRPr="00780026">
        <w:lastRenderedPageBreak/>
        <w:t xml:space="preserve">Note: </w:t>
      </w:r>
    </w:p>
    <w:p w14:paraId="0906A60C" w14:textId="77777777" w:rsidR="00780026" w:rsidRPr="00780026" w:rsidRDefault="00780026" w:rsidP="009A2B98">
      <w:pPr>
        <w:pStyle w:val="Note"/>
      </w:pPr>
      <w:r w:rsidRPr="00780026">
        <w:rPr>
          <w:color w:val="92D050"/>
        </w:rPr>
        <w:sym w:font="Webdings" w:char="F067"/>
      </w:r>
      <w:r w:rsidRPr="00780026">
        <w:t> </w:t>
      </w:r>
      <w:r w:rsidRPr="00780026">
        <w:t xml:space="preserve"> </w:t>
      </w:r>
      <w:proofErr w:type="gramStart"/>
      <w:r w:rsidRPr="00780026">
        <w:t>Green.</w:t>
      </w:r>
      <w:proofErr w:type="gramEnd"/>
      <w:r w:rsidRPr="00780026">
        <w:t xml:space="preserve"> Progress is as expected for this point in time and it is likely that the objective will be achieved. Standard program management practices are sufficient.</w:t>
      </w:r>
    </w:p>
    <w:p w14:paraId="5F1CC8AA" w14:textId="77777777" w:rsidR="00780026" w:rsidRPr="00780026" w:rsidRDefault="00780026" w:rsidP="009A2B98">
      <w:pPr>
        <w:pStyle w:val="Note"/>
      </w:pPr>
      <w:r w:rsidRPr="00780026">
        <w:rPr>
          <w:color w:val="F79646" w:themeColor="accent6"/>
        </w:rPr>
        <w:sym w:font="Webdings" w:char="F067"/>
      </w:r>
      <w:r w:rsidRPr="00780026">
        <w:t> </w:t>
      </w:r>
      <w:r w:rsidRPr="00780026">
        <w:t xml:space="preserve"> Amber. Progress is somewhat less than expected for this point in time and restorative action will be necessary if the objective is to be achieved. Close performance monitoring is recommended.</w:t>
      </w:r>
    </w:p>
    <w:p w14:paraId="6E4B0556" w14:textId="77777777" w:rsidR="00780026" w:rsidRPr="00780026" w:rsidRDefault="00780026" w:rsidP="009A2B98">
      <w:pPr>
        <w:pStyle w:val="Note"/>
      </w:pPr>
      <w:r w:rsidRPr="00780026">
        <w:rPr>
          <w:color w:val="FF0000"/>
        </w:rPr>
        <w:sym w:font="Webdings" w:char="F067"/>
      </w:r>
      <w:r w:rsidRPr="00780026">
        <w:t> </w:t>
      </w:r>
      <w:r w:rsidRPr="00780026">
        <w:t xml:space="preserve"> </w:t>
      </w:r>
      <w:proofErr w:type="gramStart"/>
      <w:r w:rsidRPr="00780026">
        <w:t>Red.</w:t>
      </w:r>
      <w:proofErr w:type="gramEnd"/>
      <w:r w:rsidRPr="00780026">
        <w:t xml:space="preserve"> Progress is significantly less than expected for this point in time and the objective is not likely to be met given available resources and priorities. Recasting the objective may be required. </w:t>
      </w:r>
    </w:p>
    <w:p w14:paraId="4F189D71" w14:textId="77777777" w:rsidR="000D586F" w:rsidRDefault="000D586F" w:rsidP="0062642C">
      <w:pPr>
        <w:pStyle w:val="BodyText"/>
      </w:pPr>
    </w:p>
    <w:p w14:paraId="25CE39A1" w14:textId="3A9EA641" w:rsidR="00B55FE0" w:rsidRDefault="000D586F" w:rsidP="000D586F">
      <w:pPr>
        <w:pStyle w:val="BodyText"/>
      </w:pPr>
      <w:r w:rsidRPr="000D586F">
        <w:t>As a country that is both highly vulnerable to the impacts of climate change, and a significant contributor to global greenhouse gas emissions</w:t>
      </w:r>
      <w:r w:rsidR="00F81534">
        <w:t>––</w:t>
      </w:r>
      <w:r w:rsidRPr="000D586F">
        <w:t xml:space="preserve">primarily through emissions from degraded </w:t>
      </w:r>
      <w:r w:rsidR="009A7C24" w:rsidRPr="000D586F">
        <w:t>peat land</w:t>
      </w:r>
      <w:r w:rsidRPr="000D586F">
        <w:t xml:space="preserve"> and deforestation</w:t>
      </w:r>
      <w:r w:rsidR="00B55FE0">
        <w:t>––</w:t>
      </w:r>
      <w:r w:rsidRPr="000D586F">
        <w:t xml:space="preserve">climate change remains important for </w:t>
      </w:r>
      <w:proofErr w:type="gramStart"/>
      <w:r w:rsidRPr="000D586F">
        <w:t>Indonesia,</w:t>
      </w:r>
      <w:proofErr w:type="gramEnd"/>
      <w:r w:rsidRPr="000D586F">
        <w:t xml:space="preserve"> and a stated priori</w:t>
      </w:r>
      <w:r>
        <w:t xml:space="preserve">ty for Indonesia’s </w:t>
      </w:r>
      <w:r w:rsidR="00B55FE0">
        <w:t>president</w:t>
      </w:r>
      <w:r>
        <w:t>. </w:t>
      </w:r>
    </w:p>
    <w:p w14:paraId="7E5CD2C9" w14:textId="62948DC7" w:rsidR="000D586F" w:rsidRPr="000D586F" w:rsidRDefault="000D586F" w:rsidP="000D586F">
      <w:pPr>
        <w:pStyle w:val="BodyText"/>
      </w:pPr>
      <w:r w:rsidRPr="000D586F">
        <w:t xml:space="preserve">Progress on </w:t>
      </w:r>
      <w:r w:rsidR="00B55FE0">
        <w:t>the issue</w:t>
      </w:r>
      <w:r w:rsidRPr="000D586F">
        <w:t xml:space="preserve"> </w:t>
      </w:r>
      <w:r>
        <w:t>remained mixed in 2012.</w:t>
      </w:r>
      <w:r w:rsidRPr="000D586F">
        <w:t> Through a significant coordination effort, sectoral line ministries and most provincial governments completed plans that outline how they will contribute to the overarching National Action Plan for Reducing Greenhouse Gas Emissions, which aims to reduce emissions by 26</w:t>
      </w:r>
      <w:r w:rsidR="00B55FE0">
        <w:t xml:space="preserve"> per cent </w:t>
      </w:r>
      <w:r>
        <w:t>relative to business as usual.</w:t>
      </w:r>
      <w:r w:rsidRPr="000D586F">
        <w:t xml:space="preserve"> However, implementation in some areas has proven difficult, and national efforts have not been aided by slower than expected progress on a comprehensive glob</w:t>
      </w:r>
      <w:r>
        <w:t>al agreement on climate change.</w:t>
      </w:r>
      <w:r w:rsidRPr="000D586F">
        <w:t xml:space="preserve"> Five years after key climate change negotiations in Bali, work on reducing emissions from deforestation and forest degradation (REDD+) continues to progress slowly on the ground</w:t>
      </w:r>
      <w:r w:rsidR="00D47319">
        <w:t>. T</w:t>
      </w:r>
      <w:r w:rsidRPr="000D586F">
        <w:t xml:space="preserve">he </w:t>
      </w:r>
      <w:r w:rsidR="00D47319">
        <w:t>p</w:t>
      </w:r>
      <w:r w:rsidRPr="000D586F">
        <w:t>residential REDD+ Taskforce</w:t>
      </w:r>
      <w:r w:rsidR="00D47319">
        <w:t>––</w:t>
      </w:r>
      <w:r w:rsidRPr="000D586F">
        <w:t>established as part of the US</w:t>
      </w:r>
      <w:r w:rsidR="00B55FE0">
        <w:t>D</w:t>
      </w:r>
      <w:r w:rsidRPr="000D586F">
        <w:t xml:space="preserve">1 billion </w:t>
      </w:r>
      <w:r w:rsidR="00B55FE0">
        <w:t>l</w:t>
      </w:r>
      <w:r w:rsidR="00B55FE0" w:rsidRPr="000D586F">
        <w:t xml:space="preserve">etter </w:t>
      </w:r>
      <w:r w:rsidRPr="000D586F">
        <w:t xml:space="preserve">of </w:t>
      </w:r>
      <w:r w:rsidR="00B55FE0">
        <w:t>i</w:t>
      </w:r>
      <w:r w:rsidR="00B55FE0" w:rsidRPr="000D586F">
        <w:t xml:space="preserve">ntent </w:t>
      </w:r>
      <w:r w:rsidRPr="000D586F">
        <w:t>with Norway on REDD+</w:t>
      </w:r>
      <w:r w:rsidR="00D47319">
        <w:t>––</w:t>
      </w:r>
      <w:r w:rsidRPr="000D586F">
        <w:t>is delivering results in targeted areas</w:t>
      </w:r>
      <w:r w:rsidR="00D47319">
        <w:t xml:space="preserve">, </w:t>
      </w:r>
      <w:r w:rsidRPr="000D586F">
        <w:t>including strengthening inter</w:t>
      </w:r>
      <w:r w:rsidR="00D47319">
        <w:t>-</w:t>
      </w:r>
      <w:r w:rsidRPr="000D586F">
        <w:t>agency cooperation on law enforcement</w:t>
      </w:r>
      <w:r w:rsidR="00D47319">
        <w:t xml:space="preserve">, but </w:t>
      </w:r>
      <w:r w:rsidRPr="000D586F">
        <w:t>some major outputs</w:t>
      </w:r>
      <w:r>
        <w:t xml:space="preserve"> are well behind schedule.</w:t>
      </w:r>
      <w:r w:rsidRPr="000D586F">
        <w:t xml:space="preserve"> A national REDD+ agency, REDD+ funding mechanism and an independent measurement, reporting and verification institution have yet to be established. </w:t>
      </w:r>
    </w:p>
    <w:p w14:paraId="4A0F67F3" w14:textId="62023029" w:rsidR="000D586F" w:rsidRPr="000D586F" w:rsidRDefault="000D586F" w:rsidP="000D586F">
      <w:pPr>
        <w:pStyle w:val="BodyText"/>
      </w:pPr>
      <w:r w:rsidRPr="000D586F">
        <w:t>Australia is supporting climate change action in Indonesia primarily through the Indonesia</w:t>
      </w:r>
      <w:r w:rsidR="00B55FE0">
        <w:t>–</w:t>
      </w:r>
      <w:r w:rsidRPr="000D586F">
        <w:t xml:space="preserve">Australia Forest Carbon Partnership and targeted cooperation </w:t>
      </w:r>
      <w:r>
        <w:t>on green economic development.</w:t>
      </w:r>
      <w:r w:rsidR="00B525E5">
        <w:t xml:space="preserve"> </w:t>
      </w:r>
      <w:r w:rsidRPr="000D586F">
        <w:t>In 2012 and 2013</w:t>
      </w:r>
      <w:r w:rsidR="00B55FE0">
        <w:t>,</w:t>
      </w:r>
      <w:r w:rsidRPr="000D586F">
        <w:t xml:space="preserve"> the </w:t>
      </w:r>
      <w:r w:rsidR="00B55FE0">
        <w:t>partnership’s</w:t>
      </w:r>
      <w:r w:rsidR="00B55FE0" w:rsidRPr="000D586F">
        <w:t xml:space="preserve"> </w:t>
      </w:r>
      <w:r w:rsidRPr="000D586F">
        <w:t>two main activities</w:t>
      </w:r>
      <w:r w:rsidR="00B55FE0">
        <w:t>––</w:t>
      </w:r>
      <w:r w:rsidRPr="000D586F">
        <w:t>the Kalimantan Forest</w:t>
      </w:r>
      <w:r w:rsidR="00944397">
        <w:t>s</w:t>
      </w:r>
      <w:r w:rsidRPr="000D586F">
        <w:t xml:space="preserve"> and Climate Partnership REDD+ demonstration project and the Indonesian National Carbon Accounting System support </w:t>
      </w:r>
      <w:r w:rsidR="00B55FE0" w:rsidRPr="000D586F">
        <w:t>program</w:t>
      </w:r>
      <w:r w:rsidR="00B55FE0">
        <w:t>––helped</w:t>
      </w:r>
      <w:r w:rsidR="00B55FE0" w:rsidRPr="000D586F">
        <w:t xml:space="preserve"> </w:t>
      </w:r>
      <w:r w:rsidRPr="000D586F">
        <w:t xml:space="preserve">build the foundations for a REDD+ system in Indonesia </w:t>
      </w:r>
      <w:r w:rsidR="00B55FE0">
        <w:t>by</w:t>
      </w:r>
      <w:r w:rsidR="00B55FE0" w:rsidRPr="000D586F">
        <w:t xml:space="preserve"> </w:t>
      </w:r>
      <w:r w:rsidRPr="000D586F">
        <w:t>trialling new approaches and building national capacity.</w:t>
      </w:r>
      <w:r w:rsidR="00B525E5">
        <w:t xml:space="preserve"> </w:t>
      </w:r>
      <w:r w:rsidRPr="000D586F">
        <w:t xml:space="preserve">Following comprehensive community consultations, formal village agreements were finalised with communities in the </w:t>
      </w:r>
      <w:r w:rsidR="00B55FE0" w:rsidRPr="000D586F">
        <w:t>Kalimantan Forest</w:t>
      </w:r>
      <w:r w:rsidR="00944397">
        <w:t>s</w:t>
      </w:r>
      <w:r w:rsidR="00B55FE0" w:rsidRPr="000D586F">
        <w:t xml:space="preserve"> and Climate Partnership </w:t>
      </w:r>
      <w:r w:rsidRPr="000D586F">
        <w:t>area in early 2012</w:t>
      </w:r>
      <w:r w:rsidR="00B55FE0">
        <w:t>. These</w:t>
      </w:r>
      <w:r w:rsidR="00B55FE0" w:rsidRPr="000D586F">
        <w:t xml:space="preserve"> </w:t>
      </w:r>
      <w:r w:rsidRPr="000D586F">
        <w:t>form</w:t>
      </w:r>
      <w:r w:rsidR="00B55FE0">
        <w:t xml:space="preserve">ed </w:t>
      </w:r>
      <w:r w:rsidRPr="000D586F">
        <w:t>the basis for cooperation with</w:t>
      </w:r>
      <w:r w:rsidR="00B55FE0">
        <w:t>,</w:t>
      </w:r>
      <w:r w:rsidRPr="000D586F">
        <w:t xml:space="preserve"> and payments to</w:t>
      </w:r>
      <w:r w:rsidR="00B55FE0">
        <w:t>,</w:t>
      </w:r>
      <w:r w:rsidRPr="000D586F">
        <w:t xml:space="preserve"> local communities.</w:t>
      </w:r>
      <w:r w:rsidR="00B525E5">
        <w:t xml:space="preserve"> </w:t>
      </w:r>
      <w:r w:rsidRPr="000D586F">
        <w:t xml:space="preserve">The program </w:t>
      </w:r>
      <w:r w:rsidR="00B55FE0">
        <w:t xml:space="preserve">is also </w:t>
      </w:r>
      <w:r w:rsidRPr="000D586F">
        <w:t>support</w:t>
      </w:r>
      <w:r w:rsidR="00B55FE0">
        <w:t>ing</w:t>
      </w:r>
      <w:r w:rsidRPr="000D586F">
        <w:t xml:space="preserve"> local communities by helping farmers improve agro-forestry and farming methods</w:t>
      </w:r>
      <w:r w:rsidR="00B55FE0">
        <w:t>,</w:t>
      </w:r>
      <w:r w:rsidR="00B55FE0" w:rsidRPr="000D586F">
        <w:t xml:space="preserve"> </w:t>
      </w:r>
      <w:r w:rsidR="00B55FE0">
        <w:t>helping</w:t>
      </w:r>
      <w:r w:rsidR="00B55FE0" w:rsidRPr="000D586F">
        <w:t xml:space="preserve"> </w:t>
      </w:r>
      <w:r w:rsidRPr="000D586F">
        <w:t>35 community nurseries to raise an additional 1.2 million seedlings for planting</w:t>
      </w:r>
      <w:r w:rsidR="00B55FE0">
        <w:t>,</w:t>
      </w:r>
      <w:r w:rsidR="00B55FE0" w:rsidRPr="000D586F">
        <w:t xml:space="preserve"> </w:t>
      </w:r>
      <w:r w:rsidRPr="000D586F">
        <w:t>and testing results-based payments for reforestation and blocking small canals, providing additional income sources for 1600 households.</w:t>
      </w:r>
      <w:r w:rsidR="00B525E5">
        <w:t xml:space="preserve"> </w:t>
      </w:r>
      <w:r w:rsidRPr="000D586F">
        <w:t xml:space="preserve">The </w:t>
      </w:r>
      <w:r w:rsidR="00B55FE0" w:rsidRPr="000D586F">
        <w:t>Kalimantan Forest</w:t>
      </w:r>
      <w:r w:rsidR="00944397">
        <w:t>s</w:t>
      </w:r>
      <w:r w:rsidR="00B55FE0" w:rsidRPr="000D586F">
        <w:t xml:space="preserve"> and Climate Partnership </w:t>
      </w:r>
      <w:r w:rsidRPr="000D586F">
        <w:t>also supported establishment of local institutions in the area, including a forest management unit to provide an institutional structure for more sustainable management of forests in the future.</w:t>
      </w:r>
      <w:r w:rsidR="00B525E5">
        <w:t xml:space="preserve"> </w:t>
      </w:r>
      <w:r w:rsidRPr="000D586F">
        <w:t>Emerging lessons and research generated by the program are being documented and disseminated to help inform national and international REDD+ efforts.</w:t>
      </w:r>
    </w:p>
    <w:p w14:paraId="4C13A3BA" w14:textId="787E2261" w:rsidR="000D586F" w:rsidRPr="000D586F" w:rsidRDefault="000D586F" w:rsidP="000D586F">
      <w:pPr>
        <w:pStyle w:val="BodyText"/>
      </w:pPr>
      <w:r w:rsidRPr="000D586F">
        <w:t xml:space="preserve">Support for </w:t>
      </w:r>
      <w:r w:rsidR="00B55FE0">
        <w:t xml:space="preserve">the </w:t>
      </w:r>
      <w:r w:rsidR="00B55FE0" w:rsidRPr="000D586F">
        <w:t xml:space="preserve">Indonesian National Carbon Accounting System </w:t>
      </w:r>
      <w:r w:rsidRPr="000D586F">
        <w:t>is helping to build capacity in measuring, reporting and verifying greenhouse gas emissions from land use change in Indonesia.</w:t>
      </w:r>
      <w:r>
        <w:t> </w:t>
      </w:r>
      <w:r w:rsidRPr="000D586F">
        <w:t xml:space="preserve">With strong partner ownership and growing technical capacity, the </w:t>
      </w:r>
      <w:r w:rsidR="00B55FE0">
        <w:t xml:space="preserve">initiative </w:t>
      </w:r>
      <w:r w:rsidRPr="000D586F">
        <w:t>made good progress</w:t>
      </w:r>
      <w:r w:rsidR="00B55FE0">
        <w:t>,</w:t>
      </w:r>
      <w:r w:rsidRPr="000D586F">
        <w:t xml:space="preserve"> including the roll out of national land-cover change maps for Papua and Sumatra islands showing detailed forest loss and ga</w:t>
      </w:r>
      <w:r>
        <w:t>in for the period 2000 to 2009.</w:t>
      </w:r>
      <w:r w:rsidRPr="000D586F">
        <w:t xml:space="preserve"> A pilot carbon account for Kalimantan is currently under development in line with international best practice.</w:t>
      </w:r>
      <w:r>
        <w:t> </w:t>
      </w:r>
      <w:r w:rsidRPr="000D586F">
        <w:t>The program is positioned to make a contribution to a planned national system for the measurement, reporting and verification of emissions.</w:t>
      </w:r>
      <w:r w:rsidR="00B525E5">
        <w:t xml:space="preserve"> </w:t>
      </w:r>
      <w:r w:rsidRPr="000D586F">
        <w:t xml:space="preserve">Strengthened relationships at the national level supported progress on </w:t>
      </w:r>
      <w:r w:rsidR="00B55FE0" w:rsidRPr="000D586F">
        <w:t xml:space="preserve">Indonesian National Carbon Accounting System </w:t>
      </w:r>
      <w:r w:rsidRPr="000D586F">
        <w:t>programs in the reporting period. </w:t>
      </w:r>
    </w:p>
    <w:p w14:paraId="287CF73B" w14:textId="7395E82E" w:rsidR="000D586F" w:rsidRPr="000D586F" w:rsidRDefault="000D586F" w:rsidP="000D586F">
      <w:pPr>
        <w:pStyle w:val="BodyText"/>
      </w:pPr>
      <w:r w:rsidRPr="000D586F">
        <w:lastRenderedPageBreak/>
        <w:t xml:space="preserve">While components of work under the </w:t>
      </w:r>
      <w:r w:rsidR="00B55FE0" w:rsidRPr="000D586F">
        <w:t>Kalimantan Forest</w:t>
      </w:r>
      <w:r w:rsidR="00944397">
        <w:t>s</w:t>
      </w:r>
      <w:r w:rsidR="00B55FE0" w:rsidRPr="000D586F">
        <w:t xml:space="preserve"> and Climate Partnership </w:t>
      </w:r>
      <w:r w:rsidRPr="000D586F">
        <w:t>ended in June 2013, Australia and Indonesia agreed to extend some activities for a fu</w:t>
      </w:r>
      <w:r>
        <w:t xml:space="preserve">rther year to maximise impact. </w:t>
      </w:r>
      <w:r w:rsidRPr="000D586F">
        <w:t xml:space="preserve">Work under the </w:t>
      </w:r>
      <w:r w:rsidR="00B55FE0" w:rsidRPr="000D586F">
        <w:t xml:space="preserve">Indonesian National Carbon Accounting System </w:t>
      </w:r>
      <w:r w:rsidRPr="000D586F">
        <w:t>will also be extended by a further year to allow for the completion of key prod</w:t>
      </w:r>
      <w:r>
        <w:t>ucts. </w:t>
      </w:r>
      <w:r w:rsidRPr="000D586F">
        <w:t>Future cooperation will be considered by the two governments over the coming year.</w:t>
      </w:r>
    </w:p>
    <w:p w14:paraId="5D25520C" w14:textId="08FE9268" w:rsidR="000D586F" w:rsidRPr="000D586F" w:rsidRDefault="000D586F" w:rsidP="000D586F">
      <w:pPr>
        <w:pStyle w:val="BodyText"/>
      </w:pPr>
      <w:r w:rsidRPr="000D586F">
        <w:t xml:space="preserve">As a demonstration activity, the </w:t>
      </w:r>
      <w:r w:rsidR="00B55FE0" w:rsidRPr="000D586F">
        <w:t xml:space="preserve">intention </w:t>
      </w:r>
      <w:r w:rsidR="00B55FE0">
        <w:t xml:space="preserve">of the </w:t>
      </w:r>
      <w:r w:rsidR="00B55FE0" w:rsidRPr="000D586F">
        <w:t xml:space="preserve">Kalimantan Forest and Climate Partnership </w:t>
      </w:r>
      <w:r w:rsidRPr="000D586F">
        <w:t>was always to help test how REDD+ might operate in practice.</w:t>
      </w:r>
      <w:r w:rsidR="00B525E5">
        <w:t xml:space="preserve"> </w:t>
      </w:r>
      <w:r w:rsidRPr="000D586F">
        <w:t xml:space="preserve">The </w:t>
      </w:r>
      <w:r w:rsidR="00B55FE0">
        <w:t>partnership</w:t>
      </w:r>
      <w:r w:rsidR="00B55FE0" w:rsidRPr="000D586F">
        <w:t xml:space="preserve"> </w:t>
      </w:r>
      <w:r w:rsidRPr="000D586F">
        <w:t>has been able to te</w:t>
      </w:r>
      <w:r w:rsidR="000F1A25">
        <w:t xml:space="preserve">st a range of </w:t>
      </w:r>
      <w:proofErr w:type="gramStart"/>
      <w:r w:rsidR="000F1A25">
        <w:t>approaches</w:t>
      </w:r>
      <w:r w:rsidR="00B55FE0">
        <w:t>,</w:t>
      </w:r>
      <w:proofErr w:type="gramEnd"/>
      <w:r w:rsidR="00B55FE0">
        <w:t xml:space="preserve"> h</w:t>
      </w:r>
      <w:r w:rsidR="00B55FE0" w:rsidRPr="000D586F">
        <w:t>owever</w:t>
      </w:r>
      <w:r w:rsidRPr="000D586F">
        <w:t xml:space="preserve">, consistent with the findings of a mid-term review in 2011, the </w:t>
      </w:r>
      <w:r w:rsidR="00B55FE0">
        <w:t>partnership</w:t>
      </w:r>
      <w:r w:rsidR="00B55FE0" w:rsidRPr="000D586F">
        <w:t xml:space="preserve"> </w:t>
      </w:r>
      <w:r w:rsidRPr="000D586F">
        <w:t xml:space="preserve">has not met the ambitious objectives set out in </w:t>
      </w:r>
      <w:r w:rsidR="00B55FE0">
        <w:t>its</w:t>
      </w:r>
      <w:r w:rsidR="00B55FE0" w:rsidRPr="000D586F">
        <w:t xml:space="preserve"> </w:t>
      </w:r>
      <w:r w:rsidRPr="000D586F">
        <w:t>2009 design.</w:t>
      </w:r>
      <w:r w:rsidR="00B525E5">
        <w:t xml:space="preserve"> </w:t>
      </w:r>
      <w:r w:rsidRPr="000D586F">
        <w:t xml:space="preserve">When the </w:t>
      </w:r>
      <w:r w:rsidR="00B55FE0" w:rsidRPr="000D586F">
        <w:t>Kalimantan Forest</w:t>
      </w:r>
      <w:r w:rsidR="00944397">
        <w:t>s</w:t>
      </w:r>
      <w:r w:rsidR="00B55FE0" w:rsidRPr="000D586F">
        <w:t xml:space="preserve"> and Climate Partnership </w:t>
      </w:r>
      <w:r w:rsidRPr="000D586F">
        <w:t xml:space="preserve">and </w:t>
      </w:r>
      <w:r w:rsidR="00B55FE0" w:rsidRPr="000D586F">
        <w:t xml:space="preserve">Indonesian National Carbon Accounting System </w:t>
      </w:r>
      <w:r w:rsidRPr="000D586F">
        <w:t>programs were designed in 2008</w:t>
      </w:r>
      <w:r w:rsidR="00B55FE0">
        <w:t>–</w:t>
      </w:r>
      <w:r w:rsidRPr="000D586F">
        <w:t>09 they were firsts. The activities were launched with the goal of informing international negotiations for a post</w:t>
      </w:r>
      <w:r w:rsidR="00B55FE0">
        <w:t>–</w:t>
      </w:r>
      <w:r w:rsidRPr="000D586F">
        <w:t>2012 climate change agreement.</w:t>
      </w:r>
      <w:r w:rsidR="00B525E5">
        <w:t xml:space="preserve"> </w:t>
      </w:r>
      <w:r w:rsidR="00B55FE0">
        <w:t>T</w:t>
      </w:r>
      <w:r w:rsidRPr="000D586F">
        <w:t>imelines were overly ambitious</w:t>
      </w:r>
      <w:r w:rsidR="00AB6319">
        <w:t>.</w:t>
      </w:r>
      <w:r w:rsidR="00B55FE0">
        <w:t xml:space="preserve"> </w:t>
      </w:r>
      <w:r w:rsidR="00AB6319">
        <w:t>G</w:t>
      </w:r>
      <w:r w:rsidRPr="000D586F">
        <w:t>lobally, REDD+ has proven more difficult to implement than anticipated and has struggled to meet expectations that it could provide a solution to a broad range of development problems quickly.</w:t>
      </w:r>
      <w:r w:rsidR="00B525E5">
        <w:t xml:space="preserve"> </w:t>
      </w:r>
    </w:p>
    <w:p w14:paraId="7BC9785D" w14:textId="280C2EB2" w:rsidR="000D586F" w:rsidRPr="000D586F" w:rsidRDefault="000D586F" w:rsidP="000D586F">
      <w:pPr>
        <w:pStyle w:val="BodyText"/>
      </w:pPr>
      <w:r w:rsidRPr="000D586F">
        <w:t>Australia also provided targeted support in 2012 and 2013 to the Ministry of Finance and the National Development Planning Agency to support work on carbon pricing and implementation of Indonesia’s National Action Plan to Reduce Greenhouse Gas Emissions.</w:t>
      </w:r>
      <w:r w:rsidR="00AB6319">
        <w:t xml:space="preserve"> </w:t>
      </w:r>
      <w:r w:rsidRPr="000D586F">
        <w:t xml:space="preserve">In 2012, the Vulnerability and Climate Change Adaptation project finalised development of local-level guidelines for climate change risk assessments, </w:t>
      </w:r>
      <w:r w:rsidR="00AB6319">
        <w:t>as well as the</w:t>
      </w:r>
      <w:r w:rsidR="00AB6319" w:rsidRPr="000D586F">
        <w:t xml:space="preserve"> </w:t>
      </w:r>
      <w:r w:rsidRPr="000D586F">
        <w:t>identification and prioritisation of adaptation options, and their integration within development and spatial plans. Lessons from this local-level experience have informed a national strategy for climate change adaptation.</w:t>
      </w:r>
      <w:r w:rsidR="00B525E5">
        <w:t xml:space="preserve"> </w:t>
      </w:r>
    </w:p>
    <w:p w14:paraId="7B1B7819" w14:textId="1A5BEC68" w:rsidR="000D586F" w:rsidRPr="000D586F" w:rsidRDefault="000D586F" w:rsidP="000D586F">
      <w:pPr>
        <w:pStyle w:val="BodyText"/>
      </w:pPr>
      <w:r w:rsidRPr="000D586F">
        <w:t>While progress improved in a number of areas in 2012</w:t>
      </w:r>
      <w:r w:rsidR="00AB6319">
        <w:t>–</w:t>
      </w:r>
      <w:r w:rsidRPr="000D586F">
        <w:t xml:space="preserve">13, and a 2011 mid-term review identified that design timeframes were overly ambitious, the fact that the </w:t>
      </w:r>
      <w:r w:rsidR="00AB6319" w:rsidRPr="000D586F">
        <w:t>Kalimantan Forest</w:t>
      </w:r>
      <w:r w:rsidR="00944397">
        <w:t>s</w:t>
      </w:r>
      <w:r w:rsidR="00AB6319" w:rsidRPr="000D586F">
        <w:t xml:space="preserve"> and Climate Partnership </w:t>
      </w:r>
      <w:r w:rsidRPr="000D586F">
        <w:t xml:space="preserve">ended in </w:t>
      </w:r>
      <w:r w:rsidR="001F1573">
        <w:t>June</w:t>
      </w:r>
      <w:r w:rsidR="001F1573" w:rsidRPr="000D586F">
        <w:t xml:space="preserve"> </w:t>
      </w:r>
      <w:r w:rsidRPr="000D586F">
        <w:t xml:space="preserve">2013 means that all originally planned objectives will not be met and a red rating is </w:t>
      </w:r>
      <w:r w:rsidR="00D52DCA">
        <w:t>applicable. </w:t>
      </w:r>
      <w:r w:rsidRPr="000D586F">
        <w:t xml:space="preserve">A limited number of </w:t>
      </w:r>
      <w:r w:rsidR="00AB6319">
        <w:t>partnership</w:t>
      </w:r>
      <w:r w:rsidR="00AB6319" w:rsidRPr="000D586F">
        <w:t xml:space="preserve"> </w:t>
      </w:r>
      <w:r w:rsidRPr="000D586F">
        <w:t xml:space="preserve">activities will be extended for one year to maximise impact and the sector objective will be revisited next year accordingly. </w:t>
      </w:r>
    </w:p>
    <w:p w14:paraId="664E4AA4" w14:textId="53892061" w:rsidR="00780026" w:rsidRPr="00780026" w:rsidRDefault="00780026" w:rsidP="009A2B98">
      <w:pPr>
        <w:pStyle w:val="Heading2"/>
      </w:pPr>
      <w:bookmarkStart w:id="58" w:name="_Toc359585101"/>
      <w:bookmarkStart w:id="59" w:name="_Toc363768589"/>
      <w:bookmarkStart w:id="60" w:name="_Toc363804125"/>
      <w:r w:rsidRPr="00780026">
        <w:t xml:space="preserve">Management </w:t>
      </w:r>
      <w:bookmarkEnd w:id="58"/>
      <w:r w:rsidR="00F81534">
        <w:t>c</w:t>
      </w:r>
      <w:r w:rsidR="00F81534" w:rsidRPr="00780026">
        <w:t>onsequences</w:t>
      </w:r>
      <w:bookmarkEnd w:id="59"/>
      <w:bookmarkEnd w:id="60"/>
    </w:p>
    <w:p w14:paraId="21110042" w14:textId="77777777" w:rsidR="00F81534" w:rsidRDefault="00F81534" w:rsidP="009A2B98">
      <w:pPr>
        <w:pStyle w:val="BodyText"/>
      </w:pPr>
      <w:r w:rsidRPr="00D67028">
        <w:t>Management consequences for 2013–14 include:</w:t>
      </w:r>
    </w:p>
    <w:p w14:paraId="60057F1D" w14:textId="728BD8BD" w:rsidR="000D586F" w:rsidRPr="000D586F" w:rsidRDefault="000D586F" w:rsidP="009A2B98">
      <w:pPr>
        <w:pStyle w:val="ListBullet"/>
      </w:pPr>
      <w:r w:rsidRPr="000D586F">
        <w:t xml:space="preserve">Discuss with </w:t>
      </w:r>
      <w:r w:rsidR="00AB6319">
        <w:t>the Indonesian Government</w:t>
      </w:r>
      <w:r w:rsidR="00AB6319" w:rsidRPr="000D586F">
        <w:t xml:space="preserve"> </w:t>
      </w:r>
      <w:r w:rsidRPr="000D586F">
        <w:t>joint priorities in the sector beyond 2013</w:t>
      </w:r>
      <w:r w:rsidR="00AB6319">
        <w:t>–</w:t>
      </w:r>
      <w:r w:rsidRPr="000D586F">
        <w:t>14.</w:t>
      </w:r>
      <w:r w:rsidR="00AB6319">
        <w:t xml:space="preserve"> </w:t>
      </w:r>
      <w:r w:rsidRPr="000D586F">
        <w:t>Synthesis</w:t>
      </w:r>
      <w:r w:rsidR="00AB6319">
        <w:t xml:space="preserve">e </w:t>
      </w:r>
      <w:r w:rsidRPr="000D586F">
        <w:t>and disseminat</w:t>
      </w:r>
      <w:r w:rsidR="00AB6319">
        <w:t>e</w:t>
      </w:r>
      <w:r w:rsidRPr="000D586F">
        <w:t xml:space="preserve"> results from work to date </w:t>
      </w:r>
      <w:r w:rsidR="00AB6319">
        <w:t>as</w:t>
      </w:r>
      <w:r w:rsidRPr="000D586F">
        <w:t xml:space="preserve"> a priority.</w:t>
      </w:r>
    </w:p>
    <w:p w14:paraId="4DEA65A2" w14:textId="46F098A7" w:rsidR="000D586F" w:rsidRPr="000D586F" w:rsidRDefault="000D586F" w:rsidP="009A2B98">
      <w:pPr>
        <w:pStyle w:val="ListBullet"/>
      </w:pPr>
      <w:r w:rsidRPr="000D586F">
        <w:t>Cooperat</w:t>
      </w:r>
      <w:r w:rsidR="00AB6319">
        <w:t xml:space="preserve">e </w:t>
      </w:r>
      <w:r w:rsidRPr="000D586F">
        <w:t xml:space="preserve">with the Ministry of Finance and the National Development Planning Agency </w:t>
      </w:r>
      <w:r w:rsidR="00AB6319">
        <w:t>to</w:t>
      </w:r>
      <w:r w:rsidR="00AB6319" w:rsidRPr="000D586F">
        <w:t xml:space="preserve"> </w:t>
      </w:r>
      <w:r w:rsidR="00AB6319">
        <w:t>increase</w:t>
      </w:r>
      <w:r w:rsidR="00AB6319" w:rsidRPr="000D586F">
        <w:t xml:space="preserve"> </w:t>
      </w:r>
      <w:r w:rsidRPr="000D586F">
        <w:t>green economic development in 2013</w:t>
      </w:r>
      <w:r w:rsidR="00AB6319">
        <w:t>–</w:t>
      </w:r>
      <w:r w:rsidRPr="000D586F">
        <w:t>14.</w:t>
      </w:r>
    </w:p>
    <w:p w14:paraId="1843E27A" w14:textId="4DE092EA" w:rsidR="000D586F" w:rsidRDefault="000D586F" w:rsidP="003E7DF9">
      <w:pPr>
        <w:pStyle w:val="BodyText"/>
      </w:pPr>
      <w:r w:rsidRPr="000D586F">
        <w:t xml:space="preserve">The </w:t>
      </w:r>
      <w:r w:rsidR="004C0577" w:rsidRPr="000D586F">
        <w:t>follow</w:t>
      </w:r>
      <w:r w:rsidR="004C0577">
        <w:t>-</w:t>
      </w:r>
      <w:r w:rsidRPr="000D586F">
        <w:t xml:space="preserve">up of management consequences from the </w:t>
      </w:r>
      <w:r w:rsidR="00AB6319" w:rsidRPr="000D586F">
        <w:t xml:space="preserve">2011 </w:t>
      </w:r>
      <w:r w:rsidR="00AB6319">
        <w:t>annual program performance report</w:t>
      </w:r>
      <w:r w:rsidR="00AB6319" w:rsidRPr="000D586F">
        <w:t xml:space="preserve"> </w:t>
      </w:r>
      <w:r w:rsidRPr="000D586F">
        <w:t xml:space="preserve">can be found in </w:t>
      </w:r>
      <w:r w:rsidRPr="000D586F">
        <w:rPr>
          <w:b/>
          <w:bCs/>
        </w:rPr>
        <w:t>Annex B</w:t>
      </w:r>
      <w:r w:rsidRPr="000D586F">
        <w:t>.</w:t>
      </w:r>
    </w:p>
    <w:p w14:paraId="7F543124" w14:textId="77777777" w:rsidR="00780026" w:rsidRPr="00780026" w:rsidRDefault="00780026" w:rsidP="009A2B98">
      <w:pPr>
        <w:pStyle w:val="Heading1"/>
      </w:pPr>
      <w:bookmarkStart w:id="61" w:name="_Toc359585102"/>
      <w:bookmarkStart w:id="62" w:name="_Toc363804126"/>
      <w:r w:rsidRPr="00AB6319">
        <w:t>Decentralisation</w:t>
      </w:r>
      <w:bookmarkEnd w:id="61"/>
      <w:bookmarkEnd w:id="62"/>
    </w:p>
    <w:tbl>
      <w:tblPr>
        <w:tblStyle w:val="APPR5"/>
        <w:tblW w:w="5000" w:type="pct"/>
        <w:tblLayout w:type="fixed"/>
        <w:tblLook w:val="0000" w:firstRow="0" w:lastRow="0" w:firstColumn="0" w:lastColumn="0" w:noHBand="0" w:noVBand="0"/>
      </w:tblPr>
      <w:tblGrid>
        <w:gridCol w:w="6453"/>
        <w:gridCol w:w="1050"/>
        <w:gridCol w:w="1103"/>
      </w:tblGrid>
      <w:tr w:rsidR="009A2B98" w:rsidRPr="00780026" w14:paraId="57F7A7EB" w14:textId="77777777" w:rsidTr="009A2B98">
        <w:trPr>
          <w:cantSplit/>
          <w:tblHeader w:val="0"/>
        </w:trPr>
        <w:tc>
          <w:tcPr>
            <w:tcW w:w="6048" w:type="dxa"/>
          </w:tcPr>
          <w:p w14:paraId="5BEE3593" w14:textId="77777777" w:rsidR="009A2B98" w:rsidRPr="00780026" w:rsidRDefault="009A2B98" w:rsidP="009A2B98">
            <w:pPr>
              <w:pStyle w:val="TableTextColumnHeading"/>
            </w:pPr>
            <w:r w:rsidRPr="00780026">
              <w:rPr>
                <w:noProof/>
                <w:lang w:eastAsia="en-AU"/>
              </w:rPr>
              <w:drawing>
                <wp:anchor distT="0" distB="0" distL="114300" distR="114300" simplePos="0" relativeHeight="251712512" behindDoc="0" locked="0" layoutInCell="1" allowOverlap="1" wp14:anchorId="43618D5D" wp14:editId="107903D4">
                  <wp:simplePos x="0" y="0"/>
                  <wp:positionH relativeFrom="column">
                    <wp:posOffset>0</wp:posOffset>
                  </wp:positionH>
                  <wp:positionV relativeFrom="paragraph">
                    <wp:posOffset>0</wp:posOffset>
                  </wp:positionV>
                  <wp:extent cx="1857375" cy="228600"/>
                  <wp:effectExtent l="0" t="0" r="9525" b="0"/>
                  <wp:wrapNone/>
                  <wp:docPr id="25" name="Picture 2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026">
              <w:t>Objective</w:t>
            </w:r>
          </w:p>
        </w:tc>
        <w:tc>
          <w:tcPr>
            <w:tcW w:w="964" w:type="dxa"/>
            <w:vAlign w:val="center"/>
          </w:tcPr>
          <w:p w14:paraId="5C8A4036" w14:textId="7CCB007F" w:rsidR="009A2B98" w:rsidRPr="00780026" w:rsidRDefault="009A2B98" w:rsidP="009A2B98">
            <w:pPr>
              <w:pStyle w:val="TableTextColumnHeading"/>
            </w:pPr>
            <w:r w:rsidRPr="00780026">
              <w:t xml:space="preserve">Current </w:t>
            </w:r>
            <w:r>
              <w:t>r</w:t>
            </w:r>
            <w:r w:rsidRPr="00780026">
              <w:t>ating</w:t>
            </w:r>
          </w:p>
        </w:tc>
        <w:tc>
          <w:tcPr>
            <w:tcW w:w="1001" w:type="dxa"/>
            <w:vAlign w:val="center"/>
          </w:tcPr>
          <w:p w14:paraId="09D8A9D3" w14:textId="12DEFCCE" w:rsidR="009A2B98" w:rsidRPr="00780026" w:rsidRDefault="009A2B98" w:rsidP="009A2B98">
            <w:pPr>
              <w:pStyle w:val="TableTextColumnHeading"/>
            </w:pPr>
            <w:r w:rsidRPr="00780026">
              <w:t xml:space="preserve">Previous </w:t>
            </w:r>
            <w:r>
              <w:t>r</w:t>
            </w:r>
            <w:r w:rsidRPr="00780026">
              <w:t>ating</w:t>
            </w:r>
          </w:p>
        </w:tc>
      </w:tr>
      <w:tr w:rsidR="009A2B98" w:rsidRPr="00780026" w14:paraId="2883AC8D" w14:textId="77777777" w:rsidTr="009A2B98">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52F1B8EA" w14:textId="77777777" w:rsidR="009A2B98" w:rsidRPr="00780026" w:rsidRDefault="009A2B98" w:rsidP="009A2B98">
            <w:pPr>
              <w:pStyle w:val="TableTextEntries"/>
              <w:rPr>
                <w:szCs w:val="18"/>
              </w:rPr>
            </w:pPr>
            <w:r w:rsidRPr="00780026">
              <w:t xml:space="preserve">Improved performance of local governments in delivering services to the poor </w:t>
            </w:r>
          </w:p>
        </w:tc>
        <w:tc>
          <w:tcPr>
            <w:tcW w:w="964" w:type="dxa"/>
            <w:shd w:val="clear" w:color="auto" w:fill="F79646" w:themeFill="accent6"/>
            <w:noWrap/>
            <w:vAlign w:val="center"/>
          </w:tcPr>
          <w:p w14:paraId="1E4FBAFB" w14:textId="77777777" w:rsidR="009A2B98" w:rsidRPr="009A2B98" w:rsidRDefault="009A2B98" w:rsidP="009A2B98">
            <w:pPr>
              <w:pStyle w:val="TableTextEntries"/>
            </w:pPr>
            <w:r w:rsidRPr="009A2B98">
              <w:t>Amber</w:t>
            </w:r>
          </w:p>
        </w:tc>
        <w:tc>
          <w:tcPr>
            <w:tcW w:w="1001" w:type="dxa"/>
            <w:shd w:val="clear" w:color="auto" w:fill="F79646" w:themeFill="accent6"/>
            <w:noWrap/>
            <w:vAlign w:val="center"/>
          </w:tcPr>
          <w:p w14:paraId="67544FBB" w14:textId="77777777" w:rsidR="009A2B98" w:rsidRPr="009A2B98" w:rsidRDefault="009A2B98" w:rsidP="009A2B98">
            <w:pPr>
              <w:pStyle w:val="TableTextEntries"/>
            </w:pPr>
            <w:r w:rsidRPr="009A2B98">
              <w:t>Amber</w:t>
            </w:r>
          </w:p>
        </w:tc>
      </w:tr>
      <w:tr w:rsidR="009A2B98" w:rsidRPr="00780026" w14:paraId="50F22620" w14:textId="77777777" w:rsidTr="009A2B98">
        <w:trPr>
          <w:cantSplit/>
          <w:tblHeader w:val="0"/>
        </w:trPr>
        <w:tc>
          <w:tcPr>
            <w:tcW w:w="6048" w:type="dxa"/>
          </w:tcPr>
          <w:p w14:paraId="5E7F5B1D" w14:textId="0F951746" w:rsidR="009A2B98" w:rsidRPr="00780026" w:rsidRDefault="009A2B98" w:rsidP="009A2B98">
            <w:pPr>
              <w:pStyle w:val="TableTextEntries"/>
              <w:rPr>
                <w:szCs w:val="18"/>
              </w:rPr>
            </w:pPr>
            <w:r w:rsidRPr="00780026">
              <w:t xml:space="preserve">Strengthened capacity of citizens and </w:t>
            </w:r>
            <w:r>
              <w:t>civil society organisations</w:t>
            </w:r>
            <w:r w:rsidRPr="00780026">
              <w:t xml:space="preserve"> to engage and demand for better service delivery</w:t>
            </w:r>
          </w:p>
        </w:tc>
        <w:tc>
          <w:tcPr>
            <w:tcW w:w="964" w:type="dxa"/>
            <w:shd w:val="clear" w:color="auto" w:fill="92D050"/>
            <w:noWrap/>
            <w:vAlign w:val="center"/>
          </w:tcPr>
          <w:p w14:paraId="56D742B9" w14:textId="77777777" w:rsidR="009A2B98" w:rsidRPr="009A2B98" w:rsidRDefault="009A2B98" w:rsidP="009A2B98">
            <w:pPr>
              <w:pStyle w:val="TableTextEntries"/>
            </w:pPr>
            <w:r w:rsidRPr="009A2B98">
              <w:t>Green</w:t>
            </w:r>
          </w:p>
        </w:tc>
        <w:tc>
          <w:tcPr>
            <w:tcW w:w="1001" w:type="dxa"/>
            <w:shd w:val="clear" w:color="auto" w:fill="92D050"/>
            <w:noWrap/>
            <w:vAlign w:val="center"/>
          </w:tcPr>
          <w:p w14:paraId="57AE3348" w14:textId="77777777" w:rsidR="009A2B98" w:rsidRPr="009A2B98" w:rsidRDefault="009A2B98" w:rsidP="009A2B98">
            <w:pPr>
              <w:pStyle w:val="TableTextEntries"/>
            </w:pPr>
            <w:r w:rsidRPr="009A2B98">
              <w:t>Green</w:t>
            </w:r>
          </w:p>
        </w:tc>
      </w:tr>
    </w:tbl>
    <w:p w14:paraId="3D16AF32" w14:textId="77777777" w:rsidR="00780026" w:rsidRPr="00780026" w:rsidRDefault="00780026" w:rsidP="009A2B98">
      <w:pPr>
        <w:pStyle w:val="Note"/>
      </w:pPr>
      <w:r w:rsidRPr="00780026">
        <w:lastRenderedPageBreak/>
        <w:t xml:space="preserve">Note: </w:t>
      </w:r>
    </w:p>
    <w:p w14:paraId="2A4BED67" w14:textId="77777777" w:rsidR="00780026" w:rsidRPr="00780026" w:rsidRDefault="00780026" w:rsidP="009A2B98">
      <w:pPr>
        <w:pStyle w:val="Note"/>
      </w:pPr>
      <w:r w:rsidRPr="00780026">
        <w:rPr>
          <w:color w:val="92D050"/>
        </w:rPr>
        <w:sym w:font="Webdings" w:char="F067"/>
      </w:r>
      <w:r w:rsidRPr="00780026">
        <w:t> </w:t>
      </w:r>
      <w:r w:rsidRPr="00780026">
        <w:t xml:space="preserve"> </w:t>
      </w:r>
      <w:proofErr w:type="gramStart"/>
      <w:r w:rsidRPr="00780026">
        <w:t>Green.</w:t>
      </w:r>
      <w:proofErr w:type="gramEnd"/>
      <w:r w:rsidRPr="00780026">
        <w:t xml:space="preserve"> Progress is as expected for this point in time and it is likely that the objective will be achieved. Standard program management practices are sufficient.</w:t>
      </w:r>
    </w:p>
    <w:p w14:paraId="3DDF52E6" w14:textId="77777777" w:rsidR="00780026" w:rsidRPr="00780026" w:rsidRDefault="00780026" w:rsidP="009A2B98">
      <w:pPr>
        <w:pStyle w:val="Note"/>
      </w:pPr>
      <w:r w:rsidRPr="00780026">
        <w:rPr>
          <w:color w:val="F79646" w:themeColor="accent6"/>
        </w:rPr>
        <w:sym w:font="Webdings" w:char="F067"/>
      </w:r>
      <w:r w:rsidRPr="00780026">
        <w:t> </w:t>
      </w:r>
      <w:r w:rsidRPr="00780026">
        <w:t xml:space="preserve"> Amber. Progress is somewhat less than expected for this point in time and restorative action will be necessary if the objective is to be achieved. Close performance monitoring is recommended.</w:t>
      </w:r>
    </w:p>
    <w:p w14:paraId="3B7C0A29" w14:textId="77777777" w:rsidR="00780026" w:rsidRPr="00780026" w:rsidRDefault="00780026" w:rsidP="009A2B98">
      <w:pPr>
        <w:pStyle w:val="Note"/>
      </w:pPr>
      <w:r w:rsidRPr="00780026">
        <w:rPr>
          <w:color w:val="FF0000"/>
        </w:rPr>
        <w:sym w:font="Webdings" w:char="F067"/>
      </w:r>
      <w:r w:rsidRPr="00780026">
        <w:t> </w:t>
      </w:r>
      <w:r w:rsidRPr="00780026">
        <w:t xml:space="preserve"> </w:t>
      </w:r>
      <w:proofErr w:type="gramStart"/>
      <w:r w:rsidRPr="00780026">
        <w:t>Red.</w:t>
      </w:r>
      <w:proofErr w:type="gramEnd"/>
      <w:r w:rsidRPr="00780026">
        <w:t xml:space="preserve"> Progress is significantly less than expected for this point in time and the objective is not likely to be met given available resources and priorities. Recasting the objective may be required. </w:t>
      </w:r>
    </w:p>
    <w:p w14:paraId="209EA11C" w14:textId="77777777" w:rsidR="001D2AFC" w:rsidRDefault="001D2AFC" w:rsidP="003E7DF9">
      <w:pPr>
        <w:pStyle w:val="BodyText"/>
      </w:pPr>
    </w:p>
    <w:p w14:paraId="00977D54" w14:textId="288F18D3" w:rsidR="003D6E45" w:rsidRPr="003D6E45" w:rsidRDefault="003D6E45" w:rsidP="003E7DF9">
      <w:pPr>
        <w:pStyle w:val="BodyText"/>
      </w:pPr>
      <w:r w:rsidRPr="003D6E45">
        <w:t>In 2012, Indonesia consisted of 530 local governments (33 provinces, 399 districts and 98 municipalities). According to data produced by the Ministry of State Apparatus and Bureaucratic Reform, 75.76</w:t>
      </w:r>
      <w:r w:rsidR="00AB6319">
        <w:t xml:space="preserve"> per cent</w:t>
      </w:r>
      <w:r w:rsidR="00AB6319" w:rsidRPr="003D6E45">
        <w:t xml:space="preserve"> </w:t>
      </w:r>
      <w:r w:rsidRPr="003D6E45">
        <w:t>of the provinces were evaluated by the ministry to have performed at an acceptable level or above</w:t>
      </w:r>
      <w:r w:rsidR="00AB6319">
        <w:t>––</w:t>
      </w:r>
      <w:r w:rsidRPr="003D6E45">
        <w:t>an increase from 63.33</w:t>
      </w:r>
      <w:r w:rsidR="004C0577">
        <w:t xml:space="preserve"> per cent</w:t>
      </w:r>
      <w:r w:rsidR="004C0577" w:rsidRPr="003D6E45">
        <w:t xml:space="preserve"> </w:t>
      </w:r>
      <w:r w:rsidRPr="003D6E45">
        <w:t>in 2011. At the district and municipality level however, only 24.37</w:t>
      </w:r>
      <w:r w:rsidR="00AB6319">
        <w:t xml:space="preserve"> per cent</w:t>
      </w:r>
      <w:r w:rsidR="00AB6319" w:rsidRPr="003D6E45">
        <w:t xml:space="preserve"> </w:t>
      </w:r>
      <w:r w:rsidRPr="003D6E45">
        <w:t>achieved the same rating. Although significantly higher than 2011 (12.22</w:t>
      </w:r>
      <w:r w:rsidR="00AB6319">
        <w:t xml:space="preserve"> per cent</w:t>
      </w:r>
      <w:r w:rsidR="00AB6319" w:rsidRPr="003D6E45">
        <w:t xml:space="preserve">), </w:t>
      </w:r>
      <w:r w:rsidRPr="003D6E45">
        <w:t>over 75</w:t>
      </w:r>
      <w:r w:rsidR="00AB6319">
        <w:t xml:space="preserve"> per cent</w:t>
      </w:r>
      <w:r w:rsidR="00AB6319" w:rsidRPr="003D6E45">
        <w:t xml:space="preserve"> </w:t>
      </w:r>
      <w:r w:rsidRPr="003D6E45">
        <w:t>of district/municipality level governments lack the necessary performance management systems and require fundamental improvements to provide quality services to their citizens. The policy environment in decentralisation continues to be unstable</w:t>
      </w:r>
      <w:r w:rsidR="00AB6319">
        <w:t>.</w:t>
      </w:r>
      <w:r w:rsidRPr="003D6E45">
        <w:t xml:space="preserve"> </w:t>
      </w:r>
      <w:r w:rsidR="00AB6319">
        <w:t xml:space="preserve">There are </w:t>
      </w:r>
      <w:r w:rsidRPr="003D6E45">
        <w:t xml:space="preserve">ongoing regulatory changes and new bills </w:t>
      </w:r>
      <w:r w:rsidR="00AB6319">
        <w:t xml:space="preserve">are being </w:t>
      </w:r>
      <w:r w:rsidR="00AB6319" w:rsidRPr="003D6E45">
        <w:t>draft</w:t>
      </w:r>
      <w:r w:rsidR="00AB6319">
        <w:t xml:space="preserve">ed </w:t>
      </w:r>
      <w:r w:rsidRPr="003D6E45">
        <w:t>to change the main laws on decentralisation</w:t>
      </w:r>
      <w:r w:rsidR="00AB6319">
        <w:t>, which is</w:t>
      </w:r>
      <w:r w:rsidRPr="003D6E45">
        <w:t xml:space="preserve"> adding uncertaint</w:t>
      </w:r>
      <w:r w:rsidR="00AB6319">
        <w:t xml:space="preserve">y </w:t>
      </w:r>
      <w:r w:rsidRPr="003D6E45">
        <w:t xml:space="preserve">to </w:t>
      </w:r>
      <w:r w:rsidR="00AB6319">
        <w:t xml:space="preserve">the </w:t>
      </w:r>
      <w:r w:rsidRPr="003D6E45">
        <w:t xml:space="preserve">existing lack of skills, knowledge and systems in many local governments. Overall this is concerning as it impacts on the </w:t>
      </w:r>
      <w:r w:rsidR="00AB6319" w:rsidRPr="003D6E45">
        <w:t>long</w:t>
      </w:r>
      <w:r w:rsidR="00AB6319">
        <w:t>-</w:t>
      </w:r>
      <w:r w:rsidRPr="003D6E45">
        <w:t>term sustainability of sectoral support for human and social development initiatives in Indonesia</w:t>
      </w:r>
      <w:r w:rsidR="00AB6319">
        <w:t xml:space="preserve">. It also </w:t>
      </w:r>
      <w:r w:rsidRPr="003D6E45">
        <w:t xml:space="preserve">means that a majority of local governments simply lack the ability and systems to maintain progress made through direct interventions to improve health, education, infrastructure and other critical areas of development. The poor performance of local governments has been further exacerbated by the low disbursement of funds </w:t>
      </w:r>
      <w:proofErr w:type="gramStart"/>
      <w:r w:rsidRPr="003D6E45">
        <w:t>transferred,</w:t>
      </w:r>
      <w:proofErr w:type="gramEnd"/>
      <w:r w:rsidRPr="003D6E45">
        <w:t xml:space="preserve"> with a cumulative underspend of around </w:t>
      </w:r>
      <w:r w:rsidR="000A11DD">
        <w:t>$</w:t>
      </w:r>
      <w:r w:rsidRPr="003D6E45">
        <w:t xml:space="preserve">70 billion reported for 2012. </w:t>
      </w:r>
    </w:p>
    <w:p w14:paraId="4EAF9DF0" w14:textId="0B35DE3C" w:rsidR="003D6E45" w:rsidRPr="003D6E45" w:rsidRDefault="003D6E45" w:rsidP="003E7DF9">
      <w:pPr>
        <w:pStyle w:val="BodyText"/>
      </w:pPr>
      <w:r w:rsidRPr="003D6E45">
        <w:t xml:space="preserve">A number of constraints in this sector have hampered progress. For instance, there is a lack of clarity to establish </w:t>
      </w:r>
      <w:r w:rsidR="00AB6319" w:rsidRPr="003D6E45">
        <w:t>performance</w:t>
      </w:r>
      <w:r w:rsidR="00AB6319">
        <w:t>-</w:t>
      </w:r>
      <w:r w:rsidRPr="003D6E45">
        <w:t xml:space="preserve">based incentive systems, delays due to new national government mechanisms on reporting grant funding support, limited capacity in local parliaments </w:t>
      </w:r>
      <w:r w:rsidR="00AB6319">
        <w:t>to</w:t>
      </w:r>
      <w:r w:rsidR="00AB6319" w:rsidRPr="003D6E45">
        <w:t xml:space="preserve"> </w:t>
      </w:r>
      <w:r w:rsidRPr="003D6E45">
        <w:t>represent</w:t>
      </w:r>
      <w:r w:rsidR="00AB6319">
        <w:t xml:space="preserve"> </w:t>
      </w:r>
      <w:r w:rsidRPr="003D6E45">
        <w:t xml:space="preserve">their constituents, </w:t>
      </w:r>
      <w:r w:rsidR="00AB6319">
        <w:t xml:space="preserve">a </w:t>
      </w:r>
      <w:r w:rsidRPr="003D6E45">
        <w:t xml:space="preserve">shortage of qualified trainers, and weaknesses in frontline </w:t>
      </w:r>
      <w:r w:rsidR="004C0577">
        <w:t>agencies</w:t>
      </w:r>
      <w:r w:rsidRPr="003D6E45">
        <w:t xml:space="preserve"> to deliver mandated services. Many of the issues point to the need for fundamental systemic reforms in Indonesia’s bureaucracy, and strategies to overcome the prevalence of short-term interests and rent-seeking based politics. Current programs are also too scattered with insufficient geographic coverage to provide the required critical mass of change </w:t>
      </w:r>
      <w:r w:rsidR="00AB6319">
        <w:t>needed</w:t>
      </w:r>
      <w:r w:rsidR="00AB6319" w:rsidRPr="003D6E45">
        <w:t xml:space="preserve"> </w:t>
      </w:r>
      <w:r w:rsidRPr="003D6E45">
        <w:t xml:space="preserve">to influence national and sub-national policies. Improved mechanisms to feed into national level policy formulation </w:t>
      </w:r>
      <w:r w:rsidR="00AB6319">
        <w:t>are</w:t>
      </w:r>
      <w:r w:rsidR="00AB6319" w:rsidRPr="003D6E45">
        <w:t xml:space="preserve"> </w:t>
      </w:r>
      <w:r w:rsidRPr="003D6E45">
        <w:t>also needed</w:t>
      </w:r>
      <w:r w:rsidR="00AB6319">
        <w:t>,</w:t>
      </w:r>
      <w:r w:rsidRPr="003D6E45">
        <w:t xml:space="preserve"> including </w:t>
      </w:r>
      <w:proofErr w:type="gramStart"/>
      <w:r w:rsidR="00AB6319">
        <w:t>to</w:t>
      </w:r>
      <w:r w:rsidR="00AB6319" w:rsidRPr="003D6E45">
        <w:t xml:space="preserve"> </w:t>
      </w:r>
      <w:r w:rsidRPr="003D6E45">
        <w:t>replicat</w:t>
      </w:r>
      <w:r w:rsidR="00AB6319">
        <w:t xml:space="preserve">e </w:t>
      </w:r>
      <w:r w:rsidRPr="003D6E45">
        <w:t>and influence</w:t>
      </w:r>
      <w:proofErr w:type="gramEnd"/>
      <w:r w:rsidRPr="003D6E45">
        <w:t xml:space="preserve"> national resource allocation. Inter-linkages with sectoral </w:t>
      </w:r>
      <w:r w:rsidR="00AB6319" w:rsidRPr="003D6E45">
        <w:t>programming</w:t>
      </w:r>
      <w:r w:rsidR="00AB6319">
        <w:t xml:space="preserve">––including </w:t>
      </w:r>
      <w:r w:rsidRPr="003D6E45">
        <w:t>health, education, disaster risk reduction</w:t>
      </w:r>
      <w:r w:rsidR="00AB6319">
        <w:t xml:space="preserve"> and</w:t>
      </w:r>
      <w:r w:rsidR="00AB6319" w:rsidRPr="003D6E45">
        <w:t xml:space="preserve"> </w:t>
      </w:r>
      <w:r w:rsidRPr="003D6E45">
        <w:t>infrastructure</w:t>
      </w:r>
      <w:r w:rsidR="00AB6319">
        <w:t>––</w:t>
      </w:r>
      <w:r w:rsidRPr="003D6E45">
        <w:t xml:space="preserve">need to be further developed to ensure local governments are able to appreciate and incorporate sectoral improvements into their annual plans and budgets. </w:t>
      </w:r>
    </w:p>
    <w:p w14:paraId="424AD04A" w14:textId="29434D6A" w:rsidR="003D6E45" w:rsidRPr="003D6E45" w:rsidRDefault="00297BCB" w:rsidP="003E7DF9">
      <w:pPr>
        <w:pStyle w:val="BodyText"/>
      </w:pPr>
      <w:r>
        <w:t xml:space="preserve">The Australian aid </w:t>
      </w:r>
      <w:r w:rsidR="003D6E45" w:rsidRPr="003D6E45">
        <w:t xml:space="preserve">program in this sector </w:t>
      </w:r>
      <w:r w:rsidR="00AB6319" w:rsidRPr="003D6E45">
        <w:t>cover</w:t>
      </w:r>
      <w:r w:rsidR="00AB6319">
        <w:t xml:space="preserve">s </w:t>
      </w:r>
      <w:r w:rsidR="003D6E45" w:rsidRPr="003D6E45">
        <w:t>10 provinces and 40 districts, as well as key central government ministries</w:t>
      </w:r>
      <w:r w:rsidR="00AB6319">
        <w:t xml:space="preserve">––the </w:t>
      </w:r>
      <w:r w:rsidR="003D6E45" w:rsidRPr="003D6E45">
        <w:t xml:space="preserve">Ministry of Home Affairs, Ministry of Finance and the Ministry for National Development Planning. Different approaches have been applied based on local conditions and needs, including collaboration with </w:t>
      </w:r>
      <w:r w:rsidR="00AB6319">
        <w:t xml:space="preserve">the </w:t>
      </w:r>
      <w:r w:rsidR="003D6E45" w:rsidRPr="003D6E45">
        <w:t>U</w:t>
      </w:r>
      <w:r w:rsidR="00AB6319">
        <w:t xml:space="preserve">nited </w:t>
      </w:r>
      <w:r w:rsidR="003D6E45" w:rsidRPr="003D6E45">
        <w:t>N</w:t>
      </w:r>
      <w:r w:rsidR="00AB6319">
        <w:t xml:space="preserve">ations </w:t>
      </w:r>
      <w:r w:rsidR="003D6E45" w:rsidRPr="003D6E45">
        <w:t>D</w:t>
      </w:r>
      <w:r w:rsidR="00AB6319">
        <w:t xml:space="preserve">evelopment </w:t>
      </w:r>
      <w:r w:rsidR="003D6E45" w:rsidRPr="003D6E45">
        <w:t>P</w:t>
      </w:r>
      <w:r w:rsidR="00AB6319">
        <w:t>rogramme</w:t>
      </w:r>
      <w:r w:rsidR="003D6E45" w:rsidRPr="003D6E45">
        <w:t xml:space="preserve"> (</w:t>
      </w:r>
      <w:r w:rsidR="00AB6319">
        <w:t>Partnership for Governance Strengthening Program) the World Bank</w:t>
      </w:r>
      <w:r w:rsidR="003D6E45" w:rsidRPr="003D6E45">
        <w:t>, (</w:t>
      </w:r>
      <w:r w:rsidR="00AB6319">
        <w:t>Consolidating Peaceful Development in Aceh</w:t>
      </w:r>
      <w:r w:rsidR="003D6E45" w:rsidRPr="003D6E45">
        <w:t xml:space="preserve">) and coordination with </w:t>
      </w:r>
      <w:r w:rsidR="004A7495">
        <w:t>the USA</w:t>
      </w:r>
      <w:r w:rsidR="003D6E45" w:rsidRPr="003D6E45">
        <w:t xml:space="preserve">, </w:t>
      </w:r>
      <w:r w:rsidR="004A7495">
        <w:t>Canada</w:t>
      </w:r>
      <w:r w:rsidR="004A7495" w:rsidRPr="003D6E45">
        <w:t xml:space="preserve"> </w:t>
      </w:r>
      <w:r w:rsidR="003D6E45" w:rsidRPr="003D6E45">
        <w:t xml:space="preserve">and </w:t>
      </w:r>
      <w:r w:rsidR="004A7495">
        <w:t>Germany</w:t>
      </w:r>
      <w:r w:rsidR="004A7495" w:rsidRPr="003D6E45">
        <w:t xml:space="preserve"> </w:t>
      </w:r>
      <w:r w:rsidR="003D6E45" w:rsidRPr="003D6E45">
        <w:t>on common monitoring and evaluation frameworks. The scope and specific strategies of Australia's contribution to decentralisation development challenges is small relative to Indonesia’s overall budget, so our programs are taking a targeted approach to model good practice in key areas such as evidence-based budgeting, investing in both the demand and supply sides of the service delivery equation. While we are achieving encouraging results in some strategic areas</w:t>
      </w:r>
      <w:r w:rsidR="004A7495">
        <w:t>,</w:t>
      </w:r>
      <w:r w:rsidR="003D6E45" w:rsidRPr="003D6E45">
        <w:t xml:space="preserve"> these programs are currently not yet working at the scale </w:t>
      </w:r>
      <w:r w:rsidR="004A7495">
        <w:t xml:space="preserve">needed </w:t>
      </w:r>
      <w:r w:rsidR="003D6E45" w:rsidRPr="003D6E45">
        <w:t>to show impact.</w:t>
      </w:r>
    </w:p>
    <w:p w14:paraId="4B256C7E" w14:textId="15FDA6BD" w:rsidR="003D6E45" w:rsidRPr="003D6E45" w:rsidRDefault="003D6E45" w:rsidP="003E7DF9">
      <w:pPr>
        <w:pStyle w:val="BodyText"/>
      </w:pPr>
      <w:r w:rsidRPr="003D6E45">
        <w:lastRenderedPageBreak/>
        <w:t xml:space="preserve">In our current targeted </w:t>
      </w:r>
      <w:r w:rsidR="004A7495">
        <w:t>areas,</w:t>
      </w:r>
      <w:r w:rsidR="004A7495" w:rsidRPr="003D6E45">
        <w:t xml:space="preserve"> </w:t>
      </w:r>
      <w:r w:rsidRPr="003D6E45">
        <w:t xml:space="preserve">we have worked to support district governments to </w:t>
      </w:r>
      <w:r w:rsidR="004A7495">
        <w:t xml:space="preserve">better </w:t>
      </w:r>
      <w:r w:rsidRPr="003D6E45">
        <w:t xml:space="preserve">understand </w:t>
      </w:r>
      <w:r w:rsidR="004A7495">
        <w:t xml:space="preserve">the </w:t>
      </w:r>
      <w:r w:rsidRPr="003D6E45">
        <w:t xml:space="preserve">needs and priorities </w:t>
      </w:r>
      <w:r w:rsidR="004A7495">
        <w:t>of communities</w:t>
      </w:r>
      <w:r w:rsidR="004A7495" w:rsidRPr="003D6E45">
        <w:t xml:space="preserve"> </w:t>
      </w:r>
      <w:r w:rsidRPr="003D6E45">
        <w:t xml:space="preserve">and </w:t>
      </w:r>
      <w:r w:rsidR="004A7495">
        <w:t xml:space="preserve">to implement </w:t>
      </w:r>
      <w:r w:rsidRPr="003D6E45">
        <w:t xml:space="preserve">evidence-based planning and budgeting processes to effectively allocate resources to address </w:t>
      </w:r>
      <w:r w:rsidR="004C0577">
        <w:t>these</w:t>
      </w:r>
      <w:r w:rsidRPr="003D6E45">
        <w:t xml:space="preserve">. </w:t>
      </w:r>
      <w:r w:rsidR="004A7495">
        <w:t xml:space="preserve">A total of </w:t>
      </w:r>
      <w:r w:rsidRPr="003D6E45">
        <w:t xml:space="preserve">168 </w:t>
      </w:r>
      <w:r w:rsidR="004A7495">
        <w:t>d</w:t>
      </w:r>
      <w:r w:rsidR="004A7495" w:rsidRPr="003D6E45">
        <w:t xml:space="preserve">istrict </w:t>
      </w:r>
      <w:r w:rsidRPr="003D6E45">
        <w:t xml:space="preserve">government service units in Aceh (99 schools, 35 health clinics, </w:t>
      </w:r>
      <w:r w:rsidR="004A7495">
        <w:t>four</w:t>
      </w:r>
      <w:r w:rsidR="004A7495" w:rsidRPr="003D6E45">
        <w:t xml:space="preserve"> </w:t>
      </w:r>
      <w:r w:rsidRPr="003D6E45">
        <w:t xml:space="preserve">women’s development centres and 30 local government offices) are implementing </w:t>
      </w:r>
      <w:r w:rsidR="004A7495">
        <w:t>m</w:t>
      </w:r>
      <w:r w:rsidR="004A7495" w:rsidRPr="003D6E45">
        <w:t xml:space="preserve">inimum </w:t>
      </w:r>
      <w:r w:rsidR="004A7495">
        <w:t>s</w:t>
      </w:r>
      <w:r w:rsidR="004A7495" w:rsidRPr="003D6E45">
        <w:t xml:space="preserve">ervice </w:t>
      </w:r>
      <w:r w:rsidR="004A7495">
        <w:t>s</w:t>
      </w:r>
      <w:r w:rsidR="004A7495" w:rsidRPr="003D6E45">
        <w:t xml:space="preserve">tandards </w:t>
      </w:r>
      <w:r w:rsidRPr="003D6E45">
        <w:t xml:space="preserve">and transparent management practices. The resulting improved performance has convinced the Aceh provincial government to collaborate with </w:t>
      </w:r>
      <w:r w:rsidR="00297BCB">
        <w:t>Australia</w:t>
      </w:r>
      <w:r w:rsidRPr="003D6E45">
        <w:t xml:space="preserve"> </w:t>
      </w:r>
      <w:r w:rsidR="004A7495">
        <w:t>to</w:t>
      </w:r>
      <w:r w:rsidR="004A7495" w:rsidRPr="003D6E45">
        <w:t xml:space="preserve"> </w:t>
      </w:r>
      <w:r w:rsidRPr="003D6E45">
        <w:t xml:space="preserve">expand to 538 units in 2013. </w:t>
      </w:r>
    </w:p>
    <w:p w14:paraId="75BFEDCB" w14:textId="66D3133C" w:rsidR="003D6E45" w:rsidRPr="003D6E45" w:rsidRDefault="004A7495" w:rsidP="003E7DF9">
      <w:pPr>
        <w:pStyle w:val="BodyText"/>
      </w:pPr>
      <w:r>
        <w:t xml:space="preserve">A total of </w:t>
      </w:r>
      <w:r w:rsidR="003D6E45" w:rsidRPr="003D6E45">
        <w:t>80</w:t>
      </w:r>
      <w:r>
        <w:t xml:space="preserve"> per cent</w:t>
      </w:r>
      <w:r w:rsidR="003D6E45" w:rsidRPr="003D6E45">
        <w:t xml:space="preserve"> of district governments in </w:t>
      </w:r>
      <w:r>
        <w:t>West Nusa Tenggara</w:t>
      </w:r>
      <w:r w:rsidR="003D6E45" w:rsidRPr="003D6E45">
        <w:t xml:space="preserve">, </w:t>
      </w:r>
      <w:r>
        <w:t>East Nusa Tenggara</w:t>
      </w:r>
      <w:r w:rsidR="003D6E45" w:rsidRPr="003D6E45">
        <w:t xml:space="preserve">, South Sulawesi and Southeast Sulawesi have benefited from </w:t>
      </w:r>
      <w:r>
        <w:t>Australia Community Development and Civil Society Strengthening Scheme</w:t>
      </w:r>
      <w:r w:rsidRPr="003D6E45" w:rsidDel="004A7495">
        <w:t xml:space="preserve"> </w:t>
      </w:r>
      <w:r w:rsidR="003D6E45" w:rsidRPr="003D6E45">
        <w:t>interventions to apply participatory approaches in public policy making and budgeting, increase their health and education budget</w:t>
      </w:r>
      <w:r>
        <w:t>s,</w:t>
      </w:r>
      <w:r w:rsidR="003D6E45" w:rsidRPr="003D6E45">
        <w:t xml:space="preserve"> and </w:t>
      </w:r>
      <w:r>
        <w:t>use</w:t>
      </w:r>
      <w:r w:rsidRPr="003D6E45">
        <w:t xml:space="preserve"> </w:t>
      </w:r>
      <w:r w:rsidR="003D6E45" w:rsidRPr="003D6E45">
        <w:t>participatory village planning document</w:t>
      </w:r>
      <w:r>
        <w:t>s</w:t>
      </w:r>
      <w:r w:rsidR="003D6E45" w:rsidRPr="003D6E45">
        <w:t xml:space="preserve"> to inform district level planning. Village governments have issued 1953 local regulations (</w:t>
      </w:r>
      <w:r>
        <w:t xml:space="preserve">including </w:t>
      </w:r>
      <w:r w:rsidR="003D6E45" w:rsidRPr="003D6E45">
        <w:t xml:space="preserve">80 district regulations) to ensure better service delivery at </w:t>
      </w:r>
      <w:r>
        <w:t xml:space="preserve">the </w:t>
      </w:r>
      <w:r w:rsidR="003D6E45" w:rsidRPr="003D6E45">
        <w:t xml:space="preserve">frontline, where regulations form the basis of future budget allocations. </w:t>
      </w:r>
    </w:p>
    <w:p w14:paraId="5F1284A6" w14:textId="350D9610" w:rsidR="003D6E45" w:rsidRPr="003D6E45" w:rsidRDefault="003D6E45" w:rsidP="003E7DF9">
      <w:pPr>
        <w:pStyle w:val="BodyText"/>
      </w:pPr>
      <w:r w:rsidRPr="003D6E45">
        <w:t xml:space="preserve">The support in the district of West Lombok, </w:t>
      </w:r>
      <w:r w:rsidR="004A7495">
        <w:t xml:space="preserve">West Nusa Tenggara </w:t>
      </w:r>
      <w:r w:rsidRPr="003D6E45">
        <w:t xml:space="preserve">has empowered the community to engage local government </w:t>
      </w:r>
      <w:r w:rsidR="004C0577">
        <w:t>to</w:t>
      </w:r>
      <w:r w:rsidR="004C0577" w:rsidRPr="003D6E45">
        <w:t xml:space="preserve"> </w:t>
      </w:r>
      <w:r w:rsidRPr="003D6E45">
        <w:t xml:space="preserve">address low </w:t>
      </w:r>
      <w:r w:rsidR="004A7495" w:rsidRPr="003D6E45">
        <w:t xml:space="preserve">school </w:t>
      </w:r>
      <w:r w:rsidRPr="003D6E45">
        <w:t>enrolment</w:t>
      </w:r>
      <w:r w:rsidR="004A7495">
        <w:t>s</w:t>
      </w:r>
      <w:r w:rsidRPr="003D6E45">
        <w:t>. Through the complaint centre they identified couples who were married in religious ceremonies and were not issued a marriage certificate. The district government then provided free marriage certificates to 3500 coup</w:t>
      </w:r>
      <w:r w:rsidR="00CA1086">
        <w:t>les and allocated budget of IDR</w:t>
      </w:r>
      <w:r w:rsidRPr="003D6E45">
        <w:t>500 million (</w:t>
      </w:r>
      <w:r w:rsidR="008D1329">
        <w:t>$</w:t>
      </w:r>
      <w:r w:rsidRPr="003D6E45">
        <w:t>50</w:t>
      </w:r>
      <w:r w:rsidR="004A7495">
        <w:t xml:space="preserve"> </w:t>
      </w:r>
      <w:r w:rsidRPr="003D6E45">
        <w:t>000) in 2013 to rectif</w:t>
      </w:r>
      <w:r w:rsidR="004A7495">
        <w:t>y</w:t>
      </w:r>
      <w:r w:rsidRPr="003D6E45">
        <w:t xml:space="preserve"> marriage administration and improve the service so it is more accessible for couples in remote area</w:t>
      </w:r>
      <w:r w:rsidR="004A7495">
        <w:t>s</w:t>
      </w:r>
      <w:r w:rsidRPr="003D6E45">
        <w:t>.</w:t>
      </w:r>
    </w:p>
    <w:p w14:paraId="6477B08A" w14:textId="1C6FB7A2" w:rsidR="003D6E45" w:rsidRPr="003D6E45" w:rsidRDefault="004A7495" w:rsidP="003E7DF9">
      <w:pPr>
        <w:pStyle w:val="BodyText"/>
      </w:pPr>
      <w:r>
        <w:t>To</w:t>
      </w:r>
      <w:r w:rsidR="003D6E45" w:rsidRPr="003D6E45">
        <w:t xml:space="preserve"> provide </w:t>
      </w:r>
      <w:r>
        <w:t xml:space="preserve">the </w:t>
      </w:r>
      <w:r w:rsidR="003D6E45" w:rsidRPr="003D6E45">
        <w:t xml:space="preserve">evidence needed to increase health, education, and related infrastructure spending as a proportion of total spending, </w:t>
      </w:r>
      <w:r>
        <w:t>the Australia–Indonesia Partnership for Decentralisation</w:t>
      </w:r>
      <w:r w:rsidRPr="003D6E45">
        <w:t xml:space="preserve"> </w:t>
      </w:r>
      <w:r w:rsidR="003D6E45" w:rsidRPr="003D6E45">
        <w:t xml:space="preserve">has commissioned </w:t>
      </w:r>
      <w:r>
        <w:t xml:space="preserve">a </w:t>
      </w:r>
      <w:r w:rsidRPr="003D6E45">
        <w:t xml:space="preserve">public expenditure revenue analysis </w:t>
      </w:r>
      <w:r w:rsidR="003D6E45" w:rsidRPr="003D6E45">
        <w:t xml:space="preserve">in 21 target local governments, </w:t>
      </w:r>
      <w:r w:rsidR="004C0577">
        <w:t>which will</w:t>
      </w:r>
      <w:r w:rsidR="004C0577" w:rsidRPr="003D6E45">
        <w:t xml:space="preserve"> </w:t>
      </w:r>
      <w:r w:rsidR="003D6E45" w:rsidRPr="003D6E45">
        <w:t xml:space="preserve">be finalised in 2013. Three local governments have been supported to develop improved </w:t>
      </w:r>
      <w:r w:rsidRPr="003D6E45">
        <w:t>medium</w:t>
      </w:r>
      <w:r>
        <w:t>-</w:t>
      </w:r>
      <w:r w:rsidR="003D6E45" w:rsidRPr="003D6E45">
        <w:t>term plans and 17 have received assistance to produce better annual plans through planning and budgeting clinics</w:t>
      </w:r>
      <w:r>
        <w:t>. I</w:t>
      </w:r>
      <w:r w:rsidR="003D6E45" w:rsidRPr="003D6E45">
        <w:t>n all, 1789 (</w:t>
      </w:r>
      <w:r w:rsidR="004C0577">
        <w:t xml:space="preserve">including </w:t>
      </w:r>
      <w:r w:rsidR="003D6E45" w:rsidRPr="003D6E45">
        <w:t xml:space="preserve">656 </w:t>
      </w:r>
      <w:r>
        <w:t>women</w:t>
      </w:r>
      <w:r w:rsidR="003D6E45" w:rsidRPr="003D6E45">
        <w:t>) local government officials were trained in accounting, asset management, internal audit, and reporting during 2012. Engagement with local parliaments led to improved legislative</w:t>
      </w:r>
      <w:r>
        <w:t xml:space="preserve"> and </w:t>
      </w:r>
      <w:r w:rsidR="003D6E45" w:rsidRPr="003D6E45">
        <w:t xml:space="preserve">executive coordination, which resulted in on-time budgets delivered in 17 out of 25 target sub-national governments in 2012. </w:t>
      </w:r>
      <w:r w:rsidR="004C0577">
        <w:t>At</w:t>
      </w:r>
      <w:r w:rsidR="003D6E45" w:rsidRPr="003D6E45">
        <w:t xml:space="preserve"> the request of </w:t>
      </w:r>
      <w:r w:rsidR="004C0577">
        <w:t xml:space="preserve">the </w:t>
      </w:r>
      <w:r>
        <w:t>Ministry of Finance</w:t>
      </w:r>
      <w:r w:rsidR="003D6E45" w:rsidRPr="003D6E45">
        <w:t xml:space="preserve">, </w:t>
      </w:r>
      <w:r>
        <w:t>the Australia–Indonesia Partnership for Decentralisation</w:t>
      </w:r>
      <w:r w:rsidRPr="003D6E45">
        <w:t xml:space="preserve"> </w:t>
      </w:r>
      <w:r w:rsidR="003D6E45" w:rsidRPr="003D6E45">
        <w:t>also funded a team of experts</w:t>
      </w:r>
      <w:r>
        <w:t xml:space="preserve"> to</w:t>
      </w:r>
      <w:r w:rsidR="003D6E45" w:rsidRPr="003D6E45">
        <w:t xml:space="preserve"> produc</w:t>
      </w:r>
      <w:r>
        <w:t xml:space="preserve">e </w:t>
      </w:r>
      <w:r w:rsidR="003D6E45" w:rsidRPr="003D6E45">
        <w:t>central government policy briefs for the minister and draft regulations to improve functioning of decentralised government systems.</w:t>
      </w:r>
    </w:p>
    <w:p w14:paraId="5EBC8EF9" w14:textId="3EF26239" w:rsidR="003D6E45" w:rsidRPr="003D6E45" w:rsidRDefault="007F6D0E" w:rsidP="003E7DF9">
      <w:pPr>
        <w:pStyle w:val="BodyText"/>
      </w:pPr>
      <w:r>
        <w:t>Australian</w:t>
      </w:r>
      <w:r w:rsidR="003D6E45" w:rsidRPr="003D6E45">
        <w:t xml:space="preserve"> support to improv</w:t>
      </w:r>
      <w:r w:rsidR="004A7495">
        <w:t xml:space="preserve">e </w:t>
      </w:r>
      <w:r w:rsidR="003D6E45" w:rsidRPr="003D6E45">
        <w:t xml:space="preserve">the ability of citizens and </w:t>
      </w:r>
      <w:r w:rsidR="004A7495">
        <w:t>civil society organisations</w:t>
      </w:r>
      <w:r w:rsidR="004A7495" w:rsidRPr="003D6E45">
        <w:t xml:space="preserve"> </w:t>
      </w:r>
      <w:r w:rsidR="003D6E45" w:rsidRPr="003D6E45">
        <w:t xml:space="preserve">to demand better services remains positive. In all 20 districts covered by </w:t>
      </w:r>
      <w:r w:rsidR="004A7495">
        <w:t>the Australia Community Development and Civil Society Strengthening Scheme</w:t>
      </w:r>
      <w:r w:rsidR="003D6E45" w:rsidRPr="003D6E45">
        <w:t>, community groups, networks and association</w:t>
      </w:r>
      <w:r w:rsidR="004A7495">
        <w:t>s</w:t>
      </w:r>
      <w:r w:rsidR="003D6E45" w:rsidRPr="003D6E45">
        <w:t xml:space="preserve"> are growing. The number of community centres across the 20 districts has increased from 398 in Jan</w:t>
      </w:r>
      <w:r w:rsidR="004A7495">
        <w:t>uary</w:t>
      </w:r>
      <w:r w:rsidR="003D6E45" w:rsidRPr="003D6E45">
        <w:t xml:space="preserve"> 2012 to 853 in December </w:t>
      </w:r>
      <w:r w:rsidR="003D6E45" w:rsidRPr="00CA1086">
        <w:t>201</w:t>
      </w:r>
      <w:r w:rsidR="00150EE9">
        <w:t>2</w:t>
      </w:r>
      <w:r w:rsidR="004A7495">
        <w:t>.</w:t>
      </w:r>
      <w:r w:rsidR="003D6E45" w:rsidRPr="003D6E45">
        <w:t xml:space="preserve"> Community centres in Southeast Sulawesi increased from 28 to 46 in the last six months of 2012. These centres are able to address issues related to health, education and village administration. In the last quarter of 2012 the number of voluntary community-based organisations facilitated by 200 local </w:t>
      </w:r>
      <w:r w:rsidR="006D2A69">
        <w:t>non-government organisations</w:t>
      </w:r>
      <w:r w:rsidR="006D2A69" w:rsidRPr="003D6E45">
        <w:t xml:space="preserve"> </w:t>
      </w:r>
      <w:r w:rsidR="003D6E45" w:rsidRPr="003D6E45">
        <w:t xml:space="preserve">supported through </w:t>
      </w:r>
      <w:r w:rsidR="006D2A69">
        <w:t>the scheme</w:t>
      </w:r>
      <w:r w:rsidR="006D2A69" w:rsidRPr="003D6E45">
        <w:t xml:space="preserve"> </w:t>
      </w:r>
      <w:r w:rsidR="003D6E45" w:rsidRPr="003D6E45">
        <w:t>has increased by 22</w:t>
      </w:r>
      <w:r w:rsidR="006D2A69">
        <w:t xml:space="preserve"> per cent</w:t>
      </w:r>
      <w:r w:rsidR="006D2A69" w:rsidRPr="003D6E45">
        <w:t xml:space="preserve"> </w:t>
      </w:r>
      <w:r w:rsidR="003D6E45" w:rsidRPr="003D6E45">
        <w:t>from 2554 to 3134. These organisations promot</w:t>
      </w:r>
      <w:r w:rsidR="006D2A69">
        <w:t xml:space="preserve">e </w:t>
      </w:r>
      <w:r w:rsidR="003D6E45" w:rsidRPr="003D6E45">
        <w:t xml:space="preserve">economic livelihoods, </w:t>
      </w:r>
      <w:r w:rsidR="006D2A69">
        <w:t xml:space="preserve">and </w:t>
      </w:r>
      <w:r w:rsidR="003D6E45" w:rsidRPr="003D6E45">
        <w:t>improv</w:t>
      </w:r>
      <w:r w:rsidR="006D2A69">
        <w:t>e</w:t>
      </w:r>
      <w:r w:rsidR="003D6E45" w:rsidRPr="003D6E45">
        <w:t xml:space="preserve"> education and public health services in their relevant location. </w:t>
      </w:r>
    </w:p>
    <w:p w14:paraId="02C5D56E" w14:textId="6F8A2561" w:rsidR="003D6E45" w:rsidRDefault="003D6E45" w:rsidP="003E7DF9">
      <w:pPr>
        <w:pStyle w:val="BodyText"/>
      </w:pPr>
      <w:r w:rsidRPr="003D6E45">
        <w:t xml:space="preserve">In 2012 </w:t>
      </w:r>
      <w:r w:rsidR="006D2A69">
        <w:t xml:space="preserve">there was a delay in </w:t>
      </w:r>
      <w:r w:rsidR="00E52A1F" w:rsidRPr="003D6E45">
        <w:t>implement</w:t>
      </w:r>
      <w:r w:rsidR="00E52A1F">
        <w:t xml:space="preserve">ing </w:t>
      </w:r>
      <w:r w:rsidRPr="003D6E45">
        <w:t>the Australia</w:t>
      </w:r>
      <w:r w:rsidR="006D2A69">
        <w:t>–</w:t>
      </w:r>
      <w:r w:rsidRPr="003D6E45">
        <w:t>Indonesia Partnership for Decentralisation</w:t>
      </w:r>
      <w:r w:rsidR="006D2A69">
        <w:t>’s annual work plan</w:t>
      </w:r>
      <w:r w:rsidRPr="003D6E45">
        <w:t xml:space="preserve">, </w:t>
      </w:r>
      <w:r w:rsidR="006D2A69">
        <w:t xml:space="preserve">which was </w:t>
      </w:r>
      <w:r w:rsidRPr="003D6E45">
        <w:t>caused by the</w:t>
      </w:r>
      <w:r w:rsidR="006D2A69">
        <w:t xml:space="preserve"> Indonesian Government’s</w:t>
      </w:r>
      <w:r w:rsidRPr="003D6E45">
        <w:t xml:space="preserve"> introduction of new grant accounting procedures. </w:t>
      </w:r>
      <w:r w:rsidR="006D2A69">
        <w:t>The p</w:t>
      </w:r>
      <w:r w:rsidR="006D2A69" w:rsidRPr="003D6E45">
        <w:t xml:space="preserve">rogram team </w:t>
      </w:r>
      <w:r w:rsidR="006D2A69">
        <w:t>has largely overcome these</w:t>
      </w:r>
      <w:r w:rsidR="006D2A69" w:rsidRPr="003D6E45">
        <w:t xml:space="preserve"> </w:t>
      </w:r>
      <w:r w:rsidRPr="003D6E45">
        <w:t xml:space="preserve">problems with support from regional counterparts. The planned amendment to the </w:t>
      </w:r>
      <w:r w:rsidRPr="003D6E45">
        <w:lastRenderedPageBreak/>
        <w:t xml:space="preserve">program’s </w:t>
      </w:r>
      <w:r w:rsidR="006D2A69">
        <w:t>s</w:t>
      </w:r>
      <w:r w:rsidR="006D2A69" w:rsidRPr="003D6E45">
        <w:t xml:space="preserve">ubsidiary </w:t>
      </w:r>
      <w:r w:rsidR="006D2A69">
        <w:t>a</w:t>
      </w:r>
      <w:r w:rsidR="006D2A69" w:rsidRPr="003D6E45">
        <w:t xml:space="preserve">rrangement </w:t>
      </w:r>
      <w:r w:rsidR="006D2A69">
        <w:t>provides</w:t>
      </w:r>
      <w:r w:rsidR="006D2A69" w:rsidRPr="003D6E45">
        <w:t xml:space="preserve"> </w:t>
      </w:r>
      <w:r w:rsidRPr="003D6E45">
        <w:t xml:space="preserve">an opportunity to rectify the current governance arrangements and avoid future delays. </w:t>
      </w:r>
    </w:p>
    <w:p w14:paraId="7A9990CF" w14:textId="73AEFC12" w:rsidR="009C68D6" w:rsidRPr="003D6E45" w:rsidRDefault="006D2A69" w:rsidP="003E7DF9">
      <w:pPr>
        <w:pStyle w:val="BodyText"/>
      </w:pPr>
      <w:r>
        <w:t>U</w:t>
      </w:r>
      <w:r w:rsidRPr="009C68D6">
        <w:t>nfortunately</w:t>
      </w:r>
      <w:r>
        <w:t>,</w:t>
      </w:r>
      <w:r w:rsidRPr="009C68D6">
        <w:t xml:space="preserve"> planned </w:t>
      </w:r>
      <w:r>
        <w:t>d</w:t>
      </w:r>
      <w:r w:rsidRPr="009C68D6">
        <w:t xml:space="preserve">evelopment </w:t>
      </w:r>
      <w:r w:rsidR="009C68D6" w:rsidRPr="009C68D6">
        <w:t xml:space="preserve">of a joint secretariat </w:t>
      </w:r>
      <w:r w:rsidRPr="009C68D6">
        <w:t xml:space="preserve">in 2011 </w:t>
      </w:r>
      <w:r w:rsidR="009C68D6" w:rsidRPr="009C68D6">
        <w:t>between</w:t>
      </w:r>
      <w:r>
        <w:t xml:space="preserve"> the</w:t>
      </w:r>
      <w:r w:rsidR="009C68D6" w:rsidRPr="009C68D6">
        <w:t xml:space="preserve"> three key ministries working in decentralisation (</w:t>
      </w:r>
      <w:r>
        <w:t>the National Development Planning Agency</w:t>
      </w:r>
      <w:r w:rsidR="009C68D6" w:rsidRPr="009C68D6">
        <w:t xml:space="preserve">, </w:t>
      </w:r>
      <w:r>
        <w:t>Ministry of Finance and the Ministry of Home Affairs</w:t>
      </w:r>
      <w:r w:rsidR="009C68D6" w:rsidRPr="009C68D6">
        <w:t xml:space="preserve">) </w:t>
      </w:r>
      <w:r>
        <w:t>did</w:t>
      </w:r>
      <w:r w:rsidR="009C68D6" w:rsidRPr="009C68D6">
        <w:t xml:space="preserve"> not </w:t>
      </w:r>
      <w:r>
        <w:t>occur</w:t>
      </w:r>
      <w:r w:rsidR="009C68D6" w:rsidRPr="009C68D6">
        <w:t xml:space="preserve">, </w:t>
      </w:r>
      <w:r>
        <w:t>and</w:t>
      </w:r>
      <w:r w:rsidRPr="009C68D6">
        <w:t xml:space="preserve"> </w:t>
      </w:r>
      <w:r w:rsidR="009C68D6" w:rsidRPr="009C68D6">
        <w:t xml:space="preserve">each </w:t>
      </w:r>
      <w:r>
        <w:t>is</w:t>
      </w:r>
      <w:r w:rsidRPr="009C68D6">
        <w:t xml:space="preserve"> </w:t>
      </w:r>
      <w:r w:rsidR="009C68D6" w:rsidRPr="009C68D6">
        <w:t xml:space="preserve">still developing </w:t>
      </w:r>
      <w:r>
        <w:t xml:space="preserve">a </w:t>
      </w:r>
      <w:r w:rsidR="009C68D6" w:rsidRPr="009C68D6">
        <w:t>separate work</w:t>
      </w:r>
      <w:r>
        <w:t xml:space="preserve"> </w:t>
      </w:r>
      <w:r w:rsidR="009C68D6" w:rsidRPr="009C68D6">
        <w:t xml:space="preserve">plan. The effectiveness of the secretariat </w:t>
      </w:r>
      <w:r>
        <w:t xml:space="preserve">proposal </w:t>
      </w:r>
      <w:r w:rsidR="009C68D6" w:rsidRPr="009C68D6">
        <w:t xml:space="preserve">will be reviewed </w:t>
      </w:r>
      <w:r w:rsidR="000B19AE">
        <w:t xml:space="preserve">by the end of </w:t>
      </w:r>
      <w:r w:rsidR="009C68D6" w:rsidRPr="009C68D6">
        <w:t xml:space="preserve">2013. An inventory of key decentralisation products has been developed and will contribute to plans around improving frontline service delivery units, </w:t>
      </w:r>
      <w:r>
        <w:t>while</w:t>
      </w:r>
      <w:r w:rsidRPr="009C68D6">
        <w:t xml:space="preserve"> </w:t>
      </w:r>
      <w:r w:rsidR="009C68D6" w:rsidRPr="009C68D6">
        <w:t xml:space="preserve">the planned decentralisation policy support facility is still </w:t>
      </w:r>
      <w:r>
        <w:t>being</w:t>
      </w:r>
      <w:r w:rsidR="009C68D6" w:rsidRPr="009C68D6">
        <w:t xml:space="preserve"> develop</w:t>
      </w:r>
      <w:r>
        <w:t>ed</w:t>
      </w:r>
      <w:r w:rsidR="009C68D6" w:rsidRPr="009C68D6">
        <w:t>.</w:t>
      </w:r>
    </w:p>
    <w:p w14:paraId="705549B6" w14:textId="63CB51FB" w:rsidR="00780026" w:rsidRPr="00780026" w:rsidRDefault="00780026" w:rsidP="009A2B98">
      <w:pPr>
        <w:pStyle w:val="Heading2"/>
      </w:pPr>
      <w:bookmarkStart w:id="63" w:name="_Toc359585103"/>
      <w:bookmarkStart w:id="64" w:name="_Toc363768591"/>
      <w:bookmarkStart w:id="65" w:name="_Toc363804127"/>
      <w:r w:rsidRPr="00780026">
        <w:t xml:space="preserve">Management </w:t>
      </w:r>
      <w:bookmarkEnd w:id="63"/>
      <w:r w:rsidR="00F81534">
        <w:t>c</w:t>
      </w:r>
      <w:r w:rsidR="00F81534" w:rsidRPr="00780026">
        <w:t>onsequences</w:t>
      </w:r>
      <w:bookmarkEnd w:id="64"/>
      <w:bookmarkEnd w:id="65"/>
    </w:p>
    <w:p w14:paraId="532B4869" w14:textId="77777777" w:rsidR="00F81534" w:rsidRPr="00F127C6" w:rsidRDefault="00F81534" w:rsidP="009A2B98">
      <w:pPr>
        <w:pStyle w:val="BodyText"/>
      </w:pPr>
      <w:r w:rsidRPr="00F127C6">
        <w:t>Management consequences for 2013–14 include:</w:t>
      </w:r>
    </w:p>
    <w:p w14:paraId="1444972D" w14:textId="20872F34" w:rsidR="003D6E45" w:rsidRPr="003D6E45" w:rsidRDefault="003D6E45" w:rsidP="009A2B98">
      <w:pPr>
        <w:pStyle w:val="ListBullet"/>
      </w:pPr>
      <w:r w:rsidRPr="003D6E45">
        <w:t xml:space="preserve">Develop </w:t>
      </w:r>
      <w:r w:rsidR="006D2A69">
        <w:t>d</w:t>
      </w:r>
      <w:r w:rsidR="006D2A69" w:rsidRPr="003D6E45">
        <w:t xml:space="preserve">elivery </w:t>
      </w:r>
      <w:r w:rsidR="006D2A69">
        <w:t>s</w:t>
      </w:r>
      <w:r w:rsidR="006D2A69" w:rsidRPr="003D6E45">
        <w:t xml:space="preserve">trategy </w:t>
      </w:r>
      <w:r w:rsidRPr="003D6E45">
        <w:t>for the decentralisation sector.</w:t>
      </w:r>
    </w:p>
    <w:p w14:paraId="26685B49" w14:textId="1B0936CD" w:rsidR="003D6E45" w:rsidRPr="003D6E45" w:rsidRDefault="003D6E45" w:rsidP="009A2B98">
      <w:pPr>
        <w:pStyle w:val="ListBullet"/>
      </w:pPr>
      <w:r w:rsidRPr="003D6E45">
        <w:t xml:space="preserve">Conduct independent progress review of </w:t>
      </w:r>
      <w:r w:rsidR="006D2A69">
        <w:t>the Australia–Indonesia Partnership for Decentralisation</w:t>
      </w:r>
      <w:r w:rsidR="006D2A69" w:rsidRPr="003D6E45">
        <w:t xml:space="preserve"> </w:t>
      </w:r>
      <w:r w:rsidRPr="003D6E45">
        <w:t>in early 2014</w:t>
      </w:r>
      <w:r w:rsidR="006D2A69">
        <w:t>. This will</w:t>
      </w:r>
      <w:r w:rsidRPr="003D6E45">
        <w:t xml:space="preserve"> assess progress of the program to date, review what </w:t>
      </w:r>
      <w:r w:rsidR="00CA1086">
        <w:t xml:space="preserve">does </w:t>
      </w:r>
      <w:r w:rsidRPr="003D6E45">
        <w:t>and doesn’t</w:t>
      </w:r>
      <w:r w:rsidR="00CA1086" w:rsidRPr="00CA1086">
        <w:t xml:space="preserve"> </w:t>
      </w:r>
      <w:r w:rsidR="00CA1086">
        <w:t>work</w:t>
      </w:r>
      <w:r w:rsidRPr="003D6E45">
        <w:t>, and what needs to be done to improve implementation in the remaining period.</w:t>
      </w:r>
    </w:p>
    <w:p w14:paraId="0C82D35E" w14:textId="40061D84" w:rsidR="003D6E45" w:rsidRPr="003D6E45" w:rsidRDefault="003D6E45" w:rsidP="009A2B98">
      <w:pPr>
        <w:pStyle w:val="ListBullet"/>
      </w:pPr>
      <w:r w:rsidRPr="003D6E45">
        <w:t xml:space="preserve">Determine the geographic </w:t>
      </w:r>
      <w:r w:rsidR="006D2A69">
        <w:t xml:space="preserve">spread </w:t>
      </w:r>
      <w:r w:rsidRPr="003D6E45">
        <w:t xml:space="preserve">and number of local governments that should be supported directly by </w:t>
      </w:r>
      <w:r w:rsidR="00521BDA">
        <w:t>DFAT</w:t>
      </w:r>
      <w:r w:rsidR="00E043E4">
        <w:t xml:space="preserve"> </w:t>
      </w:r>
      <w:r w:rsidRPr="003D6E45">
        <w:t>to influence national and sub-national policies (</w:t>
      </w:r>
      <w:r w:rsidR="006D2A69">
        <w:t>for example,</w:t>
      </w:r>
      <w:r w:rsidRPr="003D6E45">
        <w:t xml:space="preserve"> 20</w:t>
      </w:r>
      <w:r w:rsidR="006D2A69">
        <w:t xml:space="preserve"> per cent </w:t>
      </w:r>
      <w:r w:rsidRPr="003D6E45">
        <w:t>of all district governments in 30</w:t>
      </w:r>
      <w:r w:rsidR="006D2A69">
        <w:t xml:space="preserve"> per cent</w:t>
      </w:r>
      <w:r w:rsidR="006D2A69" w:rsidRPr="003D6E45">
        <w:t xml:space="preserve"> </w:t>
      </w:r>
      <w:r w:rsidRPr="003D6E45">
        <w:t>of provinces)</w:t>
      </w:r>
      <w:r w:rsidR="006D2A69">
        <w:t>.</w:t>
      </w:r>
    </w:p>
    <w:p w14:paraId="11F37A71" w14:textId="1F69E4A4" w:rsidR="003D6E45" w:rsidRPr="003D6E45" w:rsidRDefault="003D6E45" w:rsidP="009A2B98">
      <w:pPr>
        <w:pStyle w:val="ListBullet"/>
      </w:pPr>
      <w:r w:rsidRPr="003D6E45">
        <w:t>Develop stronger mechanisms and partnerships to feed into national level policy formulation, including merging work between bureaucratic reform and decentralisation sectors.</w:t>
      </w:r>
    </w:p>
    <w:p w14:paraId="44AD0ADB" w14:textId="77777777" w:rsidR="003D6E45" w:rsidRPr="003D6E45" w:rsidRDefault="003D6E45" w:rsidP="009A2B98">
      <w:pPr>
        <w:pStyle w:val="ListBullet"/>
      </w:pPr>
      <w:r w:rsidRPr="003D6E45">
        <w:t>Strengthen coordination and inter-linkages with sectoral programming by ensuring overlaps and joint results frameworks.</w:t>
      </w:r>
    </w:p>
    <w:p w14:paraId="63D87949" w14:textId="3C752984" w:rsidR="00FF54F7" w:rsidRPr="00CA1086" w:rsidRDefault="00154F9B" w:rsidP="003E7DF9">
      <w:pPr>
        <w:pStyle w:val="BodyText"/>
      </w:pPr>
      <w:r>
        <w:t>T</w:t>
      </w:r>
      <w:r w:rsidRPr="004048AD">
        <w:t xml:space="preserve">he </w:t>
      </w:r>
      <w:r w:rsidR="00E52A1F">
        <w:t>follow-</w:t>
      </w:r>
      <w:r>
        <w:t xml:space="preserve">up of </w:t>
      </w:r>
      <w:r w:rsidRPr="004048AD">
        <w:t xml:space="preserve">management consequences from the </w:t>
      </w:r>
      <w:r>
        <w:t xml:space="preserve">2011 </w:t>
      </w:r>
      <w:r w:rsidR="006D2A69">
        <w:t>annual program performance report</w:t>
      </w:r>
      <w:r w:rsidR="00E52A1F">
        <w:t xml:space="preserve"> </w:t>
      </w:r>
      <w:r>
        <w:t>can be found in</w:t>
      </w:r>
      <w:r w:rsidRPr="004048AD">
        <w:t xml:space="preserve"> </w:t>
      </w:r>
      <w:r w:rsidRPr="00154F9B">
        <w:rPr>
          <w:b/>
        </w:rPr>
        <w:t>Annex B</w:t>
      </w:r>
      <w:r w:rsidRPr="004048AD">
        <w:t>.</w:t>
      </w:r>
    </w:p>
    <w:p w14:paraId="107CB40E" w14:textId="77777777" w:rsidR="00805D86" w:rsidRDefault="00805D86">
      <w:pPr>
        <w:spacing w:after="200" w:line="276" w:lineRule="auto"/>
        <w:rPr>
          <w:rFonts w:ascii="Franklin Gothic Demi" w:eastAsia="Times New Roman" w:hAnsi="Franklin Gothic Demi" w:cs="Arial"/>
          <w:color w:val="AD495D"/>
          <w:kern w:val="28"/>
          <w:sz w:val="28"/>
          <w:szCs w:val="28"/>
        </w:rPr>
      </w:pPr>
      <w:bookmarkStart w:id="66" w:name="_Toc359585104"/>
      <w:bookmarkStart w:id="67" w:name="_Toc363804128"/>
      <w:r>
        <w:br w:type="page"/>
      </w:r>
    </w:p>
    <w:p w14:paraId="02B1D6AA" w14:textId="3D2A07DE" w:rsidR="00FF54F7" w:rsidRPr="00FF54F7" w:rsidRDefault="00FF54F7" w:rsidP="009A2B98">
      <w:pPr>
        <w:pStyle w:val="Heading1"/>
      </w:pPr>
      <w:r w:rsidRPr="008335E2">
        <w:lastRenderedPageBreak/>
        <w:t>Disaster risk management</w:t>
      </w:r>
      <w:bookmarkEnd w:id="66"/>
      <w:bookmarkEnd w:id="67"/>
      <w:r w:rsidRPr="00FF54F7">
        <w:t xml:space="preserve"> </w:t>
      </w:r>
    </w:p>
    <w:tbl>
      <w:tblPr>
        <w:tblStyle w:val="APPR6"/>
        <w:tblW w:w="5000" w:type="pct"/>
        <w:tblLayout w:type="fixed"/>
        <w:tblLook w:val="0000" w:firstRow="0" w:lastRow="0" w:firstColumn="0" w:lastColumn="0" w:noHBand="0" w:noVBand="0"/>
      </w:tblPr>
      <w:tblGrid>
        <w:gridCol w:w="6453"/>
        <w:gridCol w:w="1050"/>
        <w:gridCol w:w="1103"/>
      </w:tblGrid>
      <w:tr w:rsidR="009A2B98" w:rsidRPr="00FF54F7" w14:paraId="71EC5B67" w14:textId="77777777" w:rsidTr="009A2B98">
        <w:trPr>
          <w:cantSplit/>
          <w:tblHeader w:val="0"/>
        </w:trPr>
        <w:tc>
          <w:tcPr>
            <w:tcW w:w="6048" w:type="dxa"/>
          </w:tcPr>
          <w:p w14:paraId="7B84F5DF" w14:textId="77777777" w:rsidR="009A2B98" w:rsidRPr="00FF54F7" w:rsidRDefault="009A2B98" w:rsidP="009A2B98">
            <w:pPr>
              <w:pStyle w:val="TableTextColumnHeading"/>
            </w:pPr>
            <w:r w:rsidRPr="00FF54F7">
              <w:rPr>
                <w:noProof/>
                <w:lang w:eastAsia="en-AU"/>
              </w:rPr>
              <w:drawing>
                <wp:anchor distT="0" distB="0" distL="114300" distR="114300" simplePos="0" relativeHeight="251714560" behindDoc="0" locked="0" layoutInCell="1" allowOverlap="1" wp14:anchorId="0D9483BB" wp14:editId="158E5AC1">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4F7">
              <w:t>Objective</w:t>
            </w:r>
          </w:p>
        </w:tc>
        <w:tc>
          <w:tcPr>
            <w:tcW w:w="964" w:type="dxa"/>
            <w:vAlign w:val="center"/>
          </w:tcPr>
          <w:p w14:paraId="36D95C1C" w14:textId="5CEDA741" w:rsidR="009A2B98" w:rsidRPr="00FF54F7" w:rsidRDefault="009A2B98" w:rsidP="009A2B98">
            <w:pPr>
              <w:pStyle w:val="TableTextColumnHeading"/>
            </w:pPr>
            <w:r w:rsidRPr="00FF54F7">
              <w:t xml:space="preserve">Current </w:t>
            </w:r>
            <w:r>
              <w:t>r</w:t>
            </w:r>
            <w:r w:rsidRPr="00FF54F7">
              <w:t>ating</w:t>
            </w:r>
          </w:p>
        </w:tc>
        <w:tc>
          <w:tcPr>
            <w:tcW w:w="1001" w:type="dxa"/>
            <w:vAlign w:val="center"/>
          </w:tcPr>
          <w:p w14:paraId="21CA88BC" w14:textId="24365E07" w:rsidR="009A2B98" w:rsidRPr="00FF54F7" w:rsidRDefault="009A2B98" w:rsidP="009A2B98">
            <w:pPr>
              <w:pStyle w:val="TableTextColumnHeading"/>
            </w:pPr>
            <w:r w:rsidRPr="00FF54F7">
              <w:t xml:space="preserve">Previous </w:t>
            </w:r>
            <w:r>
              <w:t>r</w:t>
            </w:r>
            <w:r w:rsidRPr="00FF54F7">
              <w:t>ating</w:t>
            </w:r>
          </w:p>
        </w:tc>
      </w:tr>
      <w:tr w:rsidR="009A2B98" w:rsidRPr="00FF54F7" w14:paraId="010C5743" w14:textId="77777777" w:rsidTr="009A2B98">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137B66B9" w14:textId="77777777" w:rsidR="009A2B98" w:rsidRPr="00FF54F7" w:rsidRDefault="009A2B98" w:rsidP="009A2B98">
            <w:pPr>
              <w:pStyle w:val="TableTextEntries"/>
            </w:pPr>
            <w:r w:rsidRPr="00FF54F7">
              <w:t>Australia effectively and appropriately supports the Indonesian Government and communities to better prepare for, manage and reduce the risks of disasters (</w:t>
            </w:r>
            <w:r w:rsidRPr="00FF54F7">
              <w:rPr>
                <w:i/>
              </w:rPr>
              <w:t>revised wording</w:t>
            </w:r>
            <w:r w:rsidRPr="00FF54F7">
              <w:t>)</w:t>
            </w:r>
          </w:p>
        </w:tc>
        <w:tc>
          <w:tcPr>
            <w:tcW w:w="964" w:type="dxa"/>
            <w:shd w:val="clear" w:color="auto" w:fill="92D050"/>
            <w:noWrap/>
            <w:vAlign w:val="center"/>
          </w:tcPr>
          <w:p w14:paraId="002074B1" w14:textId="77777777" w:rsidR="009A2B98" w:rsidRPr="009A2B98" w:rsidRDefault="009A2B98" w:rsidP="009A2B98">
            <w:pPr>
              <w:pStyle w:val="TableTextEntries"/>
            </w:pPr>
            <w:r w:rsidRPr="009A2B98">
              <w:t>Green</w:t>
            </w:r>
          </w:p>
        </w:tc>
        <w:tc>
          <w:tcPr>
            <w:tcW w:w="1001" w:type="dxa"/>
            <w:shd w:val="clear" w:color="auto" w:fill="92D050"/>
            <w:noWrap/>
            <w:vAlign w:val="center"/>
          </w:tcPr>
          <w:p w14:paraId="6777FC06" w14:textId="77777777" w:rsidR="009A2B98" w:rsidRPr="009A2B98" w:rsidRDefault="009A2B98" w:rsidP="009A2B98">
            <w:pPr>
              <w:pStyle w:val="TableTextEntries"/>
            </w:pPr>
            <w:r w:rsidRPr="009A2B98">
              <w:t>Green</w:t>
            </w:r>
          </w:p>
        </w:tc>
      </w:tr>
    </w:tbl>
    <w:p w14:paraId="2A98F967" w14:textId="77777777" w:rsidR="00FF54F7" w:rsidRPr="00FF54F7" w:rsidRDefault="00FF54F7" w:rsidP="009A2B98">
      <w:pPr>
        <w:pStyle w:val="Note"/>
      </w:pPr>
      <w:r w:rsidRPr="00FF54F7">
        <w:t xml:space="preserve">Note: </w:t>
      </w:r>
    </w:p>
    <w:p w14:paraId="49A4A994" w14:textId="77777777" w:rsidR="00FF54F7" w:rsidRPr="00FF54F7" w:rsidRDefault="00FF54F7" w:rsidP="009A2B98">
      <w:pPr>
        <w:pStyle w:val="Note"/>
      </w:pPr>
      <w:r w:rsidRPr="00FF54F7">
        <w:rPr>
          <w:color w:val="92D050"/>
        </w:rPr>
        <w:sym w:font="Webdings" w:char="F067"/>
      </w:r>
      <w:r w:rsidRPr="00FF54F7">
        <w:t> </w:t>
      </w:r>
      <w:r w:rsidRPr="00FF54F7">
        <w:t xml:space="preserve"> </w:t>
      </w:r>
      <w:proofErr w:type="gramStart"/>
      <w:r w:rsidRPr="00FF54F7">
        <w:t>Green.</w:t>
      </w:r>
      <w:proofErr w:type="gramEnd"/>
      <w:r w:rsidRPr="00FF54F7">
        <w:t xml:space="preserve"> Progress is as expected for this point in time and it is likely that the objective will be achieved. Standard program management practices are sufficient.</w:t>
      </w:r>
    </w:p>
    <w:p w14:paraId="4D0A5F58" w14:textId="77777777" w:rsidR="00FF54F7" w:rsidRPr="00FF54F7" w:rsidRDefault="00FF54F7" w:rsidP="009A2B98">
      <w:pPr>
        <w:pStyle w:val="Note"/>
      </w:pPr>
      <w:r w:rsidRPr="00FF54F7">
        <w:rPr>
          <w:color w:val="F79646" w:themeColor="accent6"/>
        </w:rPr>
        <w:sym w:font="Webdings" w:char="F067"/>
      </w:r>
      <w:r w:rsidRPr="00FF54F7">
        <w:t> </w:t>
      </w:r>
      <w:r w:rsidRPr="00FF54F7">
        <w:t xml:space="preserve"> Amber. Progress is somewhat less than expected for this point in time and restorative action will be necessary if the objective is to be achieved. Close performance monitoring is recommended.</w:t>
      </w:r>
    </w:p>
    <w:p w14:paraId="21F87EE0" w14:textId="77777777" w:rsidR="00FF54F7" w:rsidRPr="00FF54F7" w:rsidRDefault="00FF54F7" w:rsidP="009A2B98">
      <w:pPr>
        <w:pStyle w:val="Note"/>
      </w:pPr>
      <w:r w:rsidRPr="00FF54F7">
        <w:rPr>
          <w:color w:val="FF0000"/>
        </w:rPr>
        <w:sym w:font="Webdings" w:char="F067"/>
      </w:r>
      <w:r w:rsidRPr="00FF54F7">
        <w:t> </w:t>
      </w:r>
      <w:r w:rsidRPr="00FF54F7">
        <w:t xml:space="preserve"> </w:t>
      </w:r>
      <w:proofErr w:type="gramStart"/>
      <w:r w:rsidRPr="00FF54F7">
        <w:t>Red.</w:t>
      </w:r>
      <w:proofErr w:type="gramEnd"/>
      <w:r w:rsidRPr="00FF54F7">
        <w:t xml:space="preserve"> Progress is significantly less than expected for this point in time and the objective is not likely to be met given available resources and priorities. Recasting the objective may be required. </w:t>
      </w:r>
    </w:p>
    <w:p w14:paraId="55280AED" w14:textId="77777777" w:rsidR="004048AD" w:rsidRDefault="004048AD" w:rsidP="009A2B98">
      <w:pPr>
        <w:pStyle w:val="BodyText"/>
      </w:pPr>
    </w:p>
    <w:p w14:paraId="7C37FEBC" w14:textId="245DA568" w:rsidR="004048AD" w:rsidRPr="004048AD" w:rsidRDefault="004048AD" w:rsidP="009A2B98">
      <w:pPr>
        <w:pStyle w:val="BodyText"/>
      </w:pPr>
      <w:r w:rsidRPr="004048AD">
        <w:t>Indonesia is one of the most disaster prone countries in the world</w:t>
      </w:r>
      <w:r w:rsidR="00E52A1F">
        <w:t xml:space="preserve"> and i</w:t>
      </w:r>
      <w:r w:rsidRPr="004048AD">
        <w:t>n the last 10 years, natural disasters have killed over 200</w:t>
      </w:r>
      <w:r w:rsidR="008335E2">
        <w:t xml:space="preserve"> </w:t>
      </w:r>
      <w:r w:rsidRPr="004048AD">
        <w:t>000 people. It experiences more earthquakes than any other country. It has over 120 active volcanoes and, on average, experiences a fatal tsunami every three years. Combined with devastating annual floods, Indonesia is ranked 12th globally in mortality risk from multiple hazards and 40</w:t>
      </w:r>
      <w:r w:rsidR="008335E2">
        <w:t xml:space="preserve"> per cent</w:t>
      </w:r>
      <w:r w:rsidR="008335E2" w:rsidRPr="004048AD">
        <w:t xml:space="preserve"> </w:t>
      </w:r>
      <w:r w:rsidRPr="004048AD">
        <w:t xml:space="preserve">of its population live in at-risk areas. Disaster </w:t>
      </w:r>
      <w:r w:rsidR="008335E2">
        <w:t>r</w:t>
      </w:r>
      <w:r w:rsidR="008335E2" w:rsidRPr="004048AD">
        <w:t xml:space="preserve">isk </w:t>
      </w:r>
      <w:r w:rsidR="008335E2">
        <w:t>m</w:t>
      </w:r>
      <w:r w:rsidR="008335E2" w:rsidRPr="004048AD">
        <w:t xml:space="preserve">anagement </w:t>
      </w:r>
      <w:r w:rsidRPr="004048AD">
        <w:t>is a</w:t>
      </w:r>
      <w:r w:rsidR="008335E2">
        <w:t>n</w:t>
      </w:r>
      <w:r w:rsidRPr="004048AD">
        <w:t xml:space="preserve"> </w:t>
      </w:r>
      <w:r w:rsidR="000A11DD">
        <w:t>Indonesian Government</w:t>
      </w:r>
      <w:r w:rsidRPr="004048AD">
        <w:t xml:space="preserve"> priority, as reflected in the </w:t>
      </w:r>
      <w:r w:rsidR="008335E2" w:rsidRPr="004048AD">
        <w:t>medium</w:t>
      </w:r>
      <w:r w:rsidR="008335E2">
        <w:t>-</w:t>
      </w:r>
      <w:r w:rsidR="008335E2" w:rsidRPr="004048AD">
        <w:t xml:space="preserve">term development plan </w:t>
      </w:r>
      <w:r w:rsidRPr="004048AD">
        <w:t>(2010</w:t>
      </w:r>
      <w:r w:rsidR="008335E2">
        <w:t>–</w:t>
      </w:r>
      <w:r w:rsidRPr="004048AD">
        <w:t xml:space="preserve">2014) and the </w:t>
      </w:r>
      <w:r w:rsidR="008335E2">
        <w:t>p</w:t>
      </w:r>
      <w:r w:rsidR="008335E2" w:rsidRPr="004048AD">
        <w:t>resident’s master plan for reducing tsunami ris</w:t>
      </w:r>
      <w:r w:rsidRPr="004048AD">
        <w:t xml:space="preserve">k. Investing in </w:t>
      </w:r>
      <w:r w:rsidR="008335E2">
        <w:t>d</w:t>
      </w:r>
      <w:r w:rsidR="008335E2" w:rsidRPr="004048AD">
        <w:t xml:space="preserve">isaster </w:t>
      </w:r>
      <w:r w:rsidR="008335E2">
        <w:t>r</w:t>
      </w:r>
      <w:r w:rsidR="008335E2" w:rsidRPr="004048AD">
        <w:t xml:space="preserve">isk </w:t>
      </w:r>
      <w:r w:rsidR="008335E2">
        <w:t>m</w:t>
      </w:r>
      <w:r w:rsidR="008335E2" w:rsidRPr="004048AD">
        <w:t xml:space="preserve">anagement </w:t>
      </w:r>
      <w:r w:rsidRPr="004048AD">
        <w:t>strengthens the bilateral relationship with Indonesia and positions Australia as a leading donor in the sector and valued partner for disaster response.</w:t>
      </w:r>
      <w:r w:rsidR="00B525E5">
        <w:t xml:space="preserve"> </w:t>
      </w:r>
      <w:r w:rsidRPr="004048AD">
        <w:t>It also provides a strategic platform for the two countries’ military and civil institutions to cooperate on what is a significant regional issue.</w:t>
      </w:r>
    </w:p>
    <w:p w14:paraId="0B346DEF" w14:textId="5436082B" w:rsidR="004048AD" w:rsidRPr="004048AD" w:rsidRDefault="004048AD" w:rsidP="009A2B98">
      <w:pPr>
        <w:pStyle w:val="BodyText"/>
      </w:pPr>
      <w:r w:rsidRPr="004048AD">
        <w:t xml:space="preserve">Indonesia has demonstrated its intention to manage all but the largest disasters, and </w:t>
      </w:r>
      <w:r w:rsidR="008335E2" w:rsidRPr="004048AD">
        <w:t>ha</w:t>
      </w:r>
      <w:r w:rsidR="008335E2">
        <w:t>s</w:t>
      </w:r>
      <w:r w:rsidR="008335E2" w:rsidRPr="004048AD">
        <w:t xml:space="preserve"> </w:t>
      </w:r>
      <w:r w:rsidRPr="004048AD">
        <w:t xml:space="preserve">become increasingly open about </w:t>
      </w:r>
      <w:r w:rsidR="008335E2">
        <w:t>its</w:t>
      </w:r>
      <w:r w:rsidR="008335E2" w:rsidRPr="004048AD">
        <w:t xml:space="preserve"> </w:t>
      </w:r>
      <w:r w:rsidRPr="004048AD">
        <w:t xml:space="preserve">reluctance to request international assistance. This was apparent during the floods that struck Jakarta in January 2013 </w:t>
      </w:r>
      <w:r w:rsidR="008335E2">
        <w:t>when</w:t>
      </w:r>
      <w:r w:rsidR="008335E2" w:rsidRPr="004048AD">
        <w:t xml:space="preserve"> </w:t>
      </w:r>
      <w:r w:rsidRPr="004048AD">
        <w:t>41 people were killed and an estimated 45</w:t>
      </w:r>
      <w:r w:rsidR="008335E2">
        <w:t xml:space="preserve"> </w:t>
      </w:r>
      <w:r w:rsidRPr="004048AD">
        <w:t xml:space="preserve">000 </w:t>
      </w:r>
      <w:r w:rsidR="008335E2">
        <w:t>were</w:t>
      </w:r>
      <w:r w:rsidR="008335E2" w:rsidRPr="004048AD">
        <w:t xml:space="preserve"> </w:t>
      </w:r>
      <w:r w:rsidRPr="004048AD">
        <w:t>displaced, but only limited international assistance was required. Nonetheless, Australia continue</w:t>
      </w:r>
      <w:r w:rsidR="008335E2">
        <w:t>s</w:t>
      </w:r>
      <w:r w:rsidRPr="004048AD">
        <w:t xml:space="preserve"> to ensur</w:t>
      </w:r>
      <w:r w:rsidR="008335E2">
        <w:t>e</w:t>
      </w:r>
      <w:r w:rsidRPr="004048AD">
        <w:t xml:space="preserve"> that we are prepared to offer </w:t>
      </w:r>
      <w:r w:rsidR="00E52A1F">
        <w:t>help</w:t>
      </w:r>
      <w:r w:rsidR="00E52A1F" w:rsidRPr="004048AD">
        <w:t xml:space="preserve"> </w:t>
      </w:r>
      <w:r w:rsidRPr="004048AD">
        <w:t>when the inevitable large-scale disaster occurs</w:t>
      </w:r>
      <w:r w:rsidR="008335E2">
        <w:t>,</w:t>
      </w:r>
      <w:r w:rsidRPr="004048AD">
        <w:t xml:space="preserve"> and </w:t>
      </w:r>
      <w:r w:rsidR="008335E2">
        <w:t xml:space="preserve">ready to </w:t>
      </w:r>
      <w:r w:rsidRPr="004048AD">
        <w:t>build Indonesia’s capacity to handle larger and more complex events without the need for international assistance.</w:t>
      </w:r>
    </w:p>
    <w:p w14:paraId="756A1235" w14:textId="17B69023" w:rsidR="004048AD" w:rsidRPr="004048AD" w:rsidRDefault="004048AD" w:rsidP="009A2B98">
      <w:pPr>
        <w:pStyle w:val="BodyText"/>
      </w:pPr>
      <w:r w:rsidRPr="004048AD">
        <w:t xml:space="preserve">The </w:t>
      </w:r>
      <w:r w:rsidR="008335E2">
        <w:t>d</w:t>
      </w:r>
      <w:r w:rsidR="008335E2" w:rsidRPr="004048AD">
        <w:t xml:space="preserve">isaster </w:t>
      </w:r>
      <w:r w:rsidR="008335E2">
        <w:t>r</w:t>
      </w:r>
      <w:r w:rsidR="008335E2" w:rsidRPr="004048AD">
        <w:t xml:space="preserve">isk </w:t>
      </w:r>
      <w:r w:rsidR="008335E2">
        <w:t>m</w:t>
      </w:r>
      <w:r w:rsidR="008335E2" w:rsidRPr="004048AD">
        <w:t xml:space="preserve">anagement </w:t>
      </w:r>
      <w:r w:rsidRPr="004048AD">
        <w:t xml:space="preserve">sector in Indonesia is new, evolving and complex and the </w:t>
      </w:r>
      <w:r w:rsidR="000A11DD">
        <w:t>Indonesian Government</w:t>
      </w:r>
      <w:r w:rsidRPr="004048AD">
        <w:t xml:space="preserve"> faces significant challenges to its goal of better self-managing disasters. The Indonesian National Disaster Management Agency and provincial and district disaster management agencies were only established in 2007. The disaster management policy framework is not fully developed or resourced</w:t>
      </w:r>
      <w:r w:rsidR="008335E2">
        <w:t>,</w:t>
      </w:r>
      <w:r w:rsidR="008335E2" w:rsidRPr="004048AD">
        <w:t xml:space="preserve"> </w:t>
      </w:r>
      <w:r w:rsidRPr="004048AD">
        <w:t>organisational systems are not fully aligned with the emerging policy framework</w:t>
      </w:r>
      <w:r w:rsidR="008335E2">
        <w:t>,</w:t>
      </w:r>
      <w:r w:rsidR="008335E2" w:rsidRPr="004048AD">
        <w:t xml:space="preserve"> </w:t>
      </w:r>
      <w:r w:rsidRPr="004048AD">
        <w:t>and organisational capacity of relevant agencies is generally low, particularly at the sub-national level.</w:t>
      </w:r>
    </w:p>
    <w:p w14:paraId="014977CA" w14:textId="4B17CF1B" w:rsidR="004048AD" w:rsidRPr="004048AD" w:rsidRDefault="004048AD" w:rsidP="003E7DF9">
      <w:pPr>
        <w:pStyle w:val="BodyText"/>
      </w:pPr>
      <w:r w:rsidRPr="004048AD">
        <w:t>Australia and Indonesia work in partnership to improve Indonesia’s ability to prepare for, manage and reduce the risk of disasters. A major part of our partnership is delivered through the Australia</w:t>
      </w:r>
      <w:r w:rsidR="008335E2">
        <w:t>–</w:t>
      </w:r>
      <w:r w:rsidRPr="004048AD">
        <w:t>Indonesia Facility for Disaster Reduction</w:t>
      </w:r>
      <w:r w:rsidR="00E52A1F">
        <w:t>,</w:t>
      </w:r>
      <w:r w:rsidRPr="004048AD">
        <w:t xml:space="preserve"> which works closely with </w:t>
      </w:r>
      <w:r w:rsidR="008335E2">
        <w:t xml:space="preserve">the National Coordinating Agency for Disaster </w:t>
      </w:r>
      <w:r w:rsidRPr="004048AD">
        <w:t xml:space="preserve">to develop and implement programs and activities that support </w:t>
      </w:r>
      <w:r w:rsidR="008335E2">
        <w:t>Indonesian</w:t>
      </w:r>
      <w:r w:rsidR="008335E2" w:rsidRPr="004048AD">
        <w:t xml:space="preserve"> </w:t>
      </w:r>
      <w:r w:rsidRPr="004048AD">
        <w:t xml:space="preserve">and Australian priorities. </w:t>
      </w:r>
      <w:r w:rsidR="008335E2">
        <w:t xml:space="preserve">The </w:t>
      </w:r>
      <w:r w:rsidR="008335E2" w:rsidRPr="004048AD">
        <w:t>Australia</w:t>
      </w:r>
      <w:r w:rsidR="008335E2">
        <w:t>–</w:t>
      </w:r>
      <w:r w:rsidR="008335E2" w:rsidRPr="004048AD">
        <w:t xml:space="preserve">Indonesia Facility for Disaster Reduction </w:t>
      </w:r>
      <w:r w:rsidRPr="004048AD">
        <w:t>uses Australian and Indonesian science to better identify natural disaster hazards and risks. This data underpin</w:t>
      </w:r>
      <w:r w:rsidR="00E52A1F">
        <w:t>s</w:t>
      </w:r>
      <w:r w:rsidRPr="004048AD">
        <w:t xml:space="preserve"> training, planning and mitigation activities for national and sub-national disaster managers, and build</w:t>
      </w:r>
      <w:r w:rsidR="00E52A1F">
        <w:t>s</w:t>
      </w:r>
      <w:r w:rsidRPr="004048AD">
        <w:t xml:space="preserve"> Indonesian capacity to better manage disasters. </w:t>
      </w:r>
      <w:r w:rsidR="008335E2">
        <w:t>The facility</w:t>
      </w:r>
      <w:r w:rsidR="008335E2" w:rsidRPr="004048AD">
        <w:t xml:space="preserve"> </w:t>
      </w:r>
      <w:r w:rsidRPr="004048AD">
        <w:t xml:space="preserve">also works with key community sector organisations and non-government organisations to ensure vulnerable communities are better prepared. Australia </w:t>
      </w:r>
      <w:r w:rsidR="008335E2">
        <w:t xml:space="preserve">also </w:t>
      </w:r>
      <w:r w:rsidRPr="004048AD">
        <w:t xml:space="preserve">provides international and Indonesian technical expertise to work directly with </w:t>
      </w:r>
      <w:r w:rsidR="008335E2">
        <w:t xml:space="preserve">the National </w:t>
      </w:r>
      <w:r w:rsidR="008335E2">
        <w:lastRenderedPageBreak/>
        <w:t xml:space="preserve">Coordinating Agency for Disaster, </w:t>
      </w:r>
      <w:r w:rsidRPr="004048AD">
        <w:t xml:space="preserve">and </w:t>
      </w:r>
      <w:r w:rsidR="008335E2" w:rsidRPr="004048AD">
        <w:t>provincial and district disaster management agencies</w:t>
      </w:r>
      <w:r w:rsidR="008335E2">
        <w:t>,</w:t>
      </w:r>
      <w:r w:rsidR="008335E2" w:rsidRPr="004048AD" w:rsidDel="008335E2">
        <w:t xml:space="preserve"> </w:t>
      </w:r>
      <w:r w:rsidRPr="004048AD">
        <w:t xml:space="preserve">to develop relevant disaster risk management policies and improve organisational capacity. </w:t>
      </w:r>
    </w:p>
    <w:p w14:paraId="7A852FA9" w14:textId="73F4F75A" w:rsidR="004048AD" w:rsidRPr="004048AD" w:rsidRDefault="004048AD" w:rsidP="003E7DF9">
      <w:pPr>
        <w:pStyle w:val="BodyText"/>
      </w:pPr>
      <w:r w:rsidRPr="004048AD">
        <w:t xml:space="preserve">Australia also works with multilateral and regional bodies to ensure they are better prepared when a major disaster occurs. In 2012 for example, </w:t>
      </w:r>
      <w:r w:rsidR="008335E2" w:rsidRPr="004048AD">
        <w:t>Australia</w:t>
      </w:r>
      <w:r w:rsidR="008335E2">
        <w:t>–</w:t>
      </w:r>
      <w:r w:rsidR="008335E2" w:rsidRPr="004048AD">
        <w:t xml:space="preserve">Indonesia Facility for Disaster Reduction </w:t>
      </w:r>
      <w:r w:rsidRPr="004048AD">
        <w:t xml:space="preserve">support </w:t>
      </w:r>
      <w:r w:rsidR="008335E2">
        <w:t>for</w:t>
      </w:r>
      <w:r w:rsidR="008335E2" w:rsidRPr="004048AD">
        <w:t xml:space="preserve"> </w:t>
      </w:r>
      <w:r w:rsidRPr="004048AD">
        <w:t xml:space="preserve">the ASEAN Agreement on Disaster Management and Emergency </w:t>
      </w:r>
      <w:r w:rsidR="00E52A1F" w:rsidRPr="004048AD">
        <w:t>Response</w:t>
      </w:r>
      <w:r w:rsidR="00E52A1F">
        <w:t>––</w:t>
      </w:r>
      <w:r w:rsidRPr="004048AD">
        <w:t xml:space="preserve">and </w:t>
      </w:r>
      <w:r w:rsidR="00E52A1F">
        <w:t>to</w:t>
      </w:r>
      <w:r w:rsidR="00E52A1F" w:rsidRPr="004048AD">
        <w:t xml:space="preserve"> </w:t>
      </w:r>
      <w:r w:rsidRPr="004048AD">
        <w:t>establish the ASEAN Coordinating Centre for Humanitarian Assistance on Disaster Management</w:t>
      </w:r>
      <w:r w:rsidR="00E52A1F">
        <w:t>––</w:t>
      </w:r>
      <w:r w:rsidR="008335E2">
        <w:t>ensured</w:t>
      </w:r>
      <w:r w:rsidRPr="004048AD">
        <w:t xml:space="preserve"> regional capacity to prepare and respond to disasters </w:t>
      </w:r>
      <w:r w:rsidR="008335E2">
        <w:t xml:space="preserve">was </w:t>
      </w:r>
      <w:r w:rsidRPr="004048AD">
        <w:t xml:space="preserve">significantly strengthened. </w:t>
      </w:r>
      <w:r w:rsidR="00E043E4">
        <w:t xml:space="preserve">The </w:t>
      </w:r>
      <w:r w:rsidR="00521BDA">
        <w:t>DFAT</w:t>
      </w:r>
      <w:r w:rsidR="00E043E4">
        <w:t xml:space="preserve"> aid program </w:t>
      </w:r>
      <w:r w:rsidRPr="004048AD">
        <w:t>provides core support to the U</w:t>
      </w:r>
      <w:r w:rsidR="008335E2">
        <w:t xml:space="preserve">nited </w:t>
      </w:r>
      <w:r w:rsidRPr="004048AD">
        <w:t>N</w:t>
      </w:r>
      <w:r w:rsidR="008335E2">
        <w:t>ations</w:t>
      </w:r>
      <w:r w:rsidRPr="004048AD">
        <w:t xml:space="preserve"> Office for the Coordination of Humanitarian Affairs to maintain a presence in Indonesia, and to support </w:t>
      </w:r>
      <w:r w:rsidR="008335E2" w:rsidRPr="004048AD">
        <w:t xml:space="preserve">the ASEAN Coordinating Centre for Humanitarian Assistance on Disaster Management </w:t>
      </w:r>
      <w:r w:rsidRPr="004048AD">
        <w:t xml:space="preserve">in coordinating </w:t>
      </w:r>
      <w:r w:rsidR="005D53FD" w:rsidRPr="004048AD">
        <w:t xml:space="preserve">appropriate </w:t>
      </w:r>
      <w:r w:rsidR="005D53FD">
        <w:t xml:space="preserve">responses from </w:t>
      </w:r>
      <w:r w:rsidRPr="004048AD">
        <w:t>international actors.</w:t>
      </w:r>
    </w:p>
    <w:p w14:paraId="628257D6" w14:textId="3604B436" w:rsidR="004048AD" w:rsidRPr="004048AD" w:rsidRDefault="00521BDA" w:rsidP="003E7DF9">
      <w:pPr>
        <w:pStyle w:val="BodyText"/>
      </w:pPr>
      <w:r>
        <w:t>DFAT</w:t>
      </w:r>
      <w:r w:rsidR="00E043E4">
        <w:t xml:space="preserve"> </w:t>
      </w:r>
      <w:r w:rsidR="004048AD" w:rsidRPr="004048AD">
        <w:t>is responsible for ensuring that Australia provide</w:t>
      </w:r>
      <w:r w:rsidR="00E52A1F">
        <w:t>s</w:t>
      </w:r>
      <w:r w:rsidR="004048AD" w:rsidRPr="004048AD">
        <w:t xml:space="preserve"> an effective disaster response within 48 hours of a request for assistance.</w:t>
      </w:r>
      <w:r w:rsidR="00B525E5">
        <w:t xml:space="preserve"> </w:t>
      </w:r>
      <w:r w:rsidR="00E52A1F">
        <w:t>This</w:t>
      </w:r>
      <w:r w:rsidR="00E52A1F" w:rsidRPr="004048AD">
        <w:t xml:space="preserve"> includes maintaining close partnerships with all major actors in</w:t>
      </w:r>
      <w:r w:rsidR="00E52A1F">
        <w:t xml:space="preserve"> Indonesia</w:t>
      </w:r>
      <w:r w:rsidR="00E52A1F" w:rsidRPr="004048AD">
        <w:t xml:space="preserve"> to ensure we are well</w:t>
      </w:r>
      <w:r w:rsidR="00CA1086">
        <w:t xml:space="preserve"> </w:t>
      </w:r>
      <w:r w:rsidR="00E52A1F" w:rsidRPr="004048AD">
        <w:t xml:space="preserve">placed to support an effective disaster response. </w:t>
      </w:r>
      <w:r w:rsidR="004048AD" w:rsidRPr="004048AD">
        <w:t xml:space="preserve">In the </w:t>
      </w:r>
      <w:r w:rsidR="000B19AE">
        <w:t>24</w:t>
      </w:r>
      <w:r w:rsidR="000B19AE" w:rsidRPr="004048AD">
        <w:t xml:space="preserve"> </w:t>
      </w:r>
      <w:r w:rsidR="004048AD" w:rsidRPr="004048AD">
        <w:t xml:space="preserve">months to </w:t>
      </w:r>
      <w:proofErr w:type="gramStart"/>
      <w:r w:rsidR="000B19AE">
        <w:t xml:space="preserve">December </w:t>
      </w:r>
      <w:r w:rsidR="004048AD" w:rsidRPr="004048AD">
        <w:t xml:space="preserve"> 2013</w:t>
      </w:r>
      <w:proofErr w:type="gramEnd"/>
      <w:r w:rsidR="004048AD" w:rsidRPr="004048AD">
        <w:t xml:space="preserve">, no disasters within Indonesia required significant international assistance. </w:t>
      </w:r>
    </w:p>
    <w:p w14:paraId="3D709245" w14:textId="336528F9" w:rsidR="004048AD" w:rsidRPr="004048AD" w:rsidRDefault="004048AD" w:rsidP="003E7DF9">
      <w:pPr>
        <w:pStyle w:val="BodyText"/>
      </w:pPr>
      <w:r w:rsidRPr="004048AD">
        <w:t xml:space="preserve">In 2012, </w:t>
      </w:r>
      <w:r w:rsidR="007F6D0E">
        <w:t>the aid program in Indonesia</w:t>
      </w:r>
      <w:r w:rsidRPr="004048AD">
        <w:t xml:space="preserve"> continued to strengthen its own in-country response capacity. The Jakarta Disaster Response Plan was published in December 2012, </w:t>
      </w:r>
      <w:r w:rsidR="005D53FD">
        <w:t xml:space="preserve">and </w:t>
      </w:r>
      <w:r w:rsidRPr="004048AD">
        <w:t>provid</w:t>
      </w:r>
      <w:r w:rsidR="005D53FD">
        <w:t xml:space="preserve">es </w:t>
      </w:r>
      <w:r w:rsidRPr="004048AD">
        <w:t xml:space="preserve">comprehensive </w:t>
      </w:r>
      <w:r w:rsidR="005D53FD" w:rsidRPr="004048AD">
        <w:t>polic</w:t>
      </w:r>
      <w:r w:rsidR="005D53FD">
        <w:t>ies</w:t>
      </w:r>
      <w:r w:rsidR="005D53FD" w:rsidRPr="004048AD">
        <w:t xml:space="preserve"> </w:t>
      </w:r>
      <w:r w:rsidRPr="004048AD">
        <w:t>and procedures for a</w:t>
      </w:r>
      <w:r w:rsidR="0062207C">
        <w:t xml:space="preserve"> DFAT-led</w:t>
      </w:r>
      <w:r w:rsidRPr="004048AD">
        <w:t xml:space="preserve"> Australian response. We maintain an </w:t>
      </w:r>
      <w:r w:rsidR="005D53FD" w:rsidRPr="004048AD">
        <w:t xml:space="preserve">emergency response team </w:t>
      </w:r>
      <w:r w:rsidRPr="004048AD">
        <w:t xml:space="preserve">capacity of 60 staff ready to implement </w:t>
      </w:r>
      <w:r w:rsidR="005D53FD">
        <w:t>a</w:t>
      </w:r>
      <w:r w:rsidR="005D53FD" w:rsidRPr="004048AD">
        <w:t xml:space="preserve"> disaster response </w:t>
      </w:r>
      <w:r w:rsidR="005D53FD">
        <w:t>where</w:t>
      </w:r>
      <w:r w:rsidRPr="004048AD">
        <w:t xml:space="preserve"> Australian assistance </w:t>
      </w:r>
      <w:r w:rsidR="005D53FD">
        <w:t>is required. A</w:t>
      </w:r>
      <w:r w:rsidRPr="004048AD">
        <w:t xml:space="preserve"> </w:t>
      </w:r>
      <w:r w:rsidR="005D53FD" w:rsidRPr="004048AD">
        <w:t xml:space="preserve">disaster response advisor </w:t>
      </w:r>
      <w:r w:rsidRPr="004048AD">
        <w:t>report</w:t>
      </w:r>
      <w:r w:rsidR="005D53FD">
        <w:t xml:space="preserve">s </w:t>
      </w:r>
      <w:r w:rsidRPr="004048AD">
        <w:t xml:space="preserve">to </w:t>
      </w:r>
      <w:r w:rsidR="005D53FD">
        <w:t>Indonesia’s National Coordinating Agency for Disaster’s</w:t>
      </w:r>
      <w:r w:rsidR="005D53FD" w:rsidRPr="004048AD">
        <w:t xml:space="preserve"> deputy for emergency manageme</w:t>
      </w:r>
      <w:r w:rsidRPr="004048AD">
        <w:t>nt.</w:t>
      </w:r>
      <w:r w:rsidR="00B525E5">
        <w:t xml:space="preserve"> </w:t>
      </w:r>
    </w:p>
    <w:p w14:paraId="22A83FA1" w14:textId="19E61212" w:rsidR="004048AD" w:rsidRPr="004048AD" w:rsidRDefault="004048AD" w:rsidP="003E7DF9">
      <w:pPr>
        <w:pStyle w:val="BodyText"/>
      </w:pPr>
      <w:r w:rsidRPr="004048AD">
        <w:t>Throughout the reporting period, Australia and Indonesia achieved significant progress against sector objectives.</w:t>
      </w:r>
      <w:r w:rsidR="00B525E5">
        <w:t xml:space="preserve"> </w:t>
      </w:r>
      <w:r w:rsidRPr="004048AD">
        <w:t>A key focus has been develop</w:t>
      </w:r>
      <w:r w:rsidR="005D53FD">
        <w:t xml:space="preserve">ing </w:t>
      </w:r>
      <w:r w:rsidRPr="004048AD">
        <w:t>and appl</w:t>
      </w:r>
      <w:r w:rsidR="005D53FD">
        <w:t xml:space="preserve">ying </w:t>
      </w:r>
      <w:r w:rsidRPr="004048AD">
        <w:t xml:space="preserve">training materials for Indonesian disaster managers to address fundamental </w:t>
      </w:r>
      <w:r w:rsidR="005D53FD" w:rsidRPr="004048AD">
        <w:t xml:space="preserve">skills </w:t>
      </w:r>
      <w:r w:rsidRPr="004048AD">
        <w:t>gaps.</w:t>
      </w:r>
      <w:r w:rsidR="00B525E5">
        <w:t xml:space="preserve"> </w:t>
      </w:r>
      <w:r w:rsidR="005D53FD">
        <w:t>The Australia</w:t>
      </w:r>
      <w:r w:rsidR="00B525E5">
        <w:t>–</w:t>
      </w:r>
      <w:r w:rsidR="005D53FD">
        <w:t>Indonesia Partnership Facility for Disaster Reduction</w:t>
      </w:r>
      <w:r w:rsidR="005D53FD" w:rsidRPr="004048AD">
        <w:t xml:space="preserve"> </w:t>
      </w:r>
      <w:r w:rsidRPr="004048AD">
        <w:t xml:space="preserve">has directly supported training </w:t>
      </w:r>
      <w:r w:rsidR="005D53FD">
        <w:t>for more than</w:t>
      </w:r>
      <w:r w:rsidR="005D53FD" w:rsidRPr="004048AD">
        <w:t xml:space="preserve"> </w:t>
      </w:r>
      <w:r w:rsidRPr="004048AD">
        <w:t xml:space="preserve">6000 people of </w:t>
      </w:r>
      <w:r w:rsidR="005D53FD">
        <w:t>who</w:t>
      </w:r>
      <w:r w:rsidR="005D53FD" w:rsidRPr="004048AD">
        <w:t xml:space="preserve"> </w:t>
      </w:r>
      <w:r w:rsidRPr="004048AD">
        <w:t>more than 40</w:t>
      </w:r>
      <w:r w:rsidR="005D53FD">
        <w:t xml:space="preserve"> per cent</w:t>
      </w:r>
      <w:r w:rsidR="005D53FD" w:rsidRPr="004048AD">
        <w:t xml:space="preserve"> </w:t>
      </w:r>
      <w:r w:rsidRPr="004048AD">
        <w:t xml:space="preserve">were women. As a result, </w:t>
      </w:r>
      <w:r w:rsidR="005D53FD">
        <w:t>the National Coordinating Agency for Disaster</w:t>
      </w:r>
      <w:r w:rsidR="005D53FD" w:rsidRPr="004048AD">
        <w:t xml:space="preserve"> </w:t>
      </w:r>
      <w:r w:rsidRPr="004048AD">
        <w:t xml:space="preserve">is now training provincial and district disaster managers using materials produced through the </w:t>
      </w:r>
      <w:r w:rsidR="005D53FD">
        <w:t>partnership facility</w:t>
      </w:r>
      <w:r w:rsidRPr="004048AD">
        <w:t xml:space="preserve">. To date, </w:t>
      </w:r>
      <w:r w:rsidR="005D53FD">
        <w:t>the agency</w:t>
      </w:r>
      <w:r w:rsidR="005D53FD" w:rsidRPr="004048AD">
        <w:t xml:space="preserve"> </w:t>
      </w:r>
      <w:r w:rsidRPr="004048AD">
        <w:t>has train</w:t>
      </w:r>
      <w:r w:rsidR="005D53FD">
        <w:t xml:space="preserve">ed </w:t>
      </w:r>
      <w:r w:rsidRPr="004048AD">
        <w:t xml:space="preserve">388 disaster managers in </w:t>
      </w:r>
      <w:r w:rsidR="005D53FD">
        <w:t>eight</w:t>
      </w:r>
      <w:r w:rsidR="005D53FD" w:rsidRPr="004048AD">
        <w:t xml:space="preserve"> </w:t>
      </w:r>
      <w:r w:rsidRPr="004048AD">
        <w:t>provinces.</w:t>
      </w:r>
      <w:r w:rsidR="00B525E5">
        <w:t xml:space="preserve"> </w:t>
      </w:r>
    </w:p>
    <w:p w14:paraId="2B9DBFCF" w14:textId="3865F36E" w:rsidR="004048AD" w:rsidRPr="009A2B98" w:rsidRDefault="00AF4E36" w:rsidP="003E7DF9">
      <w:pPr>
        <w:pStyle w:val="BodyText"/>
      </w:pPr>
      <w:r>
        <w:t>A</w:t>
      </w:r>
      <w:r w:rsidRPr="004048AD">
        <w:t xml:space="preserve">n independent progress report </w:t>
      </w:r>
      <w:r>
        <w:t xml:space="preserve">was completed in </w:t>
      </w:r>
      <w:r w:rsidRPr="004048AD">
        <w:t>September 2011</w:t>
      </w:r>
      <w:r>
        <w:t xml:space="preserve"> for the Australia</w:t>
      </w:r>
      <w:r w:rsidR="00B525E5">
        <w:t>–</w:t>
      </w:r>
      <w:r>
        <w:t xml:space="preserve">Indonesia </w:t>
      </w:r>
      <w:r w:rsidRPr="009A2B98">
        <w:t xml:space="preserve">Partnership Facility for Disaster Reduction, and </w:t>
      </w:r>
      <w:r w:rsidR="004048AD" w:rsidRPr="009A2B98">
        <w:t xml:space="preserve">found the </w:t>
      </w:r>
      <w:r w:rsidRPr="009A2B98">
        <w:t xml:space="preserve">facility’s </w:t>
      </w:r>
      <w:r w:rsidR="004048AD" w:rsidRPr="009A2B98">
        <w:t xml:space="preserve">relevance is strong, that it is aligned with the policies and priorities of both the Australian and Indonesian </w:t>
      </w:r>
      <w:r w:rsidRPr="009A2B98">
        <w:t>governments</w:t>
      </w:r>
      <w:r w:rsidR="004048AD" w:rsidRPr="009A2B98">
        <w:t xml:space="preserve">, and that it makes humanitarian and economic sense to invest in </w:t>
      </w:r>
      <w:r w:rsidRPr="009A2B98">
        <w:t>disaster risk management</w:t>
      </w:r>
      <w:r w:rsidR="004048AD" w:rsidRPr="009A2B98">
        <w:t xml:space="preserve">. The </w:t>
      </w:r>
      <w:r w:rsidRPr="009A2B98">
        <w:t xml:space="preserve">report </w:t>
      </w:r>
      <w:r w:rsidR="004048AD" w:rsidRPr="009A2B98">
        <w:t xml:space="preserve">also identified the need to focus more at the sub-national level. </w:t>
      </w:r>
      <w:r w:rsidRPr="009A2B98">
        <w:t xml:space="preserve">The partnership facility’s </w:t>
      </w:r>
      <w:r w:rsidR="004048AD" w:rsidRPr="009A2B98">
        <w:t>subsequent focus on sub-national programming has led to 192 villages meeting Indonesia’s standard for disaster preparedness.</w:t>
      </w:r>
      <w:r w:rsidR="00B525E5" w:rsidRPr="009A2B98">
        <w:t xml:space="preserve"> </w:t>
      </w:r>
    </w:p>
    <w:p w14:paraId="5DD42424" w14:textId="1406AD46" w:rsidR="004048AD" w:rsidRPr="004048AD" w:rsidRDefault="004048AD" w:rsidP="003E7DF9">
      <w:pPr>
        <w:pStyle w:val="BodyText"/>
      </w:pPr>
      <w:r w:rsidRPr="00AF4E36">
        <w:t xml:space="preserve">In 2012, </w:t>
      </w:r>
      <w:r w:rsidR="00AF4E36" w:rsidRPr="00AF4E36">
        <w:t>the Australia</w:t>
      </w:r>
      <w:r w:rsidR="00E52A1F">
        <w:t>–</w:t>
      </w:r>
      <w:r w:rsidR="00AF4E36" w:rsidRPr="00AF4E36">
        <w:t>Indonesia Partnership Facility for Disaster Reduction</w:t>
      </w:r>
      <w:r w:rsidR="00AF4E36" w:rsidRPr="00AF4E36" w:rsidDel="00AF4E36">
        <w:t xml:space="preserve"> </w:t>
      </w:r>
      <w:r w:rsidRPr="00AF4E36">
        <w:t>continued to</w:t>
      </w:r>
      <w:r w:rsidRPr="004048AD">
        <w:t xml:space="preserve"> support </w:t>
      </w:r>
      <w:proofErr w:type="spellStart"/>
      <w:r w:rsidRPr="004048AD">
        <w:t>Nahdlatul</w:t>
      </w:r>
      <w:proofErr w:type="spellEnd"/>
      <w:r w:rsidRPr="004048AD">
        <w:t xml:space="preserve"> </w:t>
      </w:r>
      <w:proofErr w:type="spellStart"/>
      <w:r w:rsidRPr="004048AD">
        <w:t>Ulama</w:t>
      </w:r>
      <w:proofErr w:type="spellEnd"/>
      <w:r w:rsidRPr="004048AD">
        <w:t xml:space="preserve">, one of Indonesia’s largest Islamic organisations, to advocate for stronger disaster risk management at the district level. </w:t>
      </w:r>
      <w:proofErr w:type="spellStart"/>
      <w:r w:rsidRPr="004048AD">
        <w:t>Nahdlatul</w:t>
      </w:r>
      <w:proofErr w:type="spellEnd"/>
      <w:r w:rsidRPr="004048AD">
        <w:t xml:space="preserve"> </w:t>
      </w:r>
      <w:proofErr w:type="spellStart"/>
      <w:r w:rsidRPr="004048AD">
        <w:t>Ulama</w:t>
      </w:r>
      <w:proofErr w:type="spellEnd"/>
      <w:r w:rsidRPr="004048AD">
        <w:t xml:space="preserve"> was chosen for work in East Java as </w:t>
      </w:r>
      <w:r w:rsidR="00AF4E36">
        <w:t>it is</w:t>
      </w:r>
      <w:r w:rsidRPr="004048AD">
        <w:t xml:space="preserve"> a respected, credible and extremely influential partner able to achieve tangible changes in government policy. A key success of the program has been the ratification of local regulations in disaster management in eight target districts.</w:t>
      </w:r>
      <w:r w:rsidR="00B525E5">
        <w:t xml:space="preserve"> </w:t>
      </w:r>
      <w:r w:rsidRPr="004048AD">
        <w:t xml:space="preserve">The </w:t>
      </w:r>
      <w:r w:rsidR="00AF4E36" w:rsidRPr="004048AD">
        <w:t xml:space="preserve">regulations </w:t>
      </w:r>
      <w:r w:rsidRPr="004048AD">
        <w:t xml:space="preserve">serve as a legal basis </w:t>
      </w:r>
      <w:r w:rsidR="00AF4E36">
        <w:t>to</w:t>
      </w:r>
      <w:r w:rsidRPr="004048AD">
        <w:t xml:space="preserve"> establish</w:t>
      </w:r>
      <w:r w:rsidR="00AF4E36">
        <w:t xml:space="preserve"> </w:t>
      </w:r>
      <w:r w:rsidRPr="004048AD">
        <w:t xml:space="preserve">local </w:t>
      </w:r>
      <w:r w:rsidR="00AF4E36" w:rsidRPr="004048AD">
        <w:t>provincial and district disaster management agencies</w:t>
      </w:r>
      <w:r w:rsidRPr="004048AD">
        <w:t xml:space="preserve">, </w:t>
      </w:r>
      <w:r w:rsidR="003D6E45" w:rsidRPr="004048AD">
        <w:t>clarifying</w:t>
      </w:r>
      <w:r w:rsidRPr="004048AD">
        <w:t xml:space="preserve"> roles and responsibilities and allow</w:t>
      </w:r>
      <w:r w:rsidR="00AF4E36">
        <w:t>ing agencies</w:t>
      </w:r>
      <w:r w:rsidRPr="004048AD">
        <w:t xml:space="preserve"> to access funds from </w:t>
      </w:r>
      <w:r w:rsidR="00AF4E36">
        <w:t>the National Coordinating Agency for Disaster</w:t>
      </w:r>
      <w:r w:rsidR="00AF4E36" w:rsidRPr="004048AD">
        <w:t xml:space="preserve"> </w:t>
      </w:r>
      <w:r w:rsidRPr="004048AD">
        <w:t xml:space="preserve">to conduct disaster management activities. </w:t>
      </w:r>
    </w:p>
    <w:p w14:paraId="2E7B5EE8" w14:textId="4AE1B392" w:rsidR="004048AD" w:rsidRPr="004048AD" w:rsidRDefault="004048AD" w:rsidP="003E7DF9">
      <w:pPr>
        <w:pStyle w:val="BodyText"/>
      </w:pPr>
      <w:r w:rsidRPr="004048AD">
        <w:t xml:space="preserve">Australia and Indonesia are also pioneering new ways to use science and technology to improve disaster planning. In 2012 </w:t>
      </w:r>
      <w:r w:rsidR="007F6D0E">
        <w:t>Australia</w:t>
      </w:r>
      <w:r w:rsidRPr="004048AD">
        <w:t xml:space="preserve"> and </w:t>
      </w:r>
      <w:r w:rsidR="00AF4E36">
        <w:t>the National Coordinating Agency for Disaster and</w:t>
      </w:r>
      <w:r w:rsidR="00AF4E36" w:rsidRPr="004048AD">
        <w:t xml:space="preserve"> </w:t>
      </w:r>
      <w:r w:rsidRPr="004048AD">
        <w:t>the World Bank launched the Indonesia Scenario Assessment for Emergencies (</w:t>
      </w:r>
      <w:proofErr w:type="spellStart"/>
      <w:r w:rsidRPr="004048AD">
        <w:t>InaSAFE</w:t>
      </w:r>
      <w:proofErr w:type="spellEnd"/>
      <w:r w:rsidRPr="004048AD">
        <w:t xml:space="preserve">). This innovative open source software allows disaster managers to produce </w:t>
      </w:r>
      <w:r w:rsidRPr="004048AD">
        <w:lastRenderedPageBreak/>
        <w:t>realistic natural hazard scenarios to underpin contingency planning.</w:t>
      </w:r>
      <w:r w:rsidR="00B525E5">
        <w:t xml:space="preserve"> </w:t>
      </w:r>
      <w:r w:rsidR="00E52A1F" w:rsidRPr="004048AD">
        <w:t>Th</w:t>
      </w:r>
      <w:r w:rsidR="00E52A1F">
        <w:t>e</w:t>
      </w:r>
      <w:r w:rsidR="00E52A1F" w:rsidRPr="004048AD">
        <w:t xml:space="preserve"> </w:t>
      </w:r>
      <w:r w:rsidRPr="004048AD">
        <w:t xml:space="preserve">software is bridging the gap between science and practice and was recognised internationally as one of the top </w:t>
      </w:r>
      <w:r w:rsidR="00AF4E36">
        <w:t>10</w:t>
      </w:r>
      <w:r w:rsidR="00AF4E36" w:rsidRPr="004048AD">
        <w:t xml:space="preserve"> </w:t>
      </w:r>
      <w:r w:rsidRPr="004048AD">
        <w:t xml:space="preserve">open source software projects in 2012. </w:t>
      </w:r>
      <w:r w:rsidR="00AF4E36">
        <w:t>T</w:t>
      </w:r>
      <w:r w:rsidR="00AF4E36" w:rsidRPr="00A81A09">
        <w:t>he Australia</w:t>
      </w:r>
      <w:r w:rsidR="00E52A1F">
        <w:t>–</w:t>
      </w:r>
      <w:r w:rsidR="00AF4E36" w:rsidRPr="00A81A09">
        <w:t>Indonesia Partnership Facility for Disaster Reduction</w:t>
      </w:r>
      <w:r w:rsidR="00AF4E36">
        <w:t>’s</w:t>
      </w:r>
      <w:r w:rsidR="00AF4E36" w:rsidRPr="00A81A09" w:rsidDel="00AF4E36">
        <w:t xml:space="preserve"> </w:t>
      </w:r>
      <w:r w:rsidRPr="004048AD">
        <w:t xml:space="preserve">programs to </w:t>
      </w:r>
      <w:r w:rsidR="00AF4E36">
        <w:t>help</w:t>
      </w:r>
      <w:r w:rsidRPr="004048AD">
        <w:t xml:space="preserve"> Indonesia’s science agencies understand earthquake hazard</w:t>
      </w:r>
      <w:r w:rsidR="00AF4E36">
        <w:t>s</w:t>
      </w:r>
      <w:r w:rsidRPr="004048AD">
        <w:t xml:space="preserve"> and impacts </w:t>
      </w:r>
      <w:r w:rsidR="00AF4E36" w:rsidRPr="004048AD">
        <w:t>ha</w:t>
      </w:r>
      <w:r w:rsidR="00AF4E36">
        <w:t>ve</w:t>
      </w:r>
      <w:r w:rsidR="00AF4E36" w:rsidRPr="004048AD">
        <w:t xml:space="preserve"> </w:t>
      </w:r>
      <w:r w:rsidR="00AF4E36">
        <w:t>enabled</w:t>
      </w:r>
      <w:r w:rsidRPr="004048AD">
        <w:t xml:space="preserve"> </w:t>
      </w:r>
      <w:r w:rsidR="00AF4E36" w:rsidRPr="004048AD">
        <w:t xml:space="preserve">Indonesia’s Geology Agency </w:t>
      </w:r>
      <w:r w:rsidR="00AF4E36">
        <w:t>to develop</w:t>
      </w:r>
      <w:r w:rsidR="00AF4E36" w:rsidRPr="004048AD">
        <w:t xml:space="preserve"> </w:t>
      </w:r>
      <w:r w:rsidRPr="004048AD">
        <w:t xml:space="preserve">new earthquake hazard maps for </w:t>
      </w:r>
      <w:r w:rsidR="00AF4E36">
        <w:t>seven</w:t>
      </w:r>
      <w:r w:rsidR="00AF4E36" w:rsidRPr="004048AD">
        <w:t xml:space="preserve"> </w:t>
      </w:r>
      <w:r w:rsidR="00AF4E36">
        <w:t>p</w:t>
      </w:r>
      <w:r w:rsidRPr="004048AD">
        <w:t>rovinces</w:t>
      </w:r>
      <w:r w:rsidR="00AF4E36">
        <w:t>, as well as</w:t>
      </w:r>
      <w:r w:rsidRPr="004048AD">
        <w:t xml:space="preserve"> </w:t>
      </w:r>
      <w:r w:rsidR="00AF4E36">
        <w:t>produc</w:t>
      </w:r>
      <w:r w:rsidR="00E52A1F">
        <w:t xml:space="preserve">e </w:t>
      </w:r>
      <w:r w:rsidRPr="004048AD">
        <w:t>real-time earthquake impact assessments for 160 earthquakes since November 2012.</w:t>
      </w:r>
    </w:p>
    <w:p w14:paraId="4DF4BE5A" w14:textId="01FFC869" w:rsidR="004048AD" w:rsidRPr="004048AD" w:rsidRDefault="004048AD" w:rsidP="003E7DF9">
      <w:pPr>
        <w:pStyle w:val="BodyText"/>
      </w:pPr>
      <w:r w:rsidRPr="004048AD">
        <w:t xml:space="preserve">June 2013 marks the end of the first five-years of the </w:t>
      </w:r>
      <w:r w:rsidR="00AF4E36" w:rsidRPr="00A81A09">
        <w:t>Australia</w:t>
      </w:r>
      <w:r w:rsidR="00535BB9">
        <w:t>–</w:t>
      </w:r>
      <w:r w:rsidR="00AF4E36" w:rsidRPr="00A81A09">
        <w:t>Indonesia Partnership Facility for Disaster Reduction</w:t>
      </w:r>
      <w:r w:rsidRPr="004048AD">
        <w:t xml:space="preserve">. </w:t>
      </w:r>
      <w:r w:rsidR="00AF4E36">
        <w:t>A</w:t>
      </w:r>
      <w:r w:rsidR="00AF4E36" w:rsidRPr="004048AD">
        <w:t xml:space="preserve">t </w:t>
      </w:r>
      <w:r w:rsidRPr="004048AD">
        <w:t xml:space="preserve">the opening of last year’s Asian Ministerial Conference on Disaster Risk Reduction </w:t>
      </w:r>
      <w:r w:rsidR="00AF4E36">
        <w:t xml:space="preserve">in </w:t>
      </w:r>
      <w:r w:rsidRPr="004048AD">
        <w:t xml:space="preserve">Yogyakarta </w:t>
      </w:r>
      <w:r w:rsidR="00AF4E36">
        <w:t xml:space="preserve">in </w:t>
      </w:r>
      <w:r w:rsidRPr="004048AD">
        <w:t>October</w:t>
      </w:r>
      <w:r w:rsidR="00AF4E36">
        <w:t xml:space="preserve">, </w:t>
      </w:r>
      <w:r w:rsidR="00AF4E36" w:rsidRPr="004048AD">
        <w:t xml:space="preserve">President </w:t>
      </w:r>
      <w:proofErr w:type="spellStart"/>
      <w:r w:rsidR="00AF4E36" w:rsidRPr="004048AD">
        <w:t>Yudhyono</w:t>
      </w:r>
      <w:proofErr w:type="spellEnd"/>
      <w:r w:rsidR="00AF4E36" w:rsidRPr="004048AD" w:rsidDel="00AF4E36">
        <w:t xml:space="preserve"> </w:t>
      </w:r>
      <w:r w:rsidRPr="004048AD">
        <w:t xml:space="preserve">acknowledged Australia as a trusted and respected partner in this sector using the </w:t>
      </w:r>
      <w:r w:rsidR="00AF4E36">
        <w:t>facility</w:t>
      </w:r>
      <w:r w:rsidR="00AF4E36" w:rsidRPr="004048AD">
        <w:t xml:space="preserve"> </w:t>
      </w:r>
      <w:r w:rsidRPr="004048AD">
        <w:t>as the exemplar of Indonesia’s bilateral partnerships in disaster risk reduction. This level of trust has positioned Australia to effectively influence and support key policies that govern issues such as community resilience and Indonesia’s approach to including th</w:t>
      </w:r>
      <w:r w:rsidR="00AF4E36">
        <w:t>os</w:t>
      </w:r>
      <w:r w:rsidRPr="004048AD">
        <w:t>e</w:t>
      </w:r>
      <w:r w:rsidR="00AF4E36">
        <w:t xml:space="preserve"> with</w:t>
      </w:r>
      <w:r w:rsidRPr="004048AD">
        <w:t xml:space="preserve"> </w:t>
      </w:r>
      <w:r w:rsidR="00AF4E36">
        <w:t xml:space="preserve">disability </w:t>
      </w:r>
      <w:r w:rsidRPr="004048AD">
        <w:t>in disaster risk management.</w:t>
      </w:r>
    </w:p>
    <w:p w14:paraId="413754E4" w14:textId="39B046C6" w:rsidR="004048AD" w:rsidRPr="004048AD" w:rsidRDefault="004048AD" w:rsidP="003E7DF9">
      <w:pPr>
        <w:pStyle w:val="BodyText"/>
      </w:pPr>
      <w:r w:rsidRPr="004048AD">
        <w:t xml:space="preserve">The success of the </w:t>
      </w:r>
      <w:r w:rsidR="00AF4E36">
        <w:t>facility</w:t>
      </w:r>
      <w:r w:rsidRPr="004048AD">
        <w:t xml:space="preserve">, and the need for the partnership to continue, was also highlighted in the </w:t>
      </w:r>
      <w:r w:rsidR="00AF4E36">
        <w:t>independent progress review</w:t>
      </w:r>
      <w:r w:rsidRPr="004048AD">
        <w:t xml:space="preserve">. </w:t>
      </w:r>
      <w:proofErr w:type="spellStart"/>
      <w:r w:rsidRPr="004048AD">
        <w:t>Inline</w:t>
      </w:r>
      <w:proofErr w:type="spellEnd"/>
      <w:r w:rsidRPr="004048AD">
        <w:t xml:space="preserve"> with the key management consequences from the 2011 </w:t>
      </w:r>
      <w:r w:rsidR="004C0577">
        <w:t>annual program performance report</w:t>
      </w:r>
      <w:r w:rsidRPr="004048AD">
        <w:t xml:space="preserve">, </w:t>
      </w:r>
      <w:r w:rsidR="007F6D0E">
        <w:t>Australia</w:t>
      </w:r>
      <w:r w:rsidRPr="004048AD">
        <w:t xml:space="preserve"> has developed a concept note for a new program that was endorsed by the </w:t>
      </w:r>
      <w:r w:rsidR="004C0577" w:rsidRPr="00A81A09">
        <w:t>Australia</w:t>
      </w:r>
      <w:r w:rsidR="00535BB9">
        <w:t>–</w:t>
      </w:r>
      <w:r w:rsidR="004C0577" w:rsidRPr="00A81A09">
        <w:t>Indonesia Partnership Facility for Disaster Reduction</w:t>
      </w:r>
      <w:r w:rsidR="004C0577">
        <w:t>’s</w:t>
      </w:r>
      <w:r w:rsidR="004C0577" w:rsidRPr="00A81A09" w:rsidDel="00AF4E36">
        <w:t xml:space="preserve"> </w:t>
      </w:r>
      <w:r w:rsidR="004C0577">
        <w:t>e</w:t>
      </w:r>
      <w:r w:rsidRPr="004048AD">
        <w:t xml:space="preserve">xecutive </w:t>
      </w:r>
      <w:r w:rsidR="004C0577">
        <w:t>c</w:t>
      </w:r>
      <w:r w:rsidRPr="004048AD">
        <w:t xml:space="preserve">ommittee </w:t>
      </w:r>
      <w:r w:rsidR="00535BB9">
        <w:t>at</w:t>
      </w:r>
      <w:r w:rsidR="00535BB9" w:rsidRPr="004048AD">
        <w:t xml:space="preserve"> </w:t>
      </w:r>
      <w:r w:rsidRPr="004048AD">
        <w:t>its August 2012 meeting</w:t>
      </w:r>
      <w:r w:rsidR="00535BB9">
        <w:t xml:space="preserve">. </w:t>
      </w:r>
      <w:r w:rsidR="007F6D0E">
        <w:t xml:space="preserve">The </w:t>
      </w:r>
      <w:r w:rsidR="004C0577" w:rsidRPr="004048AD">
        <w:t xml:space="preserve">strategic programming committee </w:t>
      </w:r>
      <w:r w:rsidR="009A7C24" w:rsidRPr="004048AD">
        <w:t xml:space="preserve">subsequently approved </w:t>
      </w:r>
      <w:r w:rsidR="009A7C24">
        <w:t>this</w:t>
      </w:r>
      <w:r w:rsidR="009A7C24" w:rsidRPr="004048AD">
        <w:t xml:space="preserve"> </w:t>
      </w:r>
      <w:r w:rsidRPr="004048AD">
        <w:t xml:space="preserve">in September 2012. The concept outlines an </w:t>
      </w:r>
      <w:r w:rsidR="004C0577">
        <w:t>eight</w:t>
      </w:r>
      <w:r w:rsidRPr="004048AD">
        <w:t xml:space="preserve">-year partnership in disaster risk management that will begin in July 2014 and leverage off the successes of the first phase of the </w:t>
      </w:r>
      <w:r w:rsidR="004C0577">
        <w:t xml:space="preserve">facility––this </w:t>
      </w:r>
      <w:r w:rsidRPr="004048AD">
        <w:t xml:space="preserve">has also been extended through </w:t>
      </w:r>
      <w:r w:rsidR="004C0577">
        <w:t>to</w:t>
      </w:r>
      <w:r w:rsidR="004C0577" w:rsidRPr="004048AD">
        <w:t xml:space="preserve"> </w:t>
      </w:r>
      <w:r w:rsidRPr="004048AD">
        <w:t xml:space="preserve">June 2014 to ensure continuity. </w:t>
      </w:r>
      <w:r w:rsidR="00521BDA">
        <w:t>DFAT</w:t>
      </w:r>
      <w:r w:rsidR="00E043E4">
        <w:t xml:space="preserve"> </w:t>
      </w:r>
      <w:r w:rsidRPr="004048AD">
        <w:t xml:space="preserve">will </w:t>
      </w:r>
      <w:r w:rsidR="004C0577">
        <w:t xml:space="preserve">also </w:t>
      </w:r>
      <w:r w:rsidRPr="004048AD">
        <w:t>continue to maintain its operational capacity to lead an Australian response to any major disaster in Indonesia.</w:t>
      </w:r>
    </w:p>
    <w:p w14:paraId="02C092A3" w14:textId="0E7F090F" w:rsidR="00FF54F7" w:rsidRPr="00FF54F7" w:rsidRDefault="00FF54F7" w:rsidP="009A2B98">
      <w:pPr>
        <w:pStyle w:val="Heading2"/>
      </w:pPr>
      <w:bookmarkStart w:id="68" w:name="_Toc359585105"/>
      <w:bookmarkStart w:id="69" w:name="_Toc363768593"/>
      <w:bookmarkStart w:id="70" w:name="_Toc363804129"/>
      <w:r w:rsidRPr="00FF54F7">
        <w:t xml:space="preserve">Management </w:t>
      </w:r>
      <w:bookmarkEnd w:id="68"/>
      <w:r w:rsidR="00F81534">
        <w:t>c</w:t>
      </w:r>
      <w:r w:rsidR="00F81534" w:rsidRPr="00FF54F7">
        <w:t>onsequences</w:t>
      </w:r>
      <w:bookmarkEnd w:id="69"/>
      <w:bookmarkEnd w:id="70"/>
    </w:p>
    <w:p w14:paraId="1F7CF447" w14:textId="77777777" w:rsidR="00F81534" w:rsidRPr="00F127C6" w:rsidRDefault="00F81534" w:rsidP="009A2B98">
      <w:pPr>
        <w:pStyle w:val="BodyText"/>
      </w:pPr>
      <w:r w:rsidRPr="00F127C6">
        <w:t>Management consequences for 2013–14 include:</w:t>
      </w:r>
    </w:p>
    <w:p w14:paraId="3D101D99" w14:textId="3A97F44B" w:rsidR="004048AD" w:rsidRPr="00ED5884" w:rsidRDefault="00E043E4" w:rsidP="009A2B98">
      <w:pPr>
        <w:pStyle w:val="ListBullet"/>
      </w:pPr>
      <w:proofErr w:type="spellStart"/>
      <w:r>
        <w:t>DFAT</w:t>
      </w:r>
      <w:r w:rsidR="004048AD" w:rsidRPr="00ED5884">
        <w:t>and</w:t>
      </w:r>
      <w:proofErr w:type="spellEnd"/>
      <w:r w:rsidR="004048AD" w:rsidRPr="00ED5884">
        <w:t xml:space="preserve"> </w:t>
      </w:r>
      <w:r w:rsidR="004C0577">
        <w:t xml:space="preserve">the National Coordinating Agency for Disaster </w:t>
      </w:r>
      <w:r w:rsidR="004048AD" w:rsidRPr="00ED5884">
        <w:t>will design the next phase of our disaster risk management partnership in-line with the concept note that was approved in late 2012.</w:t>
      </w:r>
      <w:r w:rsidR="00B525E5">
        <w:t xml:space="preserve"> </w:t>
      </w:r>
      <w:r w:rsidR="004048AD" w:rsidRPr="00ED5884">
        <w:t xml:space="preserve">The design will also be </w:t>
      </w:r>
      <w:r w:rsidR="004C0577">
        <w:t xml:space="preserve">a </w:t>
      </w:r>
      <w:r w:rsidR="004048AD" w:rsidRPr="00ED5884">
        <w:t>basis for develop</w:t>
      </w:r>
      <w:r w:rsidR="00535BB9">
        <w:t xml:space="preserve">ing </w:t>
      </w:r>
      <w:r w:rsidR="004048AD" w:rsidRPr="00ED5884">
        <w:t>a delivery strategy for the disaster management sector.</w:t>
      </w:r>
    </w:p>
    <w:p w14:paraId="2E4C40EA" w14:textId="7283BD55" w:rsidR="00FF54F7" w:rsidRDefault="002E5E9F" w:rsidP="009A2B98">
      <w:pPr>
        <w:pStyle w:val="ListBullet"/>
      </w:pPr>
      <w:r>
        <w:t xml:space="preserve">DFAT </w:t>
      </w:r>
      <w:r w:rsidR="004048AD" w:rsidRPr="00ED5884">
        <w:t xml:space="preserve">and </w:t>
      </w:r>
      <w:r w:rsidR="004C0577">
        <w:t>the National Coordinating Agency for Disaster</w:t>
      </w:r>
      <w:r w:rsidR="004C0577" w:rsidRPr="00ED5884">
        <w:t xml:space="preserve"> </w:t>
      </w:r>
      <w:r w:rsidR="004048AD" w:rsidRPr="00ED5884">
        <w:t xml:space="preserve">will </w:t>
      </w:r>
      <w:r w:rsidR="004C0577">
        <w:t>agree</w:t>
      </w:r>
      <w:r w:rsidR="004048AD" w:rsidRPr="00ED5884">
        <w:t xml:space="preserve"> a strategy to identify the successes of the first phase of the </w:t>
      </w:r>
      <w:r w:rsidR="004C0577" w:rsidRPr="00A81A09">
        <w:t>Australia</w:t>
      </w:r>
      <w:r w:rsidR="00535BB9">
        <w:t>–</w:t>
      </w:r>
      <w:r w:rsidR="004C0577" w:rsidRPr="00A81A09">
        <w:t>Indonesia Partnership Facility for Disaster Reduction</w:t>
      </w:r>
      <w:r w:rsidR="004C0577" w:rsidRPr="00A81A09" w:rsidDel="00AF4E36">
        <w:t xml:space="preserve"> </w:t>
      </w:r>
      <w:r w:rsidR="004048AD" w:rsidRPr="00ED5884">
        <w:t>and key lessons that can guide implementation of the next phase.</w:t>
      </w:r>
    </w:p>
    <w:p w14:paraId="1469D0C9" w14:textId="0E5A3745" w:rsidR="009D3674" w:rsidRPr="008335E2" w:rsidRDefault="009D3674" w:rsidP="009A2B98">
      <w:pPr>
        <w:pStyle w:val="BodyText"/>
      </w:pPr>
      <w:r w:rsidRPr="00D67028">
        <w:t>The follow</w:t>
      </w:r>
      <w:r w:rsidR="004C0577">
        <w:t>–</w:t>
      </w:r>
      <w:r w:rsidRPr="00D67028">
        <w:t xml:space="preserve">up of management consequences from the 2011 annual program performance report can be found in </w:t>
      </w:r>
      <w:r w:rsidRPr="00D67028">
        <w:rPr>
          <w:b/>
        </w:rPr>
        <w:t>Annex B</w:t>
      </w:r>
      <w:r w:rsidRPr="00D67028">
        <w:t>.</w:t>
      </w:r>
    </w:p>
    <w:p w14:paraId="72E23B99" w14:textId="77777777" w:rsidR="00805D86" w:rsidRDefault="00805D86">
      <w:pPr>
        <w:spacing w:after="200" w:line="276" w:lineRule="auto"/>
        <w:rPr>
          <w:rFonts w:ascii="Franklin Gothic Demi" w:eastAsia="Times New Roman" w:hAnsi="Franklin Gothic Demi" w:cs="Arial"/>
          <w:color w:val="AD495D"/>
          <w:kern w:val="28"/>
          <w:sz w:val="28"/>
          <w:szCs w:val="28"/>
        </w:rPr>
      </w:pPr>
      <w:bookmarkStart w:id="71" w:name="_Toc359585106"/>
      <w:bookmarkStart w:id="72" w:name="_Toc363804130"/>
      <w:r>
        <w:br w:type="page"/>
      </w:r>
    </w:p>
    <w:p w14:paraId="286F4590" w14:textId="1B143FDA" w:rsidR="00FF54F7" w:rsidRPr="00FF54F7" w:rsidRDefault="00FF54F7" w:rsidP="009A2B98">
      <w:pPr>
        <w:pStyle w:val="Heading1"/>
      </w:pPr>
      <w:r w:rsidRPr="00FF54F7">
        <w:lastRenderedPageBreak/>
        <w:t>Economic governance</w:t>
      </w:r>
      <w:bookmarkEnd w:id="71"/>
      <w:bookmarkEnd w:id="72"/>
      <w:r w:rsidRPr="00FF54F7">
        <w:t xml:space="preserve"> </w:t>
      </w:r>
    </w:p>
    <w:tbl>
      <w:tblPr>
        <w:tblStyle w:val="APPR7"/>
        <w:tblW w:w="5000" w:type="pct"/>
        <w:tblLayout w:type="fixed"/>
        <w:tblLook w:val="0000" w:firstRow="0" w:lastRow="0" w:firstColumn="0" w:lastColumn="0" w:noHBand="0" w:noVBand="0"/>
      </w:tblPr>
      <w:tblGrid>
        <w:gridCol w:w="6453"/>
        <w:gridCol w:w="1050"/>
        <w:gridCol w:w="1103"/>
      </w:tblGrid>
      <w:tr w:rsidR="009A2B98" w:rsidRPr="00FF54F7" w14:paraId="347765A6" w14:textId="77777777" w:rsidTr="000F1C4C">
        <w:trPr>
          <w:cantSplit/>
          <w:tblHeader w:val="0"/>
        </w:trPr>
        <w:tc>
          <w:tcPr>
            <w:tcW w:w="6048" w:type="dxa"/>
          </w:tcPr>
          <w:p w14:paraId="4FCC7F3A" w14:textId="77777777" w:rsidR="009A2B98" w:rsidRPr="00FF54F7" w:rsidRDefault="009A2B98" w:rsidP="000F1C4C">
            <w:pPr>
              <w:pStyle w:val="TableTextColumnHeading"/>
            </w:pPr>
            <w:r w:rsidRPr="00FF54F7">
              <w:rPr>
                <w:noProof/>
                <w:lang w:eastAsia="en-AU"/>
              </w:rPr>
              <w:drawing>
                <wp:anchor distT="0" distB="0" distL="114300" distR="114300" simplePos="0" relativeHeight="251716608" behindDoc="0" locked="0" layoutInCell="1" allowOverlap="1" wp14:anchorId="113C4BF9" wp14:editId="513B493A">
                  <wp:simplePos x="0" y="0"/>
                  <wp:positionH relativeFrom="column">
                    <wp:posOffset>0</wp:posOffset>
                  </wp:positionH>
                  <wp:positionV relativeFrom="paragraph">
                    <wp:posOffset>0</wp:posOffset>
                  </wp:positionV>
                  <wp:extent cx="1857375" cy="228600"/>
                  <wp:effectExtent l="0" t="0" r="9525" b="0"/>
                  <wp:wrapNone/>
                  <wp:docPr id="27" name="Picture 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4F7">
              <w:t>Objective</w:t>
            </w:r>
          </w:p>
        </w:tc>
        <w:tc>
          <w:tcPr>
            <w:tcW w:w="964" w:type="dxa"/>
            <w:vAlign w:val="center"/>
          </w:tcPr>
          <w:p w14:paraId="7339ACB5" w14:textId="3884983C" w:rsidR="009A2B98" w:rsidRPr="00FF54F7" w:rsidRDefault="009A2B98" w:rsidP="000F1C4C">
            <w:pPr>
              <w:pStyle w:val="TableTextColumnHeading"/>
            </w:pPr>
            <w:r w:rsidRPr="00FF54F7">
              <w:t xml:space="preserve">Current </w:t>
            </w:r>
            <w:r>
              <w:t>r</w:t>
            </w:r>
            <w:r w:rsidRPr="00FF54F7">
              <w:t>ating</w:t>
            </w:r>
          </w:p>
        </w:tc>
        <w:tc>
          <w:tcPr>
            <w:tcW w:w="1001" w:type="dxa"/>
            <w:vAlign w:val="center"/>
          </w:tcPr>
          <w:p w14:paraId="4CF37FB7" w14:textId="59973150" w:rsidR="009A2B98" w:rsidRPr="00FF54F7" w:rsidRDefault="009A2B98" w:rsidP="000F1C4C">
            <w:pPr>
              <w:pStyle w:val="TableTextColumnHeading"/>
            </w:pPr>
            <w:r w:rsidRPr="00FF54F7">
              <w:t xml:space="preserve">Previous </w:t>
            </w:r>
            <w:r>
              <w:t>r</w:t>
            </w:r>
            <w:r w:rsidRPr="00FF54F7">
              <w:t>ating</w:t>
            </w:r>
          </w:p>
        </w:tc>
      </w:tr>
      <w:tr w:rsidR="009A2B98" w:rsidRPr="00FF54F7" w14:paraId="2D69DF81" w14:textId="77777777" w:rsidTr="000F1C4C">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638366CC" w14:textId="54B67780" w:rsidR="009A2B98" w:rsidRPr="00FF54F7" w:rsidRDefault="009A2B98" w:rsidP="000F1C4C">
            <w:pPr>
              <w:pStyle w:val="TableTextEntries"/>
              <w:rPr>
                <w:sz w:val="18"/>
                <w:szCs w:val="16"/>
              </w:rPr>
            </w:pPr>
            <w:r w:rsidRPr="00FF54F7">
              <w:t xml:space="preserve">Improved </w:t>
            </w:r>
            <w:r>
              <w:t>Indonesian Government</w:t>
            </w:r>
            <w:r w:rsidRPr="00FF54F7">
              <w:t xml:space="preserve"> capacity to ensure macroeconomic and financial market stability (</w:t>
            </w:r>
            <w:r w:rsidRPr="00FF54F7">
              <w:rPr>
                <w:i/>
              </w:rPr>
              <w:t>revised objective</w:t>
            </w:r>
            <w:r w:rsidRPr="00FF54F7">
              <w:t>)</w:t>
            </w:r>
          </w:p>
        </w:tc>
        <w:tc>
          <w:tcPr>
            <w:tcW w:w="964" w:type="dxa"/>
            <w:shd w:val="clear" w:color="auto" w:fill="92D050"/>
            <w:noWrap/>
            <w:vAlign w:val="center"/>
          </w:tcPr>
          <w:p w14:paraId="430B839D" w14:textId="77777777" w:rsidR="009A2B98" w:rsidRPr="000F1C4C" w:rsidRDefault="009A2B98" w:rsidP="000F1C4C">
            <w:pPr>
              <w:pStyle w:val="TableTextEntries"/>
            </w:pPr>
            <w:r w:rsidRPr="000F1C4C">
              <w:t>Green</w:t>
            </w:r>
          </w:p>
        </w:tc>
        <w:tc>
          <w:tcPr>
            <w:tcW w:w="1001" w:type="dxa"/>
            <w:shd w:val="clear" w:color="auto" w:fill="FFFFFF" w:themeFill="background1"/>
            <w:noWrap/>
            <w:vAlign w:val="center"/>
          </w:tcPr>
          <w:p w14:paraId="3FA80F90" w14:textId="77777777" w:rsidR="009A2B98" w:rsidRPr="000F1C4C" w:rsidRDefault="009A2B98" w:rsidP="000F1C4C">
            <w:pPr>
              <w:pStyle w:val="TableTextEntries"/>
            </w:pPr>
            <w:r w:rsidRPr="000F1C4C">
              <w:t>N/A</w:t>
            </w:r>
          </w:p>
        </w:tc>
      </w:tr>
      <w:tr w:rsidR="009A2B98" w:rsidRPr="00FF54F7" w14:paraId="607809E8" w14:textId="77777777" w:rsidTr="000F1C4C">
        <w:trPr>
          <w:cantSplit/>
          <w:tblHeader w:val="0"/>
        </w:trPr>
        <w:tc>
          <w:tcPr>
            <w:tcW w:w="6048" w:type="dxa"/>
          </w:tcPr>
          <w:p w14:paraId="51B029AF" w14:textId="77133DDE" w:rsidR="009A2B98" w:rsidRPr="00FF54F7" w:rsidRDefault="009A2B98" w:rsidP="000F1C4C">
            <w:pPr>
              <w:pStyle w:val="TableTextEntries"/>
              <w:rPr>
                <w:sz w:val="18"/>
              </w:rPr>
            </w:pPr>
            <w:r w:rsidRPr="00FF54F7">
              <w:t xml:space="preserve">Improved </w:t>
            </w:r>
            <w:r>
              <w:t>Indonesian Government</w:t>
            </w:r>
            <w:r w:rsidRPr="00FF54F7">
              <w:t xml:space="preserve"> capacity to raise tax revenues efficiently and with integrity</w:t>
            </w:r>
          </w:p>
        </w:tc>
        <w:tc>
          <w:tcPr>
            <w:tcW w:w="964" w:type="dxa"/>
            <w:shd w:val="clear" w:color="auto" w:fill="92D050"/>
            <w:noWrap/>
            <w:vAlign w:val="center"/>
          </w:tcPr>
          <w:p w14:paraId="6E3C05E6" w14:textId="77777777" w:rsidR="009A2B98" w:rsidRPr="000F1C4C" w:rsidRDefault="009A2B98" w:rsidP="000F1C4C">
            <w:pPr>
              <w:pStyle w:val="TableTextEntries"/>
            </w:pPr>
            <w:r w:rsidRPr="000F1C4C">
              <w:t>Green</w:t>
            </w:r>
          </w:p>
        </w:tc>
        <w:tc>
          <w:tcPr>
            <w:tcW w:w="1001" w:type="dxa"/>
            <w:shd w:val="clear" w:color="auto" w:fill="F79646" w:themeFill="accent6"/>
            <w:noWrap/>
            <w:vAlign w:val="center"/>
          </w:tcPr>
          <w:p w14:paraId="1BE94E92" w14:textId="77777777" w:rsidR="009A2B98" w:rsidRPr="000F1C4C" w:rsidRDefault="009A2B98" w:rsidP="000F1C4C">
            <w:pPr>
              <w:pStyle w:val="TableTextEntries"/>
            </w:pPr>
            <w:r w:rsidRPr="000F1C4C">
              <w:t>Amber</w:t>
            </w:r>
          </w:p>
        </w:tc>
      </w:tr>
      <w:tr w:rsidR="009A2B98" w:rsidRPr="00FF54F7" w14:paraId="25B08302" w14:textId="77777777" w:rsidTr="000F1C4C">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7821056F" w14:textId="77777777" w:rsidR="009A2B98" w:rsidRPr="00FF54F7" w:rsidRDefault="009A2B98" w:rsidP="000F1C4C">
            <w:pPr>
              <w:pStyle w:val="TableTextEntries"/>
              <w:rPr>
                <w:sz w:val="18"/>
              </w:rPr>
            </w:pPr>
            <w:r w:rsidRPr="00FF54F7">
              <w:t>Improved public financial management to support quality of public spending</w:t>
            </w:r>
          </w:p>
        </w:tc>
        <w:tc>
          <w:tcPr>
            <w:tcW w:w="964" w:type="dxa"/>
            <w:shd w:val="clear" w:color="auto" w:fill="92D050"/>
            <w:noWrap/>
            <w:vAlign w:val="center"/>
          </w:tcPr>
          <w:p w14:paraId="25DA72B4" w14:textId="77777777" w:rsidR="009A2B98" w:rsidRPr="000F1C4C" w:rsidRDefault="009A2B98" w:rsidP="000F1C4C">
            <w:pPr>
              <w:pStyle w:val="TableTextEntries"/>
            </w:pPr>
            <w:r w:rsidRPr="000F1C4C">
              <w:t>Green</w:t>
            </w:r>
          </w:p>
        </w:tc>
        <w:tc>
          <w:tcPr>
            <w:tcW w:w="1001" w:type="dxa"/>
            <w:shd w:val="clear" w:color="auto" w:fill="F79646" w:themeFill="accent6"/>
            <w:noWrap/>
            <w:vAlign w:val="center"/>
          </w:tcPr>
          <w:p w14:paraId="6D566012" w14:textId="77777777" w:rsidR="009A2B98" w:rsidRPr="000F1C4C" w:rsidRDefault="009A2B98" w:rsidP="000F1C4C">
            <w:pPr>
              <w:pStyle w:val="TableTextEntries"/>
            </w:pPr>
            <w:r w:rsidRPr="000F1C4C">
              <w:t>Amber</w:t>
            </w:r>
          </w:p>
        </w:tc>
      </w:tr>
      <w:tr w:rsidR="009A2B98" w:rsidRPr="00FF54F7" w14:paraId="0B794BEC" w14:textId="77777777" w:rsidTr="000F1C4C">
        <w:trPr>
          <w:cantSplit/>
          <w:tblHeader w:val="0"/>
        </w:trPr>
        <w:tc>
          <w:tcPr>
            <w:tcW w:w="6048" w:type="dxa"/>
          </w:tcPr>
          <w:p w14:paraId="7F9EAFED" w14:textId="38395BB8" w:rsidR="009A2B98" w:rsidRPr="00FF54F7" w:rsidRDefault="009A2B98" w:rsidP="000F1C4C">
            <w:pPr>
              <w:pStyle w:val="TableTextEntries"/>
              <w:rPr>
                <w:sz w:val="18"/>
                <w:szCs w:val="16"/>
              </w:rPr>
            </w:pPr>
            <w:r w:rsidRPr="00FF54F7">
              <w:t xml:space="preserve">Improved </w:t>
            </w:r>
            <w:r>
              <w:t>Indonesian Government</w:t>
            </w:r>
            <w:r w:rsidRPr="00FF54F7">
              <w:t xml:space="preserve"> capacity to use trade and investment policy to promote the international competitiveness of the Indonesian economy (</w:t>
            </w:r>
            <w:r w:rsidRPr="00FF54F7">
              <w:rPr>
                <w:i/>
              </w:rPr>
              <w:t>revised wording</w:t>
            </w:r>
            <w:r w:rsidRPr="00FF54F7">
              <w:t>)</w:t>
            </w:r>
          </w:p>
        </w:tc>
        <w:tc>
          <w:tcPr>
            <w:tcW w:w="964" w:type="dxa"/>
            <w:shd w:val="clear" w:color="auto" w:fill="F79646" w:themeFill="accent6"/>
            <w:noWrap/>
            <w:vAlign w:val="center"/>
          </w:tcPr>
          <w:p w14:paraId="05D00CE4" w14:textId="77777777" w:rsidR="009A2B98" w:rsidRPr="000F1C4C" w:rsidRDefault="009A2B98" w:rsidP="000F1C4C">
            <w:pPr>
              <w:pStyle w:val="TableTextEntries"/>
            </w:pPr>
            <w:r w:rsidRPr="000F1C4C">
              <w:t>Amber</w:t>
            </w:r>
          </w:p>
        </w:tc>
        <w:tc>
          <w:tcPr>
            <w:tcW w:w="1001" w:type="dxa"/>
            <w:shd w:val="clear" w:color="auto" w:fill="FF0000"/>
            <w:noWrap/>
            <w:vAlign w:val="center"/>
          </w:tcPr>
          <w:p w14:paraId="0AA23288" w14:textId="77777777" w:rsidR="009A2B98" w:rsidRPr="000F1C4C" w:rsidRDefault="009A2B98" w:rsidP="000F1C4C">
            <w:pPr>
              <w:pStyle w:val="TableTextEntries"/>
            </w:pPr>
            <w:r w:rsidRPr="000F1C4C">
              <w:t>Red</w:t>
            </w:r>
          </w:p>
        </w:tc>
      </w:tr>
    </w:tbl>
    <w:p w14:paraId="23EDBF4C" w14:textId="77777777" w:rsidR="00FF54F7" w:rsidRPr="00FF54F7" w:rsidRDefault="00FF54F7" w:rsidP="000F1C4C">
      <w:pPr>
        <w:pStyle w:val="Note"/>
      </w:pPr>
      <w:r w:rsidRPr="00FF54F7">
        <w:t xml:space="preserve">Note: </w:t>
      </w:r>
    </w:p>
    <w:p w14:paraId="72D0894B" w14:textId="77777777" w:rsidR="00FF54F7" w:rsidRPr="00FF54F7" w:rsidRDefault="00FF54F7" w:rsidP="000F1C4C">
      <w:pPr>
        <w:pStyle w:val="Note"/>
      </w:pPr>
      <w:r w:rsidRPr="00FF54F7">
        <w:rPr>
          <w:color w:val="92D050"/>
        </w:rPr>
        <w:sym w:font="Webdings" w:char="F067"/>
      </w:r>
      <w:r w:rsidRPr="00FF54F7">
        <w:t> </w:t>
      </w:r>
      <w:r w:rsidRPr="00FF54F7">
        <w:t xml:space="preserve"> </w:t>
      </w:r>
      <w:proofErr w:type="gramStart"/>
      <w:r w:rsidRPr="00FF54F7">
        <w:t>Green.</w:t>
      </w:r>
      <w:proofErr w:type="gramEnd"/>
      <w:r w:rsidRPr="00FF54F7">
        <w:t xml:space="preserve"> Progress is as expected for this point in time and it is likely that the objective will be achieved. Standard program management practices are sufficient.</w:t>
      </w:r>
    </w:p>
    <w:p w14:paraId="452FF569" w14:textId="77777777" w:rsidR="00FF54F7" w:rsidRPr="00FF54F7" w:rsidRDefault="00FF54F7" w:rsidP="000F1C4C">
      <w:pPr>
        <w:pStyle w:val="Note"/>
      </w:pPr>
      <w:r w:rsidRPr="00FF54F7">
        <w:rPr>
          <w:color w:val="F79646" w:themeColor="accent6"/>
        </w:rPr>
        <w:sym w:font="Webdings" w:char="F067"/>
      </w:r>
      <w:r w:rsidRPr="00FF54F7">
        <w:t> </w:t>
      </w:r>
      <w:r w:rsidRPr="00FF54F7">
        <w:t xml:space="preserve"> Amber. Progress is somewhat less than expected for this point in time and restorative action will be necessary if the objective is to be achieved. Close performance monitoring is recommended.</w:t>
      </w:r>
    </w:p>
    <w:p w14:paraId="5BE69E07" w14:textId="77777777" w:rsidR="00FF54F7" w:rsidRPr="00FF54F7" w:rsidRDefault="00FF54F7" w:rsidP="000F1C4C">
      <w:pPr>
        <w:pStyle w:val="Note"/>
      </w:pPr>
      <w:r w:rsidRPr="00FF54F7">
        <w:rPr>
          <w:color w:val="FF0000"/>
        </w:rPr>
        <w:sym w:font="Webdings" w:char="F067"/>
      </w:r>
      <w:r w:rsidRPr="00FF54F7">
        <w:t> </w:t>
      </w:r>
      <w:r w:rsidRPr="00FF54F7">
        <w:t xml:space="preserve"> </w:t>
      </w:r>
      <w:proofErr w:type="gramStart"/>
      <w:r w:rsidRPr="00FF54F7">
        <w:t>Red.</w:t>
      </w:r>
      <w:proofErr w:type="gramEnd"/>
      <w:r w:rsidRPr="00FF54F7">
        <w:t xml:space="preserve"> Progress is significantly less than expected for this point in time and the objective is not likely to be met given available resources and priorities. Recasting the objective may be required. </w:t>
      </w:r>
    </w:p>
    <w:p w14:paraId="39494710" w14:textId="77777777" w:rsidR="00324DA8" w:rsidRPr="000F1C4C" w:rsidRDefault="00324DA8" w:rsidP="000F1C4C">
      <w:pPr>
        <w:pStyle w:val="BodyText"/>
      </w:pPr>
    </w:p>
    <w:p w14:paraId="4B380675" w14:textId="5A1E855E" w:rsidR="00324DA8" w:rsidRDefault="00324DA8" w:rsidP="00324DA8">
      <w:pPr>
        <w:pStyle w:val="BodyText"/>
      </w:pPr>
      <w:r>
        <w:t>Indonesia’s overall macroeconomic situation remains robust although some risks are emerging. Economic growth has been strong at 6.2</w:t>
      </w:r>
      <w:r w:rsidR="00CE780B">
        <w:t xml:space="preserve"> per cent </w:t>
      </w:r>
      <w:r>
        <w:t xml:space="preserve">and this is expected to continue. Indonesia’s fiscal deficit and public debt levels remain low and inflation, though volatile, remains within the target range. However the current account has recently moved into deficit, increasing Indonesia’s exposure to external financing risks, while the future strength of investment may also prove weaker than expected due to lower commodity prices and heightened concerns over the regulatory environment. </w:t>
      </w:r>
    </w:p>
    <w:p w14:paraId="3F5C8195" w14:textId="700C17DD" w:rsidR="00324DA8" w:rsidRDefault="00324DA8" w:rsidP="00324DA8">
      <w:pPr>
        <w:pStyle w:val="BodyText"/>
      </w:pPr>
      <w:r>
        <w:t>The Economic Governance program supports key Indonesian Government agencies to improve their capacity to manage the economy and contribute to inclusive economic growth and poverty reduction. Limited institutional capacity, unclear decision making authority, and weak coordination across government are major obstacles for economic reform in Indonesia. The political dynamics are also challenging</w:t>
      </w:r>
      <w:r w:rsidR="00CE780B">
        <w:t>,</w:t>
      </w:r>
      <w:r>
        <w:t xml:space="preserve"> necessitating an approach that emphasises the development of </w:t>
      </w:r>
      <w:r w:rsidR="00CE780B">
        <w:t>long-</w:t>
      </w:r>
      <w:r>
        <w:t xml:space="preserve">term relationships with individual </w:t>
      </w:r>
      <w:r w:rsidR="00CE780B">
        <w:t xml:space="preserve">government </w:t>
      </w:r>
      <w:r>
        <w:t>institutions</w:t>
      </w:r>
      <w:r w:rsidR="00CE780B">
        <w:t>,</w:t>
      </w:r>
      <w:r>
        <w:t xml:space="preserve"> while remaining flexible and responsive to reform opportunities. This is particularly important given Indonesia’s upcoming general and </w:t>
      </w:r>
      <w:r w:rsidR="00CE780B">
        <w:t>p</w:t>
      </w:r>
      <w:r>
        <w:t>residential elections in 2014.</w:t>
      </w:r>
    </w:p>
    <w:p w14:paraId="5AE40B1E" w14:textId="2CD3AF84" w:rsidR="00324DA8" w:rsidRDefault="00324DA8" w:rsidP="00324DA8">
      <w:pPr>
        <w:pStyle w:val="BodyText"/>
      </w:pPr>
      <w:r>
        <w:t xml:space="preserve">Strong government-to-government partnerships at the individual agency level through the Government Partnerships Fund provide Australia with a meaningful voice on many important economic policy issues facing Indonesia. In addition, technical assistance under the </w:t>
      </w:r>
      <w:r w:rsidR="000A11DD">
        <w:t>Australia–Indonesia</w:t>
      </w:r>
      <w:r>
        <w:t xml:space="preserve"> Partnerships for Economic Governance and the World Bank implemented Support for Enhanced Economic and Fiscal Policy Analysis further supports </w:t>
      </w:r>
      <w:r w:rsidR="00CE780B">
        <w:t xml:space="preserve">Indonesia </w:t>
      </w:r>
      <w:r>
        <w:t xml:space="preserve">to address key economic reform issues in a highly flexible and responsive manner. All three programs are closely coordinated with each other and the work of other donors, particularly that of the World Bank – the other leading donor in economic governance. </w:t>
      </w:r>
    </w:p>
    <w:p w14:paraId="798B5D81" w14:textId="5439C0CE" w:rsidR="00324DA8" w:rsidRDefault="00CE780B" w:rsidP="00324DA8">
      <w:pPr>
        <w:pStyle w:val="BodyText"/>
      </w:pPr>
      <w:r>
        <w:t xml:space="preserve">Support for Enhanced Economic and Fiscal Policy Analysis </w:t>
      </w:r>
      <w:r w:rsidR="00324DA8">
        <w:t xml:space="preserve">is </w:t>
      </w:r>
      <w:r>
        <w:t xml:space="preserve">helping </w:t>
      </w:r>
      <w:r w:rsidR="00324DA8">
        <w:t xml:space="preserve">Indonesia’s Fiscal Policy Agency to strengthen its capacity for macroeconomic monitoring and fiscal policy analysis. This support has led to considerable improvements in </w:t>
      </w:r>
      <w:r>
        <w:t xml:space="preserve">the agency’s </w:t>
      </w:r>
      <w:r w:rsidR="00324DA8">
        <w:t xml:space="preserve">analytical methods and provided strong and timely evidence to inform </w:t>
      </w:r>
      <w:r>
        <w:t xml:space="preserve">government </w:t>
      </w:r>
      <w:r w:rsidR="00324DA8">
        <w:t xml:space="preserve">policymakers on critical issues such as fuel subsidy reform, budget execution blockages, and the emerging current account deficit. The </w:t>
      </w:r>
      <w:r>
        <w:t xml:space="preserve">Support for Enhanced Economic and Fiscal Policy Analysis </w:t>
      </w:r>
      <w:r w:rsidR="00324DA8">
        <w:t xml:space="preserve">program also produces the Indonesia Economic Quarterly. </w:t>
      </w:r>
      <w:r>
        <w:t xml:space="preserve">This </w:t>
      </w:r>
      <w:r w:rsidR="00324DA8">
        <w:t>has significant reach</w:t>
      </w:r>
      <w:r>
        <w:t>––</w:t>
      </w:r>
      <w:r w:rsidR="00324DA8">
        <w:t>2850 copies</w:t>
      </w:r>
      <w:r>
        <w:t xml:space="preserve"> are</w:t>
      </w:r>
      <w:r w:rsidR="00324DA8">
        <w:t xml:space="preserve"> </w:t>
      </w:r>
      <w:r>
        <w:t xml:space="preserve">distributed every </w:t>
      </w:r>
      <w:r w:rsidR="00324DA8">
        <w:t xml:space="preserve">quarter and </w:t>
      </w:r>
      <w:r>
        <w:t xml:space="preserve">there are </w:t>
      </w:r>
      <w:r w:rsidR="00324DA8">
        <w:t xml:space="preserve">about 5500 hits </w:t>
      </w:r>
      <w:r>
        <w:t xml:space="preserve">online each </w:t>
      </w:r>
      <w:r w:rsidR="00324DA8">
        <w:t>month</w:t>
      </w:r>
      <w:r w:rsidR="007F6E1A">
        <w:t>––</w:t>
      </w:r>
      <w:r w:rsidR="00324DA8">
        <w:t xml:space="preserve">and </w:t>
      </w:r>
      <w:r>
        <w:lastRenderedPageBreak/>
        <w:t>high-</w:t>
      </w:r>
      <w:r w:rsidR="00324DA8">
        <w:t xml:space="preserve">level influence, with senior </w:t>
      </w:r>
      <w:r>
        <w:t xml:space="preserve">Indonesian Government </w:t>
      </w:r>
      <w:r w:rsidR="00324DA8">
        <w:t>officials and private sector representatives participating in panel discussion events.</w:t>
      </w:r>
    </w:p>
    <w:p w14:paraId="728F155F" w14:textId="62BF22BA" w:rsidR="00324DA8" w:rsidRDefault="00324DA8" w:rsidP="00324DA8">
      <w:pPr>
        <w:pStyle w:val="BodyText"/>
      </w:pPr>
      <w:r>
        <w:t>Indonesia’s financial sector has remained largely stable over the past</w:t>
      </w:r>
      <w:r w:rsidR="000B19AE">
        <w:t xml:space="preserve"> two </w:t>
      </w:r>
      <w:proofErr w:type="gramStart"/>
      <w:r w:rsidR="000B19AE">
        <w:t xml:space="preserve">years </w:t>
      </w:r>
      <w:r>
        <w:t>,</w:t>
      </w:r>
      <w:proofErr w:type="gramEnd"/>
      <w:r>
        <w:t xml:space="preserve"> contributing to the overall stable macroeconomic environment. Banking indicators are sound and equity and bond markets have been buoyant. </w:t>
      </w:r>
      <w:r w:rsidR="009F53DE">
        <w:t xml:space="preserve">The </w:t>
      </w:r>
      <w:r w:rsidR="009F53DE" w:rsidRPr="00F71581">
        <w:t xml:space="preserve">independent </w:t>
      </w:r>
      <w:r w:rsidR="009F53DE">
        <w:t>f</w:t>
      </w:r>
      <w:r w:rsidR="009F53DE" w:rsidRPr="00F71581">
        <w:t xml:space="preserve">inancial </w:t>
      </w:r>
      <w:r w:rsidR="009F53DE">
        <w:t>services authority of Indonesia––</w:t>
      </w:r>
      <w:r w:rsidRPr="009F53DE">
        <w:t>OJK</w:t>
      </w:r>
      <w:r w:rsidR="009F53DE">
        <w:t>––</w:t>
      </w:r>
      <w:r>
        <w:t xml:space="preserve">was established </w:t>
      </w:r>
      <w:r w:rsidR="009F53DE">
        <w:t xml:space="preserve">in 2011 </w:t>
      </w:r>
      <w:r>
        <w:t>to take over regulation and supervision responsibilities in banking, non-banking financial institutions, and capital markets from Bank Indonesia and the Ministry of Finance. Successful transition to this new body is critical for the future of Indonesia’s financial sector stability</w:t>
      </w:r>
      <w:r w:rsidR="00CE780B">
        <w:t>,</w:t>
      </w:r>
      <w:r>
        <w:t xml:space="preserve"> and is the major institutional reform in economic governance currently underway. </w:t>
      </w:r>
      <w:r w:rsidR="00CE780B">
        <w:t>The Australia–Indonesia Partnerships for Economic Governance</w:t>
      </w:r>
      <w:r w:rsidR="00CE780B" w:rsidDel="00CE780B">
        <w:t xml:space="preserve"> </w:t>
      </w:r>
      <w:r>
        <w:t xml:space="preserve">has been providing highly valued assistance directly to the </w:t>
      </w:r>
      <w:r w:rsidRPr="009F53DE">
        <w:t>OJK</w:t>
      </w:r>
      <w:r>
        <w:t xml:space="preserve"> </w:t>
      </w:r>
      <w:r w:rsidR="009F53DE">
        <w:t xml:space="preserve">board </w:t>
      </w:r>
      <w:r>
        <w:t xml:space="preserve">of </w:t>
      </w:r>
      <w:r w:rsidR="009F53DE">
        <w:t xml:space="preserve">commissioners </w:t>
      </w:r>
      <w:r>
        <w:t xml:space="preserve">on critical issues such as organisation structure, remuneration framework and levy structure. In addition, </w:t>
      </w:r>
      <w:r w:rsidR="00CE780B">
        <w:t xml:space="preserve">the </w:t>
      </w:r>
      <w:r>
        <w:t xml:space="preserve">Australian </w:t>
      </w:r>
      <w:r w:rsidR="00CE780B">
        <w:t xml:space="preserve">Prudential Regulation Authority </w:t>
      </w:r>
      <w:r>
        <w:t>and A</w:t>
      </w:r>
      <w:r w:rsidR="00CE780B">
        <w:t xml:space="preserve">ustralian </w:t>
      </w:r>
      <w:r>
        <w:t>S</w:t>
      </w:r>
      <w:r w:rsidR="00CE780B">
        <w:t xml:space="preserve">ecurities and </w:t>
      </w:r>
      <w:r>
        <w:t>I</w:t>
      </w:r>
      <w:r w:rsidR="00CE780B">
        <w:t xml:space="preserve">nvestments </w:t>
      </w:r>
      <w:r>
        <w:t>C</w:t>
      </w:r>
      <w:r w:rsidR="00CE780B">
        <w:t>ommission</w:t>
      </w:r>
      <w:r>
        <w:t xml:space="preserve"> have provide</w:t>
      </w:r>
      <w:r w:rsidR="00CE780B">
        <w:t>d</w:t>
      </w:r>
      <w:r w:rsidR="007F6E1A">
        <w:t xml:space="preserve"> capacity building</w:t>
      </w:r>
      <w:r>
        <w:t xml:space="preserve"> under </w:t>
      </w:r>
      <w:r w:rsidR="00CE780B">
        <w:t>the Government Partnerships Fund</w:t>
      </w:r>
      <w:r>
        <w:t xml:space="preserve"> to </w:t>
      </w:r>
      <w:r w:rsidRPr="009F53DE">
        <w:t>OJK</w:t>
      </w:r>
      <w:r>
        <w:t xml:space="preserve"> on risk-based supervision and financial market development. </w:t>
      </w:r>
    </w:p>
    <w:p w14:paraId="7633D2EC" w14:textId="27D178D0" w:rsidR="00324DA8" w:rsidRDefault="00324DA8" w:rsidP="00324DA8">
      <w:pPr>
        <w:pStyle w:val="BodyText"/>
      </w:pPr>
      <w:r>
        <w:t>Tax collection in Indonesia is extremely weak and is a major limit on the public resources available to finance much needed infrastructure, service delivery and social assistance. Despite some slow improvement in tax compliance, tax revenue remains sub-par compared to Indonesia’s peers at only 11.9</w:t>
      </w:r>
      <w:r w:rsidR="006C0AE8">
        <w:t xml:space="preserve"> per cent </w:t>
      </w:r>
      <w:r>
        <w:t>of GDP in 2012 and much lower than the 18</w:t>
      </w:r>
      <w:r w:rsidR="006C0AE8">
        <w:t xml:space="preserve"> per cent </w:t>
      </w:r>
      <w:r>
        <w:t>tax potential estimated by the I</w:t>
      </w:r>
      <w:r w:rsidR="006C0AE8">
        <w:t xml:space="preserve">nternational </w:t>
      </w:r>
      <w:r>
        <w:t>M</w:t>
      </w:r>
      <w:r w:rsidR="006C0AE8">
        <w:t xml:space="preserve">onetary </w:t>
      </w:r>
      <w:r>
        <w:t>F</w:t>
      </w:r>
      <w:r w:rsidR="006C0AE8">
        <w:t>und</w:t>
      </w:r>
      <w:r>
        <w:t xml:space="preserve">. </w:t>
      </w:r>
      <w:r w:rsidR="006C0AE8">
        <w:t xml:space="preserve">Australia–Indonesia Partnerships for Economic Governance </w:t>
      </w:r>
      <w:r>
        <w:t xml:space="preserve">assistance to </w:t>
      </w:r>
      <w:r w:rsidR="006C0AE8" w:rsidRPr="00D67028">
        <w:t xml:space="preserve">the </w:t>
      </w:r>
      <w:r w:rsidR="006C0AE8" w:rsidRPr="00D67028">
        <w:rPr>
          <w:iCs/>
          <w:lang w:val="en-US"/>
        </w:rPr>
        <w:t>Indonesian Tax Directorate General</w:t>
      </w:r>
      <w:r w:rsidR="006C0AE8" w:rsidRPr="00D67028" w:rsidDel="006C0AE8">
        <w:t xml:space="preserve"> </w:t>
      </w:r>
      <w:r>
        <w:t>focused on helping the agency deliver the higher revenues Indonesia sorely needs while strengthening the</w:t>
      </w:r>
      <w:r w:rsidR="006C0AE8">
        <w:t xml:space="preserve"> directorate’s</w:t>
      </w:r>
      <w:r>
        <w:t xml:space="preserve"> integrity. In 2012, </w:t>
      </w:r>
      <w:r w:rsidR="006C0AE8">
        <w:t xml:space="preserve">the program’s </w:t>
      </w:r>
      <w:r>
        <w:t xml:space="preserve">support in </w:t>
      </w:r>
      <w:r w:rsidR="006C0AE8">
        <w:t xml:space="preserve">transfer pricing </w:t>
      </w:r>
      <w:r>
        <w:t xml:space="preserve">resulted in </w:t>
      </w:r>
      <w:r w:rsidR="006C0AE8">
        <w:t>the directorate</w:t>
      </w:r>
      <w:r>
        <w:t xml:space="preserve"> establishing a unit to increase compliance, and potentially tax collection, from multinational companies. Tax base broadening support has also helped with the implementation of a national taxpayer census that resulted in an increase in taxpayer registrations of more than 442</w:t>
      </w:r>
      <w:r w:rsidR="006C0AE8">
        <w:t xml:space="preserve"> </w:t>
      </w:r>
      <w:r>
        <w:t>000 to date and removal of 65</w:t>
      </w:r>
      <w:r w:rsidR="006C0AE8">
        <w:t xml:space="preserve"> </w:t>
      </w:r>
      <w:r>
        <w:t xml:space="preserve">000 duplicated taxpayer records. Significant progress has also been made </w:t>
      </w:r>
      <w:r w:rsidR="006C0AE8">
        <w:t xml:space="preserve">to </w:t>
      </w:r>
      <w:r>
        <w:t>strengthen</w:t>
      </w:r>
      <w:r w:rsidR="006C0AE8">
        <w:t xml:space="preserve"> </w:t>
      </w:r>
      <w:r>
        <w:t>internal investigations and other integrity functions within the agency. The Australian Taxation Office support</w:t>
      </w:r>
      <w:r w:rsidR="006C0AE8">
        <w:t>s</w:t>
      </w:r>
      <w:r>
        <w:t xml:space="preserve"> </w:t>
      </w:r>
      <w:r w:rsidR="006C0AE8">
        <w:t xml:space="preserve">the </w:t>
      </w:r>
      <w:r w:rsidR="006C0AE8" w:rsidRPr="00A81A09">
        <w:rPr>
          <w:iCs/>
          <w:lang w:val="en-US"/>
        </w:rPr>
        <w:t>Indonesian Tax Directorate General</w:t>
      </w:r>
      <w:r w:rsidR="006C0AE8">
        <w:rPr>
          <w:iCs/>
          <w:lang w:val="en-US"/>
        </w:rPr>
        <w:t>,</w:t>
      </w:r>
      <w:r w:rsidR="006C0AE8" w:rsidRPr="00A81A09" w:rsidDel="006C0AE8">
        <w:t xml:space="preserve"> </w:t>
      </w:r>
      <w:r>
        <w:t xml:space="preserve">which is closely coordinated with support from </w:t>
      </w:r>
      <w:r w:rsidR="006C0AE8">
        <w:t>the Australia–Indonesia Partnerships for Economic Governance</w:t>
      </w:r>
      <w:r>
        <w:t>.</w:t>
      </w:r>
    </w:p>
    <w:p w14:paraId="3D2F99DA" w14:textId="2A83724C" w:rsidR="00324DA8" w:rsidRDefault="00324DA8" w:rsidP="00324DA8">
      <w:pPr>
        <w:pStyle w:val="BodyText"/>
      </w:pPr>
      <w:r>
        <w:t>On the expenditure side, budget execution remain</w:t>
      </w:r>
      <w:r w:rsidR="006C0AE8">
        <w:t>s</w:t>
      </w:r>
      <w:r>
        <w:t xml:space="preserve"> challenging, particularly for capital and material expenditures, making it more difficult for Indonesia to meet its considerable infrastructure challenges. Budget execution is expected to slightly improve in 2013, supported by the integration of the budget preparation process at the Budget</w:t>
      </w:r>
      <w:r w:rsidR="006C0AE8">
        <w:t xml:space="preserve"> </w:t>
      </w:r>
      <w:r w:rsidR="006C0AE8" w:rsidRPr="00A81A09">
        <w:rPr>
          <w:iCs/>
          <w:lang w:val="en-US"/>
        </w:rPr>
        <w:t>Directorate General</w:t>
      </w:r>
      <w:r>
        <w:t xml:space="preserve">, Ministry of Finance, and revised procurement regulations. However implementation of capital projects is likely to remain challenging as the new </w:t>
      </w:r>
      <w:r w:rsidR="006C0AE8">
        <w:t xml:space="preserve">law </w:t>
      </w:r>
      <w:r>
        <w:t xml:space="preserve">and associated regulations have only recently been put in place and </w:t>
      </w:r>
      <w:r w:rsidR="006C0AE8">
        <w:t xml:space="preserve">will </w:t>
      </w:r>
      <w:r>
        <w:t>need time for dissemination. Quality of spending continues to be a major area of concern and Indonesia has continued to struggle with implementation of a medium-term expenditure framework and performance-based budgeting</w:t>
      </w:r>
      <w:r w:rsidR="006C0AE8">
        <w:t>––</w:t>
      </w:r>
      <w:r>
        <w:t xml:space="preserve">key reforms intended to improve both budget execution and spending quality. </w:t>
      </w:r>
    </w:p>
    <w:p w14:paraId="662E0C3F" w14:textId="59A42790" w:rsidR="00324DA8" w:rsidRDefault="00324DA8" w:rsidP="00BD7A1D">
      <w:pPr>
        <w:pStyle w:val="ListBullet"/>
      </w:pPr>
      <w:r>
        <w:t xml:space="preserve">Australia, through </w:t>
      </w:r>
      <w:r w:rsidR="006C0AE8">
        <w:t xml:space="preserve">the Australia–Indonesia Partnerships for Economic Governance </w:t>
      </w:r>
      <w:r>
        <w:t xml:space="preserve">and </w:t>
      </w:r>
      <w:r w:rsidR="006C0AE8">
        <w:t xml:space="preserve">Indonesia’s </w:t>
      </w:r>
      <w:r>
        <w:t>Department of Finance and Deregulation, support</w:t>
      </w:r>
      <w:r w:rsidR="006C0AE8">
        <w:t>s</w:t>
      </w:r>
      <w:r>
        <w:t xml:space="preserve"> Ministry of Finance (Directorate General Budget), </w:t>
      </w:r>
      <w:r w:rsidR="009F53DE">
        <w:t xml:space="preserve">the </w:t>
      </w:r>
      <w:r w:rsidR="009F53DE" w:rsidRPr="00BD7A1D">
        <w:rPr>
          <w:rStyle w:val="BodyTextChar"/>
        </w:rPr>
        <w:t>National Development Planning Agency</w:t>
      </w:r>
      <w:r w:rsidR="009F53DE" w:rsidDel="009F53DE">
        <w:t xml:space="preserve"> </w:t>
      </w:r>
      <w:r>
        <w:t xml:space="preserve">and several line ministries to improve expenditure management. </w:t>
      </w:r>
      <w:r w:rsidR="006C0AE8">
        <w:t>These</w:t>
      </w:r>
      <w:r>
        <w:t xml:space="preserve"> include the Ministry for Public Works, Ministry of Home Affairs, and Ministry of Health</w:t>
      </w:r>
      <w:r w:rsidR="00E228AF">
        <w:t xml:space="preserve">, and </w:t>
      </w:r>
      <w:r>
        <w:t xml:space="preserve">work is coordinated with other </w:t>
      </w:r>
      <w:r w:rsidR="007F6D0E">
        <w:t xml:space="preserve">Australian </w:t>
      </w:r>
      <w:r>
        <w:t xml:space="preserve">programs assisting these ministries. With major reform legislation and regulations already passed, Australian support focuses on implementation challenges for the </w:t>
      </w:r>
      <w:r w:rsidR="006C0AE8">
        <w:t xml:space="preserve">medium-term expenditure framework </w:t>
      </w:r>
      <w:r>
        <w:t xml:space="preserve">and </w:t>
      </w:r>
      <w:r w:rsidR="006C0AE8">
        <w:t xml:space="preserve">performance-based budgeting </w:t>
      </w:r>
      <w:r>
        <w:t xml:space="preserve">reforms, as well as the introduction of accrual accounting. This has included support to improve various budgeting guidelines, processes and analytical methods, support for line ministries </w:t>
      </w:r>
      <w:r>
        <w:lastRenderedPageBreak/>
        <w:t xml:space="preserve">to improve budgeting capabilities, as well as direct support on policies, regulations and training materials to implement financial reporting on an accrual basis. </w:t>
      </w:r>
    </w:p>
    <w:p w14:paraId="0F98B4BE" w14:textId="098EB208" w:rsidR="00324DA8" w:rsidRDefault="00324DA8" w:rsidP="001078A8">
      <w:pPr>
        <w:pStyle w:val="BodyText"/>
      </w:pPr>
      <w:r>
        <w:t xml:space="preserve">Indonesia’s international competitiveness has declined in recent years, as reflected in global rankings such as the </w:t>
      </w:r>
      <w:r w:rsidR="00E228AF">
        <w:t xml:space="preserve">World Economic Forum’s </w:t>
      </w:r>
      <w:r>
        <w:t>Global Competitiveness Index</w:t>
      </w:r>
      <w:r w:rsidR="00E228AF">
        <w:t>.</w:t>
      </w:r>
      <w:r>
        <w:t xml:space="preserve"> This reflects a variety of issues including inefficient government bureaucracy, corruption, inadequate infrastructure, and restrictive labour market regulation. Making the situation more difficult, Indonesia has displayed growing signs of protectionism over the past </w:t>
      </w:r>
      <w:r w:rsidR="00FF3496">
        <w:t>two years</w:t>
      </w:r>
      <w:r>
        <w:t>, with the introduction of several interventionist policy measures in areas such as agriculture and mining.</w:t>
      </w:r>
      <w:r w:rsidR="00E228AF">
        <w:t xml:space="preserve"> </w:t>
      </w:r>
      <w:r>
        <w:t xml:space="preserve">Within this difficult overall trade environment, </w:t>
      </w:r>
      <w:r w:rsidR="00E228AF">
        <w:t xml:space="preserve">the Australia–Indonesia Partnerships for Economic Governance </w:t>
      </w:r>
      <w:r>
        <w:t xml:space="preserve">has maintained its policy assistance to the Ministry of Trade on international trade in services, delivering studies, reports and audits that have enhance </w:t>
      </w:r>
      <w:r w:rsidR="00E228AF">
        <w:t xml:space="preserve">the ministry’s </w:t>
      </w:r>
      <w:r>
        <w:t xml:space="preserve">ability to engage in trade negotiation processes and assisted </w:t>
      </w:r>
      <w:r w:rsidR="00E228AF">
        <w:t xml:space="preserve">it </w:t>
      </w:r>
      <w:r>
        <w:t xml:space="preserve">to track Indonesia’s compliance with international obligations. </w:t>
      </w:r>
      <w:r w:rsidR="006C0AE8">
        <w:t xml:space="preserve">The Australia–Indonesia Partnerships for Economic Governance </w:t>
      </w:r>
      <w:r>
        <w:t>has also been providing support to establish</w:t>
      </w:r>
      <w:r w:rsidR="00E228AF">
        <w:t xml:space="preserve"> </w:t>
      </w:r>
      <w:r>
        <w:t xml:space="preserve">a one-stop-shop to integrate </w:t>
      </w:r>
      <w:r w:rsidR="00E228AF">
        <w:t xml:space="preserve">the ministry’s </w:t>
      </w:r>
      <w:r>
        <w:t xml:space="preserve">licensing processes, a business enabling reform that has won acclaim from Indonesia’s Open Government Initiative. </w:t>
      </w:r>
    </w:p>
    <w:p w14:paraId="705A870E" w14:textId="4EEF7A84" w:rsidR="001078A8" w:rsidRDefault="00324DA8" w:rsidP="00A52847">
      <w:pPr>
        <w:pStyle w:val="BodyText"/>
      </w:pPr>
      <w:bookmarkStart w:id="73" w:name="_Toc359585107"/>
      <w:r>
        <w:t xml:space="preserve">The management support team of </w:t>
      </w:r>
      <w:r w:rsidR="006C0AE8">
        <w:t>the</w:t>
      </w:r>
      <w:r w:rsidR="006C0AE8" w:rsidRPr="006C0AE8">
        <w:t xml:space="preserve"> </w:t>
      </w:r>
      <w:r w:rsidR="006C0AE8">
        <w:t xml:space="preserve">Australia–Indonesia Partnerships for Economic Governance </w:t>
      </w:r>
      <w:r>
        <w:t xml:space="preserve">Phase II has recruited a new </w:t>
      </w:r>
      <w:r w:rsidR="00E228AF">
        <w:t xml:space="preserve">facility director </w:t>
      </w:r>
      <w:r>
        <w:t xml:space="preserve">with </w:t>
      </w:r>
      <w:r w:rsidR="00E228AF">
        <w:t xml:space="preserve">high-level </w:t>
      </w:r>
      <w:r>
        <w:t>skills and knowledge in economic governance and Indonesia</w:t>
      </w:r>
      <w:r w:rsidR="00E228AF">
        <w:t>,</w:t>
      </w:r>
      <w:r>
        <w:t xml:space="preserve"> as well as a senior economist to assist in scoping new priorities. The composition of the </w:t>
      </w:r>
      <w:r w:rsidR="006C0AE8">
        <w:t xml:space="preserve">Australia–Indonesia Partnerships for Economic Governance </w:t>
      </w:r>
      <w:r>
        <w:t xml:space="preserve">and </w:t>
      </w:r>
      <w:r w:rsidR="006C0AE8">
        <w:t>Department of Finance and Deregulation</w:t>
      </w:r>
      <w:r w:rsidR="006C0AE8" w:rsidDel="006C0AE8">
        <w:t xml:space="preserve"> </w:t>
      </w:r>
      <w:r>
        <w:t xml:space="preserve">governance board has also been bolstered by two prominent Indonesian private sector figures. This will strengthen the </w:t>
      </w:r>
      <w:r w:rsidR="00E228AF">
        <w:t xml:space="preserve">board’s </w:t>
      </w:r>
      <w:r>
        <w:t xml:space="preserve">ability to target support to priority reforms. Processes have also been reformed to deepen </w:t>
      </w:r>
      <w:r w:rsidR="00E228AF">
        <w:t xml:space="preserve">board </w:t>
      </w:r>
      <w:r>
        <w:t>oversight through pre-</w:t>
      </w:r>
      <w:r w:rsidR="00E228AF">
        <w:t xml:space="preserve">board </w:t>
      </w:r>
      <w:r>
        <w:t xml:space="preserve">meetings to integrate </w:t>
      </w:r>
      <w:r w:rsidR="00E228AF">
        <w:t xml:space="preserve">Indonesia’s </w:t>
      </w:r>
      <w:r w:rsidR="006C0AE8">
        <w:t>Department of Finance and Deregulation</w:t>
      </w:r>
      <w:r w:rsidR="006C0AE8" w:rsidDel="006C0AE8">
        <w:t xml:space="preserve"> </w:t>
      </w:r>
      <w:r>
        <w:t xml:space="preserve">and </w:t>
      </w:r>
      <w:r w:rsidR="00E228AF">
        <w:t xml:space="preserve">the </w:t>
      </w:r>
      <w:r w:rsidR="006C0AE8">
        <w:t>Australia–Indonesia Partnerships for Economic Governance</w:t>
      </w:r>
      <w:r w:rsidR="00E228AF">
        <w:t>,</w:t>
      </w:r>
      <w:r w:rsidR="006C0AE8">
        <w:t xml:space="preserve"> </w:t>
      </w:r>
      <w:r>
        <w:t xml:space="preserve">and </w:t>
      </w:r>
      <w:r w:rsidR="00E228AF">
        <w:t xml:space="preserve">to </w:t>
      </w:r>
      <w:r>
        <w:t xml:space="preserve">bring Indonesian counterparts closer to decision-makers on the </w:t>
      </w:r>
      <w:r w:rsidR="00E228AF">
        <w:t>board</w:t>
      </w:r>
      <w:r>
        <w:t>. This will also address coordination and wider cross-section issue</w:t>
      </w:r>
      <w:r w:rsidR="00E228AF">
        <w:t>s</w:t>
      </w:r>
      <w:r>
        <w:t xml:space="preserve"> addressed in the last </w:t>
      </w:r>
      <w:r w:rsidR="006C0AE8">
        <w:t>annual program performance report</w:t>
      </w:r>
      <w:r>
        <w:t>.</w:t>
      </w:r>
    </w:p>
    <w:p w14:paraId="5BFC2077" w14:textId="543BFF08" w:rsidR="00FF54F7" w:rsidRPr="00FF54F7" w:rsidRDefault="00FF54F7" w:rsidP="000F1C4C">
      <w:pPr>
        <w:pStyle w:val="Heading2"/>
      </w:pPr>
      <w:bookmarkStart w:id="74" w:name="_Toc363768595"/>
      <w:bookmarkStart w:id="75" w:name="_Toc363804131"/>
      <w:r w:rsidRPr="00FF54F7">
        <w:t xml:space="preserve">Management </w:t>
      </w:r>
      <w:bookmarkEnd w:id="73"/>
      <w:r w:rsidR="00F81534">
        <w:t>c</w:t>
      </w:r>
      <w:r w:rsidR="00F81534" w:rsidRPr="00FF54F7">
        <w:t>onsequences</w:t>
      </w:r>
      <w:bookmarkEnd w:id="74"/>
      <w:bookmarkEnd w:id="75"/>
    </w:p>
    <w:p w14:paraId="242A3FFC" w14:textId="77777777" w:rsidR="00F81534" w:rsidRPr="00F127C6" w:rsidRDefault="00F81534" w:rsidP="000F1C4C">
      <w:pPr>
        <w:pStyle w:val="BodyText"/>
      </w:pPr>
      <w:r w:rsidRPr="00F127C6">
        <w:t>Management consequences for 2013–14 include:</w:t>
      </w:r>
    </w:p>
    <w:p w14:paraId="42C6948D" w14:textId="34D794FB" w:rsidR="00324DA8" w:rsidRDefault="00324DA8" w:rsidP="000F1C4C">
      <w:pPr>
        <w:pStyle w:val="ListBullet"/>
      </w:pPr>
      <w:r>
        <w:t xml:space="preserve">Finalise the Economic Governance Delivery Strategy to align with the </w:t>
      </w:r>
      <w:r w:rsidR="00E228AF">
        <w:t xml:space="preserve">country strategy </w:t>
      </w:r>
      <w:r>
        <w:t xml:space="preserve">development timeframe. </w:t>
      </w:r>
    </w:p>
    <w:p w14:paraId="573DC6DA" w14:textId="3B5BE056" w:rsidR="00324DA8" w:rsidRDefault="00324DA8" w:rsidP="000F1C4C">
      <w:pPr>
        <w:pStyle w:val="ListBullet"/>
      </w:pPr>
      <w:r>
        <w:t xml:space="preserve">There is strong interest in both governments to expand the economic governance program into new areas to meet emerging priorities. In 2013, </w:t>
      </w:r>
      <w:r w:rsidR="00E228AF">
        <w:t xml:space="preserve">the </w:t>
      </w:r>
      <w:r w:rsidR="006C0AE8">
        <w:t>Department of Finance and Deregulation</w:t>
      </w:r>
      <w:r w:rsidR="006C0AE8" w:rsidDel="006C0AE8">
        <w:t xml:space="preserve"> </w:t>
      </w:r>
      <w:r>
        <w:t>increase</w:t>
      </w:r>
      <w:r w:rsidR="00FF3496">
        <w:t>d</w:t>
      </w:r>
      <w:r>
        <w:t xml:space="preserve"> the number of partnerships under the program with a new D</w:t>
      </w:r>
      <w:r w:rsidR="00E228AF">
        <w:t xml:space="preserve">epartment of </w:t>
      </w:r>
      <w:r>
        <w:t>F</w:t>
      </w:r>
      <w:r w:rsidR="00E228AF">
        <w:t xml:space="preserve">oreign </w:t>
      </w:r>
      <w:r>
        <w:t>A</w:t>
      </w:r>
      <w:r w:rsidR="00E228AF">
        <w:t xml:space="preserve">ffairs and </w:t>
      </w:r>
      <w:r>
        <w:t>T</w:t>
      </w:r>
      <w:r w:rsidR="00E228AF">
        <w:t>rade–</w:t>
      </w:r>
      <w:r>
        <w:t>M</w:t>
      </w:r>
      <w:r w:rsidR="00E228AF">
        <w:t xml:space="preserve">inistry of Trade </w:t>
      </w:r>
      <w:r>
        <w:t xml:space="preserve">partnership and </w:t>
      </w:r>
      <w:r w:rsidR="00FF3496">
        <w:t xml:space="preserve">an </w:t>
      </w:r>
      <w:proofErr w:type="spellStart"/>
      <w:r w:rsidR="00E228AF">
        <w:t>Austrade</w:t>
      </w:r>
      <w:proofErr w:type="spellEnd"/>
      <w:r w:rsidR="00E228AF">
        <w:t xml:space="preserve"> </w:t>
      </w:r>
      <w:r w:rsidR="00FF3496">
        <w:t>-</w:t>
      </w:r>
      <w:r>
        <w:t>Indonesia</w:t>
      </w:r>
      <w:r w:rsidR="00FF3496">
        <w:t>n</w:t>
      </w:r>
      <w:r>
        <w:t xml:space="preserve"> Investment Coordination Agency</w:t>
      </w:r>
      <w:r w:rsidR="00FF3496">
        <w:t xml:space="preserve"> partnership</w:t>
      </w:r>
      <w:r>
        <w:t xml:space="preserve">. </w:t>
      </w:r>
      <w:r w:rsidR="00E228AF">
        <w:t xml:space="preserve">The </w:t>
      </w:r>
      <w:r w:rsidR="006C0AE8">
        <w:t xml:space="preserve">Australia–Indonesia Partnerships for Economic Governance </w:t>
      </w:r>
      <w:r>
        <w:t>is also considering expanding into new areas of engagement. This will include considering other investments in trade and investment policy and support to improve management of Indonesia’s mining sector for better growth and development outcomes.</w:t>
      </w:r>
    </w:p>
    <w:p w14:paraId="78028D08" w14:textId="27422105" w:rsidR="00324DA8" w:rsidRDefault="00324DA8" w:rsidP="000F1C4C">
      <w:pPr>
        <w:pStyle w:val="ListBullet"/>
      </w:pPr>
      <w:r>
        <w:t xml:space="preserve">Mid-term reviews of </w:t>
      </w:r>
      <w:r w:rsidR="00E228AF">
        <w:t xml:space="preserve">the </w:t>
      </w:r>
      <w:r w:rsidR="006C0AE8">
        <w:t>Department of Finance and Deregulation</w:t>
      </w:r>
      <w:r w:rsidR="006C0AE8" w:rsidDel="006C0AE8">
        <w:t xml:space="preserve"> </w:t>
      </w:r>
      <w:r>
        <w:t xml:space="preserve">and </w:t>
      </w:r>
      <w:r w:rsidR="006C0AE8">
        <w:t xml:space="preserve">Support for Enhanced Economic and Fiscal Policy Analysis </w:t>
      </w:r>
      <w:r>
        <w:t>are also planned in 2013 to examine program effectiveness.</w:t>
      </w:r>
    </w:p>
    <w:p w14:paraId="7A65C255" w14:textId="0E57A69E" w:rsidR="009D3674" w:rsidRDefault="009D3674" w:rsidP="009D3674">
      <w:pPr>
        <w:pStyle w:val="BodyText"/>
      </w:pPr>
      <w:r>
        <w:t>T</w:t>
      </w:r>
      <w:r w:rsidRPr="004048AD">
        <w:t xml:space="preserve">he </w:t>
      </w:r>
      <w:r w:rsidR="00B525E5">
        <w:t>follow-</w:t>
      </w:r>
      <w:r>
        <w:t xml:space="preserve">up of </w:t>
      </w:r>
      <w:r w:rsidRPr="004048AD">
        <w:t xml:space="preserve">management consequences from the </w:t>
      </w:r>
      <w:r>
        <w:t>2011 annual program performance report can be found in</w:t>
      </w:r>
      <w:r w:rsidRPr="004048AD">
        <w:t xml:space="preserve"> </w:t>
      </w:r>
      <w:r w:rsidRPr="00154F9B">
        <w:rPr>
          <w:b/>
        </w:rPr>
        <w:t>Annex B</w:t>
      </w:r>
      <w:r w:rsidRPr="004048AD">
        <w:t>.</w:t>
      </w:r>
    </w:p>
    <w:p w14:paraId="58D70C13" w14:textId="77777777" w:rsidR="00FF54F7" w:rsidRPr="00FF54F7" w:rsidRDefault="00FF54F7" w:rsidP="000F1C4C">
      <w:pPr>
        <w:pStyle w:val="Heading1"/>
      </w:pPr>
      <w:bookmarkStart w:id="76" w:name="_Toc359585108"/>
      <w:bookmarkStart w:id="77" w:name="_Toc363804132"/>
      <w:r w:rsidRPr="00FF54F7">
        <w:lastRenderedPageBreak/>
        <w:t>Elections</w:t>
      </w:r>
      <w:bookmarkEnd w:id="76"/>
      <w:bookmarkEnd w:id="77"/>
      <w:r w:rsidRPr="00FF54F7">
        <w:t xml:space="preserve"> </w:t>
      </w:r>
    </w:p>
    <w:tbl>
      <w:tblPr>
        <w:tblStyle w:val="APPR8"/>
        <w:tblW w:w="5000" w:type="pct"/>
        <w:tblLayout w:type="fixed"/>
        <w:tblLook w:val="0000" w:firstRow="0" w:lastRow="0" w:firstColumn="0" w:lastColumn="0" w:noHBand="0" w:noVBand="0"/>
      </w:tblPr>
      <w:tblGrid>
        <w:gridCol w:w="6453"/>
        <w:gridCol w:w="1050"/>
        <w:gridCol w:w="1103"/>
      </w:tblGrid>
      <w:tr w:rsidR="003746AA" w:rsidRPr="00FF54F7" w14:paraId="6FC90B5D" w14:textId="77777777" w:rsidTr="003746AA">
        <w:trPr>
          <w:cantSplit/>
          <w:tblHeader w:val="0"/>
        </w:trPr>
        <w:tc>
          <w:tcPr>
            <w:tcW w:w="6048" w:type="dxa"/>
          </w:tcPr>
          <w:p w14:paraId="4CF71902" w14:textId="77777777" w:rsidR="003746AA" w:rsidRPr="00FF54F7" w:rsidRDefault="003746AA" w:rsidP="003746AA">
            <w:pPr>
              <w:pStyle w:val="TableTextColumnHeading"/>
            </w:pPr>
            <w:r w:rsidRPr="00FF54F7">
              <w:rPr>
                <w:noProof/>
                <w:lang w:eastAsia="en-AU"/>
              </w:rPr>
              <w:drawing>
                <wp:anchor distT="0" distB="0" distL="114300" distR="114300" simplePos="0" relativeHeight="251718656" behindDoc="0" locked="0" layoutInCell="1" allowOverlap="1" wp14:anchorId="6A7511A1" wp14:editId="28324C58">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4F7">
              <w:t>Objective</w:t>
            </w:r>
          </w:p>
        </w:tc>
        <w:tc>
          <w:tcPr>
            <w:tcW w:w="964" w:type="dxa"/>
            <w:vAlign w:val="center"/>
          </w:tcPr>
          <w:p w14:paraId="3E872EFA" w14:textId="6714ACE3" w:rsidR="003746AA" w:rsidRPr="00FF54F7" w:rsidRDefault="003746AA" w:rsidP="003746AA">
            <w:pPr>
              <w:pStyle w:val="TableTextColumnHeading"/>
            </w:pPr>
            <w:r w:rsidRPr="00FF54F7">
              <w:t xml:space="preserve">Current </w:t>
            </w:r>
            <w:r>
              <w:t>r</w:t>
            </w:r>
            <w:r w:rsidRPr="00FF54F7">
              <w:t>ating</w:t>
            </w:r>
          </w:p>
        </w:tc>
        <w:tc>
          <w:tcPr>
            <w:tcW w:w="1001" w:type="dxa"/>
            <w:vAlign w:val="center"/>
          </w:tcPr>
          <w:p w14:paraId="2CF5E117" w14:textId="1F3972CF" w:rsidR="003746AA" w:rsidRPr="00FF54F7" w:rsidRDefault="003746AA" w:rsidP="003746AA">
            <w:pPr>
              <w:pStyle w:val="TableTextColumnHeading"/>
            </w:pPr>
            <w:r w:rsidRPr="00FF54F7">
              <w:t xml:space="preserve">Previous </w:t>
            </w:r>
            <w:r>
              <w:t>r</w:t>
            </w:r>
            <w:r w:rsidRPr="00FF54F7">
              <w:t>ating</w:t>
            </w:r>
          </w:p>
        </w:tc>
      </w:tr>
      <w:tr w:rsidR="003746AA" w:rsidRPr="00FF54F7" w14:paraId="261814C9" w14:textId="77777777" w:rsidTr="003746AA">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0EC5F117" w14:textId="77777777" w:rsidR="003746AA" w:rsidRPr="00FF54F7" w:rsidRDefault="003746AA" w:rsidP="003746AA">
            <w:pPr>
              <w:pStyle w:val="TableTextEntries"/>
              <w:rPr>
                <w:szCs w:val="18"/>
              </w:rPr>
            </w:pPr>
            <w:r w:rsidRPr="00FF54F7">
              <w:t>Improved performance of electoral management bodies in managing and delivering quality elections (local and national)</w:t>
            </w:r>
          </w:p>
        </w:tc>
        <w:tc>
          <w:tcPr>
            <w:tcW w:w="964" w:type="dxa"/>
            <w:shd w:val="clear" w:color="auto" w:fill="F79646" w:themeFill="accent6"/>
            <w:noWrap/>
            <w:vAlign w:val="center"/>
          </w:tcPr>
          <w:p w14:paraId="5ABEAE09" w14:textId="77777777" w:rsidR="003746AA" w:rsidRPr="003746AA" w:rsidRDefault="003746AA" w:rsidP="003746AA">
            <w:pPr>
              <w:pStyle w:val="TableTextEntries"/>
            </w:pPr>
            <w:r w:rsidRPr="003746AA">
              <w:t>Amber</w:t>
            </w:r>
          </w:p>
        </w:tc>
        <w:tc>
          <w:tcPr>
            <w:tcW w:w="1001" w:type="dxa"/>
            <w:shd w:val="clear" w:color="auto" w:fill="F79646" w:themeFill="accent6"/>
            <w:noWrap/>
            <w:vAlign w:val="center"/>
          </w:tcPr>
          <w:p w14:paraId="63E6BE1C" w14:textId="77777777" w:rsidR="003746AA" w:rsidRPr="003746AA" w:rsidRDefault="003746AA" w:rsidP="003746AA">
            <w:pPr>
              <w:pStyle w:val="TableTextEntries"/>
            </w:pPr>
            <w:r w:rsidRPr="003746AA">
              <w:t>Amber</w:t>
            </w:r>
          </w:p>
        </w:tc>
      </w:tr>
      <w:tr w:rsidR="003746AA" w:rsidRPr="00FF54F7" w14:paraId="46B36131" w14:textId="77777777" w:rsidTr="003746AA">
        <w:trPr>
          <w:cantSplit/>
          <w:tblHeader w:val="0"/>
        </w:trPr>
        <w:tc>
          <w:tcPr>
            <w:tcW w:w="6048" w:type="dxa"/>
          </w:tcPr>
          <w:p w14:paraId="04E229FB" w14:textId="77777777" w:rsidR="003746AA" w:rsidRPr="00FF54F7" w:rsidRDefault="003746AA" w:rsidP="003746AA">
            <w:pPr>
              <w:pStyle w:val="TableTextEntries"/>
              <w:rPr>
                <w:szCs w:val="18"/>
              </w:rPr>
            </w:pPr>
            <w:r w:rsidRPr="00FF54F7">
              <w:t>Increased public engagement in Indonesia’s elections and electoral systems</w:t>
            </w:r>
          </w:p>
        </w:tc>
        <w:tc>
          <w:tcPr>
            <w:tcW w:w="964" w:type="dxa"/>
            <w:shd w:val="clear" w:color="auto" w:fill="F79646" w:themeFill="accent6"/>
            <w:noWrap/>
            <w:vAlign w:val="center"/>
          </w:tcPr>
          <w:p w14:paraId="7371362E" w14:textId="77777777" w:rsidR="003746AA" w:rsidRPr="003746AA" w:rsidRDefault="003746AA" w:rsidP="003746AA">
            <w:pPr>
              <w:pStyle w:val="TableTextEntries"/>
            </w:pPr>
            <w:r w:rsidRPr="003746AA">
              <w:t>Amber</w:t>
            </w:r>
          </w:p>
        </w:tc>
        <w:tc>
          <w:tcPr>
            <w:tcW w:w="1001" w:type="dxa"/>
            <w:shd w:val="clear" w:color="auto" w:fill="F79646" w:themeFill="accent6"/>
            <w:noWrap/>
            <w:vAlign w:val="center"/>
          </w:tcPr>
          <w:p w14:paraId="685958DF" w14:textId="77777777" w:rsidR="003746AA" w:rsidRPr="003746AA" w:rsidRDefault="003746AA" w:rsidP="003746AA">
            <w:pPr>
              <w:pStyle w:val="TableTextEntries"/>
            </w:pPr>
            <w:r w:rsidRPr="003746AA">
              <w:t>Amber</w:t>
            </w:r>
          </w:p>
        </w:tc>
      </w:tr>
    </w:tbl>
    <w:p w14:paraId="4088E303" w14:textId="77777777" w:rsidR="00FF54F7" w:rsidRPr="00FF54F7" w:rsidRDefault="00FF54F7" w:rsidP="003746AA">
      <w:pPr>
        <w:pStyle w:val="Note"/>
      </w:pPr>
      <w:r w:rsidRPr="00FF54F7">
        <w:t xml:space="preserve">Note: </w:t>
      </w:r>
    </w:p>
    <w:p w14:paraId="5E79AE33" w14:textId="77777777" w:rsidR="00FF54F7" w:rsidRPr="00FF54F7" w:rsidRDefault="00FF54F7" w:rsidP="003746AA">
      <w:pPr>
        <w:pStyle w:val="Note"/>
      </w:pPr>
      <w:r w:rsidRPr="00FF54F7">
        <w:rPr>
          <w:color w:val="92D050"/>
        </w:rPr>
        <w:sym w:font="Webdings" w:char="F067"/>
      </w:r>
      <w:r w:rsidRPr="00FF54F7">
        <w:t> </w:t>
      </w:r>
      <w:r w:rsidRPr="00FF54F7">
        <w:t xml:space="preserve"> </w:t>
      </w:r>
      <w:proofErr w:type="gramStart"/>
      <w:r w:rsidRPr="00FF54F7">
        <w:t>Green.</w:t>
      </w:r>
      <w:proofErr w:type="gramEnd"/>
      <w:r w:rsidRPr="00FF54F7">
        <w:t xml:space="preserve"> Progress is as expected for this point in time and it is likely that the objective will be achieved. Standard program management practices are sufficient.</w:t>
      </w:r>
    </w:p>
    <w:p w14:paraId="7D1CB8A2" w14:textId="77777777" w:rsidR="00FF54F7" w:rsidRPr="00FF54F7" w:rsidRDefault="00FF54F7" w:rsidP="003746AA">
      <w:pPr>
        <w:pStyle w:val="Note"/>
      </w:pPr>
      <w:r w:rsidRPr="00FF54F7">
        <w:rPr>
          <w:color w:val="F79646" w:themeColor="accent6"/>
        </w:rPr>
        <w:sym w:font="Webdings" w:char="F067"/>
      </w:r>
      <w:r w:rsidRPr="00FF54F7">
        <w:t> </w:t>
      </w:r>
      <w:r w:rsidRPr="00FF54F7">
        <w:t xml:space="preserve"> Amber. Progress is somewhat less than expected for this point in time and restorative action will be necessary if the objective is to be achieved. Close performance monitoring is recommended.</w:t>
      </w:r>
    </w:p>
    <w:p w14:paraId="51E42473" w14:textId="77777777" w:rsidR="00FF54F7" w:rsidRPr="00FF54F7" w:rsidRDefault="00FF54F7" w:rsidP="003746AA">
      <w:pPr>
        <w:pStyle w:val="Note"/>
      </w:pPr>
      <w:r w:rsidRPr="00FF54F7">
        <w:rPr>
          <w:color w:val="FF0000"/>
        </w:rPr>
        <w:sym w:font="Webdings" w:char="F067"/>
      </w:r>
      <w:r w:rsidRPr="00FF54F7">
        <w:t> </w:t>
      </w:r>
      <w:r w:rsidRPr="00FF54F7">
        <w:t xml:space="preserve"> </w:t>
      </w:r>
      <w:proofErr w:type="gramStart"/>
      <w:r w:rsidRPr="00FF54F7">
        <w:t>Red.</w:t>
      </w:r>
      <w:proofErr w:type="gramEnd"/>
      <w:r w:rsidRPr="00FF54F7">
        <w:t xml:space="preserve"> Progress is significantly less than expected for this point in time and the objective is not likely to be met given available resources and priorities. Recasting the objective may be required. </w:t>
      </w:r>
    </w:p>
    <w:p w14:paraId="38572486" w14:textId="77777777" w:rsidR="002950E7" w:rsidRDefault="002950E7" w:rsidP="002950E7">
      <w:pPr>
        <w:pStyle w:val="BodyText"/>
      </w:pPr>
    </w:p>
    <w:p w14:paraId="0220ECDE" w14:textId="79F629B7" w:rsidR="002950E7" w:rsidRDefault="002950E7" w:rsidP="002950E7">
      <w:pPr>
        <w:pStyle w:val="BodyText"/>
      </w:pPr>
      <w:r>
        <w:t xml:space="preserve">Indonesia is </w:t>
      </w:r>
      <w:r w:rsidR="00E228AF">
        <w:t xml:space="preserve">15 </w:t>
      </w:r>
      <w:r>
        <w:t>years into a democratic transition that has radically reshaped political processes and the relationship between citizens and the state. Entrenching a robust electoral system is a vital step in consolidating Indonesia’s democracy. Indonesia has held three parliamentary elections for national, provincial and district parliaments in 1999, 2004 and 2009</w:t>
      </w:r>
      <w:r w:rsidR="00093FA0">
        <w:t>,</w:t>
      </w:r>
      <w:r>
        <w:t xml:space="preserve"> and two direct presidential elections in 2004 and 2009, with the next to be held in 2014. A second cycle of five-yearly direct elections for 33 provincial governors and over 500 district/municipality heads is almost complete.</w:t>
      </w:r>
    </w:p>
    <w:p w14:paraId="442BBF5D" w14:textId="25D4D9DD" w:rsidR="002950E7" w:rsidRDefault="002950E7" w:rsidP="002950E7">
      <w:pPr>
        <w:pStyle w:val="BodyText"/>
      </w:pPr>
      <w:r>
        <w:t xml:space="preserve">Elections held in 1999 and 2004 resulted in smooth and orderly transitions of power. However the 2009 elections revealed a number of issues in the management of electoral systems and processes which, if not for incumbent President </w:t>
      </w:r>
      <w:proofErr w:type="spellStart"/>
      <w:r>
        <w:t>Susilo</w:t>
      </w:r>
      <w:proofErr w:type="spellEnd"/>
      <w:r>
        <w:t xml:space="preserve"> </w:t>
      </w:r>
      <w:proofErr w:type="spellStart"/>
      <w:r>
        <w:t>Bambang</w:t>
      </w:r>
      <w:proofErr w:type="spellEnd"/>
      <w:r>
        <w:t xml:space="preserve"> </w:t>
      </w:r>
      <w:proofErr w:type="spellStart"/>
      <w:r>
        <w:t>Yudhoyono’s</w:t>
      </w:r>
      <w:proofErr w:type="spellEnd"/>
      <w:r>
        <w:t xml:space="preserve"> significant winning margin, may have compromised the credibility of the election. Of most concern were inaccuracies in the voter list, errors in vote tabulation, and a high level of invalid votes. These issues were exacerbated by limitations in the human resource capacity of election management bodies, and an ambiguous and changing legislative framework. There was also a significant decrease in public participation in the electoral process</w:t>
      </w:r>
      <w:r w:rsidR="00093FA0">
        <w:t>––</w:t>
      </w:r>
      <w:r>
        <w:t xml:space="preserve">including election monitoring, </w:t>
      </w:r>
      <w:r w:rsidR="00093FA0">
        <w:t>observation</w:t>
      </w:r>
      <w:r w:rsidR="00093FA0" w:rsidDel="00093FA0">
        <w:t xml:space="preserve"> </w:t>
      </w:r>
      <w:r w:rsidR="00093FA0">
        <w:t>on election day</w:t>
      </w:r>
      <w:r>
        <w:t>, and voter education</w:t>
      </w:r>
      <w:r w:rsidR="00093FA0">
        <w:t>––</w:t>
      </w:r>
      <w:r>
        <w:t xml:space="preserve">in part due to funding constraints experienced by Indonesian civil society organisations. </w:t>
      </w:r>
    </w:p>
    <w:p w14:paraId="5D592DE6" w14:textId="12933DC8" w:rsidR="002950E7" w:rsidRDefault="002950E7" w:rsidP="002950E7">
      <w:pPr>
        <w:pStyle w:val="BodyText"/>
      </w:pPr>
      <w:r>
        <w:t>Australia’s support to this sector is delivered through the Australia</w:t>
      </w:r>
      <w:r w:rsidR="00093FA0">
        <w:t>–</w:t>
      </w:r>
      <w:r>
        <w:t xml:space="preserve">Indonesia Electoral Support Program, a five-year program </w:t>
      </w:r>
      <w:r w:rsidR="00093FA0">
        <w:t xml:space="preserve">from 2011–2015 </w:t>
      </w:r>
      <w:r>
        <w:t xml:space="preserve">of up to </w:t>
      </w:r>
      <w:r w:rsidR="008D1329">
        <w:t>$</w:t>
      </w:r>
      <w:r>
        <w:t xml:space="preserve">22 million. </w:t>
      </w:r>
      <w:r w:rsidR="00093FA0">
        <w:t xml:space="preserve">The program </w:t>
      </w:r>
      <w:r>
        <w:t xml:space="preserve">aims to support Indonesia’s efforts to conduct well-organised </w:t>
      </w:r>
      <w:r w:rsidR="00093FA0">
        <w:t xml:space="preserve">elections, </w:t>
      </w:r>
      <w:r>
        <w:t xml:space="preserve">and enhance the quality of </w:t>
      </w:r>
      <w:r w:rsidR="00093FA0">
        <w:t xml:space="preserve">elections, </w:t>
      </w:r>
      <w:r>
        <w:t xml:space="preserve">by building the capacity of electoral management bodies and increasing public engagement in electoral processes. Despite delays in </w:t>
      </w:r>
      <w:r w:rsidR="000A11DD">
        <w:t>Indonesian Government</w:t>
      </w:r>
      <w:r>
        <w:t xml:space="preserve"> approvals for some planned activities under </w:t>
      </w:r>
      <w:r w:rsidR="00093FA0">
        <w:t>the program</w:t>
      </w:r>
      <w:r>
        <w:t xml:space="preserve">, most </w:t>
      </w:r>
      <w:r w:rsidR="00093FA0">
        <w:t>were</w:t>
      </w:r>
      <w:r>
        <w:t xml:space="preserve"> implemented over the reporting period and delivered effective results. This included Australian support for Indonesia’s General Elections Commission to develop an accurate list of Indonesia’s approximately 190 million voters and a mechanism for allocating these voters to polling stations managed by over 500 field offices. The list will be used for the 2014 national elections and the open source software developed to generate it will likely be used to replicate the process for future elections. This will be the largest electronic election management system in the world and has already resulted in an international award for the </w:t>
      </w:r>
      <w:r w:rsidR="00093FA0">
        <w:t xml:space="preserve">General Elections Commission </w:t>
      </w:r>
      <w:r>
        <w:t xml:space="preserve">which acknowledges </w:t>
      </w:r>
      <w:r w:rsidR="00093FA0">
        <w:t xml:space="preserve">its </w:t>
      </w:r>
      <w:r>
        <w:t>innovati</w:t>
      </w:r>
      <w:r w:rsidR="00093FA0">
        <w:t>on</w:t>
      </w:r>
      <w:r>
        <w:t xml:space="preserve">. </w:t>
      </w:r>
    </w:p>
    <w:p w14:paraId="4142BC9A" w14:textId="25A8728F" w:rsidR="002950E7" w:rsidRDefault="00FF3496" w:rsidP="002950E7">
      <w:pPr>
        <w:pStyle w:val="BodyText"/>
      </w:pPr>
      <w:r>
        <w:t>Throughout 2012 and 2013</w:t>
      </w:r>
      <w:r w:rsidR="002950E7">
        <w:t xml:space="preserve">, Australia continued to support the long-standing and highly regarded relationship between the Australian Electoral Commission and the </w:t>
      </w:r>
      <w:r w:rsidR="00CA5B40">
        <w:t>General Elections Commission</w:t>
      </w:r>
      <w:r w:rsidR="002950E7">
        <w:t xml:space="preserve">. A key component of this support was the delivery of the Building Resources in Democracy, Governance and Elections (Election BRIDGE) program, a training </w:t>
      </w:r>
      <w:r w:rsidR="00CC2625">
        <w:t>initiative</w:t>
      </w:r>
      <w:r w:rsidR="002950E7">
        <w:t xml:space="preserve"> for election officials on internationally-regarded good practices in electoral management. In 2012, </w:t>
      </w:r>
      <w:r w:rsidR="00CA5B40">
        <w:lastRenderedPageBreak/>
        <w:t xml:space="preserve">the Australian Electoral Commission </w:t>
      </w:r>
      <w:r w:rsidR="002950E7">
        <w:t xml:space="preserve">delivered this training to over 365 </w:t>
      </w:r>
      <w:r w:rsidR="00CA5B40">
        <w:t xml:space="preserve">General Elections </w:t>
      </w:r>
      <w:r w:rsidR="002950E7">
        <w:t xml:space="preserve">commissioners and staff in 14 provinces, bringing the total number of provinces in which training has been delivered to 28. An </w:t>
      </w:r>
      <w:r w:rsidR="00CA5B40">
        <w:t xml:space="preserve">independent progress review </w:t>
      </w:r>
      <w:r w:rsidR="002950E7">
        <w:t xml:space="preserve">in 2012 found that the Election BRIDGE program provided a useful foundation for </w:t>
      </w:r>
      <w:r w:rsidR="00CA5B40">
        <w:t xml:space="preserve">General Elections Commission </w:t>
      </w:r>
      <w:r w:rsidR="002950E7">
        <w:t xml:space="preserve">staff in electoral administration, management and operations. At the </w:t>
      </w:r>
      <w:r w:rsidR="00CA5B40">
        <w:t xml:space="preserve">commission’s </w:t>
      </w:r>
      <w:r w:rsidR="002950E7">
        <w:t xml:space="preserve">request, </w:t>
      </w:r>
      <w:r w:rsidR="002E5E9F">
        <w:t>DFAT</w:t>
      </w:r>
      <w:r w:rsidR="002950E7">
        <w:t xml:space="preserve"> will continue to support this training </w:t>
      </w:r>
      <w:r w:rsidR="00CA5B40">
        <w:t>to</w:t>
      </w:r>
      <w:r w:rsidR="002950E7">
        <w:t xml:space="preserve"> reach the remaining </w:t>
      </w:r>
      <w:r w:rsidR="00CA5B40">
        <w:t xml:space="preserve">six </w:t>
      </w:r>
      <w:r w:rsidR="002950E7">
        <w:t xml:space="preserve">provinces. This will bring the total number of participants to 825. The </w:t>
      </w:r>
      <w:r w:rsidR="00CA5B40">
        <w:t xml:space="preserve">General Elections Commission </w:t>
      </w:r>
      <w:r w:rsidR="002950E7">
        <w:t xml:space="preserve">values this training, as evidenced by the fact that it is contributing one-third of the cost of delivering it. Australia expects that the </w:t>
      </w:r>
      <w:r w:rsidR="00CA5B40">
        <w:t xml:space="preserve">commission </w:t>
      </w:r>
      <w:r w:rsidR="002950E7">
        <w:t>will ultimately fund and deliver all Election BRIDGE training in Indonesia, though this is not likely to occur for several years.</w:t>
      </w:r>
    </w:p>
    <w:p w14:paraId="384A36F0" w14:textId="0358E053" w:rsidR="002950E7" w:rsidRDefault="002950E7" w:rsidP="002950E7">
      <w:pPr>
        <w:pStyle w:val="BodyText"/>
      </w:pPr>
      <w:r>
        <w:t xml:space="preserve">With </w:t>
      </w:r>
      <w:r w:rsidR="007F6D0E">
        <w:t>Australian</w:t>
      </w:r>
      <w:r>
        <w:t xml:space="preserve"> support, Aceh’s Independent Election Commission, in collaboration with local civil society organisations, developed and implemented a voter education program in the lead-up to Aceh’s gubernatorial elections in April 2012. A poll conducted by the International Foundation for Electoral System found that there had been a significant improvement in public knowledge of the elections</w:t>
      </w:r>
      <w:r w:rsidR="00CC2625">
        <w:t xml:space="preserve"> as a result of this initiative</w:t>
      </w:r>
      <w:r>
        <w:t xml:space="preserve">—in December 2011, 79 per cent of voters felt they lacked information on the election process, a number which had reduced to 59 per cent two weeks before the election. In combination with other initiatives, including the </w:t>
      </w:r>
      <w:r w:rsidR="007F6D0E">
        <w:t>Australian</w:t>
      </w:r>
      <w:r>
        <w:t xml:space="preserve">-supported Aceh Electoral Monitoring Agency </w:t>
      </w:r>
      <w:r w:rsidR="00CA5B40">
        <w:t>call centre</w:t>
      </w:r>
      <w:r>
        <w:t>, this increased public confidence in the electoral process and contributed to 76 per cent of voters casting a vote on the day compared to an average of less than 69 per cent in other sub-national elections during the reporting period.</w:t>
      </w:r>
    </w:p>
    <w:p w14:paraId="122A6A9C" w14:textId="03A2856E" w:rsidR="002950E7" w:rsidRDefault="002950E7" w:rsidP="002950E7">
      <w:pPr>
        <w:pStyle w:val="BodyText"/>
      </w:pPr>
      <w:r>
        <w:t xml:space="preserve">Delays in annual work plan approvals from the </w:t>
      </w:r>
      <w:r w:rsidR="000A11DD">
        <w:t>Indonesian Government</w:t>
      </w:r>
      <w:r>
        <w:t xml:space="preserve"> postponed the implementation of </w:t>
      </w:r>
      <w:r w:rsidR="00CA5B40">
        <w:t>Australia–Indonesia Electoral Support Program</w:t>
      </w:r>
      <w:r w:rsidR="00CA5B40" w:rsidDel="00CA5B40">
        <w:t xml:space="preserve"> </w:t>
      </w:r>
      <w:r>
        <w:t xml:space="preserve">activities due to commence between August 2012 and April 2013, which included the vast majority of planned Australian support for increased public engagement in Indonesia’s elections and electoral systems. </w:t>
      </w:r>
      <w:r w:rsidR="00B01A52">
        <w:t xml:space="preserve">Australian-supported </w:t>
      </w:r>
      <w:r>
        <w:t>activities relating to civil society participation in drafting election regulations</w:t>
      </w:r>
      <w:r w:rsidR="00B01A52">
        <w:t xml:space="preserve"> were subsequently cancelled</w:t>
      </w:r>
      <w:r>
        <w:t xml:space="preserve">, as the lack of time remaining would have compromised the effectiveness of this support. The civil society component of </w:t>
      </w:r>
      <w:r w:rsidR="00CA5B40">
        <w:t xml:space="preserve">the Australia–Indonesia Electoral Support Program </w:t>
      </w:r>
      <w:r>
        <w:t>will instead focus on voter education and election monitoring. These issues remain very relevant</w:t>
      </w:r>
      <w:r w:rsidR="00CA5B40">
        <w:t>,</w:t>
      </w:r>
      <w:r>
        <w:t xml:space="preserve"> although voter participation rates in Indonesian elections are high relative to well-established democracies, </w:t>
      </w:r>
      <w:r w:rsidR="00CA5B40">
        <w:t xml:space="preserve">and </w:t>
      </w:r>
      <w:r>
        <w:t xml:space="preserve">electoral experts doubt that the </w:t>
      </w:r>
      <w:r w:rsidR="000A11DD">
        <w:t>Indonesian Government</w:t>
      </w:r>
      <w:r>
        <w:t xml:space="preserve">’s target of increasing voter participation in the 2014 national elections to 75 per cent can be met. Civil society organisations also report a decline in independent monitoring of elections, despite continued claims of misadministration. </w:t>
      </w:r>
    </w:p>
    <w:p w14:paraId="41B7746F" w14:textId="5C54B0A9" w:rsidR="00562CC4" w:rsidRDefault="002950E7" w:rsidP="002950E7">
      <w:pPr>
        <w:pStyle w:val="BodyText"/>
      </w:pPr>
      <w:r>
        <w:t xml:space="preserve">While a large part of Australia’s electoral support delivered through civil society organisations did not commence until April 2013, </w:t>
      </w:r>
      <w:r w:rsidR="00B01A52">
        <w:t>Australia</w:t>
      </w:r>
      <w:r>
        <w:t xml:space="preserve"> did fund several effective civil society-driven activities associated with sub-national elections during the reporting period. For the South Sulawesi gubernatorial elections, for example, </w:t>
      </w:r>
      <w:r w:rsidR="000767AE">
        <w:t xml:space="preserve">Australian support </w:t>
      </w:r>
      <w:r>
        <w:t xml:space="preserve">funded a women’s organisation called </w:t>
      </w:r>
      <w:proofErr w:type="spellStart"/>
      <w:r>
        <w:t>Solidaritas</w:t>
      </w:r>
      <w:proofErr w:type="spellEnd"/>
      <w:r>
        <w:t xml:space="preserve"> </w:t>
      </w:r>
      <w:proofErr w:type="spellStart"/>
      <w:r>
        <w:t>Perempuan</w:t>
      </w:r>
      <w:proofErr w:type="spellEnd"/>
      <w:r>
        <w:t xml:space="preserve"> to involve 1250 local women in the provincial capital Makassar and two surrounding districts in develop</w:t>
      </w:r>
      <w:r w:rsidR="00562CC4">
        <w:t xml:space="preserve">ing </w:t>
      </w:r>
      <w:r>
        <w:t xml:space="preserve">a charter outlining the 18 most important issues these women wanted candidates for office to address. </w:t>
      </w:r>
    </w:p>
    <w:p w14:paraId="004898D9" w14:textId="60FDEFD3" w:rsidR="002950E7" w:rsidRDefault="002950E7" w:rsidP="002950E7">
      <w:pPr>
        <w:pStyle w:val="BodyText"/>
      </w:pPr>
      <w:r>
        <w:t xml:space="preserve">The charter received extensive coverage in print, broadcast and online media, and the </w:t>
      </w:r>
      <w:r w:rsidR="00562CC4">
        <w:t xml:space="preserve">chair </w:t>
      </w:r>
      <w:r>
        <w:t xml:space="preserve">of the Makassar Electoral Commission acknowledged it had helped increase women’s engagement in the election. </w:t>
      </w:r>
      <w:r w:rsidR="00562CC4">
        <w:t>For</w:t>
      </w:r>
      <w:r>
        <w:t xml:space="preserve"> the same election, </w:t>
      </w:r>
      <w:r w:rsidR="000767AE">
        <w:t>Australia</w:t>
      </w:r>
      <w:r>
        <w:t xml:space="preserve"> also funded a local civil society network to verify election results through an independent SMS-based parallel vote tabulation system covering the entire Makassar municipality—over 2000 polling stations. This was the first time such a process had been implemented in Indonesia at this scale and the South Sulawesi Electoral Commission has expressed interest in learning more about the approach following unsuccessful efforts to implement its own SMS-based parallel vote tabulation system.</w:t>
      </w:r>
      <w:r w:rsidR="00562CC4">
        <w:t xml:space="preserve"> </w:t>
      </w:r>
      <w:r w:rsidR="006B5929">
        <w:t xml:space="preserve">There was </w:t>
      </w:r>
      <w:r w:rsidRPr="002950E7">
        <w:t xml:space="preserve">a long delay in the implementation of many electoral support activities due to delays in the approval of the 2013 work plan by the </w:t>
      </w:r>
      <w:r w:rsidR="000A11DD">
        <w:t>Indonesian Government</w:t>
      </w:r>
      <w:r w:rsidRPr="002950E7">
        <w:t xml:space="preserve">. </w:t>
      </w:r>
      <w:r w:rsidR="000767AE">
        <w:t xml:space="preserve">Due to the </w:t>
      </w:r>
      <w:r w:rsidR="000767AE">
        <w:lastRenderedPageBreak/>
        <w:t xml:space="preserve">limited time left available, Australian-supported </w:t>
      </w:r>
      <w:r w:rsidRPr="002950E7">
        <w:t>activities on civil society participation in drafting electoral management regulations</w:t>
      </w:r>
      <w:r w:rsidR="000767AE">
        <w:t xml:space="preserve"> </w:t>
      </w:r>
      <w:r w:rsidRPr="002950E7">
        <w:t xml:space="preserve">would have been ineffective </w:t>
      </w:r>
      <w:r w:rsidR="000767AE">
        <w:t xml:space="preserve">and were cancelled. </w:t>
      </w:r>
    </w:p>
    <w:p w14:paraId="7C1C7CD1" w14:textId="20E90D4A" w:rsidR="00FF54F7" w:rsidRPr="00FF54F7" w:rsidRDefault="00FF54F7" w:rsidP="003746AA">
      <w:pPr>
        <w:pStyle w:val="Heading2"/>
      </w:pPr>
      <w:bookmarkStart w:id="78" w:name="_Toc363768597"/>
      <w:bookmarkStart w:id="79" w:name="_Toc363804133"/>
      <w:r w:rsidRPr="00FF54F7">
        <w:t xml:space="preserve">Management </w:t>
      </w:r>
      <w:r w:rsidR="00F81534">
        <w:t>c</w:t>
      </w:r>
      <w:r w:rsidR="00F81534" w:rsidRPr="00FF54F7">
        <w:t>onsequences</w:t>
      </w:r>
      <w:bookmarkEnd w:id="78"/>
      <w:bookmarkEnd w:id="79"/>
    </w:p>
    <w:p w14:paraId="6BED62C6" w14:textId="16F847F0" w:rsidR="0062642C" w:rsidRPr="003746AA" w:rsidRDefault="0062642C" w:rsidP="003746AA">
      <w:pPr>
        <w:pStyle w:val="BodyText"/>
      </w:pPr>
      <w:r w:rsidRPr="003746AA">
        <w:t>Management consequences for 2013</w:t>
      </w:r>
      <w:r w:rsidR="00F81534" w:rsidRPr="003746AA">
        <w:t>–</w:t>
      </w:r>
      <w:r w:rsidRPr="003746AA">
        <w:t xml:space="preserve">14 </w:t>
      </w:r>
      <w:r w:rsidR="00F81534" w:rsidRPr="003746AA">
        <w:t>include</w:t>
      </w:r>
      <w:r w:rsidRPr="003746AA">
        <w:t xml:space="preserve">: </w:t>
      </w:r>
    </w:p>
    <w:p w14:paraId="0CF3301B" w14:textId="561154AD" w:rsidR="0062642C" w:rsidRDefault="00562CC4" w:rsidP="003746AA">
      <w:pPr>
        <w:pStyle w:val="ListBullet"/>
      </w:pPr>
      <w:r>
        <w:t>R</w:t>
      </w:r>
      <w:r w:rsidR="0062642C">
        <w:t xml:space="preserve">eassess the </w:t>
      </w:r>
      <w:r>
        <w:t xml:space="preserve">monitoring and evaluation framework </w:t>
      </w:r>
      <w:r w:rsidR="0062642C">
        <w:t xml:space="preserve">for </w:t>
      </w:r>
      <w:r>
        <w:t xml:space="preserve">the Australia–Indonesia Electoral Support Program </w:t>
      </w:r>
      <w:r w:rsidR="0062642C">
        <w:t>based on this development.</w:t>
      </w:r>
    </w:p>
    <w:p w14:paraId="68893E1E" w14:textId="0DFB9FE3" w:rsidR="0062642C" w:rsidRDefault="00562CC4" w:rsidP="003746AA">
      <w:pPr>
        <w:pStyle w:val="ListBullet"/>
      </w:pPr>
      <w:r>
        <w:t>C</w:t>
      </w:r>
      <w:r w:rsidR="0062642C">
        <w:t xml:space="preserve">onsult with other donors and support </w:t>
      </w:r>
      <w:r w:rsidR="009F53DE">
        <w:t xml:space="preserve">the </w:t>
      </w:r>
      <w:r w:rsidR="009F53DE" w:rsidRPr="00BD7A1D">
        <w:t>National Development Planning Agency</w:t>
      </w:r>
      <w:r w:rsidR="009F53DE" w:rsidDel="009F53DE">
        <w:t xml:space="preserve"> </w:t>
      </w:r>
      <w:r w:rsidR="0062642C">
        <w:t>to develop simpler approval mechanisms for international electoral support to Indonesia.</w:t>
      </w:r>
    </w:p>
    <w:p w14:paraId="7420FB95" w14:textId="60707D8E" w:rsidR="0062642C" w:rsidRDefault="00562CC4" w:rsidP="003746AA">
      <w:pPr>
        <w:pStyle w:val="ListBullet"/>
      </w:pPr>
      <w:r>
        <w:t>M</w:t>
      </w:r>
      <w:r w:rsidR="0062642C">
        <w:t xml:space="preserve">anage political risks associated with Australia’s electoral support by requiring all international </w:t>
      </w:r>
      <w:r w:rsidR="00CA5B40">
        <w:t xml:space="preserve">non-government </w:t>
      </w:r>
      <w:r w:rsidR="0062642C">
        <w:t>partners to deliver support through independent local organisations which are registered under relevant Indonesian laws, and by continuing to ensure that international implementing partners are not accessing raw population data.</w:t>
      </w:r>
    </w:p>
    <w:p w14:paraId="7FFD383F" w14:textId="347FB407" w:rsidR="00FF54F7" w:rsidRPr="00CC2625" w:rsidRDefault="009D3674" w:rsidP="003746AA">
      <w:pPr>
        <w:pStyle w:val="BodyText"/>
        <w:rPr>
          <w:color w:val="BFBFBF" w:themeColor="background1" w:themeShade="BF"/>
        </w:rPr>
      </w:pPr>
      <w:r w:rsidRPr="00CC2625">
        <w:t>The follow</w:t>
      </w:r>
      <w:r w:rsidR="00562CC4" w:rsidRPr="00CC2625">
        <w:t>-</w:t>
      </w:r>
      <w:r w:rsidRPr="00CC2625">
        <w:t xml:space="preserve">up of management consequences from the 2011 annual program performance report can be found in </w:t>
      </w:r>
      <w:r w:rsidRPr="00CC2625">
        <w:rPr>
          <w:b/>
        </w:rPr>
        <w:t>Annex B</w:t>
      </w:r>
      <w:r w:rsidRPr="00CC2625">
        <w:t>.</w:t>
      </w:r>
    </w:p>
    <w:p w14:paraId="3063BB3B" w14:textId="77777777" w:rsidR="00FF54F7" w:rsidRPr="00FF54F7" w:rsidRDefault="00FF54F7" w:rsidP="003746AA">
      <w:pPr>
        <w:pStyle w:val="Heading1"/>
      </w:pPr>
      <w:bookmarkStart w:id="80" w:name="_Toc359585109"/>
      <w:bookmarkStart w:id="81" w:name="_Toc363804134"/>
      <w:r w:rsidRPr="00FF54F7">
        <w:t>Law and justice</w:t>
      </w:r>
      <w:bookmarkEnd w:id="80"/>
      <w:bookmarkEnd w:id="81"/>
      <w:r w:rsidRPr="00FF54F7">
        <w:t xml:space="preserve"> </w:t>
      </w:r>
    </w:p>
    <w:tbl>
      <w:tblPr>
        <w:tblStyle w:val="APPR9"/>
        <w:tblW w:w="5000" w:type="pct"/>
        <w:tblLayout w:type="fixed"/>
        <w:tblLook w:val="0000" w:firstRow="0" w:lastRow="0" w:firstColumn="0" w:lastColumn="0" w:noHBand="0" w:noVBand="0"/>
      </w:tblPr>
      <w:tblGrid>
        <w:gridCol w:w="6453"/>
        <w:gridCol w:w="1050"/>
        <w:gridCol w:w="1103"/>
      </w:tblGrid>
      <w:tr w:rsidR="003746AA" w:rsidRPr="00FF54F7" w14:paraId="0DF42C21" w14:textId="77777777" w:rsidTr="003746AA">
        <w:trPr>
          <w:cantSplit/>
          <w:tblHeader w:val="0"/>
        </w:trPr>
        <w:tc>
          <w:tcPr>
            <w:tcW w:w="6048" w:type="dxa"/>
          </w:tcPr>
          <w:p w14:paraId="7D128119" w14:textId="77777777" w:rsidR="003746AA" w:rsidRPr="00FF54F7" w:rsidRDefault="003746AA" w:rsidP="003746AA">
            <w:pPr>
              <w:pStyle w:val="TableTextColumnHeading"/>
            </w:pPr>
            <w:r w:rsidRPr="00FF54F7">
              <w:rPr>
                <w:noProof/>
                <w:lang w:eastAsia="en-AU"/>
              </w:rPr>
              <w:drawing>
                <wp:anchor distT="0" distB="0" distL="114300" distR="114300" simplePos="0" relativeHeight="251720704" behindDoc="0" locked="0" layoutInCell="1" allowOverlap="1" wp14:anchorId="2CA7934D" wp14:editId="33CAC7D1">
                  <wp:simplePos x="0" y="0"/>
                  <wp:positionH relativeFrom="column">
                    <wp:posOffset>0</wp:posOffset>
                  </wp:positionH>
                  <wp:positionV relativeFrom="paragraph">
                    <wp:posOffset>0</wp:posOffset>
                  </wp:positionV>
                  <wp:extent cx="1857375" cy="228600"/>
                  <wp:effectExtent l="0" t="0" r="9525" b="0"/>
                  <wp:wrapNone/>
                  <wp:docPr id="29" name="Picture 2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4F7">
              <w:t>Objective</w:t>
            </w:r>
          </w:p>
        </w:tc>
        <w:tc>
          <w:tcPr>
            <w:tcW w:w="964" w:type="dxa"/>
            <w:vAlign w:val="center"/>
          </w:tcPr>
          <w:p w14:paraId="49EFA4E7" w14:textId="222A442A" w:rsidR="003746AA" w:rsidRPr="00FF54F7" w:rsidRDefault="003746AA" w:rsidP="003746AA">
            <w:pPr>
              <w:pStyle w:val="TableTextColumnHeading"/>
            </w:pPr>
            <w:r w:rsidRPr="00FF54F7">
              <w:t xml:space="preserve">Current </w:t>
            </w:r>
            <w:r>
              <w:t>r</w:t>
            </w:r>
            <w:r w:rsidRPr="00FF54F7">
              <w:t>ating</w:t>
            </w:r>
          </w:p>
        </w:tc>
        <w:tc>
          <w:tcPr>
            <w:tcW w:w="1001" w:type="dxa"/>
            <w:vAlign w:val="center"/>
          </w:tcPr>
          <w:p w14:paraId="5A76785B" w14:textId="4A85CE02" w:rsidR="003746AA" w:rsidRPr="00FF54F7" w:rsidRDefault="003746AA" w:rsidP="003746AA">
            <w:pPr>
              <w:pStyle w:val="TableTextColumnHeading"/>
            </w:pPr>
            <w:r w:rsidRPr="00FF54F7">
              <w:t xml:space="preserve">Previous </w:t>
            </w:r>
            <w:r>
              <w:t>r</w:t>
            </w:r>
            <w:r w:rsidRPr="00FF54F7">
              <w:t>ating</w:t>
            </w:r>
          </w:p>
        </w:tc>
      </w:tr>
      <w:tr w:rsidR="003746AA" w:rsidRPr="00FF54F7" w14:paraId="3C1BA4D2" w14:textId="77777777" w:rsidTr="003746AA">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6B4DA522" w14:textId="77777777" w:rsidR="003746AA" w:rsidRPr="00FF54F7" w:rsidRDefault="003746AA" w:rsidP="003746AA">
            <w:pPr>
              <w:pStyle w:val="TableTextEntries"/>
            </w:pPr>
            <w:r w:rsidRPr="00FF54F7">
              <w:t>Courts and anti-corruption prosecutors are delivering better quality legal information and services</w:t>
            </w:r>
          </w:p>
        </w:tc>
        <w:tc>
          <w:tcPr>
            <w:tcW w:w="964" w:type="dxa"/>
            <w:shd w:val="clear" w:color="auto" w:fill="F79646" w:themeFill="accent6"/>
            <w:noWrap/>
            <w:vAlign w:val="center"/>
          </w:tcPr>
          <w:p w14:paraId="1CC4FD91" w14:textId="77777777" w:rsidR="003746AA" w:rsidRPr="003746AA" w:rsidRDefault="003746AA" w:rsidP="003746AA">
            <w:pPr>
              <w:pStyle w:val="TableTextEntries"/>
            </w:pPr>
            <w:r w:rsidRPr="003746AA">
              <w:t>Amber</w:t>
            </w:r>
          </w:p>
        </w:tc>
        <w:tc>
          <w:tcPr>
            <w:tcW w:w="1001" w:type="dxa"/>
            <w:shd w:val="clear" w:color="auto" w:fill="F79646" w:themeFill="accent6"/>
            <w:noWrap/>
            <w:vAlign w:val="center"/>
          </w:tcPr>
          <w:p w14:paraId="5F8994BB" w14:textId="77777777" w:rsidR="003746AA" w:rsidRPr="003746AA" w:rsidRDefault="003746AA" w:rsidP="003746AA">
            <w:pPr>
              <w:pStyle w:val="TableTextEntries"/>
            </w:pPr>
            <w:r w:rsidRPr="003746AA">
              <w:t>Amber</w:t>
            </w:r>
          </w:p>
        </w:tc>
      </w:tr>
      <w:tr w:rsidR="003746AA" w:rsidRPr="00FF54F7" w14:paraId="5B63A400" w14:textId="77777777" w:rsidTr="003746AA">
        <w:trPr>
          <w:cantSplit/>
          <w:tblHeader w:val="0"/>
        </w:trPr>
        <w:tc>
          <w:tcPr>
            <w:tcW w:w="6048" w:type="dxa"/>
          </w:tcPr>
          <w:p w14:paraId="0B8EF2CB" w14:textId="77777777" w:rsidR="003746AA" w:rsidRPr="00FF54F7" w:rsidRDefault="003746AA" w:rsidP="003746AA">
            <w:pPr>
              <w:pStyle w:val="TableTextEntries"/>
            </w:pPr>
            <w:r w:rsidRPr="00FF54F7">
              <w:t>A greater number of poor and marginalised Indonesians are able to access legal aid services and legal identity documents (</w:t>
            </w:r>
            <w:r w:rsidRPr="00FF54F7">
              <w:rPr>
                <w:i/>
              </w:rPr>
              <w:t>revised objective</w:t>
            </w:r>
            <w:r w:rsidRPr="00FF54F7">
              <w:t>)</w:t>
            </w:r>
          </w:p>
        </w:tc>
        <w:tc>
          <w:tcPr>
            <w:tcW w:w="964" w:type="dxa"/>
            <w:shd w:val="clear" w:color="auto" w:fill="F79646" w:themeFill="accent6"/>
            <w:noWrap/>
            <w:vAlign w:val="center"/>
          </w:tcPr>
          <w:p w14:paraId="06051BCF" w14:textId="77777777" w:rsidR="003746AA" w:rsidRPr="003746AA" w:rsidRDefault="003746AA" w:rsidP="003746AA">
            <w:pPr>
              <w:pStyle w:val="TableTextEntries"/>
            </w:pPr>
            <w:r w:rsidRPr="003746AA">
              <w:t>Amber</w:t>
            </w:r>
          </w:p>
        </w:tc>
        <w:tc>
          <w:tcPr>
            <w:tcW w:w="1001" w:type="dxa"/>
            <w:shd w:val="clear" w:color="auto" w:fill="auto"/>
            <w:noWrap/>
            <w:vAlign w:val="center"/>
          </w:tcPr>
          <w:p w14:paraId="1A557484" w14:textId="77777777" w:rsidR="003746AA" w:rsidRPr="003746AA" w:rsidRDefault="003746AA" w:rsidP="003746AA">
            <w:pPr>
              <w:pStyle w:val="TableTextEntries"/>
            </w:pPr>
            <w:r w:rsidRPr="003746AA">
              <w:t>N/A</w:t>
            </w:r>
          </w:p>
        </w:tc>
      </w:tr>
    </w:tbl>
    <w:p w14:paraId="039A2B93" w14:textId="77777777" w:rsidR="00FF54F7" w:rsidRPr="00FF54F7" w:rsidRDefault="00FF54F7" w:rsidP="003746AA">
      <w:pPr>
        <w:pStyle w:val="Note"/>
      </w:pPr>
      <w:r w:rsidRPr="00FF54F7">
        <w:t xml:space="preserve">Note: </w:t>
      </w:r>
    </w:p>
    <w:p w14:paraId="4C86651E" w14:textId="77777777" w:rsidR="00FF54F7" w:rsidRPr="00FF54F7" w:rsidRDefault="00FF54F7" w:rsidP="003746AA">
      <w:pPr>
        <w:pStyle w:val="Note"/>
      </w:pPr>
      <w:r w:rsidRPr="00FF54F7">
        <w:rPr>
          <w:color w:val="92D050"/>
        </w:rPr>
        <w:sym w:font="Webdings" w:char="F067"/>
      </w:r>
      <w:r w:rsidRPr="00FF54F7">
        <w:t> </w:t>
      </w:r>
      <w:r w:rsidRPr="00FF54F7">
        <w:t xml:space="preserve"> </w:t>
      </w:r>
      <w:proofErr w:type="gramStart"/>
      <w:r w:rsidRPr="00FF54F7">
        <w:t>Green.</w:t>
      </w:r>
      <w:proofErr w:type="gramEnd"/>
      <w:r w:rsidRPr="00FF54F7">
        <w:t xml:space="preserve"> Progress is as expected for this point in time and it is likely that the objective will be achieved. Standard program management practices are sufficient.</w:t>
      </w:r>
    </w:p>
    <w:p w14:paraId="5AE20B03" w14:textId="77777777" w:rsidR="00FF54F7" w:rsidRPr="00FF54F7" w:rsidRDefault="00FF54F7" w:rsidP="003746AA">
      <w:pPr>
        <w:pStyle w:val="Note"/>
      </w:pPr>
      <w:r w:rsidRPr="00FF54F7">
        <w:rPr>
          <w:color w:val="F79646" w:themeColor="accent6"/>
        </w:rPr>
        <w:sym w:font="Webdings" w:char="F067"/>
      </w:r>
      <w:r w:rsidRPr="00FF54F7">
        <w:t> </w:t>
      </w:r>
      <w:r w:rsidRPr="00FF54F7">
        <w:t xml:space="preserve"> Amber. Progress is somewhat less than expected for this point in time and restorative action will be necessary if the objective is to be achieved. Close performance monitoring is recommended.</w:t>
      </w:r>
    </w:p>
    <w:p w14:paraId="2CCD4723" w14:textId="77777777" w:rsidR="00FF54F7" w:rsidRPr="00FF54F7" w:rsidRDefault="00FF54F7" w:rsidP="003746AA">
      <w:pPr>
        <w:pStyle w:val="Note"/>
      </w:pPr>
      <w:r w:rsidRPr="00FF54F7">
        <w:rPr>
          <w:color w:val="FF0000"/>
        </w:rPr>
        <w:sym w:font="Webdings" w:char="F067"/>
      </w:r>
      <w:r w:rsidRPr="00FF54F7">
        <w:t> </w:t>
      </w:r>
      <w:r w:rsidRPr="00FF54F7">
        <w:t xml:space="preserve"> </w:t>
      </w:r>
      <w:proofErr w:type="gramStart"/>
      <w:r w:rsidRPr="00FF54F7">
        <w:t>Red.</w:t>
      </w:r>
      <w:proofErr w:type="gramEnd"/>
      <w:r w:rsidRPr="00FF54F7">
        <w:t xml:space="preserve"> Progress is significantly less than expected for this point in time and the objective is not likely to be met given available resources and priorities. Recasting the objective may be required. </w:t>
      </w:r>
    </w:p>
    <w:p w14:paraId="5A2EC369" w14:textId="77777777" w:rsidR="00665336" w:rsidRDefault="00665336" w:rsidP="00665336">
      <w:pPr>
        <w:pStyle w:val="BodyText"/>
      </w:pPr>
    </w:p>
    <w:p w14:paraId="4F0B67BD" w14:textId="111662DA" w:rsidR="00665336" w:rsidRDefault="00665336" w:rsidP="00665336">
      <w:pPr>
        <w:pStyle w:val="BodyText"/>
      </w:pPr>
      <w:r>
        <w:t>Indonesia’s judiciary was separated from the executive arm of government less than a decade ago. While the country’s courts have made strong progress during this time in establishing their independence, and reforms have been introduced to enhance the performance of other law and justice agencies, the Indonesian public continues to be sceptical about the quality and accessibility of justice services. The vast majority of Indonesians still seek to resolve disputes on the basis of traditional laws or customs believing it to be quicker, cheaper and less disruptive to social harmony than the formal alternative.</w:t>
      </w:r>
      <w:r w:rsidR="00B525E5">
        <w:t xml:space="preserve"> </w:t>
      </w:r>
      <w:r>
        <w:t>Despite its many positive features, non-state justice does not provide a wholly satisfactory alternative in all circumstances.</w:t>
      </w:r>
      <w:r w:rsidR="00B525E5">
        <w:t xml:space="preserve"> </w:t>
      </w:r>
      <w:r>
        <w:t>Power imbalances can skew decisions in favour of the more powerful party, decision</w:t>
      </w:r>
      <w:r w:rsidR="00CC2625">
        <w:t>-</w:t>
      </w:r>
      <w:r>
        <w:t>making may be arbitrary owing to an absence of accountability mechanisms</w:t>
      </w:r>
      <w:r w:rsidR="00C96783">
        <w:t>,</w:t>
      </w:r>
      <w:r>
        <w:t xml:space="preserve"> and discrimination against women and minority groups is common.</w:t>
      </w:r>
      <w:r w:rsidR="00B525E5">
        <w:t xml:space="preserve"> </w:t>
      </w:r>
      <w:r>
        <w:t xml:space="preserve">Furthermore, non-state justice mechanisms are often ineffective as the complexity of dispute increases, particularly when it involves parties beyond </w:t>
      </w:r>
      <w:r w:rsidR="00C96783">
        <w:t xml:space="preserve">the authority of </w:t>
      </w:r>
      <w:r>
        <w:t>village leaders</w:t>
      </w:r>
      <w:r w:rsidR="00C96783">
        <w:t>,</w:t>
      </w:r>
      <w:r>
        <w:t xml:space="preserve"> such as private companies, local governments or residents of neighbouring villages.</w:t>
      </w:r>
      <w:r w:rsidR="00B525E5">
        <w:t xml:space="preserve"> </w:t>
      </w:r>
      <w:r>
        <w:t xml:space="preserve">Ensuring that citizens have access to the formal justice system is therefore important. Poor and marginalised justice seekers face particularly high barriers to access the formal justice system, stemming from a lack of public awareness about legal rights, persistent corruption and the high cost of services. These barriers are recognised by </w:t>
      </w:r>
      <w:r w:rsidR="000A11DD">
        <w:t>Indonesian Government</w:t>
      </w:r>
      <w:r>
        <w:t xml:space="preserve"> policy, including the National Strategy on Access to Justice and National Strategy on Corruption Eradication. Australia’s aid to Indonesia’s law and justice </w:t>
      </w:r>
      <w:r>
        <w:lastRenderedPageBreak/>
        <w:t xml:space="preserve">sectors aligns with these strategies and also with the 2011 </w:t>
      </w:r>
      <w:r w:rsidR="00C96783">
        <w:t>legal aid law</w:t>
      </w:r>
      <w:r>
        <w:t>, which is being implemented in 2013 and is likely to mean that Indonesia’s national budget will</w:t>
      </w:r>
      <w:r w:rsidR="00C96783">
        <w:t>,</w:t>
      </w:r>
      <w:r>
        <w:t xml:space="preserve"> for the first time ever</w:t>
      </w:r>
      <w:r w:rsidR="00C96783">
        <w:t>,</w:t>
      </w:r>
      <w:r>
        <w:t xml:space="preserve"> make public funding available for poor people to access legal advice and representation.</w:t>
      </w:r>
    </w:p>
    <w:p w14:paraId="324B84FB" w14:textId="22DB11ED" w:rsidR="00C96783" w:rsidRDefault="00665336" w:rsidP="00665336">
      <w:pPr>
        <w:pStyle w:val="BodyText"/>
      </w:pPr>
      <w:r>
        <w:t xml:space="preserve">Australia’s support for Indonesia’s law and justice sector is delivered primarily through the </w:t>
      </w:r>
      <w:r w:rsidR="000A11DD">
        <w:t>Australia–Indonesia</w:t>
      </w:r>
      <w:r>
        <w:t xml:space="preserve"> Partnership for Justice. Following an independent review</w:t>
      </w:r>
      <w:r w:rsidR="00CC2625">
        <w:t>,</w:t>
      </w:r>
      <w:r>
        <w:t xml:space="preserve"> which concluded in late 2012, </w:t>
      </w:r>
      <w:r w:rsidR="00C96783">
        <w:t xml:space="preserve">the partnership </w:t>
      </w:r>
      <w:r>
        <w:t xml:space="preserve">now focuses on realising the rights of the poor and marginalised, particularly poor women, vulnerable children and people with disability. This approach brings Australia’s assistance in this sector more closely into line with the fundamental purpose of Australian aid to help people overcome poverty. It centres on three key rights: </w:t>
      </w:r>
    </w:p>
    <w:p w14:paraId="6E35B9E0" w14:textId="50F686F7" w:rsidR="00C96783" w:rsidRDefault="00665336" w:rsidP="003746AA">
      <w:pPr>
        <w:pStyle w:val="ListBullet"/>
      </w:pPr>
      <w:r>
        <w:t>the right to legal identity (birth, marriage and divorce certificates) and the socio-economic rights which flow from this</w:t>
      </w:r>
    </w:p>
    <w:p w14:paraId="223E364E" w14:textId="6EC7BA81" w:rsidR="00C96783" w:rsidRDefault="00665336" w:rsidP="003746AA">
      <w:pPr>
        <w:pStyle w:val="ListBullet"/>
      </w:pPr>
      <w:r>
        <w:t>the right to fair and accessible legal services through free legal aid, prompt and consistent court decisions, and anti-corruption prosecutions</w:t>
      </w:r>
    </w:p>
    <w:p w14:paraId="03979A47" w14:textId="7F4ACBF0" w:rsidR="00665336" w:rsidRDefault="00665336" w:rsidP="003746AA">
      <w:pPr>
        <w:pStyle w:val="ListBullet"/>
      </w:pPr>
      <w:proofErr w:type="gramStart"/>
      <w:r>
        <w:t>the</w:t>
      </w:r>
      <w:proofErr w:type="gramEnd"/>
      <w:r>
        <w:t xml:space="preserve"> right to accessible legal information.</w:t>
      </w:r>
    </w:p>
    <w:p w14:paraId="6A063662" w14:textId="2AB4B289" w:rsidR="00665336" w:rsidRDefault="00665336" w:rsidP="00665336">
      <w:pPr>
        <w:pStyle w:val="BodyText"/>
      </w:pPr>
      <w:r>
        <w:t xml:space="preserve">Indonesia’s National Development Planning Agency is </w:t>
      </w:r>
      <w:r w:rsidR="00C96783">
        <w:t xml:space="preserve">a leader </w:t>
      </w:r>
      <w:r w:rsidR="00FE14EB">
        <w:t xml:space="preserve">in </w:t>
      </w:r>
      <w:r w:rsidR="00C96783">
        <w:t xml:space="preserve">the Australia–Indonesia Partnership for Justice </w:t>
      </w:r>
      <w:r>
        <w:t xml:space="preserve">and is encouraging Indonesian </w:t>
      </w:r>
      <w:r w:rsidR="00CC2625">
        <w:t>G</w:t>
      </w:r>
      <w:r>
        <w:t xml:space="preserve">overnment and court stakeholders to use the civil society coalitions, peer-to-peer partnerships (including with the </w:t>
      </w:r>
      <w:r w:rsidR="00CC2625">
        <w:t>f</w:t>
      </w:r>
      <w:r>
        <w:t xml:space="preserve">ederal and Family Courts of Australia) and technical assistance funded by </w:t>
      </w:r>
      <w:r w:rsidR="00C96783">
        <w:t xml:space="preserve">the partnership </w:t>
      </w:r>
      <w:r>
        <w:t xml:space="preserve">to help poor Indonesians to realise their rights. According to a study commissioned by </w:t>
      </w:r>
      <w:r w:rsidR="00C96783">
        <w:t xml:space="preserve">the Australia–Indonesia Partnership for Justice </w:t>
      </w:r>
      <w:r>
        <w:t xml:space="preserve">in early 2013, Indonesia’s Judicial Reform Team Office—a group of civil society </w:t>
      </w:r>
      <w:proofErr w:type="spellStart"/>
      <w:r>
        <w:t>secondees</w:t>
      </w:r>
      <w:proofErr w:type="spellEnd"/>
      <w:r>
        <w:t xml:space="preserve"> to the Indonesian Supreme Court—has played an important role in supporting the Supreme Court to make progress against the sector objectives. Key challenges in achieving the</w:t>
      </w:r>
      <w:r w:rsidR="00C96783">
        <w:t>se</w:t>
      </w:r>
      <w:r>
        <w:t xml:space="preserve"> include consolidating political support for institutional reforms, overcoming capacity constraints in the Ministry of Law and Human Rights to effectively disperse and monitor legal aid funding, addressing the limited financial management skills in relevant civil society organisations</w:t>
      </w:r>
      <w:r w:rsidR="00C96783">
        <w:t>,</w:t>
      </w:r>
      <w:r>
        <w:t xml:space="preserve"> and forging effective whole-of-government cooperation in combating corruption.</w:t>
      </w:r>
    </w:p>
    <w:p w14:paraId="0B614E55" w14:textId="08E65DC7" w:rsidR="00665336" w:rsidRDefault="00FF3496" w:rsidP="00665336">
      <w:pPr>
        <w:pStyle w:val="BodyText"/>
      </w:pPr>
      <w:r>
        <w:t xml:space="preserve">Throughout 2012 </w:t>
      </w:r>
      <w:proofErr w:type="gramStart"/>
      <w:r>
        <w:t xml:space="preserve">and </w:t>
      </w:r>
      <w:r w:rsidR="00665336">
        <w:t xml:space="preserve"> 2013</w:t>
      </w:r>
      <w:proofErr w:type="gramEnd"/>
      <w:r w:rsidR="00665336">
        <w:t xml:space="preserve">, </w:t>
      </w:r>
      <w:r w:rsidR="00C96783">
        <w:t xml:space="preserve">the Australia–Indonesia Partnership for Justice </w:t>
      </w:r>
      <w:r w:rsidR="00665336">
        <w:t>supported the Indonesian Supreme Court</w:t>
      </w:r>
      <w:r w:rsidR="00C96783">
        <w:t>’s</w:t>
      </w:r>
      <w:r w:rsidR="00665336">
        <w:t xml:space="preserve"> introduc</w:t>
      </w:r>
      <w:r w:rsidR="00C96783">
        <w:t xml:space="preserve">tion of </w:t>
      </w:r>
      <w:r w:rsidR="00665336">
        <w:t>several procedures</w:t>
      </w:r>
      <w:r w:rsidR="00757906">
        <w:t>,</w:t>
      </w:r>
      <w:r w:rsidR="00665336">
        <w:t xml:space="preserve"> which are likely to improve the timeliness and consistency of decisions, such as specialisation in particular areas of law for appellate judges. </w:t>
      </w:r>
      <w:r w:rsidR="00C96783">
        <w:t xml:space="preserve">The partnership </w:t>
      </w:r>
      <w:r w:rsidR="00665336">
        <w:t xml:space="preserve">has also supported ongoing efforts to publish court decisions, which as of June 2013 </w:t>
      </w:r>
      <w:r w:rsidR="00C96783">
        <w:t xml:space="preserve">has </w:t>
      </w:r>
      <w:r w:rsidR="00665336">
        <w:t>resulted in over 460</w:t>
      </w:r>
      <w:r w:rsidR="00C96783">
        <w:t xml:space="preserve"> </w:t>
      </w:r>
      <w:r w:rsidR="00665336">
        <w:t>000 decisions</w:t>
      </w:r>
      <w:r w:rsidR="00C96783">
        <w:t xml:space="preserve"> being </w:t>
      </w:r>
      <w:r w:rsidR="00665336">
        <w:t>published online (up from 123</w:t>
      </w:r>
      <w:r w:rsidR="00C96783">
        <w:t xml:space="preserve"> </w:t>
      </w:r>
      <w:r w:rsidR="00665336">
        <w:t>000 in December 2011). The publication of court decisions has already had concrete impacts on judicial accountability, as evidenced by the first ever dismissal of a Supreme Court judge in late 2012 over doctoring an official decision.</w:t>
      </w:r>
    </w:p>
    <w:p w14:paraId="2F06C89B" w14:textId="08A852E5" w:rsidR="00665336" w:rsidRDefault="00C96783" w:rsidP="00665336">
      <w:pPr>
        <w:pStyle w:val="BodyText"/>
      </w:pPr>
      <w:r>
        <w:t xml:space="preserve">The Australia–Indonesia Partnership for Justice </w:t>
      </w:r>
      <w:r w:rsidR="00665336">
        <w:t xml:space="preserve">has yielded mixed results through its efforts to professionalise anti-corruption prosecutions. </w:t>
      </w:r>
      <w:r>
        <w:t xml:space="preserve">Partnership </w:t>
      </w:r>
      <w:r w:rsidR="00665336">
        <w:t xml:space="preserve">support contributed to the Public Prosecutor’s Office making its </w:t>
      </w:r>
      <w:r>
        <w:t>annual r</w:t>
      </w:r>
      <w:r w:rsidR="00665336">
        <w:t xml:space="preserve">eport available to the public for the first time in 2012, in a move likely to enhance the accountability of the agency over the long-term. Assistance to Indonesia’s Corruption Eradication Commission to build public support for </w:t>
      </w:r>
      <w:r>
        <w:t xml:space="preserve">its </w:t>
      </w:r>
      <w:r w:rsidR="00665336">
        <w:t>plan to recruit independent investigators has been highly successful</w:t>
      </w:r>
      <w:r w:rsidR="003A3336">
        <w:t>. T</w:t>
      </w:r>
      <w:r w:rsidR="00665336">
        <w:t xml:space="preserve">he </w:t>
      </w:r>
      <w:r>
        <w:t xml:space="preserve">commission’s </w:t>
      </w:r>
      <w:r w:rsidR="00665336">
        <w:t xml:space="preserve">leadership and civil society observers consider that this assistance will help </w:t>
      </w:r>
      <w:r>
        <w:t>it</w:t>
      </w:r>
      <w:r w:rsidR="00665336">
        <w:t xml:space="preserve"> to continue its effective approach to eradicating corruption. Between 1 January 2012 and 30 April 2013, </w:t>
      </w:r>
      <w:r>
        <w:t xml:space="preserve">the Australia–Indonesia Partnership for Justice </w:t>
      </w:r>
      <w:r w:rsidR="00665336">
        <w:t xml:space="preserve">trained 641 officials (508 </w:t>
      </w:r>
      <w:r>
        <w:t>men</w:t>
      </w:r>
      <w:r w:rsidR="00665336">
        <w:t xml:space="preserve">, 133 </w:t>
      </w:r>
      <w:r>
        <w:t>women</w:t>
      </w:r>
      <w:r w:rsidR="00665336">
        <w:t>) from Indonesia’s courts, prosecutorial agencies and justice ministry in mediation, class actions, legal aid, strategic planning and case management.</w:t>
      </w:r>
    </w:p>
    <w:p w14:paraId="324A9EDA" w14:textId="2A63DE38" w:rsidR="00665336" w:rsidRDefault="00665336" w:rsidP="00665336">
      <w:pPr>
        <w:pStyle w:val="BodyText"/>
      </w:pPr>
      <w:r>
        <w:t xml:space="preserve">Since late 2012, </w:t>
      </w:r>
      <w:r w:rsidR="00C96783">
        <w:t xml:space="preserve">the partnership </w:t>
      </w:r>
      <w:r>
        <w:t xml:space="preserve">has worked closely with the National Legal Development Agency within Indonesia’s Ministry of Law and Human Rights to implement </w:t>
      </w:r>
      <w:r w:rsidR="00C96783">
        <w:t xml:space="preserve">the </w:t>
      </w:r>
      <w:r>
        <w:t xml:space="preserve">recently </w:t>
      </w:r>
      <w:r>
        <w:lastRenderedPageBreak/>
        <w:t xml:space="preserve">passed </w:t>
      </w:r>
      <w:r w:rsidR="00C96783">
        <w:t>legal aid law</w:t>
      </w:r>
      <w:r>
        <w:t xml:space="preserve">. This law establishes for the first time a formal, state-sponsored system for the provision of legal aid to the poor, to be delivered by civil society organisations in each province. As of 30 June 2013, </w:t>
      </w:r>
      <w:r w:rsidR="00C96783">
        <w:t xml:space="preserve">the Australia–Indonesia Partnership for Justice </w:t>
      </w:r>
      <w:r>
        <w:t xml:space="preserve">has assisted </w:t>
      </w:r>
      <w:r w:rsidR="00C96783">
        <w:t>the National Legal Development Agency</w:t>
      </w:r>
      <w:r w:rsidR="00C96783" w:rsidDel="00C96783">
        <w:t xml:space="preserve"> </w:t>
      </w:r>
      <w:r>
        <w:t xml:space="preserve">to audit 375 legal aid organisations in 22 provinces throughout Indonesia to assess their eligibility to receive state funds. </w:t>
      </w:r>
    </w:p>
    <w:p w14:paraId="73BCE20A" w14:textId="71B87DE7" w:rsidR="00FF54F7" w:rsidRDefault="00C96783" w:rsidP="001078A8">
      <w:pPr>
        <w:pStyle w:val="BodyText"/>
      </w:pPr>
      <w:bookmarkStart w:id="82" w:name="_Toc359585110"/>
      <w:r>
        <w:t>Australia–Indonesia Partnership for Justice</w:t>
      </w:r>
      <w:r w:rsidR="00665336">
        <w:t>-supported policy advocacy has resulted in key judicial reforms to ensure greater access to justice for poor and marginalised groups. These reforms include a Supreme Court decree raising the thres</w:t>
      </w:r>
      <w:r w:rsidR="003A3336">
        <w:t>hold for a serious crime to IDR</w:t>
      </w:r>
      <w:r w:rsidR="00665336">
        <w:t>2.5 million (</w:t>
      </w:r>
      <w:r w:rsidR="008D1329">
        <w:t>$</w:t>
      </w:r>
      <w:r w:rsidR="003A3336">
        <w:t>250) from IDR</w:t>
      </w:r>
      <w:r w:rsidR="00665336">
        <w:t xml:space="preserve">250 (2.5 cents). If accepted by the Public Prosecutor’s Office, this will keep many children and petty criminals out of prison. Between 1 January 2012 and 30 April 2013, </w:t>
      </w:r>
      <w:r>
        <w:t xml:space="preserve">the partnership </w:t>
      </w:r>
      <w:r w:rsidR="00665336">
        <w:t xml:space="preserve">provided disability services to 825 people (approximately 650 </w:t>
      </w:r>
      <w:r>
        <w:t xml:space="preserve">men </w:t>
      </w:r>
      <w:r w:rsidR="00665336">
        <w:t xml:space="preserve">and 75 </w:t>
      </w:r>
      <w:r>
        <w:t>women</w:t>
      </w:r>
      <w:r w:rsidR="00665336">
        <w:t>). This included training in computer skills and the provision of audio books on the legal rights of people with disability.</w:t>
      </w:r>
      <w:r w:rsidR="00B525E5">
        <w:t xml:space="preserve"> </w:t>
      </w:r>
      <w:r w:rsidR="00665336">
        <w:t>During this time</w:t>
      </w:r>
      <w:r>
        <w:t>,</w:t>
      </w:r>
      <w:r w:rsidR="00665336">
        <w:t xml:space="preserve"> </w:t>
      </w:r>
      <w:r>
        <w:t xml:space="preserve">six civil society organisations were </w:t>
      </w:r>
      <w:r w:rsidR="00665336">
        <w:t>also supported to track service provision in the law and justice sector.</w:t>
      </w:r>
      <w:bookmarkEnd w:id="82"/>
    </w:p>
    <w:p w14:paraId="30389976" w14:textId="30FCD0C9" w:rsidR="001078A8" w:rsidRPr="00FF54F7" w:rsidRDefault="001078A8" w:rsidP="003746AA">
      <w:pPr>
        <w:pStyle w:val="Heading2"/>
      </w:pPr>
      <w:bookmarkStart w:id="83" w:name="_Toc363768599"/>
      <w:bookmarkStart w:id="84" w:name="_Toc363804135"/>
      <w:r w:rsidRPr="00FF54F7">
        <w:t xml:space="preserve">Management </w:t>
      </w:r>
      <w:r w:rsidR="00F81534">
        <w:t>c</w:t>
      </w:r>
      <w:r w:rsidR="00F81534" w:rsidRPr="00FF54F7">
        <w:t>onsequences</w:t>
      </w:r>
      <w:bookmarkEnd w:id="83"/>
      <w:bookmarkEnd w:id="84"/>
    </w:p>
    <w:p w14:paraId="3C64F3E1" w14:textId="77777777" w:rsidR="00F81534" w:rsidRPr="00F127C6" w:rsidRDefault="00F81534" w:rsidP="003746AA">
      <w:pPr>
        <w:pStyle w:val="BodyText"/>
      </w:pPr>
      <w:r w:rsidRPr="00F127C6">
        <w:t>Management consequences for 2013–14 include:</w:t>
      </w:r>
    </w:p>
    <w:p w14:paraId="4928022F" w14:textId="3C80C620" w:rsidR="00665336" w:rsidRDefault="00757906" w:rsidP="003746AA">
      <w:pPr>
        <w:pStyle w:val="ListBullet"/>
      </w:pPr>
      <w:r>
        <w:t xml:space="preserve">Monitor </w:t>
      </w:r>
      <w:r w:rsidR="00665336">
        <w:t xml:space="preserve">progress of the </w:t>
      </w:r>
      <w:r>
        <w:t xml:space="preserve">Australia–Indonesia Partnership for Justice’s annual work plan––which was approved by </w:t>
      </w:r>
      <w:r w:rsidR="004C087A">
        <w:t>Australia</w:t>
      </w:r>
      <w:r>
        <w:t xml:space="preserve"> and </w:t>
      </w:r>
      <w:r w:rsidR="009F53DE">
        <w:t xml:space="preserve">the </w:t>
      </w:r>
      <w:r w:rsidR="009F53DE" w:rsidRPr="00BD7A1D">
        <w:t>National Development Planning Agency</w:t>
      </w:r>
      <w:r w:rsidR="009F53DE">
        <w:t xml:space="preserve"> </w:t>
      </w:r>
      <w:r>
        <w:t xml:space="preserve">in 2013––including through an independent progress review in 2014. Work </w:t>
      </w:r>
      <w:r w:rsidR="00665336">
        <w:t xml:space="preserve">outlined in this </w:t>
      </w:r>
      <w:r>
        <w:t>plan</w:t>
      </w:r>
      <w:r w:rsidRPr="00757906">
        <w:t xml:space="preserve"> </w:t>
      </w:r>
      <w:r>
        <w:t>will refocus the program on realising the rights of Indonesians, particularly poor women, vulnerable children and people with disability.</w:t>
      </w:r>
    </w:p>
    <w:p w14:paraId="1EE8AF8D" w14:textId="091C25D4" w:rsidR="00665336" w:rsidRDefault="00757906" w:rsidP="003746AA">
      <w:pPr>
        <w:pStyle w:val="ListBullet"/>
      </w:pPr>
      <w:r>
        <w:t>E</w:t>
      </w:r>
      <w:r w:rsidR="00665336">
        <w:t xml:space="preserve">nhance communication with stakeholders and the accountability of </w:t>
      </w:r>
      <w:r>
        <w:t xml:space="preserve">the Australia–Indonesia Partnership for Justice </w:t>
      </w:r>
      <w:proofErr w:type="gramStart"/>
      <w:r>
        <w:t>implementation</w:t>
      </w:r>
      <w:proofErr w:type="gramEnd"/>
      <w:r>
        <w:t xml:space="preserve"> service provider</w:t>
      </w:r>
      <w:r w:rsidR="003A3336">
        <w:t>.</w:t>
      </w:r>
      <w:r w:rsidR="00665336">
        <w:t xml:space="preserve"> </w:t>
      </w:r>
      <w:r w:rsidR="004C087A">
        <w:t>DFAT</w:t>
      </w:r>
      <w:r w:rsidR="00665336">
        <w:t xml:space="preserve"> and </w:t>
      </w:r>
      <w:r w:rsidR="009F53DE">
        <w:t xml:space="preserve">the </w:t>
      </w:r>
      <w:r w:rsidR="009F53DE" w:rsidRPr="00BD7A1D">
        <w:t>National Development Planning Agency</w:t>
      </w:r>
      <w:r w:rsidR="009F53DE">
        <w:t xml:space="preserve"> </w:t>
      </w:r>
      <w:r w:rsidR="00665336">
        <w:t xml:space="preserve">have established an </w:t>
      </w:r>
      <w:r>
        <w:t xml:space="preserve">annual partnership conference </w:t>
      </w:r>
      <w:r w:rsidR="00665336">
        <w:t xml:space="preserve">as part of </w:t>
      </w:r>
      <w:r>
        <w:t xml:space="preserve">the partnership’s </w:t>
      </w:r>
      <w:r w:rsidR="00665336">
        <w:t xml:space="preserve">governance arrangements and have replaced </w:t>
      </w:r>
      <w:proofErr w:type="gramStart"/>
      <w:r w:rsidR="00665336">
        <w:t xml:space="preserve">the  </w:t>
      </w:r>
      <w:r>
        <w:t>program</w:t>
      </w:r>
      <w:proofErr w:type="gramEnd"/>
      <w:r>
        <w:t xml:space="preserve"> director </w:t>
      </w:r>
      <w:r w:rsidR="004C087A">
        <w:t xml:space="preserve">directly contracted by the aid program </w:t>
      </w:r>
      <w:r w:rsidR="00665336">
        <w:t xml:space="preserve">with a </w:t>
      </w:r>
      <w:r>
        <w:t>team leader</w:t>
      </w:r>
      <w:r w:rsidRPr="00757906">
        <w:t xml:space="preserve"> </w:t>
      </w:r>
      <w:r>
        <w:t>contracted from the implementation service provider</w:t>
      </w:r>
      <w:r w:rsidR="00665336">
        <w:t xml:space="preserve">. </w:t>
      </w:r>
      <w:r w:rsidR="002E5E9F">
        <w:t>DFAT</w:t>
      </w:r>
      <w:r w:rsidR="00665336">
        <w:t xml:space="preserve"> will consult stakeholders on the effectiveness of these new arrangements throughout the second half of 2013, but early feedback has been positive.</w:t>
      </w:r>
    </w:p>
    <w:p w14:paraId="5FA36BF8" w14:textId="1663CFB5" w:rsidR="00665336" w:rsidRDefault="00757906" w:rsidP="003746AA">
      <w:pPr>
        <w:pStyle w:val="ListBullet"/>
      </w:pPr>
      <w:r>
        <w:t>Begin</w:t>
      </w:r>
      <w:r w:rsidR="00665336">
        <w:t xml:space="preserve"> analysing future options for investment in this sector in early 2014 to inform the design of a possible successor program to commence in late 2015.</w:t>
      </w:r>
    </w:p>
    <w:p w14:paraId="7BEAB32E" w14:textId="246E2C21" w:rsidR="00FF54F7" w:rsidRPr="00FF54F7" w:rsidRDefault="009D3674" w:rsidP="00665336">
      <w:pPr>
        <w:pStyle w:val="BodyText"/>
        <w:rPr>
          <w:color w:val="BFBFBF" w:themeColor="background1" w:themeShade="BF"/>
        </w:rPr>
      </w:pPr>
      <w:r w:rsidRPr="009D3674">
        <w:t>The follow</w:t>
      </w:r>
      <w:r w:rsidR="00757906">
        <w:t>–</w:t>
      </w:r>
      <w:r w:rsidRPr="009D3674">
        <w:t xml:space="preserve">up of management consequences from the 2011 annual program performance report can be found in </w:t>
      </w:r>
      <w:r w:rsidRPr="009D3674">
        <w:rPr>
          <w:b/>
        </w:rPr>
        <w:t>Annex B</w:t>
      </w:r>
      <w:r w:rsidRPr="009D3674">
        <w:t>.</w:t>
      </w:r>
    </w:p>
    <w:p w14:paraId="0B0297DB" w14:textId="77777777" w:rsidR="00805D86" w:rsidRDefault="00805D86">
      <w:pPr>
        <w:spacing w:after="200" w:line="276" w:lineRule="auto"/>
        <w:rPr>
          <w:rFonts w:ascii="Franklin Gothic Demi" w:eastAsia="Times New Roman" w:hAnsi="Franklin Gothic Demi" w:cs="Arial"/>
          <w:color w:val="AD495D"/>
          <w:kern w:val="28"/>
          <w:sz w:val="28"/>
          <w:szCs w:val="28"/>
        </w:rPr>
      </w:pPr>
      <w:bookmarkStart w:id="85" w:name="_Toc359585111"/>
      <w:bookmarkStart w:id="86" w:name="_Toc363804136"/>
      <w:r>
        <w:br w:type="page"/>
      </w:r>
    </w:p>
    <w:p w14:paraId="75E8F5A7" w14:textId="6C155FA1" w:rsidR="00FF54F7" w:rsidRPr="00FF54F7" w:rsidRDefault="00FF54F7" w:rsidP="00425E21">
      <w:pPr>
        <w:pStyle w:val="Heading1"/>
      </w:pPr>
      <w:r w:rsidRPr="00FF54F7">
        <w:lastRenderedPageBreak/>
        <w:t xml:space="preserve">Rural </w:t>
      </w:r>
      <w:r w:rsidR="00AD74A2">
        <w:t>livelihoods</w:t>
      </w:r>
      <w:r w:rsidR="00AD74A2" w:rsidRPr="00FF54F7">
        <w:t xml:space="preserve"> </w:t>
      </w:r>
      <w:r w:rsidRPr="00FF54F7">
        <w:t>and agribusiness</w:t>
      </w:r>
      <w:bookmarkEnd w:id="85"/>
      <w:bookmarkEnd w:id="86"/>
      <w:r w:rsidRPr="00FF54F7">
        <w:t xml:space="preserve"> </w:t>
      </w:r>
    </w:p>
    <w:tbl>
      <w:tblPr>
        <w:tblStyle w:val="APPR10"/>
        <w:tblW w:w="5000" w:type="pct"/>
        <w:tblLayout w:type="fixed"/>
        <w:tblLook w:val="0000" w:firstRow="0" w:lastRow="0" w:firstColumn="0" w:lastColumn="0" w:noHBand="0" w:noVBand="0"/>
      </w:tblPr>
      <w:tblGrid>
        <w:gridCol w:w="6453"/>
        <w:gridCol w:w="1050"/>
        <w:gridCol w:w="1103"/>
      </w:tblGrid>
      <w:tr w:rsidR="00425E21" w:rsidRPr="00FF54F7" w14:paraId="2425560C" w14:textId="77777777" w:rsidTr="00425E21">
        <w:trPr>
          <w:cantSplit/>
          <w:tblHeader w:val="0"/>
        </w:trPr>
        <w:tc>
          <w:tcPr>
            <w:tcW w:w="6048" w:type="dxa"/>
          </w:tcPr>
          <w:p w14:paraId="0524F0F2" w14:textId="77777777" w:rsidR="00425E21" w:rsidRPr="00FF54F7" w:rsidRDefault="00425E21" w:rsidP="00425E21">
            <w:pPr>
              <w:pStyle w:val="TableTextColumnHeading"/>
            </w:pPr>
            <w:r w:rsidRPr="00FF54F7">
              <w:rPr>
                <w:noProof/>
                <w:lang w:eastAsia="en-AU"/>
              </w:rPr>
              <w:drawing>
                <wp:anchor distT="0" distB="0" distL="114300" distR="114300" simplePos="0" relativeHeight="251722752" behindDoc="0" locked="0" layoutInCell="1" allowOverlap="1" wp14:anchorId="05606469" wp14:editId="5DF8CE8F">
                  <wp:simplePos x="0" y="0"/>
                  <wp:positionH relativeFrom="column">
                    <wp:posOffset>0</wp:posOffset>
                  </wp:positionH>
                  <wp:positionV relativeFrom="paragraph">
                    <wp:posOffset>0</wp:posOffset>
                  </wp:positionV>
                  <wp:extent cx="1857375" cy="228600"/>
                  <wp:effectExtent l="0" t="0" r="9525" b="0"/>
                  <wp:wrapNone/>
                  <wp:docPr id="30" name="Picture 3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4F7">
              <w:t>Objective</w:t>
            </w:r>
          </w:p>
        </w:tc>
        <w:tc>
          <w:tcPr>
            <w:tcW w:w="964" w:type="dxa"/>
            <w:vAlign w:val="center"/>
          </w:tcPr>
          <w:p w14:paraId="753C2F54" w14:textId="319FB4A6" w:rsidR="00425E21" w:rsidRPr="00FF54F7" w:rsidRDefault="00425E21" w:rsidP="00425E21">
            <w:pPr>
              <w:pStyle w:val="TableTextColumnHeading"/>
            </w:pPr>
            <w:r w:rsidRPr="00FF54F7">
              <w:t xml:space="preserve">Current </w:t>
            </w:r>
            <w:r>
              <w:t>r</w:t>
            </w:r>
            <w:r w:rsidRPr="00FF54F7">
              <w:t>ating</w:t>
            </w:r>
          </w:p>
        </w:tc>
        <w:tc>
          <w:tcPr>
            <w:tcW w:w="1001" w:type="dxa"/>
            <w:vAlign w:val="center"/>
          </w:tcPr>
          <w:p w14:paraId="4BE826CD" w14:textId="56E202CB" w:rsidR="00425E21" w:rsidRPr="00FF54F7" w:rsidRDefault="00425E21" w:rsidP="00425E21">
            <w:pPr>
              <w:pStyle w:val="TableTextColumnHeading"/>
            </w:pPr>
            <w:r w:rsidRPr="00FF54F7">
              <w:t xml:space="preserve">Previous </w:t>
            </w:r>
            <w:r>
              <w:t>r</w:t>
            </w:r>
            <w:r w:rsidRPr="00FF54F7">
              <w:t>ating</w:t>
            </w:r>
          </w:p>
        </w:tc>
      </w:tr>
      <w:tr w:rsidR="00425E21" w:rsidRPr="00FF54F7" w14:paraId="4E5710E2" w14:textId="77777777" w:rsidTr="00425E21">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4762E074" w14:textId="37921251" w:rsidR="00425E21" w:rsidRPr="00FF54F7" w:rsidRDefault="00425E21" w:rsidP="00425E21">
            <w:pPr>
              <w:pStyle w:val="TableTextEntries"/>
              <w:rPr>
                <w:szCs w:val="18"/>
              </w:rPr>
            </w:pPr>
            <w:r w:rsidRPr="00FF54F7">
              <w:t>Increased access of smallholder farmers to economic opportunities</w:t>
            </w:r>
            <w:r>
              <w:t xml:space="preserve"> </w:t>
            </w:r>
            <w:r w:rsidRPr="00FF54F7">
              <w:t>(</w:t>
            </w:r>
            <w:r w:rsidRPr="00FF54F7">
              <w:rPr>
                <w:i/>
              </w:rPr>
              <w:t>revised objective</w:t>
            </w:r>
            <w:r w:rsidRPr="00FF54F7">
              <w:t>)</w:t>
            </w:r>
          </w:p>
        </w:tc>
        <w:tc>
          <w:tcPr>
            <w:tcW w:w="964" w:type="dxa"/>
            <w:shd w:val="clear" w:color="auto" w:fill="F79646" w:themeFill="accent6"/>
            <w:noWrap/>
            <w:vAlign w:val="center"/>
          </w:tcPr>
          <w:p w14:paraId="374990AB" w14:textId="77777777" w:rsidR="00425E21" w:rsidRPr="00425E21" w:rsidRDefault="00425E21" w:rsidP="00425E21">
            <w:pPr>
              <w:pStyle w:val="TableTextEntries"/>
            </w:pPr>
            <w:r w:rsidRPr="00425E21">
              <w:t>Amber</w:t>
            </w:r>
          </w:p>
        </w:tc>
        <w:tc>
          <w:tcPr>
            <w:tcW w:w="1001" w:type="dxa"/>
            <w:shd w:val="clear" w:color="auto" w:fill="auto"/>
            <w:noWrap/>
            <w:vAlign w:val="center"/>
          </w:tcPr>
          <w:p w14:paraId="5284DE75" w14:textId="77777777" w:rsidR="00425E21" w:rsidRPr="00425E21" w:rsidRDefault="00425E21" w:rsidP="00425E21">
            <w:pPr>
              <w:pStyle w:val="TableTextEntries"/>
            </w:pPr>
            <w:r w:rsidRPr="00425E21">
              <w:t>N/A</w:t>
            </w:r>
          </w:p>
        </w:tc>
      </w:tr>
    </w:tbl>
    <w:p w14:paraId="26563981" w14:textId="77777777" w:rsidR="00FF54F7" w:rsidRPr="00FF54F7" w:rsidRDefault="00FF54F7" w:rsidP="00425E21">
      <w:pPr>
        <w:pStyle w:val="Note"/>
      </w:pPr>
      <w:r w:rsidRPr="00FF54F7">
        <w:t xml:space="preserve">Note: </w:t>
      </w:r>
    </w:p>
    <w:p w14:paraId="54E8DC82" w14:textId="77777777" w:rsidR="00FF54F7" w:rsidRPr="00FF54F7" w:rsidRDefault="00FF54F7" w:rsidP="00425E21">
      <w:pPr>
        <w:pStyle w:val="Note"/>
      </w:pPr>
      <w:r w:rsidRPr="00FF54F7">
        <w:rPr>
          <w:color w:val="92D050"/>
        </w:rPr>
        <w:sym w:font="Webdings" w:char="F067"/>
      </w:r>
      <w:r w:rsidRPr="00FF54F7">
        <w:t> </w:t>
      </w:r>
      <w:r w:rsidRPr="00FF54F7">
        <w:t xml:space="preserve"> </w:t>
      </w:r>
      <w:proofErr w:type="gramStart"/>
      <w:r w:rsidRPr="00FF54F7">
        <w:t>Green.</w:t>
      </w:r>
      <w:proofErr w:type="gramEnd"/>
      <w:r w:rsidRPr="00FF54F7">
        <w:t xml:space="preserve"> Progress is as expected for this point in time and it is likely that the objective will be achieved. Standard program management practices are sufficient.</w:t>
      </w:r>
    </w:p>
    <w:p w14:paraId="04604E7B" w14:textId="77777777" w:rsidR="00FF54F7" w:rsidRPr="00FF54F7" w:rsidRDefault="00FF54F7" w:rsidP="00425E21">
      <w:pPr>
        <w:pStyle w:val="Note"/>
      </w:pPr>
      <w:r w:rsidRPr="00FF54F7">
        <w:rPr>
          <w:color w:val="F79646" w:themeColor="accent6"/>
        </w:rPr>
        <w:sym w:font="Webdings" w:char="F067"/>
      </w:r>
      <w:r w:rsidRPr="00FF54F7">
        <w:t> </w:t>
      </w:r>
      <w:r w:rsidRPr="00FF54F7">
        <w:t xml:space="preserve"> Amber. Progress is somewhat less than expected for this point in time and restorative action will be necessary if the objective is to be achieved. Close performance monitoring is recommended.</w:t>
      </w:r>
    </w:p>
    <w:p w14:paraId="7DAF83B2" w14:textId="77777777" w:rsidR="00FF54F7" w:rsidRPr="00FF54F7" w:rsidRDefault="00FF54F7" w:rsidP="00425E21">
      <w:pPr>
        <w:pStyle w:val="Note"/>
      </w:pPr>
      <w:r w:rsidRPr="00FF54F7">
        <w:rPr>
          <w:color w:val="FF0000"/>
        </w:rPr>
        <w:sym w:font="Webdings" w:char="F067"/>
      </w:r>
      <w:r w:rsidRPr="00FF54F7">
        <w:t> </w:t>
      </w:r>
      <w:r w:rsidRPr="00FF54F7">
        <w:t xml:space="preserve"> </w:t>
      </w:r>
      <w:proofErr w:type="gramStart"/>
      <w:r w:rsidRPr="00FF54F7">
        <w:t>Red.</w:t>
      </w:r>
      <w:proofErr w:type="gramEnd"/>
      <w:r w:rsidRPr="00FF54F7">
        <w:t xml:space="preserve"> Progress is significantly less than expected for this point in time and the objective is not likely to be met given available resources and priorities. Recasting the objective may be required. </w:t>
      </w:r>
    </w:p>
    <w:p w14:paraId="515C3AA6" w14:textId="77777777" w:rsidR="00665336" w:rsidRDefault="00665336" w:rsidP="00665336">
      <w:pPr>
        <w:pStyle w:val="BodyText"/>
      </w:pPr>
    </w:p>
    <w:p w14:paraId="6B50229C" w14:textId="77777777" w:rsidR="003A3336" w:rsidRDefault="009C68D6" w:rsidP="00665336">
      <w:pPr>
        <w:pStyle w:val="BodyText"/>
      </w:pPr>
      <w:r w:rsidRPr="009C68D6">
        <w:t xml:space="preserve">Work in Indonesia’s rural development sector is critical to support poverty reduction. According to World Bank analysis, agriculture is </w:t>
      </w:r>
      <w:r w:rsidR="00757906">
        <w:t>three</w:t>
      </w:r>
      <w:r w:rsidR="00757906" w:rsidRPr="009C68D6">
        <w:t xml:space="preserve"> </w:t>
      </w:r>
      <w:r w:rsidRPr="009C68D6">
        <w:t xml:space="preserve">times more efficient in reducing poverty compared to other major economic sectors. In Indonesia, studies that correlate poverty to agriculture infer that a growth in agricultural of between </w:t>
      </w:r>
      <w:r w:rsidR="00757906">
        <w:t xml:space="preserve">eight to </w:t>
      </w:r>
      <w:r w:rsidRPr="009C68D6">
        <w:t>14</w:t>
      </w:r>
      <w:r w:rsidR="00757906">
        <w:t xml:space="preserve"> per cent</w:t>
      </w:r>
      <w:r w:rsidRPr="009C68D6">
        <w:t xml:space="preserve"> reduces the poverty headcount by </w:t>
      </w:r>
      <w:r w:rsidR="00757906">
        <w:t>one per cent.</w:t>
      </w:r>
      <w:r w:rsidR="00757906" w:rsidRPr="009C68D6">
        <w:t xml:space="preserve"> </w:t>
      </w:r>
      <w:r w:rsidRPr="009C68D6">
        <w:t xml:space="preserve">These growth rates can happen over a period of </w:t>
      </w:r>
      <w:r w:rsidR="00757906">
        <w:t>two to three</w:t>
      </w:r>
      <w:r w:rsidRPr="009C68D6">
        <w:t xml:space="preserve"> years. The A</w:t>
      </w:r>
      <w:r w:rsidR="00757906">
        <w:t xml:space="preserve">sian </w:t>
      </w:r>
      <w:r w:rsidRPr="009C68D6">
        <w:t>D</w:t>
      </w:r>
      <w:r w:rsidR="00757906">
        <w:t xml:space="preserve">evelopment </w:t>
      </w:r>
      <w:r w:rsidRPr="009C68D6">
        <w:t>B</w:t>
      </w:r>
      <w:r w:rsidR="00757906">
        <w:t>ank</w:t>
      </w:r>
      <w:r w:rsidRPr="009C68D6">
        <w:t xml:space="preserve"> has estimated that a </w:t>
      </w:r>
      <w:r w:rsidR="00757906">
        <w:t>one per cent</w:t>
      </w:r>
      <w:r w:rsidRPr="009C68D6">
        <w:t xml:space="preserve"> growth in agriculture reduces rural poverty by 2.9</w:t>
      </w:r>
      <w:r w:rsidR="00757906">
        <w:t xml:space="preserve"> per cent</w:t>
      </w:r>
      <w:r w:rsidR="00757906" w:rsidRPr="009C68D6">
        <w:t xml:space="preserve"> </w:t>
      </w:r>
      <w:r w:rsidRPr="009C68D6">
        <w:t xml:space="preserve">and urban poverty </w:t>
      </w:r>
      <w:r w:rsidRPr="003A3336">
        <w:t>by 1.1</w:t>
      </w:r>
      <w:r w:rsidR="003A3336">
        <w:t xml:space="preserve"> per cent</w:t>
      </w:r>
      <w:r w:rsidRPr="009C68D6">
        <w:t xml:space="preserve">. </w:t>
      </w:r>
      <w:r w:rsidRPr="003A3336">
        <w:t>Rajah and McCullough</w:t>
      </w:r>
      <w:r w:rsidR="003A3336">
        <w:t xml:space="preserve"> </w:t>
      </w:r>
      <w:r w:rsidR="00D40F5B">
        <w:t>(2006)</w:t>
      </w:r>
      <w:r w:rsidRPr="009C68D6">
        <w:t xml:space="preserve"> conclude that</w:t>
      </w:r>
      <w:r w:rsidR="003A3336">
        <w:t>:</w:t>
      </w:r>
    </w:p>
    <w:p w14:paraId="5BFA6AAA" w14:textId="1FCA98F9" w:rsidR="003A3336" w:rsidRPr="00425E21" w:rsidRDefault="003A3336" w:rsidP="00425E21">
      <w:pPr>
        <w:pStyle w:val="BodyText"/>
        <w:rPr>
          <w:i/>
        </w:rPr>
      </w:pPr>
      <w:r w:rsidRPr="00425E21">
        <w:rPr>
          <w:i/>
        </w:rPr>
        <w:t>R</w:t>
      </w:r>
      <w:r w:rsidR="009C68D6" w:rsidRPr="00425E21">
        <w:rPr>
          <w:i/>
        </w:rPr>
        <w:t>ural agriculture is the most important pathway out of poverty rather than a trap from which the poor need to escape.</w:t>
      </w:r>
    </w:p>
    <w:p w14:paraId="5A42DD3A" w14:textId="596E9BA7" w:rsidR="009C68D6" w:rsidRPr="009C68D6" w:rsidRDefault="009C68D6" w:rsidP="00665336">
      <w:pPr>
        <w:pStyle w:val="BodyText"/>
      </w:pPr>
      <w:r w:rsidRPr="009C68D6">
        <w:t>Studies show that 65</w:t>
      </w:r>
      <w:r w:rsidR="00757906">
        <w:t xml:space="preserve"> per cent</w:t>
      </w:r>
      <w:r w:rsidR="00757906" w:rsidRPr="009C68D6">
        <w:t xml:space="preserve"> </w:t>
      </w:r>
      <w:r w:rsidRPr="009C68D6">
        <w:t>of Indonesians living in rural areas were directly employed in agriculture</w:t>
      </w:r>
      <w:r w:rsidR="00757906">
        <w:t>. T</w:t>
      </w:r>
      <w:r w:rsidRPr="009C68D6">
        <w:t>his figure increases to 80</w:t>
      </w:r>
      <w:r w:rsidR="00757906">
        <w:t xml:space="preserve"> per cent</w:t>
      </w:r>
      <w:r w:rsidR="00757906" w:rsidRPr="009C68D6">
        <w:t xml:space="preserve"> </w:t>
      </w:r>
      <w:r w:rsidRPr="009C68D6">
        <w:t>in Nusa Tenggara Timor and to 88</w:t>
      </w:r>
      <w:r w:rsidR="00757906">
        <w:t xml:space="preserve"> per cent</w:t>
      </w:r>
      <w:r w:rsidR="00757906" w:rsidRPr="009C68D6">
        <w:t xml:space="preserve"> </w:t>
      </w:r>
      <w:r w:rsidRPr="009C68D6">
        <w:t>in Papuan provinces. Agriculture in the same period made up 43</w:t>
      </w:r>
      <w:r w:rsidR="00757906">
        <w:t xml:space="preserve"> per cent</w:t>
      </w:r>
      <w:r w:rsidR="00757906" w:rsidRPr="009C68D6">
        <w:t xml:space="preserve"> </w:t>
      </w:r>
      <w:r w:rsidRPr="009C68D6">
        <w:t>of household incomes and will continue to drive Indonesia’s rural economy for the next 20 years.</w:t>
      </w:r>
    </w:p>
    <w:p w14:paraId="3230CCA9" w14:textId="26C08655" w:rsidR="00757906" w:rsidRDefault="009C68D6" w:rsidP="00665336">
      <w:pPr>
        <w:pStyle w:val="BodyText"/>
      </w:pPr>
      <w:r w:rsidRPr="009C68D6">
        <w:t xml:space="preserve">In line with this analysis, the main focus of the rural development unit is to promote agriculture as an effective means of poverty reduction. The </w:t>
      </w:r>
      <w:r w:rsidR="00757906">
        <w:t>t</w:t>
      </w:r>
      <w:r w:rsidR="00757906" w:rsidRPr="009C68D6">
        <w:t xml:space="preserve">heory </w:t>
      </w:r>
      <w:r w:rsidRPr="009C68D6">
        <w:t xml:space="preserve">of </w:t>
      </w:r>
      <w:r w:rsidR="00757906">
        <w:t>c</w:t>
      </w:r>
      <w:r w:rsidR="00757906" w:rsidRPr="009C68D6">
        <w:t xml:space="preserve">hange </w:t>
      </w:r>
      <w:r w:rsidRPr="009C68D6">
        <w:t xml:space="preserve">underpinning </w:t>
      </w:r>
      <w:r w:rsidR="00757906">
        <w:t>the Australia–Indonesia Partnership for Decentralisation</w:t>
      </w:r>
      <w:r w:rsidR="003A3336">
        <w:t xml:space="preserve"> (</w:t>
      </w:r>
      <w:r w:rsidRPr="009C68D6">
        <w:t>Rural</w:t>
      </w:r>
      <w:r w:rsidR="003A3336">
        <w:t>) initiative</w:t>
      </w:r>
      <w:r w:rsidRPr="009C68D6">
        <w:t xml:space="preserve"> is that if more farmers understand the impact of new or improved assets (</w:t>
      </w:r>
      <w:r w:rsidR="00757906">
        <w:t xml:space="preserve">including </w:t>
      </w:r>
      <w:r w:rsidRPr="009C68D6">
        <w:t>tools, equipment</w:t>
      </w:r>
      <w:r w:rsidR="00757906">
        <w:t xml:space="preserve"> and</w:t>
      </w:r>
      <w:r w:rsidR="00757906" w:rsidRPr="009C68D6">
        <w:t xml:space="preserve"> </w:t>
      </w:r>
      <w:r w:rsidRPr="009C68D6">
        <w:t>storage), inputs (</w:t>
      </w:r>
      <w:r w:rsidR="00757906">
        <w:t xml:space="preserve">such as </w:t>
      </w:r>
      <w:r w:rsidRPr="009C68D6">
        <w:t>seeds, fertili</w:t>
      </w:r>
      <w:r w:rsidR="003A3336">
        <w:t>s</w:t>
      </w:r>
      <w:r w:rsidRPr="009C68D6">
        <w:t>ers pesticides) and services (grafting, pruning</w:t>
      </w:r>
      <w:r w:rsidR="00757906">
        <w:t xml:space="preserve"> and</w:t>
      </w:r>
      <w:r w:rsidR="00757906" w:rsidRPr="009C68D6">
        <w:t xml:space="preserve"> </w:t>
      </w:r>
      <w:r w:rsidRPr="009C68D6">
        <w:t>micro finance) and at the same time have increased and ongoing access to these assets, inputs and services they will increase their marketable agricultural surpluses and incomes. The key strategies use</w:t>
      </w:r>
      <w:r w:rsidR="00757906">
        <w:t>d by the partnership</w:t>
      </w:r>
      <w:r w:rsidRPr="009C68D6">
        <w:t xml:space="preserve"> to mobilise these assets, inputs and services are</w:t>
      </w:r>
      <w:r w:rsidR="0043673A">
        <w:t xml:space="preserve"> to</w:t>
      </w:r>
      <w:r w:rsidR="00757906">
        <w:t>:</w:t>
      </w:r>
    </w:p>
    <w:p w14:paraId="03C73C8D" w14:textId="58EDDD25" w:rsidR="0043673A" w:rsidRDefault="009C68D6" w:rsidP="00425E21">
      <w:pPr>
        <w:pStyle w:val="ListBullet"/>
      </w:pPr>
      <w:r w:rsidRPr="009C68D6">
        <w:t>identify commodity sectors</w:t>
      </w:r>
      <w:r w:rsidR="0043673A">
        <w:t>,</w:t>
      </w:r>
      <w:r w:rsidRPr="009C68D6">
        <w:t xml:space="preserve"> </w:t>
      </w:r>
      <w:r w:rsidR="00757906">
        <w:t xml:space="preserve">like </w:t>
      </w:r>
      <w:r w:rsidRPr="009C68D6">
        <w:t xml:space="preserve">maize, beef </w:t>
      </w:r>
      <w:r w:rsidR="00757906">
        <w:t xml:space="preserve">or </w:t>
      </w:r>
      <w:r w:rsidRPr="009C68D6">
        <w:t>cocoa</w:t>
      </w:r>
      <w:r w:rsidR="0043673A">
        <w:t>,</w:t>
      </w:r>
      <w:r w:rsidRPr="009C68D6">
        <w:t xml:space="preserve"> or cross cutting sectors</w:t>
      </w:r>
      <w:r w:rsidR="0043673A">
        <w:t>,</w:t>
      </w:r>
      <w:r w:rsidRPr="009C68D6">
        <w:t xml:space="preserve"> like mechanisation, irrigation, technology, finance, or public services, that are relevant to pro-poor outcomes in eastern Indonesia</w:t>
      </w:r>
    </w:p>
    <w:p w14:paraId="50CF4994" w14:textId="3849ACEF" w:rsidR="0043673A" w:rsidRDefault="009C68D6" w:rsidP="00425E21">
      <w:pPr>
        <w:pStyle w:val="ListBullet"/>
      </w:pPr>
      <w:r w:rsidRPr="009C68D6">
        <w:t>assess the systemic constraints within these sectors that are most important to farm incomes</w:t>
      </w:r>
    </w:p>
    <w:p w14:paraId="472A3C61" w14:textId="1C1E1960" w:rsidR="0043673A" w:rsidRDefault="009C68D6" w:rsidP="00425E21">
      <w:pPr>
        <w:pStyle w:val="ListBullet"/>
      </w:pPr>
      <w:proofErr w:type="gramStart"/>
      <w:r w:rsidRPr="009C68D6">
        <w:t>design</w:t>
      </w:r>
      <w:proofErr w:type="gramEnd"/>
      <w:r w:rsidRPr="009C68D6">
        <w:t xml:space="preserve"> sustainable and market driven interventions that generate widespread impact and outreach to small farmers. </w:t>
      </w:r>
    </w:p>
    <w:p w14:paraId="522DDBA0" w14:textId="6F4E4AB5" w:rsidR="009C68D6" w:rsidRPr="009C68D6" w:rsidRDefault="009C68D6" w:rsidP="00665336">
      <w:pPr>
        <w:pStyle w:val="BodyText"/>
      </w:pPr>
      <w:r w:rsidRPr="009C68D6">
        <w:t xml:space="preserve">Because of the diversity of agriculture in eastern Indonesia, this program will be delivered through a number of partnerships including </w:t>
      </w:r>
      <w:r w:rsidR="0043673A">
        <w:t>non-government organisations</w:t>
      </w:r>
      <w:r w:rsidRPr="009C68D6">
        <w:t xml:space="preserve">, the private sector, other donors, and Indonesian Government systems. The different delivery modalities take into account the multiple entry points to agricultural markets and systems in eastern Indonesia, and the need to work with a range of stakeholders at different levels (district, provincial and national) to influence sustainable change at the farm level. </w:t>
      </w:r>
    </w:p>
    <w:p w14:paraId="444F75FF" w14:textId="0FEB9557" w:rsidR="009C68D6" w:rsidRPr="009C68D6" w:rsidRDefault="0043673A" w:rsidP="00665336">
      <w:pPr>
        <w:pStyle w:val="BodyText"/>
      </w:pPr>
      <w:r>
        <w:lastRenderedPageBreak/>
        <w:t xml:space="preserve">The </w:t>
      </w:r>
      <w:r w:rsidR="004C087A">
        <w:t>Australian-</w:t>
      </w:r>
      <w:r w:rsidR="009C68D6" w:rsidRPr="009C68D6">
        <w:t>funded Nusa Tenggara Timor Agro-Forestry Community Development activity (</w:t>
      </w:r>
      <w:r w:rsidR="000A11DD">
        <w:t>$</w:t>
      </w:r>
      <w:r w:rsidR="009C68D6" w:rsidRPr="009C68D6">
        <w:t>3.15</w:t>
      </w:r>
      <w:r>
        <w:t xml:space="preserve"> </w:t>
      </w:r>
      <w:r w:rsidR="009C68D6" w:rsidRPr="009C68D6">
        <w:t>m</w:t>
      </w:r>
      <w:r>
        <w:t>illion</w:t>
      </w:r>
      <w:r w:rsidR="009C68D6" w:rsidRPr="009C68D6">
        <w:t xml:space="preserve"> from 2010</w:t>
      </w:r>
      <w:r>
        <w:t>–</w:t>
      </w:r>
      <w:r w:rsidR="009C68D6" w:rsidRPr="009C68D6">
        <w:t>2014) works in around 90 villages (12</w:t>
      </w:r>
      <w:r>
        <w:t xml:space="preserve"> </w:t>
      </w:r>
      <w:r w:rsidR="009C68D6" w:rsidRPr="009C68D6">
        <w:t>500 farmer households, or 62</w:t>
      </w:r>
      <w:r>
        <w:t xml:space="preserve"> </w:t>
      </w:r>
      <w:r w:rsidR="009C68D6" w:rsidRPr="009C68D6">
        <w:t>500 people) in marginal farming areas to increase incomes and improve food security through sustainable farming practices. In 2012 the program helped 11</w:t>
      </w:r>
      <w:r>
        <w:t xml:space="preserve"> </w:t>
      </w:r>
      <w:r w:rsidR="009C68D6" w:rsidRPr="009C68D6">
        <w:t>022 farmers increase access to agricultural technologies, 16</w:t>
      </w:r>
      <w:r>
        <w:t xml:space="preserve"> </w:t>
      </w:r>
      <w:r w:rsidR="009C68D6" w:rsidRPr="009C68D6">
        <w:t xml:space="preserve">460 poor women and men to increase their incomes, and helped increase the value of agricultural production in supported villages by </w:t>
      </w:r>
      <w:r w:rsidR="000A11DD">
        <w:t>$</w:t>
      </w:r>
      <w:r w:rsidR="009C68D6" w:rsidRPr="009C68D6">
        <w:t>1.04</w:t>
      </w:r>
      <w:r>
        <w:t xml:space="preserve"> </w:t>
      </w:r>
      <w:r w:rsidR="009C68D6" w:rsidRPr="009C68D6">
        <w:t>m</w:t>
      </w:r>
      <w:r>
        <w:t xml:space="preserve">illion. It </w:t>
      </w:r>
      <w:r w:rsidR="009C68D6" w:rsidRPr="009C68D6">
        <w:t xml:space="preserve">is on track to meet its targets by </w:t>
      </w:r>
      <w:r>
        <w:t xml:space="preserve">the </w:t>
      </w:r>
      <w:r w:rsidR="009C68D6" w:rsidRPr="009C68D6">
        <w:t>project end</w:t>
      </w:r>
      <w:r>
        <w:t xml:space="preserve"> date</w:t>
      </w:r>
      <w:r w:rsidR="009C68D6" w:rsidRPr="009C68D6">
        <w:t>.</w:t>
      </w:r>
      <w:r w:rsidR="00B525E5">
        <w:t xml:space="preserve"> </w:t>
      </w:r>
      <w:r w:rsidR="009C68D6" w:rsidRPr="009C68D6">
        <w:t xml:space="preserve">Through the </w:t>
      </w:r>
      <w:proofErr w:type="spellStart"/>
      <w:r w:rsidR="009C68D6" w:rsidRPr="009C68D6">
        <w:t>maize</w:t>
      </w:r>
      <w:proofErr w:type="spellEnd"/>
      <w:r w:rsidR="009C68D6" w:rsidRPr="009C68D6">
        <w:t xml:space="preserve"> seed intervention</w:t>
      </w:r>
      <w:r w:rsidR="00150EE9">
        <w:t xml:space="preserve"> in the district of Timor Tengah Utara</w:t>
      </w:r>
      <w:r w:rsidR="009C68D6" w:rsidRPr="009C68D6">
        <w:t xml:space="preserve">, </w:t>
      </w:r>
      <w:r w:rsidR="004C087A">
        <w:t xml:space="preserve">Embassy </w:t>
      </w:r>
      <w:proofErr w:type="gramStart"/>
      <w:r w:rsidR="004C087A">
        <w:t>staff are</w:t>
      </w:r>
      <w:proofErr w:type="gramEnd"/>
      <w:r w:rsidR="004C087A">
        <w:t xml:space="preserve"> </w:t>
      </w:r>
      <w:r w:rsidR="009C68D6" w:rsidRPr="009C68D6">
        <w:t xml:space="preserve">working with the project to introduce market-based approaches with a view to scaling up and integrating the activity into the main Markets for the Poor initiative. </w:t>
      </w:r>
      <w:r w:rsidR="00A56192" w:rsidRPr="009C68D6">
        <w:t>Th</w:t>
      </w:r>
      <w:r w:rsidR="00A56192">
        <w:t>is</w:t>
      </w:r>
      <w:r w:rsidR="00A56192" w:rsidRPr="009C68D6">
        <w:t xml:space="preserve"> </w:t>
      </w:r>
      <w:r w:rsidR="009C68D6" w:rsidRPr="009C68D6">
        <w:t>focuses on leveraging private sector investment to increase farmer productivity and achieve sustainable increases in income.</w:t>
      </w:r>
    </w:p>
    <w:p w14:paraId="7138EA31" w14:textId="5E81B103" w:rsidR="00A56192" w:rsidRDefault="009C68D6" w:rsidP="00665336">
      <w:pPr>
        <w:pStyle w:val="BodyText"/>
      </w:pPr>
      <w:r w:rsidRPr="009C68D6">
        <w:t xml:space="preserve">Overall, the team has built a solid base of analysis and evidence, building on previous </w:t>
      </w:r>
      <w:r w:rsidR="004C087A">
        <w:t xml:space="preserve">Australian </w:t>
      </w:r>
      <w:r w:rsidRPr="009C68D6">
        <w:t xml:space="preserve">programs in Eastern Indonesia as well as more recent studies to allow it to move into implementation. The </w:t>
      </w:r>
      <w:r w:rsidR="00950596">
        <w:t>$</w:t>
      </w:r>
      <w:r w:rsidRPr="00950596">
        <w:t>112</w:t>
      </w:r>
      <w:r w:rsidR="00950596" w:rsidRPr="00D67028">
        <w:t xml:space="preserve"> </w:t>
      </w:r>
      <w:r w:rsidRPr="00950596">
        <w:t>m</w:t>
      </w:r>
      <w:r w:rsidR="00950596">
        <w:t>illion</w:t>
      </w:r>
      <w:r w:rsidRPr="009C68D6">
        <w:t xml:space="preserve"> </w:t>
      </w:r>
      <w:r w:rsidR="00A56192" w:rsidRPr="009C68D6">
        <w:t xml:space="preserve">rural development </w:t>
      </w:r>
      <w:r w:rsidRPr="009C68D6">
        <w:t>program (2011</w:t>
      </w:r>
      <w:r w:rsidR="00A56192">
        <w:t>–</w:t>
      </w:r>
      <w:r w:rsidRPr="009C68D6">
        <w:t>2017) consist</w:t>
      </w:r>
      <w:r w:rsidR="00A56192">
        <w:t>s</w:t>
      </w:r>
      <w:r w:rsidRPr="009C68D6">
        <w:t xml:space="preserve"> of a number of delivery methods:</w:t>
      </w:r>
    </w:p>
    <w:p w14:paraId="688BC1F5" w14:textId="120015AD" w:rsidR="00A56192" w:rsidRDefault="00A56192" w:rsidP="00425E21">
      <w:pPr>
        <w:pStyle w:val="ListBullet"/>
      </w:pPr>
      <w:r>
        <w:t>the</w:t>
      </w:r>
      <w:r w:rsidR="000851EE">
        <w:t xml:space="preserve"> $</w:t>
      </w:r>
      <w:r w:rsidR="000851EE" w:rsidRPr="009C68D6">
        <w:t>77 million</w:t>
      </w:r>
      <w:r>
        <w:t xml:space="preserve"> </w:t>
      </w:r>
      <w:r w:rsidR="009C68D6" w:rsidRPr="009C68D6">
        <w:t>Promoting Rural Income through Support for Markets in Agriculture</w:t>
      </w:r>
      <w:r>
        <w:t xml:space="preserve"> initiative</w:t>
      </w:r>
      <w:r w:rsidR="009C68D6" w:rsidRPr="009C68D6">
        <w:t xml:space="preserve"> which will concentrate its intervention mostly in commodity sectors</w:t>
      </w:r>
    </w:p>
    <w:p w14:paraId="197137D7" w14:textId="0F8FC90B" w:rsidR="00A56192" w:rsidRDefault="00A56192" w:rsidP="00425E21">
      <w:pPr>
        <w:pStyle w:val="ListBullet"/>
      </w:pPr>
      <w:r w:rsidRPr="009C68D6">
        <w:t xml:space="preserve">agricultural research and innovation </w:t>
      </w:r>
      <w:r w:rsidR="009C68D6" w:rsidRPr="009C68D6">
        <w:t>to improve farmer access to technology</w:t>
      </w:r>
      <w:r>
        <w:t>,</w:t>
      </w:r>
      <w:r w:rsidR="009C68D6" w:rsidRPr="009C68D6">
        <w:t xml:space="preserve"> including </w:t>
      </w:r>
      <w:r>
        <w:t xml:space="preserve">through </w:t>
      </w:r>
      <w:r w:rsidR="009C68D6" w:rsidRPr="009C68D6">
        <w:t xml:space="preserve">cooperation with </w:t>
      </w:r>
      <w:r>
        <w:t xml:space="preserve">the </w:t>
      </w:r>
      <w:r w:rsidR="009C68D6" w:rsidRPr="009C68D6">
        <w:t>A</w:t>
      </w:r>
      <w:r>
        <w:t xml:space="preserve">ustralian </w:t>
      </w:r>
      <w:r w:rsidR="009C68D6" w:rsidRPr="009C68D6">
        <w:t>C</w:t>
      </w:r>
      <w:r>
        <w:t xml:space="preserve">entre for </w:t>
      </w:r>
      <w:r w:rsidR="009C68D6" w:rsidRPr="009C68D6">
        <w:t>I</w:t>
      </w:r>
      <w:r>
        <w:t xml:space="preserve">nternational </w:t>
      </w:r>
      <w:r w:rsidR="009C68D6" w:rsidRPr="009C68D6">
        <w:t>A</w:t>
      </w:r>
      <w:r>
        <w:t xml:space="preserve">gricultural </w:t>
      </w:r>
      <w:r w:rsidR="009C68D6" w:rsidRPr="009C68D6">
        <w:t>R</w:t>
      </w:r>
      <w:r>
        <w:t>esearch</w:t>
      </w:r>
      <w:r w:rsidR="009C68D6" w:rsidRPr="009C68D6">
        <w:t>, CSIRO and T</w:t>
      </w:r>
      <w:r>
        <w:t xml:space="preserve">he </w:t>
      </w:r>
      <w:r w:rsidR="009C68D6" w:rsidRPr="009C68D6">
        <w:t>A</w:t>
      </w:r>
      <w:r>
        <w:t xml:space="preserve">sia </w:t>
      </w:r>
      <w:r w:rsidR="009C68D6" w:rsidRPr="009C68D6">
        <w:t>F</w:t>
      </w:r>
      <w:r>
        <w:t>oundation</w:t>
      </w:r>
    </w:p>
    <w:p w14:paraId="35002ED8" w14:textId="451B924F" w:rsidR="00A56192" w:rsidRDefault="00A56192" w:rsidP="00425E21">
      <w:pPr>
        <w:pStyle w:val="ListBullet"/>
      </w:pPr>
      <w:r>
        <w:t>f</w:t>
      </w:r>
      <w:r w:rsidR="009C68D6" w:rsidRPr="009C68D6">
        <w:t xml:space="preserve">inancial </w:t>
      </w:r>
      <w:r>
        <w:t>i</w:t>
      </w:r>
      <w:r w:rsidRPr="009C68D6">
        <w:t xml:space="preserve">nclusion </w:t>
      </w:r>
      <w:r w:rsidR="009C68D6" w:rsidRPr="009C68D6">
        <w:t xml:space="preserve">to address access to credit (with </w:t>
      </w:r>
      <w:r>
        <w:t>the International Finance Corporation</w:t>
      </w:r>
      <w:r w:rsidR="009C68D6" w:rsidRPr="009C68D6">
        <w:t>)</w:t>
      </w:r>
    </w:p>
    <w:p w14:paraId="1F3498D8" w14:textId="29108D27" w:rsidR="00A56192" w:rsidRDefault="00A56192" w:rsidP="00425E21">
      <w:pPr>
        <w:pStyle w:val="ListBullet"/>
      </w:pPr>
      <w:r w:rsidRPr="009C68D6">
        <w:t xml:space="preserve">tertiary and non-conventional irrigation </w:t>
      </w:r>
      <w:r w:rsidR="009C68D6" w:rsidRPr="009C68D6">
        <w:t xml:space="preserve">to improve access to water </w:t>
      </w:r>
    </w:p>
    <w:p w14:paraId="5E11C754" w14:textId="7B03C949" w:rsidR="00A56192" w:rsidRDefault="00A56192" w:rsidP="00425E21">
      <w:pPr>
        <w:pStyle w:val="ListBullet"/>
      </w:pPr>
      <w:proofErr w:type="gramStart"/>
      <w:r w:rsidRPr="009C68D6">
        <w:t>regional</w:t>
      </w:r>
      <w:proofErr w:type="gramEnd"/>
      <w:r w:rsidRPr="009C68D6">
        <w:t xml:space="preserve"> economic development </w:t>
      </w:r>
      <w:r w:rsidR="009C68D6" w:rsidRPr="009C68D6">
        <w:t>to improve the local competitive environment in which small farmers produce and interact with markets (</w:t>
      </w:r>
      <w:r>
        <w:t xml:space="preserve">a </w:t>
      </w:r>
      <w:r w:rsidR="009C68D6" w:rsidRPr="009C68D6">
        <w:t>collaborati</w:t>
      </w:r>
      <w:r>
        <w:t>o</w:t>
      </w:r>
      <w:r w:rsidR="009C68D6" w:rsidRPr="009C68D6">
        <w:t xml:space="preserve">n with GIZ). </w:t>
      </w:r>
    </w:p>
    <w:p w14:paraId="376E8E8E" w14:textId="6B18B762" w:rsidR="009C68D6" w:rsidRPr="009C68D6" w:rsidRDefault="009C68D6" w:rsidP="00665336">
      <w:pPr>
        <w:pStyle w:val="BodyText"/>
      </w:pPr>
      <w:r w:rsidRPr="009C68D6">
        <w:t>The team is also investing in key relationships and partnerships, in recognition of the importance of leveraging and catalysing development assistance for sustainable rural development, rather than relying on direct service delivery.</w:t>
      </w:r>
    </w:p>
    <w:p w14:paraId="275FAC0A" w14:textId="3070B7FA" w:rsidR="009C68D6" w:rsidRPr="009C68D6" w:rsidRDefault="009C68D6" w:rsidP="00665336">
      <w:pPr>
        <w:pStyle w:val="BodyText"/>
      </w:pPr>
      <w:r w:rsidRPr="009C68D6">
        <w:t xml:space="preserve">Preparatory activities were conducted for the new </w:t>
      </w:r>
      <w:r w:rsidR="000A11DD">
        <w:t>Australia–Indonesia</w:t>
      </w:r>
      <w:r w:rsidRPr="009C68D6">
        <w:t xml:space="preserve"> Partnership in Decentralisation </w:t>
      </w:r>
      <w:r w:rsidR="000851EE">
        <w:t>(</w:t>
      </w:r>
      <w:r w:rsidRPr="009C68D6">
        <w:t>Rural</w:t>
      </w:r>
      <w:r w:rsidR="000851EE">
        <w:t>)</w:t>
      </w:r>
      <w:r w:rsidRPr="009C68D6">
        <w:t xml:space="preserve"> initiative that is due to commence in 2013</w:t>
      </w:r>
      <w:r w:rsidR="00260962">
        <w:t>. This initiative is expected</w:t>
      </w:r>
      <w:r w:rsidRPr="009C68D6">
        <w:t xml:space="preserve"> to increase agricultural incomes by 30</w:t>
      </w:r>
      <w:r w:rsidR="00260962">
        <w:t xml:space="preserve"> per cent</w:t>
      </w:r>
      <w:r w:rsidR="00260962" w:rsidRPr="009C68D6">
        <w:t xml:space="preserve"> </w:t>
      </w:r>
      <w:r w:rsidRPr="009C68D6">
        <w:t>for 300</w:t>
      </w:r>
      <w:r w:rsidR="00260962">
        <w:t xml:space="preserve"> </w:t>
      </w:r>
      <w:r w:rsidRPr="009C68D6">
        <w:t xml:space="preserve">000 farmers in </w:t>
      </w:r>
      <w:r w:rsidR="00260962">
        <w:t>five</w:t>
      </w:r>
      <w:r w:rsidR="00260962" w:rsidRPr="009C68D6">
        <w:t xml:space="preserve"> </w:t>
      </w:r>
      <w:r w:rsidRPr="009C68D6">
        <w:t xml:space="preserve">provinces (East Java, </w:t>
      </w:r>
      <w:r w:rsidR="00260962">
        <w:t xml:space="preserve">Nusa Tenggara </w:t>
      </w:r>
      <w:proofErr w:type="spellStart"/>
      <w:r w:rsidR="00260962">
        <w:t>Timur</w:t>
      </w:r>
      <w:proofErr w:type="spellEnd"/>
      <w:r w:rsidR="00260962">
        <w:t>, Nusa Tenggara Barat</w:t>
      </w:r>
      <w:r w:rsidRPr="009C68D6">
        <w:t>, West Papua and Papua). The program approach</w:t>
      </w:r>
      <w:r w:rsidR="00260962">
        <w:t>––</w:t>
      </w:r>
      <w:r w:rsidRPr="009C68D6">
        <w:t>Markets for the Poor</w:t>
      </w:r>
      <w:r w:rsidR="00260962">
        <w:t>––</w:t>
      </w:r>
      <w:r w:rsidRPr="009C68D6">
        <w:t xml:space="preserve">focuses on leveraging private sector investment to increase farmer productivity and achieve sustainable increases in income. </w:t>
      </w:r>
    </w:p>
    <w:p w14:paraId="1C57B5EE" w14:textId="6F4EBD45" w:rsidR="009C68D6" w:rsidRPr="009C68D6" w:rsidRDefault="009C68D6" w:rsidP="00665336">
      <w:pPr>
        <w:pStyle w:val="BodyText"/>
      </w:pPr>
      <w:r w:rsidRPr="009C68D6">
        <w:t xml:space="preserve">The new Australia–Indonesia Program for Decentralisation (Rural) has been delayed due to </w:t>
      </w:r>
      <w:r w:rsidR="003A3336">
        <w:t xml:space="preserve">a </w:t>
      </w:r>
      <w:r w:rsidRPr="009C68D6">
        <w:t xml:space="preserve">request by the </w:t>
      </w:r>
      <w:r w:rsidR="000A11DD">
        <w:t>Indonesian Government</w:t>
      </w:r>
      <w:r w:rsidRPr="009C68D6">
        <w:t xml:space="preserve"> to adjust its scope.</w:t>
      </w:r>
      <w:r w:rsidR="00B525E5">
        <w:t xml:space="preserve"> </w:t>
      </w:r>
      <w:r w:rsidRPr="009C68D6">
        <w:t xml:space="preserve">It is expected that the Promoting Rural Income through Support for Market in Agriculture </w:t>
      </w:r>
      <w:r w:rsidR="000851EE">
        <w:t xml:space="preserve">initiative </w:t>
      </w:r>
      <w:r w:rsidRPr="009C68D6">
        <w:t xml:space="preserve">will start in </w:t>
      </w:r>
      <w:r w:rsidR="00F22081">
        <w:t>late</w:t>
      </w:r>
      <w:r w:rsidRPr="009C68D6">
        <w:t xml:space="preserve">-2013 with objectives that remain consistent with the original program that was announced by the </w:t>
      </w:r>
      <w:r w:rsidR="000851EE" w:rsidRPr="009C68D6">
        <w:t>prime minister and president</w:t>
      </w:r>
      <w:r w:rsidRPr="009C68D6">
        <w:t xml:space="preserve">. Activities to pilot and prepare for </w:t>
      </w:r>
      <w:r w:rsidR="000851EE">
        <w:t>the initiative</w:t>
      </w:r>
      <w:r w:rsidR="000851EE" w:rsidRPr="009C68D6">
        <w:t xml:space="preserve"> </w:t>
      </w:r>
      <w:r w:rsidRPr="009C68D6">
        <w:t xml:space="preserve">have focused mainly on reviews and studies on commodities, business enabling environments and socio-economic conditions. Training provided to government and </w:t>
      </w:r>
      <w:r w:rsidR="000851EE">
        <w:t>non-government organisations</w:t>
      </w:r>
      <w:r w:rsidR="000851EE" w:rsidRPr="009C68D6">
        <w:t xml:space="preserve"> </w:t>
      </w:r>
      <w:r w:rsidRPr="009C68D6">
        <w:t>is also essential to build a broader base of shared knowledge amongst key stakeholders, given the relatively new status of market-based approaches to development assistance in Indonesia. Procurement of the managing contractor is in the final phase and partnerships continue to be developed at both national and subnational levels.</w:t>
      </w:r>
    </w:p>
    <w:p w14:paraId="05A34EA1" w14:textId="77777777" w:rsidR="00805D86" w:rsidRDefault="00805D86">
      <w:pPr>
        <w:spacing w:after="200" w:line="276" w:lineRule="auto"/>
        <w:rPr>
          <w:rFonts w:ascii="Franklin Gothic Demi" w:eastAsia="Times New Roman" w:hAnsi="Franklin Gothic Demi" w:cs="Arial"/>
          <w:color w:val="AD495D"/>
          <w:kern w:val="28"/>
          <w:sz w:val="24"/>
          <w:szCs w:val="28"/>
        </w:rPr>
      </w:pPr>
      <w:bookmarkStart w:id="87" w:name="_Toc359585112"/>
      <w:bookmarkStart w:id="88" w:name="_Toc363768601"/>
      <w:bookmarkStart w:id="89" w:name="_Toc363804137"/>
      <w:r>
        <w:br w:type="page"/>
      </w:r>
    </w:p>
    <w:p w14:paraId="6BEB2B13" w14:textId="0773EEF8" w:rsidR="00FF54F7" w:rsidRPr="00FF54F7" w:rsidRDefault="00FF54F7" w:rsidP="00425E21">
      <w:pPr>
        <w:pStyle w:val="Heading2"/>
      </w:pPr>
      <w:r w:rsidRPr="00FF54F7">
        <w:lastRenderedPageBreak/>
        <w:t xml:space="preserve">Management </w:t>
      </w:r>
      <w:bookmarkEnd w:id="87"/>
      <w:r w:rsidR="00F81534">
        <w:t>c</w:t>
      </w:r>
      <w:r w:rsidR="00F81534" w:rsidRPr="00FF54F7">
        <w:t>onsequences</w:t>
      </w:r>
      <w:bookmarkEnd w:id="88"/>
      <w:bookmarkEnd w:id="89"/>
    </w:p>
    <w:p w14:paraId="37E059E9" w14:textId="556351CE" w:rsidR="009C68D6" w:rsidRPr="00425E21" w:rsidRDefault="009C68D6" w:rsidP="00425E21">
      <w:pPr>
        <w:pStyle w:val="BodyText"/>
      </w:pPr>
      <w:r w:rsidRPr="00425E21">
        <w:t>Management consequences for 2013</w:t>
      </w:r>
      <w:r w:rsidR="00F81534" w:rsidRPr="00425E21">
        <w:t>–</w:t>
      </w:r>
      <w:r w:rsidRPr="00425E21">
        <w:t xml:space="preserve">14 </w:t>
      </w:r>
      <w:r w:rsidR="00F81534" w:rsidRPr="00425E21">
        <w:t>include</w:t>
      </w:r>
      <w:r w:rsidRPr="00425E21">
        <w:t>:</w:t>
      </w:r>
    </w:p>
    <w:p w14:paraId="34E6099A" w14:textId="0A7F6D58" w:rsidR="009C68D6" w:rsidRDefault="000851EE" w:rsidP="00425E21">
      <w:pPr>
        <w:pStyle w:val="ListBullet"/>
      </w:pPr>
      <w:r>
        <w:t>Develop a</w:t>
      </w:r>
      <w:r w:rsidR="009C68D6" w:rsidRPr="009C68D6">
        <w:t xml:space="preserve"> management overview </w:t>
      </w:r>
      <w:r>
        <w:t xml:space="preserve">for the </w:t>
      </w:r>
      <w:r w:rsidR="009C68D6" w:rsidRPr="009C68D6">
        <w:t>Indonesia Program for Decentralisation (Rural) on</w:t>
      </w:r>
      <w:r>
        <w:t>ce</w:t>
      </w:r>
      <w:r w:rsidR="009C68D6" w:rsidRPr="009C68D6">
        <w:t xml:space="preserve"> the managing contractor </w:t>
      </w:r>
      <w:r>
        <w:t xml:space="preserve">is finalised, together with </w:t>
      </w:r>
      <w:r w:rsidR="009C68D6" w:rsidRPr="009C68D6">
        <w:t xml:space="preserve">the subsidiary arrangement with </w:t>
      </w:r>
      <w:r>
        <w:t>the Indonesian Government</w:t>
      </w:r>
      <w:r w:rsidR="009C68D6" w:rsidRPr="009C68D6">
        <w:t xml:space="preserve">. </w:t>
      </w:r>
    </w:p>
    <w:p w14:paraId="780B1722" w14:textId="70C5672F" w:rsidR="009C68D6" w:rsidRPr="009C68D6" w:rsidRDefault="009C68D6" w:rsidP="00425E21">
      <w:pPr>
        <w:pStyle w:val="ListBullet"/>
      </w:pPr>
      <w:r w:rsidRPr="009C68D6">
        <w:t xml:space="preserve">Finalise </w:t>
      </w:r>
      <w:r w:rsidR="000851EE">
        <w:t>the d</w:t>
      </w:r>
      <w:r w:rsidR="000851EE" w:rsidRPr="009C68D6">
        <w:t xml:space="preserve">elivery </w:t>
      </w:r>
      <w:r w:rsidR="000851EE">
        <w:t>s</w:t>
      </w:r>
      <w:r w:rsidR="000851EE" w:rsidRPr="009C68D6">
        <w:t xml:space="preserve">trategy </w:t>
      </w:r>
      <w:r w:rsidRPr="009C68D6">
        <w:t>for</w:t>
      </w:r>
      <w:r w:rsidR="000851EE">
        <w:t xml:space="preserve"> the</w:t>
      </w:r>
      <w:r w:rsidRPr="009C68D6">
        <w:t xml:space="preserve"> rural livelihood and agribusiness sector.</w:t>
      </w:r>
    </w:p>
    <w:p w14:paraId="3896301C" w14:textId="450C3528" w:rsidR="00FF54F7" w:rsidRPr="00FF54F7" w:rsidRDefault="009D3674" w:rsidP="00665336">
      <w:pPr>
        <w:pStyle w:val="BodyText"/>
        <w:rPr>
          <w:color w:val="BFBFBF" w:themeColor="background1" w:themeShade="BF"/>
        </w:rPr>
      </w:pPr>
      <w:r w:rsidRPr="009D3674">
        <w:t>The follow</w:t>
      </w:r>
      <w:r w:rsidR="000851EE">
        <w:t>-</w:t>
      </w:r>
      <w:r w:rsidRPr="009D3674">
        <w:t xml:space="preserve">up of management consequences from the 2011 annual program performance report can be found in </w:t>
      </w:r>
      <w:r w:rsidRPr="009D3674">
        <w:rPr>
          <w:b/>
        </w:rPr>
        <w:t>Annex B</w:t>
      </w:r>
      <w:r w:rsidRPr="009D3674">
        <w:t>.</w:t>
      </w:r>
    </w:p>
    <w:p w14:paraId="74C08693" w14:textId="77777777" w:rsidR="00FF54F7" w:rsidRPr="00FF54F7" w:rsidRDefault="00FF54F7" w:rsidP="00425E21">
      <w:pPr>
        <w:pStyle w:val="Heading1"/>
      </w:pPr>
      <w:bookmarkStart w:id="90" w:name="_Toc359585113"/>
      <w:bookmarkStart w:id="91" w:name="_Toc363804138"/>
      <w:r w:rsidRPr="000851EE">
        <w:t>Scholarships</w:t>
      </w:r>
      <w:bookmarkEnd w:id="90"/>
      <w:bookmarkEnd w:id="91"/>
      <w:r w:rsidRPr="00FF54F7">
        <w:t xml:space="preserve"> </w:t>
      </w:r>
    </w:p>
    <w:tbl>
      <w:tblPr>
        <w:tblStyle w:val="APPR11"/>
        <w:tblW w:w="5000" w:type="pct"/>
        <w:tblLayout w:type="fixed"/>
        <w:tblLook w:val="0000" w:firstRow="0" w:lastRow="0" w:firstColumn="0" w:lastColumn="0" w:noHBand="0" w:noVBand="0"/>
      </w:tblPr>
      <w:tblGrid>
        <w:gridCol w:w="6453"/>
        <w:gridCol w:w="1050"/>
        <w:gridCol w:w="1103"/>
      </w:tblGrid>
      <w:tr w:rsidR="00425E21" w:rsidRPr="00FF54F7" w14:paraId="3F4FE189" w14:textId="77777777" w:rsidTr="00425E21">
        <w:trPr>
          <w:cantSplit/>
          <w:tblHeader w:val="0"/>
        </w:trPr>
        <w:tc>
          <w:tcPr>
            <w:tcW w:w="6048" w:type="dxa"/>
          </w:tcPr>
          <w:p w14:paraId="18F79E88" w14:textId="77777777" w:rsidR="00425E21" w:rsidRPr="00FF54F7" w:rsidRDefault="00425E21" w:rsidP="00425E21">
            <w:pPr>
              <w:pStyle w:val="TableTextColumnHeading"/>
            </w:pPr>
            <w:r w:rsidRPr="00FF54F7">
              <w:rPr>
                <w:noProof/>
                <w:lang w:eastAsia="en-AU"/>
              </w:rPr>
              <w:drawing>
                <wp:anchor distT="0" distB="0" distL="114300" distR="114300" simplePos="0" relativeHeight="251724800" behindDoc="0" locked="0" layoutInCell="1" allowOverlap="1" wp14:anchorId="2D19298E" wp14:editId="395BEBC0">
                  <wp:simplePos x="0" y="0"/>
                  <wp:positionH relativeFrom="column">
                    <wp:posOffset>0</wp:posOffset>
                  </wp:positionH>
                  <wp:positionV relativeFrom="paragraph">
                    <wp:posOffset>0</wp:posOffset>
                  </wp:positionV>
                  <wp:extent cx="1857375" cy="228600"/>
                  <wp:effectExtent l="0" t="0" r="9525" b="0"/>
                  <wp:wrapNone/>
                  <wp:docPr id="31" name="Picture 3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4F7">
              <w:t>Objective</w:t>
            </w:r>
          </w:p>
        </w:tc>
        <w:tc>
          <w:tcPr>
            <w:tcW w:w="964" w:type="dxa"/>
            <w:vAlign w:val="center"/>
          </w:tcPr>
          <w:p w14:paraId="6E8974E3" w14:textId="006024B0" w:rsidR="00425E21" w:rsidRPr="00FF54F7" w:rsidRDefault="00425E21" w:rsidP="00425E21">
            <w:pPr>
              <w:pStyle w:val="TableTextColumnHeading"/>
            </w:pPr>
            <w:r w:rsidRPr="00FF54F7">
              <w:t xml:space="preserve">Current </w:t>
            </w:r>
            <w:r>
              <w:t>r</w:t>
            </w:r>
            <w:r w:rsidRPr="00FF54F7">
              <w:t>ating</w:t>
            </w:r>
          </w:p>
        </w:tc>
        <w:tc>
          <w:tcPr>
            <w:tcW w:w="1001" w:type="dxa"/>
            <w:vAlign w:val="center"/>
          </w:tcPr>
          <w:p w14:paraId="421BCB37" w14:textId="036C2FA9" w:rsidR="00425E21" w:rsidRPr="00FF54F7" w:rsidRDefault="00425E21" w:rsidP="00425E21">
            <w:pPr>
              <w:pStyle w:val="TableTextColumnHeading"/>
            </w:pPr>
            <w:r w:rsidRPr="00FF54F7">
              <w:t xml:space="preserve">Previous </w:t>
            </w:r>
            <w:r>
              <w:t>r</w:t>
            </w:r>
            <w:r w:rsidRPr="00FF54F7">
              <w:t>ating</w:t>
            </w:r>
          </w:p>
        </w:tc>
      </w:tr>
      <w:tr w:rsidR="00425E21" w:rsidRPr="00FF54F7" w14:paraId="61E64CE9" w14:textId="77777777" w:rsidTr="00425E21">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768C1577" w14:textId="77777777" w:rsidR="00425E21" w:rsidRPr="00FF54F7" w:rsidRDefault="00425E21" w:rsidP="00425E21">
            <w:pPr>
              <w:pStyle w:val="TableTextEntries"/>
              <w:rPr>
                <w:sz w:val="18"/>
                <w:szCs w:val="18"/>
              </w:rPr>
            </w:pPr>
            <w:r w:rsidRPr="00FF54F7">
              <w:t>Developing people to people linkages between Indonesia and Australia (</w:t>
            </w:r>
            <w:r w:rsidRPr="00FF54F7">
              <w:rPr>
                <w:i/>
              </w:rPr>
              <w:t>revised wording</w:t>
            </w:r>
            <w:r w:rsidRPr="00FF54F7">
              <w:t>)</w:t>
            </w:r>
          </w:p>
        </w:tc>
        <w:tc>
          <w:tcPr>
            <w:tcW w:w="964" w:type="dxa"/>
            <w:shd w:val="clear" w:color="auto" w:fill="92D050"/>
            <w:noWrap/>
            <w:vAlign w:val="center"/>
          </w:tcPr>
          <w:p w14:paraId="7720681E" w14:textId="77777777" w:rsidR="00425E21" w:rsidRPr="00425E21" w:rsidRDefault="00425E21" w:rsidP="00425E21">
            <w:pPr>
              <w:pStyle w:val="TableTextEntries"/>
            </w:pPr>
            <w:r w:rsidRPr="00425E21">
              <w:t>Green</w:t>
            </w:r>
          </w:p>
        </w:tc>
        <w:tc>
          <w:tcPr>
            <w:tcW w:w="1001" w:type="dxa"/>
            <w:shd w:val="clear" w:color="auto" w:fill="92D050"/>
            <w:noWrap/>
            <w:vAlign w:val="center"/>
          </w:tcPr>
          <w:p w14:paraId="17097BFD" w14:textId="77777777" w:rsidR="00425E21" w:rsidRPr="00425E21" w:rsidRDefault="00425E21" w:rsidP="00425E21">
            <w:pPr>
              <w:pStyle w:val="TableTextEntries"/>
            </w:pPr>
            <w:r w:rsidRPr="00425E21">
              <w:t>Green</w:t>
            </w:r>
          </w:p>
        </w:tc>
      </w:tr>
    </w:tbl>
    <w:p w14:paraId="2AD582D7" w14:textId="77777777" w:rsidR="00FF54F7" w:rsidRPr="00FF54F7" w:rsidRDefault="00FF54F7" w:rsidP="00425E21">
      <w:pPr>
        <w:pStyle w:val="Note"/>
      </w:pPr>
      <w:r w:rsidRPr="00FF54F7">
        <w:t xml:space="preserve">Note: </w:t>
      </w:r>
    </w:p>
    <w:p w14:paraId="5C0942F4" w14:textId="77777777" w:rsidR="00FF54F7" w:rsidRPr="00FF54F7" w:rsidRDefault="00FF54F7" w:rsidP="00425E21">
      <w:pPr>
        <w:pStyle w:val="Note"/>
      </w:pPr>
      <w:r w:rsidRPr="00FF54F7">
        <w:rPr>
          <w:color w:val="92D050"/>
        </w:rPr>
        <w:sym w:font="Webdings" w:char="F067"/>
      </w:r>
      <w:r w:rsidRPr="00FF54F7">
        <w:t> </w:t>
      </w:r>
      <w:r w:rsidRPr="00FF54F7">
        <w:t xml:space="preserve"> </w:t>
      </w:r>
      <w:proofErr w:type="gramStart"/>
      <w:r w:rsidRPr="00FF54F7">
        <w:t>Green.</w:t>
      </w:r>
      <w:proofErr w:type="gramEnd"/>
      <w:r w:rsidRPr="00FF54F7">
        <w:t xml:space="preserve"> Progress is as expected for this point in time and it is likely that the objective will be achieved. Standard program management practices are sufficient.</w:t>
      </w:r>
    </w:p>
    <w:p w14:paraId="6A5A641A" w14:textId="77777777" w:rsidR="00FF54F7" w:rsidRPr="00FF54F7" w:rsidRDefault="00FF54F7" w:rsidP="00425E21">
      <w:pPr>
        <w:pStyle w:val="Note"/>
      </w:pPr>
      <w:r w:rsidRPr="00FF54F7">
        <w:rPr>
          <w:color w:val="F79646" w:themeColor="accent6"/>
        </w:rPr>
        <w:sym w:font="Webdings" w:char="F067"/>
      </w:r>
      <w:r w:rsidRPr="00FF54F7">
        <w:t> </w:t>
      </w:r>
      <w:r w:rsidRPr="00FF54F7">
        <w:t xml:space="preserve"> Amber. Progress is somewhat less than expected for this point in time and restorative action will be necessary if the objective is to be achieved. Close performance monitoring is recommended.</w:t>
      </w:r>
    </w:p>
    <w:p w14:paraId="28BF3501" w14:textId="77777777" w:rsidR="00FF54F7" w:rsidRPr="00FF54F7" w:rsidRDefault="00FF54F7" w:rsidP="00425E21">
      <w:pPr>
        <w:pStyle w:val="Note"/>
      </w:pPr>
      <w:r w:rsidRPr="00FF54F7">
        <w:rPr>
          <w:color w:val="FF0000"/>
        </w:rPr>
        <w:sym w:font="Webdings" w:char="F067"/>
      </w:r>
      <w:r w:rsidRPr="00FF54F7">
        <w:t> </w:t>
      </w:r>
      <w:r w:rsidRPr="00FF54F7">
        <w:t xml:space="preserve"> </w:t>
      </w:r>
      <w:proofErr w:type="gramStart"/>
      <w:r w:rsidRPr="00FF54F7">
        <w:t>Red.</w:t>
      </w:r>
      <w:proofErr w:type="gramEnd"/>
      <w:r w:rsidRPr="00FF54F7">
        <w:t xml:space="preserve"> Progress is significantly less than expected for this point in time and the objective is not likely to be met given available resources and priorities. Recasting the objective may be required. </w:t>
      </w:r>
    </w:p>
    <w:p w14:paraId="4A612EFF" w14:textId="77777777" w:rsidR="00324DA8" w:rsidRDefault="00324DA8" w:rsidP="00324DA8">
      <w:pPr>
        <w:pStyle w:val="BodyText"/>
      </w:pPr>
    </w:p>
    <w:p w14:paraId="0D54B8FE" w14:textId="60E216F8" w:rsidR="00324DA8" w:rsidRDefault="00324DA8" w:rsidP="00425E21">
      <w:pPr>
        <w:pStyle w:val="BodyText"/>
      </w:pPr>
      <w:r>
        <w:t xml:space="preserve">Australia Awards (formerly known as Australia Development Scholarships) provide long and </w:t>
      </w:r>
      <w:r w:rsidR="000851EE">
        <w:t>short-</w:t>
      </w:r>
      <w:r>
        <w:t>term study and professional development opportunities to citizens from developing countries. They promote knowledge, education links and enduring ties between Australia and our neighbours through scholarships programs consisting of Australia Awards Scholarships, Australia Awards Pacific Scholarships and Australia Awards Fellowships. In 2012, 448 Australia Awards Scholarships were offered to Indonesians for long-term study in Australia.</w:t>
      </w:r>
      <w:r w:rsidR="00B525E5">
        <w:t xml:space="preserve"> </w:t>
      </w:r>
      <w:r>
        <w:t xml:space="preserve">In addition, 26 (18 PhD and </w:t>
      </w:r>
      <w:r w:rsidR="000851EE">
        <w:t xml:space="preserve">four </w:t>
      </w:r>
      <w:r>
        <w:t xml:space="preserve">Masters) Australia Awards Scholarships were </w:t>
      </w:r>
      <w:r w:rsidR="000851EE">
        <w:t xml:space="preserve">provided </w:t>
      </w:r>
      <w:r>
        <w:t>as part of the Australia Award Leadership Program (formerly the Australian Leadership Award Scholarships) to Indonesians demonstrating outstanding leadership potential and a commitment to contributing to development outcomes for their field of expertise.</w:t>
      </w:r>
      <w:r w:rsidR="00B525E5">
        <w:t xml:space="preserve"> </w:t>
      </w:r>
      <w:r>
        <w:t xml:space="preserve">Two rounds of Australia Award Fellowships, which support </w:t>
      </w:r>
      <w:r w:rsidR="000851EE">
        <w:t>short-</w:t>
      </w:r>
      <w:r>
        <w:t xml:space="preserve">term study, research and professional attachment programs in Australia, were held in 2012, with 192 fellows from Indonesia, the highest number of any single eligible country. </w:t>
      </w:r>
    </w:p>
    <w:p w14:paraId="06499F46" w14:textId="4D48A119" w:rsidR="00324DA8" w:rsidRDefault="00324DA8" w:rsidP="00425E21">
      <w:pPr>
        <w:pStyle w:val="BodyText"/>
      </w:pPr>
      <w:r>
        <w:t>In 2012, the program conducted a range of pilot activities to improve overall performance of Australia Awards for Indonesia.</w:t>
      </w:r>
      <w:r w:rsidR="00B525E5">
        <w:t xml:space="preserve"> </w:t>
      </w:r>
      <w:r>
        <w:t xml:space="preserve">These pilots include English </w:t>
      </w:r>
      <w:r w:rsidR="000851EE">
        <w:t>language training assistance</w:t>
      </w:r>
      <w:r>
        <w:t xml:space="preserve"> in targeted provinces, split-site awards, and short course delivery.</w:t>
      </w:r>
    </w:p>
    <w:p w14:paraId="51700058" w14:textId="5C980BD2" w:rsidR="00324DA8" w:rsidRDefault="00324DA8" w:rsidP="00425E21">
      <w:pPr>
        <w:pStyle w:val="BodyText"/>
        <w:rPr>
          <w:szCs w:val="22"/>
        </w:rPr>
      </w:pPr>
      <w:r w:rsidRPr="003A3336">
        <w:rPr>
          <w:szCs w:val="22"/>
        </w:rPr>
        <w:t xml:space="preserve">The first </w:t>
      </w:r>
      <w:r w:rsidR="000851EE" w:rsidRPr="003A3336">
        <w:rPr>
          <w:szCs w:val="22"/>
        </w:rPr>
        <w:t xml:space="preserve">English language training assistance </w:t>
      </w:r>
      <w:r w:rsidRPr="003A3336">
        <w:rPr>
          <w:szCs w:val="22"/>
        </w:rPr>
        <w:t xml:space="preserve">was successfully held in </w:t>
      </w:r>
      <w:proofErr w:type="spellStart"/>
      <w:r w:rsidRPr="003A3336">
        <w:rPr>
          <w:szCs w:val="22"/>
        </w:rPr>
        <w:t>Kupang</w:t>
      </w:r>
      <w:proofErr w:type="spellEnd"/>
      <w:r w:rsidRPr="003A3336">
        <w:rPr>
          <w:szCs w:val="22"/>
        </w:rPr>
        <w:t xml:space="preserve">, Nusa Tenggara </w:t>
      </w:r>
      <w:proofErr w:type="spellStart"/>
      <w:r w:rsidRPr="003A3336">
        <w:rPr>
          <w:szCs w:val="22"/>
        </w:rPr>
        <w:t>Timur</w:t>
      </w:r>
      <w:proofErr w:type="spellEnd"/>
      <w:r w:rsidR="000851EE" w:rsidRPr="003A3336">
        <w:rPr>
          <w:szCs w:val="22"/>
        </w:rPr>
        <w:t>. Thirty</w:t>
      </w:r>
      <w:r w:rsidRPr="003A3336">
        <w:rPr>
          <w:szCs w:val="22"/>
        </w:rPr>
        <w:t xml:space="preserve"> potential </w:t>
      </w:r>
      <w:r w:rsidR="000851EE" w:rsidRPr="003A3336">
        <w:rPr>
          <w:szCs w:val="22"/>
        </w:rPr>
        <w:t xml:space="preserve">scholarship </w:t>
      </w:r>
      <w:r w:rsidRPr="003A3336">
        <w:rPr>
          <w:szCs w:val="22"/>
        </w:rPr>
        <w:t>applicant</w:t>
      </w:r>
      <w:r w:rsidR="000851EE" w:rsidRPr="003A3336">
        <w:rPr>
          <w:szCs w:val="22"/>
        </w:rPr>
        <w:t>s</w:t>
      </w:r>
      <w:r w:rsidRPr="003A3336">
        <w:rPr>
          <w:szCs w:val="22"/>
        </w:rPr>
        <w:t xml:space="preserve"> </w:t>
      </w:r>
      <w:r w:rsidR="000851EE" w:rsidRPr="003A3336">
        <w:rPr>
          <w:szCs w:val="22"/>
        </w:rPr>
        <w:t>were</w:t>
      </w:r>
      <w:r w:rsidRPr="003A3336">
        <w:rPr>
          <w:szCs w:val="22"/>
        </w:rPr>
        <w:t xml:space="preserve"> chosen to undertake a three month training program to bring their </w:t>
      </w:r>
      <w:r w:rsidR="000851EE" w:rsidRPr="003A3336">
        <w:rPr>
          <w:szCs w:val="22"/>
        </w:rPr>
        <w:t xml:space="preserve">language standards up to Australia Awards </w:t>
      </w:r>
      <w:r w:rsidRPr="003A3336">
        <w:rPr>
          <w:szCs w:val="22"/>
        </w:rPr>
        <w:t>entry requirement</w:t>
      </w:r>
      <w:r w:rsidR="000851EE" w:rsidRPr="003A3336">
        <w:rPr>
          <w:szCs w:val="22"/>
        </w:rPr>
        <w:t>s</w:t>
      </w:r>
      <w:r w:rsidRPr="003A3336">
        <w:rPr>
          <w:szCs w:val="22"/>
        </w:rPr>
        <w:t>. Of the</w:t>
      </w:r>
      <w:r w:rsidR="000851EE" w:rsidRPr="003A3336">
        <w:rPr>
          <w:szCs w:val="22"/>
        </w:rPr>
        <w:t>se</w:t>
      </w:r>
      <w:r w:rsidRPr="003A3336">
        <w:rPr>
          <w:szCs w:val="22"/>
        </w:rPr>
        <w:t xml:space="preserve"> 30, all met </w:t>
      </w:r>
      <w:r w:rsidR="000851EE" w:rsidRPr="003A3336">
        <w:rPr>
          <w:szCs w:val="22"/>
        </w:rPr>
        <w:t xml:space="preserve">the </w:t>
      </w:r>
      <w:r w:rsidRPr="003A3336">
        <w:rPr>
          <w:szCs w:val="22"/>
        </w:rPr>
        <w:t>English language requirement</w:t>
      </w:r>
      <w:r w:rsidR="000851EE" w:rsidRPr="003A3336">
        <w:rPr>
          <w:szCs w:val="22"/>
        </w:rPr>
        <w:t>––28</w:t>
      </w:r>
      <w:r w:rsidRPr="003A3336">
        <w:rPr>
          <w:szCs w:val="22"/>
        </w:rPr>
        <w:t xml:space="preserve"> applied for </w:t>
      </w:r>
      <w:r w:rsidR="000851EE" w:rsidRPr="003A3336">
        <w:rPr>
          <w:szCs w:val="22"/>
        </w:rPr>
        <w:t xml:space="preserve">an </w:t>
      </w:r>
      <w:r w:rsidRPr="003A3336">
        <w:rPr>
          <w:szCs w:val="22"/>
        </w:rPr>
        <w:t>A</w:t>
      </w:r>
      <w:r w:rsidR="000851EE" w:rsidRPr="003A3336">
        <w:rPr>
          <w:szCs w:val="22"/>
        </w:rPr>
        <w:t xml:space="preserve">ustralian </w:t>
      </w:r>
      <w:r w:rsidRPr="003A3336">
        <w:rPr>
          <w:szCs w:val="22"/>
        </w:rPr>
        <w:t>D</w:t>
      </w:r>
      <w:r w:rsidR="000851EE" w:rsidRPr="003A3336">
        <w:rPr>
          <w:szCs w:val="22"/>
        </w:rPr>
        <w:t xml:space="preserve">evelopment </w:t>
      </w:r>
      <w:proofErr w:type="gramStart"/>
      <w:r w:rsidRPr="003A3336">
        <w:rPr>
          <w:szCs w:val="22"/>
        </w:rPr>
        <w:t>S</w:t>
      </w:r>
      <w:r w:rsidR="000851EE" w:rsidRPr="003A3336">
        <w:rPr>
          <w:szCs w:val="22"/>
        </w:rPr>
        <w:t>cholarship</w:t>
      </w:r>
      <w:r w:rsidRPr="003A3336">
        <w:rPr>
          <w:szCs w:val="22"/>
        </w:rPr>
        <w:t>,</w:t>
      </w:r>
      <w:proofErr w:type="gramEnd"/>
      <w:r w:rsidRPr="003A3336">
        <w:rPr>
          <w:szCs w:val="22"/>
        </w:rPr>
        <w:t xml:space="preserve"> </w:t>
      </w:r>
      <w:r w:rsidR="000851EE" w:rsidRPr="003A3336">
        <w:rPr>
          <w:szCs w:val="22"/>
        </w:rPr>
        <w:t xml:space="preserve">and </w:t>
      </w:r>
      <w:r w:rsidR="00FE14EB">
        <w:rPr>
          <w:szCs w:val="22"/>
        </w:rPr>
        <w:t xml:space="preserve">24 </w:t>
      </w:r>
      <w:r w:rsidR="000851EE" w:rsidRPr="003A3336">
        <w:rPr>
          <w:szCs w:val="22"/>
        </w:rPr>
        <w:t xml:space="preserve">were </w:t>
      </w:r>
      <w:r w:rsidRPr="003A3336">
        <w:rPr>
          <w:szCs w:val="22"/>
        </w:rPr>
        <w:t>shortlisted for interview. Fifteen applicants were eventually selected. This pilot activity will be expanded to other geographic focus areas.</w:t>
      </w:r>
    </w:p>
    <w:p w14:paraId="50CA077C" w14:textId="500A6E6D" w:rsidR="00324DA8" w:rsidRDefault="00324DA8" w:rsidP="00425E21">
      <w:pPr>
        <w:pStyle w:val="BodyText"/>
        <w:rPr>
          <w:szCs w:val="22"/>
        </w:rPr>
      </w:pPr>
      <w:r w:rsidRPr="003A3336">
        <w:rPr>
          <w:szCs w:val="22"/>
        </w:rPr>
        <w:t xml:space="preserve">The first Australia Awards Fellowship short course cohort commenced at the end of 2012, with 22 participants travelling to Australia for </w:t>
      </w:r>
      <w:r w:rsidR="000851EE" w:rsidRPr="003A3336">
        <w:rPr>
          <w:szCs w:val="22"/>
        </w:rPr>
        <w:t>two to three</w:t>
      </w:r>
      <w:r w:rsidRPr="003A3336">
        <w:rPr>
          <w:szCs w:val="22"/>
        </w:rPr>
        <w:t xml:space="preserve"> weeks. </w:t>
      </w:r>
      <w:r w:rsidR="000851EE" w:rsidRPr="003A3336">
        <w:rPr>
          <w:szCs w:val="22"/>
        </w:rPr>
        <w:t xml:space="preserve">Five </w:t>
      </w:r>
      <w:r w:rsidRPr="003A3336">
        <w:rPr>
          <w:szCs w:val="22"/>
        </w:rPr>
        <w:t>courses focusing on skill areas required by Echelon II and III staff</w:t>
      </w:r>
      <w:r w:rsidR="000851EE" w:rsidRPr="003A3336">
        <w:rPr>
          <w:szCs w:val="22"/>
        </w:rPr>
        <w:t>––</w:t>
      </w:r>
      <w:r w:rsidRPr="003A3336">
        <w:rPr>
          <w:szCs w:val="22"/>
        </w:rPr>
        <w:t xml:space="preserve">consistent with the </w:t>
      </w:r>
      <w:r w:rsidR="000A11DD" w:rsidRPr="003A3336">
        <w:rPr>
          <w:szCs w:val="22"/>
        </w:rPr>
        <w:t>Indonesian Government</w:t>
      </w:r>
      <w:r w:rsidRPr="003A3336">
        <w:rPr>
          <w:szCs w:val="22"/>
        </w:rPr>
        <w:t>’s bureaucratic reform process</w:t>
      </w:r>
      <w:r w:rsidR="000851EE" w:rsidRPr="003A3336">
        <w:rPr>
          <w:szCs w:val="22"/>
        </w:rPr>
        <w:t>––</w:t>
      </w:r>
      <w:r w:rsidRPr="003A3336">
        <w:rPr>
          <w:szCs w:val="22"/>
        </w:rPr>
        <w:t>will be delivered between late 2012 and mid</w:t>
      </w:r>
      <w:r w:rsidR="00FE14EB">
        <w:rPr>
          <w:szCs w:val="22"/>
        </w:rPr>
        <w:t>-</w:t>
      </w:r>
      <w:r w:rsidRPr="003A3336">
        <w:rPr>
          <w:szCs w:val="22"/>
        </w:rPr>
        <w:t>2013.</w:t>
      </w:r>
    </w:p>
    <w:p w14:paraId="2A9731DE" w14:textId="05346352" w:rsidR="00180379" w:rsidRDefault="003A3336" w:rsidP="00425E21">
      <w:pPr>
        <w:pStyle w:val="BodyText"/>
        <w:rPr>
          <w:szCs w:val="22"/>
        </w:rPr>
      </w:pPr>
      <w:r>
        <w:rPr>
          <w:szCs w:val="22"/>
        </w:rPr>
        <w:lastRenderedPageBreak/>
        <w:t xml:space="preserve">A pilot program </w:t>
      </w:r>
      <w:r w:rsidR="00180379">
        <w:rPr>
          <w:szCs w:val="22"/>
        </w:rPr>
        <w:t xml:space="preserve">has been implemented </w:t>
      </w:r>
      <w:r>
        <w:rPr>
          <w:szCs w:val="22"/>
        </w:rPr>
        <w:t xml:space="preserve">to enable awardees to complete part of their study in Indonesia and </w:t>
      </w:r>
      <w:r w:rsidR="00180379">
        <w:rPr>
          <w:szCs w:val="22"/>
        </w:rPr>
        <w:t xml:space="preserve">part of it in Australia. Three pilot sites have been established for the </w:t>
      </w:r>
      <w:proofErr w:type="spellStart"/>
      <w:r w:rsidR="00180379">
        <w:rPr>
          <w:szCs w:val="22"/>
        </w:rPr>
        <w:t>Masters</w:t>
      </w:r>
      <w:proofErr w:type="spellEnd"/>
      <w:r w:rsidR="00180379">
        <w:rPr>
          <w:szCs w:val="22"/>
        </w:rPr>
        <w:t xml:space="preserve"> program including for the:</w:t>
      </w:r>
    </w:p>
    <w:p w14:paraId="4E5906A0" w14:textId="45D2ED26" w:rsidR="00180379" w:rsidRPr="00180379" w:rsidRDefault="00180379" w:rsidP="00425E21">
      <w:pPr>
        <w:pStyle w:val="ListBullet"/>
      </w:pPr>
      <w:r w:rsidRPr="00180379">
        <w:t xml:space="preserve">Fiscal Policy Office, </w:t>
      </w:r>
      <w:r>
        <w:t>with</w:t>
      </w:r>
      <w:r w:rsidRPr="00180379">
        <w:t xml:space="preserve"> the </w:t>
      </w:r>
      <w:r w:rsidR="00324DA8" w:rsidRPr="00180379">
        <w:t>University of Indonesia/</w:t>
      </w:r>
      <w:proofErr w:type="spellStart"/>
      <w:r w:rsidR="00324DA8" w:rsidRPr="00180379">
        <w:t>Gadjah</w:t>
      </w:r>
      <w:proofErr w:type="spellEnd"/>
      <w:r w:rsidR="00324DA8" w:rsidRPr="00180379">
        <w:t xml:space="preserve"> </w:t>
      </w:r>
      <w:proofErr w:type="spellStart"/>
      <w:r w:rsidR="00324DA8" w:rsidRPr="00180379">
        <w:t>Mada</w:t>
      </w:r>
      <w:proofErr w:type="spellEnd"/>
      <w:r w:rsidR="00324DA8" w:rsidRPr="00180379">
        <w:t xml:space="preserve"> University and the Australian National University</w:t>
      </w:r>
    </w:p>
    <w:p w14:paraId="0F4D985E" w14:textId="47E092A9" w:rsidR="00180379" w:rsidRPr="00180379" w:rsidRDefault="009F53DE" w:rsidP="00425E21">
      <w:pPr>
        <w:pStyle w:val="ListBullet"/>
      </w:pPr>
      <w:r w:rsidRPr="00BD7A1D">
        <w:t>National Development Planning Agency</w:t>
      </w:r>
      <w:r w:rsidR="00180379" w:rsidRPr="00BD7A1D">
        <w:t>, with</w:t>
      </w:r>
      <w:r w:rsidR="00180379" w:rsidRPr="00180379">
        <w:t xml:space="preserve"> </w:t>
      </w:r>
      <w:proofErr w:type="spellStart"/>
      <w:r w:rsidR="00324DA8" w:rsidRPr="00180379">
        <w:t>Gadjah</w:t>
      </w:r>
      <w:proofErr w:type="spellEnd"/>
      <w:r w:rsidR="00324DA8" w:rsidRPr="00180379">
        <w:t xml:space="preserve"> </w:t>
      </w:r>
      <w:proofErr w:type="spellStart"/>
      <w:r w:rsidR="00324DA8" w:rsidRPr="00180379">
        <w:t>Mada</w:t>
      </w:r>
      <w:proofErr w:type="spellEnd"/>
      <w:r w:rsidR="00324DA8" w:rsidRPr="00180379">
        <w:t xml:space="preserve"> University and Curtin University of Technology</w:t>
      </w:r>
    </w:p>
    <w:p w14:paraId="44F8626B" w14:textId="594F33D8" w:rsidR="00180379" w:rsidRPr="00180379" w:rsidRDefault="00180379" w:rsidP="00425E21">
      <w:pPr>
        <w:pStyle w:val="ListBullet"/>
      </w:pPr>
      <w:r>
        <w:t xml:space="preserve">Ministry of Trade, with </w:t>
      </w:r>
      <w:r w:rsidRPr="00180379">
        <w:t xml:space="preserve">the </w:t>
      </w:r>
      <w:r w:rsidR="00324DA8" w:rsidRPr="00180379">
        <w:t xml:space="preserve">Institute </w:t>
      </w:r>
      <w:proofErr w:type="spellStart"/>
      <w:r w:rsidR="00324DA8" w:rsidRPr="00180379">
        <w:t>Pertanian</w:t>
      </w:r>
      <w:proofErr w:type="spellEnd"/>
      <w:r w:rsidR="00324DA8" w:rsidRPr="00180379">
        <w:t xml:space="preserve"> B</w:t>
      </w:r>
      <w:r w:rsidRPr="00180379">
        <w:t>ogor and University of Adelaide</w:t>
      </w:r>
      <w:r w:rsidR="00324DA8" w:rsidRPr="00180379">
        <w:t>.</w:t>
      </w:r>
    </w:p>
    <w:p w14:paraId="718DFFE1" w14:textId="7E1DC1CB" w:rsidR="00324DA8" w:rsidRDefault="00324DA8" w:rsidP="00425E21">
      <w:pPr>
        <w:pStyle w:val="BodyText"/>
      </w:pPr>
      <w:r w:rsidRPr="00180379">
        <w:t>It is anticipated that the F</w:t>
      </w:r>
      <w:r w:rsidR="00150EE9" w:rsidRPr="00180379">
        <w:t xml:space="preserve">iscal </w:t>
      </w:r>
      <w:r w:rsidRPr="00180379">
        <w:t>P</w:t>
      </w:r>
      <w:r w:rsidR="00150EE9" w:rsidRPr="00180379">
        <w:t xml:space="preserve">olicy </w:t>
      </w:r>
      <w:r w:rsidRPr="00180379">
        <w:t>O</w:t>
      </w:r>
      <w:r w:rsidR="00150EE9" w:rsidRPr="00180379">
        <w:t>ffice</w:t>
      </w:r>
      <w:r w:rsidR="00180379">
        <w:t>’s</w:t>
      </w:r>
      <w:r w:rsidRPr="00180379">
        <w:t xml:space="preserve"> cohort (10 awardees) will commence at the </w:t>
      </w:r>
      <w:r w:rsidR="00180379" w:rsidRPr="00180379">
        <w:t xml:space="preserve">Australian National University </w:t>
      </w:r>
      <w:r w:rsidRPr="00180379">
        <w:t>in early 2013. A total of up to 50 places have been allocated to split site masters candidates in 2013 and 2014.</w:t>
      </w:r>
    </w:p>
    <w:p w14:paraId="6F9E40CA" w14:textId="1BDDAF8C" w:rsidR="00324DA8" w:rsidRDefault="00324DA8" w:rsidP="00425E21">
      <w:pPr>
        <w:pStyle w:val="BodyText"/>
      </w:pPr>
      <w:r>
        <w:t>There was continued growth in the number of successful applicants from targeted regions, with 27</w:t>
      </w:r>
      <w:r w:rsidR="000851EE">
        <w:t xml:space="preserve"> per cent </w:t>
      </w:r>
      <w:r>
        <w:t xml:space="preserve">of awards going to applicants from Papua, Papua Barat, Aceh, Nusa Tenggara </w:t>
      </w:r>
      <w:proofErr w:type="spellStart"/>
      <w:r>
        <w:t>Timur</w:t>
      </w:r>
      <w:proofErr w:type="spellEnd"/>
      <w:r>
        <w:t xml:space="preserve"> and Nusa Tenggara Barat. The Australia Awards continue to achieve strong gender balance with </w:t>
      </w:r>
      <w:r w:rsidR="000851EE">
        <w:t xml:space="preserve">half </w:t>
      </w:r>
      <w:r>
        <w:t>going to women.</w:t>
      </w:r>
    </w:p>
    <w:p w14:paraId="25286E82" w14:textId="3B3B1E18" w:rsidR="00324DA8" w:rsidRDefault="00324DA8" w:rsidP="00425E21">
      <w:pPr>
        <w:pStyle w:val="BodyText"/>
      </w:pPr>
      <w:r>
        <w:t xml:space="preserve">In 2012, the first </w:t>
      </w:r>
      <w:r w:rsidR="000851EE">
        <w:t xml:space="preserve">tracer study </w:t>
      </w:r>
      <w:r>
        <w:t xml:space="preserve">based on </w:t>
      </w:r>
      <w:r w:rsidR="004C087A">
        <w:t xml:space="preserve">the aid program’s </w:t>
      </w:r>
      <w:r>
        <w:t>global guidelines was conducted.</w:t>
      </w:r>
      <w:r w:rsidR="00B525E5">
        <w:t xml:space="preserve"> </w:t>
      </w:r>
      <w:r w:rsidR="000851EE">
        <w:t xml:space="preserve">It </w:t>
      </w:r>
      <w:r>
        <w:t>included 219 alumni who returned from study in Australia in 2009.</w:t>
      </w:r>
      <w:r w:rsidR="00B525E5">
        <w:t xml:space="preserve"> </w:t>
      </w:r>
      <w:r>
        <w:t xml:space="preserve">Key findings and conclusions emerging from the study </w:t>
      </w:r>
      <w:r w:rsidR="0053455E">
        <w:t>show that alumni are</w:t>
      </w:r>
      <w:r>
        <w:t>:</w:t>
      </w:r>
    </w:p>
    <w:p w14:paraId="1B244513" w14:textId="52C89B7C" w:rsidR="00324DA8" w:rsidRDefault="00324DA8" w:rsidP="00425E21">
      <w:pPr>
        <w:pStyle w:val="ListBullet"/>
      </w:pPr>
      <w:r>
        <w:t xml:space="preserve">applying their knowledge, attitude </w:t>
      </w:r>
      <w:r w:rsidR="00180379">
        <w:t>and skills in their workplaces––</w:t>
      </w:r>
      <w:r>
        <w:t>74</w:t>
      </w:r>
      <w:r w:rsidR="000851EE">
        <w:t xml:space="preserve"> per cent </w:t>
      </w:r>
      <w:r>
        <w:t>indicated that the knowledge and skills that they gained from their study in Australia were highly relevant to their work position on return and 79</w:t>
      </w:r>
      <w:r w:rsidR="0053455E">
        <w:t xml:space="preserve"> per cent </w:t>
      </w:r>
      <w:r>
        <w:t xml:space="preserve">indicated that they used their knowledge and skills </w:t>
      </w:r>
      <w:r w:rsidR="00180379">
        <w:t>regularly in their current work</w:t>
      </w:r>
    </w:p>
    <w:p w14:paraId="597AA731" w14:textId="65FE5808" w:rsidR="00324DA8" w:rsidRDefault="00324DA8" w:rsidP="00425E21">
      <w:pPr>
        <w:pStyle w:val="ListBullet"/>
      </w:pPr>
      <w:r>
        <w:t xml:space="preserve">effectively reintegrated into </w:t>
      </w:r>
      <w:r w:rsidR="0053455E">
        <w:t xml:space="preserve">key agencies </w:t>
      </w:r>
      <w:r>
        <w:t>to strengthen agency service provision 97</w:t>
      </w:r>
      <w:r w:rsidR="0053455E">
        <w:t xml:space="preserve"> per cent of </w:t>
      </w:r>
      <w:r>
        <w:t>alumni from the public sector returned back to their former workplace and 77</w:t>
      </w:r>
      <w:r w:rsidR="0053455E">
        <w:t xml:space="preserve"> per cent </w:t>
      </w:r>
      <w:r>
        <w:t>indicated that they had a greater role in policy making, suggest</w:t>
      </w:r>
      <w:r w:rsidR="0053455E">
        <w:t>ing</w:t>
      </w:r>
      <w:r>
        <w:t xml:space="preserve"> a greater level of influence in their workplace</w:t>
      </w:r>
    </w:p>
    <w:p w14:paraId="516CF2F8" w14:textId="5BD8CB90" w:rsidR="00324DA8" w:rsidRDefault="00324DA8" w:rsidP="00425E21">
      <w:pPr>
        <w:pStyle w:val="ListBullet"/>
      </w:pPr>
      <w:r>
        <w:t>initiating or supporting people-to-people links between Indonesians, and betwe</w:t>
      </w:r>
      <w:r w:rsidR="00180379">
        <w:t>en Indonesians and Australians––</w:t>
      </w:r>
      <w:r>
        <w:t>32</w:t>
      </w:r>
      <w:r w:rsidR="0053455E">
        <w:t xml:space="preserve"> per cent of </w:t>
      </w:r>
      <w:r>
        <w:t>alumni maintain contact with their former university and 33</w:t>
      </w:r>
      <w:r w:rsidR="0053455E">
        <w:t xml:space="preserve"> per cent </w:t>
      </w:r>
      <w:r>
        <w:t>maintain contact with Australian communities</w:t>
      </w:r>
    </w:p>
    <w:p w14:paraId="5BB1EAB6" w14:textId="114EA66A" w:rsidR="009B726E" w:rsidRDefault="00324DA8" w:rsidP="00425E21">
      <w:pPr>
        <w:pStyle w:val="ListBullet"/>
      </w:pPr>
      <w:proofErr w:type="gramStart"/>
      <w:r>
        <w:t>returning</w:t>
      </w:r>
      <w:proofErr w:type="gramEnd"/>
      <w:r>
        <w:t xml:space="preserve"> with and maintaining a positive perception of Australia</w:t>
      </w:r>
      <w:r w:rsidR="00180379">
        <w:t>––</w:t>
      </w:r>
      <w:r>
        <w:t>89</w:t>
      </w:r>
      <w:r w:rsidR="0053455E">
        <w:t xml:space="preserve"> per cent </w:t>
      </w:r>
      <w:r>
        <w:t>rated their scholarship experience in Australia very positive and 77</w:t>
      </w:r>
      <w:r w:rsidR="0053455E">
        <w:t xml:space="preserve"> per cent </w:t>
      </w:r>
      <w:r>
        <w:t>fel</w:t>
      </w:r>
      <w:r w:rsidR="00180379">
        <w:t>t very positive about Australia</w:t>
      </w:r>
      <w:r>
        <w:t>.</w:t>
      </w:r>
    </w:p>
    <w:p w14:paraId="5386210E" w14:textId="69841886" w:rsidR="009B726E" w:rsidRDefault="00324DA8" w:rsidP="00324DA8">
      <w:pPr>
        <w:pStyle w:val="BodyText"/>
      </w:pPr>
      <w:r w:rsidRPr="00324DA8">
        <w:t xml:space="preserve">The current phase of Australia Awards for Indonesia is being implemented by a managing contractor until January 2014. </w:t>
      </w:r>
      <w:r w:rsidR="002E5E9F">
        <w:t>DFAT</w:t>
      </w:r>
      <w:r w:rsidRPr="00324DA8">
        <w:t xml:space="preserve"> is undergoing a review and redesign process for the next phase of the program which will build on the long history of program delivery and align closely with the next </w:t>
      </w:r>
      <w:r w:rsidR="0053455E" w:rsidRPr="00324DA8">
        <w:t>country program strategy</w:t>
      </w:r>
      <w:r w:rsidRPr="00324DA8">
        <w:t>.</w:t>
      </w:r>
    </w:p>
    <w:p w14:paraId="5BAF073A" w14:textId="22C76518" w:rsidR="00FF54F7" w:rsidRPr="00FF54F7" w:rsidRDefault="00FF54F7" w:rsidP="00425E21">
      <w:pPr>
        <w:pStyle w:val="Heading2"/>
      </w:pPr>
      <w:bookmarkStart w:id="92" w:name="_Toc359585114"/>
      <w:bookmarkStart w:id="93" w:name="_Toc363768603"/>
      <w:bookmarkStart w:id="94" w:name="_Toc363804139"/>
      <w:r w:rsidRPr="00FF54F7">
        <w:t xml:space="preserve">Management </w:t>
      </w:r>
      <w:bookmarkEnd w:id="92"/>
      <w:r w:rsidR="00F81534">
        <w:t>c</w:t>
      </w:r>
      <w:r w:rsidR="00F81534" w:rsidRPr="00FF54F7">
        <w:t>onsequences</w:t>
      </w:r>
      <w:bookmarkEnd w:id="93"/>
      <w:bookmarkEnd w:id="94"/>
    </w:p>
    <w:p w14:paraId="64B5208C" w14:textId="3B58ADF9" w:rsidR="00324DA8" w:rsidRDefault="00324DA8" w:rsidP="00324DA8">
      <w:pPr>
        <w:pStyle w:val="BodyText"/>
      </w:pPr>
      <w:r>
        <w:t>Management consequences for 2013</w:t>
      </w:r>
      <w:r w:rsidR="00F81534">
        <w:t>–</w:t>
      </w:r>
      <w:r>
        <w:t xml:space="preserve">14 </w:t>
      </w:r>
      <w:r w:rsidR="00F81534">
        <w:t>include</w:t>
      </w:r>
      <w:r>
        <w:t>:</w:t>
      </w:r>
    </w:p>
    <w:p w14:paraId="13AE8AF5" w14:textId="0F8D1E0D" w:rsidR="00324DA8" w:rsidRDefault="0053455E" w:rsidP="00425E21">
      <w:pPr>
        <w:pStyle w:val="ListBullet"/>
      </w:pPr>
      <w:r>
        <w:t>I</w:t>
      </w:r>
      <w:r w:rsidR="00324DA8">
        <w:t xml:space="preserve">dentify a new managing contractor </w:t>
      </w:r>
      <w:r>
        <w:t xml:space="preserve">in August 2013 to be </w:t>
      </w:r>
      <w:r w:rsidR="00324DA8">
        <w:t>responsible for in-Indonesia management of Australia Awards including promotion, targeting, application, selection, mobilisation and post-award support.</w:t>
      </w:r>
      <w:r w:rsidR="00B525E5">
        <w:t xml:space="preserve"> </w:t>
      </w:r>
    </w:p>
    <w:p w14:paraId="2A15824B" w14:textId="3C39F64F" w:rsidR="00324DA8" w:rsidRDefault="0053455E" w:rsidP="00425E21">
      <w:pPr>
        <w:pStyle w:val="ListBullet"/>
      </w:pPr>
      <w:r>
        <w:t xml:space="preserve">Ensure the </w:t>
      </w:r>
      <w:r w:rsidR="00324DA8">
        <w:t>new design retain</w:t>
      </w:r>
      <w:r>
        <w:t>s</w:t>
      </w:r>
      <w:r w:rsidR="00324DA8">
        <w:t xml:space="preserve"> positive features of the current program, while refocusing and strengthening strategies </w:t>
      </w:r>
      <w:r>
        <w:t>to</w:t>
      </w:r>
      <w:r w:rsidR="00324DA8">
        <w:t xml:space="preserve"> achieve</w:t>
      </w:r>
      <w:r>
        <w:t xml:space="preserve"> </w:t>
      </w:r>
      <w:r w:rsidR="00324DA8">
        <w:t>strengthened end of program outcomes. It will also continue implementation of the pilots until they are completed and can be thoroughly evaluated.</w:t>
      </w:r>
    </w:p>
    <w:p w14:paraId="16342DF2" w14:textId="57105807" w:rsidR="00780026" w:rsidRDefault="009B726E" w:rsidP="00324DA8">
      <w:pPr>
        <w:pStyle w:val="BodyText"/>
      </w:pPr>
      <w:r>
        <w:lastRenderedPageBreak/>
        <w:t>T</w:t>
      </w:r>
      <w:r w:rsidRPr="004048AD">
        <w:t xml:space="preserve">he </w:t>
      </w:r>
      <w:r w:rsidR="0053455E">
        <w:t>follow-</w:t>
      </w:r>
      <w:r>
        <w:t xml:space="preserve">up of </w:t>
      </w:r>
      <w:r w:rsidRPr="004048AD">
        <w:t xml:space="preserve">management consequences from the </w:t>
      </w:r>
      <w:r w:rsidR="009D3674">
        <w:t>2011 annual program performance report</w:t>
      </w:r>
      <w:r w:rsidR="009D3674" w:rsidRPr="004048AD">
        <w:t xml:space="preserve"> </w:t>
      </w:r>
      <w:r>
        <w:t>can be found in</w:t>
      </w:r>
      <w:r w:rsidRPr="004048AD">
        <w:t xml:space="preserve"> </w:t>
      </w:r>
      <w:r w:rsidRPr="00154F9B">
        <w:rPr>
          <w:b/>
        </w:rPr>
        <w:t>Annex B</w:t>
      </w:r>
      <w:r w:rsidRPr="004048AD">
        <w:t>.</w:t>
      </w:r>
    </w:p>
    <w:p w14:paraId="6AD36751" w14:textId="77777777" w:rsidR="00780026" w:rsidRDefault="00780026" w:rsidP="002A1935">
      <w:pPr>
        <w:pStyle w:val="BodyText"/>
        <w:sectPr w:rsidR="00780026" w:rsidSect="006E4F43">
          <w:headerReference w:type="default" r:id="rId11"/>
          <w:footerReference w:type="default" r:id="rId12"/>
          <w:headerReference w:type="first" r:id="rId13"/>
          <w:footerReference w:type="first" r:id="rId14"/>
          <w:pgSz w:w="11906" w:h="16838" w:code="9"/>
          <w:pgMar w:top="2268" w:right="1701" w:bottom="907" w:left="1871" w:header="709" w:footer="454" w:gutter="0"/>
          <w:cols w:space="708"/>
          <w:titlePg/>
          <w:docGrid w:linePitch="360"/>
        </w:sectPr>
      </w:pPr>
    </w:p>
    <w:p w14:paraId="4B2F766D" w14:textId="77777777" w:rsidR="00FE4491" w:rsidRPr="00540514" w:rsidRDefault="00C65930" w:rsidP="00540514">
      <w:pPr>
        <w:pStyle w:val="Heading1"/>
      </w:pPr>
      <w:bookmarkStart w:id="95" w:name="_Toc359585115"/>
      <w:bookmarkStart w:id="96" w:name="_Toc363804140"/>
      <w:r w:rsidRPr="00540514">
        <w:lastRenderedPageBreak/>
        <w:t xml:space="preserve">Annex </w:t>
      </w:r>
      <w:r w:rsidR="009B726E" w:rsidRPr="00540514">
        <w:t>B</w:t>
      </w:r>
      <w:bookmarkEnd w:id="95"/>
      <w:bookmarkEnd w:id="96"/>
      <w:r w:rsidR="00FE4491" w:rsidRPr="00540514">
        <w:t xml:space="preserve"> </w:t>
      </w:r>
    </w:p>
    <w:p w14:paraId="76DF11EE" w14:textId="77777777" w:rsidR="00FE4491" w:rsidRPr="00540514" w:rsidRDefault="00FE4491" w:rsidP="00540514">
      <w:pPr>
        <w:pStyle w:val="Heading2"/>
      </w:pPr>
      <w:bookmarkStart w:id="97" w:name="_Toc359585116"/>
      <w:bookmarkStart w:id="98" w:name="_Toc363768605"/>
      <w:bookmarkStart w:id="99" w:name="_Toc363804141"/>
      <w:r w:rsidRPr="00540514">
        <w:t>Progress in addressing 2011 management consequences</w:t>
      </w:r>
      <w:bookmarkEnd w:id="97"/>
      <w:bookmarkEnd w:id="98"/>
      <w:bookmarkEnd w:id="99"/>
    </w:p>
    <w:tbl>
      <w:tblPr>
        <w:tblStyle w:val="APPR13"/>
        <w:tblW w:w="5000" w:type="pct"/>
        <w:tblLayout w:type="fixed"/>
        <w:tblLook w:val="0000" w:firstRow="0" w:lastRow="0" w:firstColumn="0" w:lastColumn="0" w:noHBand="0" w:noVBand="0"/>
      </w:tblPr>
      <w:tblGrid>
        <w:gridCol w:w="6400"/>
        <w:gridCol w:w="854"/>
        <w:gridCol w:w="6681"/>
      </w:tblGrid>
      <w:tr w:rsidR="00713ED0" w:rsidRPr="00713ED0" w14:paraId="3B15A50F" w14:textId="77777777" w:rsidTr="00A234FB">
        <w:trPr>
          <w:cnfStyle w:val="000000010000" w:firstRow="0" w:lastRow="0" w:firstColumn="0" w:lastColumn="0" w:oddVBand="0" w:evenVBand="0" w:oddHBand="0" w:evenHBand="1" w:firstRowFirstColumn="0" w:firstRowLastColumn="0" w:lastRowFirstColumn="0" w:lastRowLastColumn="0"/>
          <w:cantSplit/>
        </w:trPr>
        <w:tc>
          <w:tcPr>
            <w:tcW w:w="6331" w:type="dxa"/>
          </w:tcPr>
          <w:p w14:paraId="66BFCB99" w14:textId="40393020" w:rsidR="00713ED0" w:rsidRPr="00713ED0" w:rsidRDefault="00713ED0" w:rsidP="00BD0B70">
            <w:pPr>
              <w:pStyle w:val="TableTextColumnHeading"/>
            </w:pPr>
            <w:r w:rsidRPr="00713ED0">
              <w:t xml:space="preserve">Management consequences identified in 2011 </w:t>
            </w:r>
            <w:r w:rsidR="00BD0B70">
              <w:t>APPR</w:t>
            </w:r>
          </w:p>
        </w:tc>
        <w:tc>
          <w:tcPr>
            <w:tcW w:w="823" w:type="dxa"/>
          </w:tcPr>
          <w:p w14:paraId="66F29B66" w14:textId="77777777" w:rsidR="00713ED0" w:rsidRPr="00713ED0" w:rsidRDefault="00713ED0" w:rsidP="00540514">
            <w:pPr>
              <w:pStyle w:val="TableTextColumnHeading"/>
            </w:pPr>
            <w:r w:rsidRPr="00713ED0">
              <w:t>Rating</w:t>
            </w:r>
          </w:p>
        </w:tc>
        <w:tc>
          <w:tcPr>
            <w:tcW w:w="6612" w:type="dxa"/>
          </w:tcPr>
          <w:p w14:paraId="04408AB3" w14:textId="33B816C2" w:rsidR="00713ED0" w:rsidRPr="00713ED0" w:rsidRDefault="00713ED0" w:rsidP="00540514">
            <w:pPr>
              <w:pStyle w:val="TableTextColumnHeading"/>
            </w:pPr>
            <w:r w:rsidRPr="00713ED0">
              <w:t>Progress made in 2012</w:t>
            </w:r>
            <w:r w:rsidR="002A358C">
              <w:t>–</w:t>
            </w:r>
            <w:r w:rsidRPr="00713ED0">
              <w:t>13</w:t>
            </w:r>
          </w:p>
        </w:tc>
      </w:tr>
      <w:tr w:rsidR="00CA4CD5" w:rsidRPr="00713ED0" w14:paraId="4B88140A" w14:textId="77777777" w:rsidTr="00540514">
        <w:trPr>
          <w:cantSplit/>
          <w:tblHeader w:val="0"/>
        </w:trPr>
        <w:tc>
          <w:tcPr>
            <w:tcW w:w="6331" w:type="dxa"/>
          </w:tcPr>
          <w:p w14:paraId="4869F47C" w14:textId="77777777" w:rsidR="00CA4CD5" w:rsidRPr="00713ED0" w:rsidRDefault="00CA4CD5" w:rsidP="00540514">
            <w:pPr>
              <w:pStyle w:val="TableHeading2"/>
            </w:pPr>
            <w:r w:rsidRPr="00713ED0">
              <w:t>Program quality</w:t>
            </w:r>
          </w:p>
        </w:tc>
        <w:tc>
          <w:tcPr>
            <w:tcW w:w="823" w:type="dxa"/>
            <w:shd w:val="clear" w:color="auto" w:fill="FFFFFF" w:themeFill="background1"/>
          </w:tcPr>
          <w:p w14:paraId="23D51031" w14:textId="77777777" w:rsidR="00CA4CD5" w:rsidRPr="00713ED0" w:rsidRDefault="00CA4CD5" w:rsidP="00CC7528">
            <w:pPr>
              <w:keepLines/>
              <w:spacing w:before="40" w:after="40" w:line="200" w:lineRule="atLeast"/>
              <w:jc w:val="center"/>
              <w:rPr>
                <w:rFonts w:eastAsia="Times New Roman"/>
                <w:color w:val="FFFFFF" w:themeColor="background1"/>
                <w:sz w:val="17"/>
                <w:szCs w:val="17"/>
                <w:lang w:eastAsia="en-US"/>
              </w:rPr>
            </w:pPr>
          </w:p>
        </w:tc>
        <w:tc>
          <w:tcPr>
            <w:tcW w:w="6612" w:type="dxa"/>
          </w:tcPr>
          <w:p w14:paraId="3FDAE4CB" w14:textId="77777777" w:rsidR="00CA4CD5" w:rsidRPr="00713ED0" w:rsidRDefault="00CA4CD5" w:rsidP="00CC7528">
            <w:pPr>
              <w:keepLines/>
              <w:spacing w:before="40" w:after="40" w:line="200" w:lineRule="atLeast"/>
              <w:rPr>
                <w:rFonts w:eastAsia="Times New Roman"/>
                <w:color w:val="F79646" w:themeColor="accent6"/>
                <w:sz w:val="17"/>
                <w:szCs w:val="17"/>
                <w:lang w:eastAsia="en-US"/>
              </w:rPr>
            </w:pPr>
          </w:p>
        </w:tc>
      </w:tr>
      <w:tr w:rsidR="00CA4CD5" w:rsidRPr="00713ED0" w14:paraId="2FFE4ADB"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tcPr>
          <w:p w14:paraId="3E75AABC" w14:textId="3BC260EE" w:rsidR="00CA4CD5" w:rsidRPr="00713ED0" w:rsidRDefault="00CA4CD5" w:rsidP="00540514">
            <w:pPr>
              <w:pStyle w:val="TableListBullet"/>
            </w:pPr>
            <w:r w:rsidRPr="00713ED0">
              <w:t>Finalise the country strategy outlining the future direction of expanded program to 2015–16</w:t>
            </w:r>
            <w:r w:rsidR="00600C89">
              <w:t>.</w:t>
            </w:r>
          </w:p>
        </w:tc>
        <w:tc>
          <w:tcPr>
            <w:tcW w:w="823" w:type="dxa"/>
            <w:shd w:val="clear" w:color="auto" w:fill="F79646" w:themeFill="accent6"/>
          </w:tcPr>
          <w:p w14:paraId="4323C5BD" w14:textId="77777777" w:rsidR="00CA4CD5" w:rsidRPr="00540514" w:rsidRDefault="00CA4CD5" w:rsidP="00540514">
            <w:pPr>
              <w:pStyle w:val="TableTextEntries"/>
            </w:pPr>
            <w:r w:rsidRPr="00540514">
              <w:t>Amber</w:t>
            </w:r>
          </w:p>
        </w:tc>
        <w:tc>
          <w:tcPr>
            <w:tcW w:w="6612" w:type="dxa"/>
          </w:tcPr>
          <w:p w14:paraId="4E65BC86" w14:textId="1FF7D90A" w:rsidR="00CA4CD5" w:rsidRPr="005B1AD4" w:rsidRDefault="00CA4CD5" w:rsidP="00540514">
            <w:pPr>
              <w:pStyle w:val="TableTextEntries"/>
            </w:pPr>
            <w:r w:rsidRPr="00CA4CD5">
              <w:t xml:space="preserve">Country </w:t>
            </w:r>
            <w:r w:rsidR="00600C89">
              <w:t>s</w:t>
            </w:r>
            <w:r w:rsidR="00600C89" w:rsidRPr="00CA4CD5">
              <w:t xml:space="preserve">trategy </w:t>
            </w:r>
            <w:r w:rsidRPr="00CA4CD5">
              <w:t xml:space="preserve">finalisation is pending the </w:t>
            </w:r>
            <w:r w:rsidR="000A11DD">
              <w:t>Indonesian Government</w:t>
            </w:r>
            <w:r w:rsidRPr="00CA4CD5">
              <w:t>’s Medium Term Development Strategy</w:t>
            </w:r>
            <w:r w:rsidRPr="005B1AD4">
              <w:t xml:space="preserve"> to be released by 2015.</w:t>
            </w:r>
          </w:p>
        </w:tc>
      </w:tr>
      <w:tr w:rsidR="00CA4CD5" w:rsidRPr="00713ED0" w14:paraId="50A679FF" w14:textId="77777777" w:rsidTr="00805D86">
        <w:trPr>
          <w:cantSplit/>
          <w:tblHeader w:val="0"/>
        </w:trPr>
        <w:tc>
          <w:tcPr>
            <w:tcW w:w="6331" w:type="dxa"/>
            <w:vMerge w:val="restart"/>
          </w:tcPr>
          <w:p w14:paraId="312CC7BD" w14:textId="60E180D5" w:rsidR="00CA4CD5" w:rsidRPr="00713ED0" w:rsidRDefault="00CA4CD5" w:rsidP="00540514">
            <w:pPr>
              <w:pStyle w:val="TableListBullet"/>
            </w:pPr>
            <w:r w:rsidRPr="00713ED0">
              <w:t>Commence new programs in knowledge sector, Women in Leadership, Australia–Indones</w:t>
            </w:r>
            <w:r w:rsidR="009512DB">
              <w:t>ia Program for Decentralisation (</w:t>
            </w:r>
            <w:r w:rsidRPr="00713ED0">
              <w:t>Rural</w:t>
            </w:r>
            <w:r w:rsidR="009512DB">
              <w:t>)</w:t>
            </w:r>
            <w:r w:rsidRPr="00713ED0">
              <w:t>, HIV program in Papua, and Health System Strengthening</w:t>
            </w:r>
            <w:r w:rsidR="00600C89">
              <w:t>.</w:t>
            </w:r>
          </w:p>
        </w:tc>
        <w:tc>
          <w:tcPr>
            <w:tcW w:w="823" w:type="dxa"/>
            <w:tcBorders>
              <w:top w:val="nil"/>
              <w:bottom w:val="nil"/>
            </w:tcBorders>
            <w:shd w:val="clear" w:color="auto" w:fill="92D050"/>
          </w:tcPr>
          <w:p w14:paraId="1DF770E8" w14:textId="77777777" w:rsidR="00CA4CD5" w:rsidRPr="00540514" w:rsidRDefault="00CA4CD5" w:rsidP="00540514">
            <w:pPr>
              <w:pStyle w:val="TableTextEntries"/>
            </w:pPr>
            <w:r w:rsidRPr="00540514">
              <w:t>Green</w:t>
            </w:r>
          </w:p>
        </w:tc>
        <w:tc>
          <w:tcPr>
            <w:tcW w:w="6612" w:type="dxa"/>
            <w:vMerge w:val="restart"/>
          </w:tcPr>
          <w:p w14:paraId="38B3468E" w14:textId="4B483DCA" w:rsidR="00CA4CD5" w:rsidRPr="00CA4CD5" w:rsidRDefault="00CA4CD5" w:rsidP="00540514">
            <w:pPr>
              <w:pStyle w:val="TableTextEntries"/>
            </w:pPr>
            <w:r w:rsidRPr="00CA4CD5">
              <w:t xml:space="preserve">All programs have commenced except </w:t>
            </w:r>
            <w:r w:rsidR="00600C89" w:rsidRPr="00600C89">
              <w:t>Australia</w:t>
            </w:r>
            <w:r w:rsidR="00B525E5">
              <w:t>–</w:t>
            </w:r>
            <w:r w:rsidR="00600C89" w:rsidRPr="00600C89">
              <w:t>Indonesia Partnership for Decentralisation</w:t>
            </w:r>
            <w:r w:rsidR="009512DB">
              <w:t xml:space="preserve"> (</w:t>
            </w:r>
            <w:r w:rsidRPr="00CA4CD5">
              <w:t>Rural</w:t>
            </w:r>
            <w:r w:rsidR="009512DB">
              <w:t>)</w:t>
            </w:r>
            <w:r w:rsidRPr="00CA4CD5">
              <w:t xml:space="preserve">. A major component of </w:t>
            </w:r>
            <w:r w:rsidR="00600C89">
              <w:t>this program––the</w:t>
            </w:r>
            <w:r w:rsidR="00600C89" w:rsidRPr="00600C89">
              <w:rPr>
                <w:rFonts w:asciiTheme="minorHAnsi" w:hAnsiTheme="minorHAnsi"/>
                <w:sz w:val="24"/>
                <w:lang w:val="en-US"/>
              </w:rPr>
              <w:t xml:space="preserve"> </w:t>
            </w:r>
            <w:r w:rsidR="00600C89" w:rsidRPr="00600C89">
              <w:rPr>
                <w:lang w:val="en-US"/>
              </w:rPr>
              <w:t>Australia</w:t>
            </w:r>
            <w:r w:rsidR="00600C89">
              <w:rPr>
                <w:lang w:val="en-US"/>
              </w:rPr>
              <w:t>–</w:t>
            </w:r>
            <w:r w:rsidR="00600C89" w:rsidRPr="00600C89">
              <w:rPr>
                <w:lang w:val="en-US"/>
              </w:rPr>
              <w:t>Indonesia Partnership for Promoting Rural Income through Support for Markets in Agriculture</w:t>
            </w:r>
            <w:r w:rsidR="00600C89">
              <w:rPr>
                <w:lang w:val="en-US"/>
              </w:rPr>
              <w:t>––</w:t>
            </w:r>
            <w:r w:rsidRPr="00CA4CD5">
              <w:t xml:space="preserve">is expected to start in </w:t>
            </w:r>
            <w:proofErr w:type="spellStart"/>
            <w:r w:rsidRPr="00CA4CD5">
              <w:t>mid 2013</w:t>
            </w:r>
            <w:proofErr w:type="spellEnd"/>
            <w:r w:rsidR="00600C89">
              <w:t>.</w:t>
            </w:r>
          </w:p>
        </w:tc>
      </w:tr>
      <w:tr w:rsidR="00CA4CD5" w:rsidRPr="00713ED0" w14:paraId="7073A627"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1DA2FF42" w14:textId="77777777" w:rsidR="00CA4CD5" w:rsidRPr="00713ED0" w:rsidRDefault="00CA4CD5" w:rsidP="00540514">
            <w:pPr>
              <w:pStyle w:val="TableListBullet"/>
            </w:pPr>
          </w:p>
        </w:tc>
        <w:tc>
          <w:tcPr>
            <w:tcW w:w="823" w:type="dxa"/>
            <w:shd w:val="clear" w:color="auto" w:fill="FFFFFF" w:themeFill="background1"/>
          </w:tcPr>
          <w:p w14:paraId="112755BB" w14:textId="77777777" w:rsidR="00CA4CD5" w:rsidRPr="00540514" w:rsidRDefault="00CA4CD5" w:rsidP="00540514">
            <w:pPr>
              <w:pStyle w:val="TableTextEntries"/>
            </w:pPr>
          </w:p>
        </w:tc>
        <w:tc>
          <w:tcPr>
            <w:tcW w:w="6612" w:type="dxa"/>
            <w:vMerge/>
          </w:tcPr>
          <w:p w14:paraId="2D1096BD" w14:textId="77777777" w:rsidR="00CA4CD5" w:rsidRPr="00CA4CD5" w:rsidRDefault="00CA4CD5" w:rsidP="00540514">
            <w:pPr>
              <w:pStyle w:val="TableTextEntries"/>
            </w:pPr>
          </w:p>
        </w:tc>
      </w:tr>
      <w:tr w:rsidR="00CA4CD5" w:rsidRPr="00713ED0" w14:paraId="07EB35CD" w14:textId="77777777" w:rsidTr="00805D86">
        <w:trPr>
          <w:cantSplit/>
          <w:tblHeader w:val="0"/>
        </w:trPr>
        <w:tc>
          <w:tcPr>
            <w:tcW w:w="6331" w:type="dxa"/>
            <w:vMerge w:val="restart"/>
          </w:tcPr>
          <w:p w14:paraId="1FBA09AD" w14:textId="70711FD3" w:rsidR="00CA4CD5" w:rsidRPr="00713ED0" w:rsidRDefault="00CA4CD5" w:rsidP="00540514">
            <w:pPr>
              <w:pStyle w:val="TableListBullet"/>
            </w:pPr>
            <w:r w:rsidRPr="00713ED0">
              <w:t>Commence new designs for tertiary education, maternal and neonatal child health, scholarships, disaster management, infrastructure</w:t>
            </w:r>
            <w:r w:rsidR="00600C89">
              <w:t xml:space="preserve">, </w:t>
            </w:r>
            <w:r w:rsidRPr="00713ED0">
              <w:t>climate change</w:t>
            </w:r>
            <w:r w:rsidR="00600C89" w:rsidRPr="00713ED0">
              <w:t xml:space="preserve"> </w:t>
            </w:r>
            <w:r w:rsidR="00600C89">
              <w:t>and</w:t>
            </w:r>
            <w:r w:rsidR="00600C89" w:rsidRPr="00713ED0">
              <w:t xml:space="preserve"> social protection</w:t>
            </w:r>
            <w:r w:rsidR="00600C89">
              <w:t>,</w:t>
            </w:r>
            <w:r w:rsidRPr="00713ED0">
              <w:t xml:space="preserve"> and </w:t>
            </w:r>
            <w:r w:rsidR="00600C89">
              <w:t xml:space="preserve">commence </w:t>
            </w:r>
            <w:r w:rsidR="00600C89" w:rsidRPr="00713ED0">
              <w:t xml:space="preserve">scale up </w:t>
            </w:r>
            <w:r w:rsidR="00600C89">
              <w:t xml:space="preserve">of the National </w:t>
            </w:r>
            <w:r w:rsidR="00600C89" w:rsidRPr="00600C89">
              <w:t>Programme for Community Empowerment</w:t>
            </w:r>
            <w:r w:rsidRPr="00713ED0">
              <w:t>.</w:t>
            </w:r>
          </w:p>
        </w:tc>
        <w:tc>
          <w:tcPr>
            <w:tcW w:w="823" w:type="dxa"/>
            <w:tcBorders>
              <w:top w:val="nil"/>
              <w:bottom w:val="nil"/>
            </w:tcBorders>
            <w:shd w:val="clear" w:color="auto" w:fill="92D050"/>
          </w:tcPr>
          <w:p w14:paraId="3F11EDB7" w14:textId="77777777" w:rsidR="00CA4CD5" w:rsidRPr="00540514" w:rsidRDefault="00CA4CD5" w:rsidP="00540514">
            <w:pPr>
              <w:pStyle w:val="TableTextEntries"/>
            </w:pPr>
            <w:r w:rsidRPr="00540514">
              <w:t>Green</w:t>
            </w:r>
          </w:p>
        </w:tc>
        <w:tc>
          <w:tcPr>
            <w:tcW w:w="6612" w:type="dxa"/>
            <w:vMerge w:val="restart"/>
          </w:tcPr>
          <w:p w14:paraId="2DD96457" w14:textId="0BADC2EC" w:rsidR="00CA4CD5" w:rsidRPr="00CA4CD5" w:rsidRDefault="0020745B" w:rsidP="0020745B">
            <w:pPr>
              <w:pStyle w:val="TableTextEntries"/>
            </w:pPr>
            <w:r>
              <w:t xml:space="preserve">DFAT in </w:t>
            </w:r>
            <w:r w:rsidR="00CA4CD5" w:rsidRPr="00CA4CD5">
              <w:t>Indonesia has commenced work on all of these designs.</w:t>
            </w:r>
          </w:p>
        </w:tc>
      </w:tr>
      <w:tr w:rsidR="00CA4CD5" w:rsidRPr="00713ED0" w14:paraId="0018EEA8"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657BA4EE" w14:textId="77777777" w:rsidR="00CA4CD5" w:rsidRPr="00713ED0" w:rsidRDefault="00CA4CD5" w:rsidP="00540514">
            <w:pPr>
              <w:pStyle w:val="TableListBullet"/>
            </w:pPr>
          </w:p>
        </w:tc>
        <w:tc>
          <w:tcPr>
            <w:tcW w:w="823" w:type="dxa"/>
            <w:shd w:val="clear" w:color="auto" w:fill="FFFFFF" w:themeFill="background1"/>
          </w:tcPr>
          <w:p w14:paraId="537325C9" w14:textId="77777777" w:rsidR="00CA4CD5" w:rsidRPr="00540514" w:rsidRDefault="00CA4CD5" w:rsidP="00540514">
            <w:pPr>
              <w:pStyle w:val="TableTextEntries"/>
            </w:pPr>
          </w:p>
        </w:tc>
        <w:tc>
          <w:tcPr>
            <w:tcW w:w="6612" w:type="dxa"/>
            <w:vMerge/>
          </w:tcPr>
          <w:p w14:paraId="037D7C5F" w14:textId="77777777" w:rsidR="00CA4CD5" w:rsidRPr="00CA4CD5" w:rsidRDefault="00CA4CD5" w:rsidP="00540514">
            <w:pPr>
              <w:pStyle w:val="TableTextEntries"/>
            </w:pPr>
          </w:p>
        </w:tc>
      </w:tr>
      <w:tr w:rsidR="00CA4CD5" w:rsidRPr="00713ED0" w14:paraId="5E723C07" w14:textId="77777777" w:rsidTr="00540514">
        <w:trPr>
          <w:cantSplit/>
          <w:tblHeader w:val="0"/>
        </w:trPr>
        <w:tc>
          <w:tcPr>
            <w:tcW w:w="6331" w:type="dxa"/>
          </w:tcPr>
          <w:p w14:paraId="5788419A" w14:textId="3EDEDBC9" w:rsidR="00CA4CD5" w:rsidRPr="00713ED0" w:rsidRDefault="00CA4CD5" w:rsidP="00540514">
            <w:pPr>
              <w:pStyle w:val="TableListBullet"/>
            </w:pPr>
            <w:r w:rsidRPr="00713ED0">
              <w:t>Complete the Provincial Road Improvement and Maintenance program design by the end of 2012.</w:t>
            </w:r>
          </w:p>
        </w:tc>
        <w:tc>
          <w:tcPr>
            <w:tcW w:w="823" w:type="dxa"/>
            <w:shd w:val="clear" w:color="auto" w:fill="F79646" w:themeFill="accent6"/>
          </w:tcPr>
          <w:p w14:paraId="21498EFC" w14:textId="77777777" w:rsidR="00CA4CD5" w:rsidRPr="00540514" w:rsidRDefault="00CA4CD5" w:rsidP="00540514">
            <w:pPr>
              <w:pStyle w:val="TableTextEntries"/>
            </w:pPr>
            <w:r w:rsidRPr="00540514">
              <w:t>Amber</w:t>
            </w:r>
          </w:p>
        </w:tc>
        <w:tc>
          <w:tcPr>
            <w:tcW w:w="6612" w:type="dxa"/>
          </w:tcPr>
          <w:p w14:paraId="1DFF1917" w14:textId="06A28ADC" w:rsidR="00CA4CD5" w:rsidRPr="00CA4CD5" w:rsidRDefault="00600C89" w:rsidP="00540514">
            <w:pPr>
              <w:pStyle w:val="TableTextEntries"/>
            </w:pPr>
            <w:r w:rsidRPr="00713ED0">
              <w:t xml:space="preserve">Provincial Road Improvement and Maintenance </w:t>
            </w:r>
            <w:r w:rsidR="00CA4CD5" w:rsidRPr="00CA4CD5">
              <w:t>will undergo design peer review in early June 2013.</w:t>
            </w:r>
          </w:p>
        </w:tc>
      </w:tr>
      <w:tr w:rsidR="00CA4CD5" w:rsidRPr="00713ED0" w14:paraId="7A60D925"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487B06B3" w14:textId="02506412" w:rsidR="00CA4CD5" w:rsidRPr="00713ED0" w:rsidRDefault="00CA4CD5" w:rsidP="00540514">
            <w:pPr>
              <w:pStyle w:val="TableListBullet"/>
            </w:pPr>
            <w:r w:rsidRPr="00713ED0">
              <w:t xml:space="preserve">Conclude, or </w:t>
            </w:r>
            <w:r w:rsidR="00600C89">
              <w:t>implement</w:t>
            </w:r>
            <w:r w:rsidRPr="00713ED0">
              <w:t xml:space="preserve"> extension arrangements for maternal and neonatal health, </w:t>
            </w:r>
            <w:r w:rsidR="00600C89">
              <w:t xml:space="preserve">the </w:t>
            </w:r>
            <w:r w:rsidR="00600C89" w:rsidRPr="00600C89">
              <w:t>Water Supply and Sanitation for Low Income Communities Project</w:t>
            </w:r>
            <w:r w:rsidRPr="00713ED0">
              <w:t xml:space="preserve">, </w:t>
            </w:r>
            <w:r w:rsidR="00600C89" w:rsidRPr="00600C89">
              <w:t>Water and Sanitation Policy and Action Planning Project</w:t>
            </w:r>
            <w:r w:rsidR="00600C89" w:rsidRPr="00600C89" w:rsidDel="00600C89">
              <w:t xml:space="preserve"> </w:t>
            </w:r>
            <w:r w:rsidRPr="00713ED0">
              <w:t xml:space="preserve">and </w:t>
            </w:r>
            <w:r w:rsidR="00600C89" w:rsidRPr="00600C89">
              <w:t>Australia</w:t>
            </w:r>
            <w:r w:rsidR="00600C89">
              <w:t>–</w:t>
            </w:r>
            <w:r w:rsidR="00600C89" w:rsidRPr="00600C89">
              <w:t>Indonesia Partnership Facility for Disaster Reduction</w:t>
            </w:r>
            <w:r w:rsidRPr="00713ED0">
              <w:t>.</w:t>
            </w:r>
          </w:p>
        </w:tc>
        <w:tc>
          <w:tcPr>
            <w:tcW w:w="823" w:type="dxa"/>
            <w:shd w:val="clear" w:color="auto" w:fill="92D050"/>
          </w:tcPr>
          <w:p w14:paraId="32BCD985" w14:textId="77777777" w:rsidR="00CA4CD5" w:rsidRPr="00540514" w:rsidRDefault="00CA4CD5" w:rsidP="00540514">
            <w:pPr>
              <w:pStyle w:val="TableTextEntries"/>
            </w:pPr>
            <w:r w:rsidRPr="00540514">
              <w:t>Green</w:t>
            </w:r>
          </w:p>
        </w:tc>
        <w:tc>
          <w:tcPr>
            <w:tcW w:w="6612" w:type="dxa"/>
            <w:vMerge w:val="restart"/>
          </w:tcPr>
          <w:p w14:paraId="11F18AA7" w14:textId="77777777" w:rsidR="00CA4CD5" w:rsidRPr="00CA4CD5" w:rsidRDefault="00CA4CD5" w:rsidP="00540514">
            <w:pPr>
              <w:pStyle w:val="TableTextEntries"/>
            </w:pPr>
            <w:r w:rsidRPr="00CA4CD5">
              <w:t>Arrangements in place for all four programs.</w:t>
            </w:r>
          </w:p>
        </w:tc>
      </w:tr>
      <w:tr w:rsidR="00CA4CD5" w:rsidRPr="00713ED0" w14:paraId="6488F8CC" w14:textId="77777777" w:rsidTr="00540514">
        <w:trPr>
          <w:cantSplit/>
          <w:tblHeader w:val="0"/>
        </w:trPr>
        <w:tc>
          <w:tcPr>
            <w:tcW w:w="6331" w:type="dxa"/>
            <w:vMerge/>
          </w:tcPr>
          <w:p w14:paraId="70774E49" w14:textId="77777777" w:rsidR="00CA4CD5" w:rsidRPr="00713ED0" w:rsidRDefault="00CA4CD5" w:rsidP="00540514">
            <w:pPr>
              <w:pStyle w:val="TableListBullet"/>
            </w:pPr>
          </w:p>
        </w:tc>
        <w:tc>
          <w:tcPr>
            <w:tcW w:w="823" w:type="dxa"/>
            <w:shd w:val="clear" w:color="auto" w:fill="FFFFFF" w:themeFill="background1"/>
          </w:tcPr>
          <w:p w14:paraId="2C032B73" w14:textId="77777777" w:rsidR="00CA4CD5" w:rsidRPr="00540514" w:rsidRDefault="00CA4CD5" w:rsidP="00540514">
            <w:pPr>
              <w:pStyle w:val="TableTextEntries"/>
            </w:pPr>
          </w:p>
        </w:tc>
        <w:tc>
          <w:tcPr>
            <w:tcW w:w="6612" w:type="dxa"/>
            <w:vMerge/>
          </w:tcPr>
          <w:p w14:paraId="10A6A808" w14:textId="77777777" w:rsidR="00CA4CD5" w:rsidRPr="00CA4CD5" w:rsidRDefault="00CA4CD5" w:rsidP="00540514">
            <w:pPr>
              <w:pStyle w:val="TableTextEntries"/>
            </w:pPr>
          </w:p>
        </w:tc>
      </w:tr>
      <w:tr w:rsidR="00CA4CD5" w:rsidRPr="00713ED0" w14:paraId="375308BB"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75BD854B" w14:textId="77777777" w:rsidR="00CA4CD5" w:rsidRPr="00713ED0" w:rsidRDefault="00CA4CD5" w:rsidP="00540514">
            <w:pPr>
              <w:pStyle w:val="TableListBullet"/>
            </w:pPr>
            <w:r w:rsidRPr="00713ED0">
              <w:t xml:space="preserve">Assess the efficiency and effectiveness of delivery mechanisms to inform appropriate resourcing and structure of programs out to 2015–16. </w:t>
            </w:r>
          </w:p>
        </w:tc>
        <w:tc>
          <w:tcPr>
            <w:tcW w:w="823" w:type="dxa"/>
            <w:shd w:val="clear" w:color="auto" w:fill="F79646" w:themeFill="accent6"/>
          </w:tcPr>
          <w:p w14:paraId="02AF90A0" w14:textId="77777777" w:rsidR="00CA4CD5" w:rsidRPr="00540514" w:rsidRDefault="00CA4CD5" w:rsidP="00540514">
            <w:pPr>
              <w:pStyle w:val="TableTextEntries"/>
            </w:pPr>
            <w:r w:rsidRPr="00540514">
              <w:t>Amber</w:t>
            </w:r>
          </w:p>
        </w:tc>
        <w:tc>
          <w:tcPr>
            <w:tcW w:w="6612" w:type="dxa"/>
            <w:vMerge w:val="restart"/>
          </w:tcPr>
          <w:p w14:paraId="129D4B00" w14:textId="1144247B" w:rsidR="00CA4CD5" w:rsidRPr="00BD7A1D" w:rsidRDefault="00CA4CD5" w:rsidP="00540514">
            <w:pPr>
              <w:pStyle w:val="TableTextEntries"/>
            </w:pPr>
            <w:r w:rsidRPr="00CA4CD5">
              <w:t>Review of delivery mechanisms and program structure so far has not been conducted to address all of the efficiency and effectiveness issues that the Indonesia program f</w:t>
            </w:r>
            <w:r w:rsidRPr="005B1AD4">
              <w:t>ace</w:t>
            </w:r>
            <w:r w:rsidR="00600C89">
              <w:t>s</w:t>
            </w:r>
            <w:r w:rsidRPr="005B1AD4">
              <w:t>. To address these issues</w:t>
            </w:r>
            <w:r w:rsidR="00600C89">
              <w:t>,</w:t>
            </w:r>
            <w:r w:rsidRPr="005B1AD4">
              <w:t xml:space="preserve"> </w:t>
            </w:r>
            <w:r w:rsidR="00600C89">
              <w:t xml:space="preserve">the </w:t>
            </w:r>
            <w:r w:rsidRPr="005B1AD4">
              <w:t xml:space="preserve">Indonesia program has agreed a strategic governance framework </w:t>
            </w:r>
            <w:r w:rsidR="00600C89" w:rsidRPr="005B1AD4">
              <w:t xml:space="preserve">with the World Bank </w:t>
            </w:r>
            <w:r w:rsidRPr="005B1AD4">
              <w:t>that is elaborated further under response “review multilateral engagement’</w:t>
            </w:r>
            <w:r w:rsidR="00600C89">
              <w:t>.</w:t>
            </w:r>
          </w:p>
        </w:tc>
      </w:tr>
      <w:tr w:rsidR="00CA4CD5" w:rsidRPr="00713ED0" w14:paraId="577536E4" w14:textId="77777777" w:rsidTr="00540514">
        <w:trPr>
          <w:cantSplit/>
          <w:tblHeader w:val="0"/>
        </w:trPr>
        <w:tc>
          <w:tcPr>
            <w:tcW w:w="6331" w:type="dxa"/>
            <w:vMerge/>
          </w:tcPr>
          <w:p w14:paraId="0782BD96" w14:textId="77777777" w:rsidR="00CA4CD5" w:rsidRPr="00713ED0" w:rsidRDefault="00CA4CD5" w:rsidP="00CA4CD5">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0496338C" w14:textId="77777777" w:rsidR="00CA4CD5" w:rsidRPr="00BD7A1D" w:rsidRDefault="00CA4CD5" w:rsidP="00BD7A1D">
            <w:pPr>
              <w:rPr>
                <w:lang w:eastAsia="en-US"/>
              </w:rPr>
            </w:pPr>
          </w:p>
        </w:tc>
        <w:tc>
          <w:tcPr>
            <w:tcW w:w="6612" w:type="dxa"/>
            <w:vMerge/>
          </w:tcPr>
          <w:p w14:paraId="1E525435" w14:textId="77777777" w:rsidR="00CA4CD5" w:rsidRPr="00CA4CD5" w:rsidRDefault="00CA4CD5" w:rsidP="00540514">
            <w:pPr>
              <w:pStyle w:val="TableTextEntries"/>
            </w:pPr>
          </w:p>
        </w:tc>
      </w:tr>
      <w:tr w:rsidR="00CA4CD5" w:rsidRPr="00713ED0" w14:paraId="0BFCCD2F"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46C7A72A" w14:textId="1843210D" w:rsidR="00CA4CD5" w:rsidRPr="00713ED0" w:rsidRDefault="00CA4CD5" w:rsidP="004C087A">
            <w:pPr>
              <w:pStyle w:val="TableListBullet"/>
            </w:pPr>
            <w:r w:rsidRPr="00713ED0">
              <w:t xml:space="preserve">Strengthen the link between the country program and key development outcomes </w:t>
            </w:r>
          </w:p>
        </w:tc>
        <w:tc>
          <w:tcPr>
            <w:tcW w:w="823" w:type="dxa"/>
            <w:shd w:val="clear" w:color="auto" w:fill="92D050"/>
          </w:tcPr>
          <w:p w14:paraId="7464C408" w14:textId="77777777" w:rsidR="00CA4CD5" w:rsidRPr="00540514" w:rsidRDefault="00CA4CD5" w:rsidP="00540514">
            <w:pPr>
              <w:pStyle w:val="TableTextEntries"/>
            </w:pPr>
            <w:r w:rsidRPr="00540514">
              <w:t>Green</w:t>
            </w:r>
          </w:p>
        </w:tc>
        <w:tc>
          <w:tcPr>
            <w:tcW w:w="6612" w:type="dxa"/>
            <w:vMerge w:val="restart"/>
          </w:tcPr>
          <w:p w14:paraId="58C15593" w14:textId="17FFA1FD" w:rsidR="00CA4CD5" w:rsidRPr="007604D0" w:rsidRDefault="00CA4CD5" w:rsidP="004C087A">
            <w:pPr>
              <w:pStyle w:val="TableTextEntries"/>
            </w:pPr>
            <w:r w:rsidRPr="005B1AD4">
              <w:t xml:space="preserve">The Indonesia program has made notable progress in the past 18 months </w:t>
            </w:r>
            <w:r w:rsidR="004C087A">
              <w:t xml:space="preserve">in </w:t>
            </w:r>
            <w:r w:rsidRPr="005B1AD4">
              <w:t>meet</w:t>
            </w:r>
            <w:r w:rsidR="004C087A">
              <w:t>ing</w:t>
            </w:r>
            <w:r w:rsidRPr="005B1AD4">
              <w:t xml:space="preserve"> most of the </w:t>
            </w:r>
            <w:r w:rsidR="002A358C">
              <w:t>30</w:t>
            </w:r>
            <w:r w:rsidR="002A358C" w:rsidRPr="005B1AD4">
              <w:t xml:space="preserve"> </w:t>
            </w:r>
            <w:r w:rsidR="002A358C">
              <w:t>framework</w:t>
            </w:r>
            <w:r w:rsidR="002A358C" w:rsidRPr="005B1AD4">
              <w:t xml:space="preserve"> </w:t>
            </w:r>
            <w:r w:rsidRPr="005B1AD4">
              <w:t>indicators</w:t>
            </w:r>
            <w:r w:rsidR="002A358C">
              <w:t>.</w:t>
            </w:r>
          </w:p>
        </w:tc>
      </w:tr>
      <w:tr w:rsidR="00CA4CD5" w:rsidRPr="00713ED0" w14:paraId="1A538910" w14:textId="77777777" w:rsidTr="00540514">
        <w:trPr>
          <w:cantSplit/>
          <w:tblHeader w:val="0"/>
        </w:trPr>
        <w:tc>
          <w:tcPr>
            <w:tcW w:w="6331" w:type="dxa"/>
            <w:vMerge/>
          </w:tcPr>
          <w:p w14:paraId="7C58434F" w14:textId="77777777" w:rsidR="00CA4CD5" w:rsidRPr="00713ED0" w:rsidRDefault="00CA4CD5" w:rsidP="00540514">
            <w:pPr>
              <w:pStyle w:val="TableListBullet"/>
            </w:pPr>
          </w:p>
        </w:tc>
        <w:tc>
          <w:tcPr>
            <w:tcW w:w="823" w:type="dxa"/>
            <w:shd w:val="clear" w:color="auto" w:fill="FFFFFF" w:themeFill="background1"/>
          </w:tcPr>
          <w:p w14:paraId="611B3997" w14:textId="77777777" w:rsidR="00CA4CD5" w:rsidRPr="00540514" w:rsidRDefault="00CA4CD5" w:rsidP="00540514">
            <w:pPr>
              <w:pStyle w:val="TableTextEntries"/>
            </w:pPr>
          </w:p>
        </w:tc>
        <w:tc>
          <w:tcPr>
            <w:tcW w:w="6612" w:type="dxa"/>
            <w:vMerge/>
          </w:tcPr>
          <w:p w14:paraId="6C7D347D" w14:textId="77777777" w:rsidR="00CA4CD5" w:rsidRPr="00CA4CD5" w:rsidRDefault="00CA4CD5" w:rsidP="00540514">
            <w:pPr>
              <w:pStyle w:val="TableTextEntries"/>
            </w:pPr>
          </w:p>
        </w:tc>
      </w:tr>
      <w:tr w:rsidR="00CA4CD5" w:rsidRPr="00713ED0" w14:paraId="796D2F35"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11BDE2C9" w14:textId="77777777" w:rsidR="00CA4CD5" w:rsidRPr="00713ED0" w:rsidRDefault="00CA4CD5" w:rsidP="00540514">
            <w:pPr>
              <w:pStyle w:val="TableListBullet"/>
            </w:pPr>
            <w:r w:rsidRPr="00713ED0">
              <w:t>Continue to strengthen our quality assurance and design capacity.</w:t>
            </w:r>
          </w:p>
        </w:tc>
        <w:tc>
          <w:tcPr>
            <w:tcW w:w="823" w:type="dxa"/>
            <w:shd w:val="clear" w:color="auto" w:fill="92D050"/>
          </w:tcPr>
          <w:p w14:paraId="3CB206CC" w14:textId="77777777" w:rsidR="00CA4CD5" w:rsidRPr="00540514" w:rsidRDefault="00CA4CD5" w:rsidP="00540514">
            <w:pPr>
              <w:pStyle w:val="TableTextEntries"/>
            </w:pPr>
            <w:r w:rsidRPr="00540514">
              <w:t>Green</w:t>
            </w:r>
          </w:p>
        </w:tc>
        <w:tc>
          <w:tcPr>
            <w:tcW w:w="6612" w:type="dxa"/>
            <w:vMerge w:val="restart"/>
          </w:tcPr>
          <w:p w14:paraId="14BB886B" w14:textId="3AF91806" w:rsidR="00CA4CD5" w:rsidRPr="005B1AD4" w:rsidRDefault="002A358C" w:rsidP="004C087A">
            <w:pPr>
              <w:pStyle w:val="TableTextEntries"/>
            </w:pPr>
            <w:r>
              <w:t xml:space="preserve">The </w:t>
            </w:r>
            <w:r w:rsidR="00CA4CD5" w:rsidRPr="00CA4CD5">
              <w:t xml:space="preserve">Program Effectiveness and Performance </w:t>
            </w:r>
            <w:r>
              <w:t>s</w:t>
            </w:r>
            <w:r w:rsidR="00CA4CD5" w:rsidRPr="00CA4CD5">
              <w:t xml:space="preserve">ection has led the </w:t>
            </w:r>
            <w:r w:rsidR="002E5E9F">
              <w:t xml:space="preserve">team </w:t>
            </w:r>
            <w:r w:rsidR="00CA4CD5" w:rsidRPr="00CA4CD5">
              <w:t>in integrating risk, monitoring and evaluation, cross sector learning and external expert peer review of all of the Indonesia programs designs being developed.</w:t>
            </w:r>
            <w:r w:rsidR="00B525E5">
              <w:t xml:space="preserve"> </w:t>
            </w:r>
            <w:r w:rsidR="00CA4CD5" w:rsidRPr="00CA4CD5">
              <w:t>Over t</w:t>
            </w:r>
            <w:r w:rsidR="00CA4CD5" w:rsidRPr="005B1AD4">
              <w:t xml:space="preserve">he past 18 months there has been a measurable improvement in the quality of the designs </w:t>
            </w:r>
            <w:r>
              <w:t>in</w:t>
            </w:r>
            <w:r w:rsidRPr="005B1AD4">
              <w:t xml:space="preserve"> </w:t>
            </w:r>
            <w:r w:rsidR="00CA4CD5" w:rsidRPr="005B1AD4">
              <w:t xml:space="preserve">the program, with many </w:t>
            </w:r>
            <w:r>
              <w:t>highlighted</w:t>
            </w:r>
            <w:r w:rsidR="00CA4CD5" w:rsidRPr="005B1AD4">
              <w:t xml:space="preserve"> by </w:t>
            </w:r>
            <w:r w:rsidR="004C087A">
              <w:t xml:space="preserve">the department’s </w:t>
            </w:r>
            <w:r w:rsidR="00CA4CD5" w:rsidRPr="005B1AD4">
              <w:t>Strategic Programming Committee as best practice.</w:t>
            </w:r>
          </w:p>
        </w:tc>
      </w:tr>
      <w:tr w:rsidR="00CA4CD5" w:rsidRPr="00713ED0" w14:paraId="6B12109F" w14:textId="77777777" w:rsidTr="00540514">
        <w:trPr>
          <w:cantSplit/>
          <w:tblHeader w:val="0"/>
        </w:trPr>
        <w:tc>
          <w:tcPr>
            <w:tcW w:w="6331" w:type="dxa"/>
            <w:vMerge/>
          </w:tcPr>
          <w:p w14:paraId="6CB90940" w14:textId="77777777" w:rsidR="00CA4CD5" w:rsidRPr="00713ED0" w:rsidRDefault="00CA4CD5" w:rsidP="00540514">
            <w:pPr>
              <w:pStyle w:val="TableListBullet"/>
            </w:pPr>
          </w:p>
        </w:tc>
        <w:tc>
          <w:tcPr>
            <w:tcW w:w="823" w:type="dxa"/>
            <w:shd w:val="clear" w:color="auto" w:fill="FFFFFF" w:themeFill="background1"/>
          </w:tcPr>
          <w:p w14:paraId="11A4C5FA" w14:textId="77777777" w:rsidR="00CA4CD5" w:rsidRPr="00540514" w:rsidRDefault="00CA4CD5" w:rsidP="00540514">
            <w:pPr>
              <w:pStyle w:val="TableTextEntries"/>
            </w:pPr>
          </w:p>
        </w:tc>
        <w:tc>
          <w:tcPr>
            <w:tcW w:w="6612" w:type="dxa"/>
            <w:vMerge/>
          </w:tcPr>
          <w:p w14:paraId="794BC6AF" w14:textId="77777777" w:rsidR="00CA4CD5" w:rsidRPr="00CA4CD5" w:rsidRDefault="00CA4CD5" w:rsidP="00540514">
            <w:pPr>
              <w:pStyle w:val="TableTextEntries"/>
            </w:pPr>
          </w:p>
        </w:tc>
      </w:tr>
      <w:tr w:rsidR="00CA4CD5" w:rsidRPr="00713ED0" w14:paraId="5142EE70"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2F149714" w14:textId="77777777" w:rsidR="00CA4CD5" w:rsidRPr="00713ED0" w:rsidRDefault="00CA4CD5" w:rsidP="00540514">
            <w:pPr>
              <w:pStyle w:val="TableListBullet"/>
            </w:pPr>
            <w:r w:rsidRPr="00713ED0">
              <w:lastRenderedPageBreak/>
              <w:t>Continue to strengthen portfolio risk management and fraud mitigation approaches.</w:t>
            </w:r>
          </w:p>
        </w:tc>
        <w:tc>
          <w:tcPr>
            <w:tcW w:w="823" w:type="dxa"/>
            <w:shd w:val="clear" w:color="auto" w:fill="92D050"/>
          </w:tcPr>
          <w:p w14:paraId="43F4A2B9" w14:textId="77777777" w:rsidR="00CA4CD5" w:rsidRPr="00540514" w:rsidRDefault="00CA4CD5" w:rsidP="00540514">
            <w:pPr>
              <w:pStyle w:val="TableTextEntries"/>
            </w:pPr>
            <w:r w:rsidRPr="00540514">
              <w:t>Green</w:t>
            </w:r>
          </w:p>
        </w:tc>
        <w:tc>
          <w:tcPr>
            <w:tcW w:w="6612" w:type="dxa"/>
            <w:vMerge w:val="restart"/>
          </w:tcPr>
          <w:p w14:paraId="1B135F7D" w14:textId="0212CF55" w:rsidR="00CA4CD5" w:rsidRPr="00CA4CD5" w:rsidRDefault="004C087A" w:rsidP="004C087A">
            <w:pPr>
              <w:pStyle w:val="TableTextEntries"/>
            </w:pPr>
            <w:r>
              <w:t>T</w:t>
            </w:r>
            <w:r w:rsidR="00CA4CD5" w:rsidRPr="00CA4CD5">
              <w:t xml:space="preserve">he new </w:t>
            </w:r>
            <w:r w:rsidR="002A358C">
              <w:t>r</w:t>
            </w:r>
            <w:r w:rsidR="002A358C" w:rsidRPr="00CA4CD5">
              <w:t xml:space="preserve">isk </w:t>
            </w:r>
            <w:r w:rsidR="00CA4CD5" w:rsidRPr="00CA4CD5">
              <w:t xml:space="preserve">and </w:t>
            </w:r>
            <w:r w:rsidR="002A358C" w:rsidRPr="00CA4CD5">
              <w:t xml:space="preserve">fraud management </w:t>
            </w:r>
            <w:r w:rsidR="00CA4CD5" w:rsidRPr="00CA4CD5">
              <w:t>model</w:t>
            </w:r>
            <w:r>
              <w:t xml:space="preserve"> has been implemented</w:t>
            </w:r>
            <w:r w:rsidR="00CA4CD5" w:rsidRPr="00CA4CD5">
              <w:t xml:space="preserve">. </w:t>
            </w:r>
            <w:r w:rsidR="002A358C">
              <w:t>A c</w:t>
            </w:r>
            <w:r w:rsidR="002A358C" w:rsidRPr="00CA4CD5">
              <w:t xml:space="preserve">ascading </w:t>
            </w:r>
            <w:r w:rsidR="00CA4CD5" w:rsidRPr="00CA4CD5">
              <w:t xml:space="preserve">risk management approach has been adopted throughout the program and is used by </w:t>
            </w:r>
            <w:r w:rsidR="002A358C">
              <w:t>s</w:t>
            </w:r>
            <w:r w:rsidR="002A358C" w:rsidRPr="00CA4CD5">
              <w:t xml:space="preserve">enior </w:t>
            </w:r>
            <w:r w:rsidR="002A358C">
              <w:t>m</w:t>
            </w:r>
            <w:r w:rsidR="002A358C" w:rsidRPr="00CA4CD5">
              <w:t xml:space="preserve">anagement </w:t>
            </w:r>
            <w:r w:rsidR="00CA4CD5" w:rsidRPr="00CA4CD5">
              <w:t>to review and manage risks</w:t>
            </w:r>
            <w:r w:rsidR="0088219C">
              <w:t>.</w:t>
            </w:r>
          </w:p>
        </w:tc>
      </w:tr>
      <w:tr w:rsidR="00CA4CD5" w:rsidRPr="00713ED0" w14:paraId="2C476B0D" w14:textId="77777777" w:rsidTr="00540514">
        <w:trPr>
          <w:cantSplit/>
          <w:tblHeader w:val="0"/>
        </w:trPr>
        <w:tc>
          <w:tcPr>
            <w:tcW w:w="6331" w:type="dxa"/>
            <w:vMerge/>
          </w:tcPr>
          <w:p w14:paraId="0FC22917" w14:textId="77777777" w:rsidR="00CA4CD5" w:rsidRPr="00713ED0" w:rsidRDefault="00CA4CD5" w:rsidP="00540514">
            <w:pPr>
              <w:pStyle w:val="TableListBullet"/>
            </w:pPr>
          </w:p>
        </w:tc>
        <w:tc>
          <w:tcPr>
            <w:tcW w:w="823" w:type="dxa"/>
            <w:shd w:val="clear" w:color="auto" w:fill="FFFFFF" w:themeFill="background1"/>
          </w:tcPr>
          <w:p w14:paraId="26AF0823" w14:textId="77777777" w:rsidR="00CA4CD5" w:rsidRPr="00540514" w:rsidRDefault="00CA4CD5" w:rsidP="00540514">
            <w:pPr>
              <w:pStyle w:val="TableTextEntries"/>
            </w:pPr>
          </w:p>
        </w:tc>
        <w:tc>
          <w:tcPr>
            <w:tcW w:w="6612" w:type="dxa"/>
            <w:vMerge/>
          </w:tcPr>
          <w:p w14:paraId="23D7E3B5" w14:textId="77777777" w:rsidR="00CA4CD5" w:rsidRPr="00CA4CD5" w:rsidRDefault="00CA4CD5" w:rsidP="00540514">
            <w:pPr>
              <w:pStyle w:val="TableTextEntries"/>
            </w:pPr>
          </w:p>
        </w:tc>
      </w:tr>
      <w:tr w:rsidR="00CA4CD5" w:rsidRPr="00713ED0" w14:paraId="397621A3"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4AE29276" w14:textId="5EB33943" w:rsidR="00CA4CD5" w:rsidRPr="00713ED0" w:rsidRDefault="00CA4CD5" w:rsidP="00540514">
            <w:pPr>
              <w:pStyle w:val="TableListBullet"/>
            </w:pPr>
            <w:r w:rsidRPr="00713ED0">
              <w:t xml:space="preserve">Engage with Australian whole-of-government partners to deliver effective and coordinated </w:t>
            </w:r>
            <w:r w:rsidR="002A358C">
              <w:t>official development assistance</w:t>
            </w:r>
            <w:r w:rsidR="002A358C" w:rsidRPr="00713ED0">
              <w:t xml:space="preserve"> </w:t>
            </w:r>
            <w:r w:rsidRPr="00713ED0">
              <w:t>programs in Indonesia.</w:t>
            </w:r>
          </w:p>
        </w:tc>
        <w:tc>
          <w:tcPr>
            <w:tcW w:w="823" w:type="dxa"/>
            <w:shd w:val="clear" w:color="auto" w:fill="92D050"/>
          </w:tcPr>
          <w:p w14:paraId="7119904E" w14:textId="77777777" w:rsidR="00CA4CD5" w:rsidRPr="00540514" w:rsidRDefault="00CA4CD5" w:rsidP="00540514">
            <w:pPr>
              <w:pStyle w:val="TableTextEntries"/>
            </w:pPr>
            <w:r w:rsidRPr="00540514">
              <w:t>Green</w:t>
            </w:r>
          </w:p>
        </w:tc>
        <w:tc>
          <w:tcPr>
            <w:tcW w:w="6612" w:type="dxa"/>
            <w:vMerge w:val="restart"/>
          </w:tcPr>
          <w:p w14:paraId="7CC1FF90" w14:textId="26A8A6E1" w:rsidR="00CA4CD5" w:rsidRPr="00356CD3" w:rsidRDefault="00CA4CD5" w:rsidP="00521BDA">
            <w:pPr>
              <w:pStyle w:val="TableTextEntries"/>
            </w:pPr>
            <w:r w:rsidRPr="00CA4CD5">
              <w:t>According to OECD DAC data</w:t>
            </w:r>
            <w:r w:rsidR="002A358C">
              <w:t>,</w:t>
            </w:r>
            <w:r w:rsidRPr="00CA4CD5">
              <w:t xml:space="preserve"> </w:t>
            </w:r>
            <w:r w:rsidR="002A358C" w:rsidRPr="00CA4CD5">
              <w:t>in 2</w:t>
            </w:r>
            <w:r w:rsidR="002A358C" w:rsidRPr="005B1AD4">
              <w:t xml:space="preserve">011 </w:t>
            </w:r>
            <w:r w:rsidRPr="00CA4CD5">
              <w:t xml:space="preserve">Australia </w:t>
            </w:r>
            <w:r w:rsidR="002A358C">
              <w:t>was</w:t>
            </w:r>
            <w:r w:rsidR="002A358C" w:rsidRPr="00CA4CD5">
              <w:t xml:space="preserve"> </w:t>
            </w:r>
            <w:r w:rsidRPr="00CA4CD5">
              <w:t xml:space="preserve">the second largest donor for Indonesia at over </w:t>
            </w:r>
            <w:r w:rsidR="008D1329">
              <w:t>$</w:t>
            </w:r>
            <w:r w:rsidRPr="00CA4CD5">
              <w:t>400 million</w:t>
            </w:r>
            <w:r w:rsidR="002A358C">
              <w:t>,</w:t>
            </w:r>
            <w:r w:rsidRPr="00CA4CD5">
              <w:t xml:space="preserve"> after Japan at USD1.3 million</w:t>
            </w:r>
            <w:r w:rsidRPr="005B1AD4">
              <w:t xml:space="preserve">. </w:t>
            </w:r>
            <w:r w:rsidR="00521BDA">
              <w:t>DFAT</w:t>
            </w:r>
            <w:r w:rsidRPr="005B1AD4">
              <w:t xml:space="preserve"> support broader Australian Government priorities </w:t>
            </w:r>
            <w:r w:rsidR="002A358C">
              <w:t xml:space="preserve">in Indonesia </w:t>
            </w:r>
            <w:r w:rsidRPr="005B1AD4">
              <w:t>that align with our mandate to tackle poverty and promote stability, particularly through our three largest sectoral engagements – education, social protection and infrastructure.</w:t>
            </w:r>
            <w:r w:rsidR="00B525E5">
              <w:t xml:space="preserve"> </w:t>
            </w:r>
            <w:r w:rsidRPr="005B1AD4">
              <w:t xml:space="preserve">We also support other Australian Government </w:t>
            </w:r>
            <w:r w:rsidR="002A358C">
              <w:t>a</w:t>
            </w:r>
            <w:r w:rsidR="002A358C" w:rsidRPr="005B1AD4">
              <w:t xml:space="preserve">gencies </w:t>
            </w:r>
            <w:r w:rsidRPr="005B1AD4">
              <w:t xml:space="preserve">that manage </w:t>
            </w:r>
            <w:r w:rsidR="002A358C" w:rsidRPr="005B1AD4">
              <w:t xml:space="preserve">programs in Indonesia funded </w:t>
            </w:r>
            <w:r w:rsidR="002A358C">
              <w:t xml:space="preserve">through official development assistance </w:t>
            </w:r>
            <w:r w:rsidRPr="005B1AD4">
              <w:t>to implement these in line w</w:t>
            </w:r>
            <w:r w:rsidRPr="007604D0">
              <w:t xml:space="preserve">ith the goals and objectives as set out in in the Australian Government’s response to the </w:t>
            </w:r>
            <w:r w:rsidRPr="009512DB">
              <w:rPr>
                <w:i/>
              </w:rPr>
              <w:t>2010 Independent Review of Australia’s Aid Effectiveness</w:t>
            </w:r>
            <w:r w:rsidRPr="007604D0">
              <w:t xml:space="preserve">. Our four largest </w:t>
            </w:r>
            <w:r w:rsidR="002A358C">
              <w:t>g</w:t>
            </w:r>
            <w:r w:rsidR="002A358C" w:rsidRPr="007604D0">
              <w:t xml:space="preserve">overnment </w:t>
            </w:r>
            <w:r w:rsidRPr="007604D0">
              <w:t>partners based on spend in 2012</w:t>
            </w:r>
            <w:r w:rsidR="002A358C">
              <w:t>–</w:t>
            </w:r>
            <w:r w:rsidR="009A185C">
              <w:t>13 were</w:t>
            </w:r>
            <w:r w:rsidRPr="007604D0">
              <w:t xml:space="preserve"> Immigration and Citizenship (</w:t>
            </w:r>
            <w:r w:rsidR="000A11DD">
              <w:t>$</w:t>
            </w:r>
            <w:r w:rsidRPr="007604D0">
              <w:t>11</w:t>
            </w:r>
            <w:r w:rsidR="002A358C">
              <w:t>.</w:t>
            </w:r>
            <w:r w:rsidRPr="007604D0">
              <w:t>7</w:t>
            </w:r>
            <w:r w:rsidR="002A358C">
              <w:t xml:space="preserve"> </w:t>
            </w:r>
            <w:r w:rsidRPr="007604D0">
              <w:t>million</w:t>
            </w:r>
            <w:r w:rsidR="002A358C" w:rsidRPr="007604D0">
              <w:t>)</w:t>
            </w:r>
            <w:r w:rsidR="002A358C">
              <w:t>,</w:t>
            </w:r>
            <w:r w:rsidR="002A358C" w:rsidRPr="007604D0">
              <w:t xml:space="preserve"> </w:t>
            </w:r>
            <w:r w:rsidRPr="007604D0">
              <w:t>Foreign Affairs and Trade (</w:t>
            </w:r>
            <w:r w:rsidR="000A11DD">
              <w:t>$</w:t>
            </w:r>
            <w:r w:rsidRPr="007604D0">
              <w:t>8</w:t>
            </w:r>
            <w:r w:rsidR="002A358C">
              <w:t>.</w:t>
            </w:r>
            <w:r w:rsidRPr="007604D0">
              <w:t>8</w:t>
            </w:r>
            <w:r w:rsidR="002A358C">
              <w:t xml:space="preserve"> </w:t>
            </w:r>
            <w:r w:rsidRPr="007604D0">
              <w:t>million) Australian Centre for International Agricultural Research (</w:t>
            </w:r>
            <w:r w:rsidR="000A11DD">
              <w:t>$</w:t>
            </w:r>
            <w:r w:rsidRPr="007604D0">
              <w:t>5</w:t>
            </w:r>
            <w:r w:rsidR="002A358C">
              <w:t>.</w:t>
            </w:r>
            <w:r w:rsidRPr="007604D0">
              <w:t>8</w:t>
            </w:r>
            <w:r w:rsidR="002A358C">
              <w:t xml:space="preserve"> </w:t>
            </w:r>
            <w:r w:rsidRPr="007604D0">
              <w:t>million</w:t>
            </w:r>
            <w:r w:rsidR="002A358C" w:rsidRPr="007604D0">
              <w:t>)</w:t>
            </w:r>
            <w:r w:rsidR="002A358C">
              <w:t>,</w:t>
            </w:r>
            <w:r w:rsidR="002A358C" w:rsidRPr="007604D0">
              <w:t xml:space="preserve"> </w:t>
            </w:r>
            <w:r w:rsidR="002A358C">
              <w:t>I</w:t>
            </w:r>
            <w:r w:rsidR="002A358C" w:rsidRPr="007604D0">
              <w:t xml:space="preserve">nfrastructure </w:t>
            </w:r>
            <w:r w:rsidRPr="007604D0">
              <w:t>and Transport (</w:t>
            </w:r>
            <w:r w:rsidR="000A11DD">
              <w:t>$</w:t>
            </w:r>
            <w:r w:rsidRPr="007604D0">
              <w:t>3</w:t>
            </w:r>
            <w:r w:rsidR="002A358C">
              <w:t>.</w:t>
            </w:r>
            <w:r w:rsidRPr="007604D0">
              <w:t>7</w:t>
            </w:r>
            <w:r w:rsidR="002A358C">
              <w:t xml:space="preserve"> </w:t>
            </w:r>
            <w:r w:rsidRPr="007604D0">
              <w:t>million) and Industry, Innovation, Climate Change, Science, Research and Tertiary Edu</w:t>
            </w:r>
            <w:r w:rsidRPr="00356CD3">
              <w:t>cation (</w:t>
            </w:r>
            <w:r w:rsidR="000A11DD">
              <w:t>$</w:t>
            </w:r>
            <w:r w:rsidRPr="00356CD3">
              <w:t>3</w:t>
            </w:r>
            <w:r w:rsidR="002A358C">
              <w:t xml:space="preserve"> </w:t>
            </w:r>
            <w:r w:rsidRPr="00356CD3">
              <w:t>million).</w:t>
            </w:r>
            <w:r w:rsidR="002A358C">
              <w:t xml:space="preserve"> T</w:t>
            </w:r>
            <w:r w:rsidRPr="00356CD3">
              <w:t xml:space="preserve">otal </w:t>
            </w:r>
            <w:r w:rsidR="002A358C">
              <w:t>whole-of-government official development assistance</w:t>
            </w:r>
            <w:r w:rsidR="002A358C" w:rsidRPr="00356CD3">
              <w:t xml:space="preserve"> </w:t>
            </w:r>
            <w:r w:rsidRPr="00356CD3">
              <w:t>in 2012</w:t>
            </w:r>
            <w:r w:rsidR="002A358C">
              <w:t>–</w:t>
            </w:r>
            <w:r w:rsidRPr="00356CD3">
              <w:t xml:space="preserve">13 </w:t>
            </w:r>
            <w:r w:rsidR="002A358C">
              <w:t>was</w:t>
            </w:r>
            <w:r w:rsidR="002A358C" w:rsidRPr="00356CD3">
              <w:t xml:space="preserve"> </w:t>
            </w:r>
            <w:r w:rsidR="000A11DD">
              <w:t>$</w:t>
            </w:r>
            <w:r w:rsidRPr="00356CD3">
              <w:t>34.9 million.</w:t>
            </w:r>
          </w:p>
        </w:tc>
      </w:tr>
      <w:tr w:rsidR="00CA4CD5" w:rsidRPr="00713ED0" w14:paraId="208465FF" w14:textId="77777777" w:rsidTr="00540514">
        <w:trPr>
          <w:cantSplit/>
          <w:tblHeader w:val="0"/>
        </w:trPr>
        <w:tc>
          <w:tcPr>
            <w:tcW w:w="6331" w:type="dxa"/>
            <w:vMerge/>
          </w:tcPr>
          <w:p w14:paraId="03F53A78" w14:textId="77777777" w:rsidR="00CA4CD5" w:rsidRPr="00713ED0" w:rsidRDefault="00CA4CD5" w:rsidP="00540514">
            <w:pPr>
              <w:pStyle w:val="TableListBullet"/>
            </w:pPr>
          </w:p>
        </w:tc>
        <w:tc>
          <w:tcPr>
            <w:tcW w:w="823" w:type="dxa"/>
            <w:shd w:val="clear" w:color="auto" w:fill="FFFFFF" w:themeFill="background1"/>
          </w:tcPr>
          <w:p w14:paraId="71D0AF4F" w14:textId="77777777" w:rsidR="00CA4CD5" w:rsidRPr="00540514" w:rsidRDefault="00CA4CD5" w:rsidP="00540514">
            <w:pPr>
              <w:pStyle w:val="TableTextEntries"/>
            </w:pPr>
          </w:p>
        </w:tc>
        <w:tc>
          <w:tcPr>
            <w:tcW w:w="6612" w:type="dxa"/>
            <w:vMerge/>
          </w:tcPr>
          <w:p w14:paraId="6DE25FDC" w14:textId="77777777" w:rsidR="00CA4CD5" w:rsidRPr="00713ED0" w:rsidRDefault="00CA4CD5" w:rsidP="00540514">
            <w:pPr>
              <w:pStyle w:val="TableTextEntries"/>
            </w:pPr>
          </w:p>
        </w:tc>
      </w:tr>
      <w:tr w:rsidR="00CA4CD5" w:rsidRPr="00713ED0" w14:paraId="2425C5F9"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tcPr>
          <w:p w14:paraId="1249B0D8" w14:textId="1ACED6CD" w:rsidR="00CA4CD5" w:rsidRPr="00713ED0" w:rsidRDefault="00CA4CD5" w:rsidP="00540514">
            <w:pPr>
              <w:pStyle w:val="TableListBullet"/>
            </w:pPr>
            <w:r w:rsidRPr="00713ED0">
              <w:t xml:space="preserve">Review multilateral engagement with a view to improved efficiency and transparency of Australian </w:t>
            </w:r>
            <w:r w:rsidR="002A358C">
              <w:t>official development assistance</w:t>
            </w:r>
            <w:r w:rsidR="002A358C" w:rsidRPr="00713ED0">
              <w:t xml:space="preserve"> </w:t>
            </w:r>
            <w:r w:rsidRPr="00713ED0">
              <w:t xml:space="preserve">in Indonesia. </w:t>
            </w:r>
          </w:p>
        </w:tc>
        <w:tc>
          <w:tcPr>
            <w:tcW w:w="823" w:type="dxa"/>
            <w:shd w:val="clear" w:color="auto" w:fill="92D050"/>
          </w:tcPr>
          <w:p w14:paraId="301213B4" w14:textId="77777777" w:rsidR="00CA4CD5" w:rsidRPr="00540514" w:rsidRDefault="00CA4CD5" w:rsidP="00540514">
            <w:pPr>
              <w:pStyle w:val="TableTextEntries"/>
            </w:pPr>
            <w:r w:rsidRPr="00540514">
              <w:t>Green</w:t>
            </w:r>
          </w:p>
        </w:tc>
        <w:tc>
          <w:tcPr>
            <w:tcW w:w="6612" w:type="dxa"/>
          </w:tcPr>
          <w:p w14:paraId="408AB3F0" w14:textId="17A98631" w:rsidR="00CA4CD5" w:rsidRPr="00713ED0" w:rsidRDefault="004C087A" w:rsidP="004C087A">
            <w:pPr>
              <w:pStyle w:val="TableTextEntries"/>
            </w:pPr>
            <w:r>
              <w:t>S</w:t>
            </w:r>
            <w:r w:rsidR="00CA4CD5" w:rsidRPr="00713ED0">
              <w:t xml:space="preserve">trategic engagement with the World Bank </w:t>
            </w:r>
            <w:r>
              <w:t xml:space="preserve">has been strengthened </w:t>
            </w:r>
            <w:r w:rsidR="00CA4CD5" w:rsidRPr="00713ED0">
              <w:t xml:space="preserve">and </w:t>
            </w:r>
            <w:r>
              <w:t xml:space="preserve">the department </w:t>
            </w:r>
            <w:r w:rsidR="00CA4CD5" w:rsidRPr="00713ED0">
              <w:t>continues to work strategically with the Asian Development Bank and U</w:t>
            </w:r>
            <w:r w:rsidR="002A358C">
              <w:t xml:space="preserve">nited </w:t>
            </w:r>
            <w:r w:rsidR="00CA4CD5" w:rsidRPr="00713ED0">
              <w:t>N</w:t>
            </w:r>
            <w:r w:rsidR="002A358C">
              <w:t>ations</w:t>
            </w:r>
            <w:r w:rsidR="00CA4CD5" w:rsidRPr="00713ED0">
              <w:t xml:space="preserve"> partners such as </w:t>
            </w:r>
            <w:r w:rsidR="002A358C">
              <w:t>the United Nations Children’s Fund,</w:t>
            </w:r>
            <w:r w:rsidR="00CA4CD5" w:rsidRPr="00713ED0">
              <w:t xml:space="preserve"> I</w:t>
            </w:r>
            <w:r w:rsidR="002A358C">
              <w:t xml:space="preserve">nternational </w:t>
            </w:r>
            <w:r w:rsidR="00CA4CD5" w:rsidRPr="00713ED0">
              <w:t>L</w:t>
            </w:r>
            <w:r w:rsidR="002A358C">
              <w:t>abour Organization</w:t>
            </w:r>
            <w:r w:rsidR="00CA4CD5" w:rsidRPr="00713ED0">
              <w:t xml:space="preserve">, </w:t>
            </w:r>
            <w:proofErr w:type="gramStart"/>
            <w:r w:rsidR="002A358C" w:rsidRPr="00D67028">
              <w:rPr>
                <w:iCs/>
                <w:lang w:val="en-US"/>
              </w:rPr>
              <w:t>Office</w:t>
            </w:r>
            <w:proofErr w:type="gramEnd"/>
            <w:r w:rsidR="002A358C" w:rsidRPr="00D67028">
              <w:rPr>
                <w:iCs/>
                <w:lang w:val="en-US"/>
              </w:rPr>
              <w:t xml:space="preserve"> for the Coordination of Humanitarian Affairs</w:t>
            </w:r>
            <w:r w:rsidR="002A358C" w:rsidRPr="002A358C">
              <w:t xml:space="preserve"> </w:t>
            </w:r>
            <w:r w:rsidR="00CA4CD5" w:rsidRPr="00713ED0">
              <w:t>and U</w:t>
            </w:r>
            <w:r w:rsidR="002A358C">
              <w:t xml:space="preserve">nited </w:t>
            </w:r>
            <w:r w:rsidR="00CA4CD5" w:rsidRPr="00713ED0">
              <w:t>N</w:t>
            </w:r>
            <w:r w:rsidR="002A358C">
              <w:t xml:space="preserve">ations </w:t>
            </w:r>
            <w:r w:rsidR="00CA4CD5" w:rsidRPr="00713ED0">
              <w:t>D</w:t>
            </w:r>
            <w:r w:rsidR="002A358C">
              <w:t xml:space="preserve">evelopment </w:t>
            </w:r>
            <w:r w:rsidR="00CA4CD5" w:rsidRPr="00713ED0">
              <w:t>P</w:t>
            </w:r>
            <w:r w:rsidR="002A358C">
              <w:t>rogramme</w:t>
            </w:r>
            <w:r w:rsidR="00CA4CD5" w:rsidRPr="00713ED0">
              <w:t>.</w:t>
            </w:r>
          </w:p>
        </w:tc>
      </w:tr>
      <w:tr w:rsidR="00713ED0" w:rsidRPr="00713ED0" w14:paraId="4C19BD7C" w14:textId="77777777" w:rsidTr="00540514">
        <w:trPr>
          <w:cantSplit/>
          <w:tblHeader w:val="0"/>
        </w:trPr>
        <w:tc>
          <w:tcPr>
            <w:tcW w:w="6331" w:type="dxa"/>
          </w:tcPr>
          <w:p w14:paraId="58289562" w14:textId="77777777" w:rsidR="00713ED0" w:rsidRPr="00713ED0" w:rsidRDefault="00713ED0" w:rsidP="00A234FB">
            <w:pPr>
              <w:pStyle w:val="TableHeading2"/>
            </w:pPr>
            <w:r w:rsidRPr="00713ED0">
              <w:t>Education</w:t>
            </w:r>
          </w:p>
        </w:tc>
        <w:tc>
          <w:tcPr>
            <w:tcW w:w="823" w:type="dxa"/>
          </w:tcPr>
          <w:p w14:paraId="27F7A5B9" w14:textId="77777777" w:rsidR="00713ED0" w:rsidRPr="00540514" w:rsidRDefault="00713ED0" w:rsidP="00540514">
            <w:pPr>
              <w:pStyle w:val="TableTextEntries"/>
            </w:pPr>
          </w:p>
        </w:tc>
        <w:tc>
          <w:tcPr>
            <w:tcW w:w="6612" w:type="dxa"/>
          </w:tcPr>
          <w:p w14:paraId="629D6ADE" w14:textId="77777777" w:rsidR="00713ED0" w:rsidRPr="00713ED0" w:rsidRDefault="00713ED0" w:rsidP="00713ED0">
            <w:pPr>
              <w:keepLines/>
              <w:spacing w:before="80" w:after="80" w:line="200" w:lineRule="atLeast"/>
              <w:jc w:val="center"/>
              <w:rPr>
                <w:rFonts w:eastAsia="Times New Roman"/>
                <w:b/>
                <w:sz w:val="17"/>
                <w:szCs w:val="17"/>
                <w:lang w:eastAsia="en-US"/>
              </w:rPr>
            </w:pPr>
          </w:p>
        </w:tc>
      </w:tr>
      <w:tr w:rsidR="00713ED0" w:rsidRPr="00713ED0" w14:paraId="1C18338D"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12871B09" w14:textId="77777777" w:rsidR="00713ED0" w:rsidRPr="00713ED0" w:rsidRDefault="00713ED0" w:rsidP="00A234FB">
            <w:pPr>
              <w:pStyle w:val="TableListBullet"/>
            </w:pPr>
            <w:bookmarkStart w:id="100" w:name="_Toc332293888"/>
            <w:bookmarkStart w:id="101" w:name="_Toc332295200"/>
            <w:r w:rsidRPr="00713ED0">
              <w:t>In 2012, the safeguards for school construction—which were agreed with Indonesia, particularly in the areas of monitoring, data collection and analysis, reporting, and auditing—will be implemented.</w:t>
            </w:r>
            <w:bookmarkEnd w:id="100"/>
            <w:bookmarkEnd w:id="101"/>
          </w:p>
        </w:tc>
        <w:tc>
          <w:tcPr>
            <w:tcW w:w="823" w:type="dxa"/>
            <w:shd w:val="clear" w:color="auto" w:fill="92D050"/>
          </w:tcPr>
          <w:p w14:paraId="6424EBB4" w14:textId="77777777" w:rsidR="00713ED0" w:rsidRPr="00540514" w:rsidRDefault="00713ED0" w:rsidP="00540514">
            <w:pPr>
              <w:pStyle w:val="TableTextEntries"/>
            </w:pPr>
            <w:r w:rsidRPr="00540514">
              <w:t>Green</w:t>
            </w:r>
          </w:p>
        </w:tc>
        <w:tc>
          <w:tcPr>
            <w:tcW w:w="6612" w:type="dxa"/>
            <w:vMerge w:val="restart"/>
          </w:tcPr>
          <w:p w14:paraId="77734482" w14:textId="07E70256" w:rsidR="00713ED0" w:rsidRPr="00713ED0" w:rsidRDefault="00713ED0" w:rsidP="00A234FB">
            <w:pPr>
              <w:pStyle w:val="TableTextEntries"/>
              <w:rPr>
                <w:color w:val="92D050"/>
              </w:rPr>
            </w:pPr>
            <w:r w:rsidRPr="00713ED0">
              <w:t>Completed</w:t>
            </w:r>
            <w:r w:rsidR="002A358C">
              <w:t>.</w:t>
            </w:r>
          </w:p>
        </w:tc>
      </w:tr>
      <w:tr w:rsidR="00713ED0" w:rsidRPr="00713ED0" w14:paraId="330F2F47" w14:textId="77777777" w:rsidTr="00540514">
        <w:trPr>
          <w:cantSplit/>
          <w:tblHeader w:val="0"/>
        </w:trPr>
        <w:tc>
          <w:tcPr>
            <w:tcW w:w="6331" w:type="dxa"/>
            <w:vMerge/>
          </w:tcPr>
          <w:p w14:paraId="677E79AB" w14:textId="77777777" w:rsidR="00713ED0" w:rsidRPr="00713ED0" w:rsidRDefault="00713ED0" w:rsidP="00A234FB">
            <w:pPr>
              <w:pStyle w:val="TableListBullet"/>
            </w:pPr>
          </w:p>
        </w:tc>
        <w:tc>
          <w:tcPr>
            <w:tcW w:w="823" w:type="dxa"/>
            <w:shd w:val="clear" w:color="auto" w:fill="FFFFFF" w:themeFill="background1"/>
          </w:tcPr>
          <w:p w14:paraId="7A0E7FF7" w14:textId="77777777" w:rsidR="00713ED0" w:rsidRPr="00540514" w:rsidRDefault="00713ED0" w:rsidP="00540514">
            <w:pPr>
              <w:pStyle w:val="TableTextEntries"/>
            </w:pPr>
          </w:p>
        </w:tc>
        <w:tc>
          <w:tcPr>
            <w:tcW w:w="6612" w:type="dxa"/>
            <w:vMerge/>
          </w:tcPr>
          <w:p w14:paraId="195027AF" w14:textId="77777777" w:rsidR="00713ED0" w:rsidRPr="00713ED0" w:rsidRDefault="00713ED0" w:rsidP="00A234FB">
            <w:pPr>
              <w:pStyle w:val="TableTextEntries"/>
            </w:pPr>
          </w:p>
        </w:tc>
      </w:tr>
      <w:tr w:rsidR="00713ED0" w:rsidRPr="00713ED0" w14:paraId="2938F8B4"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6895944D" w14:textId="5D8DB634" w:rsidR="00713ED0" w:rsidRPr="00713ED0" w:rsidRDefault="00713ED0" w:rsidP="00CD681B">
            <w:pPr>
              <w:pStyle w:val="TableListBullet"/>
            </w:pPr>
            <w:r w:rsidRPr="00713ED0">
              <w:t xml:space="preserve">To ensure momentum is not lost in testing and piloting key elements of the continuous professional development system while the necessary safeguards for using partner systems are negotiated, in 2012 </w:t>
            </w:r>
            <w:r w:rsidR="00CD681B">
              <w:t>Australia</w:t>
            </w:r>
            <w:r w:rsidR="002A358C" w:rsidRPr="00713ED0">
              <w:t xml:space="preserve"> </w:t>
            </w:r>
            <w:r w:rsidRPr="00713ED0">
              <w:t>will deliver support via the technical contractor team.</w:t>
            </w:r>
          </w:p>
        </w:tc>
        <w:tc>
          <w:tcPr>
            <w:tcW w:w="823" w:type="dxa"/>
            <w:shd w:val="clear" w:color="auto" w:fill="92D050"/>
          </w:tcPr>
          <w:p w14:paraId="4D674230" w14:textId="77777777" w:rsidR="00713ED0" w:rsidRPr="00540514" w:rsidRDefault="00713ED0" w:rsidP="00540514">
            <w:pPr>
              <w:pStyle w:val="TableTextEntries"/>
            </w:pPr>
            <w:r w:rsidRPr="00540514">
              <w:t>Green</w:t>
            </w:r>
          </w:p>
        </w:tc>
        <w:tc>
          <w:tcPr>
            <w:tcW w:w="6612" w:type="dxa"/>
            <w:vMerge w:val="restart"/>
          </w:tcPr>
          <w:p w14:paraId="0D62FAB7" w14:textId="081BF386" w:rsidR="00713ED0" w:rsidRPr="00713ED0" w:rsidRDefault="00713ED0" w:rsidP="00A234FB">
            <w:pPr>
              <w:pStyle w:val="TableTextEntries"/>
              <w:rPr>
                <w:color w:val="92D050"/>
              </w:rPr>
            </w:pPr>
            <w:r w:rsidRPr="00713ED0">
              <w:t>Completed</w:t>
            </w:r>
            <w:r w:rsidR="002A358C">
              <w:t>.</w:t>
            </w:r>
          </w:p>
        </w:tc>
      </w:tr>
      <w:tr w:rsidR="00713ED0" w:rsidRPr="00713ED0" w14:paraId="36D721EE" w14:textId="77777777" w:rsidTr="00540514">
        <w:trPr>
          <w:cantSplit/>
          <w:tblHeader w:val="0"/>
        </w:trPr>
        <w:tc>
          <w:tcPr>
            <w:tcW w:w="6331" w:type="dxa"/>
            <w:vMerge/>
          </w:tcPr>
          <w:p w14:paraId="09A9CA0A" w14:textId="77777777" w:rsidR="00713ED0" w:rsidRPr="00713ED0" w:rsidRDefault="00713ED0" w:rsidP="00713ED0">
            <w:pPr>
              <w:keepLines/>
              <w:numPr>
                <w:ilvl w:val="0"/>
                <w:numId w:val="48"/>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51B8A165" w14:textId="77777777" w:rsidR="00713ED0" w:rsidRPr="00540514" w:rsidRDefault="00713ED0" w:rsidP="00540514">
            <w:pPr>
              <w:pStyle w:val="TableTextEntries"/>
            </w:pPr>
          </w:p>
        </w:tc>
        <w:tc>
          <w:tcPr>
            <w:tcW w:w="6612" w:type="dxa"/>
            <w:vMerge/>
          </w:tcPr>
          <w:p w14:paraId="33148FA3"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40DA512F"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763D6666" w14:textId="335A062A" w:rsidR="00713ED0" w:rsidRPr="00713ED0" w:rsidRDefault="00713ED0" w:rsidP="00A234FB">
            <w:pPr>
              <w:pStyle w:val="TableListBullet"/>
            </w:pPr>
            <w:bookmarkStart w:id="102" w:name="_Toc332293889"/>
            <w:bookmarkStart w:id="103" w:name="_Toc332295201"/>
            <w:r w:rsidRPr="00713ED0">
              <w:t xml:space="preserve">Following successful dialogue with the </w:t>
            </w:r>
            <w:r w:rsidR="000A11DD">
              <w:t>Indonesian Government</w:t>
            </w:r>
            <w:r w:rsidRPr="00713ED0">
              <w:t xml:space="preserve"> regarding the unit cost increase required to build schools to established standards, the education partnership budget and targets for school constructions need to be revised to take account of this change. </w:t>
            </w:r>
            <w:bookmarkEnd w:id="102"/>
            <w:bookmarkEnd w:id="103"/>
          </w:p>
        </w:tc>
        <w:tc>
          <w:tcPr>
            <w:tcW w:w="823" w:type="dxa"/>
            <w:shd w:val="clear" w:color="auto" w:fill="92D050"/>
          </w:tcPr>
          <w:p w14:paraId="2C8E4713" w14:textId="77777777" w:rsidR="00713ED0" w:rsidRPr="00540514" w:rsidRDefault="00713ED0" w:rsidP="00540514">
            <w:pPr>
              <w:pStyle w:val="TableTextEntries"/>
            </w:pPr>
            <w:r w:rsidRPr="00540514">
              <w:t>Green</w:t>
            </w:r>
          </w:p>
        </w:tc>
        <w:tc>
          <w:tcPr>
            <w:tcW w:w="6612" w:type="dxa"/>
            <w:vMerge w:val="restart"/>
          </w:tcPr>
          <w:p w14:paraId="69496CA8" w14:textId="0A915867" w:rsidR="00713ED0" w:rsidRPr="00713ED0" w:rsidRDefault="00713ED0" w:rsidP="00A234FB">
            <w:pPr>
              <w:pStyle w:val="TableTextEntries"/>
              <w:rPr>
                <w:color w:val="92D050"/>
              </w:rPr>
            </w:pPr>
            <w:r w:rsidRPr="00713ED0">
              <w:t>Linked to consideration of new modalities for meeting the targets</w:t>
            </w:r>
            <w:r w:rsidR="002A358C">
              <w:t>. T</w:t>
            </w:r>
            <w:r w:rsidRPr="00713ED0">
              <w:t>his response is still being actioned and will be resolved by mid-2013</w:t>
            </w:r>
            <w:r w:rsidR="002A358C">
              <w:t>.</w:t>
            </w:r>
          </w:p>
        </w:tc>
      </w:tr>
      <w:tr w:rsidR="00713ED0" w:rsidRPr="00713ED0" w14:paraId="08CD4F3D" w14:textId="77777777" w:rsidTr="00540514">
        <w:trPr>
          <w:cantSplit/>
          <w:tblHeader w:val="0"/>
        </w:trPr>
        <w:tc>
          <w:tcPr>
            <w:tcW w:w="6331" w:type="dxa"/>
            <w:vMerge/>
          </w:tcPr>
          <w:p w14:paraId="12693DFC" w14:textId="77777777" w:rsidR="00713ED0" w:rsidRPr="00713ED0" w:rsidRDefault="00713ED0" w:rsidP="00A234FB">
            <w:pPr>
              <w:pStyle w:val="TableListBullet"/>
            </w:pPr>
          </w:p>
        </w:tc>
        <w:tc>
          <w:tcPr>
            <w:tcW w:w="823" w:type="dxa"/>
            <w:shd w:val="clear" w:color="auto" w:fill="FFFFFF" w:themeFill="background1"/>
          </w:tcPr>
          <w:p w14:paraId="6A7BB214" w14:textId="77777777" w:rsidR="00713ED0" w:rsidRPr="00540514" w:rsidRDefault="00713ED0" w:rsidP="00540514">
            <w:pPr>
              <w:pStyle w:val="TableTextEntries"/>
            </w:pPr>
          </w:p>
        </w:tc>
        <w:tc>
          <w:tcPr>
            <w:tcW w:w="6612" w:type="dxa"/>
            <w:vMerge/>
          </w:tcPr>
          <w:p w14:paraId="266B98B0" w14:textId="77777777" w:rsidR="00713ED0" w:rsidRPr="00713ED0" w:rsidRDefault="00713ED0" w:rsidP="00A234FB">
            <w:pPr>
              <w:pStyle w:val="TableTextEntries"/>
            </w:pPr>
          </w:p>
        </w:tc>
      </w:tr>
      <w:tr w:rsidR="00713ED0" w:rsidRPr="00713ED0" w14:paraId="4D916E0E"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47658C95" w14:textId="77777777" w:rsidR="00713ED0" w:rsidRPr="00713ED0" w:rsidRDefault="00713ED0" w:rsidP="00A234FB">
            <w:pPr>
              <w:pStyle w:val="TableListBullet"/>
            </w:pPr>
            <w:r w:rsidRPr="00713ED0">
              <w:t>Further analysis and policy dialogue on planning for and managing school infrastructure needs will be conducted in 2012 and throughout the life of the partnership.</w:t>
            </w:r>
          </w:p>
        </w:tc>
        <w:tc>
          <w:tcPr>
            <w:tcW w:w="823" w:type="dxa"/>
            <w:shd w:val="clear" w:color="auto" w:fill="92D050"/>
          </w:tcPr>
          <w:p w14:paraId="1DCF1D87" w14:textId="77777777" w:rsidR="00713ED0" w:rsidRPr="00540514" w:rsidRDefault="00713ED0" w:rsidP="00540514">
            <w:pPr>
              <w:pStyle w:val="TableTextEntries"/>
            </w:pPr>
            <w:r w:rsidRPr="00540514">
              <w:t>Green</w:t>
            </w:r>
          </w:p>
        </w:tc>
        <w:tc>
          <w:tcPr>
            <w:tcW w:w="6612" w:type="dxa"/>
            <w:vMerge w:val="restart"/>
          </w:tcPr>
          <w:p w14:paraId="2DAC7F03" w14:textId="04F92F0E" w:rsidR="00713ED0" w:rsidRPr="00713ED0" w:rsidRDefault="00713ED0" w:rsidP="00A234FB">
            <w:pPr>
              <w:pStyle w:val="TableTextEntries"/>
              <w:rPr>
                <w:color w:val="92D050"/>
              </w:rPr>
            </w:pPr>
            <w:r w:rsidRPr="00713ED0">
              <w:t>Review of district infrastructure needs and planning underway.</w:t>
            </w:r>
            <w:r w:rsidR="00B525E5">
              <w:t xml:space="preserve"> </w:t>
            </w:r>
            <w:r w:rsidRPr="00713ED0">
              <w:t>The review will be completed by the second quarter of 2013 and will be the basis for policy dialogue.</w:t>
            </w:r>
          </w:p>
        </w:tc>
      </w:tr>
      <w:tr w:rsidR="00713ED0" w:rsidRPr="00713ED0" w14:paraId="172469C8" w14:textId="77777777" w:rsidTr="00540514">
        <w:trPr>
          <w:cantSplit/>
          <w:tblHeader w:val="0"/>
        </w:trPr>
        <w:tc>
          <w:tcPr>
            <w:tcW w:w="6331" w:type="dxa"/>
            <w:vMerge/>
          </w:tcPr>
          <w:p w14:paraId="5F37F25D" w14:textId="77777777" w:rsidR="00713ED0" w:rsidRPr="00713ED0" w:rsidRDefault="00713ED0" w:rsidP="00A234FB">
            <w:pPr>
              <w:pStyle w:val="TableListBullet"/>
            </w:pPr>
          </w:p>
        </w:tc>
        <w:tc>
          <w:tcPr>
            <w:tcW w:w="823" w:type="dxa"/>
            <w:shd w:val="clear" w:color="auto" w:fill="FFFFFF" w:themeFill="background1"/>
          </w:tcPr>
          <w:p w14:paraId="0059CD7B" w14:textId="77777777" w:rsidR="00713ED0" w:rsidRPr="00540514" w:rsidRDefault="00713ED0" w:rsidP="00540514">
            <w:pPr>
              <w:pStyle w:val="TableTextEntries"/>
            </w:pPr>
          </w:p>
        </w:tc>
        <w:tc>
          <w:tcPr>
            <w:tcW w:w="6612" w:type="dxa"/>
            <w:vMerge/>
          </w:tcPr>
          <w:p w14:paraId="102C862F" w14:textId="77777777" w:rsidR="00713ED0" w:rsidRPr="00713ED0" w:rsidRDefault="00713ED0" w:rsidP="00A234FB">
            <w:pPr>
              <w:pStyle w:val="TableTextEntries"/>
            </w:pPr>
          </w:p>
        </w:tc>
      </w:tr>
      <w:tr w:rsidR="00713ED0" w:rsidRPr="00713ED0" w14:paraId="20085302"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6AFAE20B" w14:textId="61967B1A" w:rsidR="00713ED0" w:rsidRPr="00713ED0" w:rsidRDefault="00713ED0" w:rsidP="00CD681B">
            <w:pPr>
              <w:pStyle w:val="TableListBullet"/>
            </w:pPr>
            <w:bookmarkStart w:id="104" w:name="_Toc332293890"/>
            <w:bookmarkStart w:id="105" w:name="_Toc332295202"/>
            <w:r w:rsidRPr="00713ED0">
              <w:lastRenderedPageBreak/>
              <w:t xml:space="preserve">Together with the European Union, Australia also provided support to the multi-donor trust fund for sector research and analysis, the </w:t>
            </w:r>
            <w:r w:rsidR="00DE063C" w:rsidRPr="00DE063C">
              <w:rPr>
                <w:lang w:val="en-US"/>
              </w:rPr>
              <w:t xml:space="preserve">Analytical </w:t>
            </w:r>
            <w:r w:rsidR="00DE063C" w:rsidRPr="00D67028">
              <w:rPr>
                <w:iCs/>
                <w:lang w:val="en-US"/>
              </w:rPr>
              <w:t>and Capacity Development Partnershi</w:t>
            </w:r>
            <w:r w:rsidR="00DE063C">
              <w:rPr>
                <w:iCs/>
                <w:lang w:val="en-US"/>
              </w:rPr>
              <w:t>p</w:t>
            </w:r>
            <w:r w:rsidRPr="00DE063C">
              <w:t>.</w:t>
            </w:r>
            <w:r w:rsidRPr="00713ED0">
              <w:t xml:space="preserve"> The demand-driven design of the </w:t>
            </w:r>
            <w:r w:rsidR="00DE063C">
              <w:t>partnership</w:t>
            </w:r>
            <w:r w:rsidR="00DE063C" w:rsidRPr="00713ED0">
              <w:t xml:space="preserve"> </w:t>
            </w:r>
            <w:r w:rsidRPr="00713ED0">
              <w:t xml:space="preserve">is intended to respond to government priorities but the mechanism is best suited to longer-term work. This creates risks for the timeliness of findings and the likelihood that they will inform policy decisions. </w:t>
            </w:r>
            <w:r w:rsidR="00CD681B">
              <w:t>T</w:t>
            </w:r>
            <w:r w:rsidRPr="00713ED0">
              <w:t xml:space="preserve">his risk </w:t>
            </w:r>
            <w:r w:rsidR="00CD681B">
              <w:t xml:space="preserve">will be monitored </w:t>
            </w:r>
            <w:r w:rsidRPr="00713ED0">
              <w:t>closely as a management issue in 2012.</w:t>
            </w:r>
            <w:bookmarkEnd w:id="104"/>
            <w:bookmarkEnd w:id="105"/>
          </w:p>
        </w:tc>
        <w:tc>
          <w:tcPr>
            <w:tcW w:w="823" w:type="dxa"/>
            <w:shd w:val="clear" w:color="auto" w:fill="F79646" w:themeFill="accent6"/>
          </w:tcPr>
          <w:p w14:paraId="35BEC1D4" w14:textId="77777777" w:rsidR="00713ED0" w:rsidRPr="00540514" w:rsidRDefault="00713ED0" w:rsidP="00540514">
            <w:pPr>
              <w:pStyle w:val="TableTextEntries"/>
            </w:pPr>
            <w:r w:rsidRPr="00540514">
              <w:t>Amber</w:t>
            </w:r>
          </w:p>
        </w:tc>
        <w:tc>
          <w:tcPr>
            <w:tcW w:w="6612" w:type="dxa"/>
            <w:vMerge w:val="restart"/>
          </w:tcPr>
          <w:p w14:paraId="721EBB67" w14:textId="6BA05E0F" w:rsidR="00713ED0" w:rsidRPr="00713ED0" w:rsidRDefault="00713ED0" w:rsidP="00A234FB">
            <w:pPr>
              <w:pStyle w:val="TableTextEntries"/>
              <w:rPr>
                <w:color w:val="92D050"/>
              </w:rPr>
            </w:pPr>
            <w:r w:rsidRPr="00713ED0">
              <w:t xml:space="preserve">This remains a risk to monitor, however </w:t>
            </w:r>
            <w:r w:rsidR="00DE063C" w:rsidRPr="00DE063C">
              <w:rPr>
                <w:lang w:val="en-US"/>
              </w:rPr>
              <w:t xml:space="preserve">Analytical </w:t>
            </w:r>
            <w:r w:rsidR="00DE063C" w:rsidRPr="00520769">
              <w:rPr>
                <w:iCs/>
                <w:lang w:val="en-US"/>
              </w:rPr>
              <w:t>and Capacity Development Partnershi</w:t>
            </w:r>
            <w:r w:rsidR="00DE063C">
              <w:rPr>
                <w:iCs/>
                <w:lang w:val="en-US"/>
              </w:rPr>
              <w:t>p</w:t>
            </w:r>
            <w:r w:rsidR="00DE063C">
              <w:t xml:space="preserve"> </w:t>
            </w:r>
            <w:r w:rsidRPr="00713ED0">
              <w:t xml:space="preserve">products have been valued and </w:t>
            </w:r>
            <w:r w:rsidR="00DE063C">
              <w:t>used</w:t>
            </w:r>
            <w:r w:rsidR="00DE063C" w:rsidRPr="00713ED0">
              <w:t xml:space="preserve"> </w:t>
            </w:r>
            <w:r w:rsidRPr="00713ED0">
              <w:t xml:space="preserve">by senior </w:t>
            </w:r>
            <w:r w:rsidR="000A11DD">
              <w:t>Indonesian Government</w:t>
            </w:r>
            <w:r w:rsidRPr="00713ED0">
              <w:t xml:space="preserve"> officials</w:t>
            </w:r>
            <w:r w:rsidR="00DE063C">
              <w:t>,</w:t>
            </w:r>
            <w:r w:rsidRPr="00713ED0">
              <w:t xml:space="preserve"> and the</w:t>
            </w:r>
            <w:r w:rsidR="00DE063C">
              <w:t xml:space="preserve"> </w:t>
            </w:r>
            <w:r w:rsidR="00DE063C" w:rsidRPr="00DE063C">
              <w:rPr>
                <w:lang w:val="en-US"/>
              </w:rPr>
              <w:t xml:space="preserve">Analytical </w:t>
            </w:r>
            <w:r w:rsidR="00DE063C" w:rsidRPr="00520769">
              <w:rPr>
                <w:iCs/>
                <w:lang w:val="en-US"/>
              </w:rPr>
              <w:t>and Capacity Development Partnershi</w:t>
            </w:r>
            <w:r w:rsidR="00DE063C">
              <w:rPr>
                <w:iCs/>
                <w:lang w:val="en-US"/>
              </w:rPr>
              <w:t xml:space="preserve">p </w:t>
            </w:r>
            <w:r w:rsidRPr="00713ED0">
              <w:t>Secretariat has been developing more flexible modes of delivery to respond to short-term requests.</w:t>
            </w:r>
          </w:p>
        </w:tc>
      </w:tr>
      <w:tr w:rsidR="00713ED0" w:rsidRPr="00713ED0" w14:paraId="2D3EE10E" w14:textId="77777777" w:rsidTr="00540514">
        <w:trPr>
          <w:cantSplit/>
          <w:tblHeader w:val="0"/>
        </w:trPr>
        <w:tc>
          <w:tcPr>
            <w:tcW w:w="6331" w:type="dxa"/>
            <w:vMerge/>
          </w:tcPr>
          <w:p w14:paraId="7A653F7A" w14:textId="77777777" w:rsidR="00713ED0" w:rsidRPr="00713ED0" w:rsidRDefault="00713ED0" w:rsidP="00A234FB">
            <w:pPr>
              <w:pStyle w:val="TableListBullet"/>
            </w:pPr>
          </w:p>
        </w:tc>
        <w:tc>
          <w:tcPr>
            <w:tcW w:w="823" w:type="dxa"/>
            <w:shd w:val="clear" w:color="auto" w:fill="FFFFFF" w:themeFill="background1"/>
          </w:tcPr>
          <w:p w14:paraId="19411DAA" w14:textId="77777777" w:rsidR="00713ED0" w:rsidRPr="00540514" w:rsidRDefault="00713ED0" w:rsidP="00540514">
            <w:pPr>
              <w:pStyle w:val="TableTextEntries"/>
            </w:pPr>
          </w:p>
        </w:tc>
        <w:tc>
          <w:tcPr>
            <w:tcW w:w="6612" w:type="dxa"/>
            <w:vMerge/>
          </w:tcPr>
          <w:p w14:paraId="721BBD6D" w14:textId="77777777" w:rsidR="00713ED0" w:rsidRPr="00713ED0" w:rsidRDefault="00713ED0" w:rsidP="00A234FB">
            <w:pPr>
              <w:pStyle w:val="TableTextEntries"/>
            </w:pPr>
          </w:p>
        </w:tc>
      </w:tr>
      <w:tr w:rsidR="00713ED0" w:rsidRPr="00713ED0" w14:paraId="2091720D"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604CA3A3" w14:textId="64FD79AC" w:rsidR="00713ED0" w:rsidRPr="00713ED0" w:rsidRDefault="00713ED0" w:rsidP="00CD681B">
            <w:pPr>
              <w:pStyle w:val="TableListBullet"/>
            </w:pPr>
            <w:bookmarkStart w:id="106" w:name="_Toc332293891"/>
            <w:bookmarkStart w:id="107" w:name="_Toc332295203"/>
            <w:r w:rsidRPr="00713ED0">
              <w:t>Early analysis on future options for investment in the sector was conducted, with a f</w:t>
            </w:r>
            <w:r w:rsidR="009A185C">
              <w:t>ocus on tertiary education. T</w:t>
            </w:r>
            <w:r w:rsidRPr="00713ED0">
              <w:t xml:space="preserve">his is a relatively new area for </w:t>
            </w:r>
            <w:r w:rsidR="00CD681B">
              <w:t xml:space="preserve">Australia </w:t>
            </w:r>
            <w:r w:rsidRPr="00713ED0">
              <w:t xml:space="preserve">to be partnering with Indonesia, </w:t>
            </w:r>
            <w:r w:rsidR="00DE063C">
              <w:t xml:space="preserve">so </w:t>
            </w:r>
            <w:r w:rsidRPr="00713ED0">
              <w:t xml:space="preserve">appropriate </w:t>
            </w:r>
            <w:r w:rsidR="0088219C" w:rsidRPr="00713ED0">
              <w:t>high</w:t>
            </w:r>
            <w:r w:rsidR="0088219C">
              <w:t>-</w:t>
            </w:r>
            <w:r w:rsidRPr="00713ED0">
              <w:t>level technical and advisory support from both Indonesian and international experts will be critical.</w:t>
            </w:r>
            <w:bookmarkEnd w:id="106"/>
            <w:bookmarkEnd w:id="107"/>
          </w:p>
        </w:tc>
        <w:tc>
          <w:tcPr>
            <w:tcW w:w="823" w:type="dxa"/>
            <w:shd w:val="clear" w:color="auto" w:fill="92D050"/>
          </w:tcPr>
          <w:p w14:paraId="772E7DFA" w14:textId="77777777" w:rsidR="00713ED0" w:rsidRPr="00540514" w:rsidRDefault="00713ED0" w:rsidP="00540514">
            <w:pPr>
              <w:pStyle w:val="TableTextEntries"/>
            </w:pPr>
            <w:r w:rsidRPr="00540514">
              <w:t>Green</w:t>
            </w:r>
          </w:p>
        </w:tc>
        <w:tc>
          <w:tcPr>
            <w:tcW w:w="6612" w:type="dxa"/>
            <w:vMerge w:val="restart"/>
          </w:tcPr>
          <w:p w14:paraId="4DA3D0E3" w14:textId="28DAF7AB" w:rsidR="00713ED0" w:rsidRPr="00713ED0" w:rsidRDefault="00713ED0" w:rsidP="00A234FB">
            <w:pPr>
              <w:pStyle w:val="TableTextEntries"/>
              <w:rPr>
                <w:color w:val="92D050"/>
              </w:rPr>
            </w:pPr>
            <w:r w:rsidRPr="00713ED0">
              <w:t>A high-level Indonesian reference group has been established an</w:t>
            </w:r>
            <w:r w:rsidR="00DE063C">
              <w:t>d is</w:t>
            </w:r>
            <w:r w:rsidRPr="00713ED0">
              <w:t xml:space="preserve"> actively involved in design preparations.</w:t>
            </w:r>
            <w:r w:rsidR="00B525E5">
              <w:t xml:space="preserve"> </w:t>
            </w:r>
            <w:r w:rsidRPr="00713ED0">
              <w:t>Internal and external technical expertise has contributed to preparation of the design concept.</w:t>
            </w:r>
          </w:p>
        </w:tc>
      </w:tr>
      <w:tr w:rsidR="00713ED0" w:rsidRPr="00713ED0" w14:paraId="469ACED4" w14:textId="77777777" w:rsidTr="00540514">
        <w:trPr>
          <w:cantSplit/>
          <w:tblHeader w:val="0"/>
        </w:trPr>
        <w:tc>
          <w:tcPr>
            <w:tcW w:w="6331" w:type="dxa"/>
            <w:vMerge/>
          </w:tcPr>
          <w:p w14:paraId="06D1318C"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22666CA7" w14:textId="77777777" w:rsidR="00713ED0" w:rsidRPr="00540514" w:rsidRDefault="00713ED0" w:rsidP="00540514">
            <w:pPr>
              <w:pStyle w:val="TableTextEntries"/>
            </w:pPr>
          </w:p>
        </w:tc>
        <w:tc>
          <w:tcPr>
            <w:tcW w:w="6612" w:type="dxa"/>
            <w:vMerge/>
          </w:tcPr>
          <w:p w14:paraId="4E62FD43"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2BD5D55F"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tcPr>
          <w:p w14:paraId="3BFD6C8A" w14:textId="77777777" w:rsidR="00713ED0" w:rsidRPr="00713ED0" w:rsidRDefault="00713ED0" w:rsidP="00A234FB">
            <w:pPr>
              <w:pStyle w:val="TableHeading2"/>
            </w:pPr>
            <w:r w:rsidRPr="00713ED0">
              <w:t>Health</w:t>
            </w:r>
          </w:p>
        </w:tc>
        <w:tc>
          <w:tcPr>
            <w:tcW w:w="823" w:type="dxa"/>
            <w:shd w:val="clear" w:color="auto" w:fill="FFFFFF" w:themeFill="background1"/>
          </w:tcPr>
          <w:p w14:paraId="0439B597" w14:textId="77777777" w:rsidR="00713ED0" w:rsidRPr="00540514" w:rsidRDefault="00713ED0" w:rsidP="00540514">
            <w:pPr>
              <w:pStyle w:val="TableTextEntries"/>
            </w:pPr>
          </w:p>
        </w:tc>
        <w:tc>
          <w:tcPr>
            <w:tcW w:w="6612" w:type="dxa"/>
          </w:tcPr>
          <w:p w14:paraId="34F811F6" w14:textId="77777777" w:rsidR="00713ED0" w:rsidRPr="00713ED0" w:rsidRDefault="00713ED0" w:rsidP="00713ED0">
            <w:pPr>
              <w:keepLines/>
              <w:spacing w:before="40" w:after="40" w:line="200" w:lineRule="atLeast"/>
              <w:rPr>
                <w:rFonts w:eastAsia="Times New Roman"/>
                <w:color w:val="92D050"/>
                <w:sz w:val="17"/>
                <w:szCs w:val="17"/>
                <w:lang w:eastAsia="en-US"/>
              </w:rPr>
            </w:pPr>
          </w:p>
        </w:tc>
      </w:tr>
      <w:tr w:rsidR="00713ED0" w:rsidRPr="00713ED0" w14:paraId="717E5DE7" w14:textId="77777777" w:rsidTr="00805D86">
        <w:trPr>
          <w:cantSplit/>
          <w:tblHeader w:val="0"/>
        </w:trPr>
        <w:tc>
          <w:tcPr>
            <w:tcW w:w="6331" w:type="dxa"/>
            <w:vMerge w:val="restart"/>
          </w:tcPr>
          <w:p w14:paraId="45677088" w14:textId="6B31A488" w:rsidR="00713ED0" w:rsidRPr="00713ED0" w:rsidRDefault="00713ED0" w:rsidP="00F706FC">
            <w:pPr>
              <w:pStyle w:val="TableListBullet"/>
            </w:pPr>
            <w:r w:rsidRPr="00713ED0">
              <w:t>The results framework will provide the platform for a revised set of health sub-sector outcomes against which the sector performance for 2012 will be judged.</w:t>
            </w:r>
            <w:r w:rsidR="00B525E5">
              <w:t xml:space="preserve"> </w:t>
            </w:r>
          </w:p>
        </w:tc>
        <w:tc>
          <w:tcPr>
            <w:tcW w:w="823" w:type="dxa"/>
            <w:tcBorders>
              <w:top w:val="nil"/>
              <w:bottom w:val="nil"/>
            </w:tcBorders>
            <w:shd w:val="clear" w:color="auto" w:fill="92D050"/>
          </w:tcPr>
          <w:p w14:paraId="2C54F523" w14:textId="77777777" w:rsidR="00713ED0" w:rsidRPr="00540514" w:rsidRDefault="00713ED0" w:rsidP="00540514">
            <w:pPr>
              <w:pStyle w:val="TableTextEntries"/>
            </w:pPr>
            <w:r w:rsidRPr="00540514">
              <w:t>Green</w:t>
            </w:r>
          </w:p>
        </w:tc>
        <w:tc>
          <w:tcPr>
            <w:tcW w:w="6612" w:type="dxa"/>
            <w:vMerge w:val="restart"/>
          </w:tcPr>
          <w:p w14:paraId="524D107D" w14:textId="6294CE41" w:rsidR="00713ED0" w:rsidRPr="00713ED0" w:rsidRDefault="00713ED0" w:rsidP="00CD681B">
            <w:pPr>
              <w:pStyle w:val="TableTextEntries"/>
              <w:rPr>
                <w:color w:val="92D050"/>
              </w:rPr>
            </w:pPr>
            <w:r w:rsidRPr="00713ED0">
              <w:t>Completed. Of the two health-sector-specific indicators</w:t>
            </w:r>
            <w:r w:rsidR="009C01DC">
              <w:t>,</w:t>
            </w:r>
            <w:r w:rsidRPr="00713ED0">
              <w:t xml:space="preserve"> </w:t>
            </w:r>
            <w:r w:rsidR="00CD681B">
              <w:t xml:space="preserve">the department </w:t>
            </w:r>
            <w:r w:rsidRPr="00713ED0">
              <w:t xml:space="preserve">does not support </w:t>
            </w:r>
            <w:r w:rsidR="00DE063C" w:rsidRPr="00713ED0">
              <w:t>immuni</w:t>
            </w:r>
            <w:r w:rsidR="00DE063C">
              <w:t>s</w:t>
            </w:r>
            <w:r w:rsidR="00DE063C" w:rsidRPr="00713ED0">
              <w:t xml:space="preserve">ation </w:t>
            </w:r>
            <w:r w:rsidRPr="00713ED0">
              <w:t xml:space="preserve">work through its health sector programs in Indonesia, but skilled attendance at childbirth and training of health workers is supported and reported against. </w:t>
            </w:r>
            <w:r w:rsidR="00DE063C" w:rsidRPr="00713ED0">
              <w:t>Immuni</w:t>
            </w:r>
            <w:r w:rsidR="00DE063C">
              <w:t>s</w:t>
            </w:r>
            <w:r w:rsidR="00DE063C" w:rsidRPr="00713ED0">
              <w:t xml:space="preserve">ation </w:t>
            </w:r>
            <w:r w:rsidRPr="00713ED0">
              <w:t xml:space="preserve">is already covered under the </w:t>
            </w:r>
            <w:r w:rsidR="00DE063C">
              <w:t xml:space="preserve">National </w:t>
            </w:r>
            <w:r w:rsidR="00DE063C" w:rsidRPr="00DE063C">
              <w:t xml:space="preserve">Programme for Community Empowerment </w:t>
            </w:r>
            <w:r w:rsidR="00DE063C">
              <w:t>initiative</w:t>
            </w:r>
            <w:r w:rsidRPr="00713ED0">
              <w:t>.</w:t>
            </w:r>
          </w:p>
        </w:tc>
      </w:tr>
      <w:tr w:rsidR="00713ED0" w:rsidRPr="00713ED0" w14:paraId="61AF45C9"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17E56699" w14:textId="77777777" w:rsidR="00713ED0" w:rsidRPr="00713ED0" w:rsidRDefault="00713ED0" w:rsidP="00A234FB">
            <w:pPr>
              <w:pStyle w:val="TableListBullet"/>
            </w:pPr>
          </w:p>
        </w:tc>
        <w:tc>
          <w:tcPr>
            <w:tcW w:w="823" w:type="dxa"/>
            <w:shd w:val="clear" w:color="auto" w:fill="FFFFFF" w:themeFill="background1"/>
          </w:tcPr>
          <w:p w14:paraId="569DC2D6" w14:textId="77777777" w:rsidR="00713ED0" w:rsidRPr="00540514" w:rsidRDefault="00713ED0" w:rsidP="00540514">
            <w:pPr>
              <w:pStyle w:val="TableTextEntries"/>
            </w:pPr>
          </w:p>
        </w:tc>
        <w:tc>
          <w:tcPr>
            <w:tcW w:w="6612" w:type="dxa"/>
            <w:vMerge/>
          </w:tcPr>
          <w:p w14:paraId="7D4881FA" w14:textId="77777777" w:rsidR="00713ED0" w:rsidRPr="00713ED0" w:rsidRDefault="00713ED0" w:rsidP="00A234FB">
            <w:pPr>
              <w:pStyle w:val="TableTextEntries"/>
            </w:pPr>
          </w:p>
        </w:tc>
      </w:tr>
      <w:tr w:rsidR="00713ED0" w:rsidRPr="00713ED0" w14:paraId="16F2C9C5" w14:textId="77777777" w:rsidTr="00805D86">
        <w:trPr>
          <w:cantSplit/>
          <w:tblHeader w:val="0"/>
        </w:trPr>
        <w:tc>
          <w:tcPr>
            <w:tcW w:w="6331" w:type="dxa"/>
            <w:vMerge w:val="restart"/>
          </w:tcPr>
          <w:p w14:paraId="1C151480" w14:textId="05228EC2" w:rsidR="00713ED0" w:rsidRPr="00713ED0" w:rsidRDefault="00713ED0" w:rsidP="00A234FB">
            <w:pPr>
              <w:pStyle w:val="TableListBullet"/>
            </w:pPr>
            <w:r w:rsidRPr="00713ED0">
              <w:t xml:space="preserve">The health sector plan will be finalised in consultation with the </w:t>
            </w:r>
            <w:r w:rsidR="000A11DD">
              <w:t>Indonesian Government</w:t>
            </w:r>
            <w:r w:rsidRPr="00713ED0">
              <w:t xml:space="preserve"> so that priorities for future scale up, areas for future analysis and a new results framework are agreed by end of 2012. This will help inform the new maternal, neonatal and child health design and provide a robust results framework that will measure progress in our health programs.</w:t>
            </w:r>
          </w:p>
        </w:tc>
        <w:tc>
          <w:tcPr>
            <w:tcW w:w="823" w:type="dxa"/>
            <w:tcBorders>
              <w:top w:val="nil"/>
              <w:bottom w:val="nil"/>
            </w:tcBorders>
            <w:shd w:val="clear" w:color="auto" w:fill="92D050"/>
          </w:tcPr>
          <w:p w14:paraId="6FC03C3A" w14:textId="77777777" w:rsidR="00713ED0" w:rsidRPr="00540514" w:rsidRDefault="00713ED0" w:rsidP="00540514">
            <w:pPr>
              <w:pStyle w:val="TableTextEntries"/>
            </w:pPr>
            <w:r w:rsidRPr="00540514">
              <w:t>Green</w:t>
            </w:r>
          </w:p>
        </w:tc>
        <w:tc>
          <w:tcPr>
            <w:tcW w:w="6612" w:type="dxa"/>
            <w:vMerge w:val="restart"/>
          </w:tcPr>
          <w:p w14:paraId="3CD37315" w14:textId="77777777" w:rsidR="00713ED0" w:rsidRPr="00713ED0" w:rsidRDefault="00713ED0" w:rsidP="00A234FB">
            <w:pPr>
              <w:pStyle w:val="TableTextEntries"/>
              <w:rPr>
                <w:color w:val="92D050"/>
              </w:rPr>
            </w:pPr>
            <w:r w:rsidRPr="00713ED0">
              <w:t>The Health Sector Delivery Strategy is in preparation and will be finalised within 2013.</w:t>
            </w:r>
          </w:p>
        </w:tc>
      </w:tr>
      <w:tr w:rsidR="00713ED0" w:rsidRPr="00713ED0" w14:paraId="790A82D8"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7B333592"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769B2C47" w14:textId="77777777" w:rsidR="00713ED0" w:rsidRPr="00540514" w:rsidRDefault="00713ED0" w:rsidP="00540514">
            <w:pPr>
              <w:pStyle w:val="TableTextEntries"/>
            </w:pPr>
          </w:p>
        </w:tc>
        <w:tc>
          <w:tcPr>
            <w:tcW w:w="6612" w:type="dxa"/>
            <w:vMerge/>
          </w:tcPr>
          <w:p w14:paraId="39FEA4F1"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3AE56F46" w14:textId="77777777" w:rsidTr="00540514">
        <w:trPr>
          <w:cantSplit/>
          <w:tblHeader w:val="0"/>
        </w:trPr>
        <w:tc>
          <w:tcPr>
            <w:tcW w:w="6331" w:type="dxa"/>
            <w:vMerge w:val="restart"/>
          </w:tcPr>
          <w:p w14:paraId="234A9BBF" w14:textId="77777777" w:rsidR="00713ED0" w:rsidRPr="00713ED0" w:rsidRDefault="00713ED0" w:rsidP="00A234FB">
            <w:pPr>
              <w:pStyle w:val="TableListBullet"/>
            </w:pPr>
            <w:r w:rsidRPr="00713ED0">
              <w:t>We will work with Indonesian counterparts and boost support to the Ministry of Health to help refocus and prioritise HIV interventions, as this is becoming urgent in light of reduction of global fund grants and slow progress in addressing the MDG target of halting the spread of HIV/AIDS. Agreements on programming will also be revisited with key partners to minimise fragmenting and simplify support to Indonesia’s response to HIV.</w:t>
            </w:r>
          </w:p>
        </w:tc>
        <w:tc>
          <w:tcPr>
            <w:tcW w:w="823" w:type="dxa"/>
            <w:shd w:val="clear" w:color="auto" w:fill="F79646" w:themeFill="accent6"/>
          </w:tcPr>
          <w:p w14:paraId="0045AADC" w14:textId="77777777" w:rsidR="00713ED0" w:rsidRPr="00540514" w:rsidRDefault="00713ED0" w:rsidP="00540514">
            <w:pPr>
              <w:pStyle w:val="TableTextEntries"/>
            </w:pPr>
            <w:r w:rsidRPr="00540514">
              <w:t>Amber</w:t>
            </w:r>
          </w:p>
        </w:tc>
        <w:tc>
          <w:tcPr>
            <w:tcW w:w="6612" w:type="dxa"/>
            <w:vMerge w:val="restart"/>
          </w:tcPr>
          <w:p w14:paraId="0BB85D71" w14:textId="01B9850F" w:rsidR="00713ED0" w:rsidRPr="00713ED0" w:rsidRDefault="00713ED0" w:rsidP="00CD681B">
            <w:pPr>
              <w:pStyle w:val="TableTextEntries"/>
              <w:rPr>
                <w:color w:val="92D050"/>
              </w:rPr>
            </w:pPr>
            <w:r w:rsidRPr="00713ED0">
              <w:t xml:space="preserve">Ongoing. In response to the changing burden of HIV, </w:t>
            </w:r>
            <w:r w:rsidR="00CD681B">
              <w:t>Australia</w:t>
            </w:r>
            <w:r w:rsidRPr="00713ED0">
              <w:t xml:space="preserve"> has been scaling up its support for the Papuan provinces through both </w:t>
            </w:r>
            <w:r w:rsidR="00DE063C">
              <w:t xml:space="preserve">the </w:t>
            </w:r>
            <w:r w:rsidR="00DE063C" w:rsidRPr="00DE063C">
              <w:rPr>
                <w:lang w:val="en-US"/>
              </w:rPr>
              <w:t xml:space="preserve">HIV Cooperation Program for </w:t>
            </w:r>
            <w:r w:rsidR="00DE063C" w:rsidRPr="00D67028">
              <w:rPr>
                <w:iCs/>
                <w:lang w:val="en-US"/>
              </w:rPr>
              <w:t>Indonesia</w:t>
            </w:r>
            <w:r w:rsidR="00DE063C" w:rsidRPr="00DE063C" w:rsidDel="00DE063C">
              <w:t xml:space="preserve"> </w:t>
            </w:r>
            <w:r w:rsidRPr="00713ED0">
              <w:t xml:space="preserve">and </w:t>
            </w:r>
            <w:r w:rsidR="00DE063C" w:rsidRPr="00DE063C">
              <w:rPr>
                <w:lang w:val="en-US"/>
              </w:rPr>
              <w:t>Rapidly Expanding Access to Care for HIV (REACH</w:t>
            </w:r>
            <w:r w:rsidR="00DE063C">
              <w:rPr>
                <w:lang w:val="en-US"/>
              </w:rPr>
              <w:t>)</w:t>
            </w:r>
            <w:r w:rsidRPr="00713ED0">
              <w:t>.</w:t>
            </w:r>
            <w:r w:rsidR="00B525E5">
              <w:t xml:space="preserve"> </w:t>
            </w:r>
            <w:r w:rsidRPr="00713ED0">
              <w:t xml:space="preserve">However, the new </w:t>
            </w:r>
            <w:r w:rsidR="00DE063C" w:rsidRPr="00D67028">
              <w:rPr>
                <w:iCs/>
                <w:lang w:val="en-US"/>
              </w:rPr>
              <w:t>Global Fund</w:t>
            </w:r>
            <w:r w:rsidR="00DE063C" w:rsidRPr="00DE063C">
              <w:rPr>
                <w:lang w:val="en-US"/>
              </w:rPr>
              <w:t xml:space="preserve"> to Fight AIDS, Tuberculosis and Malaria</w:t>
            </w:r>
            <w:r w:rsidR="00DE063C" w:rsidRPr="00DE063C" w:rsidDel="00DE063C">
              <w:t xml:space="preserve"> </w:t>
            </w:r>
            <w:r w:rsidRPr="00713ED0">
              <w:t xml:space="preserve">funding model is of concern for the response in Papua </w:t>
            </w:r>
            <w:r w:rsidR="00DE063C">
              <w:t>and</w:t>
            </w:r>
            <w:r w:rsidR="00DE063C" w:rsidRPr="00713ED0">
              <w:t xml:space="preserve"> </w:t>
            </w:r>
            <w:r w:rsidRPr="00713ED0">
              <w:t xml:space="preserve">West Papua The </w:t>
            </w:r>
            <w:r w:rsidR="00DE063C">
              <w:t>Global Fund’s</w:t>
            </w:r>
            <w:r w:rsidR="00DE063C" w:rsidRPr="00713ED0">
              <w:t xml:space="preserve"> </w:t>
            </w:r>
            <w:r w:rsidRPr="00713ED0">
              <w:t xml:space="preserve">priorities are determined by numbers of key affected populations (mainly sex workers and </w:t>
            </w:r>
            <w:r w:rsidR="00DE063C">
              <w:t>people who inject drugs</w:t>
            </w:r>
            <w:r w:rsidRPr="00713ED0">
              <w:t>) which are small in those provinces, but the burden of HIV is heaviest there with a low level generalised epidemic, largely driven by high-risk sexual behaviour among the general population.</w:t>
            </w:r>
            <w:r w:rsidR="00B525E5">
              <w:t xml:space="preserve"> </w:t>
            </w:r>
            <w:r w:rsidR="00DE063C">
              <w:t>Global Fund</w:t>
            </w:r>
            <w:r w:rsidR="00DE063C" w:rsidRPr="00713ED0">
              <w:t xml:space="preserve"> </w:t>
            </w:r>
            <w:r w:rsidR="00DE063C">
              <w:t>support</w:t>
            </w:r>
            <w:r w:rsidR="00DE063C" w:rsidRPr="00713ED0">
              <w:t xml:space="preserve"> </w:t>
            </w:r>
            <w:r w:rsidRPr="00713ED0">
              <w:t xml:space="preserve">for health services in those provinces will end in 2013 and may leave a significant funding gap. </w:t>
            </w:r>
            <w:r w:rsidR="00DE063C">
              <w:t>The Ministry of Health</w:t>
            </w:r>
            <w:r w:rsidR="00DE063C" w:rsidRPr="00713ED0">
              <w:t xml:space="preserve"> </w:t>
            </w:r>
            <w:r w:rsidRPr="00713ED0">
              <w:t xml:space="preserve">will </w:t>
            </w:r>
            <w:r w:rsidR="00DE063C">
              <w:t>seek</w:t>
            </w:r>
            <w:r w:rsidR="00DE063C" w:rsidRPr="00713ED0">
              <w:t xml:space="preserve"> </w:t>
            </w:r>
            <w:r w:rsidRPr="00713ED0">
              <w:t xml:space="preserve">clarification on </w:t>
            </w:r>
            <w:r w:rsidR="00DE063C">
              <w:t>the Global Fund’s</w:t>
            </w:r>
            <w:r w:rsidR="00DE063C" w:rsidRPr="00713ED0">
              <w:t xml:space="preserve"> </w:t>
            </w:r>
            <w:r w:rsidRPr="00713ED0">
              <w:t xml:space="preserve">support by </w:t>
            </w:r>
            <w:r w:rsidR="00DE063C">
              <w:t xml:space="preserve">the </w:t>
            </w:r>
            <w:r w:rsidRPr="00713ED0">
              <w:t>second half of 2013</w:t>
            </w:r>
            <w:r w:rsidR="00DE063C">
              <w:t xml:space="preserve"> and</w:t>
            </w:r>
            <w:r w:rsidRPr="00713ED0">
              <w:t xml:space="preserve"> that may improve the operating environment for REACH.</w:t>
            </w:r>
          </w:p>
        </w:tc>
      </w:tr>
      <w:tr w:rsidR="00713ED0" w:rsidRPr="00713ED0" w14:paraId="2B26AE90"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0EEAB3A1" w14:textId="77777777" w:rsidR="00713ED0" w:rsidRPr="00713ED0" w:rsidRDefault="00713ED0" w:rsidP="00A234FB">
            <w:pPr>
              <w:pStyle w:val="TableListBullet"/>
            </w:pPr>
          </w:p>
        </w:tc>
        <w:tc>
          <w:tcPr>
            <w:tcW w:w="823" w:type="dxa"/>
            <w:shd w:val="clear" w:color="auto" w:fill="FFFFFF" w:themeFill="background1"/>
          </w:tcPr>
          <w:p w14:paraId="5CF9DE8F" w14:textId="77777777" w:rsidR="00713ED0" w:rsidRPr="00540514" w:rsidRDefault="00713ED0" w:rsidP="00540514">
            <w:pPr>
              <w:pStyle w:val="TableTextEntries"/>
            </w:pPr>
          </w:p>
        </w:tc>
        <w:tc>
          <w:tcPr>
            <w:tcW w:w="6612" w:type="dxa"/>
            <w:vMerge/>
          </w:tcPr>
          <w:p w14:paraId="78DC0131" w14:textId="77777777" w:rsidR="00713ED0" w:rsidRPr="00713ED0" w:rsidRDefault="00713ED0" w:rsidP="00A234FB">
            <w:pPr>
              <w:pStyle w:val="TableTextEntries"/>
            </w:pPr>
          </w:p>
        </w:tc>
      </w:tr>
      <w:tr w:rsidR="00713ED0" w:rsidRPr="00713ED0" w14:paraId="6FA571FB" w14:textId="77777777" w:rsidTr="00805D86">
        <w:trPr>
          <w:cantSplit/>
          <w:tblHeader w:val="0"/>
        </w:trPr>
        <w:tc>
          <w:tcPr>
            <w:tcW w:w="6331" w:type="dxa"/>
            <w:vMerge w:val="restart"/>
          </w:tcPr>
          <w:p w14:paraId="0603843C" w14:textId="77777777" w:rsidR="00713ED0" w:rsidRPr="00713ED0" w:rsidRDefault="00713ED0" w:rsidP="00A234FB">
            <w:pPr>
              <w:pStyle w:val="TableListBullet"/>
            </w:pPr>
            <w:r w:rsidRPr="00713ED0">
              <w:t>Programs will adopt a stronger continuous improvement approach, ensuring that more robust monitoring and evaluation frameworks are in place and lessons learnt are used effectively to review and, if necessary, adjust interventions to ensure program outcomes are achieved.</w:t>
            </w:r>
          </w:p>
        </w:tc>
        <w:tc>
          <w:tcPr>
            <w:tcW w:w="823" w:type="dxa"/>
            <w:tcBorders>
              <w:top w:val="nil"/>
              <w:bottom w:val="nil"/>
            </w:tcBorders>
            <w:shd w:val="clear" w:color="auto" w:fill="92D050"/>
          </w:tcPr>
          <w:p w14:paraId="4FF4B4EF" w14:textId="77777777" w:rsidR="00713ED0" w:rsidRPr="00540514" w:rsidRDefault="00713ED0" w:rsidP="00540514">
            <w:pPr>
              <w:pStyle w:val="TableTextEntries"/>
            </w:pPr>
            <w:r w:rsidRPr="00540514">
              <w:t>Green</w:t>
            </w:r>
          </w:p>
        </w:tc>
        <w:tc>
          <w:tcPr>
            <w:tcW w:w="6612" w:type="dxa"/>
            <w:vMerge w:val="restart"/>
          </w:tcPr>
          <w:p w14:paraId="79CE0512" w14:textId="43CD5452" w:rsidR="00713ED0" w:rsidRPr="00713ED0" w:rsidRDefault="00713ED0" w:rsidP="00A234FB">
            <w:pPr>
              <w:pStyle w:val="TableTextEntries"/>
              <w:rPr>
                <w:color w:val="92D050"/>
              </w:rPr>
            </w:pPr>
            <w:r w:rsidRPr="00713ED0">
              <w:t>More independent evaluations are being conducted, and programs are being adjusted continuously to take account of their findings and recommendations. This effort will be continuous over the life of programs</w:t>
            </w:r>
            <w:r w:rsidR="00DE063C">
              <w:t>.</w:t>
            </w:r>
          </w:p>
        </w:tc>
      </w:tr>
      <w:tr w:rsidR="00713ED0" w:rsidRPr="00713ED0" w14:paraId="572DF6A8"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3912A07F"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1AA3FAC9" w14:textId="77777777" w:rsidR="00713ED0" w:rsidRPr="00540514" w:rsidRDefault="00713ED0" w:rsidP="00540514">
            <w:pPr>
              <w:pStyle w:val="TableTextEntries"/>
            </w:pPr>
          </w:p>
        </w:tc>
        <w:tc>
          <w:tcPr>
            <w:tcW w:w="6612" w:type="dxa"/>
            <w:vMerge/>
          </w:tcPr>
          <w:p w14:paraId="1FD8B1E9"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1E8C4AD6" w14:textId="77777777" w:rsidTr="00540514">
        <w:trPr>
          <w:cantSplit/>
          <w:tblHeader w:val="0"/>
        </w:trPr>
        <w:tc>
          <w:tcPr>
            <w:tcW w:w="6331" w:type="dxa"/>
          </w:tcPr>
          <w:p w14:paraId="195C8205" w14:textId="77777777" w:rsidR="00713ED0" w:rsidRPr="00713ED0" w:rsidRDefault="00713ED0" w:rsidP="00A234FB">
            <w:pPr>
              <w:pStyle w:val="TableHeading2"/>
            </w:pPr>
            <w:r w:rsidRPr="00713ED0">
              <w:lastRenderedPageBreak/>
              <w:t>Transport and connectivity</w:t>
            </w:r>
          </w:p>
        </w:tc>
        <w:tc>
          <w:tcPr>
            <w:tcW w:w="823" w:type="dxa"/>
            <w:shd w:val="clear" w:color="auto" w:fill="FFFFFF" w:themeFill="background1"/>
          </w:tcPr>
          <w:p w14:paraId="0CF4BE61" w14:textId="77777777" w:rsidR="00713ED0" w:rsidRPr="00540514" w:rsidRDefault="00713ED0" w:rsidP="00540514">
            <w:pPr>
              <w:pStyle w:val="TableTextEntries"/>
            </w:pPr>
          </w:p>
        </w:tc>
        <w:tc>
          <w:tcPr>
            <w:tcW w:w="6612" w:type="dxa"/>
          </w:tcPr>
          <w:p w14:paraId="24384A6F" w14:textId="77777777" w:rsidR="00713ED0" w:rsidRPr="00713ED0" w:rsidRDefault="00713ED0" w:rsidP="00713ED0">
            <w:pPr>
              <w:keepLines/>
              <w:spacing w:before="40" w:after="40" w:line="200" w:lineRule="atLeast"/>
              <w:rPr>
                <w:rFonts w:eastAsia="Times New Roman"/>
                <w:color w:val="92D050"/>
                <w:sz w:val="17"/>
                <w:szCs w:val="17"/>
                <w:lang w:eastAsia="en-US"/>
              </w:rPr>
            </w:pPr>
          </w:p>
        </w:tc>
      </w:tr>
      <w:tr w:rsidR="00713ED0" w:rsidRPr="00713ED0" w14:paraId="26F707CA"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071FA44D" w14:textId="346A6C84" w:rsidR="00713ED0" w:rsidRPr="00713ED0" w:rsidRDefault="00713ED0" w:rsidP="00CD681B">
            <w:pPr>
              <w:pStyle w:val="TableListBullet"/>
            </w:pPr>
            <w:r w:rsidRPr="00713ED0">
              <w:t xml:space="preserve">The </w:t>
            </w:r>
            <w:r w:rsidR="00CD681B">
              <w:t>Australian-</w:t>
            </w:r>
            <w:r w:rsidRPr="00713ED0">
              <w:t>supported Provincial Road Improvement Program (currently at concept stage) proposes to work through government systems at the provincial level using grants to pilot innovations, including performance based financing, for possible future incorporation into the fund.</w:t>
            </w:r>
          </w:p>
        </w:tc>
        <w:tc>
          <w:tcPr>
            <w:tcW w:w="823" w:type="dxa"/>
            <w:shd w:val="clear" w:color="auto" w:fill="F79646" w:themeFill="accent6"/>
          </w:tcPr>
          <w:p w14:paraId="63EEC60F" w14:textId="77777777" w:rsidR="00713ED0" w:rsidRPr="00540514" w:rsidRDefault="00713ED0" w:rsidP="00540514">
            <w:pPr>
              <w:pStyle w:val="TableTextEntries"/>
            </w:pPr>
            <w:r w:rsidRPr="00540514">
              <w:t>Amber</w:t>
            </w:r>
          </w:p>
        </w:tc>
        <w:tc>
          <w:tcPr>
            <w:tcW w:w="6612" w:type="dxa"/>
            <w:vMerge w:val="restart"/>
          </w:tcPr>
          <w:p w14:paraId="5A310E1B" w14:textId="6E0C7E79" w:rsidR="00713ED0" w:rsidRPr="00713ED0" w:rsidRDefault="00713ED0" w:rsidP="00A234FB">
            <w:pPr>
              <w:pStyle w:val="TableTextEntries"/>
              <w:rPr>
                <w:color w:val="92D050"/>
              </w:rPr>
            </w:pPr>
            <w:r w:rsidRPr="00713ED0">
              <w:t xml:space="preserve">The Provincial Road Improvement </w:t>
            </w:r>
            <w:r w:rsidR="00DE063C">
              <w:t>and</w:t>
            </w:r>
            <w:r w:rsidR="00DE063C" w:rsidRPr="00713ED0">
              <w:t xml:space="preserve"> </w:t>
            </w:r>
            <w:r w:rsidRPr="00713ED0">
              <w:t>Maintenance</w:t>
            </w:r>
            <w:r w:rsidR="00DE063C">
              <w:t xml:space="preserve"> program</w:t>
            </w:r>
            <w:r w:rsidRPr="00713ED0">
              <w:t xml:space="preserve"> (PRIM) has been designed as a pilot program to be trialled in </w:t>
            </w:r>
            <w:r w:rsidR="00DE063C" w:rsidRPr="00DE063C">
              <w:t>Nusa Tenggara Barat</w:t>
            </w:r>
            <w:r w:rsidR="00DE063C" w:rsidRPr="00DE063C" w:rsidDel="00DE063C">
              <w:t xml:space="preserve"> </w:t>
            </w:r>
            <w:r w:rsidRPr="00713ED0">
              <w:t xml:space="preserve">and will undergo </w:t>
            </w:r>
            <w:r w:rsidR="00DE063C">
              <w:t>p</w:t>
            </w:r>
            <w:r w:rsidR="00DE063C" w:rsidRPr="00713ED0">
              <w:t xml:space="preserve">eer </w:t>
            </w:r>
            <w:r w:rsidR="00DE063C">
              <w:t>r</w:t>
            </w:r>
            <w:r w:rsidR="00DE063C" w:rsidRPr="00713ED0">
              <w:t xml:space="preserve">eview </w:t>
            </w:r>
            <w:r w:rsidRPr="00713ED0">
              <w:t>before the end of May 2013.</w:t>
            </w:r>
            <w:r w:rsidR="00B525E5">
              <w:t xml:space="preserve"> </w:t>
            </w:r>
            <w:r w:rsidRPr="00713ED0">
              <w:t>Implementation will commence from June with maintenance works expected in late 2013</w:t>
            </w:r>
            <w:r w:rsidR="003F4E9A">
              <w:t>. The program</w:t>
            </w:r>
            <w:r w:rsidR="003F4E9A" w:rsidRPr="00713ED0">
              <w:t xml:space="preserve"> </w:t>
            </w:r>
            <w:r w:rsidRPr="00713ED0">
              <w:t xml:space="preserve">and may serve as a demonstration of how performance based financing could work using </w:t>
            </w:r>
            <w:r w:rsidR="003F4E9A">
              <w:t>Indonesian Government</w:t>
            </w:r>
            <w:r w:rsidR="003F4E9A" w:rsidRPr="00713ED0">
              <w:t xml:space="preserve"> </w:t>
            </w:r>
            <w:r w:rsidRPr="00713ED0">
              <w:t>finances in the Road Preservation Fund.</w:t>
            </w:r>
          </w:p>
        </w:tc>
      </w:tr>
      <w:tr w:rsidR="00713ED0" w:rsidRPr="00713ED0" w14:paraId="58C2B4DE" w14:textId="77777777" w:rsidTr="00540514">
        <w:trPr>
          <w:cantSplit/>
          <w:tblHeader w:val="0"/>
        </w:trPr>
        <w:tc>
          <w:tcPr>
            <w:tcW w:w="6331" w:type="dxa"/>
            <w:vMerge/>
          </w:tcPr>
          <w:p w14:paraId="6DF28C06" w14:textId="77777777" w:rsidR="00713ED0" w:rsidRPr="00713ED0" w:rsidRDefault="00713ED0" w:rsidP="00A234FB">
            <w:pPr>
              <w:pStyle w:val="TableListBullet"/>
            </w:pPr>
          </w:p>
        </w:tc>
        <w:tc>
          <w:tcPr>
            <w:tcW w:w="823" w:type="dxa"/>
            <w:shd w:val="clear" w:color="auto" w:fill="FFFFFF" w:themeFill="background1"/>
          </w:tcPr>
          <w:p w14:paraId="0CF2B280" w14:textId="77777777" w:rsidR="00713ED0" w:rsidRPr="00540514" w:rsidRDefault="00713ED0" w:rsidP="00540514">
            <w:pPr>
              <w:pStyle w:val="TableTextEntries"/>
            </w:pPr>
          </w:p>
        </w:tc>
        <w:tc>
          <w:tcPr>
            <w:tcW w:w="6612" w:type="dxa"/>
            <w:vMerge/>
          </w:tcPr>
          <w:p w14:paraId="55B696C4" w14:textId="77777777" w:rsidR="00713ED0" w:rsidRPr="00713ED0" w:rsidRDefault="00713ED0" w:rsidP="00A234FB">
            <w:pPr>
              <w:pStyle w:val="TableTextEntries"/>
            </w:pPr>
          </w:p>
        </w:tc>
      </w:tr>
      <w:tr w:rsidR="00713ED0" w:rsidRPr="00713ED0" w14:paraId="1D98C5FB"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40A1966B" w14:textId="71D1C5BD" w:rsidR="00713ED0" w:rsidRPr="00713ED0" w:rsidRDefault="00CD681B" w:rsidP="00CD681B">
            <w:pPr>
              <w:pStyle w:val="TableListBullet"/>
            </w:pPr>
            <w:r>
              <w:t>DFAT</w:t>
            </w:r>
            <w:r w:rsidR="00713ED0" w:rsidRPr="00713ED0">
              <w:t xml:space="preserve"> will amend some of the transport and connectivity sub-sector outcomes for the 2012 </w:t>
            </w:r>
            <w:r w:rsidR="003F4E9A">
              <w:t>annual program performance review</w:t>
            </w:r>
            <w:r w:rsidR="003F4E9A" w:rsidRPr="00713ED0">
              <w:t xml:space="preserve"> </w:t>
            </w:r>
            <w:r w:rsidR="00713ED0" w:rsidRPr="00713ED0">
              <w:t xml:space="preserve">to align with the newly established </w:t>
            </w:r>
            <w:r w:rsidR="003F4E9A" w:rsidRPr="003F4E9A">
              <w:t>Indonesia Infrastructure Initiative</w:t>
            </w:r>
            <w:r w:rsidR="003F4E9A" w:rsidRPr="003F4E9A" w:rsidDel="003F4E9A">
              <w:t xml:space="preserve"> </w:t>
            </w:r>
            <w:r w:rsidR="00713ED0" w:rsidRPr="00713ED0">
              <w:t>monitoring and evaluation framework.</w:t>
            </w:r>
          </w:p>
        </w:tc>
        <w:tc>
          <w:tcPr>
            <w:tcW w:w="823" w:type="dxa"/>
            <w:shd w:val="clear" w:color="auto" w:fill="92D050"/>
          </w:tcPr>
          <w:p w14:paraId="121464AF" w14:textId="77777777" w:rsidR="00713ED0" w:rsidRPr="00540514" w:rsidRDefault="00713ED0" w:rsidP="00540514">
            <w:pPr>
              <w:pStyle w:val="TableTextEntries"/>
            </w:pPr>
            <w:r w:rsidRPr="00540514">
              <w:t>Green</w:t>
            </w:r>
          </w:p>
        </w:tc>
        <w:tc>
          <w:tcPr>
            <w:tcW w:w="6612" w:type="dxa"/>
            <w:vMerge w:val="restart"/>
          </w:tcPr>
          <w:p w14:paraId="336750F0" w14:textId="09EF6549" w:rsidR="00713ED0" w:rsidRPr="00713ED0" w:rsidRDefault="00713ED0" w:rsidP="00A234FB">
            <w:pPr>
              <w:pStyle w:val="TableTextEntries"/>
              <w:rPr>
                <w:color w:val="92D050"/>
              </w:rPr>
            </w:pPr>
            <w:r w:rsidRPr="00713ED0">
              <w:t xml:space="preserve">Transport and </w:t>
            </w:r>
            <w:r w:rsidR="003F4E9A">
              <w:t>c</w:t>
            </w:r>
            <w:r w:rsidR="003F4E9A" w:rsidRPr="00713ED0">
              <w:t xml:space="preserve">onnectivity </w:t>
            </w:r>
            <w:r w:rsidRPr="00713ED0">
              <w:t xml:space="preserve">sub-sector outcomes have been amended to better reflect the overall transport and connectivity program implemented through </w:t>
            </w:r>
            <w:r w:rsidR="003F4E9A">
              <w:t xml:space="preserve">the </w:t>
            </w:r>
            <w:r w:rsidR="003F4E9A" w:rsidRPr="003F4E9A">
              <w:t>Indonesia Infrastructure Initiative</w:t>
            </w:r>
            <w:r w:rsidRPr="00713ED0">
              <w:t xml:space="preserve">, </w:t>
            </w:r>
            <w:r w:rsidR="003F4E9A">
              <w:t xml:space="preserve">the </w:t>
            </w:r>
            <w:r w:rsidR="003F4E9A" w:rsidRPr="003F4E9A">
              <w:t>Eastern Indonesia National Road Improvement Program</w:t>
            </w:r>
            <w:r w:rsidR="003F4E9A" w:rsidRPr="00713ED0">
              <w:t xml:space="preserve"> </w:t>
            </w:r>
            <w:r w:rsidRPr="00713ED0">
              <w:t xml:space="preserve">and contributions to the </w:t>
            </w:r>
            <w:r w:rsidR="003F4E9A">
              <w:t>m</w:t>
            </w:r>
            <w:r w:rsidR="003F4E9A" w:rsidRPr="00713ED0">
              <w:t xml:space="preserve">ultilateral </w:t>
            </w:r>
            <w:r w:rsidR="003F4E9A">
              <w:t>d</w:t>
            </w:r>
            <w:r w:rsidR="003F4E9A" w:rsidRPr="00713ED0">
              <w:t xml:space="preserve">evelopment </w:t>
            </w:r>
            <w:r w:rsidR="003F4E9A">
              <w:t>b</w:t>
            </w:r>
            <w:r w:rsidR="003F4E9A" w:rsidRPr="00713ED0">
              <w:t>anks</w:t>
            </w:r>
            <w:r w:rsidRPr="00713ED0">
              <w:t>.</w:t>
            </w:r>
          </w:p>
        </w:tc>
      </w:tr>
      <w:tr w:rsidR="00713ED0" w:rsidRPr="00713ED0" w14:paraId="403E2248" w14:textId="77777777" w:rsidTr="00540514">
        <w:trPr>
          <w:cantSplit/>
          <w:tblHeader w:val="0"/>
        </w:trPr>
        <w:tc>
          <w:tcPr>
            <w:tcW w:w="6331" w:type="dxa"/>
            <w:vMerge/>
          </w:tcPr>
          <w:p w14:paraId="08EFE9E8"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76ED13D6" w14:textId="77777777" w:rsidR="00713ED0" w:rsidRPr="00540514" w:rsidRDefault="00713ED0" w:rsidP="00540514">
            <w:pPr>
              <w:pStyle w:val="TableTextEntries"/>
            </w:pPr>
          </w:p>
        </w:tc>
        <w:tc>
          <w:tcPr>
            <w:tcW w:w="6612" w:type="dxa"/>
            <w:vMerge/>
          </w:tcPr>
          <w:p w14:paraId="001EFF8B"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7DED672F"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2AB5F322" w14:textId="400D5359" w:rsidR="00713ED0" w:rsidRPr="00713ED0" w:rsidRDefault="00713ED0" w:rsidP="00A234FB">
            <w:pPr>
              <w:pStyle w:val="TableListBullet"/>
            </w:pPr>
            <w:r w:rsidRPr="00713ED0">
              <w:t xml:space="preserve">Despite improved implementation progress under </w:t>
            </w:r>
            <w:r w:rsidR="003F4E9A">
              <w:t xml:space="preserve">the </w:t>
            </w:r>
            <w:r w:rsidR="003F4E9A" w:rsidRPr="003F4E9A">
              <w:t>Eastern Indonesia National Road Improvement Program</w:t>
            </w:r>
            <w:r w:rsidRPr="00713ED0">
              <w:t>, a number of road projects remain delayed due to issues with land acquisition. A further extension to the loan closing date will have to be negotiated with the Directorate General of Highways over the coming year, likely through to the end of 2013.</w:t>
            </w:r>
          </w:p>
        </w:tc>
        <w:tc>
          <w:tcPr>
            <w:tcW w:w="823" w:type="dxa"/>
            <w:shd w:val="clear" w:color="auto" w:fill="92D050"/>
          </w:tcPr>
          <w:p w14:paraId="213D3273" w14:textId="77777777" w:rsidR="00713ED0" w:rsidRPr="00540514" w:rsidRDefault="00713ED0" w:rsidP="00540514">
            <w:pPr>
              <w:pStyle w:val="TableTextEntries"/>
            </w:pPr>
            <w:r w:rsidRPr="00540514">
              <w:t>Green</w:t>
            </w:r>
          </w:p>
        </w:tc>
        <w:tc>
          <w:tcPr>
            <w:tcW w:w="6612" w:type="dxa"/>
            <w:vMerge w:val="restart"/>
          </w:tcPr>
          <w:p w14:paraId="43C52A1D" w14:textId="3DF6C9C4" w:rsidR="00713ED0" w:rsidRPr="00713ED0" w:rsidRDefault="00713ED0" w:rsidP="00A234FB">
            <w:pPr>
              <w:pStyle w:val="TableTextEntries"/>
              <w:rPr>
                <w:color w:val="92D050"/>
              </w:rPr>
            </w:pPr>
            <w:r w:rsidRPr="00713ED0">
              <w:t xml:space="preserve">The </w:t>
            </w:r>
            <w:r w:rsidR="003F4E9A" w:rsidRPr="003F4E9A">
              <w:t>Eastern Indonesia National Road Improvement Program</w:t>
            </w:r>
            <w:r w:rsidR="003F4E9A" w:rsidRPr="00713ED0">
              <w:t xml:space="preserve"> loan closing date </w:t>
            </w:r>
            <w:r w:rsidRPr="00713ED0">
              <w:t xml:space="preserve">was formally extended to 31 December 2014 to ensure that all road projects are implemented under </w:t>
            </w:r>
            <w:r w:rsidR="003F4E9A">
              <w:t>the program’s</w:t>
            </w:r>
            <w:r w:rsidR="003F4E9A" w:rsidRPr="00713ED0">
              <w:t xml:space="preserve"> </w:t>
            </w:r>
            <w:r w:rsidRPr="00713ED0">
              <w:t>social and environmental safeguards, and that all road projects are subject to the same supervision arrangements to achieve high quality technical standards.</w:t>
            </w:r>
          </w:p>
        </w:tc>
      </w:tr>
      <w:tr w:rsidR="00713ED0" w:rsidRPr="00713ED0" w14:paraId="02FBB3EA" w14:textId="77777777" w:rsidTr="00540514">
        <w:trPr>
          <w:cantSplit/>
          <w:tblHeader w:val="0"/>
        </w:trPr>
        <w:tc>
          <w:tcPr>
            <w:tcW w:w="6331" w:type="dxa"/>
            <w:vMerge/>
          </w:tcPr>
          <w:p w14:paraId="179C6F50" w14:textId="77777777" w:rsidR="00713ED0" w:rsidRPr="00713ED0" w:rsidRDefault="00713ED0" w:rsidP="00A234FB">
            <w:pPr>
              <w:pStyle w:val="TableListBullet"/>
            </w:pPr>
          </w:p>
        </w:tc>
        <w:tc>
          <w:tcPr>
            <w:tcW w:w="823" w:type="dxa"/>
            <w:shd w:val="clear" w:color="auto" w:fill="FFFFFF" w:themeFill="background1"/>
          </w:tcPr>
          <w:p w14:paraId="6766FFA4" w14:textId="77777777" w:rsidR="00713ED0" w:rsidRPr="00540514" w:rsidRDefault="00713ED0" w:rsidP="00540514">
            <w:pPr>
              <w:pStyle w:val="TableTextEntries"/>
            </w:pPr>
          </w:p>
        </w:tc>
        <w:tc>
          <w:tcPr>
            <w:tcW w:w="6612" w:type="dxa"/>
            <w:vMerge/>
          </w:tcPr>
          <w:p w14:paraId="756A1D87" w14:textId="77777777" w:rsidR="00713ED0" w:rsidRPr="00713ED0" w:rsidRDefault="00713ED0" w:rsidP="00A234FB">
            <w:pPr>
              <w:pStyle w:val="TableTextEntries"/>
            </w:pPr>
          </w:p>
        </w:tc>
      </w:tr>
      <w:tr w:rsidR="00713ED0" w:rsidRPr="00713ED0" w14:paraId="4CFBE52D"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0D31D2D4" w14:textId="3FA72923" w:rsidR="00713ED0" w:rsidRPr="00713ED0" w:rsidRDefault="003F4E9A" w:rsidP="00A234FB">
            <w:pPr>
              <w:pStyle w:val="TableListBullet"/>
            </w:pPr>
            <w:r>
              <w:t xml:space="preserve">The </w:t>
            </w:r>
            <w:r w:rsidRPr="003F4E9A">
              <w:t>Eastern Indonesia National Road Improvement Program</w:t>
            </w:r>
            <w:r w:rsidRPr="00713ED0">
              <w:t xml:space="preserve"> </w:t>
            </w:r>
            <w:r w:rsidR="00713ED0" w:rsidRPr="00713ED0">
              <w:t>currently forms a significant component of the infrastructure program. Any successor program will need to obtain the appropriate Australian Government approvals and proceed to design during 2012 if continuity is to be maintained.</w:t>
            </w:r>
          </w:p>
        </w:tc>
        <w:tc>
          <w:tcPr>
            <w:tcW w:w="823" w:type="dxa"/>
            <w:shd w:val="clear" w:color="auto" w:fill="F79646" w:themeFill="accent6"/>
          </w:tcPr>
          <w:p w14:paraId="4B71D90C" w14:textId="77777777" w:rsidR="00713ED0" w:rsidRPr="00540514" w:rsidRDefault="00713ED0" w:rsidP="00540514">
            <w:pPr>
              <w:pStyle w:val="TableTextEntries"/>
            </w:pPr>
            <w:r w:rsidRPr="00540514">
              <w:t>Amber</w:t>
            </w:r>
          </w:p>
        </w:tc>
        <w:tc>
          <w:tcPr>
            <w:tcW w:w="6612" w:type="dxa"/>
            <w:vMerge w:val="restart"/>
          </w:tcPr>
          <w:p w14:paraId="69A07D82" w14:textId="77777777" w:rsidR="00713ED0" w:rsidRPr="00713ED0" w:rsidRDefault="00713ED0" w:rsidP="00A234FB">
            <w:pPr>
              <w:pStyle w:val="TableTextEntries"/>
              <w:rPr>
                <w:color w:val="92D050"/>
              </w:rPr>
            </w:pPr>
            <w:r w:rsidRPr="00713ED0">
              <w:t>The development of a successor program for support to the national roads sector is currently underway in the context of developing an overall infrastructure sector delivery strategy by 31 October 2013.</w:t>
            </w:r>
          </w:p>
        </w:tc>
      </w:tr>
      <w:tr w:rsidR="00713ED0" w:rsidRPr="00713ED0" w14:paraId="29ED5811" w14:textId="77777777" w:rsidTr="00540514">
        <w:trPr>
          <w:cantSplit/>
          <w:tblHeader w:val="0"/>
        </w:trPr>
        <w:tc>
          <w:tcPr>
            <w:tcW w:w="6331" w:type="dxa"/>
            <w:vMerge/>
          </w:tcPr>
          <w:p w14:paraId="7693E056"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22124026" w14:textId="77777777" w:rsidR="00713ED0" w:rsidRPr="00540514" w:rsidRDefault="00713ED0" w:rsidP="00540514">
            <w:pPr>
              <w:pStyle w:val="TableTextEntries"/>
            </w:pPr>
          </w:p>
        </w:tc>
        <w:tc>
          <w:tcPr>
            <w:tcW w:w="6612" w:type="dxa"/>
            <w:vMerge/>
          </w:tcPr>
          <w:p w14:paraId="3133C3DA"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59777A7D"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tcPr>
          <w:p w14:paraId="11583DCC" w14:textId="77777777" w:rsidR="00713ED0" w:rsidRPr="00713ED0" w:rsidRDefault="00713ED0" w:rsidP="00A234FB">
            <w:pPr>
              <w:pStyle w:val="TableHeading2"/>
            </w:pPr>
            <w:r w:rsidRPr="00713ED0">
              <w:t>Water and sanitation</w:t>
            </w:r>
          </w:p>
        </w:tc>
        <w:tc>
          <w:tcPr>
            <w:tcW w:w="823" w:type="dxa"/>
            <w:shd w:val="clear" w:color="auto" w:fill="FFFFFF" w:themeFill="background1"/>
          </w:tcPr>
          <w:p w14:paraId="014788BD" w14:textId="77777777" w:rsidR="00713ED0" w:rsidRPr="00540514" w:rsidRDefault="00713ED0" w:rsidP="00540514">
            <w:pPr>
              <w:pStyle w:val="TableTextEntries"/>
            </w:pPr>
          </w:p>
        </w:tc>
        <w:tc>
          <w:tcPr>
            <w:tcW w:w="6612" w:type="dxa"/>
          </w:tcPr>
          <w:p w14:paraId="30557508" w14:textId="77777777" w:rsidR="00713ED0" w:rsidRPr="00713ED0" w:rsidRDefault="00713ED0" w:rsidP="00713ED0">
            <w:pPr>
              <w:keepLines/>
              <w:spacing w:before="40" w:after="40" w:line="200" w:lineRule="atLeast"/>
              <w:rPr>
                <w:rFonts w:eastAsia="Times New Roman"/>
                <w:color w:val="92D050"/>
                <w:sz w:val="17"/>
                <w:szCs w:val="17"/>
                <w:lang w:eastAsia="en-US"/>
              </w:rPr>
            </w:pPr>
          </w:p>
        </w:tc>
      </w:tr>
      <w:tr w:rsidR="00713ED0" w:rsidRPr="00713ED0" w14:paraId="6062931D" w14:textId="77777777" w:rsidTr="00805D86">
        <w:trPr>
          <w:cantSplit/>
          <w:tblHeader w:val="0"/>
        </w:trPr>
        <w:tc>
          <w:tcPr>
            <w:tcW w:w="6331" w:type="dxa"/>
            <w:vMerge w:val="restart"/>
          </w:tcPr>
          <w:p w14:paraId="57A2F6CC" w14:textId="1B69FB05" w:rsidR="00713ED0" w:rsidRPr="00713ED0" w:rsidRDefault="00713ED0" w:rsidP="00A234FB">
            <w:pPr>
              <w:pStyle w:val="TableListBullet"/>
            </w:pPr>
            <w:r w:rsidRPr="00713ED0">
              <w:t xml:space="preserve">To promote sustainability, the second phase of </w:t>
            </w:r>
            <w:proofErr w:type="spellStart"/>
            <w:r w:rsidR="009F53DE">
              <w:rPr>
                <w:i/>
              </w:rPr>
              <w:t>h</w:t>
            </w:r>
            <w:r w:rsidR="009F53DE" w:rsidRPr="00D67028">
              <w:rPr>
                <w:i/>
              </w:rPr>
              <w:t>ibah</w:t>
            </w:r>
            <w:proofErr w:type="spellEnd"/>
            <w:r w:rsidR="009F53DE" w:rsidRPr="00713ED0">
              <w:t xml:space="preserve"> </w:t>
            </w:r>
            <w:r w:rsidRPr="00713ED0">
              <w:t xml:space="preserve">will have an increased focus on governance as well as service delivery. This will be through more flexibility in providing additional funding to local governments with greater capacity and commitment to pre-finance service expansion and sustainable investment policies, and promoting full-cost recovery pricing to achieve financial sustainability of water operators. </w:t>
            </w:r>
          </w:p>
        </w:tc>
        <w:tc>
          <w:tcPr>
            <w:tcW w:w="823" w:type="dxa"/>
            <w:tcBorders>
              <w:top w:val="nil"/>
              <w:bottom w:val="nil"/>
            </w:tcBorders>
            <w:shd w:val="clear" w:color="auto" w:fill="92D050"/>
          </w:tcPr>
          <w:p w14:paraId="21E2C920" w14:textId="77777777" w:rsidR="00713ED0" w:rsidRPr="00540514" w:rsidRDefault="00713ED0" w:rsidP="00540514">
            <w:pPr>
              <w:pStyle w:val="TableTextEntries"/>
            </w:pPr>
            <w:r w:rsidRPr="00540514">
              <w:t>Green</w:t>
            </w:r>
          </w:p>
        </w:tc>
        <w:tc>
          <w:tcPr>
            <w:tcW w:w="6612" w:type="dxa"/>
            <w:vMerge w:val="restart"/>
          </w:tcPr>
          <w:p w14:paraId="144AA260" w14:textId="77777777" w:rsidR="00713ED0" w:rsidRPr="00713ED0" w:rsidRDefault="00713ED0" w:rsidP="00A234FB">
            <w:pPr>
              <w:pStyle w:val="TableTextEntries"/>
            </w:pPr>
            <w:r w:rsidRPr="00713ED0">
              <w:t>Completed.</w:t>
            </w:r>
          </w:p>
          <w:p w14:paraId="0E43F6DF" w14:textId="6012497C" w:rsidR="00713ED0" w:rsidRPr="00713ED0" w:rsidRDefault="00713ED0" w:rsidP="00A234FB">
            <w:pPr>
              <w:pStyle w:val="TableTextEntries"/>
              <w:rPr>
                <w:color w:val="92D050"/>
              </w:rPr>
            </w:pPr>
            <w:r w:rsidRPr="00713ED0">
              <w:t xml:space="preserve">The second phase of the </w:t>
            </w:r>
            <w:proofErr w:type="spellStart"/>
            <w:r w:rsidR="009F53DE">
              <w:rPr>
                <w:i/>
              </w:rPr>
              <w:t>h</w:t>
            </w:r>
            <w:r w:rsidR="009F53DE" w:rsidRPr="00D67028">
              <w:rPr>
                <w:i/>
              </w:rPr>
              <w:t>ibah</w:t>
            </w:r>
            <w:proofErr w:type="spellEnd"/>
            <w:r w:rsidR="009F53DE" w:rsidRPr="00713ED0">
              <w:t xml:space="preserve"> </w:t>
            </w:r>
            <w:r w:rsidRPr="00713ED0">
              <w:t>incorporates governance targets for local government and water operators which include (</w:t>
            </w:r>
            <w:proofErr w:type="spellStart"/>
            <w:r w:rsidRPr="00713ED0">
              <w:t>i</w:t>
            </w:r>
            <w:proofErr w:type="spellEnd"/>
            <w:r w:rsidRPr="00713ED0">
              <w:t>) local government submit</w:t>
            </w:r>
            <w:r w:rsidR="003F4E9A">
              <w:t>s</w:t>
            </w:r>
            <w:r w:rsidRPr="00713ED0">
              <w:t xml:space="preserve"> </w:t>
            </w:r>
            <w:r w:rsidR="003F4E9A">
              <w:t>its</w:t>
            </w:r>
            <w:r w:rsidR="003F4E9A" w:rsidRPr="00713ED0">
              <w:t xml:space="preserve"> </w:t>
            </w:r>
            <w:r w:rsidRPr="00713ED0">
              <w:t xml:space="preserve">budget on time (ii) local government and water operator establish oversight body (iii) water operator progressively increase its tariff (iv) local government must invest greater equity in </w:t>
            </w:r>
            <w:r w:rsidR="003F4E9A">
              <w:t>its</w:t>
            </w:r>
            <w:r w:rsidR="003F4E9A" w:rsidRPr="00713ED0">
              <w:t xml:space="preserve"> </w:t>
            </w:r>
            <w:r w:rsidRPr="00713ED0">
              <w:t xml:space="preserve">water operators for comparatively the same grant as the phase one </w:t>
            </w:r>
            <w:proofErr w:type="spellStart"/>
            <w:r w:rsidR="009F53DE">
              <w:rPr>
                <w:i/>
              </w:rPr>
              <w:t>h</w:t>
            </w:r>
            <w:r w:rsidRPr="00D67028">
              <w:rPr>
                <w:i/>
              </w:rPr>
              <w:t>ibah</w:t>
            </w:r>
            <w:proofErr w:type="spellEnd"/>
            <w:r w:rsidRPr="00713ED0">
              <w:t xml:space="preserve"> (v) grants to local governments are awarded for the duration of </w:t>
            </w:r>
            <w:r w:rsidR="003F4E9A">
              <w:t xml:space="preserve">the </w:t>
            </w:r>
            <w:r w:rsidR="003F4E9A" w:rsidRPr="003F4E9A">
              <w:t>Indonesia Infrastructure Initiative</w:t>
            </w:r>
            <w:r w:rsidR="003F4E9A" w:rsidRPr="003F4E9A" w:rsidDel="003F4E9A">
              <w:t xml:space="preserve"> </w:t>
            </w:r>
            <w:r w:rsidRPr="00713ED0">
              <w:t>phase 2 providing more flexible budget arrangements between the local government and the Ministry of Finance.</w:t>
            </w:r>
          </w:p>
        </w:tc>
      </w:tr>
      <w:tr w:rsidR="00713ED0" w:rsidRPr="00713ED0" w14:paraId="48B04D2F"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40B2B207" w14:textId="77777777" w:rsidR="00713ED0" w:rsidRPr="00713ED0" w:rsidRDefault="00713ED0" w:rsidP="00A234FB">
            <w:pPr>
              <w:pStyle w:val="TableListBullet"/>
            </w:pPr>
          </w:p>
        </w:tc>
        <w:tc>
          <w:tcPr>
            <w:tcW w:w="823" w:type="dxa"/>
            <w:shd w:val="clear" w:color="auto" w:fill="FFFFFF" w:themeFill="background1"/>
          </w:tcPr>
          <w:p w14:paraId="22647F00" w14:textId="77777777" w:rsidR="00713ED0" w:rsidRPr="00540514" w:rsidRDefault="00713ED0" w:rsidP="00540514">
            <w:pPr>
              <w:pStyle w:val="TableTextEntries"/>
            </w:pPr>
          </w:p>
        </w:tc>
        <w:tc>
          <w:tcPr>
            <w:tcW w:w="6612" w:type="dxa"/>
            <w:vMerge/>
          </w:tcPr>
          <w:p w14:paraId="0468EF48" w14:textId="77777777" w:rsidR="00713ED0" w:rsidRPr="00713ED0" w:rsidRDefault="00713ED0" w:rsidP="00A234FB">
            <w:pPr>
              <w:pStyle w:val="TableTextEntries"/>
            </w:pPr>
          </w:p>
        </w:tc>
      </w:tr>
      <w:tr w:rsidR="00713ED0" w:rsidRPr="00713ED0" w14:paraId="4D109DFB" w14:textId="77777777" w:rsidTr="00540514">
        <w:trPr>
          <w:cantSplit/>
          <w:tblHeader w:val="0"/>
        </w:trPr>
        <w:tc>
          <w:tcPr>
            <w:tcW w:w="6331" w:type="dxa"/>
            <w:vMerge w:val="restart"/>
          </w:tcPr>
          <w:p w14:paraId="2E8DEE79" w14:textId="77777777" w:rsidR="00713ED0" w:rsidRPr="00713ED0" w:rsidRDefault="00713ED0" w:rsidP="00A234FB">
            <w:pPr>
              <w:pStyle w:val="TableListBullet"/>
            </w:pPr>
            <w:r w:rsidRPr="00713ED0">
              <w:t>While the wastewater investment master plans have been finished for eight cities, work is still needed to prepare designs and compliance with environmental safeguards before the cities are ready for investment by the Asia Development Bank loan scheme, government or the private sector. Continuing support for project preparation will help ensure the plans are implemented to improve the sanitation services in these cities.</w:t>
            </w:r>
          </w:p>
        </w:tc>
        <w:tc>
          <w:tcPr>
            <w:tcW w:w="823" w:type="dxa"/>
            <w:shd w:val="clear" w:color="auto" w:fill="F79646" w:themeFill="accent6"/>
          </w:tcPr>
          <w:p w14:paraId="16026F1A" w14:textId="77777777" w:rsidR="00713ED0" w:rsidRPr="00540514" w:rsidRDefault="00713ED0" w:rsidP="00540514">
            <w:pPr>
              <w:pStyle w:val="TableTextEntries"/>
            </w:pPr>
            <w:r w:rsidRPr="00540514">
              <w:t>Amber</w:t>
            </w:r>
          </w:p>
        </w:tc>
        <w:tc>
          <w:tcPr>
            <w:tcW w:w="6612" w:type="dxa"/>
            <w:vMerge w:val="restart"/>
          </w:tcPr>
          <w:p w14:paraId="766CF56F" w14:textId="2127632F" w:rsidR="00713ED0" w:rsidRPr="00713ED0" w:rsidRDefault="00713ED0" w:rsidP="00A234FB">
            <w:pPr>
              <w:pStyle w:val="TableTextEntries"/>
              <w:rPr>
                <w:color w:val="92D050"/>
              </w:rPr>
            </w:pPr>
            <w:r w:rsidRPr="00713ED0">
              <w:t xml:space="preserve">Four donors are interested in these cities, </w:t>
            </w:r>
            <w:r w:rsidR="003F4E9A">
              <w:t>and</w:t>
            </w:r>
            <w:r w:rsidR="003F4E9A" w:rsidRPr="00713ED0">
              <w:t xml:space="preserve"> </w:t>
            </w:r>
            <w:r w:rsidRPr="00713ED0">
              <w:t>three donors</w:t>
            </w:r>
            <w:r w:rsidR="003F4E9A">
              <w:t xml:space="preserve"> are</w:t>
            </w:r>
            <w:r w:rsidRPr="00713ED0">
              <w:t xml:space="preserve"> preparing approvals to support waste water investment in five cities. Australia is working with the Asian Development Bank on project preparation. The </w:t>
            </w:r>
            <w:r w:rsidR="003F4E9A">
              <w:t>bank</w:t>
            </w:r>
            <w:r w:rsidR="003F4E9A" w:rsidRPr="00713ED0">
              <w:t xml:space="preserve"> </w:t>
            </w:r>
            <w:r w:rsidRPr="00713ED0">
              <w:t xml:space="preserve">has prepared safeguards plans and Australia, through </w:t>
            </w:r>
            <w:r w:rsidR="003F4E9A">
              <w:t xml:space="preserve">the </w:t>
            </w:r>
            <w:r w:rsidR="003F4E9A" w:rsidRPr="003F4E9A">
              <w:t>Indonesia Infrastructure Initiative</w:t>
            </w:r>
            <w:r w:rsidR="003F4E9A" w:rsidRPr="003F4E9A" w:rsidDel="003F4E9A">
              <w:t xml:space="preserve"> </w:t>
            </w:r>
            <w:r w:rsidRPr="00713ED0">
              <w:t>will prepare detailed engineering designs and environmental assessments for three cities by early 2014.</w:t>
            </w:r>
          </w:p>
        </w:tc>
      </w:tr>
      <w:tr w:rsidR="00713ED0" w:rsidRPr="00713ED0" w14:paraId="31E32FD0"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11898D5D" w14:textId="77777777" w:rsidR="00713ED0" w:rsidRPr="00713ED0" w:rsidRDefault="00713ED0" w:rsidP="00A234FB">
            <w:pPr>
              <w:pStyle w:val="TableListBullet"/>
            </w:pPr>
          </w:p>
        </w:tc>
        <w:tc>
          <w:tcPr>
            <w:tcW w:w="823" w:type="dxa"/>
            <w:shd w:val="clear" w:color="auto" w:fill="FFFFFF" w:themeFill="background1"/>
          </w:tcPr>
          <w:p w14:paraId="6500E0D4" w14:textId="77777777" w:rsidR="00713ED0" w:rsidRPr="00540514" w:rsidRDefault="00713ED0" w:rsidP="00540514">
            <w:pPr>
              <w:pStyle w:val="TableTextEntries"/>
            </w:pPr>
          </w:p>
        </w:tc>
        <w:tc>
          <w:tcPr>
            <w:tcW w:w="6612" w:type="dxa"/>
            <w:vMerge/>
          </w:tcPr>
          <w:p w14:paraId="6DBE201F" w14:textId="77777777" w:rsidR="00713ED0" w:rsidRPr="00713ED0" w:rsidRDefault="00713ED0" w:rsidP="00A234FB">
            <w:pPr>
              <w:pStyle w:val="TableTextEntries"/>
            </w:pPr>
          </w:p>
        </w:tc>
      </w:tr>
      <w:tr w:rsidR="00713ED0" w:rsidRPr="00713ED0" w14:paraId="693E246E" w14:textId="77777777" w:rsidTr="00540514">
        <w:trPr>
          <w:cantSplit/>
          <w:tblHeader w:val="0"/>
        </w:trPr>
        <w:tc>
          <w:tcPr>
            <w:tcW w:w="6331" w:type="dxa"/>
            <w:vMerge w:val="restart"/>
          </w:tcPr>
          <w:p w14:paraId="73ADFD6D" w14:textId="5AB07AEF" w:rsidR="00713ED0" w:rsidRPr="00713ED0" w:rsidRDefault="00713ED0" w:rsidP="00A234FB">
            <w:pPr>
              <w:pStyle w:val="TableListBullet"/>
            </w:pPr>
            <w:r w:rsidRPr="00713ED0">
              <w:t xml:space="preserve">Australia will explore whether to also support improvements to governance, </w:t>
            </w:r>
            <w:r w:rsidRPr="00713ED0">
              <w:lastRenderedPageBreak/>
              <w:t xml:space="preserve">management and service provision in the regional centres and small cities covered by the </w:t>
            </w:r>
            <w:r w:rsidR="000A11DD">
              <w:t>Indonesian Government</w:t>
            </w:r>
            <w:r w:rsidRPr="00713ED0">
              <w:t xml:space="preserve">’s water supply for sub-districts program. </w:t>
            </w:r>
          </w:p>
        </w:tc>
        <w:tc>
          <w:tcPr>
            <w:tcW w:w="823" w:type="dxa"/>
            <w:shd w:val="clear" w:color="auto" w:fill="F79646" w:themeFill="accent6"/>
          </w:tcPr>
          <w:p w14:paraId="74E027A5" w14:textId="77777777" w:rsidR="00713ED0" w:rsidRPr="00540514" w:rsidRDefault="00713ED0" w:rsidP="00540514">
            <w:pPr>
              <w:pStyle w:val="TableTextEntries"/>
            </w:pPr>
            <w:r w:rsidRPr="00540514">
              <w:lastRenderedPageBreak/>
              <w:t>Amber</w:t>
            </w:r>
          </w:p>
        </w:tc>
        <w:tc>
          <w:tcPr>
            <w:tcW w:w="6612" w:type="dxa"/>
            <w:vMerge w:val="restart"/>
          </w:tcPr>
          <w:p w14:paraId="565DD841" w14:textId="52F109EB" w:rsidR="00713ED0" w:rsidRPr="00713ED0" w:rsidRDefault="00713ED0" w:rsidP="00A234FB">
            <w:pPr>
              <w:pStyle w:val="TableTextEntries"/>
              <w:rPr>
                <w:color w:val="92D050"/>
              </w:rPr>
            </w:pPr>
            <w:r w:rsidRPr="00713ED0">
              <w:t>The A</w:t>
            </w:r>
            <w:r w:rsidR="003F4E9A">
              <w:t xml:space="preserve">sian </w:t>
            </w:r>
            <w:r w:rsidRPr="00713ED0">
              <w:t>D</w:t>
            </w:r>
            <w:r w:rsidR="003F4E9A">
              <w:t xml:space="preserve">evelopment </w:t>
            </w:r>
            <w:r w:rsidRPr="00713ED0">
              <w:t>B</w:t>
            </w:r>
            <w:r w:rsidR="003F4E9A">
              <w:t>ank</w:t>
            </w:r>
            <w:r w:rsidRPr="00713ED0">
              <w:t xml:space="preserve"> is designing a potential program for sub-district water </w:t>
            </w:r>
            <w:r w:rsidRPr="00713ED0">
              <w:lastRenderedPageBreak/>
              <w:t>supply.</w:t>
            </w:r>
            <w:r w:rsidR="00B525E5">
              <w:t xml:space="preserve"> </w:t>
            </w:r>
            <w:r w:rsidRPr="00713ED0">
              <w:t xml:space="preserve">The </w:t>
            </w:r>
            <w:r w:rsidR="003F4E9A">
              <w:t>bank</w:t>
            </w:r>
            <w:r w:rsidR="003F4E9A" w:rsidRPr="00713ED0">
              <w:t xml:space="preserve"> </w:t>
            </w:r>
            <w:r w:rsidRPr="00713ED0">
              <w:t>will continue program design in 2013 with the aim of developing a loan program to commence by the end of 2014.</w:t>
            </w:r>
          </w:p>
        </w:tc>
      </w:tr>
      <w:tr w:rsidR="00713ED0" w:rsidRPr="00713ED0" w14:paraId="4CA227B8"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1008829B" w14:textId="77777777" w:rsidR="00713ED0" w:rsidRPr="00713ED0" w:rsidRDefault="00713ED0" w:rsidP="00A234FB">
            <w:pPr>
              <w:pStyle w:val="TableListBullet"/>
            </w:pPr>
          </w:p>
        </w:tc>
        <w:tc>
          <w:tcPr>
            <w:tcW w:w="823" w:type="dxa"/>
            <w:shd w:val="clear" w:color="auto" w:fill="FFFFFF" w:themeFill="background1"/>
          </w:tcPr>
          <w:p w14:paraId="31872457" w14:textId="77777777" w:rsidR="00713ED0" w:rsidRPr="00540514" w:rsidRDefault="00713ED0" w:rsidP="00540514">
            <w:pPr>
              <w:pStyle w:val="TableTextEntries"/>
            </w:pPr>
          </w:p>
        </w:tc>
        <w:tc>
          <w:tcPr>
            <w:tcW w:w="6612" w:type="dxa"/>
            <w:vMerge/>
          </w:tcPr>
          <w:p w14:paraId="2889E1A4" w14:textId="77777777" w:rsidR="00713ED0" w:rsidRPr="00713ED0" w:rsidRDefault="00713ED0" w:rsidP="00A234FB">
            <w:pPr>
              <w:pStyle w:val="TableTextEntries"/>
            </w:pPr>
          </w:p>
        </w:tc>
      </w:tr>
      <w:tr w:rsidR="00713ED0" w:rsidRPr="00713ED0" w14:paraId="37FC656F" w14:textId="77777777" w:rsidTr="00805D86">
        <w:trPr>
          <w:cantSplit/>
          <w:tblHeader w:val="0"/>
        </w:trPr>
        <w:tc>
          <w:tcPr>
            <w:tcW w:w="6331" w:type="dxa"/>
            <w:vMerge w:val="restart"/>
          </w:tcPr>
          <w:p w14:paraId="03DAA134" w14:textId="67E20831" w:rsidR="00713ED0" w:rsidRPr="00713ED0" w:rsidRDefault="00713ED0" w:rsidP="00A234FB">
            <w:pPr>
              <w:pStyle w:val="TableListBullet"/>
            </w:pPr>
            <w:r w:rsidRPr="00713ED0">
              <w:lastRenderedPageBreak/>
              <w:t xml:space="preserve">Consideration will be given to amending some of the water and sanitation sub-sector outcomes for the 2012 to align with the newly established </w:t>
            </w:r>
            <w:r w:rsidR="003F4E9A" w:rsidRPr="003F4E9A">
              <w:t>Indonesia Infrastructure Initiative</w:t>
            </w:r>
            <w:r w:rsidR="003F4E9A" w:rsidRPr="003F4E9A" w:rsidDel="003F4E9A">
              <w:t xml:space="preserve"> </w:t>
            </w:r>
            <w:r w:rsidRPr="00713ED0">
              <w:t>monitoring and evaluation framework.</w:t>
            </w:r>
          </w:p>
        </w:tc>
        <w:tc>
          <w:tcPr>
            <w:tcW w:w="823" w:type="dxa"/>
            <w:tcBorders>
              <w:top w:val="nil"/>
              <w:bottom w:val="nil"/>
            </w:tcBorders>
            <w:shd w:val="clear" w:color="auto" w:fill="92D050"/>
          </w:tcPr>
          <w:p w14:paraId="7566F5D2" w14:textId="77777777" w:rsidR="00713ED0" w:rsidRPr="00540514" w:rsidRDefault="00713ED0" w:rsidP="00540514">
            <w:pPr>
              <w:pStyle w:val="TableTextEntries"/>
            </w:pPr>
            <w:r w:rsidRPr="00540514">
              <w:t>Green</w:t>
            </w:r>
          </w:p>
        </w:tc>
        <w:tc>
          <w:tcPr>
            <w:tcW w:w="6612" w:type="dxa"/>
            <w:vMerge w:val="restart"/>
          </w:tcPr>
          <w:p w14:paraId="09F16065" w14:textId="17B07BBD" w:rsidR="00713ED0" w:rsidRPr="00713ED0" w:rsidRDefault="00713ED0" w:rsidP="00A234FB">
            <w:pPr>
              <w:pStyle w:val="TableTextEntries"/>
            </w:pPr>
            <w:r w:rsidRPr="00713ED0">
              <w:t>Completed (April 2013)</w:t>
            </w:r>
            <w:r w:rsidR="003F4E9A">
              <w:t>.</w:t>
            </w:r>
            <w:r w:rsidRPr="00713ED0">
              <w:t xml:space="preserve"> </w:t>
            </w:r>
          </w:p>
          <w:p w14:paraId="0C0BB3C6" w14:textId="65613609" w:rsidR="00713ED0" w:rsidRPr="00713ED0" w:rsidRDefault="00713ED0" w:rsidP="00A234FB">
            <w:pPr>
              <w:pStyle w:val="TableTextEntries"/>
              <w:rPr>
                <w:color w:val="92D050"/>
              </w:rPr>
            </w:pPr>
            <w:r w:rsidRPr="00713ED0">
              <w:t>Sub-sector outcomes and indicators have been amended for 2012.</w:t>
            </w:r>
            <w:r w:rsidR="00B525E5">
              <w:t xml:space="preserve"> </w:t>
            </w:r>
            <w:r w:rsidRPr="00713ED0">
              <w:t>These will be further assessed during development of the infrastructure delivery strategy in 2013.</w:t>
            </w:r>
          </w:p>
        </w:tc>
      </w:tr>
      <w:tr w:rsidR="00713ED0" w:rsidRPr="00713ED0" w14:paraId="4D6CD1E2"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68CC1722" w14:textId="77777777" w:rsidR="00713ED0" w:rsidRPr="00713ED0" w:rsidRDefault="00713ED0" w:rsidP="00A234FB">
            <w:pPr>
              <w:pStyle w:val="TableListBullet"/>
            </w:pPr>
          </w:p>
        </w:tc>
        <w:tc>
          <w:tcPr>
            <w:tcW w:w="823" w:type="dxa"/>
            <w:shd w:val="clear" w:color="auto" w:fill="FFFFFF" w:themeFill="background1"/>
          </w:tcPr>
          <w:p w14:paraId="78A05BF3" w14:textId="77777777" w:rsidR="00713ED0" w:rsidRPr="00540514" w:rsidRDefault="00713ED0" w:rsidP="00540514">
            <w:pPr>
              <w:pStyle w:val="TableTextEntries"/>
            </w:pPr>
          </w:p>
        </w:tc>
        <w:tc>
          <w:tcPr>
            <w:tcW w:w="6612" w:type="dxa"/>
            <w:vMerge/>
          </w:tcPr>
          <w:p w14:paraId="3AF468FF" w14:textId="77777777" w:rsidR="00713ED0" w:rsidRPr="00713ED0" w:rsidRDefault="00713ED0" w:rsidP="00A234FB">
            <w:pPr>
              <w:pStyle w:val="TableTextEntries"/>
            </w:pPr>
          </w:p>
        </w:tc>
      </w:tr>
      <w:tr w:rsidR="00713ED0" w:rsidRPr="00713ED0" w14:paraId="33DEF62F" w14:textId="77777777" w:rsidTr="00805D86">
        <w:trPr>
          <w:cantSplit/>
          <w:tblHeader w:val="0"/>
        </w:trPr>
        <w:tc>
          <w:tcPr>
            <w:tcW w:w="6331" w:type="dxa"/>
            <w:vMerge w:val="restart"/>
          </w:tcPr>
          <w:p w14:paraId="62BC9D5F" w14:textId="2C8A1270" w:rsidR="00713ED0" w:rsidRPr="00713ED0" w:rsidRDefault="00713ED0" w:rsidP="00A234FB">
            <w:pPr>
              <w:pStyle w:val="TableListBullet"/>
            </w:pPr>
            <w:r w:rsidRPr="00713ED0">
              <w:t xml:space="preserve">Programs like </w:t>
            </w:r>
            <w:r w:rsidR="003F4E9A">
              <w:t xml:space="preserve">the </w:t>
            </w:r>
            <w:r w:rsidR="003F4E9A" w:rsidRPr="003F4E9A">
              <w:t>Water Supply and Sanitation for Low Income Communities Project</w:t>
            </w:r>
            <w:r w:rsidR="003F4E9A" w:rsidRPr="003F4E9A" w:rsidDel="003F4E9A">
              <w:t xml:space="preserve"> </w:t>
            </w:r>
            <w:r w:rsidRPr="00713ED0">
              <w:t>and the World Bank’s policy reform program</w:t>
            </w:r>
            <w:r w:rsidR="003F4E9A">
              <w:t xml:space="preserve">––the </w:t>
            </w:r>
            <w:r w:rsidR="003F4E9A" w:rsidRPr="003F4E9A">
              <w:t>Water and Sanitation Policy and Action Planning Project</w:t>
            </w:r>
            <w:r w:rsidR="003F4E9A">
              <w:t>––</w:t>
            </w:r>
            <w:r w:rsidRPr="00713ED0">
              <w:t>are ending soon. Australia will review these to learn from the experience and determine future programming for rural service improvement and policy reform.</w:t>
            </w:r>
          </w:p>
        </w:tc>
        <w:tc>
          <w:tcPr>
            <w:tcW w:w="823" w:type="dxa"/>
            <w:tcBorders>
              <w:top w:val="nil"/>
              <w:bottom w:val="nil"/>
            </w:tcBorders>
            <w:shd w:val="clear" w:color="auto" w:fill="92D050"/>
          </w:tcPr>
          <w:p w14:paraId="78EE3048" w14:textId="77777777" w:rsidR="00713ED0" w:rsidRPr="00540514" w:rsidRDefault="00713ED0" w:rsidP="00540514">
            <w:pPr>
              <w:pStyle w:val="TableTextEntries"/>
            </w:pPr>
            <w:r w:rsidRPr="00540514">
              <w:t>Green</w:t>
            </w:r>
          </w:p>
        </w:tc>
        <w:tc>
          <w:tcPr>
            <w:tcW w:w="6612" w:type="dxa"/>
            <w:vMerge w:val="restart"/>
          </w:tcPr>
          <w:p w14:paraId="64BF3423" w14:textId="47F22F60" w:rsidR="00713ED0" w:rsidRPr="00713ED0" w:rsidRDefault="00713ED0" w:rsidP="00A234FB">
            <w:pPr>
              <w:pStyle w:val="TableTextEntries"/>
            </w:pPr>
            <w:r w:rsidRPr="00713ED0">
              <w:t>Completed (January 2012)</w:t>
            </w:r>
            <w:r w:rsidR="003F4E9A">
              <w:t>.</w:t>
            </w:r>
          </w:p>
          <w:p w14:paraId="43B332B9" w14:textId="5805E5B7" w:rsidR="003F3F13" w:rsidRDefault="00713ED0" w:rsidP="00A234FB">
            <w:pPr>
              <w:pStyle w:val="TableTextEntries"/>
            </w:pPr>
            <w:r w:rsidRPr="00713ED0">
              <w:t xml:space="preserve">Australia’s support for </w:t>
            </w:r>
            <w:r w:rsidR="003F4E9A">
              <w:t xml:space="preserve">the </w:t>
            </w:r>
            <w:r w:rsidR="003F4E9A" w:rsidRPr="003F4E9A">
              <w:t>Water Supply and Sanitation for Low Income Communities Project</w:t>
            </w:r>
            <w:r w:rsidR="003F3F13">
              <w:t>,</w:t>
            </w:r>
            <w:r w:rsidR="003F4E9A" w:rsidRPr="003F4E9A" w:rsidDel="003F4E9A">
              <w:t xml:space="preserve"> </w:t>
            </w:r>
            <w:r w:rsidRPr="00713ED0">
              <w:t xml:space="preserve">and </w:t>
            </w:r>
            <w:r w:rsidR="003F4E9A">
              <w:t xml:space="preserve">the </w:t>
            </w:r>
            <w:r w:rsidR="003F4E9A" w:rsidRPr="003F4E9A">
              <w:t>Water and Sanitation Policy and Action Planning Project</w:t>
            </w:r>
            <w:r w:rsidR="003F4E9A" w:rsidRPr="003F4E9A" w:rsidDel="003F4E9A">
              <w:t xml:space="preserve"> </w:t>
            </w:r>
            <w:r w:rsidRPr="00713ED0">
              <w:t xml:space="preserve">was reviewed in 2012. </w:t>
            </w:r>
          </w:p>
          <w:p w14:paraId="164017D5" w14:textId="77F019EB" w:rsidR="00713ED0" w:rsidRPr="00713ED0" w:rsidRDefault="00713ED0" w:rsidP="00A234FB">
            <w:pPr>
              <w:pStyle w:val="TableTextEntries"/>
              <w:rPr>
                <w:color w:val="92D050"/>
              </w:rPr>
            </w:pPr>
            <w:r w:rsidRPr="00713ED0">
              <w:t xml:space="preserve">Recommendations for </w:t>
            </w:r>
            <w:r w:rsidR="003F3F13">
              <w:t xml:space="preserve">the </w:t>
            </w:r>
            <w:r w:rsidR="003F3F13" w:rsidRPr="003F4E9A">
              <w:t>Water Supply and Sanitation for Low Income Communities Project</w:t>
            </w:r>
            <w:r w:rsidR="003F3F13" w:rsidRPr="00713ED0">
              <w:t xml:space="preserve"> </w:t>
            </w:r>
            <w:r w:rsidRPr="00713ED0">
              <w:t xml:space="preserve">have been incorporated into </w:t>
            </w:r>
            <w:r w:rsidR="003F3F13">
              <w:t>phase</w:t>
            </w:r>
            <w:r w:rsidR="003F3F13" w:rsidRPr="00713ED0">
              <w:t xml:space="preserve"> </w:t>
            </w:r>
            <w:r w:rsidRPr="00713ED0">
              <w:t xml:space="preserve">2 </w:t>
            </w:r>
            <w:r w:rsidR="003F3F13">
              <w:t xml:space="preserve">of its </w:t>
            </w:r>
            <w:r w:rsidRPr="00713ED0">
              <w:t xml:space="preserve">design and Australia has committed to support </w:t>
            </w:r>
            <w:r w:rsidR="003F3F13">
              <w:t>this</w:t>
            </w:r>
            <w:r w:rsidRPr="00713ED0">
              <w:t xml:space="preserve"> until 2017. Recommendations for </w:t>
            </w:r>
            <w:r w:rsidR="003F4E9A">
              <w:t xml:space="preserve">the </w:t>
            </w:r>
            <w:r w:rsidR="003F4E9A" w:rsidRPr="003F4E9A">
              <w:t>Water and Sanitation Policy and Action Planning Project</w:t>
            </w:r>
            <w:r w:rsidR="003F4E9A" w:rsidRPr="003F4E9A" w:rsidDel="003F4E9A">
              <w:t xml:space="preserve"> </w:t>
            </w:r>
            <w:r w:rsidRPr="00713ED0">
              <w:t>will be considered by the steering committee in mid-2013.</w:t>
            </w:r>
          </w:p>
        </w:tc>
      </w:tr>
      <w:tr w:rsidR="00713ED0" w:rsidRPr="00713ED0" w14:paraId="1BFC2E6A"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0B973E92"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4448242E" w14:textId="77777777" w:rsidR="00713ED0" w:rsidRPr="00540514" w:rsidRDefault="00713ED0" w:rsidP="00540514">
            <w:pPr>
              <w:pStyle w:val="TableTextEntries"/>
            </w:pPr>
          </w:p>
        </w:tc>
        <w:tc>
          <w:tcPr>
            <w:tcW w:w="6612" w:type="dxa"/>
            <w:vMerge/>
          </w:tcPr>
          <w:p w14:paraId="1EA0DAF2"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6871B30F" w14:textId="77777777" w:rsidTr="00540514">
        <w:trPr>
          <w:cantSplit/>
          <w:tblHeader w:val="0"/>
        </w:trPr>
        <w:tc>
          <w:tcPr>
            <w:tcW w:w="6331" w:type="dxa"/>
          </w:tcPr>
          <w:p w14:paraId="348D4A56" w14:textId="511F4BF9" w:rsidR="00713ED0" w:rsidRPr="00713ED0" w:rsidRDefault="00713ED0" w:rsidP="00A234FB">
            <w:pPr>
              <w:pStyle w:val="TableHeading2"/>
            </w:pPr>
            <w:r w:rsidRPr="00713ED0">
              <w:t xml:space="preserve">Economic </w:t>
            </w:r>
            <w:r w:rsidR="003F3F13">
              <w:t>g</w:t>
            </w:r>
            <w:r w:rsidR="003F3F13" w:rsidRPr="00713ED0">
              <w:t>overnance</w:t>
            </w:r>
          </w:p>
        </w:tc>
        <w:tc>
          <w:tcPr>
            <w:tcW w:w="823" w:type="dxa"/>
            <w:shd w:val="clear" w:color="auto" w:fill="FFFFFF" w:themeFill="background1"/>
          </w:tcPr>
          <w:p w14:paraId="2B699711" w14:textId="77777777" w:rsidR="00713ED0" w:rsidRPr="00540514" w:rsidRDefault="00713ED0" w:rsidP="00540514">
            <w:pPr>
              <w:pStyle w:val="TableTextEntries"/>
            </w:pPr>
          </w:p>
        </w:tc>
        <w:tc>
          <w:tcPr>
            <w:tcW w:w="6612" w:type="dxa"/>
          </w:tcPr>
          <w:p w14:paraId="0CD52824" w14:textId="77777777" w:rsidR="00713ED0" w:rsidRPr="00713ED0" w:rsidRDefault="00713ED0" w:rsidP="00713ED0">
            <w:pPr>
              <w:keepLines/>
              <w:spacing w:before="40" w:after="40" w:line="200" w:lineRule="atLeast"/>
              <w:rPr>
                <w:rFonts w:eastAsia="Times New Roman"/>
                <w:color w:val="92D050"/>
                <w:sz w:val="17"/>
                <w:szCs w:val="17"/>
                <w:lang w:eastAsia="en-US"/>
              </w:rPr>
            </w:pPr>
          </w:p>
        </w:tc>
      </w:tr>
      <w:tr w:rsidR="00713ED0" w:rsidRPr="00713ED0" w14:paraId="2AA150C5"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6CEF3950" w14:textId="179BCFEF" w:rsidR="00713ED0" w:rsidRPr="00713ED0" w:rsidRDefault="00CD681B" w:rsidP="00CD681B">
            <w:pPr>
              <w:pStyle w:val="TableListBullet"/>
            </w:pPr>
            <w:r>
              <w:t xml:space="preserve">The Australian </w:t>
            </w:r>
            <w:proofErr w:type="gramStart"/>
            <w:r>
              <w:t xml:space="preserve">government </w:t>
            </w:r>
            <w:r w:rsidR="00713ED0" w:rsidRPr="00713ED0">
              <w:t xml:space="preserve"> must</w:t>
            </w:r>
            <w:proofErr w:type="gramEnd"/>
            <w:r w:rsidR="00713ED0" w:rsidRPr="00713ED0">
              <w:t xml:space="preserve"> engage with the right stakeholders to ensure investments have a good chance of being effective. Augmenting the skill mix of the </w:t>
            </w:r>
            <w:r w:rsidR="003F3F13" w:rsidRPr="003F3F13">
              <w:t>Australia</w:t>
            </w:r>
            <w:r w:rsidR="003F3F13">
              <w:t>–</w:t>
            </w:r>
            <w:r w:rsidR="003F3F13" w:rsidRPr="003F3F13">
              <w:t>Indonesia Partnership for Economic Governance Facility</w:t>
            </w:r>
            <w:r w:rsidR="003F3F13" w:rsidRPr="003F3F13" w:rsidDel="003F3F13">
              <w:t xml:space="preserve"> </w:t>
            </w:r>
            <w:r w:rsidR="00713ED0" w:rsidRPr="00713ED0">
              <w:t xml:space="preserve">management support team will facilitate this. </w:t>
            </w:r>
          </w:p>
        </w:tc>
        <w:tc>
          <w:tcPr>
            <w:tcW w:w="823" w:type="dxa"/>
            <w:shd w:val="clear" w:color="auto" w:fill="92D050"/>
          </w:tcPr>
          <w:p w14:paraId="30769D5C" w14:textId="77777777" w:rsidR="00713ED0" w:rsidRPr="00540514" w:rsidRDefault="00713ED0" w:rsidP="00540514">
            <w:pPr>
              <w:pStyle w:val="TableTextEntries"/>
            </w:pPr>
            <w:r w:rsidRPr="00540514">
              <w:t>Green</w:t>
            </w:r>
          </w:p>
        </w:tc>
        <w:tc>
          <w:tcPr>
            <w:tcW w:w="6612" w:type="dxa"/>
            <w:vMerge w:val="restart"/>
          </w:tcPr>
          <w:p w14:paraId="517FB075" w14:textId="34307759" w:rsidR="00713ED0" w:rsidRPr="00713ED0" w:rsidRDefault="00713ED0" w:rsidP="00CD681B">
            <w:pPr>
              <w:pStyle w:val="TableTextEntries"/>
              <w:rPr>
                <w:color w:val="92D050"/>
              </w:rPr>
            </w:pPr>
            <w:r w:rsidRPr="00713ED0">
              <w:t xml:space="preserve">Completed. </w:t>
            </w:r>
            <w:r w:rsidR="00CD681B">
              <w:t>A</w:t>
            </w:r>
            <w:r w:rsidRPr="00713ED0">
              <w:t xml:space="preserve"> new </w:t>
            </w:r>
            <w:r w:rsidR="003F3F13">
              <w:t>d</w:t>
            </w:r>
            <w:r w:rsidR="003F3F13" w:rsidRPr="00713ED0">
              <w:t xml:space="preserve">irector </w:t>
            </w:r>
            <w:r w:rsidR="003F3F13">
              <w:t xml:space="preserve">for the </w:t>
            </w:r>
            <w:r w:rsidR="003F3F13" w:rsidRPr="003F3F13">
              <w:t>Australia</w:t>
            </w:r>
            <w:r w:rsidR="003F3F13">
              <w:t>–</w:t>
            </w:r>
            <w:r w:rsidR="003F3F13" w:rsidRPr="003F3F13">
              <w:t>Indonesia Partnership for Economic Governance Facility</w:t>
            </w:r>
            <w:r w:rsidR="00CD681B">
              <w:t xml:space="preserve"> has been recruited</w:t>
            </w:r>
            <w:r w:rsidR="003F3F13">
              <w:t>,</w:t>
            </w:r>
            <w:r w:rsidRPr="00713ED0">
              <w:t xml:space="preserve"> and a process of enhanced engagement has begun.</w:t>
            </w:r>
          </w:p>
        </w:tc>
      </w:tr>
      <w:tr w:rsidR="00713ED0" w:rsidRPr="00713ED0" w14:paraId="01F845CC" w14:textId="77777777" w:rsidTr="00540514">
        <w:trPr>
          <w:cantSplit/>
          <w:tblHeader w:val="0"/>
        </w:trPr>
        <w:tc>
          <w:tcPr>
            <w:tcW w:w="6331" w:type="dxa"/>
            <w:vMerge/>
          </w:tcPr>
          <w:p w14:paraId="09A46E5C" w14:textId="77777777" w:rsidR="00713ED0" w:rsidRPr="00713ED0" w:rsidRDefault="00713ED0" w:rsidP="00540514">
            <w:pPr>
              <w:pStyle w:val="TableListBullet"/>
            </w:pPr>
          </w:p>
        </w:tc>
        <w:tc>
          <w:tcPr>
            <w:tcW w:w="823" w:type="dxa"/>
            <w:shd w:val="clear" w:color="auto" w:fill="FFFFFF" w:themeFill="background1"/>
          </w:tcPr>
          <w:p w14:paraId="042A7C45" w14:textId="77777777" w:rsidR="00713ED0" w:rsidRPr="00540514" w:rsidRDefault="00713ED0" w:rsidP="00540514">
            <w:pPr>
              <w:pStyle w:val="TableTextEntries"/>
            </w:pPr>
          </w:p>
        </w:tc>
        <w:tc>
          <w:tcPr>
            <w:tcW w:w="6612" w:type="dxa"/>
            <w:vMerge/>
          </w:tcPr>
          <w:p w14:paraId="6CEE030F" w14:textId="77777777" w:rsidR="00713ED0" w:rsidRPr="00713ED0" w:rsidRDefault="00713ED0" w:rsidP="00540514">
            <w:pPr>
              <w:pStyle w:val="TableTextEntries"/>
            </w:pPr>
          </w:p>
        </w:tc>
      </w:tr>
      <w:tr w:rsidR="00713ED0" w:rsidRPr="00713ED0" w14:paraId="2DFE0CB8"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2C9A5397" w14:textId="425F6ADF" w:rsidR="00713ED0" w:rsidRPr="00713ED0" w:rsidRDefault="00CD681B" w:rsidP="00CD681B">
            <w:pPr>
              <w:pStyle w:val="TableListBullet"/>
            </w:pPr>
            <w:r>
              <w:t>Australia</w:t>
            </w:r>
            <w:r w:rsidR="00713ED0" w:rsidRPr="00713ED0">
              <w:t xml:space="preserve"> will find ways to better use the considerable expertise and connections of the </w:t>
            </w:r>
            <w:r w:rsidR="003F3F13" w:rsidRPr="003F3F13">
              <w:t>Australia</w:t>
            </w:r>
            <w:r w:rsidR="003F3F13">
              <w:t>–</w:t>
            </w:r>
            <w:r w:rsidR="003F3F13" w:rsidRPr="003F3F13">
              <w:t>Indonesia Partnership for Economic Governance Facility</w:t>
            </w:r>
            <w:r w:rsidR="003F3F13" w:rsidRPr="00713ED0" w:rsidDel="003F3F13">
              <w:t xml:space="preserve"> </w:t>
            </w:r>
            <w:r w:rsidR="003F3F13" w:rsidRPr="00713ED0">
              <w:t xml:space="preserve">Indonesian </w:t>
            </w:r>
            <w:r w:rsidR="00713ED0" w:rsidRPr="00713ED0">
              <w:t>board in formulating new directions.</w:t>
            </w:r>
          </w:p>
        </w:tc>
        <w:tc>
          <w:tcPr>
            <w:tcW w:w="823" w:type="dxa"/>
            <w:shd w:val="clear" w:color="auto" w:fill="92D050"/>
          </w:tcPr>
          <w:p w14:paraId="37858F57" w14:textId="77777777" w:rsidR="00713ED0" w:rsidRPr="00540514" w:rsidRDefault="00713ED0" w:rsidP="00540514">
            <w:pPr>
              <w:pStyle w:val="TableTextEntries"/>
            </w:pPr>
            <w:r w:rsidRPr="00540514">
              <w:t>Green</w:t>
            </w:r>
          </w:p>
        </w:tc>
        <w:tc>
          <w:tcPr>
            <w:tcW w:w="6612" w:type="dxa"/>
            <w:vMerge w:val="restart"/>
          </w:tcPr>
          <w:p w14:paraId="19D8D207" w14:textId="7D9986DB" w:rsidR="00713ED0" w:rsidRPr="00713ED0" w:rsidRDefault="00713ED0" w:rsidP="00CD681B">
            <w:pPr>
              <w:pStyle w:val="TableTextEntries"/>
              <w:rPr>
                <w:color w:val="92D050"/>
              </w:rPr>
            </w:pPr>
            <w:r w:rsidRPr="00713ED0">
              <w:t xml:space="preserve">Completed. </w:t>
            </w:r>
            <w:r w:rsidR="00CD681B">
              <w:t>P</w:t>
            </w:r>
            <w:r w:rsidRPr="00713ED0">
              <w:t xml:space="preserve">re-board meetings </w:t>
            </w:r>
            <w:r w:rsidR="00CD681B">
              <w:t xml:space="preserve">have been introduced </w:t>
            </w:r>
            <w:r w:rsidRPr="00713ED0">
              <w:t xml:space="preserve">to facilitate deeper knowledge and greater discussion amongst the members of program governance boards. </w:t>
            </w:r>
          </w:p>
        </w:tc>
      </w:tr>
      <w:tr w:rsidR="00713ED0" w:rsidRPr="00713ED0" w14:paraId="0C80C911" w14:textId="77777777" w:rsidTr="00540514">
        <w:trPr>
          <w:cantSplit/>
          <w:tblHeader w:val="0"/>
        </w:trPr>
        <w:tc>
          <w:tcPr>
            <w:tcW w:w="6331" w:type="dxa"/>
            <w:vMerge/>
          </w:tcPr>
          <w:p w14:paraId="063AAED6" w14:textId="77777777" w:rsidR="00713ED0" w:rsidRPr="00713ED0" w:rsidRDefault="00713ED0" w:rsidP="00540514">
            <w:pPr>
              <w:pStyle w:val="TableListBullet"/>
            </w:pPr>
          </w:p>
        </w:tc>
        <w:tc>
          <w:tcPr>
            <w:tcW w:w="823" w:type="dxa"/>
            <w:shd w:val="clear" w:color="auto" w:fill="FFFFFF" w:themeFill="background1"/>
          </w:tcPr>
          <w:p w14:paraId="1451FFDE" w14:textId="77777777" w:rsidR="00713ED0" w:rsidRPr="00540514" w:rsidRDefault="00713ED0" w:rsidP="00540514">
            <w:pPr>
              <w:pStyle w:val="TableTextEntries"/>
            </w:pPr>
          </w:p>
        </w:tc>
        <w:tc>
          <w:tcPr>
            <w:tcW w:w="6612" w:type="dxa"/>
            <w:vMerge/>
          </w:tcPr>
          <w:p w14:paraId="28D19D00" w14:textId="77777777" w:rsidR="00713ED0" w:rsidRPr="00713ED0" w:rsidRDefault="00713ED0" w:rsidP="00540514">
            <w:pPr>
              <w:pStyle w:val="TableTextEntries"/>
            </w:pPr>
          </w:p>
        </w:tc>
      </w:tr>
      <w:tr w:rsidR="00713ED0" w:rsidRPr="00713ED0" w14:paraId="37109A4B"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43AE5044" w14:textId="05D772A7" w:rsidR="00713ED0" w:rsidRPr="00713ED0" w:rsidRDefault="00CD681B" w:rsidP="00CD681B">
            <w:pPr>
              <w:pStyle w:val="TableListBullet"/>
            </w:pPr>
            <w:r>
              <w:t xml:space="preserve">Australia </w:t>
            </w:r>
            <w:r w:rsidR="00713ED0" w:rsidRPr="00713ED0">
              <w:t>recognises that a focus on implementation and coordination is pivotal to realising the benefits of reform. We will engage more with a wider cross-section of Indonesian partner agencies and non-government entities on all issues to help facilitate coordination, rather than working with single government agencies.</w:t>
            </w:r>
          </w:p>
        </w:tc>
        <w:tc>
          <w:tcPr>
            <w:tcW w:w="823" w:type="dxa"/>
            <w:shd w:val="clear" w:color="auto" w:fill="F79646" w:themeFill="accent6"/>
          </w:tcPr>
          <w:p w14:paraId="114A184C" w14:textId="77777777" w:rsidR="00713ED0" w:rsidRPr="00540514" w:rsidRDefault="00713ED0" w:rsidP="00540514">
            <w:pPr>
              <w:pStyle w:val="TableTextEntries"/>
            </w:pPr>
            <w:r w:rsidRPr="00540514">
              <w:t>Amber</w:t>
            </w:r>
          </w:p>
        </w:tc>
        <w:tc>
          <w:tcPr>
            <w:tcW w:w="6612" w:type="dxa"/>
            <w:vMerge w:val="restart"/>
          </w:tcPr>
          <w:p w14:paraId="6292DC0C" w14:textId="4EB2408E" w:rsidR="00713ED0" w:rsidRPr="00713ED0" w:rsidRDefault="00713ED0" w:rsidP="00540514">
            <w:pPr>
              <w:pStyle w:val="TableTextEntries"/>
              <w:rPr>
                <w:color w:val="92D050"/>
              </w:rPr>
            </w:pPr>
            <w:r w:rsidRPr="00713ED0">
              <w:t xml:space="preserve">To be completed by end 2013. Process underway </w:t>
            </w:r>
            <w:r w:rsidR="003F3F13" w:rsidRPr="00713ED0">
              <w:t>b</w:t>
            </w:r>
            <w:r w:rsidR="003F3F13">
              <w:t>ut</w:t>
            </w:r>
            <w:r w:rsidR="003F3F13" w:rsidRPr="00713ED0">
              <w:t xml:space="preserve"> </w:t>
            </w:r>
            <w:r w:rsidRPr="00713ED0">
              <w:t xml:space="preserve">slowed by turnover of program staff and recruitment of </w:t>
            </w:r>
            <w:r w:rsidR="003F3F13">
              <w:t xml:space="preserve">the </w:t>
            </w:r>
            <w:r w:rsidRPr="00713ED0">
              <w:t xml:space="preserve">new </w:t>
            </w:r>
            <w:r w:rsidR="003F3F13">
              <w:t>d</w:t>
            </w:r>
            <w:r w:rsidRPr="00713ED0">
              <w:t xml:space="preserve">irector. </w:t>
            </w:r>
          </w:p>
        </w:tc>
      </w:tr>
      <w:tr w:rsidR="00713ED0" w:rsidRPr="00713ED0" w14:paraId="33690B30" w14:textId="77777777" w:rsidTr="00540514">
        <w:trPr>
          <w:cantSplit/>
          <w:tblHeader w:val="0"/>
        </w:trPr>
        <w:tc>
          <w:tcPr>
            <w:tcW w:w="6331" w:type="dxa"/>
            <w:vMerge/>
          </w:tcPr>
          <w:p w14:paraId="12FBF23C"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6688AA1B" w14:textId="77777777" w:rsidR="00713ED0" w:rsidRPr="00540514" w:rsidRDefault="00713ED0" w:rsidP="00540514">
            <w:pPr>
              <w:pStyle w:val="TableTextEntries"/>
            </w:pPr>
          </w:p>
        </w:tc>
        <w:tc>
          <w:tcPr>
            <w:tcW w:w="6612" w:type="dxa"/>
            <w:vMerge/>
          </w:tcPr>
          <w:p w14:paraId="23F2C47F"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52BDB0AA"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tcPr>
          <w:p w14:paraId="5FDEFC1D" w14:textId="77777777" w:rsidR="00713ED0" w:rsidRPr="00713ED0" w:rsidRDefault="00713ED0" w:rsidP="00540514">
            <w:pPr>
              <w:pStyle w:val="TableHeading2"/>
            </w:pPr>
            <w:r w:rsidRPr="00713ED0">
              <w:t>Social protection and community driven development</w:t>
            </w:r>
          </w:p>
        </w:tc>
        <w:tc>
          <w:tcPr>
            <w:tcW w:w="823" w:type="dxa"/>
            <w:shd w:val="clear" w:color="auto" w:fill="FFFFFF" w:themeFill="background1"/>
          </w:tcPr>
          <w:p w14:paraId="087ACFE9" w14:textId="77777777" w:rsidR="00713ED0" w:rsidRPr="00540514" w:rsidRDefault="00713ED0" w:rsidP="00540514">
            <w:pPr>
              <w:pStyle w:val="TableTextEntries"/>
            </w:pPr>
          </w:p>
        </w:tc>
        <w:tc>
          <w:tcPr>
            <w:tcW w:w="6612" w:type="dxa"/>
          </w:tcPr>
          <w:p w14:paraId="6A86DC48" w14:textId="77777777" w:rsidR="00713ED0" w:rsidRPr="00713ED0" w:rsidRDefault="00713ED0" w:rsidP="00713ED0">
            <w:pPr>
              <w:keepLines/>
              <w:spacing w:before="40" w:after="40" w:line="200" w:lineRule="atLeast"/>
              <w:rPr>
                <w:rFonts w:eastAsia="Times New Roman"/>
                <w:color w:val="92D050"/>
                <w:sz w:val="17"/>
                <w:szCs w:val="17"/>
                <w:lang w:eastAsia="en-US"/>
              </w:rPr>
            </w:pPr>
          </w:p>
        </w:tc>
      </w:tr>
      <w:tr w:rsidR="00713ED0" w:rsidRPr="00713ED0" w14:paraId="235543C4" w14:textId="77777777" w:rsidTr="00805D86">
        <w:trPr>
          <w:cantSplit/>
          <w:tblHeader w:val="0"/>
        </w:trPr>
        <w:tc>
          <w:tcPr>
            <w:tcW w:w="6331" w:type="dxa"/>
            <w:vMerge w:val="restart"/>
          </w:tcPr>
          <w:p w14:paraId="522F42EC" w14:textId="35562425" w:rsidR="00713ED0" w:rsidRPr="00713ED0" w:rsidRDefault="00713ED0" w:rsidP="00CD681B">
            <w:pPr>
              <w:pStyle w:val="TableListBullet"/>
            </w:pPr>
            <w:r w:rsidRPr="00713ED0">
              <w:t xml:space="preserve">Our work in increasing demand for public services is also achieving good </w:t>
            </w:r>
            <w:proofErr w:type="gramStart"/>
            <w:r w:rsidRPr="00713ED0">
              <w:t>results,</w:t>
            </w:r>
            <w:proofErr w:type="gramEnd"/>
            <w:r w:rsidRPr="00713ED0">
              <w:t xml:space="preserve"> however there are risks from the supply side, in terms of ensuring access to facilities, skilled health workers and appropriate budgeting and planning, especially in local governments. </w:t>
            </w:r>
            <w:r w:rsidR="00CD681B">
              <w:t xml:space="preserve">We </w:t>
            </w:r>
            <w:r w:rsidRPr="00713ED0">
              <w:t xml:space="preserve">will continue to highlight this concern in appropriate forums. </w:t>
            </w:r>
          </w:p>
        </w:tc>
        <w:tc>
          <w:tcPr>
            <w:tcW w:w="823" w:type="dxa"/>
            <w:tcBorders>
              <w:top w:val="nil"/>
              <w:bottom w:val="nil"/>
            </w:tcBorders>
            <w:shd w:val="clear" w:color="auto" w:fill="92D050"/>
          </w:tcPr>
          <w:p w14:paraId="7A27376A" w14:textId="77777777" w:rsidR="00713ED0" w:rsidRPr="00540514" w:rsidRDefault="00713ED0" w:rsidP="00540514">
            <w:pPr>
              <w:pStyle w:val="TableTextEntries"/>
            </w:pPr>
            <w:r w:rsidRPr="00540514">
              <w:t>Green</w:t>
            </w:r>
          </w:p>
        </w:tc>
        <w:tc>
          <w:tcPr>
            <w:tcW w:w="6612" w:type="dxa"/>
            <w:vMerge w:val="restart"/>
          </w:tcPr>
          <w:p w14:paraId="4D85DBFC" w14:textId="77777777" w:rsidR="00713ED0" w:rsidRPr="00713ED0" w:rsidRDefault="00713ED0" w:rsidP="00540514">
            <w:pPr>
              <w:pStyle w:val="TableTextEntries"/>
              <w:rPr>
                <w:color w:val="92D050"/>
              </w:rPr>
            </w:pPr>
            <w:r w:rsidRPr="00713ED0">
              <w:t>Completed.</w:t>
            </w:r>
          </w:p>
        </w:tc>
      </w:tr>
      <w:tr w:rsidR="00713ED0" w:rsidRPr="00713ED0" w14:paraId="579FDBA6"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19157B4A" w14:textId="77777777" w:rsidR="00713ED0" w:rsidRPr="00713ED0" w:rsidRDefault="00713ED0" w:rsidP="00540514">
            <w:pPr>
              <w:pStyle w:val="TableListBullet"/>
            </w:pPr>
          </w:p>
        </w:tc>
        <w:tc>
          <w:tcPr>
            <w:tcW w:w="823" w:type="dxa"/>
            <w:shd w:val="clear" w:color="auto" w:fill="FFFFFF" w:themeFill="background1"/>
          </w:tcPr>
          <w:p w14:paraId="68278B7D" w14:textId="77777777" w:rsidR="00713ED0" w:rsidRPr="00540514" w:rsidRDefault="00713ED0" w:rsidP="00540514">
            <w:pPr>
              <w:pStyle w:val="TableTextEntries"/>
            </w:pPr>
          </w:p>
        </w:tc>
        <w:tc>
          <w:tcPr>
            <w:tcW w:w="6612" w:type="dxa"/>
            <w:vMerge/>
          </w:tcPr>
          <w:p w14:paraId="501F30CC" w14:textId="77777777" w:rsidR="00713ED0" w:rsidRPr="00713ED0" w:rsidRDefault="00713ED0" w:rsidP="00540514">
            <w:pPr>
              <w:pStyle w:val="TableTextEntries"/>
            </w:pPr>
          </w:p>
        </w:tc>
      </w:tr>
      <w:tr w:rsidR="00713ED0" w:rsidRPr="00713ED0" w14:paraId="20B2479C" w14:textId="77777777" w:rsidTr="00805D86">
        <w:trPr>
          <w:cantSplit/>
          <w:tblHeader w:val="0"/>
        </w:trPr>
        <w:tc>
          <w:tcPr>
            <w:tcW w:w="6331" w:type="dxa"/>
            <w:vMerge w:val="restart"/>
          </w:tcPr>
          <w:p w14:paraId="2ABA4B78" w14:textId="27636C11" w:rsidR="00713ED0" w:rsidRPr="00713ED0" w:rsidRDefault="00713ED0" w:rsidP="00540514">
            <w:pPr>
              <w:pStyle w:val="TableListBullet"/>
            </w:pPr>
            <w:r w:rsidRPr="00713ED0">
              <w:t xml:space="preserve">The design and contracting arrangements for increasing social assistance and </w:t>
            </w:r>
            <w:r w:rsidR="009F53DE">
              <w:t xml:space="preserve">the </w:t>
            </w:r>
            <w:r w:rsidR="009F53DE" w:rsidRPr="009F53DE">
              <w:t xml:space="preserve">National Programme for Community Empowerment </w:t>
            </w:r>
            <w:r w:rsidRPr="00713ED0">
              <w:t>need to be finalised in 2012 and new internal management arrangements of programs need a smooth transition. Management attention also needs to be given to appropriate team resourcing.</w:t>
            </w:r>
          </w:p>
        </w:tc>
        <w:tc>
          <w:tcPr>
            <w:tcW w:w="823" w:type="dxa"/>
            <w:tcBorders>
              <w:top w:val="nil"/>
              <w:bottom w:val="nil"/>
            </w:tcBorders>
            <w:shd w:val="clear" w:color="auto" w:fill="92D050"/>
          </w:tcPr>
          <w:p w14:paraId="47EDFE1B" w14:textId="77777777" w:rsidR="00713ED0" w:rsidRPr="00540514" w:rsidRDefault="00713ED0" w:rsidP="00540514">
            <w:pPr>
              <w:pStyle w:val="TableTextEntries"/>
            </w:pPr>
            <w:r w:rsidRPr="00540514">
              <w:t>Green</w:t>
            </w:r>
          </w:p>
        </w:tc>
        <w:tc>
          <w:tcPr>
            <w:tcW w:w="6612" w:type="dxa"/>
            <w:vMerge w:val="restart"/>
          </w:tcPr>
          <w:p w14:paraId="103A1E8A" w14:textId="77777777" w:rsidR="00713ED0" w:rsidRPr="00713ED0" w:rsidRDefault="00713ED0" w:rsidP="00540514">
            <w:pPr>
              <w:pStyle w:val="TableTextEntries"/>
              <w:rPr>
                <w:color w:val="F79646" w:themeColor="accent6"/>
              </w:rPr>
            </w:pPr>
            <w:r w:rsidRPr="00713ED0">
              <w:t>Completed.</w:t>
            </w:r>
          </w:p>
        </w:tc>
      </w:tr>
      <w:tr w:rsidR="00713ED0" w:rsidRPr="00713ED0" w14:paraId="6E3368ED"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7271FD57"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1A10F25C" w14:textId="77777777" w:rsidR="00713ED0" w:rsidRPr="00540514" w:rsidRDefault="00713ED0" w:rsidP="00540514">
            <w:pPr>
              <w:pStyle w:val="TableTextEntries"/>
            </w:pPr>
          </w:p>
        </w:tc>
        <w:tc>
          <w:tcPr>
            <w:tcW w:w="6612" w:type="dxa"/>
            <w:vMerge/>
          </w:tcPr>
          <w:p w14:paraId="172E81BA"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6A7E1A54" w14:textId="77777777" w:rsidTr="00540514">
        <w:trPr>
          <w:cantSplit/>
          <w:tblHeader w:val="0"/>
        </w:trPr>
        <w:tc>
          <w:tcPr>
            <w:tcW w:w="6331" w:type="dxa"/>
          </w:tcPr>
          <w:p w14:paraId="454D3A51" w14:textId="77777777" w:rsidR="00713ED0" w:rsidRPr="00713ED0" w:rsidRDefault="00713ED0" w:rsidP="00540514">
            <w:pPr>
              <w:pStyle w:val="TableHeading2"/>
            </w:pPr>
            <w:r w:rsidRPr="00713ED0">
              <w:lastRenderedPageBreak/>
              <w:t>Law and justice</w:t>
            </w:r>
          </w:p>
        </w:tc>
        <w:tc>
          <w:tcPr>
            <w:tcW w:w="823" w:type="dxa"/>
            <w:shd w:val="clear" w:color="auto" w:fill="FFFFFF" w:themeFill="background1"/>
          </w:tcPr>
          <w:p w14:paraId="3EC316C2" w14:textId="77777777" w:rsidR="00713ED0" w:rsidRPr="00540514" w:rsidRDefault="00713ED0" w:rsidP="00540514">
            <w:pPr>
              <w:pStyle w:val="TableTextEntries"/>
            </w:pPr>
          </w:p>
        </w:tc>
        <w:tc>
          <w:tcPr>
            <w:tcW w:w="6612" w:type="dxa"/>
          </w:tcPr>
          <w:p w14:paraId="5D4CE871" w14:textId="77777777" w:rsidR="00713ED0" w:rsidRPr="00713ED0" w:rsidRDefault="00713ED0" w:rsidP="00713ED0">
            <w:pPr>
              <w:keepLines/>
              <w:spacing w:before="40" w:after="40" w:line="200" w:lineRule="atLeast"/>
              <w:rPr>
                <w:rFonts w:eastAsia="Times New Roman"/>
                <w:color w:val="F79646" w:themeColor="accent6"/>
                <w:sz w:val="17"/>
                <w:szCs w:val="17"/>
                <w:lang w:eastAsia="en-US"/>
              </w:rPr>
            </w:pPr>
          </w:p>
        </w:tc>
      </w:tr>
      <w:tr w:rsidR="00713ED0" w:rsidRPr="00713ED0" w14:paraId="7BB5EC55"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02C4FC35" w14:textId="44B5711D" w:rsidR="00713ED0" w:rsidRPr="00713ED0" w:rsidRDefault="00713ED0" w:rsidP="00CD681B">
            <w:pPr>
              <w:pStyle w:val="TableListBullet"/>
            </w:pPr>
            <w:r w:rsidRPr="00713ED0">
              <w:t xml:space="preserve">A review will take place in 2012 to determine the forward focus of Australia’s support to the sector, including </w:t>
            </w:r>
            <w:r w:rsidR="003F3F13">
              <w:t>a possible</w:t>
            </w:r>
            <w:r w:rsidR="003F3F13" w:rsidRPr="00713ED0">
              <w:t xml:space="preserve"> </w:t>
            </w:r>
            <w:r w:rsidRPr="00713ED0">
              <w:t>expan</w:t>
            </w:r>
            <w:r w:rsidR="003F3F13">
              <w:t>sion of</w:t>
            </w:r>
            <w:r w:rsidR="003F3F13" w:rsidRPr="00713ED0">
              <w:t xml:space="preserve"> </w:t>
            </w:r>
            <w:r w:rsidR="003F3F13">
              <w:t xml:space="preserve">the </w:t>
            </w:r>
            <w:r w:rsidR="003F3F13" w:rsidRPr="003F3F13">
              <w:rPr>
                <w:lang w:val="en-US"/>
              </w:rPr>
              <w:t>Australia</w:t>
            </w:r>
            <w:r w:rsidR="00B525E5">
              <w:rPr>
                <w:lang w:val="en-US"/>
              </w:rPr>
              <w:t>–</w:t>
            </w:r>
            <w:r w:rsidR="003F3F13" w:rsidRPr="00D67028">
              <w:rPr>
                <w:iCs/>
                <w:lang w:val="en-US"/>
              </w:rPr>
              <w:t>Indonesia</w:t>
            </w:r>
            <w:r w:rsidR="003F3F13" w:rsidRPr="003F3F13">
              <w:rPr>
                <w:lang w:val="en-US"/>
              </w:rPr>
              <w:t xml:space="preserve"> Partnership for Justice</w:t>
            </w:r>
            <w:r w:rsidR="003F3F13">
              <w:rPr>
                <w:lang w:val="en-US"/>
              </w:rPr>
              <w:t>’s</w:t>
            </w:r>
            <w:r w:rsidR="003F3F13" w:rsidRPr="00713ED0">
              <w:t xml:space="preserve"> community</w:t>
            </w:r>
            <w:r w:rsidR="003F3F13">
              <w:t>-</w:t>
            </w:r>
            <w:r w:rsidRPr="00713ED0">
              <w:t xml:space="preserve">level support and exploring how to work more closely with other </w:t>
            </w:r>
            <w:r w:rsidR="00CD681B">
              <w:t xml:space="preserve">Australian-supported </w:t>
            </w:r>
            <w:r w:rsidRPr="00713ED0">
              <w:t>programs on points where service delivery depends on a well-functioning and accessible justice system. The driving principle will be to establish the most effective balance between top-down institutional reform and community level service delivery, the combination of which will meet the needs of justice seekers in a way that can be sustained by law and justice institutions</w:t>
            </w:r>
            <w:r w:rsidR="003F3F13">
              <w:t>.</w:t>
            </w:r>
          </w:p>
        </w:tc>
        <w:tc>
          <w:tcPr>
            <w:tcW w:w="823" w:type="dxa"/>
            <w:shd w:val="clear" w:color="auto" w:fill="92D050"/>
          </w:tcPr>
          <w:p w14:paraId="5A0C421D" w14:textId="77777777" w:rsidR="00713ED0" w:rsidRPr="00540514" w:rsidRDefault="00713ED0" w:rsidP="00540514">
            <w:pPr>
              <w:pStyle w:val="TableTextEntries"/>
            </w:pPr>
            <w:r w:rsidRPr="00540514">
              <w:t>Green</w:t>
            </w:r>
          </w:p>
        </w:tc>
        <w:tc>
          <w:tcPr>
            <w:tcW w:w="6612" w:type="dxa"/>
            <w:vMerge w:val="restart"/>
          </w:tcPr>
          <w:p w14:paraId="2351299B" w14:textId="77777777" w:rsidR="00713ED0" w:rsidRPr="00713ED0" w:rsidRDefault="00713ED0" w:rsidP="00540514">
            <w:pPr>
              <w:pStyle w:val="TableTextEntries"/>
              <w:rPr>
                <w:color w:val="F79646" w:themeColor="accent6"/>
              </w:rPr>
            </w:pPr>
            <w:r w:rsidRPr="00713ED0">
              <w:t>Completed.</w:t>
            </w:r>
          </w:p>
        </w:tc>
      </w:tr>
      <w:tr w:rsidR="00713ED0" w:rsidRPr="00713ED0" w14:paraId="1FB98E84" w14:textId="77777777" w:rsidTr="00540514">
        <w:trPr>
          <w:cantSplit/>
          <w:tblHeader w:val="0"/>
        </w:trPr>
        <w:tc>
          <w:tcPr>
            <w:tcW w:w="6331" w:type="dxa"/>
            <w:vMerge/>
          </w:tcPr>
          <w:p w14:paraId="0D386E98"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48F77E7B" w14:textId="77777777" w:rsidR="00713ED0" w:rsidRPr="00540514" w:rsidRDefault="00713ED0" w:rsidP="00540514">
            <w:pPr>
              <w:pStyle w:val="TableTextEntries"/>
            </w:pPr>
          </w:p>
        </w:tc>
        <w:tc>
          <w:tcPr>
            <w:tcW w:w="6612" w:type="dxa"/>
            <w:vMerge/>
          </w:tcPr>
          <w:p w14:paraId="59BC168A"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32F1C60D"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tcPr>
          <w:p w14:paraId="2C9D2463" w14:textId="77777777" w:rsidR="00713ED0" w:rsidRPr="00713ED0" w:rsidRDefault="00713ED0" w:rsidP="00540514">
            <w:pPr>
              <w:pStyle w:val="TableHeading2"/>
            </w:pPr>
            <w:r w:rsidRPr="00713ED0">
              <w:t>Elections</w:t>
            </w:r>
          </w:p>
        </w:tc>
        <w:tc>
          <w:tcPr>
            <w:tcW w:w="823" w:type="dxa"/>
            <w:shd w:val="clear" w:color="auto" w:fill="FFFFFF" w:themeFill="background1"/>
          </w:tcPr>
          <w:p w14:paraId="2389B9EA" w14:textId="77777777" w:rsidR="00713ED0" w:rsidRPr="00540514" w:rsidRDefault="00713ED0" w:rsidP="00540514">
            <w:pPr>
              <w:pStyle w:val="TableTextEntries"/>
            </w:pPr>
          </w:p>
        </w:tc>
        <w:tc>
          <w:tcPr>
            <w:tcW w:w="6612" w:type="dxa"/>
          </w:tcPr>
          <w:p w14:paraId="75AE1893"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01FDD191" w14:textId="77777777" w:rsidTr="00540514">
        <w:trPr>
          <w:cantSplit/>
          <w:tblHeader w:val="0"/>
        </w:trPr>
        <w:tc>
          <w:tcPr>
            <w:tcW w:w="6331" w:type="dxa"/>
            <w:vMerge w:val="restart"/>
          </w:tcPr>
          <w:p w14:paraId="0047A3F0" w14:textId="7FC13EEC" w:rsidR="00713ED0" w:rsidRPr="00713ED0" w:rsidRDefault="00CD681B" w:rsidP="00CD681B">
            <w:pPr>
              <w:pStyle w:val="TableListBullet"/>
            </w:pPr>
            <w:r>
              <w:t>DFAT</w:t>
            </w:r>
            <w:r w:rsidR="00713ED0" w:rsidRPr="00713ED0">
              <w:t xml:space="preserve">, the Australian Electoral Commission and </w:t>
            </w:r>
            <w:r w:rsidR="003F3F13">
              <w:t>T</w:t>
            </w:r>
            <w:r w:rsidR="003F3F13" w:rsidRPr="00713ED0">
              <w:t xml:space="preserve">he </w:t>
            </w:r>
            <w:r w:rsidR="00713ED0" w:rsidRPr="00713ED0">
              <w:t xml:space="preserve">Asia Foundation, as the implementing partners of the elections program, will continue regular engagement with all relevant government and civil society stakeholders to mitigate accusations of foreign interference. </w:t>
            </w:r>
          </w:p>
        </w:tc>
        <w:tc>
          <w:tcPr>
            <w:tcW w:w="823" w:type="dxa"/>
            <w:shd w:val="clear" w:color="auto" w:fill="F79646" w:themeFill="accent6"/>
          </w:tcPr>
          <w:p w14:paraId="5768DF0A" w14:textId="77777777" w:rsidR="00713ED0" w:rsidRPr="00540514" w:rsidRDefault="00713ED0" w:rsidP="00540514">
            <w:pPr>
              <w:pStyle w:val="TableTextEntries"/>
            </w:pPr>
            <w:r w:rsidRPr="00540514">
              <w:t>Amber</w:t>
            </w:r>
          </w:p>
        </w:tc>
        <w:tc>
          <w:tcPr>
            <w:tcW w:w="6612" w:type="dxa"/>
            <w:vMerge w:val="restart"/>
          </w:tcPr>
          <w:p w14:paraId="6D416CF5" w14:textId="6352B3E7" w:rsidR="00713ED0" w:rsidRPr="00713ED0" w:rsidRDefault="00CD681B" w:rsidP="00CD681B">
            <w:pPr>
              <w:pStyle w:val="TableTextEntries"/>
            </w:pPr>
            <w:r>
              <w:t>DFAT</w:t>
            </w:r>
            <w:r w:rsidR="00713ED0" w:rsidRPr="00713ED0">
              <w:t xml:space="preserve"> continues to face hurdles in obtaining and maintaining </w:t>
            </w:r>
            <w:r w:rsidR="000A11DD">
              <w:t>Indonesian Government</w:t>
            </w:r>
            <w:r w:rsidR="00713ED0" w:rsidRPr="00713ED0">
              <w:t xml:space="preserve"> approvals to manage activities under this program. As such, </w:t>
            </w:r>
            <w:r>
              <w:t xml:space="preserve">the department </w:t>
            </w:r>
            <w:r w:rsidR="00713ED0" w:rsidRPr="00713ED0">
              <w:t>and implementing partners are spending a disproportionate time managing risks and political sensitivities, which is compromising the program’s effectiveness, including our ability to comprehensively implement management responses.</w:t>
            </w:r>
          </w:p>
        </w:tc>
      </w:tr>
      <w:tr w:rsidR="00713ED0" w:rsidRPr="00713ED0" w14:paraId="50935298"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015D6426" w14:textId="77777777" w:rsidR="00713ED0" w:rsidRPr="00713ED0" w:rsidRDefault="00713ED0" w:rsidP="00540514">
            <w:pPr>
              <w:pStyle w:val="TableListBullet"/>
            </w:pPr>
          </w:p>
        </w:tc>
        <w:tc>
          <w:tcPr>
            <w:tcW w:w="823" w:type="dxa"/>
            <w:shd w:val="clear" w:color="auto" w:fill="FFFFFF" w:themeFill="background1"/>
          </w:tcPr>
          <w:p w14:paraId="76D7A952" w14:textId="77777777" w:rsidR="00713ED0" w:rsidRPr="00540514" w:rsidRDefault="00713ED0" w:rsidP="00540514">
            <w:pPr>
              <w:pStyle w:val="TableTextEntries"/>
            </w:pPr>
          </w:p>
        </w:tc>
        <w:tc>
          <w:tcPr>
            <w:tcW w:w="6612" w:type="dxa"/>
            <w:vMerge/>
          </w:tcPr>
          <w:p w14:paraId="4A87A35F" w14:textId="77777777" w:rsidR="00713ED0" w:rsidRPr="00713ED0" w:rsidRDefault="00713ED0" w:rsidP="00540514">
            <w:pPr>
              <w:pStyle w:val="TableTextEntries"/>
            </w:pPr>
          </w:p>
        </w:tc>
      </w:tr>
      <w:tr w:rsidR="00713ED0" w:rsidRPr="00713ED0" w14:paraId="44F08F27" w14:textId="77777777" w:rsidTr="00540514">
        <w:trPr>
          <w:cantSplit/>
          <w:tblHeader w:val="0"/>
        </w:trPr>
        <w:tc>
          <w:tcPr>
            <w:tcW w:w="6331" w:type="dxa"/>
            <w:vMerge w:val="restart"/>
          </w:tcPr>
          <w:p w14:paraId="3ED47E51" w14:textId="76CC9741" w:rsidR="00713ED0" w:rsidRPr="00713ED0" w:rsidRDefault="00CD681B" w:rsidP="00CD681B">
            <w:pPr>
              <w:pStyle w:val="TableListBullet"/>
            </w:pPr>
            <w:r>
              <w:t>DFAT</w:t>
            </w:r>
            <w:r w:rsidR="00713ED0" w:rsidRPr="00713ED0">
              <w:t xml:space="preserve"> will continue to monitor the progress of electoral legislation and its implications for electoral management in Indonesia, and investigate opportunities to support the increased deployment of monitors in Aceh before its elections.</w:t>
            </w:r>
          </w:p>
        </w:tc>
        <w:tc>
          <w:tcPr>
            <w:tcW w:w="823" w:type="dxa"/>
            <w:shd w:val="clear" w:color="auto" w:fill="F79646" w:themeFill="accent6"/>
          </w:tcPr>
          <w:p w14:paraId="78FEAEE2" w14:textId="77777777" w:rsidR="00713ED0" w:rsidRPr="00540514" w:rsidRDefault="00713ED0" w:rsidP="00540514">
            <w:pPr>
              <w:pStyle w:val="TableTextEntries"/>
            </w:pPr>
            <w:r w:rsidRPr="00540514">
              <w:t>Amber</w:t>
            </w:r>
          </w:p>
        </w:tc>
        <w:tc>
          <w:tcPr>
            <w:tcW w:w="6612" w:type="dxa"/>
            <w:vMerge w:val="restart"/>
          </w:tcPr>
          <w:p w14:paraId="5D87FC8D" w14:textId="5C78F8DA" w:rsidR="00713ED0" w:rsidRPr="00713ED0" w:rsidRDefault="003F3F13" w:rsidP="00540514">
            <w:pPr>
              <w:pStyle w:val="TableTextEntries"/>
            </w:pPr>
            <w:r>
              <w:t>A</w:t>
            </w:r>
            <w:r w:rsidR="00713ED0" w:rsidRPr="00713ED0">
              <w:t>s above.</w:t>
            </w:r>
          </w:p>
        </w:tc>
      </w:tr>
      <w:tr w:rsidR="00713ED0" w:rsidRPr="00713ED0" w14:paraId="64E4DE9C"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5BB0B484"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250A14A1" w14:textId="77777777" w:rsidR="00713ED0" w:rsidRPr="00540514" w:rsidRDefault="00713ED0" w:rsidP="00540514">
            <w:pPr>
              <w:pStyle w:val="TableTextEntries"/>
            </w:pPr>
          </w:p>
        </w:tc>
        <w:tc>
          <w:tcPr>
            <w:tcW w:w="6612" w:type="dxa"/>
            <w:vMerge/>
          </w:tcPr>
          <w:p w14:paraId="0EC634D1"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670627A6" w14:textId="77777777" w:rsidTr="00540514">
        <w:trPr>
          <w:cantSplit/>
          <w:tblHeader w:val="0"/>
        </w:trPr>
        <w:tc>
          <w:tcPr>
            <w:tcW w:w="6331" w:type="dxa"/>
          </w:tcPr>
          <w:p w14:paraId="3B3CF8B7" w14:textId="77777777" w:rsidR="00713ED0" w:rsidRPr="00713ED0" w:rsidRDefault="00713ED0" w:rsidP="00540514">
            <w:pPr>
              <w:pStyle w:val="TableHeading2"/>
            </w:pPr>
            <w:r w:rsidRPr="00713ED0">
              <w:t>Decentralisation</w:t>
            </w:r>
          </w:p>
        </w:tc>
        <w:tc>
          <w:tcPr>
            <w:tcW w:w="823" w:type="dxa"/>
            <w:shd w:val="clear" w:color="auto" w:fill="FFFFFF" w:themeFill="background1"/>
          </w:tcPr>
          <w:p w14:paraId="2D1E497E" w14:textId="77777777" w:rsidR="00713ED0" w:rsidRPr="00540514" w:rsidRDefault="00713ED0" w:rsidP="00540514">
            <w:pPr>
              <w:pStyle w:val="TableTextEntries"/>
            </w:pPr>
          </w:p>
        </w:tc>
        <w:tc>
          <w:tcPr>
            <w:tcW w:w="6612" w:type="dxa"/>
          </w:tcPr>
          <w:p w14:paraId="7DF62569" w14:textId="77777777" w:rsidR="00713ED0" w:rsidRPr="00713ED0" w:rsidRDefault="00713ED0" w:rsidP="00713ED0">
            <w:pPr>
              <w:keepLines/>
              <w:spacing w:before="40" w:after="40" w:line="200" w:lineRule="atLeast"/>
              <w:rPr>
                <w:rFonts w:eastAsia="Times New Roman"/>
                <w:color w:val="F79646" w:themeColor="accent6"/>
                <w:sz w:val="17"/>
                <w:szCs w:val="17"/>
                <w:lang w:eastAsia="en-US"/>
              </w:rPr>
            </w:pPr>
          </w:p>
        </w:tc>
      </w:tr>
      <w:tr w:rsidR="00713ED0" w:rsidRPr="00713ED0" w14:paraId="73D04341"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722C0AE8" w14:textId="77777777" w:rsidR="00713ED0" w:rsidRPr="00713ED0" w:rsidRDefault="00713ED0" w:rsidP="00540514">
            <w:pPr>
              <w:pStyle w:val="TableListBullet"/>
            </w:pPr>
            <w:r w:rsidRPr="00713ED0">
              <w:t xml:space="preserve">We will continue to develop an inventory of what works well and ensure that key achievements are sustained through the involvement of communities and civil society organisations. </w:t>
            </w:r>
          </w:p>
        </w:tc>
        <w:tc>
          <w:tcPr>
            <w:tcW w:w="823" w:type="dxa"/>
            <w:shd w:val="clear" w:color="auto" w:fill="92D050"/>
          </w:tcPr>
          <w:p w14:paraId="1EAB4CEF" w14:textId="77777777" w:rsidR="00713ED0" w:rsidRPr="00540514" w:rsidRDefault="00713ED0" w:rsidP="00540514">
            <w:pPr>
              <w:pStyle w:val="TableTextEntries"/>
            </w:pPr>
            <w:r w:rsidRPr="00540514">
              <w:t>Green</w:t>
            </w:r>
          </w:p>
        </w:tc>
        <w:tc>
          <w:tcPr>
            <w:tcW w:w="6612" w:type="dxa"/>
            <w:vMerge w:val="restart"/>
          </w:tcPr>
          <w:p w14:paraId="2CB340F8" w14:textId="37E367DC" w:rsidR="00713ED0" w:rsidRPr="00713ED0" w:rsidRDefault="00713ED0" w:rsidP="00540514">
            <w:pPr>
              <w:pStyle w:val="TableTextEntries"/>
              <w:rPr>
                <w:color w:val="F79646" w:themeColor="accent6"/>
              </w:rPr>
            </w:pPr>
            <w:r w:rsidRPr="00713ED0">
              <w:t xml:space="preserve">Ongoing. </w:t>
            </w:r>
            <w:r w:rsidR="009A7C24">
              <w:t>E</w:t>
            </w:r>
            <w:r w:rsidR="009A7C24" w:rsidRPr="00713ED0">
              <w:t xml:space="preserve">vidence </w:t>
            </w:r>
            <w:r w:rsidR="009A7C24">
              <w:t xml:space="preserve">has been compiled </w:t>
            </w:r>
            <w:r w:rsidRPr="00713ED0">
              <w:t xml:space="preserve">on what works in </w:t>
            </w:r>
            <w:r w:rsidR="009A7C24">
              <w:t xml:space="preserve">the </w:t>
            </w:r>
            <w:r w:rsidR="009A7C24" w:rsidRPr="009A7C24">
              <w:t>Local Governance and Infrastructure for Communities in Aceh Program</w:t>
            </w:r>
            <w:r w:rsidR="009A7C24">
              <w:t>,</w:t>
            </w:r>
            <w:r w:rsidRPr="00713ED0">
              <w:t xml:space="preserve"> and </w:t>
            </w:r>
            <w:r w:rsidR="009A7C24">
              <w:t xml:space="preserve">the </w:t>
            </w:r>
            <w:r w:rsidR="009A7C24" w:rsidRPr="009A7C24">
              <w:t>Australia Community Development and Civil Society Strengthening Scheme</w:t>
            </w:r>
            <w:r w:rsidRPr="00713ED0">
              <w:t xml:space="preserve">, and studies on </w:t>
            </w:r>
            <w:r w:rsidR="003F3F13">
              <w:t xml:space="preserve">the </w:t>
            </w:r>
            <w:r w:rsidR="003F3F13" w:rsidRPr="003F3F13">
              <w:t>Public Expenditure Analysis and Capacity Harmonisation</w:t>
            </w:r>
            <w:r w:rsidR="009A7C24">
              <w:t>,</w:t>
            </w:r>
            <w:r w:rsidR="003F3F13" w:rsidRPr="00713ED0">
              <w:t xml:space="preserve"> </w:t>
            </w:r>
            <w:r w:rsidRPr="00713ED0">
              <w:t xml:space="preserve">and </w:t>
            </w:r>
            <w:r w:rsidR="009A7C24">
              <w:t xml:space="preserve">the </w:t>
            </w:r>
            <w:r w:rsidR="003F3F13" w:rsidRPr="003F3F13">
              <w:t xml:space="preserve">Consolidating Peaceful Development in Aceh </w:t>
            </w:r>
            <w:r w:rsidRPr="00713ED0">
              <w:t xml:space="preserve">programs are </w:t>
            </w:r>
            <w:r w:rsidR="009A7C24">
              <w:t>e</w:t>
            </w:r>
            <w:r w:rsidRPr="00713ED0">
              <w:t xml:space="preserve">xpected to be completed </w:t>
            </w:r>
            <w:r w:rsidR="009A7C24">
              <w:t xml:space="preserve">by the </w:t>
            </w:r>
            <w:r w:rsidRPr="00713ED0">
              <w:t xml:space="preserve">end </w:t>
            </w:r>
            <w:r w:rsidR="009A7C24">
              <w:t xml:space="preserve">of </w:t>
            </w:r>
            <w:r w:rsidRPr="00713ED0">
              <w:t>June.</w:t>
            </w:r>
          </w:p>
        </w:tc>
      </w:tr>
      <w:tr w:rsidR="00713ED0" w:rsidRPr="00713ED0" w14:paraId="08AFC565" w14:textId="77777777" w:rsidTr="00540514">
        <w:trPr>
          <w:cantSplit/>
          <w:tblHeader w:val="0"/>
        </w:trPr>
        <w:tc>
          <w:tcPr>
            <w:tcW w:w="6331" w:type="dxa"/>
            <w:vMerge/>
          </w:tcPr>
          <w:p w14:paraId="17B11AAA" w14:textId="77777777" w:rsidR="00713ED0" w:rsidRPr="00713ED0" w:rsidRDefault="00713ED0" w:rsidP="00540514">
            <w:pPr>
              <w:pStyle w:val="TableListBullet"/>
            </w:pPr>
          </w:p>
        </w:tc>
        <w:tc>
          <w:tcPr>
            <w:tcW w:w="823" w:type="dxa"/>
            <w:shd w:val="clear" w:color="auto" w:fill="FFFFFF" w:themeFill="background1"/>
          </w:tcPr>
          <w:p w14:paraId="00589D97" w14:textId="77777777" w:rsidR="00713ED0" w:rsidRPr="00540514" w:rsidRDefault="00713ED0" w:rsidP="00540514">
            <w:pPr>
              <w:pStyle w:val="TableTextEntries"/>
            </w:pPr>
          </w:p>
        </w:tc>
        <w:tc>
          <w:tcPr>
            <w:tcW w:w="6612" w:type="dxa"/>
            <w:vMerge/>
          </w:tcPr>
          <w:p w14:paraId="62A25550" w14:textId="77777777" w:rsidR="00713ED0" w:rsidRPr="00713ED0" w:rsidRDefault="00713ED0" w:rsidP="00540514">
            <w:pPr>
              <w:pStyle w:val="TableTextEntries"/>
            </w:pPr>
          </w:p>
        </w:tc>
      </w:tr>
      <w:tr w:rsidR="00713ED0" w:rsidRPr="00713ED0" w14:paraId="257AF8A4"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5A3461B2" w14:textId="21D39FDC" w:rsidR="00713ED0" w:rsidRPr="00713ED0" w:rsidRDefault="00713ED0" w:rsidP="00CD681B">
            <w:pPr>
              <w:pStyle w:val="TableListBullet"/>
            </w:pPr>
            <w:r w:rsidRPr="00713ED0">
              <w:t xml:space="preserve">We will work to consolidate our decentralisation programs (currently divided into six main initiatives) by streamlining those outside of </w:t>
            </w:r>
            <w:r w:rsidR="003F3F13" w:rsidRPr="003F3F13">
              <w:t>Australia</w:t>
            </w:r>
            <w:r w:rsidR="003F3F13">
              <w:t>–</w:t>
            </w:r>
            <w:r w:rsidR="003F3F13" w:rsidRPr="003F3F13">
              <w:t xml:space="preserve">Indonesia Partnership for Decentralisation </w:t>
            </w:r>
            <w:r w:rsidRPr="00713ED0">
              <w:t xml:space="preserve">into a new decentralisation policy support facility. </w:t>
            </w:r>
            <w:r w:rsidR="003F3F13" w:rsidRPr="00713ED0">
              <w:t>Th</w:t>
            </w:r>
            <w:r w:rsidR="003F3F13">
              <w:t>e</w:t>
            </w:r>
            <w:r w:rsidR="003F3F13" w:rsidRPr="00713ED0">
              <w:t>s</w:t>
            </w:r>
            <w:r w:rsidR="003F3F13">
              <w:t>e</w:t>
            </w:r>
            <w:r w:rsidR="003F3F13" w:rsidRPr="00713ED0">
              <w:t xml:space="preserve"> </w:t>
            </w:r>
            <w:r w:rsidRPr="00713ED0">
              <w:t xml:space="preserve">will be </w:t>
            </w:r>
            <w:r w:rsidR="00CD681B">
              <w:t xml:space="preserve">Australia’s </w:t>
            </w:r>
            <w:r w:rsidRPr="00713ED0">
              <w:t>main form of support to Indonesia’s second decade of decentralisation, particularly in the areas of political and administrative decentralisation.</w:t>
            </w:r>
          </w:p>
        </w:tc>
        <w:tc>
          <w:tcPr>
            <w:tcW w:w="823" w:type="dxa"/>
            <w:shd w:val="clear" w:color="auto" w:fill="F79646" w:themeFill="accent6"/>
          </w:tcPr>
          <w:p w14:paraId="2694D7BC" w14:textId="77777777" w:rsidR="00713ED0" w:rsidRPr="00540514" w:rsidRDefault="00713ED0" w:rsidP="00540514">
            <w:pPr>
              <w:pStyle w:val="TableTextEntries"/>
            </w:pPr>
            <w:r w:rsidRPr="00540514">
              <w:t>Amber</w:t>
            </w:r>
          </w:p>
        </w:tc>
        <w:tc>
          <w:tcPr>
            <w:tcW w:w="6612" w:type="dxa"/>
            <w:vMerge w:val="restart"/>
          </w:tcPr>
          <w:p w14:paraId="37251A9E" w14:textId="4EA88F84" w:rsidR="00713ED0" w:rsidRPr="00713ED0" w:rsidRDefault="00713ED0" w:rsidP="00F84D65">
            <w:pPr>
              <w:pStyle w:val="TableTextEntries"/>
              <w:rPr>
                <w:color w:val="F79646" w:themeColor="accent6"/>
              </w:rPr>
            </w:pPr>
            <w:r w:rsidRPr="00713ED0">
              <w:t xml:space="preserve">Ongoing. Pre-concept note to be discussed with </w:t>
            </w:r>
            <w:r w:rsidR="00F84D65">
              <w:t xml:space="preserve">the program’s </w:t>
            </w:r>
            <w:r w:rsidR="0088219C" w:rsidRPr="00713ED0">
              <w:t xml:space="preserve">senior management team </w:t>
            </w:r>
            <w:r w:rsidRPr="00713ED0">
              <w:t xml:space="preserve">by June 2013. </w:t>
            </w:r>
            <w:r w:rsidR="0088219C">
              <w:t>Plans to d</w:t>
            </w:r>
            <w:r w:rsidR="0088219C" w:rsidRPr="00713ED0">
              <w:t>evelop</w:t>
            </w:r>
            <w:r w:rsidRPr="00713ED0">
              <w:t xml:space="preserve"> a joint secretariat between</w:t>
            </w:r>
            <w:r w:rsidR="0088219C">
              <w:t xml:space="preserve"> Indonesia’s</w:t>
            </w:r>
            <w:r w:rsidRPr="00713ED0">
              <w:t xml:space="preserve"> three key </w:t>
            </w:r>
            <w:r w:rsidR="0088219C" w:rsidRPr="00713ED0">
              <w:t xml:space="preserve">decentralisation </w:t>
            </w:r>
            <w:r w:rsidRPr="00713ED0">
              <w:t>ministries (</w:t>
            </w:r>
            <w:r w:rsidR="0088219C">
              <w:t xml:space="preserve">the </w:t>
            </w:r>
            <w:r w:rsidR="0088219C" w:rsidRPr="0088219C">
              <w:t>National Development Planning Agency</w:t>
            </w:r>
            <w:r w:rsidRPr="00713ED0">
              <w:t xml:space="preserve">, </w:t>
            </w:r>
            <w:r w:rsidR="0088219C">
              <w:t>Ministry of Finance</w:t>
            </w:r>
            <w:r w:rsidR="0088219C" w:rsidRPr="00713ED0">
              <w:t xml:space="preserve"> </w:t>
            </w:r>
            <w:r w:rsidRPr="00713ED0">
              <w:t xml:space="preserve">and </w:t>
            </w:r>
            <w:r w:rsidR="0088219C" w:rsidRPr="0088219C">
              <w:t>Ministry of Home Affairs</w:t>
            </w:r>
            <w:r w:rsidRPr="00713ED0">
              <w:t xml:space="preserve">) </w:t>
            </w:r>
            <w:r w:rsidR="0088219C">
              <w:t>were not</w:t>
            </w:r>
            <w:r w:rsidRPr="00713ED0">
              <w:t xml:space="preserve"> </w:t>
            </w:r>
            <w:r w:rsidR="0088219C">
              <w:t>effective, and</w:t>
            </w:r>
            <w:r w:rsidR="0088219C" w:rsidRPr="00713ED0">
              <w:t xml:space="preserve"> </w:t>
            </w:r>
            <w:r w:rsidR="0088219C">
              <w:t xml:space="preserve">instead of </w:t>
            </w:r>
            <w:r w:rsidR="0088219C" w:rsidRPr="00713ED0">
              <w:t>work</w:t>
            </w:r>
            <w:r w:rsidR="0088219C">
              <w:t>ing</w:t>
            </w:r>
            <w:r w:rsidR="0088219C" w:rsidRPr="00713ED0">
              <w:t xml:space="preserve"> in tandem</w:t>
            </w:r>
            <w:r w:rsidR="0088219C">
              <w:t>,</w:t>
            </w:r>
            <w:r w:rsidR="0088219C" w:rsidRPr="00713ED0" w:rsidDel="0088219C">
              <w:t xml:space="preserve"> </w:t>
            </w:r>
            <w:r w:rsidRPr="00713ED0">
              <w:t xml:space="preserve">each ministry </w:t>
            </w:r>
            <w:r w:rsidR="0088219C">
              <w:t xml:space="preserve">is </w:t>
            </w:r>
            <w:r w:rsidRPr="00713ED0">
              <w:t>still developing separate work</w:t>
            </w:r>
            <w:r w:rsidR="0088219C">
              <w:t xml:space="preserve"> </w:t>
            </w:r>
            <w:r w:rsidRPr="00713ED0">
              <w:t xml:space="preserve">plans. The effectiveness of the secretariat will be reviewed in 2013. An inventory of key decentralisation products has been developed and will contribute to plans </w:t>
            </w:r>
            <w:r w:rsidR="0088219C">
              <w:t>to</w:t>
            </w:r>
            <w:r w:rsidR="0088219C" w:rsidRPr="00713ED0">
              <w:t xml:space="preserve"> </w:t>
            </w:r>
            <w:r w:rsidRPr="00713ED0">
              <w:t>improv</w:t>
            </w:r>
            <w:r w:rsidR="0088219C">
              <w:t xml:space="preserve">e </w:t>
            </w:r>
            <w:r w:rsidRPr="00713ED0">
              <w:t>frontline service delivery units, as the planned decentralisation policy support facility is still under concept development.</w:t>
            </w:r>
          </w:p>
        </w:tc>
      </w:tr>
      <w:tr w:rsidR="00713ED0" w:rsidRPr="00713ED0" w14:paraId="7D1D796A" w14:textId="77777777" w:rsidTr="00540514">
        <w:trPr>
          <w:cantSplit/>
          <w:tblHeader w:val="0"/>
        </w:trPr>
        <w:tc>
          <w:tcPr>
            <w:tcW w:w="6331" w:type="dxa"/>
            <w:vMerge/>
          </w:tcPr>
          <w:p w14:paraId="79A16BDD"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40B3F7A5" w14:textId="77777777" w:rsidR="00713ED0" w:rsidRPr="00540514" w:rsidRDefault="00713ED0" w:rsidP="00540514">
            <w:pPr>
              <w:pStyle w:val="TableTextEntries"/>
            </w:pPr>
          </w:p>
        </w:tc>
        <w:tc>
          <w:tcPr>
            <w:tcW w:w="6612" w:type="dxa"/>
            <w:vMerge/>
          </w:tcPr>
          <w:p w14:paraId="5330403E"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3FAA5A13"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tcPr>
          <w:p w14:paraId="6EC7D11D" w14:textId="19A036E6" w:rsidR="00713ED0" w:rsidRPr="00713ED0" w:rsidRDefault="00713ED0" w:rsidP="00540514">
            <w:pPr>
              <w:pStyle w:val="TableHeading2"/>
            </w:pPr>
            <w:r w:rsidRPr="00713ED0">
              <w:t xml:space="preserve">Governance: </w:t>
            </w:r>
            <w:r w:rsidR="009A185C">
              <w:t>b</w:t>
            </w:r>
            <w:r w:rsidRPr="00713ED0">
              <w:t>ureaucratic reform</w:t>
            </w:r>
          </w:p>
        </w:tc>
        <w:tc>
          <w:tcPr>
            <w:tcW w:w="823" w:type="dxa"/>
            <w:shd w:val="clear" w:color="auto" w:fill="FFFFFF" w:themeFill="background1"/>
          </w:tcPr>
          <w:p w14:paraId="02AE3E40" w14:textId="77777777" w:rsidR="00713ED0" w:rsidRPr="00540514" w:rsidRDefault="00713ED0" w:rsidP="00540514">
            <w:pPr>
              <w:pStyle w:val="TableTextEntries"/>
            </w:pPr>
          </w:p>
        </w:tc>
        <w:tc>
          <w:tcPr>
            <w:tcW w:w="6612" w:type="dxa"/>
          </w:tcPr>
          <w:p w14:paraId="7196C256" w14:textId="77777777" w:rsidR="00713ED0" w:rsidRPr="00713ED0" w:rsidRDefault="00713ED0" w:rsidP="00713ED0">
            <w:pPr>
              <w:keepLines/>
              <w:spacing w:before="40" w:after="40" w:line="200" w:lineRule="atLeast"/>
              <w:rPr>
                <w:rFonts w:eastAsia="Times New Roman"/>
                <w:color w:val="F79646" w:themeColor="accent6"/>
                <w:sz w:val="17"/>
                <w:szCs w:val="17"/>
                <w:lang w:eastAsia="en-US"/>
              </w:rPr>
            </w:pPr>
          </w:p>
        </w:tc>
      </w:tr>
      <w:tr w:rsidR="00713ED0" w:rsidRPr="00713ED0" w14:paraId="0ACE199E" w14:textId="77777777" w:rsidTr="00540514">
        <w:trPr>
          <w:cantSplit/>
          <w:tblHeader w:val="0"/>
        </w:trPr>
        <w:tc>
          <w:tcPr>
            <w:tcW w:w="6331" w:type="dxa"/>
            <w:vMerge w:val="restart"/>
          </w:tcPr>
          <w:p w14:paraId="054E6CFD" w14:textId="33969791" w:rsidR="00713ED0" w:rsidRPr="00713ED0" w:rsidRDefault="00F84D65" w:rsidP="00F84D65">
            <w:pPr>
              <w:pStyle w:val="TableListBullet"/>
            </w:pPr>
            <w:r>
              <w:t>DFAT</w:t>
            </w:r>
            <w:r w:rsidR="00713ED0" w:rsidRPr="00713ED0">
              <w:t xml:space="preserve"> will negotiate stronger oversight mechanisms with the Indonesian </w:t>
            </w:r>
            <w:r w:rsidR="00713ED0" w:rsidRPr="00713ED0">
              <w:lastRenderedPageBreak/>
              <w:t xml:space="preserve">Government in 2012 to help keep abreast of the government’s progress with its bureaucratic reform program. </w:t>
            </w:r>
          </w:p>
        </w:tc>
        <w:tc>
          <w:tcPr>
            <w:tcW w:w="823" w:type="dxa"/>
            <w:shd w:val="clear" w:color="auto" w:fill="F79646" w:themeFill="accent6"/>
          </w:tcPr>
          <w:p w14:paraId="2CB7D079" w14:textId="77777777" w:rsidR="00713ED0" w:rsidRPr="00540514" w:rsidRDefault="00713ED0" w:rsidP="00540514">
            <w:pPr>
              <w:pStyle w:val="TableTextEntries"/>
            </w:pPr>
            <w:r w:rsidRPr="00540514">
              <w:lastRenderedPageBreak/>
              <w:t>Amber</w:t>
            </w:r>
          </w:p>
        </w:tc>
        <w:tc>
          <w:tcPr>
            <w:tcW w:w="6612" w:type="dxa"/>
            <w:vMerge w:val="restart"/>
          </w:tcPr>
          <w:p w14:paraId="22C56C07" w14:textId="11431A89" w:rsidR="00713ED0" w:rsidRPr="00713ED0" w:rsidRDefault="00713ED0" w:rsidP="00540514">
            <w:pPr>
              <w:pStyle w:val="TableTextEntries"/>
              <w:rPr>
                <w:color w:val="F79646" w:themeColor="accent6"/>
              </w:rPr>
            </w:pPr>
            <w:r w:rsidRPr="00713ED0">
              <w:t xml:space="preserve">Ongoing. Discussion on proposed governance arrangements will be </w:t>
            </w:r>
            <w:r w:rsidR="0088219C">
              <w:t>held</w:t>
            </w:r>
            <w:r w:rsidR="0088219C" w:rsidRPr="00713ED0">
              <w:t xml:space="preserve"> </w:t>
            </w:r>
            <w:r w:rsidRPr="00713ED0">
              <w:t xml:space="preserve">with the </w:t>
            </w:r>
            <w:r w:rsidR="0088219C">
              <w:t>v</w:t>
            </w:r>
            <w:r w:rsidR="0088219C" w:rsidRPr="00713ED0">
              <w:t xml:space="preserve">ice </w:t>
            </w:r>
            <w:r w:rsidR="0088219C">
              <w:lastRenderedPageBreak/>
              <w:t>m</w:t>
            </w:r>
            <w:r w:rsidR="0088219C" w:rsidRPr="00713ED0">
              <w:t>inister</w:t>
            </w:r>
            <w:r w:rsidRPr="00713ED0">
              <w:t xml:space="preserve">, </w:t>
            </w:r>
            <w:r w:rsidR="0088219C">
              <w:t xml:space="preserve">and are </w:t>
            </w:r>
            <w:r w:rsidRPr="00713ED0">
              <w:t>expected to be completed by end of May/early June.</w:t>
            </w:r>
          </w:p>
        </w:tc>
      </w:tr>
      <w:tr w:rsidR="00713ED0" w:rsidRPr="00713ED0" w14:paraId="08316089"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1FB98A68"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2BFF809D" w14:textId="77777777" w:rsidR="00713ED0" w:rsidRPr="00540514" w:rsidRDefault="00713ED0" w:rsidP="00540514">
            <w:pPr>
              <w:pStyle w:val="TableTextEntries"/>
            </w:pPr>
          </w:p>
        </w:tc>
        <w:tc>
          <w:tcPr>
            <w:tcW w:w="6612" w:type="dxa"/>
            <w:vMerge/>
          </w:tcPr>
          <w:p w14:paraId="03F5CFCB"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564E0DB6" w14:textId="77777777" w:rsidTr="00540514">
        <w:trPr>
          <w:cantSplit/>
          <w:tblHeader w:val="0"/>
        </w:trPr>
        <w:tc>
          <w:tcPr>
            <w:tcW w:w="6331" w:type="dxa"/>
          </w:tcPr>
          <w:p w14:paraId="69512DAD" w14:textId="77777777" w:rsidR="00713ED0" w:rsidRPr="00713ED0" w:rsidRDefault="00713ED0" w:rsidP="00540514">
            <w:pPr>
              <w:pStyle w:val="TableHeading2"/>
            </w:pPr>
            <w:r w:rsidRPr="00713ED0">
              <w:lastRenderedPageBreak/>
              <w:t>Rural livelihoods and agribusiness</w:t>
            </w:r>
          </w:p>
        </w:tc>
        <w:tc>
          <w:tcPr>
            <w:tcW w:w="823" w:type="dxa"/>
            <w:shd w:val="clear" w:color="auto" w:fill="FFFFFF" w:themeFill="background1"/>
          </w:tcPr>
          <w:p w14:paraId="6A5231BE" w14:textId="77777777" w:rsidR="00713ED0" w:rsidRPr="00540514" w:rsidRDefault="00713ED0" w:rsidP="00540514">
            <w:pPr>
              <w:pStyle w:val="TableTextEntries"/>
            </w:pPr>
          </w:p>
        </w:tc>
        <w:tc>
          <w:tcPr>
            <w:tcW w:w="6612" w:type="dxa"/>
          </w:tcPr>
          <w:p w14:paraId="6E4B3570" w14:textId="77777777" w:rsidR="00713ED0" w:rsidRPr="00713ED0" w:rsidRDefault="00713ED0" w:rsidP="00713ED0">
            <w:pPr>
              <w:keepLines/>
              <w:spacing w:before="40" w:after="40" w:line="200" w:lineRule="atLeast"/>
              <w:rPr>
                <w:rFonts w:eastAsia="Times New Roman"/>
                <w:color w:val="F79646" w:themeColor="accent6"/>
                <w:sz w:val="17"/>
                <w:szCs w:val="17"/>
                <w:lang w:eastAsia="en-US"/>
              </w:rPr>
            </w:pPr>
          </w:p>
        </w:tc>
      </w:tr>
      <w:tr w:rsidR="00713ED0" w:rsidRPr="00713ED0" w14:paraId="6328A610"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0B70DB0F" w14:textId="63B21136" w:rsidR="00713ED0" w:rsidRPr="00713ED0" w:rsidRDefault="00713ED0" w:rsidP="00540514">
            <w:pPr>
              <w:pStyle w:val="TableListBullet"/>
            </w:pPr>
            <w:r w:rsidRPr="00713ED0">
              <w:t xml:space="preserve">In preparing to implement the new rural development program, a number of previous pilot activities must be analysed to inform opportunities to scale up in this sector. Preparation includes identifying the specific constraints and opportunities for agricultural growth that benefit farmers in program areas (East Java, </w:t>
            </w:r>
            <w:r w:rsidR="0088219C" w:rsidRPr="0088219C">
              <w:t xml:space="preserve">Nusa Tenggara </w:t>
            </w:r>
            <w:proofErr w:type="spellStart"/>
            <w:r w:rsidR="0088219C" w:rsidRPr="0088219C">
              <w:t>Timur</w:t>
            </w:r>
            <w:proofErr w:type="spellEnd"/>
            <w:r w:rsidRPr="00713ED0">
              <w:t xml:space="preserve">, </w:t>
            </w:r>
            <w:r w:rsidR="0088219C" w:rsidRPr="0088219C">
              <w:t>Nusa Tenggara Barat</w:t>
            </w:r>
            <w:r w:rsidRPr="00713ED0">
              <w:t>, Papua and West Papua), identifying and building national and local partnerships to assist agricultural systems development, and procuring a contractor for on-the-ground program development and implementation.</w:t>
            </w:r>
          </w:p>
        </w:tc>
        <w:tc>
          <w:tcPr>
            <w:tcW w:w="823" w:type="dxa"/>
            <w:shd w:val="clear" w:color="auto" w:fill="F79646" w:themeFill="accent6"/>
          </w:tcPr>
          <w:p w14:paraId="03907D0F" w14:textId="77777777" w:rsidR="00713ED0" w:rsidRPr="00540514" w:rsidRDefault="00713ED0" w:rsidP="00540514">
            <w:pPr>
              <w:pStyle w:val="TableTextEntries"/>
            </w:pPr>
            <w:r w:rsidRPr="00540514">
              <w:t>Amber</w:t>
            </w:r>
          </w:p>
        </w:tc>
        <w:tc>
          <w:tcPr>
            <w:tcW w:w="6612" w:type="dxa"/>
            <w:vMerge w:val="restart"/>
          </w:tcPr>
          <w:p w14:paraId="591A5B2D" w14:textId="7D1684EA" w:rsidR="00713ED0" w:rsidRPr="00713ED0" w:rsidRDefault="00713ED0" w:rsidP="00540514">
            <w:pPr>
              <w:pStyle w:val="TableTextEntries"/>
            </w:pPr>
            <w:r w:rsidRPr="00713ED0">
              <w:t>Ongoing. Most analysis completed</w:t>
            </w:r>
            <w:r w:rsidR="0088219C">
              <w:t>. F</w:t>
            </w:r>
            <w:r w:rsidRPr="00713ED0">
              <w:t xml:space="preserve">inal agreement with </w:t>
            </w:r>
            <w:r w:rsidR="000A11DD">
              <w:t>Indonesian Government</w:t>
            </w:r>
            <w:r w:rsidRPr="00713ED0">
              <w:t xml:space="preserve"> on Program’s governance arrangements expected by August 2013.</w:t>
            </w:r>
          </w:p>
        </w:tc>
      </w:tr>
      <w:tr w:rsidR="00713ED0" w:rsidRPr="00713ED0" w14:paraId="0A5C7E6E" w14:textId="77777777" w:rsidTr="00540514">
        <w:trPr>
          <w:cantSplit/>
          <w:tblHeader w:val="0"/>
        </w:trPr>
        <w:tc>
          <w:tcPr>
            <w:tcW w:w="6331" w:type="dxa"/>
            <w:vMerge/>
          </w:tcPr>
          <w:p w14:paraId="2977900D"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6ADE0D33" w14:textId="77777777" w:rsidR="00713ED0" w:rsidRPr="00540514" w:rsidRDefault="00713ED0" w:rsidP="00540514">
            <w:pPr>
              <w:pStyle w:val="TableTextEntries"/>
            </w:pPr>
          </w:p>
        </w:tc>
        <w:tc>
          <w:tcPr>
            <w:tcW w:w="6612" w:type="dxa"/>
            <w:vMerge/>
          </w:tcPr>
          <w:p w14:paraId="63AD4C7F"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208BCA04"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tcPr>
          <w:p w14:paraId="196AF0B8" w14:textId="77777777" w:rsidR="00713ED0" w:rsidRPr="00713ED0" w:rsidRDefault="00713ED0" w:rsidP="00540514">
            <w:pPr>
              <w:pStyle w:val="TableHeading2"/>
            </w:pPr>
            <w:r w:rsidRPr="00713ED0">
              <w:t>Disaster risk management</w:t>
            </w:r>
          </w:p>
        </w:tc>
        <w:tc>
          <w:tcPr>
            <w:tcW w:w="823" w:type="dxa"/>
            <w:shd w:val="clear" w:color="auto" w:fill="FFFFFF" w:themeFill="background1"/>
          </w:tcPr>
          <w:p w14:paraId="36A18382" w14:textId="77777777" w:rsidR="00713ED0" w:rsidRPr="00540514" w:rsidRDefault="00713ED0" w:rsidP="00540514">
            <w:pPr>
              <w:pStyle w:val="TableTextEntries"/>
            </w:pPr>
          </w:p>
        </w:tc>
        <w:tc>
          <w:tcPr>
            <w:tcW w:w="6612" w:type="dxa"/>
          </w:tcPr>
          <w:p w14:paraId="6D3EE2B2" w14:textId="77777777" w:rsidR="00713ED0" w:rsidRPr="00713ED0" w:rsidRDefault="00713ED0" w:rsidP="00713ED0">
            <w:pPr>
              <w:keepLines/>
              <w:spacing w:before="40" w:after="40" w:line="200" w:lineRule="atLeast"/>
              <w:rPr>
                <w:rFonts w:eastAsia="Times New Roman"/>
                <w:color w:val="F79646" w:themeColor="accent6"/>
                <w:sz w:val="17"/>
                <w:szCs w:val="17"/>
                <w:lang w:eastAsia="en-US"/>
              </w:rPr>
            </w:pPr>
          </w:p>
        </w:tc>
      </w:tr>
      <w:tr w:rsidR="00713ED0" w:rsidRPr="00713ED0" w14:paraId="23E4A1A5" w14:textId="77777777" w:rsidTr="00805D86">
        <w:trPr>
          <w:cantSplit/>
          <w:tblHeader w:val="0"/>
        </w:trPr>
        <w:tc>
          <w:tcPr>
            <w:tcW w:w="6331" w:type="dxa"/>
            <w:vMerge w:val="restart"/>
          </w:tcPr>
          <w:p w14:paraId="2DD1BEF7" w14:textId="788BE5C4" w:rsidR="00713ED0" w:rsidRPr="00713ED0" w:rsidRDefault="00713ED0" w:rsidP="00540514">
            <w:pPr>
              <w:pStyle w:val="TableListBullet"/>
            </w:pPr>
            <w:r w:rsidRPr="00713ED0">
              <w:t xml:space="preserve">The Australian and Indonesian governments agreed in January 2012 to establish an executive committee for </w:t>
            </w:r>
            <w:r w:rsidR="0088219C">
              <w:t xml:space="preserve">the </w:t>
            </w:r>
            <w:r w:rsidR="0088219C" w:rsidRPr="0088219C">
              <w:t>Australia</w:t>
            </w:r>
            <w:r w:rsidR="00B525E5">
              <w:t>–</w:t>
            </w:r>
            <w:r w:rsidR="0088219C" w:rsidRPr="0088219C">
              <w:t>Indonesia Partnership Facility for Disaster Reduction</w:t>
            </w:r>
            <w:r w:rsidR="0088219C" w:rsidRPr="00713ED0">
              <w:t xml:space="preserve"> </w:t>
            </w:r>
            <w:r w:rsidR="0088219C">
              <w:t>which would</w:t>
            </w:r>
            <w:r w:rsidR="0088219C" w:rsidRPr="00713ED0">
              <w:t xml:space="preserve"> </w:t>
            </w:r>
            <w:r w:rsidRPr="00713ED0">
              <w:t>set strategic direction for implementation and guide the design of a future disaster management program. It is expected that the first meeting will take place in June 2012.</w:t>
            </w:r>
          </w:p>
        </w:tc>
        <w:tc>
          <w:tcPr>
            <w:tcW w:w="823" w:type="dxa"/>
            <w:tcBorders>
              <w:top w:val="nil"/>
              <w:bottom w:val="nil"/>
            </w:tcBorders>
            <w:shd w:val="clear" w:color="auto" w:fill="92D050"/>
          </w:tcPr>
          <w:p w14:paraId="6297D675" w14:textId="77777777" w:rsidR="00713ED0" w:rsidRPr="00540514" w:rsidRDefault="00713ED0" w:rsidP="00540514">
            <w:pPr>
              <w:pStyle w:val="TableTextEntries"/>
            </w:pPr>
            <w:r w:rsidRPr="00540514">
              <w:t>Green</w:t>
            </w:r>
          </w:p>
        </w:tc>
        <w:tc>
          <w:tcPr>
            <w:tcW w:w="6612" w:type="dxa"/>
            <w:vMerge w:val="restart"/>
          </w:tcPr>
          <w:p w14:paraId="760B2057" w14:textId="77777777" w:rsidR="00713ED0" w:rsidRPr="00713ED0" w:rsidRDefault="00713ED0" w:rsidP="00540514">
            <w:pPr>
              <w:pStyle w:val="TableTextEntries"/>
              <w:rPr>
                <w:color w:val="F79646" w:themeColor="accent6"/>
              </w:rPr>
            </w:pPr>
            <w:r w:rsidRPr="00713ED0">
              <w:t>Completed.</w:t>
            </w:r>
          </w:p>
        </w:tc>
      </w:tr>
      <w:tr w:rsidR="00713ED0" w:rsidRPr="00713ED0" w14:paraId="2BD226E1"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1519EA1F" w14:textId="77777777" w:rsidR="00713ED0" w:rsidRPr="00713ED0" w:rsidRDefault="00713ED0" w:rsidP="00540514">
            <w:pPr>
              <w:pStyle w:val="TableListBullet"/>
            </w:pPr>
          </w:p>
        </w:tc>
        <w:tc>
          <w:tcPr>
            <w:tcW w:w="823" w:type="dxa"/>
            <w:shd w:val="clear" w:color="auto" w:fill="FFFFFF" w:themeFill="background1"/>
          </w:tcPr>
          <w:p w14:paraId="1E375D10" w14:textId="77777777" w:rsidR="00713ED0" w:rsidRPr="00540514" w:rsidRDefault="00713ED0" w:rsidP="00540514">
            <w:pPr>
              <w:pStyle w:val="TableTextEntries"/>
            </w:pPr>
          </w:p>
        </w:tc>
        <w:tc>
          <w:tcPr>
            <w:tcW w:w="6612" w:type="dxa"/>
            <w:vMerge/>
          </w:tcPr>
          <w:p w14:paraId="4CF9F253" w14:textId="77777777" w:rsidR="00713ED0" w:rsidRPr="00713ED0" w:rsidRDefault="00713ED0" w:rsidP="00540514">
            <w:pPr>
              <w:pStyle w:val="TableTextEntries"/>
            </w:pPr>
          </w:p>
        </w:tc>
      </w:tr>
      <w:tr w:rsidR="00713ED0" w:rsidRPr="00713ED0" w14:paraId="40A8B97E" w14:textId="77777777" w:rsidTr="00805D86">
        <w:trPr>
          <w:cantSplit/>
          <w:tblHeader w:val="0"/>
        </w:trPr>
        <w:tc>
          <w:tcPr>
            <w:tcW w:w="6331" w:type="dxa"/>
            <w:vMerge w:val="restart"/>
          </w:tcPr>
          <w:p w14:paraId="382A5F94" w14:textId="0DFB46AA" w:rsidR="00713ED0" w:rsidRPr="00713ED0" w:rsidRDefault="0088219C" w:rsidP="00540514">
            <w:pPr>
              <w:pStyle w:val="TableListBullet"/>
            </w:pPr>
            <w:r>
              <w:t xml:space="preserve">The </w:t>
            </w:r>
            <w:r w:rsidRPr="0088219C">
              <w:t>Australia</w:t>
            </w:r>
            <w:r w:rsidR="00B525E5">
              <w:t>–</w:t>
            </w:r>
            <w:r w:rsidRPr="0088219C">
              <w:t>Indonesia Partnership Facility for Disaster Reduction</w:t>
            </w:r>
            <w:r w:rsidRPr="00713ED0">
              <w:t xml:space="preserve"> </w:t>
            </w:r>
            <w:r w:rsidR="00713ED0" w:rsidRPr="00713ED0">
              <w:t xml:space="preserve">will draft a sub-national development strategy to present to the executive committee in August 2012. This will focus </w:t>
            </w:r>
            <w:r>
              <w:t>the partnership</w:t>
            </w:r>
            <w:r w:rsidRPr="00713ED0">
              <w:t xml:space="preserve"> </w:t>
            </w:r>
            <w:r w:rsidR="00713ED0" w:rsidRPr="00713ED0">
              <w:t>at the sub-national level on capacity development, gender and social inclusion, and consolidation of existing portfolio activities, and will guide future activities.</w:t>
            </w:r>
          </w:p>
        </w:tc>
        <w:tc>
          <w:tcPr>
            <w:tcW w:w="823" w:type="dxa"/>
            <w:tcBorders>
              <w:top w:val="nil"/>
              <w:bottom w:val="nil"/>
            </w:tcBorders>
            <w:shd w:val="clear" w:color="auto" w:fill="92D050"/>
          </w:tcPr>
          <w:p w14:paraId="4CA18270" w14:textId="77777777" w:rsidR="00713ED0" w:rsidRPr="00540514" w:rsidRDefault="00713ED0" w:rsidP="00540514">
            <w:pPr>
              <w:pStyle w:val="TableTextEntries"/>
            </w:pPr>
            <w:r w:rsidRPr="00540514">
              <w:t>Green</w:t>
            </w:r>
          </w:p>
        </w:tc>
        <w:tc>
          <w:tcPr>
            <w:tcW w:w="6612" w:type="dxa"/>
            <w:vMerge w:val="restart"/>
          </w:tcPr>
          <w:p w14:paraId="6B15DC13" w14:textId="77777777" w:rsidR="00713ED0" w:rsidRPr="00713ED0" w:rsidRDefault="00713ED0" w:rsidP="00540514">
            <w:pPr>
              <w:pStyle w:val="TableTextEntries"/>
              <w:rPr>
                <w:color w:val="F79646" w:themeColor="accent6"/>
              </w:rPr>
            </w:pPr>
            <w:r w:rsidRPr="00713ED0">
              <w:t>Completed.</w:t>
            </w:r>
          </w:p>
        </w:tc>
      </w:tr>
      <w:tr w:rsidR="00713ED0" w:rsidRPr="00713ED0" w14:paraId="06E8B08D"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23E0E287" w14:textId="77777777" w:rsidR="00713ED0" w:rsidRPr="00713ED0" w:rsidRDefault="00713ED0" w:rsidP="00540514">
            <w:pPr>
              <w:pStyle w:val="TableListBullet"/>
            </w:pPr>
          </w:p>
        </w:tc>
        <w:tc>
          <w:tcPr>
            <w:tcW w:w="823" w:type="dxa"/>
            <w:shd w:val="clear" w:color="auto" w:fill="FFFFFF" w:themeFill="background1"/>
          </w:tcPr>
          <w:p w14:paraId="055F2106" w14:textId="77777777" w:rsidR="00713ED0" w:rsidRPr="00540514" w:rsidRDefault="00713ED0" w:rsidP="00540514">
            <w:pPr>
              <w:pStyle w:val="TableTextEntries"/>
            </w:pPr>
          </w:p>
        </w:tc>
        <w:tc>
          <w:tcPr>
            <w:tcW w:w="6612" w:type="dxa"/>
            <w:vMerge/>
          </w:tcPr>
          <w:p w14:paraId="2D829DB3" w14:textId="77777777" w:rsidR="00713ED0" w:rsidRPr="00713ED0" w:rsidRDefault="00713ED0" w:rsidP="00540514">
            <w:pPr>
              <w:pStyle w:val="TableTextEntries"/>
            </w:pPr>
          </w:p>
        </w:tc>
      </w:tr>
      <w:tr w:rsidR="00713ED0" w:rsidRPr="00713ED0" w14:paraId="09A15FBF" w14:textId="77777777" w:rsidTr="00805D86">
        <w:trPr>
          <w:cantSplit/>
          <w:tblHeader w:val="0"/>
        </w:trPr>
        <w:tc>
          <w:tcPr>
            <w:tcW w:w="6331" w:type="dxa"/>
            <w:vMerge w:val="restart"/>
          </w:tcPr>
          <w:p w14:paraId="27C9C081" w14:textId="5C896B60" w:rsidR="00713ED0" w:rsidRPr="00713ED0" w:rsidRDefault="0088219C" w:rsidP="00540514">
            <w:pPr>
              <w:pStyle w:val="TableListBullet"/>
            </w:pPr>
            <w:r>
              <w:t xml:space="preserve">The </w:t>
            </w:r>
            <w:r w:rsidRPr="0088219C">
              <w:t>Australia</w:t>
            </w:r>
            <w:r w:rsidR="00B525E5">
              <w:t>–</w:t>
            </w:r>
            <w:r w:rsidRPr="0088219C">
              <w:t>Indonesia Partnership Facility for Disaster Reduction</w:t>
            </w:r>
            <w:r w:rsidRPr="00713ED0">
              <w:t xml:space="preserve"> </w:t>
            </w:r>
            <w:r w:rsidR="00713ED0" w:rsidRPr="00713ED0">
              <w:t xml:space="preserve">commenced a capacity development support program within </w:t>
            </w:r>
            <w:r>
              <w:t xml:space="preserve">Indonesia’s </w:t>
            </w:r>
            <w:r w:rsidRPr="0088219C">
              <w:t xml:space="preserve">National Coordinating Agency for Disaster </w:t>
            </w:r>
            <w:r w:rsidR="00713ED0" w:rsidRPr="00713ED0">
              <w:t xml:space="preserve">in late 2011, </w:t>
            </w:r>
            <w:r>
              <w:t>and</w:t>
            </w:r>
            <w:r w:rsidR="00713ED0" w:rsidRPr="00713ED0">
              <w:t xml:space="preserve"> recruit</w:t>
            </w:r>
            <w:r>
              <w:t xml:space="preserve">ed </w:t>
            </w:r>
            <w:r w:rsidR="00713ED0" w:rsidRPr="00713ED0">
              <w:t xml:space="preserve">18 specialist Indonesian advisors to work within </w:t>
            </w:r>
            <w:r>
              <w:t>the agency</w:t>
            </w:r>
            <w:r w:rsidRPr="00713ED0">
              <w:t xml:space="preserve"> </w:t>
            </w:r>
            <w:r w:rsidR="00713ED0" w:rsidRPr="00713ED0">
              <w:t xml:space="preserve">to build technical and institutional capacity. Through the executive committee, </w:t>
            </w:r>
            <w:r>
              <w:t xml:space="preserve">the </w:t>
            </w:r>
            <w:r w:rsidRPr="0088219C">
              <w:t>Australia</w:t>
            </w:r>
            <w:r>
              <w:t>–</w:t>
            </w:r>
            <w:r w:rsidRPr="0088219C">
              <w:t>Indonesia Partnership Facility for Disaster Reduction</w:t>
            </w:r>
            <w:r w:rsidRPr="00713ED0">
              <w:t xml:space="preserve"> </w:t>
            </w:r>
            <w:r w:rsidR="00713ED0" w:rsidRPr="00713ED0">
              <w:t>will further propose an institutional strengthening framework.</w:t>
            </w:r>
          </w:p>
        </w:tc>
        <w:tc>
          <w:tcPr>
            <w:tcW w:w="823" w:type="dxa"/>
            <w:tcBorders>
              <w:top w:val="nil"/>
              <w:bottom w:val="nil"/>
            </w:tcBorders>
            <w:shd w:val="clear" w:color="auto" w:fill="92D050"/>
          </w:tcPr>
          <w:p w14:paraId="01EADFF2" w14:textId="77777777" w:rsidR="00713ED0" w:rsidRPr="00540514" w:rsidRDefault="00713ED0" w:rsidP="00540514">
            <w:pPr>
              <w:pStyle w:val="TableTextEntries"/>
            </w:pPr>
            <w:r w:rsidRPr="00540514">
              <w:t>Green</w:t>
            </w:r>
          </w:p>
        </w:tc>
        <w:tc>
          <w:tcPr>
            <w:tcW w:w="6612" w:type="dxa"/>
            <w:vMerge w:val="restart"/>
          </w:tcPr>
          <w:p w14:paraId="2A9DFA8B" w14:textId="77777777" w:rsidR="00713ED0" w:rsidRPr="00713ED0" w:rsidRDefault="00713ED0" w:rsidP="00540514">
            <w:pPr>
              <w:pStyle w:val="TableTextEntries"/>
              <w:rPr>
                <w:color w:val="F79646" w:themeColor="accent6"/>
              </w:rPr>
            </w:pPr>
            <w:r w:rsidRPr="00713ED0">
              <w:t>Completed.</w:t>
            </w:r>
          </w:p>
        </w:tc>
      </w:tr>
      <w:tr w:rsidR="00713ED0" w:rsidRPr="00713ED0" w14:paraId="6EC6E7A4"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0EE2E42D" w14:textId="77777777" w:rsidR="00713ED0" w:rsidRPr="00713ED0" w:rsidRDefault="00713ED0" w:rsidP="00540514">
            <w:pPr>
              <w:pStyle w:val="TableListBullet"/>
            </w:pPr>
          </w:p>
        </w:tc>
        <w:tc>
          <w:tcPr>
            <w:tcW w:w="823" w:type="dxa"/>
            <w:shd w:val="clear" w:color="auto" w:fill="FFFFFF" w:themeFill="background1"/>
          </w:tcPr>
          <w:p w14:paraId="31585842" w14:textId="77777777" w:rsidR="00713ED0" w:rsidRPr="00540514" w:rsidRDefault="00713ED0" w:rsidP="00540514">
            <w:pPr>
              <w:pStyle w:val="TableTextEntries"/>
            </w:pPr>
          </w:p>
        </w:tc>
        <w:tc>
          <w:tcPr>
            <w:tcW w:w="6612" w:type="dxa"/>
            <w:vMerge/>
          </w:tcPr>
          <w:p w14:paraId="253EA183" w14:textId="77777777" w:rsidR="00713ED0" w:rsidRPr="00713ED0" w:rsidRDefault="00713ED0" w:rsidP="00540514">
            <w:pPr>
              <w:pStyle w:val="TableTextEntries"/>
            </w:pPr>
          </w:p>
        </w:tc>
      </w:tr>
      <w:tr w:rsidR="00713ED0" w:rsidRPr="00713ED0" w14:paraId="4349C3A1" w14:textId="77777777" w:rsidTr="00805D86">
        <w:trPr>
          <w:cantSplit/>
          <w:tblHeader w:val="0"/>
        </w:trPr>
        <w:tc>
          <w:tcPr>
            <w:tcW w:w="6331" w:type="dxa"/>
            <w:vMerge w:val="restart"/>
          </w:tcPr>
          <w:p w14:paraId="5FB1829A" w14:textId="58CD5459" w:rsidR="00713ED0" w:rsidRPr="00713ED0" w:rsidRDefault="00713ED0" w:rsidP="0020745B">
            <w:pPr>
              <w:pStyle w:val="TableListBullet"/>
            </w:pPr>
            <w:r w:rsidRPr="00713ED0">
              <w:t xml:space="preserve">Following discussion with </w:t>
            </w:r>
            <w:r w:rsidR="0088219C">
              <w:t xml:space="preserve">Indonesia’s </w:t>
            </w:r>
            <w:r w:rsidR="0088219C" w:rsidRPr="0088219C">
              <w:t>National Coordinating Agency for Disaster</w:t>
            </w:r>
            <w:r w:rsidR="0088219C" w:rsidRPr="00713ED0" w:rsidDel="0088219C">
              <w:t xml:space="preserve"> </w:t>
            </w:r>
            <w:r w:rsidRPr="00713ED0">
              <w:t xml:space="preserve">in late 2011, </w:t>
            </w:r>
            <w:r w:rsidR="0020745B">
              <w:t>a</w:t>
            </w:r>
            <w:r w:rsidRPr="00713ED0">
              <w:t xml:space="preserve"> concept note for a</w:t>
            </w:r>
            <w:r w:rsidR="0088219C">
              <w:t xml:space="preserve"> </w:t>
            </w:r>
            <w:r w:rsidRPr="00713ED0">
              <w:t xml:space="preserve">disaster management </w:t>
            </w:r>
            <w:r w:rsidR="0088219C" w:rsidRPr="00713ED0">
              <w:t xml:space="preserve">partnership </w:t>
            </w:r>
            <w:r w:rsidR="00F84D65">
              <w:t xml:space="preserve">was drafted for when </w:t>
            </w:r>
            <w:r w:rsidR="0088219C">
              <w:t xml:space="preserve">the </w:t>
            </w:r>
            <w:r w:rsidR="0088219C" w:rsidRPr="0088219C">
              <w:t>Australia</w:t>
            </w:r>
            <w:r w:rsidR="0088219C">
              <w:t>–</w:t>
            </w:r>
            <w:r w:rsidR="0088219C" w:rsidRPr="0088219C">
              <w:t>Indonesia Partnership Facility for Disaster Reduction</w:t>
            </w:r>
            <w:r w:rsidR="0088219C" w:rsidRPr="00713ED0">
              <w:t xml:space="preserve"> </w:t>
            </w:r>
            <w:r w:rsidR="0088219C">
              <w:t>concludes</w:t>
            </w:r>
            <w:r w:rsidRPr="00713ED0">
              <w:t xml:space="preserve"> in June 2013. This concept note will be presented to the executive committee in mid-2012 for consideration.</w:t>
            </w:r>
          </w:p>
        </w:tc>
        <w:tc>
          <w:tcPr>
            <w:tcW w:w="823" w:type="dxa"/>
            <w:tcBorders>
              <w:top w:val="nil"/>
              <w:bottom w:val="nil"/>
            </w:tcBorders>
            <w:shd w:val="clear" w:color="auto" w:fill="92D050"/>
          </w:tcPr>
          <w:p w14:paraId="37EC29E2" w14:textId="77777777" w:rsidR="00713ED0" w:rsidRPr="00540514" w:rsidRDefault="00713ED0" w:rsidP="00540514">
            <w:pPr>
              <w:pStyle w:val="TableTextEntries"/>
            </w:pPr>
            <w:r w:rsidRPr="00540514">
              <w:t>Green</w:t>
            </w:r>
          </w:p>
        </w:tc>
        <w:tc>
          <w:tcPr>
            <w:tcW w:w="6612" w:type="dxa"/>
            <w:vMerge w:val="restart"/>
          </w:tcPr>
          <w:p w14:paraId="7A0F9811" w14:textId="77777777" w:rsidR="00713ED0" w:rsidRPr="00713ED0" w:rsidRDefault="00713ED0" w:rsidP="00540514">
            <w:pPr>
              <w:pStyle w:val="TableTextEntries"/>
              <w:rPr>
                <w:color w:val="F79646" w:themeColor="accent6"/>
              </w:rPr>
            </w:pPr>
            <w:r w:rsidRPr="00713ED0">
              <w:t>Completed.</w:t>
            </w:r>
          </w:p>
        </w:tc>
      </w:tr>
      <w:tr w:rsidR="00713ED0" w:rsidRPr="00713ED0" w14:paraId="53348F67"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7FE2D046"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3B5D1700" w14:textId="77777777" w:rsidR="00713ED0" w:rsidRPr="00540514" w:rsidRDefault="00713ED0" w:rsidP="00540514">
            <w:pPr>
              <w:pStyle w:val="TableTextEntries"/>
            </w:pPr>
          </w:p>
        </w:tc>
        <w:tc>
          <w:tcPr>
            <w:tcW w:w="6612" w:type="dxa"/>
            <w:vMerge/>
          </w:tcPr>
          <w:p w14:paraId="7D48215B"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5FE170DA" w14:textId="77777777" w:rsidTr="00540514">
        <w:trPr>
          <w:cantSplit/>
          <w:tblHeader w:val="0"/>
        </w:trPr>
        <w:tc>
          <w:tcPr>
            <w:tcW w:w="6331" w:type="dxa"/>
          </w:tcPr>
          <w:p w14:paraId="226E3943" w14:textId="77777777" w:rsidR="00713ED0" w:rsidRPr="00713ED0" w:rsidRDefault="00713ED0" w:rsidP="00540514">
            <w:pPr>
              <w:pStyle w:val="TableHeading2"/>
            </w:pPr>
            <w:r w:rsidRPr="00713ED0">
              <w:t>Climate change</w:t>
            </w:r>
          </w:p>
        </w:tc>
        <w:tc>
          <w:tcPr>
            <w:tcW w:w="823" w:type="dxa"/>
            <w:shd w:val="clear" w:color="auto" w:fill="FFFFFF" w:themeFill="background1"/>
          </w:tcPr>
          <w:p w14:paraId="799786D1" w14:textId="77777777" w:rsidR="00713ED0" w:rsidRPr="00540514" w:rsidRDefault="00713ED0" w:rsidP="00540514">
            <w:pPr>
              <w:pStyle w:val="TableTextEntries"/>
            </w:pPr>
          </w:p>
        </w:tc>
        <w:tc>
          <w:tcPr>
            <w:tcW w:w="6612" w:type="dxa"/>
          </w:tcPr>
          <w:p w14:paraId="451C0B11" w14:textId="77777777" w:rsidR="00713ED0" w:rsidRPr="00713ED0" w:rsidRDefault="00713ED0" w:rsidP="00713ED0">
            <w:pPr>
              <w:keepLines/>
              <w:spacing w:before="40" w:after="40" w:line="200" w:lineRule="atLeast"/>
              <w:rPr>
                <w:rFonts w:eastAsia="Times New Roman"/>
                <w:color w:val="F79646" w:themeColor="accent6"/>
                <w:sz w:val="17"/>
                <w:szCs w:val="17"/>
                <w:lang w:eastAsia="en-US"/>
              </w:rPr>
            </w:pPr>
          </w:p>
        </w:tc>
      </w:tr>
      <w:tr w:rsidR="00713ED0" w:rsidRPr="00713ED0" w14:paraId="30C14F44" w14:textId="77777777" w:rsidTr="00805D86">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66B347B0" w14:textId="265B59E9" w:rsidR="00713ED0" w:rsidRPr="00713ED0" w:rsidRDefault="00713ED0" w:rsidP="00540514">
            <w:pPr>
              <w:pStyle w:val="TableListBullet"/>
            </w:pPr>
            <w:r w:rsidRPr="00713ED0">
              <w:t>The future of both elements of the program (</w:t>
            </w:r>
            <w:r w:rsidR="0088219C">
              <w:t xml:space="preserve">the </w:t>
            </w:r>
            <w:r w:rsidR="0088219C" w:rsidRPr="0088219C">
              <w:rPr>
                <w:lang w:val="en-US"/>
              </w:rPr>
              <w:t xml:space="preserve">Kalimantan Forests and Climate </w:t>
            </w:r>
            <w:r w:rsidR="0088219C" w:rsidRPr="0088219C">
              <w:rPr>
                <w:lang w:val="en-US"/>
              </w:rPr>
              <w:lastRenderedPageBreak/>
              <w:t>Partnership</w:t>
            </w:r>
            <w:r w:rsidR="0088219C" w:rsidRPr="00713ED0">
              <w:t xml:space="preserve"> </w:t>
            </w:r>
            <w:r w:rsidRPr="00713ED0">
              <w:t xml:space="preserve">and </w:t>
            </w:r>
            <w:r w:rsidR="0088219C" w:rsidRPr="00D67028">
              <w:rPr>
                <w:iCs/>
                <w:lang w:val="en-US"/>
              </w:rPr>
              <w:t>Indonesia</w:t>
            </w:r>
            <w:r w:rsidR="0088219C" w:rsidRPr="0088219C">
              <w:rPr>
                <w:lang w:val="en-US"/>
              </w:rPr>
              <w:t xml:space="preserve"> National Carbon Accounting System</w:t>
            </w:r>
            <w:r w:rsidRPr="00713ED0">
              <w:t xml:space="preserve">) will need to be resolved through consultations on the program extension in the coming 12 months. </w:t>
            </w:r>
          </w:p>
        </w:tc>
        <w:tc>
          <w:tcPr>
            <w:tcW w:w="823" w:type="dxa"/>
            <w:shd w:val="clear" w:color="auto" w:fill="92D050"/>
          </w:tcPr>
          <w:p w14:paraId="06D22BBE" w14:textId="77777777" w:rsidR="00713ED0" w:rsidRPr="00540514" w:rsidRDefault="00D52DCA" w:rsidP="00540514">
            <w:pPr>
              <w:pStyle w:val="TableTextEntries"/>
            </w:pPr>
            <w:r w:rsidRPr="00540514">
              <w:lastRenderedPageBreak/>
              <w:t>Green</w:t>
            </w:r>
          </w:p>
        </w:tc>
        <w:tc>
          <w:tcPr>
            <w:tcW w:w="6612" w:type="dxa"/>
            <w:vMerge w:val="restart"/>
          </w:tcPr>
          <w:p w14:paraId="47E4D4B7" w14:textId="77777777" w:rsidR="00713ED0" w:rsidRPr="00713ED0" w:rsidRDefault="00D52DCA" w:rsidP="00540514">
            <w:pPr>
              <w:pStyle w:val="TableTextEntries"/>
            </w:pPr>
            <w:r>
              <w:t>Completed</w:t>
            </w:r>
          </w:p>
        </w:tc>
      </w:tr>
      <w:tr w:rsidR="00713ED0" w:rsidRPr="00713ED0" w14:paraId="0BC09701" w14:textId="77777777" w:rsidTr="00540514">
        <w:trPr>
          <w:cantSplit/>
          <w:tblHeader w:val="0"/>
        </w:trPr>
        <w:tc>
          <w:tcPr>
            <w:tcW w:w="6331" w:type="dxa"/>
            <w:vMerge/>
          </w:tcPr>
          <w:p w14:paraId="030AB4EE" w14:textId="77777777" w:rsidR="00713ED0" w:rsidRPr="00713ED0" w:rsidRDefault="00713ED0" w:rsidP="00540514">
            <w:pPr>
              <w:pStyle w:val="TableListBullet"/>
            </w:pPr>
          </w:p>
        </w:tc>
        <w:tc>
          <w:tcPr>
            <w:tcW w:w="823" w:type="dxa"/>
            <w:shd w:val="clear" w:color="auto" w:fill="FFFFFF" w:themeFill="background1"/>
          </w:tcPr>
          <w:p w14:paraId="4CCBBE0A" w14:textId="77777777" w:rsidR="00713ED0" w:rsidRPr="00540514" w:rsidRDefault="00713ED0" w:rsidP="00540514">
            <w:pPr>
              <w:pStyle w:val="TableTextEntries"/>
            </w:pPr>
          </w:p>
        </w:tc>
        <w:tc>
          <w:tcPr>
            <w:tcW w:w="6612" w:type="dxa"/>
            <w:vMerge/>
          </w:tcPr>
          <w:p w14:paraId="3F466C96" w14:textId="77777777" w:rsidR="00713ED0" w:rsidRPr="00713ED0" w:rsidRDefault="00713ED0" w:rsidP="00540514">
            <w:pPr>
              <w:pStyle w:val="TableTextEntries"/>
            </w:pPr>
          </w:p>
        </w:tc>
      </w:tr>
      <w:tr w:rsidR="00713ED0" w:rsidRPr="00713ED0" w14:paraId="2DACF6AD"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val="restart"/>
          </w:tcPr>
          <w:p w14:paraId="766DB30A" w14:textId="77777777" w:rsidR="00713ED0" w:rsidRPr="00713ED0" w:rsidRDefault="00713ED0" w:rsidP="00540514">
            <w:pPr>
              <w:pStyle w:val="TableListBullet"/>
            </w:pPr>
            <w:r w:rsidRPr="00713ED0">
              <w:lastRenderedPageBreak/>
              <w:t>With the current portfolio of small-scale programs in adaptation coming to an end in 2011 and early 2012, the focus for the next year will be on developing a longer-term approach to adaptation which can help Indonesia deliver scalable results.</w:t>
            </w:r>
          </w:p>
        </w:tc>
        <w:tc>
          <w:tcPr>
            <w:tcW w:w="823" w:type="dxa"/>
            <w:shd w:val="clear" w:color="auto" w:fill="F79646" w:themeFill="accent6"/>
          </w:tcPr>
          <w:p w14:paraId="697A70E1" w14:textId="77777777" w:rsidR="00713ED0" w:rsidRPr="00540514" w:rsidRDefault="00713ED0" w:rsidP="00540514">
            <w:pPr>
              <w:pStyle w:val="TableTextEntries"/>
            </w:pPr>
            <w:r w:rsidRPr="00540514">
              <w:t>Amber</w:t>
            </w:r>
          </w:p>
        </w:tc>
        <w:tc>
          <w:tcPr>
            <w:tcW w:w="6612" w:type="dxa"/>
            <w:vMerge w:val="restart"/>
          </w:tcPr>
          <w:p w14:paraId="19495776" w14:textId="466F9A25" w:rsidR="00713ED0" w:rsidRPr="00713ED0" w:rsidRDefault="00713ED0" w:rsidP="00540514">
            <w:pPr>
              <w:pStyle w:val="TableTextEntries"/>
            </w:pPr>
            <w:r w:rsidRPr="00713ED0">
              <w:t xml:space="preserve">Scoping work </w:t>
            </w:r>
            <w:r w:rsidR="00D52DCA">
              <w:t>was undertaken in 2012</w:t>
            </w:r>
            <w:r w:rsidR="0088219C">
              <w:t>–</w:t>
            </w:r>
            <w:r w:rsidR="00D52DCA">
              <w:t>13 however further efforts have been postponed to 2014.</w:t>
            </w:r>
            <w:r w:rsidR="00B525E5">
              <w:t xml:space="preserve"> </w:t>
            </w:r>
          </w:p>
        </w:tc>
      </w:tr>
      <w:tr w:rsidR="00713ED0" w:rsidRPr="00713ED0" w14:paraId="4D92ABB3" w14:textId="77777777" w:rsidTr="00540514">
        <w:trPr>
          <w:cantSplit/>
          <w:tblHeader w:val="0"/>
        </w:trPr>
        <w:tc>
          <w:tcPr>
            <w:tcW w:w="6331" w:type="dxa"/>
            <w:vMerge/>
          </w:tcPr>
          <w:p w14:paraId="5F801626"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4FDE9EB3" w14:textId="77777777" w:rsidR="00713ED0" w:rsidRPr="00540514" w:rsidRDefault="00713ED0" w:rsidP="00540514">
            <w:pPr>
              <w:pStyle w:val="TableTextEntries"/>
            </w:pPr>
          </w:p>
        </w:tc>
        <w:tc>
          <w:tcPr>
            <w:tcW w:w="6612" w:type="dxa"/>
            <w:vMerge/>
          </w:tcPr>
          <w:p w14:paraId="2A7B0C46"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60E474C2"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tcPr>
          <w:p w14:paraId="0ED1DCCE" w14:textId="3266D77E" w:rsidR="00713ED0" w:rsidRPr="00713ED0" w:rsidRDefault="00713ED0" w:rsidP="00540514">
            <w:pPr>
              <w:pStyle w:val="TableHeading2"/>
            </w:pPr>
            <w:r w:rsidRPr="00713ED0">
              <w:t>Scholarship</w:t>
            </w:r>
            <w:r w:rsidR="009A185C">
              <w:t>s</w:t>
            </w:r>
          </w:p>
        </w:tc>
        <w:tc>
          <w:tcPr>
            <w:tcW w:w="823" w:type="dxa"/>
            <w:shd w:val="clear" w:color="auto" w:fill="FFFFFF" w:themeFill="background1"/>
          </w:tcPr>
          <w:p w14:paraId="24107818" w14:textId="77777777" w:rsidR="00713ED0" w:rsidRPr="00540514" w:rsidRDefault="00713ED0" w:rsidP="00540514">
            <w:pPr>
              <w:pStyle w:val="TableTextEntries"/>
            </w:pPr>
          </w:p>
        </w:tc>
        <w:tc>
          <w:tcPr>
            <w:tcW w:w="6612" w:type="dxa"/>
          </w:tcPr>
          <w:p w14:paraId="26DBFF78" w14:textId="77777777" w:rsidR="00713ED0" w:rsidRPr="00713ED0" w:rsidRDefault="00713ED0" w:rsidP="00713ED0">
            <w:pPr>
              <w:keepLines/>
              <w:spacing w:before="40" w:after="40" w:line="200" w:lineRule="atLeast"/>
              <w:rPr>
                <w:rFonts w:eastAsia="Times New Roman"/>
                <w:color w:val="F79646" w:themeColor="accent6"/>
                <w:sz w:val="17"/>
                <w:szCs w:val="17"/>
                <w:lang w:eastAsia="en-US"/>
              </w:rPr>
            </w:pPr>
          </w:p>
        </w:tc>
      </w:tr>
      <w:tr w:rsidR="00713ED0" w:rsidRPr="00713ED0" w14:paraId="0FE6113E" w14:textId="77777777" w:rsidTr="00805D86">
        <w:trPr>
          <w:cantSplit/>
          <w:tblHeader w:val="0"/>
        </w:trPr>
        <w:tc>
          <w:tcPr>
            <w:tcW w:w="6331" w:type="dxa"/>
            <w:vMerge w:val="restart"/>
          </w:tcPr>
          <w:p w14:paraId="37603255" w14:textId="48EAADFB" w:rsidR="00713ED0" w:rsidRPr="00713ED0" w:rsidRDefault="00F84D65" w:rsidP="00F84D65">
            <w:pPr>
              <w:pStyle w:val="TableListBullet"/>
            </w:pPr>
            <w:r>
              <w:t>A</w:t>
            </w:r>
            <w:r w:rsidR="00713ED0" w:rsidRPr="00713ED0">
              <w:t xml:space="preserve"> design refresh </w:t>
            </w:r>
            <w:r>
              <w:t xml:space="preserve">was conducted </w:t>
            </w:r>
            <w:r w:rsidR="00713ED0" w:rsidRPr="00713ED0">
              <w:t xml:space="preserve">and </w:t>
            </w:r>
            <w:r w:rsidR="0088219C">
              <w:t>p</w:t>
            </w:r>
            <w:r w:rsidR="0088219C" w:rsidRPr="00713ED0">
              <w:t xml:space="preserve">hase </w:t>
            </w:r>
            <w:r w:rsidR="00713ED0" w:rsidRPr="00713ED0">
              <w:t>III implementation</w:t>
            </w:r>
            <w:r>
              <w:t xml:space="preserve"> continued</w:t>
            </w:r>
            <w:r w:rsidR="00713ED0" w:rsidRPr="00713ED0">
              <w:t>, pending more substantial design work to inform the next phase.</w:t>
            </w:r>
          </w:p>
        </w:tc>
        <w:tc>
          <w:tcPr>
            <w:tcW w:w="823" w:type="dxa"/>
            <w:tcBorders>
              <w:top w:val="nil"/>
              <w:bottom w:val="nil"/>
            </w:tcBorders>
            <w:shd w:val="clear" w:color="auto" w:fill="92D050"/>
          </w:tcPr>
          <w:p w14:paraId="0077CA63" w14:textId="77777777" w:rsidR="00713ED0" w:rsidRPr="00540514" w:rsidRDefault="00713ED0" w:rsidP="00540514">
            <w:pPr>
              <w:pStyle w:val="TableTextEntries"/>
            </w:pPr>
            <w:r w:rsidRPr="00540514">
              <w:t>Green</w:t>
            </w:r>
          </w:p>
        </w:tc>
        <w:tc>
          <w:tcPr>
            <w:tcW w:w="6612" w:type="dxa"/>
            <w:vMerge w:val="restart"/>
          </w:tcPr>
          <w:p w14:paraId="0E9BF3D6" w14:textId="0B662D90" w:rsidR="00713ED0" w:rsidRPr="00713ED0" w:rsidRDefault="00713ED0" w:rsidP="00540514">
            <w:pPr>
              <w:pStyle w:val="TableTextEntries"/>
              <w:rPr>
                <w:color w:val="F79646" w:themeColor="accent6"/>
              </w:rPr>
            </w:pPr>
            <w:r w:rsidRPr="00713ED0">
              <w:t>Completed</w:t>
            </w:r>
            <w:r w:rsidR="0088219C">
              <w:t>.</w:t>
            </w:r>
          </w:p>
        </w:tc>
      </w:tr>
      <w:tr w:rsidR="00713ED0" w:rsidRPr="00713ED0" w14:paraId="0369454E"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083034DB" w14:textId="77777777" w:rsidR="00713ED0" w:rsidRPr="00713ED0" w:rsidRDefault="00713ED0" w:rsidP="00540514">
            <w:pPr>
              <w:pStyle w:val="TableListBullet"/>
            </w:pPr>
          </w:p>
        </w:tc>
        <w:tc>
          <w:tcPr>
            <w:tcW w:w="823" w:type="dxa"/>
            <w:shd w:val="clear" w:color="auto" w:fill="FFFFFF" w:themeFill="background1"/>
          </w:tcPr>
          <w:p w14:paraId="3C686FAB" w14:textId="77777777" w:rsidR="00713ED0" w:rsidRPr="00540514" w:rsidRDefault="00713ED0" w:rsidP="00540514">
            <w:pPr>
              <w:pStyle w:val="TableTextEntries"/>
            </w:pPr>
          </w:p>
        </w:tc>
        <w:tc>
          <w:tcPr>
            <w:tcW w:w="6612" w:type="dxa"/>
            <w:vMerge/>
          </w:tcPr>
          <w:p w14:paraId="0D90B480" w14:textId="77777777" w:rsidR="00713ED0" w:rsidRPr="00713ED0" w:rsidRDefault="00713ED0" w:rsidP="00540514">
            <w:pPr>
              <w:pStyle w:val="TableTextEntries"/>
            </w:pPr>
          </w:p>
        </w:tc>
      </w:tr>
      <w:tr w:rsidR="00713ED0" w:rsidRPr="00713ED0" w14:paraId="3506738E" w14:textId="77777777" w:rsidTr="00805D86">
        <w:trPr>
          <w:cantSplit/>
          <w:tblHeader w:val="0"/>
        </w:trPr>
        <w:tc>
          <w:tcPr>
            <w:tcW w:w="6331" w:type="dxa"/>
            <w:vMerge w:val="restart"/>
          </w:tcPr>
          <w:p w14:paraId="78947AA7" w14:textId="42B1C6DD" w:rsidR="00713ED0" w:rsidRPr="00713ED0" w:rsidRDefault="00713ED0" w:rsidP="00540514">
            <w:pPr>
              <w:pStyle w:val="TableListBullet"/>
            </w:pPr>
            <w:r w:rsidRPr="00713ED0">
              <w:t xml:space="preserve">The design refresh offered an opportunity to introduce a range of pilot activities into </w:t>
            </w:r>
            <w:r w:rsidR="0088219C">
              <w:t>p</w:t>
            </w:r>
            <w:r w:rsidR="0088219C" w:rsidRPr="00713ED0">
              <w:t xml:space="preserve">hase </w:t>
            </w:r>
            <w:r w:rsidRPr="00713ED0">
              <w:t>III, which will help to inform future designs. These pilots include English language training assistance in targeted provinces, split-site awards and short course delivery.</w:t>
            </w:r>
          </w:p>
        </w:tc>
        <w:tc>
          <w:tcPr>
            <w:tcW w:w="823" w:type="dxa"/>
            <w:tcBorders>
              <w:top w:val="nil"/>
              <w:bottom w:val="nil"/>
            </w:tcBorders>
            <w:shd w:val="clear" w:color="auto" w:fill="92D050"/>
          </w:tcPr>
          <w:p w14:paraId="73325725" w14:textId="77777777" w:rsidR="00713ED0" w:rsidRPr="00540514" w:rsidRDefault="00713ED0" w:rsidP="00540514">
            <w:pPr>
              <w:pStyle w:val="TableTextEntries"/>
            </w:pPr>
            <w:r w:rsidRPr="00540514">
              <w:t>Green</w:t>
            </w:r>
          </w:p>
        </w:tc>
        <w:tc>
          <w:tcPr>
            <w:tcW w:w="6612" w:type="dxa"/>
            <w:vMerge w:val="restart"/>
          </w:tcPr>
          <w:p w14:paraId="6D4617A8" w14:textId="69EEA3A2" w:rsidR="00713ED0" w:rsidRPr="00713ED0" w:rsidRDefault="00713ED0" w:rsidP="00540514">
            <w:pPr>
              <w:pStyle w:val="TableTextEntries"/>
              <w:rPr>
                <w:color w:val="F79646" w:themeColor="accent6"/>
              </w:rPr>
            </w:pPr>
            <w:r w:rsidRPr="00713ED0">
              <w:t>All pilots complete or underway with future evaluation of effectiveness planned</w:t>
            </w:r>
            <w:r w:rsidR="0088219C">
              <w:t>.</w:t>
            </w:r>
          </w:p>
        </w:tc>
      </w:tr>
      <w:tr w:rsidR="00713ED0" w:rsidRPr="00713ED0" w14:paraId="2EDDCA0B"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538BDB3D" w14:textId="77777777" w:rsidR="00713ED0" w:rsidRPr="00713ED0" w:rsidRDefault="00713ED0" w:rsidP="00540514">
            <w:pPr>
              <w:pStyle w:val="TableListBullet"/>
            </w:pPr>
          </w:p>
        </w:tc>
        <w:tc>
          <w:tcPr>
            <w:tcW w:w="823" w:type="dxa"/>
            <w:shd w:val="clear" w:color="auto" w:fill="FFFFFF" w:themeFill="background1"/>
          </w:tcPr>
          <w:p w14:paraId="37668608" w14:textId="77777777" w:rsidR="00713ED0" w:rsidRPr="00540514" w:rsidRDefault="00713ED0" w:rsidP="00540514">
            <w:pPr>
              <w:pStyle w:val="TableTextEntries"/>
            </w:pPr>
          </w:p>
        </w:tc>
        <w:tc>
          <w:tcPr>
            <w:tcW w:w="6612" w:type="dxa"/>
            <w:vMerge/>
          </w:tcPr>
          <w:p w14:paraId="7330B6B2" w14:textId="77777777" w:rsidR="00713ED0" w:rsidRPr="00713ED0" w:rsidRDefault="00713ED0" w:rsidP="00540514">
            <w:pPr>
              <w:pStyle w:val="TableTextEntries"/>
            </w:pPr>
          </w:p>
        </w:tc>
      </w:tr>
      <w:tr w:rsidR="00713ED0" w:rsidRPr="00713ED0" w14:paraId="71DCFEE1" w14:textId="77777777" w:rsidTr="00805D86">
        <w:trPr>
          <w:cantSplit/>
          <w:tblHeader w:val="0"/>
        </w:trPr>
        <w:tc>
          <w:tcPr>
            <w:tcW w:w="6331" w:type="dxa"/>
            <w:vMerge w:val="restart"/>
          </w:tcPr>
          <w:p w14:paraId="0D9CD9BF" w14:textId="77777777" w:rsidR="00713ED0" w:rsidRPr="00713ED0" w:rsidRDefault="00713ED0" w:rsidP="00540514">
            <w:pPr>
              <w:pStyle w:val="TableListBullet"/>
            </w:pPr>
            <w:r w:rsidRPr="00713ED0">
              <w:t>A smooth transition to a new managing contractor was achieved at the commencement of 2012 and the completion of a comprehensive and strategic design process, together with key Indonesian Government stakeholders, will be a program management priority for 2012.</w:t>
            </w:r>
          </w:p>
        </w:tc>
        <w:tc>
          <w:tcPr>
            <w:tcW w:w="823" w:type="dxa"/>
            <w:tcBorders>
              <w:top w:val="nil"/>
              <w:bottom w:val="nil"/>
            </w:tcBorders>
            <w:shd w:val="clear" w:color="auto" w:fill="92D050"/>
          </w:tcPr>
          <w:p w14:paraId="555A2E61" w14:textId="77777777" w:rsidR="00713ED0" w:rsidRPr="00540514" w:rsidRDefault="00713ED0" w:rsidP="00540514">
            <w:pPr>
              <w:pStyle w:val="TableTextEntries"/>
            </w:pPr>
            <w:r w:rsidRPr="00540514">
              <w:t>Green</w:t>
            </w:r>
          </w:p>
        </w:tc>
        <w:tc>
          <w:tcPr>
            <w:tcW w:w="6612" w:type="dxa"/>
            <w:vMerge w:val="restart"/>
          </w:tcPr>
          <w:p w14:paraId="7FB22FB4" w14:textId="03087225" w:rsidR="00713ED0" w:rsidRPr="00713ED0" w:rsidRDefault="00713ED0" w:rsidP="00540514">
            <w:pPr>
              <w:pStyle w:val="TableTextEntries"/>
              <w:rPr>
                <w:color w:val="F79646" w:themeColor="accent6"/>
              </w:rPr>
            </w:pPr>
            <w:r w:rsidRPr="00713ED0">
              <w:t>Design on track for completion</w:t>
            </w:r>
            <w:r w:rsidR="0088219C">
              <w:t>.</w:t>
            </w:r>
          </w:p>
        </w:tc>
      </w:tr>
      <w:tr w:rsidR="00713ED0" w:rsidRPr="00713ED0" w14:paraId="5629344E" w14:textId="77777777" w:rsidTr="00540514">
        <w:trPr>
          <w:cnfStyle w:val="000000010000" w:firstRow="0" w:lastRow="0" w:firstColumn="0" w:lastColumn="0" w:oddVBand="0" w:evenVBand="0" w:oddHBand="0" w:evenHBand="1" w:firstRowFirstColumn="0" w:firstRowLastColumn="0" w:lastRowFirstColumn="0" w:lastRowLastColumn="0"/>
          <w:cantSplit/>
          <w:tblHeader w:val="0"/>
        </w:trPr>
        <w:tc>
          <w:tcPr>
            <w:tcW w:w="6331" w:type="dxa"/>
            <w:vMerge/>
          </w:tcPr>
          <w:p w14:paraId="462AEC8F"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77C1F64C" w14:textId="77777777" w:rsidR="00713ED0" w:rsidRPr="00540514" w:rsidRDefault="00713ED0" w:rsidP="00540514">
            <w:pPr>
              <w:pStyle w:val="TableTextEntries"/>
            </w:pPr>
          </w:p>
        </w:tc>
        <w:tc>
          <w:tcPr>
            <w:tcW w:w="6612" w:type="dxa"/>
            <w:vMerge/>
          </w:tcPr>
          <w:p w14:paraId="6712C555" w14:textId="77777777" w:rsidR="00713ED0" w:rsidRPr="00713ED0" w:rsidRDefault="00713ED0" w:rsidP="00713ED0">
            <w:pPr>
              <w:keepLines/>
              <w:spacing w:before="40" w:after="40" w:line="200" w:lineRule="atLeast"/>
              <w:rPr>
                <w:rFonts w:eastAsia="Times New Roman"/>
                <w:sz w:val="17"/>
                <w:szCs w:val="17"/>
                <w:lang w:eastAsia="en-US"/>
              </w:rPr>
            </w:pPr>
          </w:p>
        </w:tc>
      </w:tr>
      <w:tr w:rsidR="00713ED0" w:rsidRPr="00713ED0" w14:paraId="737619E8" w14:textId="77777777" w:rsidTr="00540514">
        <w:trPr>
          <w:cantSplit/>
          <w:tblHeader w:val="0"/>
        </w:trPr>
        <w:tc>
          <w:tcPr>
            <w:tcW w:w="6331" w:type="dxa"/>
            <w:vMerge/>
          </w:tcPr>
          <w:p w14:paraId="05C879CB" w14:textId="77777777" w:rsidR="00713ED0" w:rsidRPr="00713ED0" w:rsidRDefault="00713ED0" w:rsidP="00713ED0">
            <w:pPr>
              <w:keepLines/>
              <w:numPr>
                <w:ilvl w:val="0"/>
                <w:numId w:val="47"/>
              </w:numPr>
              <w:spacing w:before="40" w:after="40" w:line="200" w:lineRule="atLeast"/>
              <w:ind w:left="284" w:hanging="284"/>
              <w:rPr>
                <w:rFonts w:eastAsia="Times New Roman"/>
                <w:sz w:val="17"/>
                <w:szCs w:val="17"/>
                <w:lang w:eastAsia="en-US"/>
              </w:rPr>
            </w:pPr>
          </w:p>
        </w:tc>
        <w:tc>
          <w:tcPr>
            <w:tcW w:w="823" w:type="dxa"/>
            <w:shd w:val="clear" w:color="auto" w:fill="FFFFFF" w:themeFill="background1"/>
          </w:tcPr>
          <w:p w14:paraId="76F511F9" w14:textId="77777777" w:rsidR="00713ED0" w:rsidRPr="00540514" w:rsidRDefault="00713ED0" w:rsidP="00540514">
            <w:pPr>
              <w:pStyle w:val="TableTextEntries"/>
            </w:pPr>
          </w:p>
        </w:tc>
        <w:tc>
          <w:tcPr>
            <w:tcW w:w="6612" w:type="dxa"/>
            <w:vMerge/>
          </w:tcPr>
          <w:p w14:paraId="32BF6443" w14:textId="77777777" w:rsidR="00713ED0" w:rsidRPr="00713ED0" w:rsidRDefault="00713ED0" w:rsidP="00713ED0">
            <w:pPr>
              <w:keepLines/>
              <w:spacing w:before="40" w:after="40" w:line="200" w:lineRule="atLeast"/>
              <w:rPr>
                <w:rFonts w:eastAsia="Times New Roman"/>
                <w:sz w:val="17"/>
                <w:szCs w:val="17"/>
                <w:lang w:eastAsia="en-US"/>
              </w:rPr>
            </w:pPr>
          </w:p>
        </w:tc>
      </w:tr>
    </w:tbl>
    <w:p w14:paraId="0E538351" w14:textId="77777777" w:rsidR="00FE4491" w:rsidRPr="00FE4491" w:rsidRDefault="00FE4491" w:rsidP="00102931">
      <w:pPr>
        <w:pStyle w:val="Note"/>
      </w:pPr>
      <w:r w:rsidRPr="00FE4491">
        <w:t xml:space="preserve">Note: </w:t>
      </w:r>
    </w:p>
    <w:p w14:paraId="34E17253" w14:textId="77777777" w:rsidR="00FE4491" w:rsidRPr="00FE4491" w:rsidRDefault="00FE4491" w:rsidP="003A6EEF">
      <w:pPr>
        <w:pStyle w:val="Note"/>
      </w:pPr>
      <w:r w:rsidRPr="00FE4491">
        <w:rPr>
          <w:color w:val="92D050"/>
        </w:rPr>
        <w:sym w:font="Webdings" w:char="F067"/>
      </w:r>
      <w:r w:rsidRPr="00FE4491">
        <w:t> </w:t>
      </w:r>
      <w:r w:rsidRPr="00FE4491">
        <w:t xml:space="preserve"> </w:t>
      </w:r>
      <w:proofErr w:type="gramStart"/>
      <w:r w:rsidR="00443639">
        <w:t>Green</w:t>
      </w:r>
      <w:r>
        <w:t>.</w:t>
      </w:r>
      <w:proofErr w:type="gramEnd"/>
      <w:r>
        <w:rPr>
          <w:rFonts w:ascii="Times New Roman" w:hAnsi="Times New Roman"/>
        </w:rPr>
        <w:t xml:space="preserve"> </w:t>
      </w:r>
      <w:r w:rsidRPr="00EC3C88">
        <w:t>Progress is as expected for this point in time and it is likely that the objective will be achieved. Standard program management practices are sufficient.</w:t>
      </w:r>
    </w:p>
    <w:p w14:paraId="47EBA0F6" w14:textId="77777777" w:rsidR="00FE4491" w:rsidRDefault="00FE4491" w:rsidP="003A6EEF">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14:paraId="358AC9CC" w14:textId="77777777" w:rsidR="00BB1C24" w:rsidRDefault="00FE4491" w:rsidP="003A6EEF">
      <w:pPr>
        <w:pStyle w:val="Note"/>
      </w:pPr>
      <w:r w:rsidRPr="00FE4491">
        <w:rPr>
          <w:color w:val="FF0000"/>
        </w:rPr>
        <w:sym w:font="Webdings" w:char="F067"/>
      </w:r>
      <w:r w:rsidRPr="00FE4491">
        <w:t> </w:t>
      </w:r>
      <w:r w:rsidRPr="00FE4491">
        <w:t xml:space="preserve"> </w:t>
      </w:r>
      <w:proofErr w:type="gramStart"/>
      <w:r>
        <w:t>Red.</w:t>
      </w:r>
      <w:proofErr w:type="gramEnd"/>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14:paraId="286C5514" w14:textId="77777777" w:rsidR="00FE4491" w:rsidRDefault="00FE4491" w:rsidP="00FE4491">
      <w:pPr>
        <w:sectPr w:rsidR="00FE4491" w:rsidSect="00805D86">
          <w:headerReference w:type="default" r:id="rId15"/>
          <w:footerReference w:type="default" r:id="rId16"/>
          <w:headerReference w:type="first" r:id="rId17"/>
          <w:pgSz w:w="16838" w:h="11906" w:orient="landscape" w:code="9"/>
          <w:pgMar w:top="1871" w:right="2268" w:bottom="1134" w:left="907" w:header="709" w:footer="454" w:gutter="0"/>
          <w:cols w:space="708"/>
          <w:docGrid w:linePitch="360"/>
        </w:sectPr>
      </w:pPr>
    </w:p>
    <w:p w14:paraId="5F089C0F" w14:textId="77777777" w:rsidR="00FE4491" w:rsidRPr="00FE4491" w:rsidRDefault="00FE4491" w:rsidP="00FF45C2">
      <w:pPr>
        <w:pStyle w:val="Heading1"/>
      </w:pPr>
      <w:bookmarkStart w:id="108" w:name="_Toc359585117"/>
      <w:bookmarkStart w:id="109" w:name="_Toc363804142"/>
      <w:r w:rsidRPr="00FE4491">
        <w:lastRenderedPageBreak/>
        <w:t xml:space="preserve">Annex </w:t>
      </w:r>
      <w:r w:rsidR="00FC5664">
        <w:t>C</w:t>
      </w:r>
      <w:bookmarkEnd w:id="108"/>
      <w:bookmarkEnd w:id="109"/>
      <w:r w:rsidRPr="00FE4491">
        <w:t xml:space="preserve"> </w:t>
      </w:r>
    </w:p>
    <w:p w14:paraId="6857C357" w14:textId="77777777" w:rsidR="00FE4491" w:rsidRPr="00FF45C2" w:rsidRDefault="00FE4491" w:rsidP="00FF45C2">
      <w:pPr>
        <w:pStyle w:val="Heading2"/>
      </w:pPr>
      <w:bookmarkStart w:id="110" w:name="_Toc359585118"/>
      <w:bookmarkStart w:id="111" w:name="_Toc363768607"/>
      <w:bookmarkStart w:id="112" w:name="_Toc363804143"/>
      <w:r w:rsidRPr="00FF45C2">
        <w:t>Quality at Implementation ratings</w:t>
      </w:r>
      <w:bookmarkEnd w:id="110"/>
      <w:bookmarkEnd w:id="111"/>
      <w:bookmarkEnd w:id="112"/>
    </w:p>
    <w:tbl>
      <w:tblPr>
        <w:tblStyle w:val="APPR14"/>
        <w:tblW w:w="5000" w:type="pct"/>
        <w:tblInd w:w="14" w:type="dxa"/>
        <w:tblLayout w:type="fixed"/>
        <w:tblCellMar>
          <w:left w:w="0" w:type="dxa"/>
          <w:right w:w="0" w:type="dxa"/>
        </w:tblCellMar>
        <w:tblLook w:val="0000" w:firstRow="0" w:lastRow="0" w:firstColumn="0" w:lastColumn="0" w:noHBand="0" w:noVBand="0"/>
      </w:tblPr>
      <w:tblGrid>
        <w:gridCol w:w="729"/>
        <w:gridCol w:w="143"/>
        <w:gridCol w:w="1525"/>
        <w:gridCol w:w="847"/>
        <w:gridCol w:w="842"/>
        <w:gridCol w:w="1188"/>
        <w:gridCol w:w="471"/>
        <w:gridCol w:w="364"/>
        <w:gridCol w:w="364"/>
        <w:gridCol w:w="364"/>
        <w:gridCol w:w="434"/>
        <w:gridCol w:w="364"/>
        <w:gridCol w:w="364"/>
        <w:gridCol w:w="391"/>
      </w:tblGrid>
      <w:tr w:rsidR="00713ED0" w:rsidRPr="00713ED0" w14:paraId="0E607BEB" w14:textId="77777777" w:rsidTr="00E0168D">
        <w:trPr>
          <w:cnfStyle w:val="000000010000" w:firstRow="0" w:lastRow="0" w:firstColumn="0" w:lastColumn="0" w:oddVBand="0" w:evenVBand="0" w:oddHBand="0" w:evenHBand="1" w:firstRowFirstColumn="0" w:firstRowLastColumn="0" w:lastRowFirstColumn="0" w:lastRowLastColumn="0"/>
          <w:cantSplit/>
          <w:trHeight w:val="1588"/>
        </w:trPr>
        <w:tc>
          <w:tcPr>
            <w:tcW w:w="2337" w:type="dxa"/>
            <w:gridSpan w:val="3"/>
            <w:vAlign w:val="bottom"/>
          </w:tcPr>
          <w:p w14:paraId="09EDBCEC" w14:textId="77777777" w:rsidR="00713ED0" w:rsidRPr="00713ED0" w:rsidRDefault="00713ED0" w:rsidP="00FF45C2">
            <w:pPr>
              <w:pStyle w:val="TableTextColumnHeading"/>
            </w:pPr>
            <w:r w:rsidRPr="00713ED0">
              <w:rPr>
                <w:noProof/>
                <w:lang w:eastAsia="en-AU"/>
              </w:rPr>
              <w:drawing>
                <wp:anchor distT="0" distB="0" distL="114300" distR="114300" simplePos="0" relativeHeight="251694080" behindDoc="0" locked="0" layoutInCell="1" allowOverlap="1" wp14:anchorId="16700350" wp14:editId="623BD061">
                  <wp:simplePos x="0" y="0"/>
                  <wp:positionH relativeFrom="column">
                    <wp:posOffset>0</wp:posOffset>
                  </wp:positionH>
                  <wp:positionV relativeFrom="paragraph">
                    <wp:posOffset>0</wp:posOffset>
                  </wp:positionV>
                  <wp:extent cx="1857375" cy="228600"/>
                  <wp:effectExtent l="0" t="0" r="9525" b="0"/>
                  <wp:wrapNone/>
                  <wp:docPr id="33" name="Picture 3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ED0">
              <w:t>Initiative name</w:t>
            </w:r>
          </w:p>
        </w:tc>
        <w:tc>
          <w:tcPr>
            <w:tcW w:w="813" w:type="dxa"/>
            <w:vAlign w:val="bottom"/>
          </w:tcPr>
          <w:p w14:paraId="007554D3" w14:textId="13E1C24C" w:rsidR="00713ED0" w:rsidRPr="00713ED0" w:rsidRDefault="00713ED0" w:rsidP="00FF45C2">
            <w:pPr>
              <w:pStyle w:val="TableTextColumnHeading"/>
            </w:pPr>
            <w:r w:rsidRPr="00713ED0">
              <w:t>Initiative</w:t>
            </w:r>
          </w:p>
          <w:p w14:paraId="3043C0C6" w14:textId="261D56DE" w:rsidR="00713ED0" w:rsidRPr="00713ED0" w:rsidRDefault="0088219C" w:rsidP="00FF45C2">
            <w:pPr>
              <w:pStyle w:val="TableTextColumnHeading"/>
            </w:pPr>
            <w:r>
              <w:t>s</w:t>
            </w:r>
            <w:r w:rsidRPr="00713ED0">
              <w:t xml:space="preserve">tart </w:t>
            </w:r>
            <w:r>
              <w:t>d</w:t>
            </w:r>
            <w:r w:rsidRPr="00713ED0">
              <w:t>ate</w:t>
            </w:r>
          </w:p>
        </w:tc>
        <w:tc>
          <w:tcPr>
            <w:tcW w:w="808" w:type="dxa"/>
            <w:vAlign w:val="bottom"/>
          </w:tcPr>
          <w:p w14:paraId="32474685" w14:textId="77777777" w:rsidR="00713ED0" w:rsidRPr="00713ED0" w:rsidRDefault="00713ED0" w:rsidP="00FF45C2">
            <w:pPr>
              <w:pStyle w:val="TableTextColumnHeading"/>
            </w:pPr>
            <w:r w:rsidRPr="00713ED0">
              <w:t>Initiative</w:t>
            </w:r>
          </w:p>
          <w:p w14:paraId="73693272" w14:textId="0D323A44" w:rsidR="00713ED0" w:rsidRPr="00713ED0" w:rsidRDefault="0088219C" w:rsidP="00FF45C2">
            <w:pPr>
              <w:pStyle w:val="TableTextColumnHeading"/>
            </w:pPr>
            <w:r>
              <w:t>e</w:t>
            </w:r>
            <w:r w:rsidRPr="00713ED0">
              <w:t xml:space="preserve">nd </w:t>
            </w:r>
            <w:r>
              <w:t>d</w:t>
            </w:r>
            <w:r w:rsidRPr="00713ED0">
              <w:t>ate</w:t>
            </w:r>
          </w:p>
        </w:tc>
        <w:tc>
          <w:tcPr>
            <w:tcW w:w="1152" w:type="dxa"/>
            <w:vAlign w:val="bottom"/>
          </w:tcPr>
          <w:p w14:paraId="25C1249B" w14:textId="77777777" w:rsidR="00713ED0" w:rsidRPr="00713ED0" w:rsidRDefault="00713ED0" w:rsidP="00FF45C2">
            <w:pPr>
              <w:pStyle w:val="TableTextColumnHeading"/>
            </w:pPr>
            <w:r w:rsidRPr="00713ED0">
              <w:t>Initiative</w:t>
            </w:r>
          </w:p>
          <w:p w14:paraId="7DA620CD" w14:textId="5AF1FB1F" w:rsidR="00713ED0" w:rsidRPr="00713ED0" w:rsidRDefault="00713ED0" w:rsidP="00FF45C2">
            <w:pPr>
              <w:pStyle w:val="TableTextColumnHeading"/>
            </w:pPr>
            <w:r w:rsidRPr="00713ED0">
              <w:t xml:space="preserve">FMA9 </w:t>
            </w:r>
            <w:r w:rsidR="0088219C">
              <w:t>a</w:t>
            </w:r>
            <w:r w:rsidR="0088219C" w:rsidRPr="00713ED0">
              <w:t>pproval</w:t>
            </w:r>
          </w:p>
          <w:p w14:paraId="69455826" w14:textId="103BCBDA" w:rsidR="00713ED0" w:rsidRPr="00713ED0" w:rsidRDefault="00713ED0" w:rsidP="00FF45C2">
            <w:pPr>
              <w:pStyle w:val="TableTextColumnHeading"/>
            </w:pPr>
            <w:r w:rsidRPr="00713ED0">
              <w:t>Total $</w:t>
            </w:r>
          </w:p>
        </w:tc>
        <w:tc>
          <w:tcPr>
            <w:tcW w:w="440" w:type="dxa"/>
            <w:textDirection w:val="btLr"/>
            <w:vAlign w:val="center"/>
          </w:tcPr>
          <w:p w14:paraId="2453976D" w14:textId="77777777" w:rsidR="00713ED0" w:rsidRPr="00713ED0" w:rsidRDefault="00713ED0" w:rsidP="00FF45C2">
            <w:pPr>
              <w:pStyle w:val="TableTextColumnHeading"/>
            </w:pPr>
            <w:r w:rsidRPr="00713ED0">
              <w:t>QAI year</w:t>
            </w:r>
          </w:p>
        </w:tc>
        <w:tc>
          <w:tcPr>
            <w:tcW w:w="334" w:type="dxa"/>
            <w:textDirection w:val="btLr"/>
            <w:vAlign w:val="center"/>
          </w:tcPr>
          <w:p w14:paraId="35E50079" w14:textId="77777777" w:rsidR="00713ED0" w:rsidRPr="00713ED0" w:rsidRDefault="00713ED0" w:rsidP="00FF45C2">
            <w:pPr>
              <w:pStyle w:val="TableTextColumnHeading"/>
              <w:rPr>
                <w:sz w:val="16"/>
              </w:rPr>
            </w:pPr>
            <w:r w:rsidRPr="00713ED0">
              <w:rPr>
                <w:sz w:val="16"/>
              </w:rPr>
              <w:t>Relevance</w:t>
            </w:r>
          </w:p>
        </w:tc>
        <w:tc>
          <w:tcPr>
            <w:tcW w:w="334" w:type="dxa"/>
            <w:textDirection w:val="btLr"/>
            <w:vAlign w:val="center"/>
          </w:tcPr>
          <w:p w14:paraId="2D4FED90" w14:textId="77777777" w:rsidR="00713ED0" w:rsidRPr="00713ED0" w:rsidRDefault="00713ED0" w:rsidP="00FF45C2">
            <w:pPr>
              <w:pStyle w:val="TableTextColumnHeading"/>
              <w:rPr>
                <w:sz w:val="16"/>
              </w:rPr>
            </w:pPr>
            <w:r w:rsidRPr="00713ED0">
              <w:rPr>
                <w:sz w:val="16"/>
              </w:rPr>
              <w:t>Effectiveness</w:t>
            </w:r>
          </w:p>
        </w:tc>
        <w:tc>
          <w:tcPr>
            <w:tcW w:w="334" w:type="dxa"/>
            <w:textDirection w:val="btLr"/>
            <w:vAlign w:val="center"/>
          </w:tcPr>
          <w:p w14:paraId="6E596B5A" w14:textId="77777777" w:rsidR="00713ED0" w:rsidRPr="00713ED0" w:rsidRDefault="00713ED0" w:rsidP="00FF45C2">
            <w:pPr>
              <w:pStyle w:val="TableTextColumnHeading"/>
              <w:rPr>
                <w:sz w:val="16"/>
              </w:rPr>
            </w:pPr>
            <w:r w:rsidRPr="00713ED0">
              <w:rPr>
                <w:sz w:val="16"/>
              </w:rPr>
              <w:t>Efficiency</w:t>
            </w:r>
          </w:p>
        </w:tc>
        <w:tc>
          <w:tcPr>
            <w:tcW w:w="403" w:type="dxa"/>
            <w:textDirection w:val="btLr"/>
            <w:vAlign w:val="center"/>
          </w:tcPr>
          <w:p w14:paraId="777844D1" w14:textId="610819C6" w:rsidR="00713ED0" w:rsidRPr="00713ED0" w:rsidRDefault="00713ED0" w:rsidP="00FF45C2">
            <w:pPr>
              <w:pStyle w:val="TableTextColumnHeading"/>
              <w:rPr>
                <w:sz w:val="16"/>
              </w:rPr>
            </w:pPr>
            <w:r w:rsidRPr="00713ED0">
              <w:rPr>
                <w:sz w:val="16"/>
              </w:rPr>
              <w:t xml:space="preserve">Monitoring and </w:t>
            </w:r>
            <w:r w:rsidR="0088219C">
              <w:rPr>
                <w:sz w:val="16"/>
              </w:rPr>
              <w:t>e</w:t>
            </w:r>
            <w:r w:rsidR="0088219C" w:rsidRPr="00713ED0">
              <w:rPr>
                <w:sz w:val="16"/>
              </w:rPr>
              <w:t>valuation</w:t>
            </w:r>
          </w:p>
        </w:tc>
        <w:tc>
          <w:tcPr>
            <w:tcW w:w="334" w:type="dxa"/>
            <w:textDirection w:val="btLr"/>
            <w:vAlign w:val="center"/>
          </w:tcPr>
          <w:p w14:paraId="5BF50022" w14:textId="77777777" w:rsidR="00713ED0" w:rsidRPr="00713ED0" w:rsidRDefault="00713ED0" w:rsidP="00FF45C2">
            <w:pPr>
              <w:pStyle w:val="TableTextColumnHeading"/>
              <w:rPr>
                <w:sz w:val="16"/>
              </w:rPr>
            </w:pPr>
            <w:r w:rsidRPr="00713ED0">
              <w:rPr>
                <w:sz w:val="16"/>
              </w:rPr>
              <w:t>Sustainability</w:t>
            </w:r>
          </w:p>
        </w:tc>
        <w:tc>
          <w:tcPr>
            <w:tcW w:w="334" w:type="dxa"/>
            <w:textDirection w:val="btLr"/>
            <w:vAlign w:val="center"/>
          </w:tcPr>
          <w:p w14:paraId="6112FC14" w14:textId="77777777" w:rsidR="00713ED0" w:rsidRPr="00713ED0" w:rsidRDefault="00713ED0" w:rsidP="00FF45C2">
            <w:pPr>
              <w:pStyle w:val="TableTextColumnHeading"/>
              <w:rPr>
                <w:sz w:val="16"/>
              </w:rPr>
            </w:pPr>
            <w:r w:rsidRPr="00713ED0">
              <w:rPr>
                <w:sz w:val="16"/>
              </w:rPr>
              <w:t>Gender equality</w:t>
            </w:r>
          </w:p>
        </w:tc>
        <w:tc>
          <w:tcPr>
            <w:tcW w:w="347" w:type="dxa"/>
            <w:textDirection w:val="btLr"/>
            <w:vAlign w:val="center"/>
          </w:tcPr>
          <w:p w14:paraId="305D8267" w14:textId="1C22529C" w:rsidR="00713ED0" w:rsidRPr="00713ED0" w:rsidRDefault="00713ED0" w:rsidP="00FF45C2">
            <w:pPr>
              <w:pStyle w:val="TableTextColumnHeading"/>
              <w:rPr>
                <w:sz w:val="16"/>
              </w:rPr>
            </w:pPr>
            <w:r w:rsidRPr="00713ED0">
              <w:rPr>
                <w:sz w:val="16"/>
              </w:rPr>
              <w:t>Risk</w:t>
            </w:r>
            <w:r w:rsidR="00B525E5">
              <w:rPr>
                <w:sz w:val="16"/>
              </w:rPr>
              <w:t xml:space="preserve"> </w:t>
            </w:r>
            <w:r w:rsidR="0088219C">
              <w:rPr>
                <w:sz w:val="16"/>
              </w:rPr>
              <w:t>m</w:t>
            </w:r>
            <w:r w:rsidR="0088219C" w:rsidRPr="00713ED0">
              <w:rPr>
                <w:sz w:val="16"/>
              </w:rPr>
              <w:t>anagement</w:t>
            </w:r>
          </w:p>
        </w:tc>
      </w:tr>
      <w:tr w:rsidR="00713ED0" w:rsidRPr="00713ED0" w14:paraId="52B1011F" w14:textId="77777777" w:rsidTr="00E0168D">
        <w:trPr>
          <w:cantSplit/>
          <w:tblHeader w:val="0"/>
        </w:trPr>
        <w:tc>
          <w:tcPr>
            <w:tcW w:w="2337" w:type="dxa"/>
            <w:gridSpan w:val="3"/>
            <w:vAlign w:val="bottom"/>
          </w:tcPr>
          <w:p w14:paraId="267E9953" w14:textId="77777777" w:rsidR="00713ED0" w:rsidRPr="00713ED0" w:rsidRDefault="00713ED0" w:rsidP="00FF45C2">
            <w:pPr>
              <w:pStyle w:val="TableHeading2"/>
            </w:pPr>
            <w:r w:rsidRPr="00713ED0">
              <w:t>Education and knowledge sector</w:t>
            </w:r>
          </w:p>
        </w:tc>
        <w:tc>
          <w:tcPr>
            <w:tcW w:w="813" w:type="dxa"/>
          </w:tcPr>
          <w:p w14:paraId="61CCCC68" w14:textId="77777777" w:rsidR="00713ED0" w:rsidRPr="00713ED0" w:rsidRDefault="00713ED0" w:rsidP="00713ED0">
            <w:pPr>
              <w:keepLines/>
              <w:spacing w:before="40" w:after="40" w:line="200" w:lineRule="atLeast"/>
              <w:rPr>
                <w:rFonts w:eastAsia="Times New Roman"/>
                <w:sz w:val="14"/>
                <w:szCs w:val="17"/>
                <w:lang w:eastAsia="en-US"/>
              </w:rPr>
            </w:pPr>
          </w:p>
        </w:tc>
        <w:tc>
          <w:tcPr>
            <w:tcW w:w="808" w:type="dxa"/>
            <w:vAlign w:val="center"/>
          </w:tcPr>
          <w:p w14:paraId="08CAA806" w14:textId="77777777" w:rsidR="00713ED0" w:rsidRPr="00713ED0" w:rsidRDefault="00713ED0" w:rsidP="00713ED0">
            <w:pPr>
              <w:keepLines/>
              <w:spacing w:before="40" w:after="40" w:line="200" w:lineRule="atLeast"/>
              <w:rPr>
                <w:rFonts w:eastAsia="Times New Roman"/>
                <w:sz w:val="14"/>
                <w:szCs w:val="17"/>
                <w:lang w:eastAsia="en-US"/>
              </w:rPr>
            </w:pPr>
          </w:p>
        </w:tc>
        <w:tc>
          <w:tcPr>
            <w:tcW w:w="1152" w:type="dxa"/>
            <w:vAlign w:val="bottom"/>
          </w:tcPr>
          <w:p w14:paraId="619C936B" w14:textId="77777777" w:rsidR="00713ED0" w:rsidRPr="00713ED0" w:rsidRDefault="00713ED0" w:rsidP="00713ED0">
            <w:pPr>
              <w:keepLines/>
              <w:spacing w:before="40" w:after="40" w:line="200" w:lineRule="atLeast"/>
              <w:rPr>
                <w:rFonts w:eastAsia="Times New Roman"/>
                <w:sz w:val="14"/>
                <w:szCs w:val="16"/>
                <w:lang w:eastAsia="en-US"/>
              </w:rPr>
            </w:pPr>
          </w:p>
        </w:tc>
        <w:tc>
          <w:tcPr>
            <w:tcW w:w="440" w:type="dxa"/>
            <w:textDirection w:val="btLr"/>
            <w:vAlign w:val="center"/>
          </w:tcPr>
          <w:p w14:paraId="4ED05446" w14:textId="77777777" w:rsidR="00713ED0" w:rsidRPr="00713ED0" w:rsidRDefault="00713ED0" w:rsidP="00713ED0">
            <w:pPr>
              <w:keepLines/>
              <w:spacing w:before="40" w:after="40" w:line="200" w:lineRule="atLeast"/>
              <w:rPr>
                <w:rFonts w:eastAsia="Times New Roman"/>
                <w:sz w:val="14"/>
                <w:szCs w:val="14"/>
                <w:lang w:eastAsia="en-US"/>
              </w:rPr>
            </w:pPr>
          </w:p>
        </w:tc>
        <w:tc>
          <w:tcPr>
            <w:tcW w:w="334" w:type="dxa"/>
            <w:textDirection w:val="btLr"/>
            <w:vAlign w:val="center"/>
          </w:tcPr>
          <w:p w14:paraId="293DEA8E" w14:textId="77777777" w:rsidR="00713ED0" w:rsidRPr="00713ED0" w:rsidRDefault="00713ED0" w:rsidP="00713ED0">
            <w:pPr>
              <w:keepLines/>
              <w:spacing w:before="40" w:after="40" w:line="200" w:lineRule="atLeast"/>
              <w:rPr>
                <w:rFonts w:eastAsia="Times New Roman"/>
                <w:sz w:val="14"/>
                <w:szCs w:val="16"/>
                <w:lang w:eastAsia="en-US"/>
              </w:rPr>
            </w:pPr>
          </w:p>
        </w:tc>
        <w:tc>
          <w:tcPr>
            <w:tcW w:w="334" w:type="dxa"/>
            <w:textDirection w:val="btLr"/>
            <w:vAlign w:val="center"/>
          </w:tcPr>
          <w:p w14:paraId="475C1D5B" w14:textId="77777777" w:rsidR="00713ED0" w:rsidRPr="00713ED0" w:rsidRDefault="00713ED0" w:rsidP="00713ED0">
            <w:pPr>
              <w:keepLines/>
              <w:spacing w:before="40" w:after="40" w:line="200" w:lineRule="atLeast"/>
              <w:rPr>
                <w:rFonts w:eastAsia="Times New Roman"/>
                <w:sz w:val="14"/>
                <w:szCs w:val="16"/>
                <w:lang w:eastAsia="en-US"/>
              </w:rPr>
            </w:pPr>
          </w:p>
        </w:tc>
        <w:tc>
          <w:tcPr>
            <w:tcW w:w="334" w:type="dxa"/>
            <w:textDirection w:val="btLr"/>
            <w:vAlign w:val="center"/>
          </w:tcPr>
          <w:p w14:paraId="33DF08BF" w14:textId="77777777" w:rsidR="00713ED0" w:rsidRPr="00713ED0" w:rsidRDefault="00713ED0" w:rsidP="00713ED0">
            <w:pPr>
              <w:keepLines/>
              <w:spacing w:before="40" w:after="40" w:line="200" w:lineRule="atLeast"/>
              <w:rPr>
                <w:rFonts w:eastAsia="Times New Roman"/>
                <w:sz w:val="14"/>
                <w:szCs w:val="16"/>
                <w:lang w:eastAsia="en-US"/>
              </w:rPr>
            </w:pPr>
          </w:p>
        </w:tc>
        <w:tc>
          <w:tcPr>
            <w:tcW w:w="403" w:type="dxa"/>
            <w:textDirection w:val="btLr"/>
            <w:vAlign w:val="center"/>
          </w:tcPr>
          <w:p w14:paraId="0E5F5551" w14:textId="77777777" w:rsidR="00713ED0" w:rsidRPr="00713ED0" w:rsidRDefault="00713ED0" w:rsidP="00713ED0">
            <w:pPr>
              <w:keepLines/>
              <w:spacing w:before="40" w:after="40" w:line="200" w:lineRule="atLeast"/>
              <w:rPr>
                <w:rFonts w:eastAsia="Times New Roman"/>
                <w:sz w:val="14"/>
                <w:szCs w:val="16"/>
                <w:lang w:eastAsia="en-US"/>
              </w:rPr>
            </w:pPr>
          </w:p>
        </w:tc>
        <w:tc>
          <w:tcPr>
            <w:tcW w:w="334" w:type="dxa"/>
            <w:textDirection w:val="btLr"/>
            <w:vAlign w:val="center"/>
          </w:tcPr>
          <w:p w14:paraId="7A58B44D" w14:textId="77777777" w:rsidR="00713ED0" w:rsidRPr="00713ED0" w:rsidRDefault="00713ED0" w:rsidP="00713ED0">
            <w:pPr>
              <w:keepLines/>
              <w:spacing w:before="40" w:after="40" w:line="200" w:lineRule="atLeast"/>
              <w:rPr>
                <w:rFonts w:eastAsia="Times New Roman"/>
                <w:sz w:val="14"/>
                <w:szCs w:val="16"/>
                <w:lang w:eastAsia="en-US"/>
              </w:rPr>
            </w:pPr>
          </w:p>
        </w:tc>
        <w:tc>
          <w:tcPr>
            <w:tcW w:w="334" w:type="dxa"/>
            <w:textDirection w:val="btLr"/>
            <w:vAlign w:val="center"/>
          </w:tcPr>
          <w:p w14:paraId="3809F0CC" w14:textId="77777777" w:rsidR="00713ED0" w:rsidRPr="00713ED0" w:rsidRDefault="00713ED0" w:rsidP="00713ED0">
            <w:pPr>
              <w:keepLines/>
              <w:spacing w:before="40" w:after="40" w:line="200" w:lineRule="atLeast"/>
              <w:rPr>
                <w:rFonts w:eastAsia="Times New Roman"/>
                <w:sz w:val="14"/>
                <w:szCs w:val="16"/>
                <w:lang w:eastAsia="en-US"/>
              </w:rPr>
            </w:pPr>
          </w:p>
        </w:tc>
        <w:tc>
          <w:tcPr>
            <w:tcW w:w="347" w:type="dxa"/>
            <w:textDirection w:val="btLr"/>
            <w:vAlign w:val="center"/>
          </w:tcPr>
          <w:p w14:paraId="7067A1A4" w14:textId="77777777" w:rsidR="00713ED0" w:rsidRPr="00713ED0" w:rsidRDefault="00713ED0" w:rsidP="00713ED0">
            <w:pPr>
              <w:keepLines/>
              <w:spacing w:before="40" w:after="40" w:line="200" w:lineRule="atLeast"/>
              <w:rPr>
                <w:rFonts w:eastAsia="Times New Roman"/>
                <w:sz w:val="14"/>
                <w:szCs w:val="16"/>
                <w:lang w:eastAsia="en-US"/>
              </w:rPr>
            </w:pPr>
          </w:p>
        </w:tc>
      </w:tr>
      <w:tr w:rsidR="00713ED0" w:rsidRPr="00713ED0" w14:paraId="76AA2AA1"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681" w:type="dxa"/>
            <w:vMerge w:val="restart"/>
            <w:vAlign w:val="center"/>
          </w:tcPr>
          <w:p w14:paraId="6B84D581" w14:textId="77777777" w:rsidR="00713ED0" w:rsidRPr="00713ED0" w:rsidRDefault="00713ED0" w:rsidP="00FF45C2">
            <w:pPr>
              <w:pStyle w:val="TableTextEntries"/>
            </w:pPr>
            <w:r w:rsidRPr="00713ED0">
              <w:t>INJ648</w:t>
            </w:r>
          </w:p>
        </w:tc>
        <w:tc>
          <w:tcPr>
            <w:tcW w:w="1628" w:type="dxa"/>
            <w:gridSpan w:val="2"/>
            <w:vMerge w:val="restart"/>
            <w:vAlign w:val="center"/>
          </w:tcPr>
          <w:p w14:paraId="61FFAE7F" w14:textId="77777777" w:rsidR="00713ED0" w:rsidRPr="00713ED0" w:rsidRDefault="00713ED0" w:rsidP="00FF45C2">
            <w:pPr>
              <w:pStyle w:val="TableTextEntries"/>
            </w:pPr>
            <w:r w:rsidRPr="00713ED0">
              <w:t>Australia's Education Partnership</w:t>
            </w:r>
          </w:p>
        </w:tc>
        <w:tc>
          <w:tcPr>
            <w:tcW w:w="813" w:type="dxa"/>
            <w:vMerge w:val="restart"/>
            <w:vAlign w:val="center"/>
          </w:tcPr>
          <w:p w14:paraId="28D62910" w14:textId="77777777" w:rsidR="00713ED0" w:rsidRPr="00713ED0" w:rsidRDefault="00713ED0" w:rsidP="00FF45C2">
            <w:pPr>
              <w:pStyle w:val="TableTextEntries"/>
              <w:rPr>
                <w:sz w:val="14"/>
              </w:rPr>
            </w:pPr>
            <w:r w:rsidRPr="00713ED0">
              <w:rPr>
                <w:sz w:val="14"/>
              </w:rPr>
              <w:t>05/11/2010</w:t>
            </w:r>
          </w:p>
        </w:tc>
        <w:tc>
          <w:tcPr>
            <w:tcW w:w="808" w:type="dxa"/>
            <w:vMerge w:val="restart"/>
            <w:vAlign w:val="center"/>
          </w:tcPr>
          <w:p w14:paraId="3AF20602" w14:textId="77777777" w:rsidR="00713ED0" w:rsidRPr="00713ED0" w:rsidRDefault="00713ED0" w:rsidP="00FF45C2">
            <w:pPr>
              <w:pStyle w:val="TableTextEntries"/>
              <w:rPr>
                <w:sz w:val="14"/>
              </w:rPr>
            </w:pPr>
            <w:r w:rsidRPr="00713ED0">
              <w:rPr>
                <w:sz w:val="14"/>
              </w:rPr>
              <w:t>30/06/2016</w:t>
            </w:r>
          </w:p>
        </w:tc>
        <w:tc>
          <w:tcPr>
            <w:tcW w:w="1152" w:type="dxa"/>
            <w:vMerge w:val="restart"/>
            <w:vAlign w:val="center"/>
          </w:tcPr>
          <w:p w14:paraId="71DD413B" w14:textId="6EB8FCEE" w:rsidR="00713ED0" w:rsidRPr="00713ED0" w:rsidRDefault="00713ED0" w:rsidP="00FF45C2">
            <w:pPr>
              <w:pStyle w:val="TableTextEntries"/>
              <w:rPr>
                <w:sz w:val="14"/>
                <w:szCs w:val="16"/>
              </w:rPr>
            </w:pPr>
            <w:r w:rsidRPr="00713ED0">
              <w:rPr>
                <w:sz w:val="14"/>
                <w:szCs w:val="16"/>
              </w:rPr>
              <w:t>$500</w:t>
            </w:r>
            <w:r w:rsidR="00501774">
              <w:rPr>
                <w:sz w:val="14"/>
                <w:szCs w:val="16"/>
              </w:rPr>
              <w:t xml:space="preserve"> </w:t>
            </w:r>
            <w:r w:rsidRPr="00713ED0">
              <w:rPr>
                <w:sz w:val="14"/>
                <w:szCs w:val="16"/>
              </w:rPr>
              <w:t>000</w:t>
            </w:r>
            <w:r w:rsidR="00501774">
              <w:rPr>
                <w:sz w:val="14"/>
                <w:szCs w:val="16"/>
              </w:rPr>
              <w:t xml:space="preserve"> </w:t>
            </w:r>
            <w:r w:rsidRPr="00713ED0">
              <w:rPr>
                <w:sz w:val="14"/>
                <w:szCs w:val="16"/>
              </w:rPr>
              <w:t>000.00</w:t>
            </w:r>
          </w:p>
        </w:tc>
        <w:tc>
          <w:tcPr>
            <w:tcW w:w="440" w:type="dxa"/>
            <w:vAlign w:val="center"/>
          </w:tcPr>
          <w:p w14:paraId="501C71B7" w14:textId="77777777" w:rsidR="00713ED0" w:rsidRPr="00713ED0" w:rsidRDefault="00713ED0" w:rsidP="00FF45C2">
            <w:pPr>
              <w:pStyle w:val="TableTextEntries"/>
            </w:pPr>
            <w:r w:rsidRPr="00713ED0">
              <w:t>2012</w:t>
            </w:r>
          </w:p>
        </w:tc>
        <w:tc>
          <w:tcPr>
            <w:tcW w:w="334" w:type="dxa"/>
            <w:shd w:val="clear" w:color="auto" w:fill="92D050"/>
            <w:noWrap/>
            <w:vAlign w:val="center"/>
          </w:tcPr>
          <w:p w14:paraId="6E4347EE"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262B561F"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793A306" w14:textId="77777777" w:rsidR="00713ED0" w:rsidRPr="00FF45C2" w:rsidRDefault="00713ED0" w:rsidP="00FF45C2">
            <w:pPr>
              <w:pStyle w:val="TableTextEntries"/>
              <w:jc w:val="center"/>
            </w:pPr>
            <w:r w:rsidRPr="00FF45C2">
              <w:t>4</w:t>
            </w:r>
          </w:p>
        </w:tc>
        <w:tc>
          <w:tcPr>
            <w:tcW w:w="403" w:type="dxa"/>
            <w:shd w:val="clear" w:color="auto" w:fill="92D050"/>
            <w:noWrap/>
            <w:vAlign w:val="center"/>
          </w:tcPr>
          <w:p w14:paraId="25E20D20"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6C1E4656"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607D368B" w14:textId="77777777" w:rsidR="00713ED0" w:rsidRPr="00FF45C2" w:rsidRDefault="00713ED0" w:rsidP="00FF45C2">
            <w:pPr>
              <w:pStyle w:val="TableTextEntries"/>
              <w:jc w:val="center"/>
            </w:pPr>
            <w:r w:rsidRPr="00FF45C2">
              <w:t>3</w:t>
            </w:r>
          </w:p>
        </w:tc>
        <w:tc>
          <w:tcPr>
            <w:tcW w:w="347" w:type="dxa"/>
            <w:shd w:val="clear" w:color="auto" w:fill="92D050"/>
            <w:noWrap/>
            <w:vAlign w:val="center"/>
          </w:tcPr>
          <w:p w14:paraId="3EA26284" w14:textId="77777777" w:rsidR="00713ED0" w:rsidRPr="00FF45C2" w:rsidRDefault="00713ED0" w:rsidP="00FF45C2">
            <w:pPr>
              <w:pStyle w:val="TableTextEntries"/>
              <w:jc w:val="center"/>
            </w:pPr>
            <w:r w:rsidRPr="00FF45C2">
              <w:t>M</w:t>
            </w:r>
          </w:p>
        </w:tc>
      </w:tr>
      <w:tr w:rsidR="00713ED0" w:rsidRPr="00713ED0" w14:paraId="2677407E" w14:textId="77777777" w:rsidTr="00E0168D">
        <w:trPr>
          <w:tblHeader w:val="0"/>
        </w:trPr>
        <w:tc>
          <w:tcPr>
            <w:tcW w:w="681" w:type="dxa"/>
            <w:vMerge/>
            <w:vAlign w:val="center"/>
          </w:tcPr>
          <w:p w14:paraId="79326A08" w14:textId="77777777" w:rsidR="00713ED0" w:rsidRPr="00713ED0" w:rsidRDefault="00713ED0" w:rsidP="00FF45C2">
            <w:pPr>
              <w:pStyle w:val="TableTextEntries"/>
            </w:pPr>
          </w:p>
        </w:tc>
        <w:tc>
          <w:tcPr>
            <w:tcW w:w="1628" w:type="dxa"/>
            <w:gridSpan w:val="2"/>
            <w:vMerge/>
            <w:vAlign w:val="center"/>
          </w:tcPr>
          <w:p w14:paraId="1E1AA560" w14:textId="77777777" w:rsidR="00713ED0" w:rsidRPr="00713ED0" w:rsidRDefault="00713ED0" w:rsidP="00FF45C2">
            <w:pPr>
              <w:pStyle w:val="TableTextEntries"/>
            </w:pPr>
          </w:p>
        </w:tc>
        <w:tc>
          <w:tcPr>
            <w:tcW w:w="813" w:type="dxa"/>
            <w:vMerge/>
            <w:vAlign w:val="center"/>
          </w:tcPr>
          <w:p w14:paraId="7F472013" w14:textId="77777777" w:rsidR="00713ED0" w:rsidRPr="00713ED0" w:rsidRDefault="00713ED0" w:rsidP="00FF45C2">
            <w:pPr>
              <w:pStyle w:val="TableTextEntries"/>
              <w:rPr>
                <w:sz w:val="14"/>
              </w:rPr>
            </w:pPr>
          </w:p>
        </w:tc>
        <w:tc>
          <w:tcPr>
            <w:tcW w:w="808" w:type="dxa"/>
            <w:vMerge/>
            <w:vAlign w:val="center"/>
          </w:tcPr>
          <w:p w14:paraId="66A66EB0" w14:textId="77777777" w:rsidR="00713ED0" w:rsidRPr="00713ED0" w:rsidRDefault="00713ED0" w:rsidP="00FF45C2">
            <w:pPr>
              <w:pStyle w:val="TableTextEntries"/>
              <w:rPr>
                <w:sz w:val="14"/>
              </w:rPr>
            </w:pPr>
          </w:p>
        </w:tc>
        <w:tc>
          <w:tcPr>
            <w:tcW w:w="1152" w:type="dxa"/>
            <w:vMerge/>
            <w:vAlign w:val="center"/>
          </w:tcPr>
          <w:p w14:paraId="19F14476" w14:textId="77777777" w:rsidR="00713ED0" w:rsidRPr="00713ED0" w:rsidRDefault="00713ED0" w:rsidP="00FF45C2">
            <w:pPr>
              <w:pStyle w:val="TableTextEntries"/>
              <w:rPr>
                <w:sz w:val="14"/>
                <w:szCs w:val="16"/>
              </w:rPr>
            </w:pPr>
          </w:p>
        </w:tc>
        <w:tc>
          <w:tcPr>
            <w:tcW w:w="440" w:type="dxa"/>
            <w:vAlign w:val="center"/>
          </w:tcPr>
          <w:p w14:paraId="57DC1345" w14:textId="77777777" w:rsidR="00713ED0" w:rsidRPr="00713ED0" w:rsidRDefault="00713ED0" w:rsidP="00FF45C2">
            <w:pPr>
              <w:pStyle w:val="TableTextEntries"/>
            </w:pPr>
            <w:r w:rsidRPr="00713ED0">
              <w:t>2011</w:t>
            </w:r>
          </w:p>
        </w:tc>
        <w:tc>
          <w:tcPr>
            <w:tcW w:w="334" w:type="dxa"/>
            <w:shd w:val="clear" w:color="auto" w:fill="92D050"/>
            <w:noWrap/>
            <w:vAlign w:val="center"/>
          </w:tcPr>
          <w:p w14:paraId="30DC24F2" w14:textId="77777777" w:rsidR="00713ED0" w:rsidRPr="00FF45C2" w:rsidRDefault="00713ED0" w:rsidP="00FF45C2">
            <w:pPr>
              <w:pStyle w:val="TableTextEntries"/>
              <w:jc w:val="center"/>
            </w:pPr>
            <w:r w:rsidRPr="00FF45C2">
              <w:t>6</w:t>
            </w:r>
          </w:p>
        </w:tc>
        <w:tc>
          <w:tcPr>
            <w:tcW w:w="334" w:type="dxa"/>
            <w:shd w:val="clear" w:color="auto" w:fill="FFFF00"/>
            <w:noWrap/>
            <w:vAlign w:val="center"/>
          </w:tcPr>
          <w:p w14:paraId="08821A74"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023D9302" w14:textId="77777777" w:rsidR="00713ED0" w:rsidRPr="00FF45C2" w:rsidRDefault="00713ED0" w:rsidP="00FF45C2">
            <w:pPr>
              <w:pStyle w:val="TableTextEntries"/>
              <w:jc w:val="center"/>
            </w:pPr>
            <w:r w:rsidRPr="00FF45C2">
              <w:t>3</w:t>
            </w:r>
          </w:p>
        </w:tc>
        <w:tc>
          <w:tcPr>
            <w:tcW w:w="403" w:type="dxa"/>
            <w:shd w:val="clear" w:color="auto" w:fill="F79646" w:themeFill="accent6"/>
            <w:noWrap/>
            <w:vAlign w:val="center"/>
          </w:tcPr>
          <w:p w14:paraId="0F3D766B"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43F48D50"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17DE0783" w14:textId="77777777" w:rsidR="00713ED0" w:rsidRPr="00FF45C2" w:rsidRDefault="00713ED0" w:rsidP="00FF45C2">
            <w:pPr>
              <w:pStyle w:val="TableTextEntries"/>
              <w:jc w:val="center"/>
            </w:pPr>
            <w:r w:rsidRPr="00FF45C2">
              <w:t>3</w:t>
            </w:r>
          </w:p>
        </w:tc>
        <w:tc>
          <w:tcPr>
            <w:tcW w:w="347" w:type="dxa"/>
            <w:shd w:val="clear" w:color="auto" w:fill="E36C0A" w:themeFill="accent6" w:themeFillShade="BF"/>
            <w:noWrap/>
            <w:vAlign w:val="center"/>
          </w:tcPr>
          <w:p w14:paraId="3BD2F113" w14:textId="164BD783" w:rsidR="00713ED0" w:rsidRPr="00FF45C2" w:rsidRDefault="00713ED0" w:rsidP="00FF45C2">
            <w:pPr>
              <w:pStyle w:val="TableTextEntries"/>
              <w:jc w:val="center"/>
            </w:pPr>
            <w:r w:rsidRPr="00FF45C2">
              <w:t>I</w:t>
            </w:r>
          </w:p>
        </w:tc>
      </w:tr>
      <w:tr w:rsidR="00713ED0" w:rsidRPr="00713ED0" w14:paraId="029270A0"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681" w:type="dxa"/>
            <w:vMerge w:val="restart"/>
            <w:vAlign w:val="center"/>
          </w:tcPr>
          <w:p w14:paraId="47F1EC67" w14:textId="77777777" w:rsidR="00713ED0" w:rsidRPr="00713ED0" w:rsidRDefault="00713ED0" w:rsidP="00FF45C2">
            <w:pPr>
              <w:pStyle w:val="TableTextEntries"/>
            </w:pPr>
            <w:r w:rsidRPr="00713ED0">
              <w:t>INE114</w:t>
            </w:r>
          </w:p>
        </w:tc>
        <w:tc>
          <w:tcPr>
            <w:tcW w:w="1628" w:type="dxa"/>
            <w:gridSpan w:val="2"/>
            <w:vMerge w:val="restart"/>
            <w:vAlign w:val="center"/>
          </w:tcPr>
          <w:p w14:paraId="270701F6" w14:textId="0A53EE21" w:rsidR="00713ED0" w:rsidRPr="00713ED0" w:rsidRDefault="00713ED0" w:rsidP="00FF45C2">
            <w:pPr>
              <w:pStyle w:val="TableTextEntries"/>
            </w:pPr>
            <w:r w:rsidRPr="00713ED0">
              <w:t>SMERU</w:t>
            </w:r>
            <w:r w:rsidR="0088219C">
              <w:t xml:space="preserve"> Research Institute</w:t>
            </w:r>
          </w:p>
        </w:tc>
        <w:tc>
          <w:tcPr>
            <w:tcW w:w="813" w:type="dxa"/>
            <w:vMerge w:val="restart"/>
            <w:vAlign w:val="center"/>
          </w:tcPr>
          <w:p w14:paraId="52E30C57" w14:textId="77777777" w:rsidR="00713ED0" w:rsidRPr="00713ED0" w:rsidRDefault="00713ED0" w:rsidP="00FF45C2">
            <w:pPr>
              <w:pStyle w:val="TableTextEntries"/>
              <w:rPr>
                <w:sz w:val="14"/>
              </w:rPr>
            </w:pPr>
            <w:r w:rsidRPr="00713ED0">
              <w:rPr>
                <w:sz w:val="14"/>
              </w:rPr>
              <w:t>29/10/1998</w:t>
            </w:r>
          </w:p>
        </w:tc>
        <w:tc>
          <w:tcPr>
            <w:tcW w:w="808" w:type="dxa"/>
            <w:vMerge w:val="restart"/>
            <w:vAlign w:val="center"/>
          </w:tcPr>
          <w:p w14:paraId="6B5D3481" w14:textId="77777777" w:rsidR="00713ED0" w:rsidRPr="00713ED0" w:rsidRDefault="00713ED0" w:rsidP="00FF45C2">
            <w:pPr>
              <w:pStyle w:val="TableTextEntries"/>
              <w:rPr>
                <w:sz w:val="14"/>
              </w:rPr>
            </w:pPr>
            <w:r w:rsidRPr="00713ED0">
              <w:rPr>
                <w:sz w:val="14"/>
              </w:rPr>
              <w:t>31/03/2014</w:t>
            </w:r>
          </w:p>
        </w:tc>
        <w:tc>
          <w:tcPr>
            <w:tcW w:w="1152" w:type="dxa"/>
            <w:vMerge w:val="restart"/>
            <w:vAlign w:val="center"/>
          </w:tcPr>
          <w:p w14:paraId="71B41CF7" w14:textId="37E185F5" w:rsidR="00713ED0" w:rsidRPr="00713ED0" w:rsidRDefault="00713ED0" w:rsidP="00FF45C2">
            <w:pPr>
              <w:pStyle w:val="TableTextEntries"/>
              <w:rPr>
                <w:sz w:val="14"/>
                <w:szCs w:val="16"/>
              </w:rPr>
            </w:pPr>
            <w:r w:rsidRPr="00713ED0">
              <w:rPr>
                <w:sz w:val="14"/>
                <w:szCs w:val="16"/>
              </w:rPr>
              <w:t>$10</w:t>
            </w:r>
            <w:r w:rsidR="00501774">
              <w:rPr>
                <w:sz w:val="14"/>
                <w:szCs w:val="16"/>
              </w:rPr>
              <w:t xml:space="preserve"> </w:t>
            </w:r>
            <w:r w:rsidRPr="00713ED0">
              <w:rPr>
                <w:sz w:val="14"/>
                <w:szCs w:val="16"/>
              </w:rPr>
              <w:t>249</w:t>
            </w:r>
            <w:r w:rsidR="00501774">
              <w:rPr>
                <w:sz w:val="14"/>
                <w:szCs w:val="16"/>
              </w:rPr>
              <w:t xml:space="preserve"> </w:t>
            </w:r>
            <w:r w:rsidRPr="00713ED0">
              <w:rPr>
                <w:sz w:val="14"/>
                <w:szCs w:val="16"/>
              </w:rPr>
              <w:t>558.39</w:t>
            </w:r>
          </w:p>
        </w:tc>
        <w:tc>
          <w:tcPr>
            <w:tcW w:w="440" w:type="dxa"/>
            <w:vAlign w:val="center"/>
          </w:tcPr>
          <w:p w14:paraId="25C82359" w14:textId="77777777" w:rsidR="00713ED0" w:rsidRPr="00713ED0" w:rsidRDefault="00713ED0" w:rsidP="00FF45C2">
            <w:pPr>
              <w:pStyle w:val="TableTextEntries"/>
            </w:pPr>
            <w:r w:rsidRPr="00713ED0">
              <w:t>2012</w:t>
            </w:r>
          </w:p>
        </w:tc>
        <w:tc>
          <w:tcPr>
            <w:tcW w:w="334" w:type="dxa"/>
            <w:shd w:val="clear" w:color="auto" w:fill="92D050"/>
            <w:noWrap/>
            <w:vAlign w:val="center"/>
          </w:tcPr>
          <w:p w14:paraId="0A00CB4D"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5B8404C4" w14:textId="77777777" w:rsidR="00713ED0" w:rsidRPr="00FF45C2" w:rsidRDefault="00713ED0" w:rsidP="00FF45C2">
            <w:pPr>
              <w:pStyle w:val="TableTextEntries"/>
              <w:jc w:val="center"/>
            </w:pPr>
            <w:r w:rsidRPr="00FF45C2">
              <w:t>6</w:t>
            </w:r>
          </w:p>
        </w:tc>
        <w:tc>
          <w:tcPr>
            <w:tcW w:w="334" w:type="dxa"/>
            <w:shd w:val="clear" w:color="auto" w:fill="FFFF00"/>
            <w:noWrap/>
            <w:vAlign w:val="center"/>
          </w:tcPr>
          <w:p w14:paraId="72B7AB17"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0B2B9409"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21DAC85B"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1450F8B"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31722216" w14:textId="76977143" w:rsidR="00713ED0" w:rsidRPr="00FF45C2" w:rsidRDefault="00713ED0" w:rsidP="00FF45C2">
            <w:pPr>
              <w:pStyle w:val="TableTextEntries"/>
              <w:jc w:val="center"/>
            </w:pPr>
            <w:r w:rsidRPr="00FF45C2">
              <w:t>I</w:t>
            </w:r>
          </w:p>
        </w:tc>
      </w:tr>
      <w:tr w:rsidR="00713ED0" w:rsidRPr="00713ED0" w14:paraId="1DB94D61" w14:textId="77777777" w:rsidTr="00E0168D">
        <w:trPr>
          <w:tblHeader w:val="0"/>
        </w:trPr>
        <w:tc>
          <w:tcPr>
            <w:tcW w:w="681" w:type="dxa"/>
            <w:vMerge/>
            <w:vAlign w:val="center"/>
          </w:tcPr>
          <w:p w14:paraId="46F75A4E" w14:textId="77777777" w:rsidR="00713ED0" w:rsidRPr="00713ED0" w:rsidRDefault="00713ED0" w:rsidP="00FF45C2">
            <w:pPr>
              <w:pStyle w:val="TableTextEntries"/>
            </w:pPr>
          </w:p>
        </w:tc>
        <w:tc>
          <w:tcPr>
            <w:tcW w:w="1628" w:type="dxa"/>
            <w:gridSpan w:val="2"/>
            <w:vMerge/>
            <w:vAlign w:val="center"/>
          </w:tcPr>
          <w:p w14:paraId="1A503450" w14:textId="77777777" w:rsidR="00713ED0" w:rsidRPr="00713ED0" w:rsidRDefault="00713ED0" w:rsidP="00FF45C2">
            <w:pPr>
              <w:pStyle w:val="TableTextEntries"/>
            </w:pPr>
          </w:p>
        </w:tc>
        <w:tc>
          <w:tcPr>
            <w:tcW w:w="813" w:type="dxa"/>
            <w:vMerge/>
            <w:vAlign w:val="center"/>
          </w:tcPr>
          <w:p w14:paraId="11F3A09B" w14:textId="77777777" w:rsidR="00713ED0" w:rsidRPr="00713ED0" w:rsidRDefault="00713ED0" w:rsidP="00FF45C2">
            <w:pPr>
              <w:pStyle w:val="TableTextEntries"/>
              <w:rPr>
                <w:sz w:val="14"/>
              </w:rPr>
            </w:pPr>
          </w:p>
        </w:tc>
        <w:tc>
          <w:tcPr>
            <w:tcW w:w="808" w:type="dxa"/>
            <w:vMerge/>
            <w:vAlign w:val="center"/>
          </w:tcPr>
          <w:p w14:paraId="4A650EFC" w14:textId="77777777" w:rsidR="00713ED0" w:rsidRPr="00713ED0" w:rsidRDefault="00713ED0" w:rsidP="00FF45C2">
            <w:pPr>
              <w:pStyle w:val="TableTextEntries"/>
              <w:rPr>
                <w:sz w:val="14"/>
              </w:rPr>
            </w:pPr>
          </w:p>
        </w:tc>
        <w:tc>
          <w:tcPr>
            <w:tcW w:w="1152" w:type="dxa"/>
            <w:vMerge/>
            <w:vAlign w:val="center"/>
          </w:tcPr>
          <w:p w14:paraId="21FCA7A0" w14:textId="77777777" w:rsidR="00713ED0" w:rsidRPr="00713ED0" w:rsidRDefault="00713ED0" w:rsidP="00FF45C2">
            <w:pPr>
              <w:pStyle w:val="TableTextEntries"/>
              <w:rPr>
                <w:sz w:val="14"/>
                <w:szCs w:val="16"/>
              </w:rPr>
            </w:pPr>
          </w:p>
        </w:tc>
        <w:tc>
          <w:tcPr>
            <w:tcW w:w="440" w:type="dxa"/>
            <w:vAlign w:val="center"/>
          </w:tcPr>
          <w:p w14:paraId="74B762F0" w14:textId="77777777" w:rsidR="00713ED0" w:rsidRPr="00713ED0" w:rsidRDefault="00713ED0" w:rsidP="00FF45C2">
            <w:pPr>
              <w:pStyle w:val="TableTextEntries"/>
            </w:pPr>
            <w:r w:rsidRPr="00713ED0">
              <w:t>2011</w:t>
            </w:r>
          </w:p>
        </w:tc>
        <w:tc>
          <w:tcPr>
            <w:tcW w:w="334" w:type="dxa"/>
            <w:shd w:val="clear" w:color="auto" w:fill="92D050"/>
            <w:noWrap/>
            <w:vAlign w:val="center"/>
          </w:tcPr>
          <w:p w14:paraId="3A5B8BC5"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650DE4B3" w14:textId="77777777" w:rsidR="00713ED0" w:rsidRPr="00FF45C2" w:rsidRDefault="00713ED0" w:rsidP="00FF45C2">
            <w:pPr>
              <w:pStyle w:val="TableTextEntries"/>
              <w:jc w:val="center"/>
            </w:pPr>
            <w:r w:rsidRPr="00FF45C2">
              <w:t>6</w:t>
            </w:r>
          </w:p>
        </w:tc>
        <w:tc>
          <w:tcPr>
            <w:tcW w:w="334" w:type="dxa"/>
            <w:shd w:val="clear" w:color="auto" w:fill="FFFF00"/>
            <w:noWrap/>
            <w:vAlign w:val="center"/>
          </w:tcPr>
          <w:p w14:paraId="610B8297"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119DB359"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9F624A9"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22E9649A" w14:textId="77777777" w:rsidR="00713ED0" w:rsidRPr="00FF45C2" w:rsidRDefault="00713ED0" w:rsidP="00FF45C2">
            <w:pPr>
              <w:pStyle w:val="TableTextEntries"/>
              <w:jc w:val="center"/>
            </w:pPr>
            <w:r w:rsidRPr="00FF45C2">
              <w:t>4</w:t>
            </w:r>
          </w:p>
        </w:tc>
        <w:tc>
          <w:tcPr>
            <w:tcW w:w="347" w:type="dxa"/>
            <w:tcBorders>
              <w:top w:val="nil"/>
              <w:bottom w:val="nil"/>
            </w:tcBorders>
            <w:shd w:val="clear" w:color="auto" w:fill="92D050"/>
            <w:noWrap/>
            <w:vAlign w:val="center"/>
          </w:tcPr>
          <w:p w14:paraId="6EC52F6D" w14:textId="77777777" w:rsidR="00713ED0" w:rsidRPr="00FF45C2" w:rsidRDefault="00713ED0" w:rsidP="00FF45C2">
            <w:pPr>
              <w:pStyle w:val="TableTextEntries"/>
              <w:jc w:val="center"/>
            </w:pPr>
            <w:r w:rsidRPr="00FF45C2">
              <w:t>M</w:t>
            </w:r>
          </w:p>
        </w:tc>
      </w:tr>
      <w:tr w:rsidR="00713ED0" w:rsidRPr="00713ED0" w14:paraId="2F912D06"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681" w:type="dxa"/>
            <w:vMerge w:val="restart"/>
            <w:vAlign w:val="center"/>
          </w:tcPr>
          <w:p w14:paraId="68DA418D" w14:textId="77777777" w:rsidR="00713ED0" w:rsidRPr="00713ED0" w:rsidRDefault="00713ED0" w:rsidP="00FF45C2">
            <w:pPr>
              <w:pStyle w:val="TableTextEntries"/>
            </w:pPr>
            <w:r w:rsidRPr="00713ED0">
              <w:t>INH361</w:t>
            </w:r>
          </w:p>
        </w:tc>
        <w:tc>
          <w:tcPr>
            <w:tcW w:w="1628" w:type="dxa"/>
            <w:gridSpan w:val="2"/>
            <w:vMerge w:val="restart"/>
            <w:vAlign w:val="center"/>
          </w:tcPr>
          <w:p w14:paraId="1811AAB9" w14:textId="77777777" w:rsidR="00713ED0" w:rsidRPr="00713ED0" w:rsidRDefault="00713ED0" w:rsidP="00FF45C2">
            <w:pPr>
              <w:pStyle w:val="TableTextEntries"/>
            </w:pPr>
            <w:r w:rsidRPr="00713ED0">
              <w:t>Aceh Education Sector Development</w:t>
            </w:r>
          </w:p>
        </w:tc>
        <w:tc>
          <w:tcPr>
            <w:tcW w:w="813" w:type="dxa"/>
            <w:vMerge w:val="restart"/>
            <w:vAlign w:val="center"/>
          </w:tcPr>
          <w:p w14:paraId="78CF2F47" w14:textId="77777777" w:rsidR="00713ED0" w:rsidRPr="00713ED0" w:rsidRDefault="00713ED0" w:rsidP="00FF45C2">
            <w:pPr>
              <w:pStyle w:val="TableTextEntries"/>
              <w:rPr>
                <w:sz w:val="14"/>
              </w:rPr>
            </w:pPr>
            <w:r w:rsidRPr="00713ED0">
              <w:rPr>
                <w:sz w:val="14"/>
              </w:rPr>
              <w:t>01/07/2007</w:t>
            </w:r>
          </w:p>
        </w:tc>
        <w:tc>
          <w:tcPr>
            <w:tcW w:w="808" w:type="dxa"/>
            <w:vMerge w:val="restart"/>
            <w:vAlign w:val="center"/>
          </w:tcPr>
          <w:p w14:paraId="3F55C036" w14:textId="77777777" w:rsidR="00713ED0" w:rsidRPr="00713ED0" w:rsidRDefault="00713ED0" w:rsidP="00FF45C2">
            <w:pPr>
              <w:pStyle w:val="TableTextEntries"/>
              <w:rPr>
                <w:sz w:val="14"/>
              </w:rPr>
            </w:pPr>
            <w:r w:rsidRPr="00713ED0">
              <w:rPr>
                <w:sz w:val="14"/>
              </w:rPr>
              <w:t>30/06/2013</w:t>
            </w:r>
          </w:p>
        </w:tc>
        <w:tc>
          <w:tcPr>
            <w:tcW w:w="1152" w:type="dxa"/>
            <w:vMerge w:val="restart"/>
            <w:vAlign w:val="center"/>
          </w:tcPr>
          <w:p w14:paraId="57BBB68D" w14:textId="70AE9A33" w:rsidR="00713ED0" w:rsidRPr="00713ED0" w:rsidRDefault="00713ED0" w:rsidP="00FF45C2">
            <w:pPr>
              <w:pStyle w:val="TableTextEntries"/>
              <w:rPr>
                <w:sz w:val="14"/>
                <w:szCs w:val="16"/>
              </w:rPr>
            </w:pPr>
            <w:r w:rsidRPr="00713ED0">
              <w:rPr>
                <w:sz w:val="14"/>
                <w:szCs w:val="16"/>
              </w:rPr>
              <w:t>$11</w:t>
            </w:r>
            <w:r w:rsidR="00501774">
              <w:rPr>
                <w:sz w:val="14"/>
                <w:szCs w:val="16"/>
              </w:rPr>
              <w:t xml:space="preserve"> </w:t>
            </w:r>
            <w:r w:rsidRPr="00713ED0">
              <w:rPr>
                <w:sz w:val="14"/>
                <w:szCs w:val="16"/>
              </w:rPr>
              <w:t>860</w:t>
            </w:r>
            <w:r w:rsidR="00501774">
              <w:rPr>
                <w:sz w:val="14"/>
                <w:szCs w:val="16"/>
              </w:rPr>
              <w:t xml:space="preserve"> </w:t>
            </w:r>
            <w:r w:rsidRPr="00713ED0">
              <w:rPr>
                <w:sz w:val="14"/>
                <w:szCs w:val="16"/>
              </w:rPr>
              <w:t>705.32</w:t>
            </w:r>
          </w:p>
        </w:tc>
        <w:tc>
          <w:tcPr>
            <w:tcW w:w="440" w:type="dxa"/>
            <w:vAlign w:val="center"/>
          </w:tcPr>
          <w:p w14:paraId="57571E61" w14:textId="77777777" w:rsidR="00713ED0" w:rsidRPr="00713ED0" w:rsidRDefault="00713ED0" w:rsidP="00FF45C2">
            <w:pPr>
              <w:pStyle w:val="TableTextEntries"/>
            </w:pPr>
            <w:r w:rsidRPr="00713ED0">
              <w:t>2012</w:t>
            </w:r>
          </w:p>
        </w:tc>
        <w:tc>
          <w:tcPr>
            <w:tcW w:w="334" w:type="dxa"/>
            <w:shd w:val="clear" w:color="auto" w:fill="FFFF00"/>
            <w:noWrap/>
            <w:vAlign w:val="center"/>
          </w:tcPr>
          <w:p w14:paraId="4435634D"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4F2F68AC"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68CF774F"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7A20EFF5"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CA2772C"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FC2C5D9" w14:textId="77777777" w:rsidR="00713ED0" w:rsidRPr="00FF45C2" w:rsidRDefault="00713ED0" w:rsidP="00FF45C2">
            <w:pPr>
              <w:pStyle w:val="TableTextEntries"/>
              <w:jc w:val="center"/>
            </w:pPr>
            <w:r w:rsidRPr="00FF45C2">
              <w:t>5</w:t>
            </w:r>
          </w:p>
        </w:tc>
        <w:tc>
          <w:tcPr>
            <w:tcW w:w="347" w:type="dxa"/>
            <w:shd w:val="clear" w:color="auto" w:fill="92D050"/>
            <w:noWrap/>
            <w:vAlign w:val="center"/>
          </w:tcPr>
          <w:p w14:paraId="4E2D0121" w14:textId="77777777" w:rsidR="00713ED0" w:rsidRPr="00FF45C2" w:rsidRDefault="00713ED0" w:rsidP="00FF45C2">
            <w:pPr>
              <w:pStyle w:val="TableTextEntries"/>
              <w:jc w:val="center"/>
            </w:pPr>
            <w:r w:rsidRPr="00FF45C2">
              <w:t>M</w:t>
            </w:r>
          </w:p>
        </w:tc>
      </w:tr>
      <w:tr w:rsidR="00713ED0" w:rsidRPr="00713ED0" w14:paraId="171832D6" w14:textId="77777777" w:rsidTr="00E0168D">
        <w:trPr>
          <w:tblHeader w:val="0"/>
        </w:trPr>
        <w:tc>
          <w:tcPr>
            <w:tcW w:w="681" w:type="dxa"/>
            <w:vMerge/>
            <w:vAlign w:val="center"/>
          </w:tcPr>
          <w:p w14:paraId="6F791771" w14:textId="77777777" w:rsidR="00713ED0" w:rsidRPr="00713ED0" w:rsidRDefault="00713ED0" w:rsidP="00FF45C2">
            <w:pPr>
              <w:pStyle w:val="TableTextEntries"/>
            </w:pPr>
          </w:p>
        </w:tc>
        <w:tc>
          <w:tcPr>
            <w:tcW w:w="1628" w:type="dxa"/>
            <w:gridSpan w:val="2"/>
            <w:vMerge/>
            <w:vAlign w:val="center"/>
          </w:tcPr>
          <w:p w14:paraId="13854935" w14:textId="77777777" w:rsidR="00713ED0" w:rsidRPr="00713ED0" w:rsidRDefault="00713ED0" w:rsidP="00FF45C2">
            <w:pPr>
              <w:pStyle w:val="TableTextEntries"/>
            </w:pPr>
          </w:p>
        </w:tc>
        <w:tc>
          <w:tcPr>
            <w:tcW w:w="813" w:type="dxa"/>
            <w:vMerge/>
            <w:vAlign w:val="center"/>
          </w:tcPr>
          <w:p w14:paraId="7B56332B" w14:textId="77777777" w:rsidR="00713ED0" w:rsidRPr="00713ED0" w:rsidRDefault="00713ED0" w:rsidP="00FF45C2">
            <w:pPr>
              <w:pStyle w:val="TableTextEntries"/>
              <w:rPr>
                <w:sz w:val="14"/>
              </w:rPr>
            </w:pPr>
          </w:p>
        </w:tc>
        <w:tc>
          <w:tcPr>
            <w:tcW w:w="808" w:type="dxa"/>
            <w:vMerge/>
            <w:vAlign w:val="center"/>
          </w:tcPr>
          <w:p w14:paraId="34F5EC50" w14:textId="77777777" w:rsidR="00713ED0" w:rsidRPr="00713ED0" w:rsidRDefault="00713ED0" w:rsidP="00FF45C2">
            <w:pPr>
              <w:pStyle w:val="TableTextEntries"/>
              <w:rPr>
                <w:sz w:val="14"/>
              </w:rPr>
            </w:pPr>
          </w:p>
        </w:tc>
        <w:tc>
          <w:tcPr>
            <w:tcW w:w="1152" w:type="dxa"/>
            <w:vMerge/>
            <w:vAlign w:val="center"/>
          </w:tcPr>
          <w:p w14:paraId="59777DEC" w14:textId="77777777" w:rsidR="00713ED0" w:rsidRPr="00713ED0" w:rsidRDefault="00713ED0" w:rsidP="00FF45C2">
            <w:pPr>
              <w:pStyle w:val="TableTextEntries"/>
              <w:rPr>
                <w:sz w:val="14"/>
                <w:szCs w:val="16"/>
              </w:rPr>
            </w:pPr>
          </w:p>
        </w:tc>
        <w:tc>
          <w:tcPr>
            <w:tcW w:w="440" w:type="dxa"/>
            <w:vAlign w:val="center"/>
          </w:tcPr>
          <w:p w14:paraId="58269DCD" w14:textId="77777777" w:rsidR="00713ED0" w:rsidRPr="00713ED0" w:rsidRDefault="00713ED0" w:rsidP="00FF45C2">
            <w:pPr>
              <w:pStyle w:val="TableTextEntries"/>
            </w:pPr>
            <w:r w:rsidRPr="00713ED0">
              <w:t>2011</w:t>
            </w:r>
          </w:p>
        </w:tc>
        <w:tc>
          <w:tcPr>
            <w:tcW w:w="334" w:type="dxa"/>
            <w:shd w:val="clear" w:color="auto" w:fill="92D050"/>
            <w:noWrap/>
            <w:vAlign w:val="center"/>
          </w:tcPr>
          <w:p w14:paraId="5C809DDC"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D34D95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7F829EF7"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51196B0E"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572CE5B4"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707520A0" w14:textId="77777777" w:rsidR="00713ED0" w:rsidRPr="00FF45C2" w:rsidRDefault="00713ED0" w:rsidP="00FF45C2">
            <w:pPr>
              <w:pStyle w:val="TableTextEntries"/>
              <w:jc w:val="center"/>
            </w:pPr>
            <w:r w:rsidRPr="00FF45C2">
              <w:t>4</w:t>
            </w:r>
          </w:p>
        </w:tc>
        <w:tc>
          <w:tcPr>
            <w:tcW w:w="347" w:type="dxa"/>
            <w:tcBorders>
              <w:top w:val="nil"/>
              <w:bottom w:val="nil"/>
            </w:tcBorders>
            <w:shd w:val="clear" w:color="auto" w:fill="92D050"/>
            <w:noWrap/>
            <w:vAlign w:val="center"/>
          </w:tcPr>
          <w:p w14:paraId="58718C17" w14:textId="77777777" w:rsidR="00713ED0" w:rsidRPr="00FF45C2" w:rsidRDefault="00713ED0" w:rsidP="00FF45C2">
            <w:pPr>
              <w:pStyle w:val="TableTextEntries"/>
              <w:jc w:val="center"/>
            </w:pPr>
            <w:r w:rsidRPr="00FF45C2">
              <w:t>M</w:t>
            </w:r>
          </w:p>
        </w:tc>
      </w:tr>
      <w:tr w:rsidR="00713ED0" w:rsidRPr="00713ED0" w14:paraId="76938F57"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681" w:type="dxa"/>
            <w:vMerge w:val="restart"/>
            <w:vAlign w:val="center"/>
          </w:tcPr>
          <w:p w14:paraId="16630579" w14:textId="77777777" w:rsidR="00713ED0" w:rsidRPr="00713ED0" w:rsidRDefault="00713ED0" w:rsidP="00FF45C2">
            <w:pPr>
              <w:pStyle w:val="TableTextEntries"/>
            </w:pPr>
            <w:r w:rsidRPr="00713ED0">
              <w:t>INH436</w:t>
            </w:r>
          </w:p>
        </w:tc>
        <w:tc>
          <w:tcPr>
            <w:tcW w:w="1628" w:type="dxa"/>
            <w:gridSpan w:val="2"/>
            <w:vMerge w:val="restart"/>
            <w:vAlign w:val="center"/>
          </w:tcPr>
          <w:p w14:paraId="6FD5C29A" w14:textId="77777777" w:rsidR="00713ED0" w:rsidRPr="00713ED0" w:rsidRDefault="00713ED0" w:rsidP="00FF45C2">
            <w:pPr>
              <w:pStyle w:val="TableTextEntries"/>
            </w:pPr>
            <w:r w:rsidRPr="00713ED0">
              <w:t>Papua Education Sector Development</w:t>
            </w:r>
          </w:p>
        </w:tc>
        <w:tc>
          <w:tcPr>
            <w:tcW w:w="813" w:type="dxa"/>
            <w:vMerge w:val="restart"/>
            <w:vAlign w:val="center"/>
          </w:tcPr>
          <w:p w14:paraId="7697915E" w14:textId="77777777" w:rsidR="00713ED0" w:rsidRPr="00713ED0" w:rsidRDefault="00713ED0" w:rsidP="00FF45C2">
            <w:pPr>
              <w:pStyle w:val="TableTextEntries"/>
              <w:rPr>
                <w:sz w:val="14"/>
              </w:rPr>
            </w:pPr>
            <w:r w:rsidRPr="00713ED0">
              <w:rPr>
                <w:sz w:val="14"/>
              </w:rPr>
              <w:t>01/07/2007</w:t>
            </w:r>
          </w:p>
        </w:tc>
        <w:tc>
          <w:tcPr>
            <w:tcW w:w="808" w:type="dxa"/>
            <w:vMerge w:val="restart"/>
            <w:vAlign w:val="center"/>
          </w:tcPr>
          <w:p w14:paraId="2FB0B411" w14:textId="77777777" w:rsidR="00713ED0" w:rsidRPr="00713ED0" w:rsidRDefault="00713ED0" w:rsidP="00FF45C2">
            <w:pPr>
              <w:pStyle w:val="TableTextEntries"/>
              <w:rPr>
                <w:sz w:val="14"/>
              </w:rPr>
            </w:pPr>
            <w:r w:rsidRPr="00713ED0">
              <w:rPr>
                <w:sz w:val="14"/>
              </w:rPr>
              <w:t>30/06/2013</w:t>
            </w:r>
          </w:p>
        </w:tc>
        <w:tc>
          <w:tcPr>
            <w:tcW w:w="1152" w:type="dxa"/>
            <w:vMerge w:val="restart"/>
            <w:vAlign w:val="center"/>
          </w:tcPr>
          <w:p w14:paraId="28F8BFD4" w14:textId="47DAC057" w:rsidR="00713ED0" w:rsidRPr="00713ED0" w:rsidRDefault="00713ED0" w:rsidP="00FF45C2">
            <w:pPr>
              <w:pStyle w:val="TableTextEntries"/>
              <w:rPr>
                <w:sz w:val="14"/>
                <w:szCs w:val="16"/>
              </w:rPr>
            </w:pPr>
            <w:r w:rsidRPr="00713ED0">
              <w:rPr>
                <w:sz w:val="14"/>
                <w:szCs w:val="16"/>
              </w:rPr>
              <w:t>$7</w:t>
            </w:r>
            <w:r w:rsidR="00501774">
              <w:rPr>
                <w:sz w:val="14"/>
                <w:szCs w:val="16"/>
              </w:rPr>
              <w:t xml:space="preserve"> </w:t>
            </w:r>
            <w:r w:rsidRPr="00713ED0">
              <w:rPr>
                <w:sz w:val="14"/>
                <w:szCs w:val="16"/>
              </w:rPr>
              <w:t>698</w:t>
            </w:r>
            <w:r w:rsidR="00501774">
              <w:rPr>
                <w:sz w:val="14"/>
                <w:szCs w:val="16"/>
              </w:rPr>
              <w:t xml:space="preserve"> </w:t>
            </w:r>
            <w:r w:rsidRPr="00713ED0">
              <w:rPr>
                <w:sz w:val="14"/>
                <w:szCs w:val="16"/>
              </w:rPr>
              <w:t>179.31</w:t>
            </w:r>
          </w:p>
        </w:tc>
        <w:tc>
          <w:tcPr>
            <w:tcW w:w="440" w:type="dxa"/>
            <w:vAlign w:val="center"/>
          </w:tcPr>
          <w:p w14:paraId="69E3DEB6" w14:textId="77777777" w:rsidR="00713ED0" w:rsidRPr="00713ED0" w:rsidRDefault="00713ED0" w:rsidP="00FF45C2">
            <w:pPr>
              <w:pStyle w:val="TableTextEntries"/>
            </w:pPr>
            <w:r w:rsidRPr="00713ED0">
              <w:t>2012</w:t>
            </w:r>
          </w:p>
        </w:tc>
        <w:tc>
          <w:tcPr>
            <w:tcW w:w="334" w:type="dxa"/>
            <w:shd w:val="clear" w:color="auto" w:fill="92D050"/>
            <w:noWrap/>
            <w:vAlign w:val="center"/>
          </w:tcPr>
          <w:p w14:paraId="65E3DCE2"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19DB219"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9C66DC8"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5C6E5F81"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1152CD81"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30A28815"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664B6CA3" w14:textId="77777777" w:rsidR="00713ED0" w:rsidRPr="00FF45C2" w:rsidRDefault="00713ED0" w:rsidP="00FF45C2">
            <w:pPr>
              <w:pStyle w:val="TableTextEntries"/>
              <w:jc w:val="center"/>
            </w:pPr>
            <w:r w:rsidRPr="00FF45C2">
              <w:t>I</w:t>
            </w:r>
          </w:p>
        </w:tc>
      </w:tr>
      <w:tr w:rsidR="00713ED0" w:rsidRPr="00713ED0" w14:paraId="0F8C34AC" w14:textId="77777777" w:rsidTr="00E0168D">
        <w:trPr>
          <w:tblHeader w:val="0"/>
        </w:trPr>
        <w:tc>
          <w:tcPr>
            <w:tcW w:w="681" w:type="dxa"/>
            <w:vMerge/>
            <w:vAlign w:val="center"/>
          </w:tcPr>
          <w:p w14:paraId="15EEEC8D" w14:textId="77777777" w:rsidR="00713ED0" w:rsidRPr="00713ED0" w:rsidRDefault="00713ED0" w:rsidP="00FF45C2">
            <w:pPr>
              <w:pStyle w:val="TableTextEntries"/>
            </w:pPr>
          </w:p>
        </w:tc>
        <w:tc>
          <w:tcPr>
            <w:tcW w:w="1628" w:type="dxa"/>
            <w:gridSpan w:val="2"/>
            <w:vMerge/>
            <w:vAlign w:val="center"/>
          </w:tcPr>
          <w:p w14:paraId="09F59F17" w14:textId="77777777" w:rsidR="00713ED0" w:rsidRPr="00713ED0" w:rsidRDefault="00713ED0" w:rsidP="00FF45C2">
            <w:pPr>
              <w:pStyle w:val="TableTextEntries"/>
            </w:pPr>
          </w:p>
        </w:tc>
        <w:tc>
          <w:tcPr>
            <w:tcW w:w="813" w:type="dxa"/>
            <w:vMerge/>
            <w:vAlign w:val="center"/>
          </w:tcPr>
          <w:p w14:paraId="2EE4DBDF" w14:textId="77777777" w:rsidR="00713ED0" w:rsidRPr="00713ED0" w:rsidRDefault="00713ED0" w:rsidP="00FF45C2">
            <w:pPr>
              <w:pStyle w:val="TableTextEntries"/>
              <w:rPr>
                <w:sz w:val="14"/>
              </w:rPr>
            </w:pPr>
          </w:p>
        </w:tc>
        <w:tc>
          <w:tcPr>
            <w:tcW w:w="808" w:type="dxa"/>
            <w:vMerge/>
            <w:vAlign w:val="center"/>
          </w:tcPr>
          <w:p w14:paraId="1CD3BB6D" w14:textId="77777777" w:rsidR="00713ED0" w:rsidRPr="00713ED0" w:rsidRDefault="00713ED0" w:rsidP="00FF45C2">
            <w:pPr>
              <w:pStyle w:val="TableTextEntries"/>
              <w:rPr>
                <w:sz w:val="14"/>
              </w:rPr>
            </w:pPr>
          </w:p>
        </w:tc>
        <w:tc>
          <w:tcPr>
            <w:tcW w:w="1152" w:type="dxa"/>
            <w:vMerge/>
            <w:vAlign w:val="center"/>
          </w:tcPr>
          <w:p w14:paraId="01CA0E08" w14:textId="77777777" w:rsidR="00713ED0" w:rsidRPr="00713ED0" w:rsidRDefault="00713ED0" w:rsidP="00FF45C2">
            <w:pPr>
              <w:pStyle w:val="TableTextEntries"/>
              <w:rPr>
                <w:sz w:val="14"/>
                <w:szCs w:val="16"/>
              </w:rPr>
            </w:pPr>
          </w:p>
        </w:tc>
        <w:tc>
          <w:tcPr>
            <w:tcW w:w="440" w:type="dxa"/>
            <w:vAlign w:val="center"/>
          </w:tcPr>
          <w:p w14:paraId="3F88FCAF" w14:textId="77777777" w:rsidR="00713ED0" w:rsidRPr="00713ED0" w:rsidRDefault="00713ED0" w:rsidP="00FF45C2">
            <w:pPr>
              <w:pStyle w:val="TableTextEntries"/>
            </w:pPr>
            <w:r w:rsidRPr="00713ED0">
              <w:t>2011</w:t>
            </w:r>
          </w:p>
        </w:tc>
        <w:tc>
          <w:tcPr>
            <w:tcW w:w="334" w:type="dxa"/>
            <w:shd w:val="clear" w:color="auto" w:fill="92D050"/>
            <w:noWrap/>
            <w:vAlign w:val="center"/>
          </w:tcPr>
          <w:p w14:paraId="05528CC3"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AEECE62"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670729F"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62EA229D"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4B3ECD9B"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436294B7" w14:textId="77777777" w:rsidR="00713ED0" w:rsidRPr="00FF45C2" w:rsidRDefault="00713ED0" w:rsidP="00FF45C2">
            <w:pPr>
              <w:pStyle w:val="TableTextEntries"/>
              <w:jc w:val="center"/>
            </w:pPr>
            <w:r w:rsidRPr="00FF45C2">
              <w:t>4</w:t>
            </w:r>
          </w:p>
        </w:tc>
        <w:tc>
          <w:tcPr>
            <w:tcW w:w="347" w:type="dxa"/>
            <w:tcBorders>
              <w:top w:val="nil"/>
              <w:bottom w:val="nil"/>
            </w:tcBorders>
            <w:shd w:val="clear" w:color="auto" w:fill="92D050"/>
            <w:noWrap/>
            <w:vAlign w:val="center"/>
          </w:tcPr>
          <w:p w14:paraId="37F00F6A" w14:textId="77777777" w:rsidR="00713ED0" w:rsidRPr="00FF45C2" w:rsidRDefault="00713ED0" w:rsidP="00FF45C2">
            <w:pPr>
              <w:pStyle w:val="TableTextEntries"/>
              <w:jc w:val="center"/>
            </w:pPr>
            <w:r w:rsidRPr="00FF45C2">
              <w:t>M</w:t>
            </w:r>
          </w:p>
        </w:tc>
      </w:tr>
      <w:tr w:rsidR="00713ED0" w:rsidRPr="00713ED0" w14:paraId="07CCD75B"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681" w:type="dxa"/>
            <w:vMerge w:val="restart"/>
            <w:vAlign w:val="center"/>
          </w:tcPr>
          <w:p w14:paraId="10CD51D3" w14:textId="77777777" w:rsidR="00713ED0" w:rsidRPr="00713ED0" w:rsidRDefault="00713ED0" w:rsidP="00FF45C2">
            <w:pPr>
              <w:pStyle w:val="TableTextEntries"/>
            </w:pPr>
            <w:r w:rsidRPr="00713ED0">
              <w:t>INJ859</w:t>
            </w:r>
          </w:p>
        </w:tc>
        <w:tc>
          <w:tcPr>
            <w:tcW w:w="1628" w:type="dxa"/>
            <w:gridSpan w:val="2"/>
            <w:vMerge w:val="restart"/>
            <w:vAlign w:val="center"/>
          </w:tcPr>
          <w:p w14:paraId="2FC8CCFE" w14:textId="2E119FD9" w:rsidR="00713ED0" w:rsidRPr="00713ED0" w:rsidRDefault="0088219C" w:rsidP="00FF45C2">
            <w:pPr>
              <w:pStyle w:val="TableTextEntries"/>
            </w:pPr>
            <w:r w:rsidRPr="00D67028">
              <w:rPr>
                <w:iCs/>
                <w:lang w:val="en-US"/>
              </w:rPr>
              <w:t>Building Relations through Intercultural Dialogue</w:t>
            </w:r>
            <w:r w:rsidRPr="0088219C">
              <w:rPr>
                <w:lang w:val="en-US"/>
              </w:rPr>
              <w:t xml:space="preserve"> and Growing Engagement</w:t>
            </w:r>
          </w:p>
        </w:tc>
        <w:tc>
          <w:tcPr>
            <w:tcW w:w="813" w:type="dxa"/>
            <w:vMerge w:val="restart"/>
            <w:vAlign w:val="center"/>
          </w:tcPr>
          <w:p w14:paraId="456CEEBC" w14:textId="77777777" w:rsidR="00713ED0" w:rsidRPr="00713ED0" w:rsidRDefault="00713ED0" w:rsidP="00FF45C2">
            <w:pPr>
              <w:pStyle w:val="TableTextEntries"/>
              <w:rPr>
                <w:sz w:val="14"/>
              </w:rPr>
            </w:pPr>
            <w:r w:rsidRPr="00713ED0">
              <w:rPr>
                <w:sz w:val="14"/>
              </w:rPr>
              <w:t>01/04/2011</w:t>
            </w:r>
          </w:p>
        </w:tc>
        <w:tc>
          <w:tcPr>
            <w:tcW w:w="808" w:type="dxa"/>
            <w:vMerge w:val="restart"/>
            <w:vAlign w:val="center"/>
          </w:tcPr>
          <w:p w14:paraId="7F0F808E" w14:textId="77777777" w:rsidR="00713ED0" w:rsidRPr="00713ED0" w:rsidRDefault="00713ED0" w:rsidP="00FF45C2">
            <w:pPr>
              <w:pStyle w:val="TableTextEntries"/>
              <w:rPr>
                <w:sz w:val="14"/>
              </w:rPr>
            </w:pPr>
            <w:r w:rsidRPr="00713ED0">
              <w:rPr>
                <w:sz w:val="14"/>
              </w:rPr>
              <w:t>31/12/2015</w:t>
            </w:r>
          </w:p>
        </w:tc>
        <w:tc>
          <w:tcPr>
            <w:tcW w:w="1152" w:type="dxa"/>
            <w:vMerge w:val="restart"/>
            <w:vAlign w:val="center"/>
          </w:tcPr>
          <w:p w14:paraId="10C3B4C2" w14:textId="063330A2" w:rsidR="00713ED0" w:rsidRPr="00713ED0" w:rsidRDefault="00713ED0" w:rsidP="00FF45C2">
            <w:pPr>
              <w:pStyle w:val="TableTextEntries"/>
              <w:rPr>
                <w:sz w:val="14"/>
                <w:szCs w:val="16"/>
              </w:rPr>
            </w:pPr>
            <w:r w:rsidRPr="00713ED0">
              <w:rPr>
                <w:sz w:val="14"/>
                <w:szCs w:val="16"/>
              </w:rPr>
              <w:t>$3</w:t>
            </w:r>
            <w:r w:rsidR="00501774">
              <w:rPr>
                <w:sz w:val="14"/>
                <w:szCs w:val="16"/>
              </w:rPr>
              <w:t xml:space="preserve"> </w:t>
            </w:r>
            <w:r w:rsidRPr="00713ED0">
              <w:rPr>
                <w:sz w:val="14"/>
                <w:szCs w:val="16"/>
              </w:rPr>
              <w:t>611</w:t>
            </w:r>
            <w:r w:rsidR="00501774">
              <w:rPr>
                <w:sz w:val="14"/>
                <w:szCs w:val="16"/>
              </w:rPr>
              <w:t xml:space="preserve"> </w:t>
            </w:r>
            <w:r w:rsidRPr="00713ED0">
              <w:rPr>
                <w:sz w:val="14"/>
                <w:szCs w:val="16"/>
              </w:rPr>
              <w:t>000.00</w:t>
            </w:r>
          </w:p>
        </w:tc>
        <w:tc>
          <w:tcPr>
            <w:tcW w:w="440" w:type="dxa"/>
            <w:vAlign w:val="center"/>
          </w:tcPr>
          <w:p w14:paraId="3EFA42FB" w14:textId="77777777" w:rsidR="00713ED0" w:rsidRPr="00713ED0" w:rsidRDefault="00713ED0" w:rsidP="00FF45C2">
            <w:pPr>
              <w:pStyle w:val="TableTextEntries"/>
            </w:pPr>
            <w:r w:rsidRPr="00713ED0">
              <w:t>2012</w:t>
            </w:r>
          </w:p>
        </w:tc>
        <w:tc>
          <w:tcPr>
            <w:tcW w:w="334" w:type="dxa"/>
            <w:shd w:val="clear" w:color="auto" w:fill="FFFF00"/>
            <w:noWrap/>
            <w:vAlign w:val="center"/>
          </w:tcPr>
          <w:p w14:paraId="21E85C1F"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6A22C8EE"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53835117" w14:textId="77777777" w:rsidR="00713ED0" w:rsidRPr="00FF45C2" w:rsidRDefault="00713ED0" w:rsidP="00FF45C2">
            <w:pPr>
              <w:pStyle w:val="TableTextEntries"/>
              <w:jc w:val="center"/>
            </w:pPr>
            <w:r w:rsidRPr="00FF45C2">
              <w:t>4</w:t>
            </w:r>
          </w:p>
        </w:tc>
        <w:tc>
          <w:tcPr>
            <w:tcW w:w="403" w:type="dxa"/>
            <w:shd w:val="clear" w:color="auto" w:fill="92D050"/>
            <w:noWrap/>
            <w:vAlign w:val="center"/>
          </w:tcPr>
          <w:p w14:paraId="6FCAB825"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F0746A5"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52E14A9"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33DB86BD" w14:textId="77777777" w:rsidR="00713ED0" w:rsidRPr="00FF45C2" w:rsidRDefault="00713ED0" w:rsidP="00FF45C2">
            <w:pPr>
              <w:pStyle w:val="TableTextEntries"/>
              <w:jc w:val="center"/>
            </w:pPr>
            <w:r w:rsidRPr="00FF45C2">
              <w:t>I</w:t>
            </w:r>
          </w:p>
        </w:tc>
      </w:tr>
      <w:tr w:rsidR="00713ED0" w:rsidRPr="00713ED0" w14:paraId="09C5771A" w14:textId="77777777" w:rsidTr="00E0168D">
        <w:trPr>
          <w:tblHeader w:val="0"/>
        </w:trPr>
        <w:tc>
          <w:tcPr>
            <w:tcW w:w="681" w:type="dxa"/>
            <w:vMerge/>
            <w:vAlign w:val="center"/>
          </w:tcPr>
          <w:p w14:paraId="586E779A" w14:textId="77777777" w:rsidR="00713ED0" w:rsidRPr="00713ED0" w:rsidRDefault="00713ED0" w:rsidP="00FF45C2">
            <w:pPr>
              <w:pStyle w:val="TableTextEntries"/>
            </w:pPr>
          </w:p>
        </w:tc>
        <w:tc>
          <w:tcPr>
            <w:tcW w:w="1628" w:type="dxa"/>
            <w:gridSpan w:val="2"/>
            <w:vMerge/>
            <w:vAlign w:val="center"/>
          </w:tcPr>
          <w:p w14:paraId="20EF3BF8" w14:textId="77777777" w:rsidR="00713ED0" w:rsidRPr="00713ED0" w:rsidRDefault="00713ED0" w:rsidP="00FF45C2">
            <w:pPr>
              <w:pStyle w:val="TableTextEntries"/>
            </w:pPr>
          </w:p>
        </w:tc>
        <w:tc>
          <w:tcPr>
            <w:tcW w:w="813" w:type="dxa"/>
            <w:vMerge/>
            <w:vAlign w:val="center"/>
          </w:tcPr>
          <w:p w14:paraId="14DC5796" w14:textId="77777777" w:rsidR="00713ED0" w:rsidRPr="00713ED0" w:rsidRDefault="00713ED0" w:rsidP="00FF45C2">
            <w:pPr>
              <w:pStyle w:val="TableTextEntries"/>
              <w:rPr>
                <w:sz w:val="14"/>
              </w:rPr>
            </w:pPr>
          </w:p>
        </w:tc>
        <w:tc>
          <w:tcPr>
            <w:tcW w:w="808" w:type="dxa"/>
            <w:vMerge/>
            <w:vAlign w:val="center"/>
          </w:tcPr>
          <w:p w14:paraId="6418DBB3" w14:textId="77777777" w:rsidR="00713ED0" w:rsidRPr="00713ED0" w:rsidRDefault="00713ED0" w:rsidP="00FF45C2">
            <w:pPr>
              <w:pStyle w:val="TableTextEntries"/>
              <w:rPr>
                <w:sz w:val="14"/>
              </w:rPr>
            </w:pPr>
          </w:p>
        </w:tc>
        <w:tc>
          <w:tcPr>
            <w:tcW w:w="1152" w:type="dxa"/>
            <w:vMerge/>
            <w:vAlign w:val="center"/>
          </w:tcPr>
          <w:p w14:paraId="28B14370" w14:textId="77777777" w:rsidR="00713ED0" w:rsidRPr="00713ED0" w:rsidRDefault="00713ED0" w:rsidP="00FF45C2">
            <w:pPr>
              <w:pStyle w:val="TableTextEntries"/>
              <w:rPr>
                <w:sz w:val="14"/>
                <w:szCs w:val="16"/>
              </w:rPr>
            </w:pPr>
          </w:p>
        </w:tc>
        <w:tc>
          <w:tcPr>
            <w:tcW w:w="440" w:type="dxa"/>
            <w:vAlign w:val="center"/>
          </w:tcPr>
          <w:p w14:paraId="3374D842" w14:textId="77777777" w:rsidR="00713ED0" w:rsidRPr="00713ED0" w:rsidRDefault="00713ED0" w:rsidP="00FF45C2">
            <w:pPr>
              <w:pStyle w:val="TableTextEntries"/>
            </w:pPr>
            <w:r w:rsidRPr="00713ED0">
              <w:t>2011</w:t>
            </w:r>
          </w:p>
        </w:tc>
        <w:tc>
          <w:tcPr>
            <w:tcW w:w="334" w:type="dxa"/>
            <w:shd w:val="clear" w:color="auto" w:fill="92D050"/>
            <w:noWrap/>
            <w:vAlign w:val="center"/>
          </w:tcPr>
          <w:p w14:paraId="24993B23"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257E7B6B"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00517936"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50A3CF14"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374C1087"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7C22E03C"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61014BCA" w14:textId="77777777" w:rsidR="00713ED0" w:rsidRPr="00FF45C2" w:rsidRDefault="00713ED0" w:rsidP="00FF45C2">
            <w:pPr>
              <w:pStyle w:val="TableTextEntries"/>
              <w:jc w:val="center"/>
            </w:pPr>
            <w:r w:rsidRPr="00FF45C2">
              <w:t>I</w:t>
            </w:r>
          </w:p>
        </w:tc>
      </w:tr>
      <w:tr w:rsidR="00713ED0" w:rsidRPr="00713ED0" w14:paraId="37397DCB"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681" w:type="dxa"/>
            <w:vMerge w:val="restart"/>
            <w:vAlign w:val="center"/>
          </w:tcPr>
          <w:p w14:paraId="7776D771" w14:textId="77777777" w:rsidR="00713ED0" w:rsidRPr="00713ED0" w:rsidRDefault="00713ED0" w:rsidP="00FF45C2">
            <w:pPr>
              <w:pStyle w:val="TableTextEntries"/>
            </w:pPr>
            <w:r w:rsidRPr="00713ED0">
              <w:t>INI787</w:t>
            </w:r>
          </w:p>
        </w:tc>
        <w:tc>
          <w:tcPr>
            <w:tcW w:w="1628" w:type="dxa"/>
            <w:gridSpan w:val="2"/>
            <w:vMerge w:val="restart"/>
            <w:vAlign w:val="center"/>
          </w:tcPr>
          <w:p w14:paraId="2533F054" w14:textId="77777777" w:rsidR="00713ED0" w:rsidRPr="00713ED0" w:rsidRDefault="00713ED0" w:rsidP="00FF45C2">
            <w:pPr>
              <w:pStyle w:val="TableTextEntries"/>
            </w:pPr>
            <w:r w:rsidRPr="00713ED0">
              <w:t>Revitalising Indonesia's Knowledge Sector</w:t>
            </w:r>
          </w:p>
        </w:tc>
        <w:tc>
          <w:tcPr>
            <w:tcW w:w="813" w:type="dxa"/>
            <w:vMerge w:val="restart"/>
            <w:vAlign w:val="center"/>
          </w:tcPr>
          <w:p w14:paraId="54979E1B" w14:textId="77777777" w:rsidR="00713ED0" w:rsidRPr="00713ED0" w:rsidRDefault="00713ED0" w:rsidP="00FF45C2">
            <w:pPr>
              <w:pStyle w:val="TableTextEntries"/>
              <w:rPr>
                <w:sz w:val="14"/>
              </w:rPr>
            </w:pPr>
            <w:r w:rsidRPr="00713ED0">
              <w:rPr>
                <w:sz w:val="14"/>
              </w:rPr>
              <w:t>10/07/2009</w:t>
            </w:r>
          </w:p>
        </w:tc>
        <w:tc>
          <w:tcPr>
            <w:tcW w:w="808" w:type="dxa"/>
            <w:vMerge w:val="restart"/>
            <w:vAlign w:val="center"/>
          </w:tcPr>
          <w:p w14:paraId="5799589C" w14:textId="77777777" w:rsidR="00713ED0" w:rsidRPr="00713ED0" w:rsidRDefault="00713ED0" w:rsidP="00FF45C2">
            <w:pPr>
              <w:pStyle w:val="TableTextEntries"/>
              <w:rPr>
                <w:sz w:val="14"/>
              </w:rPr>
            </w:pPr>
            <w:r w:rsidRPr="00713ED0">
              <w:rPr>
                <w:sz w:val="14"/>
              </w:rPr>
              <w:t>30/06/2013</w:t>
            </w:r>
          </w:p>
        </w:tc>
        <w:tc>
          <w:tcPr>
            <w:tcW w:w="1152" w:type="dxa"/>
            <w:vMerge w:val="restart"/>
            <w:vAlign w:val="center"/>
          </w:tcPr>
          <w:p w14:paraId="30E93A9B" w14:textId="6E981AED" w:rsidR="00713ED0" w:rsidRPr="00713ED0" w:rsidRDefault="00713ED0" w:rsidP="00FF45C2">
            <w:pPr>
              <w:pStyle w:val="TableTextEntries"/>
              <w:rPr>
                <w:sz w:val="14"/>
                <w:szCs w:val="16"/>
              </w:rPr>
            </w:pPr>
            <w:r w:rsidRPr="00713ED0">
              <w:rPr>
                <w:sz w:val="14"/>
                <w:szCs w:val="16"/>
              </w:rPr>
              <w:t>$6</w:t>
            </w:r>
            <w:r w:rsidR="00501774">
              <w:rPr>
                <w:sz w:val="14"/>
                <w:szCs w:val="16"/>
              </w:rPr>
              <w:t xml:space="preserve"> </w:t>
            </w:r>
            <w:r w:rsidRPr="00713ED0">
              <w:rPr>
                <w:sz w:val="14"/>
                <w:szCs w:val="16"/>
              </w:rPr>
              <w:t>233</w:t>
            </w:r>
            <w:r w:rsidR="00501774">
              <w:rPr>
                <w:sz w:val="14"/>
                <w:szCs w:val="16"/>
              </w:rPr>
              <w:t xml:space="preserve"> </w:t>
            </w:r>
            <w:r w:rsidRPr="00713ED0">
              <w:rPr>
                <w:sz w:val="14"/>
                <w:szCs w:val="16"/>
              </w:rPr>
              <w:t>309.88</w:t>
            </w:r>
          </w:p>
        </w:tc>
        <w:tc>
          <w:tcPr>
            <w:tcW w:w="440" w:type="dxa"/>
            <w:vAlign w:val="center"/>
          </w:tcPr>
          <w:p w14:paraId="7E7A0F4A" w14:textId="77777777" w:rsidR="00713ED0" w:rsidRPr="00713ED0" w:rsidRDefault="00713ED0" w:rsidP="00FF45C2">
            <w:pPr>
              <w:pStyle w:val="TableTextEntries"/>
            </w:pPr>
            <w:r w:rsidRPr="00713ED0">
              <w:t>2012</w:t>
            </w:r>
          </w:p>
        </w:tc>
        <w:tc>
          <w:tcPr>
            <w:tcW w:w="334" w:type="dxa"/>
            <w:shd w:val="clear" w:color="auto" w:fill="92D050"/>
            <w:noWrap/>
            <w:vAlign w:val="center"/>
          </w:tcPr>
          <w:p w14:paraId="2BA998EC"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245C6622"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07C6FC5F" w14:textId="77777777" w:rsidR="00713ED0" w:rsidRPr="00FF45C2" w:rsidRDefault="00713ED0" w:rsidP="00FF45C2">
            <w:pPr>
              <w:pStyle w:val="TableTextEntries"/>
              <w:jc w:val="center"/>
            </w:pPr>
            <w:r w:rsidRPr="00FF45C2">
              <w:t>4</w:t>
            </w:r>
          </w:p>
        </w:tc>
        <w:tc>
          <w:tcPr>
            <w:tcW w:w="403" w:type="dxa"/>
            <w:shd w:val="clear" w:color="auto" w:fill="F79646" w:themeFill="accent6"/>
            <w:noWrap/>
            <w:vAlign w:val="center"/>
          </w:tcPr>
          <w:p w14:paraId="77CC9011"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7DBFC7EB"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41658A5E" w14:textId="77777777" w:rsidR="00713ED0" w:rsidRPr="00FF45C2" w:rsidRDefault="00713ED0" w:rsidP="00FF45C2">
            <w:pPr>
              <w:pStyle w:val="TableTextEntries"/>
              <w:jc w:val="center"/>
            </w:pPr>
            <w:r w:rsidRPr="00FF45C2">
              <w:t>5</w:t>
            </w:r>
          </w:p>
        </w:tc>
        <w:tc>
          <w:tcPr>
            <w:tcW w:w="347" w:type="dxa"/>
            <w:shd w:val="clear" w:color="auto" w:fill="FF0000"/>
            <w:noWrap/>
            <w:vAlign w:val="center"/>
          </w:tcPr>
          <w:p w14:paraId="6F7A05B2" w14:textId="77777777" w:rsidR="00713ED0" w:rsidRPr="00FF45C2" w:rsidRDefault="00713ED0" w:rsidP="00FF45C2">
            <w:pPr>
              <w:pStyle w:val="TableTextEntries"/>
              <w:jc w:val="center"/>
            </w:pPr>
            <w:r w:rsidRPr="00FF45C2">
              <w:t>B</w:t>
            </w:r>
          </w:p>
        </w:tc>
      </w:tr>
      <w:tr w:rsidR="00713ED0" w:rsidRPr="00713ED0" w14:paraId="78DDD94C" w14:textId="77777777" w:rsidTr="00E0168D">
        <w:trPr>
          <w:tblHeader w:val="0"/>
        </w:trPr>
        <w:tc>
          <w:tcPr>
            <w:tcW w:w="681" w:type="dxa"/>
            <w:vMerge/>
            <w:vAlign w:val="center"/>
          </w:tcPr>
          <w:p w14:paraId="339B9F9A" w14:textId="77777777" w:rsidR="00713ED0" w:rsidRPr="00713ED0" w:rsidRDefault="00713ED0" w:rsidP="00FF45C2">
            <w:pPr>
              <w:pStyle w:val="TableTextEntries"/>
            </w:pPr>
          </w:p>
        </w:tc>
        <w:tc>
          <w:tcPr>
            <w:tcW w:w="1628" w:type="dxa"/>
            <w:gridSpan w:val="2"/>
            <w:vMerge/>
            <w:vAlign w:val="center"/>
          </w:tcPr>
          <w:p w14:paraId="74469C07" w14:textId="77777777" w:rsidR="00713ED0" w:rsidRPr="00713ED0" w:rsidRDefault="00713ED0" w:rsidP="00FF45C2">
            <w:pPr>
              <w:pStyle w:val="TableTextEntries"/>
            </w:pPr>
          </w:p>
        </w:tc>
        <w:tc>
          <w:tcPr>
            <w:tcW w:w="813" w:type="dxa"/>
            <w:vMerge/>
            <w:vAlign w:val="center"/>
          </w:tcPr>
          <w:p w14:paraId="53DCA484" w14:textId="77777777" w:rsidR="00713ED0" w:rsidRPr="00713ED0" w:rsidRDefault="00713ED0" w:rsidP="00FF45C2">
            <w:pPr>
              <w:pStyle w:val="TableTextEntries"/>
              <w:rPr>
                <w:sz w:val="14"/>
              </w:rPr>
            </w:pPr>
          </w:p>
        </w:tc>
        <w:tc>
          <w:tcPr>
            <w:tcW w:w="808" w:type="dxa"/>
            <w:vMerge/>
            <w:vAlign w:val="center"/>
          </w:tcPr>
          <w:p w14:paraId="52A02C0D" w14:textId="77777777" w:rsidR="00713ED0" w:rsidRPr="00713ED0" w:rsidRDefault="00713ED0" w:rsidP="00FF45C2">
            <w:pPr>
              <w:pStyle w:val="TableTextEntries"/>
              <w:rPr>
                <w:sz w:val="14"/>
              </w:rPr>
            </w:pPr>
          </w:p>
        </w:tc>
        <w:tc>
          <w:tcPr>
            <w:tcW w:w="1152" w:type="dxa"/>
            <w:vMerge/>
            <w:vAlign w:val="center"/>
          </w:tcPr>
          <w:p w14:paraId="65C6CF3A" w14:textId="77777777" w:rsidR="00713ED0" w:rsidRPr="00713ED0" w:rsidRDefault="00713ED0" w:rsidP="00FF45C2">
            <w:pPr>
              <w:pStyle w:val="TableTextEntries"/>
              <w:rPr>
                <w:sz w:val="14"/>
                <w:szCs w:val="16"/>
              </w:rPr>
            </w:pPr>
          </w:p>
        </w:tc>
        <w:tc>
          <w:tcPr>
            <w:tcW w:w="440" w:type="dxa"/>
            <w:vAlign w:val="center"/>
          </w:tcPr>
          <w:p w14:paraId="1708E27A" w14:textId="77777777" w:rsidR="00713ED0" w:rsidRPr="00713ED0" w:rsidRDefault="00713ED0" w:rsidP="00FF45C2">
            <w:pPr>
              <w:pStyle w:val="TableTextEntries"/>
            </w:pPr>
            <w:r w:rsidRPr="00713ED0">
              <w:t>2011</w:t>
            </w:r>
          </w:p>
        </w:tc>
        <w:tc>
          <w:tcPr>
            <w:tcW w:w="334" w:type="dxa"/>
            <w:shd w:val="clear" w:color="auto" w:fill="92D050"/>
            <w:noWrap/>
            <w:vAlign w:val="center"/>
          </w:tcPr>
          <w:p w14:paraId="4AE52634"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3F78875"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A3ADC1A"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1F1AA4FE"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C386C0E"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B962F5F" w14:textId="77777777" w:rsidR="00713ED0" w:rsidRPr="00FF45C2" w:rsidRDefault="00713ED0" w:rsidP="00FF45C2">
            <w:pPr>
              <w:pStyle w:val="TableTextEntries"/>
              <w:jc w:val="center"/>
            </w:pPr>
            <w:r w:rsidRPr="00FF45C2">
              <w:t>5</w:t>
            </w:r>
          </w:p>
        </w:tc>
        <w:tc>
          <w:tcPr>
            <w:tcW w:w="347" w:type="dxa"/>
            <w:shd w:val="clear" w:color="auto" w:fill="FF0000"/>
            <w:noWrap/>
            <w:vAlign w:val="center"/>
          </w:tcPr>
          <w:p w14:paraId="4BA44AFE" w14:textId="77777777" w:rsidR="00713ED0" w:rsidRPr="00FF45C2" w:rsidRDefault="00713ED0" w:rsidP="00FF45C2">
            <w:pPr>
              <w:pStyle w:val="TableTextEntries"/>
              <w:jc w:val="center"/>
            </w:pPr>
            <w:r w:rsidRPr="00FF45C2">
              <w:t>B</w:t>
            </w:r>
          </w:p>
        </w:tc>
      </w:tr>
      <w:tr w:rsidR="00713ED0" w:rsidRPr="00713ED0" w14:paraId="3378EE21"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681" w:type="dxa"/>
            <w:vMerge w:val="restart"/>
            <w:vAlign w:val="center"/>
          </w:tcPr>
          <w:p w14:paraId="71E62F71" w14:textId="77777777" w:rsidR="00713ED0" w:rsidRPr="00713ED0" w:rsidRDefault="00713ED0" w:rsidP="00FF45C2">
            <w:pPr>
              <w:pStyle w:val="TableTextEntries"/>
            </w:pPr>
            <w:r w:rsidRPr="00713ED0">
              <w:t>INK640</w:t>
            </w:r>
          </w:p>
        </w:tc>
        <w:tc>
          <w:tcPr>
            <w:tcW w:w="1628" w:type="dxa"/>
            <w:gridSpan w:val="2"/>
            <w:vMerge w:val="restart"/>
            <w:vAlign w:val="center"/>
          </w:tcPr>
          <w:p w14:paraId="26B7058D" w14:textId="05630473" w:rsidR="00713ED0" w:rsidRPr="00713ED0" w:rsidRDefault="0088219C" w:rsidP="00FF45C2">
            <w:pPr>
              <w:pStyle w:val="TableTextEntries"/>
            </w:pPr>
            <w:r w:rsidRPr="00713ED0">
              <w:t>Australia</w:t>
            </w:r>
            <w:r>
              <w:t>–</w:t>
            </w:r>
            <w:r w:rsidRPr="00713ED0">
              <w:t xml:space="preserve">Indonesia Partnership </w:t>
            </w:r>
            <w:r>
              <w:t>4</w:t>
            </w:r>
            <w:r w:rsidR="009A185C">
              <w:t>––</w:t>
            </w:r>
            <w:r w:rsidR="00713ED0" w:rsidRPr="00713ED0">
              <w:t>the Knowledge Sector Initiative</w:t>
            </w:r>
          </w:p>
        </w:tc>
        <w:tc>
          <w:tcPr>
            <w:tcW w:w="813" w:type="dxa"/>
            <w:vMerge w:val="restart"/>
            <w:vAlign w:val="center"/>
          </w:tcPr>
          <w:p w14:paraId="565CC3AB" w14:textId="77777777" w:rsidR="00713ED0" w:rsidRPr="00713ED0" w:rsidRDefault="00713ED0" w:rsidP="00FF45C2">
            <w:pPr>
              <w:pStyle w:val="TableTextEntries"/>
              <w:rPr>
                <w:sz w:val="14"/>
              </w:rPr>
            </w:pPr>
            <w:r w:rsidRPr="00713ED0">
              <w:rPr>
                <w:sz w:val="14"/>
              </w:rPr>
              <w:t>01/07/2012</w:t>
            </w:r>
          </w:p>
        </w:tc>
        <w:tc>
          <w:tcPr>
            <w:tcW w:w="808" w:type="dxa"/>
            <w:vMerge w:val="restart"/>
            <w:vAlign w:val="center"/>
          </w:tcPr>
          <w:p w14:paraId="3FCB61F8" w14:textId="77777777" w:rsidR="00713ED0" w:rsidRPr="00713ED0" w:rsidRDefault="00713ED0" w:rsidP="00FF45C2">
            <w:pPr>
              <w:pStyle w:val="TableTextEntries"/>
              <w:rPr>
                <w:sz w:val="14"/>
              </w:rPr>
            </w:pPr>
            <w:r w:rsidRPr="00713ED0">
              <w:rPr>
                <w:sz w:val="14"/>
              </w:rPr>
              <w:t>30/06/2017</w:t>
            </w:r>
          </w:p>
        </w:tc>
        <w:tc>
          <w:tcPr>
            <w:tcW w:w="1152" w:type="dxa"/>
            <w:vMerge w:val="restart"/>
            <w:vAlign w:val="center"/>
          </w:tcPr>
          <w:p w14:paraId="787A41AE" w14:textId="01860EB1" w:rsidR="00713ED0" w:rsidRPr="00713ED0" w:rsidRDefault="00713ED0" w:rsidP="00FF45C2">
            <w:pPr>
              <w:pStyle w:val="TableTextEntries"/>
              <w:rPr>
                <w:sz w:val="14"/>
                <w:szCs w:val="16"/>
              </w:rPr>
            </w:pPr>
            <w:r w:rsidRPr="00713ED0">
              <w:rPr>
                <w:sz w:val="14"/>
                <w:szCs w:val="16"/>
              </w:rPr>
              <w:t>$97</w:t>
            </w:r>
            <w:r w:rsidR="00501774">
              <w:rPr>
                <w:sz w:val="14"/>
                <w:szCs w:val="16"/>
              </w:rPr>
              <w:t xml:space="preserve"> </w:t>
            </w:r>
            <w:r w:rsidRPr="00713ED0">
              <w:rPr>
                <w:sz w:val="14"/>
                <w:szCs w:val="16"/>
              </w:rPr>
              <w:t>669</w:t>
            </w:r>
            <w:r w:rsidR="00501774">
              <w:rPr>
                <w:sz w:val="14"/>
                <w:szCs w:val="16"/>
              </w:rPr>
              <w:t xml:space="preserve"> </w:t>
            </w:r>
            <w:r w:rsidRPr="00713ED0">
              <w:rPr>
                <w:sz w:val="14"/>
                <w:szCs w:val="16"/>
              </w:rPr>
              <w:t>000.00</w:t>
            </w:r>
          </w:p>
        </w:tc>
        <w:tc>
          <w:tcPr>
            <w:tcW w:w="440" w:type="dxa"/>
            <w:vAlign w:val="center"/>
          </w:tcPr>
          <w:p w14:paraId="0536A135" w14:textId="77777777" w:rsidR="00713ED0" w:rsidRPr="00713ED0" w:rsidRDefault="00713ED0" w:rsidP="00FF45C2">
            <w:pPr>
              <w:pStyle w:val="TableTextEntries"/>
            </w:pPr>
            <w:r w:rsidRPr="00713ED0">
              <w:t>2012</w:t>
            </w:r>
          </w:p>
        </w:tc>
        <w:tc>
          <w:tcPr>
            <w:tcW w:w="334" w:type="dxa"/>
            <w:shd w:val="clear" w:color="auto" w:fill="92D050"/>
            <w:noWrap/>
            <w:vAlign w:val="center"/>
          </w:tcPr>
          <w:p w14:paraId="1BD31E6F"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D435A4D"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6BEBE482" w14:textId="77777777" w:rsidR="00713ED0" w:rsidRPr="00FF45C2" w:rsidRDefault="00713ED0" w:rsidP="00FF45C2">
            <w:pPr>
              <w:pStyle w:val="TableTextEntries"/>
              <w:jc w:val="center"/>
            </w:pPr>
            <w:r w:rsidRPr="00FF45C2">
              <w:t>4</w:t>
            </w:r>
          </w:p>
        </w:tc>
        <w:tc>
          <w:tcPr>
            <w:tcW w:w="403" w:type="dxa"/>
            <w:shd w:val="clear" w:color="auto" w:fill="F79646" w:themeFill="accent6"/>
            <w:noWrap/>
            <w:vAlign w:val="center"/>
          </w:tcPr>
          <w:p w14:paraId="53AA3354"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43801121"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231E033F" w14:textId="77777777" w:rsidR="00713ED0" w:rsidRPr="00FF45C2" w:rsidRDefault="00713ED0" w:rsidP="00FF45C2">
            <w:pPr>
              <w:pStyle w:val="TableTextEntries"/>
              <w:jc w:val="center"/>
            </w:pPr>
            <w:r w:rsidRPr="00FF45C2">
              <w:t>5</w:t>
            </w:r>
          </w:p>
        </w:tc>
        <w:tc>
          <w:tcPr>
            <w:tcW w:w="347" w:type="dxa"/>
            <w:shd w:val="clear" w:color="auto" w:fill="FF0000"/>
            <w:noWrap/>
            <w:vAlign w:val="center"/>
          </w:tcPr>
          <w:p w14:paraId="516F3CB6" w14:textId="77777777" w:rsidR="00713ED0" w:rsidRPr="00FF45C2" w:rsidRDefault="00713ED0" w:rsidP="00FF45C2">
            <w:pPr>
              <w:pStyle w:val="TableTextEntries"/>
              <w:jc w:val="center"/>
            </w:pPr>
            <w:r w:rsidRPr="00FF45C2">
              <w:t>B</w:t>
            </w:r>
          </w:p>
        </w:tc>
      </w:tr>
      <w:tr w:rsidR="00713ED0" w:rsidRPr="00713ED0" w14:paraId="297C5A56" w14:textId="77777777" w:rsidTr="00E0168D">
        <w:trPr>
          <w:tblHeader w:val="0"/>
        </w:trPr>
        <w:tc>
          <w:tcPr>
            <w:tcW w:w="681" w:type="dxa"/>
            <w:vMerge/>
            <w:vAlign w:val="center"/>
          </w:tcPr>
          <w:p w14:paraId="415443ED" w14:textId="77777777" w:rsidR="00713ED0" w:rsidRPr="00713ED0" w:rsidRDefault="00713ED0" w:rsidP="00FF45C2">
            <w:pPr>
              <w:pStyle w:val="TableTextEntries"/>
            </w:pPr>
          </w:p>
        </w:tc>
        <w:tc>
          <w:tcPr>
            <w:tcW w:w="1628" w:type="dxa"/>
            <w:gridSpan w:val="2"/>
            <w:vMerge/>
            <w:vAlign w:val="center"/>
          </w:tcPr>
          <w:p w14:paraId="58BEB011" w14:textId="77777777" w:rsidR="00713ED0" w:rsidRPr="00713ED0" w:rsidRDefault="00713ED0" w:rsidP="00FF45C2">
            <w:pPr>
              <w:pStyle w:val="TableTextEntries"/>
            </w:pPr>
          </w:p>
        </w:tc>
        <w:tc>
          <w:tcPr>
            <w:tcW w:w="813" w:type="dxa"/>
            <w:vMerge/>
            <w:vAlign w:val="center"/>
          </w:tcPr>
          <w:p w14:paraId="26755544" w14:textId="77777777" w:rsidR="00713ED0" w:rsidRPr="00713ED0" w:rsidRDefault="00713ED0" w:rsidP="00FF45C2">
            <w:pPr>
              <w:pStyle w:val="TableTextEntries"/>
              <w:rPr>
                <w:sz w:val="14"/>
              </w:rPr>
            </w:pPr>
          </w:p>
        </w:tc>
        <w:tc>
          <w:tcPr>
            <w:tcW w:w="808" w:type="dxa"/>
            <w:vMerge/>
            <w:vAlign w:val="center"/>
          </w:tcPr>
          <w:p w14:paraId="7E54EA6A" w14:textId="77777777" w:rsidR="00713ED0" w:rsidRPr="00713ED0" w:rsidRDefault="00713ED0" w:rsidP="00FF45C2">
            <w:pPr>
              <w:pStyle w:val="TableTextEntries"/>
              <w:rPr>
                <w:sz w:val="14"/>
              </w:rPr>
            </w:pPr>
          </w:p>
        </w:tc>
        <w:tc>
          <w:tcPr>
            <w:tcW w:w="1152" w:type="dxa"/>
            <w:vMerge/>
            <w:vAlign w:val="center"/>
          </w:tcPr>
          <w:p w14:paraId="1AB1E71C" w14:textId="77777777" w:rsidR="00713ED0" w:rsidRPr="00713ED0" w:rsidRDefault="00713ED0" w:rsidP="00FF45C2">
            <w:pPr>
              <w:pStyle w:val="TableTextEntries"/>
              <w:rPr>
                <w:sz w:val="14"/>
                <w:szCs w:val="16"/>
              </w:rPr>
            </w:pPr>
          </w:p>
        </w:tc>
        <w:tc>
          <w:tcPr>
            <w:tcW w:w="440" w:type="dxa"/>
            <w:vAlign w:val="center"/>
          </w:tcPr>
          <w:p w14:paraId="35FBE7BA" w14:textId="77777777" w:rsidR="00713ED0" w:rsidRPr="00713ED0" w:rsidRDefault="00713ED0" w:rsidP="00FF45C2">
            <w:pPr>
              <w:pStyle w:val="TableTextEntries"/>
            </w:pPr>
            <w:r w:rsidRPr="00713ED0">
              <w:t>2011</w:t>
            </w:r>
          </w:p>
        </w:tc>
        <w:tc>
          <w:tcPr>
            <w:tcW w:w="334" w:type="dxa"/>
            <w:tcBorders>
              <w:top w:val="nil"/>
              <w:bottom w:val="nil"/>
            </w:tcBorders>
            <w:shd w:val="clear" w:color="auto" w:fill="auto"/>
            <w:noWrap/>
            <w:vAlign w:val="center"/>
          </w:tcPr>
          <w:p w14:paraId="1BF59A26"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38275389"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57BC7D4B" w14:textId="77777777" w:rsidR="00713ED0" w:rsidRPr="00FF45C2" w:rsidRDefault="00713ED0" w:rsidP="00FF45C2">
            <w:pPr>
              <w:pStyle w:val="TableTextEntries"/>
              <w:jc w:val="center"/>
            </w:pPr>
            <w:r w:rsidRPr="00FF45C2">
              <w:t>n/a</w:t>
            </w:r>
          </w:p>
        </w:tc>
        <w:tc>
          <w:tcPr>
            <w:tcW w:w="403" w:type="dxa"/>
            <w:tcBorders>
              <w:top w:val="nil"/>
              <w:bottom w:val="nil"/>
            </w:tcBorders>
            <w:shd w:val="clear" w:color="auto" w:fill="auto"/>
            <w:noWrap/>
            <w:vAlign w:val="center"/>
          </w:tcPr>
          <w:p w14:paraId="751F8DDE"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569285DE"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4E26782E" w14:textId="77777777" w:rsidR="00713ED0" w:rsidRPr="00FF45C2" w:rsidRDefault="00713ED0" w:rsidP="00FF45C2">
            <w:pPr>
              <w:pStyle w:val="TableTextEntries"/>
              <w:jc w:val="center"/>
            </w:pPr>
            <w:r w:rsidRPr="00FF45C2">
              <w:t>n/a</w:t>
            </w:r>
          </w:p>
        </w:tc>
        <w:tc>
          <w:tcPr>
            <w:tcW w:w="347" w:type="dxa"/>
            <w:tcBorders>
              <w:top w:val="nil"/>
              <w:bottom w:val="nil"/>
            </w:tcBorders>
            <w:shd w:val="clear" w:color="auto" w:fill="auto"/>
            <w:noWrap/>
            <w:vAlign w:val="center"/>
          </w:tcPr>
          <w:p w14:paraId="34DD5115" w14:textId="77777777" w:rsidR="00713ED0" w:rsidRPr="00FF45C2" w:rsidRDefault="00713ED0" w:rsidP="00FF45C2">
            <w:pPr>
              <w:pStyle w:val="TableTextEntries"/>
              <w:jc w:val="center"/>
            </w:pPr>
            <w:r w:rsidRPr="00FF45C2">
              <w:t>n/a</w:t>
            </w:r>
          </w:p>
        </w:tc>
      </w:tr>
      <w:tr w:rsidR="00713ED0" w:rsidRPr="00713ED0" w14:paraId="2BB52319"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681" w:type="dxa"/>
            <w:vMerge w:val="restart"/>
            <w:vAlign w:val="center"/>
          </w:tcPr>
          <w:p w14:paraId="22A26891" w14:textId="77777777" w:rsidR="00713ED0" w:rsidRPr="00713ED0" w:rsidRDefault="00713ED0" w:rsidP="00FF45C2">
            <w:pPr>
              <w:pStyle w:val="TableTextEntries"/>
            </w:pPr>
            <w:r w:rsidRPr="00713ED0">
              <w:t>INI035</w:t>
            </w:r>
          </w:p>
        </w:tc>
        <w:tc>
          <w:tcPr>
            <w:tcW w:w="1628" w:type="dxa"/>
            <w:gridSpan w:val="2"/>
            <w:vMerge w:val="restart"/>
            <w:vAlign w:val="center"/>
          </w:tcPr>
          <w:p w14:paraId="4B92358D" w14:textId="214347E3" w:rsidR="00713ED0" w:rsidRPr="00713ED0" w:rsidRDefault="00713ED0" w:rsidP="00FF45C2">
            <w:pPr>
              <w:pStyle w:val="TableTextEntries"/>
            </w:pPr>
            <w:r w:rsidRPr="00713ED0">
              <w:t>The Indonesia Project (A</w:t>
            </w:r>
            <w:r w:rsidR="0088219C">
              <w:t xml:space="preserve">ustralian </w:t>
            </w:r>
            <w:r w:rsidRPr="00713ED0">
              <w:t>N</w:t>
            </w:r>
            <w:r w:rsidR="0088219C">
              <w:t xml:space="preserve">ational </w:t>
            </w:r>
            <w:r w:rsidRPr="00713ED0">
              <w:t>U</w:t>
            </w:r>
            <w:r w:rsidR="0088219C">
              <w:t>niversity</w:t>
            </w:r>
            <w:r w:rsidRPr="00713ED0">
              <w:t>)</w:t>
            </w:r>
          </w:p>
        </w:tc>
        <w:tc>
          <w:tcPr>
            <w:tcW w:w="813" w:type="dxa"/>
            <w:vMerge w:val="restart"/>
            <w:vAlign w:val="center"/>
          </w:tcPr>
          <w:p w14:paraId="431D48E0" w14:textId="77777777" w:rsidR="00713ED0" w:rsidRPr="00713ED0" w:rsidRDefault="00713ED0" w:rsidP="00FF45C2">
            <w:pPr>
              <w:pStyle w:val="TableTextEntries"/>
              <w:rPr>
                <w:sz w:val="14"/>
              </w:rPr>
            </w:pPr>
            <w:r w:rsidRPr="00713ED0">
              <w:rPr>
                <w:sz w:val="14"/>
              </w:rPr>
              <w:t>01/07/2008</w:t>
            </w:r>
          </w:p>
        </w:tc>
        <w:tc>
          <w:tcPr>
            <w:tcW w:w="808" w:type="dxa"/>
            <w:vMerge w:val="restart"/>
            <w:vAlign w:val="center"/>
          </w:tcPr>
          <w:p w14:paraId="55818D5E" w14:textId="77777777" w:rsidR="00713ED0" w:rsidRPr="00713ED0" w:rsidRDefault="00713ED0" w:rsidP="00FF45C2">
            <w:pPr>
              <w:pStyle w:val="TableTextEntries"/>
              <w:rPr>
                <w:sz w:val="14"/>
              </w:rPr>
            </w:pPr>
            <w:r w:rsidRPr="00713ED0">
              <w:rPr>
                <w:sz w:val="14"/>
              </w:rPr>
              <w:t>30/06/2016</w:t>
            </w:r>
          </w:p>
        </w:tc>
        <w:tc>
          <w:tcPr>
            <w:tcW w:w="1152" w:type="dxa"/>
            <w:vMerge w:val="restart"/>
            <w:vAlign w:val="center"/>
          </w:tcPr>
          <w:p w14:paraId="661940BD" w14:textId="68578CE0" w:rsidR="00713ED0" w:rsidRPr="00713ED0" w:rsidRDefault="00713ED0" w:rsidP="00FF45C2">
            <w:pPr>
              <w:pStyle w:val="TableTextEntries"/>
              <w:rPr>
                <w:sz w:val="14"/>
                <w:szCs w:val="16"/>
              </w:rPr>
            </w:pPr>
            <w:r w:rsidRPr="00713ED0">
              <w:rPr>
                <w:sz w:val="14"/>
                <w:szCs w:val="16"/>
              </w:rPr>
              <w:t>$7</w:t>
            </w:r>
            <w:r w:rsidR="00501774">
              <w:rPr>
                <w:sz w:val="14"/>
                <w:szCs w:val="16"/>
              </w:rPr>
              <w:t xml:space="preserve"> </w:t>
            </w:r>
            <w:r w:rsidRPr="00713ED0">
              <w:rPr>
                <w:sz w:val="14"/>
                <w:szCs w:val="16"/>
              </w:rPr>
              <w:t>555</w:t>
            </w:r>
            <w:r w:rsidR="00501774">
              <w:rPr>
                <w:sz w:val="14"/>
                <w:szCs w:val="16"/>
              </w:rPr>
              <w:t xml:space="preserve"> </w:t>
            </w:r>
            <w:r w:rsidRPr="00713ED0">
              <w:rPr>
                <w:sz w:val="14"/>
                <w:szCs w:val="16"/>
              </w:rPr>
              <w:t>517.00</w:t>
            </w:r>
          </w:p>
        </w:tc>
        <w:tc>
          <w:tcPr>
            <w:tcW w:w="440" w:type="dxa"/>
            <w:vAlign w:val="center"/>
          </w:tcPr>
          <w:p w14:paraId="71D57A95" w14:textId="77777777" w:rsidR="00713ED0" w:rsidRPr="00713ED0" w:rsidRDefault="00713ED0" w:rsidP="00FF45C2">
            <w:pPr>
              <w:pStyle w:val="TableTextEntries"/>
            </w:pPr>
            <w:r w:rsidRPr="00713ED0">
              <w:t>2012</w:t>
            </w:r>
          </w:p>
        </w:tc>
        <w:tc>
          <w:tcPr>
            <w:tcW w:w="334" w:type="dxa"/>
            <w:shd w:val="clear" w:color="auto" w:fill="92D050"/>
            <w:noWrap/>
            <w:vAlign w:val="center"/>
          </w:tcPr>
          <w:p w14:paraId="25CCA3DC"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6B700F8"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25ACFFF7"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78E46059"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C512A52"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00D16C87" w14:textId="77777777" w:rsidR="00713ED0" w:rsidRPr="00FF45C2" w:rsidRDefault="00713ED0" w:rsidP="00FF45C2">
            <w:pPr>
              <w:pStyle w:val="TableTextEntries"/>
              <w:jc w:val="center"/>
            </w:pPr>
            <w:r w:rsidRPr="00FF45C2">
              <w:t>4</w:t>
            </w:r>
          </w:p>
        </w:tc>
        <w:tc>
          <w:tcPr>
            <w:tcW w:w="347" w:type="dxa"/>
            <w:shd w:val="clear" w:color="auto" w:fill="92D050"/>
            <w:noWrap/>
            <w:vAlign w:val="center"/>
          </w:tcPr>
          <w:p w14:paraId="7D3D1755" w14:textId="77777777" w:rsidR="00713ED0" w:rsidRPr="00FF45C2" w:rsidRDefault="00713ED0" w:rsidP="00FF45C2">
            <w:pPr>
              <w:pStyle w:val="TableTextEntries"/>
              <w:jc w:val="center"/>
            </w:pPr>
            <w:r w:rsidRPr="00FF45C2">
              <w:t>M</w:t>
            </w:r>
          </w:p>
        </w:tc>
      </w:tr>
      <w:tr w:rsidR="00713ED0" w:rsidRPr="00713ED0" w14:paraId="23ABDFF9" w14:textId="77777777" w:rsidTr="00E0168D">
        <w:trPr>
          <w:tblHeader w:val="0"/>
        </w:trPr>
        <w:tc>
          <w:tcPr>
            <w:tcW w:w="681" w:type="dxa"/>
            <w:vMerge/>
            <w:vAlign w:val="center"/>
          </w:tcPr>
          <w:p w14:paraId="5F1047D4" w14:textId="77777777" w:rsidR="00713ED0" w:rsidRPr="00713ED0" w:rsidRDefault="00713ED0" w:rsidP="00FF45C2">
            <w:pPr>
              <w:pStyle w:val="TableTextEntries"/>
              <w:rPr>
                <w:b/>
              </w:rPr>
            </w:pPr>
          </w:p>
        </w:tc>
        <w:tc>
          <w:tcPr>
            <w:tcW w:w="1628" w:type="dxa"/>
            <w:gridSpan w:val="2"/>
            <w:vMerge/>
            <w:vAlign w:val="center"/>
          </w:tcPr>
          <w:p w14:paraId="0EA07060" w14:textId="77777777" w:rsidR="00713ED0" w:rsidRPr="00713ED0" w:rsidRDefault="00713ED0" w:rsidP="00FF45C2">
            <w:pPr>
              <w:pStyle w:val="TableTextEntries"/>
              <w:rPr>
                <w:b/>
              </w:rPr>
            </w:pPr>
          </w:p>
        </w:tc>
        <w:tc>
          <w:tcPr>
            <w:tcW w:w="813" w:type="dxa"/>
            <w:vMerge/>
            <w:vAlign w:val="center"/>
          </w:tcPr>
          <w:p w14:paraId="3C03DCFB" w14:textId="77777777" w:rsidR="00713ED0" w:rsidRPr="00713ED0" w:rsidRDefault="00713ED0" w:rsidP="00FF45C2">
            <w:pPr>
              <w:pStyle w:val="TableTextEntries"/>
              <w:rPr>
                <w:b/>
                <w:sz w:val="14"/>
              </w:rPr>
            </w:pPr>
          </w:p>
        </w:tc>
        <w:tc>
          <w:tcPr>
            <w:tcW w:w="808" w:type="dxa"/>
            <w:vMerge/>
            <w:vAlign w:val="center"/>
          </w:tcPr>
          <w:p w14:paraId="7B41554F" w14:textId="77777777" w:rsidR="00713ED0" w:rsidRPr="00713ED0" w:rsidRDefault="00713ED0" w:rsidP="00FF45C2">
            <w:pPr>
              <w:pStyle w:val="TableTextEntries"/>
              <w:rPr>
                <w:b/>
                <w:sz w:val="14"/>
              </w:rPr>
            </w:pPr>
          </w:p>
        </w:tc>
        <w:tc>
          <w:tcPr>
            <w:tcW w:w="1152" w:type="dxa"/>
            <w:vMerge/>
            <w:vAlign w:val="center"/>
          </w:tcPr>
          <w:p w14:paraId="1472A685" w14:textId="77777777" w:rsidR="00713ED0" w:rsidRPr="00713ED0" w:rsidRDefault="00713ED0" w:rsidP="00FF45C2">
            <w:pPr>
              <w:pStyle w:val="TableTextEntries"/>
              <w:rPr>
                <w:b/>
                <w:sz w:val="14"/>
                <w:szCs w:val="16"/>
              </w:rPr>
            </w:pPr>
          </w:p>
        </w:tc>
        <w:tc>
          <w:tcPr>
            <w:tcW w:w="440" w:type="dxa"/>
            <w:vAlign w:val="center"/>
          </w:tcPr>
          <w:p w14:paraId="0D6B08AC" w14:textId="77777777" w:rsidR="00713ED0" w:rsidRPr="00713ED0" w:rsidRDefault="00713ED0" w:rsidP="00FF45C2">
            <w:pPr>
              <w:pStyle w:val="TableTextEntries"/>
            </w:pPr>
            <w:r w:rsidRPr="00713ED0">
              <w:t>2011</w:t>
            </w:r>
          </w:p>
        </w:tc>
        <w:tc>
          <w:tcPr>
            <w:tcW w:w="334" w:type="dxa"/>
            <w:tcBorders>
              <w:top w:val="nil"/>
              <w:bottom w:val="nil"/>
            </w:tcBorders>
            <w:shd w:val="clear" w:color="auto" w:fill="auto"/>
            <w:noWrap/>
            <w:vAlign w:val="center"/>
          </w:tcPr>
          <w:p w14:paraId="5E38657B"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349A05F6"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13E385E3" w14:textId="77777777" w:rsidR="00713ED0" w:rsidRPr="00FF45C2" w:rsidRDefault="00713ED0" w:rsidP="00FF45C2">
            <w:pPr>
              <w:pStyle w:val="TableTextEntries"/>
              <w:jc w:val="center"/>
            </w:pPr>
            <w:r w:rsidRPr="00FF45C2">
              <w:t>n/a</w:t>
            </w:r>
          </w:p>
        </w:tc>
        <w:tc>
          <w:tcPr>
            <w:tcW w:w="403" w:type="dxa"/>
            <w:tcBorders>
              <w:top w:val="nil"/>
              <w:bottom w:val="nil"/>
            </w:tcBorders>
            <w:shd w:val="clear" w:color="auto" w:fill="auto"/>
            <w:noWrap/>
            <w:vAlign w:val="center"/>
          </w:tcPr>
          <w:p w14:paraId="1A940EF0"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3D0DCCE1"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55799659" w14:textId="77777777" w:rsidR="00713ED0" w:rsidRPr="00FF45C2" w:rsidRDefault="00713ED0" w:rsidP="00FF45C2">
            <w:pPr>
              <w:pStyle w:val="TableTextEntries"/>
              <w:jc w:val="center"/>
            </w:pPr>
            <w:r w:rsidRPr="00FF45C2">
              <w:t>n/a</w:t>
            </w:r>
          </w:p>
        </w:tc>
        <w:tc>
          <w:tcPr>
            <w:tcW w:w="347" w:type="dxa"/>
            <w:tcBorders>
              <w:top w:val="nil"/>
              <w:bottom w:val="nil"/>
            </w:tcBorders>
            <w:shd w:val="clear" w:color="auto" w:fill="auto"/>
            <w:noWrap/>
            <w:vAlign w:val="center"/>
          </w:tcPr>
          <w:p w14:paraId="3489C088" w14:textId="77777777" w:rsidR="00713ED0" w:rsidRPr="00FF45C2" w:rsidRDefault="00713ED0" w:rsidP="00FF45C2">
            <w:pPr>
              <w:pStyle w:val="TableTextEntries"/>
              <w:jc w:val="center"/>
            </w:pPr>
            <w:r w:rsidRPr="00FF45C2">
              <w:t>n/a</w:t>
            </w:r>
          </w:p>
        </w:tc>
      </w:tr>
      <w:tr w:rsidR="00713ED0" w:rsidRPr="00713ED0" w14:paraId="2938914B"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681" w:type="dxa"/>
            <w:vMerge w:val="restart"/>
            <w:vAlign w:val="center"/>
          </w:tcPr>
          <w:p w14:paraId="13BC20A3" w14:textId="77777777" w:rsidR="00713ED0" w:rsidRPr="00713ED0" w:rsidRDefault="00713ED0" w:rsidP="00FF45C2">
            <w:pPr>
              <w:pStyle w:val="TableTextEntries"/>
            </w:pPr>
            <w:r w:rsidRPr="00713ED0">
              <w:t>INF867</w:t>
            </w:r>
          </w:p>
        </w:tc>
        <w:tc>
          <w:tcPr>
            <w:tcW w:w="1628" w:type="dxa"/>
            <w:gridSpan w:val="2"/>
            <w:vMerge w:val="restart"/>
            <w:vAlign w:val="center"/>
          </w:tcPr>
          <w:p w14:paraId="333CC423" w14:textId="01C46A19" w:rsidR="00713ED0" w:rsidRPr="00713ED0" w:rsidRDefault="00713ED0" w:rsidP="00FF45C2">
            <w:pPr>
              <w:pStyle w:val="TableTextEntries"/>
            </w:pPr>
            <w:r w:rsidRPr="00713ED0">
              <w:t>Kang Guru Indonesi</w:t>
            </w:r>
            <w:r w:rsidR="0088219C">
              <w:t>a</w:t>
            </w:r>
          </w:p>
        </w:tc>
        <w:tc>
          <w:tcPr>
            <w:tcW w:w="813" w:type="dxa"/>
            <w:vMerge w:val="restart"/>
            <w:vAlign w:val="center"/>
          </w:tcPr>
          <w:p w14:paraId="3D3D5206" w14:textId="77777777" w:rsidR="00713ED0" w:rsidRPr="00713ED0" w:rsidRDefault="00713ED0" w:rsidP="00FF45C2">
            <w:pPr>
              <w:pStyle w:val="TableTextEntries"/>
              <w:rPr>
                <w:sz w:val="14"/>
              </w:rPr>
            </w:pPr>
            <w:r w:rsidRPr="00713ED0">
              <w:rPr>
                <w:sz w:val="14"/>
              </w:rPr>
              <w:t>1/01/2005</w:t>
            </w:r>
          </w:p>
        </w:tc>
        <w:tc>
          <w:tcPr>
            <w:tcW w:w="808" w:type="dxa"/>
            <w:vMerge w:val="restart"/>
            <w:vAlign w:val="center"/>
          </w:tcPr>
          <w:p w14:paraId="74808BD0" w14:textId="77777777" w:rsidR="00713ED0" w:rsidRPr="00713ED0" w:rsidRDefault="00713ED0" w:rsidP="00FF45C2">
            <w:pPr>
              <w:pStyle w:val="TableTextEntries"/>
              <w:rPr>
                <w:sz w:val="14"/>
              </w:rPr>
            </w:pPr>
            <w:r w:rsidRPr="00713ED0">
              <w:rPr>
                <w:sz w:val="14"/>
              </w:rPr>
              <w:t>31/12/2011</w:t>
            </w:r>
          </w:p>
        </w:tc>
        <w:tc>
          <w:tcPr>
            <w:tcW w:w="1152" w:type="dxa"/>
            <w:vMerge w:val="restart"/>
            <w:vAlign w:val="center"/>
          </w:tcPr>
          <w:p w14:paraId="0280B063" w14:textId="5B980E19" w:rsidR="00713ED0" w:rsidRPr="00713ED0" w:rsidRDefault="00713ED0" w:rsidP="00FF45C2">
            <w:pPr>
              <w:pStyle w:val="TableTextEntries"/>
              <w:rPr>
                <w:sz w:val="14"/>
                <w:szCs w:val="16"/>
              </w:rPr>
            </w:pPr>
            <w:r w:rsidRPr="00713ED0">
              <w:rPr>
                <w:sz w:val="14"/>
                <w:szCs w:val="16"/>
              </w:rPr>
              <w:t>$4</w:t>
            </w:r>
            <w:r w:rsidR="00501774">
              <w:rPr>
                <w:sz w:val="14"/>
                <w:szCs w:val="16"/>
              </w:rPr>
              <w:t xml:space="preserve"> </w:t>
            </w:r>
            <w:r w:rsidRPr="00713ED0">
              <w:rPr>
                <w:sz w:val="14"/>
                <w:szCs w:val="16"/>
              </w:rPr>
              <w:t>724</w:t>
            </w:r>
            <w:r w:rsidR="00501774">
              <w:rPr>
                <w:sz w:val="14"/>
                <w:szCs w:val="16"/>
              </w:rPr>
              <w:t xml:space="preserve"> </w:t>
            </w:r>
            <w:r w:rsidRPr="00713ED0">
              <w:rPr>
                <w:sz w:val="14"/>
                <w:szCs w:val="16"/>
              </w:rPr>
              <w:t>565.01</w:t>
            </w:r>
          </w:p>
        </w:tc>
        <w:tc>
          <w:tcPr>
            <w:tcW w:w="440" w:type="dxa"/>
            <w:vAlign w:val="center"/>
          </w:tcPr>
          <w:p w14:paraId="1DFB8954" w14:textId="77777777" w:rsidR="00713ED0" w:rsidRPr="00713ED0" w:rsidRDefault="00713ED0" w:rsidP="00FF45C2">
            <w:pPr>
              <w:pStyle w:val="TableTextEntries"/>
            </w:pPr>
            <w:r w:rsidRPr="00713ED0">
              <w:t>2012</w:t>
            </w:r>
          </w:p>
        </w:tc>
        <w:tc>
          <w:tcPr>
            <w:tcW w:w="334" w:type="dxa"/>
            <w:shd w:val="clear" w:color="auto" w:fill="auto"/>
            <w:noWrap/>
            <w:vAlign w:val="center"/>
          </w:tcPr>
          <w:p w14:paraId="55D01A4F"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2B8E1B6C"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05BEC618" w14:textId="77777777" w:rsidR="00713ED0" w:rsidRPr="00FF45C2" w:rsidRDefault="00713ED0" w:rsidP="00FF45C2">
            <w:pPr>
              <w:pStyle w:val="TableTextEntries"/>
              <w:jc w:val="center"/>
            </w:pPr>
            <w:r w:rsidRPr="00FF45C2">
              <w:t>n/a</w:t>
            </w:r>
          </w:p>
        </w:tc>
        <w:tc>
          <w:tcPr>
            <w:tcW w:w="403" w:type="dxa"/>
            <w:shd w:val="clear" w:color="auto" w:fill="auto"/>
            <w:noWrap/>
            <w:vAlign w:val="center"/>
          </w:tcPr>
          <w:p w14:paraId="02C2419E"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715BF508"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6FD41B4F" w14:textId="77777777" w:rsidR="00713ED0" w:rsidRPr="00FF45C2" w:rsidRDefault="00713ED0" w:rsidP="00FF45C2">
            <w:pPr>
              <w:pStyle w:val="TableTextEntries"/>
              <w:jc w:val="center"/>
            </w:pPr>
            <w:r w:rsidRPr="00FF45C2">
              <w:t>n/a</w:t>
            </w:r>
          </w:p>
        </w:tc>
        <w:tc>
          <w:tcPr>
            <w:tcW w:w="347" w:type="dxa"/>
            <w:shd w:val="clear" w:color="auto" w:fill="auto"/>
            <w:noWrap/>
            <w:vAlign w:val="center"/>
          </w:tcPr>
          <w:p w14:paraId="372889BB" w14:textId="77777777" w:rsidR="00713ED0" w:rsidRPr="00FF45C2" w:rsidRDefault="00713ED0" w:rsidP="00FF45C2">
            <w:pPr>
              <w:pStyle w:val="TableTextEntries"/>
              <w:jc w:val="center"/>
            </w:pPr>
            <w:r w:rsidRPr="00FF45C2">
              <w:t>n/a</w:t>
            </w:r>
          </w:p>
        </w:tc>
      </w:tr>
      <w:tr w:rsidR="00713ED0" w:rsidRPr="00713ED0" w14:paraId="0101A1E3" w14:textId="77777777" w:rsidTr="00E0168D">
        <w:trPr>
          <w:tblHeader w:val="0"/>
        </w:trPr>
        <w:tc>
          <w:tcPr>
            <w:tcW w:w="681" w:type="dxa"/>
            <w:vMerge/>
            <w:vAlign w:val="center"/>
          </w:tcPr>
          <w:p w14:paraId="7A2AB339" w14:textId="77777777" w:rsidR="00713ED0" w:rsidRPr="00713ED0" w:rsidRDefault="00713ED0" w:rsidP="00FF45C2">
            <w:pPr>
              <w:pStyle w:val="TableTextEntries"/>
              <w:rPr>
                <w:b/>
              </w:rPr>
            </w:pPr>
          </w:p>
        </w:tc>
        <w:tc>
          <w:tcPr>
            <w:tcW w:w="1628" w:type="dxa"/>
            <w:gridSpan w:val="2"/>
            <w:vMerge/>
            <w:vAlign w:val="center"/>
          </w:tcPr>
          <w:p w14:paraId="532A8EC3" w14:textId="77777777" w:rsidR="00713ED0" w:rsidRPr="00713ED0" w:rsidRDefault="00713ED0" w:rsidP="00FF45C2">
            <w:pPr>
              <w:pStyle w:val="TableTextEntries"/>
              <w:rPr>
                <w:b/>
              </w:rPr>
            </w:pPr>
          </w:p>
        </w:tc>
        <w:tc>
          <w:tcPr>
            <w:tcW w:w="813" w:type="dxa"/>
            <w:vMerge/>
            <w:vAlign w:val="center"/>
          </w:tcPr>
          <w:p w14:paraId="22B3AED3" w14:textId="77777777" w:rsidR="00713ED0" w:rsidRPr="00713ED0" w:rsidRDefault="00713ED0" w:rsidP="00FF45C2">
            <w:pPr>
              <w:pStyle w:val="TableTextEntries"/>
              <w:rPr>
                <w:b/>
                <w:sz w:val="14"/>
              </w:rPr>
            </w:pPr>
          </w:p>
        </w:tc>
        <w:tc>
          <w:tcPr>
            <w:tcW w:w="808" w:type="dxa"/>
            <w:vMerge/>
            <w:vAlign w:val="center"/>
          </w:tcPr>
          <w:p w14:paraId="6246A247" w14:textId="77777777" w:rsidR="00713ED0" w:rsidRPr="00713ED0" w:rsidRDefault="00713ED0" w:rsidP="00FF45C2">
            <w:pPr>
              <w:pStyle w:val="TableTextEntries"/>
              <w:rPr>
                <w:b/>
                <w:sz w:val="14"/>
              </w:rPr>
            </w:pPr>
          </w:p>
        </w:tc>
        <w:tc>
          <w:tcPr>
            <w:tcW w:w="1152" w:type="dxa"/>
            <w:vMerge/>
            <w:vAlign w:val="center"/>
          </w:tcPr>
          <w:p w14:paraId="4ACC5E86" w14:textId="77777777" w:rsidR="00713ED0" w:rsidRPr="00713ED0" w:rsidRDefault="00713ED0" w:rsidP="00FF45C2">
            <w:pPr>
              <w:pStyle w:val="TableTextEntries"/>
              <w:rPr>
                <w:b/>
                <w:sz w:val="14"/>
                <w:szCs w:val="16"/>
              </w:rPr>
            </w:pPr>
          </w:p>
        </w:tc>
        <w:tc>
          <w:tcPr>
            <w:tcW w:w="440" w:type="dxa"/>
            <w:vAlign w:val="center"/>
          </w:tcPr>
          <w:p w14:paraId="1D5327A1" w14:textId="77777777" w:rsidR="00713ED0" w:rsidRPr="00713ED0" w:rsidRDefault="00713ED0" w:rsidP="00FF45C2">
            <w:pPr>
              <w:pStyle w:val="TableTextEntries"/>
            </w:pPr>
            <w:r w:rsidRPr="00713ED0">
              <w:t>2011</w:t>
            </w:r>
          </w:p>
        </w:tc>
        <w:tc>
          <w:tcPr>
            <w:tcW w:w="334" w:type="dxa"/>
            <w:shd w:val="clear" w:color="auto" w:fill="FFFF00"/>
            <w:noWrap/>
            <w:vAlign w:val="center"/>
          </w:tcPr>
          <w:p w14:paraId="1A240303"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7294546A"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F776DE7"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63C01972"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5B9D2525"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36A6EA83" w14:textId="77777777" w:rsidR="00713ED0" w:rsidRPr="00FF45C2" w:rsidRDefault="00713ED0" w:rsidP="00FF45C2">
            <w:pPr>
              <w:pStyle w:val="TableTextEntries"/>
              <w:jc w:val="center"/>
            </w:pPr>
            <w:r w:rsidRPr="00FF45C2">
              <w:t>3</w:t>
            </w:r>
          </w:p>
        </w:tc>
        <w:tc>
          <w:tcPr>
            <w:tcW w:w="347" w:type="dxa"/>
            <w:tcBorders>
              <w:top w:val="nil"/>
              <w:bottom w:val="nil"/>
            </w:tcBorders>
            <w:shd w:val="clear" w:color="auto" w:fill="92D050"/>
            <w:noWrap/>
            <w:vAlign w:val="center"/>
          </w:tcPr>
          <w:p w14:paraId="3C7F76E9" w14:textId="77777777" w:rsidR="00713ED0" w:rsidRPr="00FF45C2" w:rsidRDefault="00713ED0" w:rsidP="00FF45C2">
            <w:pPr>
              <w:pStyle w:val="TableTextEntries"/>
              <w:jc w:val="center"/>
            </w:pPr>
            <w:r w:rsidRPr="00FF45C2">
              <w:t>M</w:t>
            </w:r>
          </w:p>
        </w:tc>
      </w:tr>
      <w:tr w:rsidR="00713ED0" w:rsidRPr="00713ED0" w14:paraId="753D41B7" w14:textId="77777777" w:rsidTr="00E0168D">
        <w:trPr>
          <w:cnfStyle w:val="000000010000" w:firstRow="0" w:lastRow="0" w:firstColumn="0" w:lastColumn="0" w:oddVBand="0" w:evenVBand="0" w:oddHBand="0" w:evenHBand="1" w:firstRowFirstColumn="0" w:firstRowLastColumn="0" w:lastRowFirstColumn="0" w:lastRowLastColumn="0"/>
          <w:cantSplit/>
          <w:tblHeader w:val="0"/>
        </w:trPr>
        <w:tc>
          <w:tcPr>
            <w:tcW w:w="2337" w:type="dxa"/>
            <w:gridSpan w:val="3"/>
            <w:vAlign w:val="bottom"/>
          </w:tcPr>
          <w:p w14:paraId="36AC41C1" w14:textId="77777777" w:rsidR="00713ED0" w:rsidRPr="00713ED0" w:rsidRDefault="00713ED0" w:rsidP="00E0168D">
            <w:pPr>
              <w:pStyle w:val="TableHeading2"/>
            </w:pPr>
            <w:r w:rsidRPr="00713ED0">
              <w:t>Health</w:t>
            </w:r>
          </w:p>
        </w:tc>
        <w:tc>
          <w:tcPr>
            <w:tcW w:w="813" w:type="dxa"/>
          </w:tcPr>
          <w:p w14:paraId="09635D1D" w14:textId="77777777" w:rsidR="00713ED0" w:rsidRPr="00713ED0" w:rsidRDefault="00713ED0" w:rsidP="00FF45C2">
            <w:pPr>
              <w:pStyle w:val="TableTextEntries"/>
              <w:rPr>
                <w:sz w:val="14"/>
              </w:rPr>
            </w:pPr>
          </w:p>
        </w:tc>
        <w:tc>
          <w:tcPr>
            <w:tcW w:w="808" w:type="dxa"/>
            <w:vAlign w:val="center"/>
          </w:tcPr>
          <w:p w14:paraId="43F7D1DD" w14:textId="77777777" w:rsidR="00713ED0" w:rsidRPr="00713ED0" w:rsidRDefault="00713ED0" w:rsidP="00FF45C2">
            <w:pPr>
              <w:pStyle w:val="TableTextEntries"/>
              <w:rPr>
                <w:sz w:val="14"/>
              </w:rPr>
            </w:pPr>
          </w:p>
        </w:tc>
        <w:tc>
          <w:tcPr>
            <w:tcW w:w="1152" w:type="dxa"/>
            <w:vAlign w:val="bottom"/>
          </w:tcPr>
          <w:p w14:paraId="153AEB32" w14:textId="77777777" w:rsidR="00713ED0" w:rsidRPr="00713ED0" w:rsidRDefault="00713ED0" w:rsidP="00FF45C2">
            <w:pPr>
              <w:pStyle w:val="TableTextEntries"/>
              <w:rPr>
                <w:sz w:val="14"/>
                <w:szCs w:val="16"/>
              </w:rPr>
            </w:pPr>
          </w:p>
        </w:tc>
        <w:tc>
          <w:tcPr>
            <w:tcW w:w="440" w:type="dxa"/>
            <w:textDirection w:val="btLr"/>
            <w:vAlign w:val="center"/>
          </w:tcPr>
          <w:p w14:paraId="105DA3D3" w14:textId="77777777" w:rsidR="00713ED0" w:rsidRPr="00713ED0" w:rsidRDefault="00713ED0" w:rsidP="00FF45C2">
            <w:pPr>
              <w:pStyle w:val="TableTextEntries"/>
            </w:pPr>
          </w:p>
        </w:tc>
        <w:tc>
          <w:tcPr>
            <w:tcW w:w="334" w:type="dxa"/>
            <w:textDirection w:val="btLr"/>
            <w:vAlign w:val="center"/>
          </w:tcPr>
          <w:p w14:paraId="73629424" w14:textId="77777777" w:rsidR="00713ED0" w:rsidRPr="00FF45C2" w:rsidRDefault="00713ED0" w:rsidP="00FF45C2">
            <w:pPr>
              <w:pStyle w:val="TableTextEntries"/>
              <w:jc w:val="center"/>
            </w:pPr>
          </w:p>
        </w:tc>
        <w:tc>
          <w:tcPr>
            <w:tcW w:w="334" w:type="dxa"/>
            <w:textDirection w:val="btLr"/>
            <w:vAlign w:val="center"/>
          </w:tcPr>
          <w:p w14:paraId="27DA15A7" w14:textId="77777777" w:rsidR="00713ED0" w:rsidRPr="00FF45C2" w:rsidRDefault="00713ED0" w:rsidP="00FF45C2">
            <w:pPr>
              <w:pStyle w:val="TableTextEntries"/>
              <w:jc w:val="center"/>
            </w:pPr>
          </w:p>
        </w:tc>
        <w:tc>
          <w:tcPr>
            <w:tcW w:w="334" w:type="dxa"/>
            <w:textDirection w:val="btLr"/>
            <w:vAlign w:val="center"/>
          </w:tcPr>
          <w:p w14:paraId="747D62C9" w14:textId="77777777" w:rsidR="00713ED0" w:rsidRPr="00FF45C2" w:rsidRDefault="00713ED0" w:rsidP="00FF45C2">
            <w:pPr>
              <w:pStyle w:val="TableTextEntries"/>
              <w:jc w:val="center"/>
            </w:pPr>
          </w:p>
        </w:tc>
        <w:tc>
          <w:tcPr>
            <w:tcW w:w="403" w:type="dxa"/>
            <w:textDirection w:val="btLr"/>
            <w:vAlign w:val="center"/>
          </w:tcPr>
          <w:p w14:paraId="09439EED" w14:textId="77777777" w:rsidR="00713ED0" w:rsidRPr="00FF45C2" w:rsidRDefault="00713ED0" w:rsidP="00FF45C2">
            <w:pPr>
              <w:pStyle w:val="TableTextEntries"/>
              <w:jc w:val="center"/>
            </w:pPr>
          </w:p>
        </w:tc>
        <w:tc>
          <w:tcPr>
            <w:tcW w:w="334" w:type="dxa"/>
            <w:textDirection w:val="btLr"/>
            <w:vAlign w:val="center"/>
          </w:tcPr>
          <w:p w14:paraId="02349EC7" w14:textId="77777777" w:rsidR="00713ED0" w:rsidRPr="00FF45C2" w:rsidRDefault="00713ED0" w:rsidP="00FF45C2">
            <w:pPr>
              <w:pStyle w:val="TableTextEntries"/>
              <w:jc w:val="center"/>
            </w:pPr>
          </w:p>
        </w:tc>
        <w:tc>
          <w:tcPr>
            <w:tcW w:w="334" w:type="dxa"/>
            <w:textDirection w:val="btLr"/>
            <w:vAlign w:val="center"/>
          </w:tcPr>
          <w:p w14:paraId="37BBE001" w14:textId="77777777" w:rsidR="00713ED0" w:rsidRPr="00FF45C2" w:rsidRDefault="00713ED0" w:rsidP="00FF45C2">
            <w:pPr>
              <w:pStyle w:val="TableTextEntries"/>
              <w:jc w:val="center"/>
            </w:pPr>
          </w:p>
        </w:tc>
        <w:tc>
          <w:tcPr>
            <w:tcW w:w="347" w:type="dxa"/>
            <w:textDirection w:val="btLr"/>
            <w:vAlign w:val="center"/>
          </w:tcPr>
          <w:p w14:paraId="3D8D6A8C" w14:textId="77777777" w:rsidR="00713ED0" w:rsidRPr="00FF45C2" w:rsidRDefault="00713ED0" w:rsidP="00FF45C2">
            <w:pPr>
              <w:pStyle w:val="TableTextEntries"/>
              <w:jc w:val="center"/>
            </w:pPr>
          </w:p>
        </w:tc>
      </w:tr>
      <w:tr w:rsidR="00713ED0" w:rsidRPr="00713ED0" w14:paraId="2032A95E" w14:textId="77777777" w:rsidTr="00E0168D">
        <w:trPr>
          <w:tblHeader w:val="0"/>
        </w:trPr>
        <w:tc>
          <w:tcPr>
            <w:tcW w:w="823" w:type="dxa"/>
            <w:gridSpan w:val="2"/>
            <w:vMerge w:val="restart"/>
            <w:vAlign w:val="center"/>
          </w:tcPr>
          <w:p w14:paraId="4A0F06E9" w14:textId="77777777" w:rsidR="00713ED0" w:rsidRPr="00713ED0" w:rsidRDefault="00713ED0" w:rsidP="00FF45C2">
            <w:pPr>
              <w:pStyle w:val="TableTextEntries"/>
            </w:pPr>
            <w:r w:rsidRPr="00713ED0">
              <w:t>ING821</w:t>
            </w:r>
          </w:p>
        </w:tc>
        <w:tc>
          <w:tcPr>
            <w:tcW w:w="1486" w:type="dxa"/>
            <w:vMerge w:val="restart"/>
            <w:vAlign w:val="center"/>
          </w:tcPr>
          <w:p w14:paraId="3D88F52E" w14:textId="7361BA02" w:rsidR="00713ED0" w:rsidRPr="00713ED0" w:rsidRDefault="0088219C" w:rsidP="00FF45C2">
            <w:pPr>
              <w:pStyle w:val="TableTextEntries"/>
            </w:pPr>
            <w:r w:rsidRPr="00713ED0">
              <w:t>Australia</w:t>
            </w:r>
            <w:r>
              <w:t>–</w:t>
            </w:r>
            <w:r w:rsidRPr="00713ED0">
              <w:t xml:space="preserve">Indonesia Partnership </w:t>
            </w:r>
            <w:r w:rsidR="001F4C47" w:rsidRPr="009A185C">
              <w:t xml:space="preserve">for </w:t>
            </w:r>
            <w:r w:rsidR="00713ED0" w:rsidRPr="009A185C">
              <w:t>M</w:t>
            </w:r>
            <w:r w:rsidR="001F4C47" w:rsidRPr="009A185C">
              <w:t xml:space="preserve">aternal &amp; </w:t>
            </w:r>
            <w:r w:rsidR="00713ED0" w:rsidRPr="009A185C">
              <w:t>N</w:t>
            </w:r>
            <w:r w:rsidR="001F4C47" w:rsidRPr="009A185C">
              <w:t xml:space="preserve">eonatal </w:t>
            </w:r>
            <w:r w:rsidR="00713ED0" w:rsidRPr="009A185C">
              <w:t>H</w:t>
            </w:r>
            <w:r w:rsidR="001F4C47" w:rsidRPr="009A185C">
              <w:t>e</w:t>
            </w:r>
            <w:r w:rsidR="001F4C47">
              <w:t>alth</w:t>
            </w:r>
            <w:r w:rsidR="00713ED0" w:rsidRPr="00713ED0">
              <w:t xml:space="preserve"> Program</w:t>
            </w:r>
          </w:p>
        </w:tc>
        <w:tc>
          <w:tcPr>
            <w:tcW w:w="813" w:type="dxa"/>
            <w:vMerge w:val="restart"/>
            <w:vAlign w:val="center"/>
          </w:tcPr>
          <w:p w14:paraId="4A32CC10" w14:textId="77777777" w:rsidR="00713ED0" w:rsidRPr="00713ED0" w:rsidRDefault="00713ED0" w:rsidP="00FF45C2">
            <w:pPr>
              <w:pStyle w:val="TableTextEntries"/>
              <w:rPr>
                <w:sz w:val="14"/>
              </w:rPr>
            </w:pPr>
            <w:r w:rsidRPr="00713ED0">
              <w:rPr>
                <w:sz w:val="14"/>
              </w:rPr>
              <w:t>17/08/2006</w:t>
            </w:r>
          </w:p>
        </w:tc>
        <w:tc>
          <w:tcPr>
            <w:tcW w:w="808" w:type="dxa"/>
            <w:vMerge w:val="restart"/>
            <w:vAlign w:val="center"/>
          </w:tcPr>
          <w:p w14:paraId="19CB604D" w14:textId="77777777" w:rsidR="00713ED0" w:rsidRPr="00713ED0" w:rsidRDefault="00713ED0" w:rsidP="00FF45C2">
            <w:pPr>
              <w:pStyle w:val="TableTextEntries"/>
              <w:rPr>
                <w:sz w:val="14"/>
              </w:rPr>
            </w:pPr>
            <w:r w:rsidRPr="00713ED0">
              <w:rPr>
                <w:sz w:val="14"/>
              </w:rPr>
              <w:t>30/06/2013</w:t>
            </w:r>
          </w:p>
        </w:tc>
        <w:tc>
          <w:tcPr>
            <w:tcW w:w="1152" w:type="dxa"/>
            <w:vMerge w:val="restart"/>
            <w:vAlign w:val="center"/>
          </w:tcPr>
          <w:p w14:paraId="2A3A1F53" w14:textId="6A745823" w:rsidR="00713ED0" w:rsidRPr="00713ED0" w:rsidRDefault="00713ED0" w:rsidP="00FF45C2">
            <w:pPr>
              <w:pStyle w:val="TableTextEntries"/>
              <w:rPr>
                <w:sz w:val="14"/>
                <w:szCs w:val="16"/>
              </w:rPr>
            </w:pPr>
            <w:r w:rsidRPr="00713ED0">
              <w:rPr>
                <w:sz w:val="14"/>
                <w:szCs w:val="16"/>
              </w:rPr>
              <w:t>$66</w:t>
            </w:r>
            <w:r w:rsidR="00501774">
              <w:rPr>
                <w:sz w:val="14"/>
                <w:szCs w:val="16"/>
              </w:rPr>
              <w:t xml:space="preserve"> </w:t>
            </w:r>
            <w:r w:rsidRPr="00713ED0">
              <w:rPr>
                <w:sz w:val="14"/>
                <w:szCs w:val="16"/>
              </w:rPr>
              <w:t>996</w:t>
            </w:r>
            <w:r w:rsidR="00501774">
              <w:rPr>
                <w:sz w:val="14"/>
                <w:szCs w:val="16"/>
              </w:rPr>
              <w:t xml:space="preserve"> </w:t>
            </w:r>
            <w:r w:rsidRPr="00713ED0">
              <w:rPr>
                <w:sz w:val="14"/>
                <w:szCs w:val="16"/>
              </w:rPr>
              <w:t>435.67</w:t>
            </w:r>
          </w:p>
        </w:tc>
        <w:tc>
          <w:tcPr>
            <w:tcW w:w="440" w:type="dxa"/>
            <w:vAlign w:val="center"/>
          </w:tcPr>
          <w:p w14:paraId="12D07338" w14:textId="77777777" w:rsidR="00713ED0" w:rsidRPr="00713ED0" w:rsidRDefault="00713ED0" w:rsidP="00FF45C2">
            <w:pPr>
              <w:pStyle w:val="TableTextEntries"/>
            </w:pPr>
            <w:r w:rsidRPr="00713ED0">
              <w:t>2012</w:t>
            </w:r>
          </w:p>
        </w:tc>
        <w:tc>
          <w:tcPr>
            <w:tcW w:w="334" w:type="dxa"/>
            <w:shd w:val="clear" w:color="auto" w:fill="92D050"/>
            <w:noWrap/>
            <w:vAlign w:val="center"/>
          </w:tcPr>
          <w:p w14:paraId="61E0EA6E"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0C8E7BEB"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134A6CF"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6BF03521"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79331C56"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8D2F811" w14:textId="77777777" w:rsidR="00713ED0" w:rsidRPr="00FF45C2" w:rsidRDefault="00713ED0" w:rsidP="00FF45C2">
            <w:pPr>
              <w:pStyle w:val="TableTextEntries"/>
              <w:jc w:val="center"/>
            </w:pPr>
            <w:r w:rsidRPr="00FF45C2">
              <w:t>5</w:t>
            </w:r>
          </w:p>
        </w:tc>
        <w:tc>
          <w:tcPr>
            <w:tcW w:w="347" w:type="dxa"/>
            <w:tcBorders>
              <w:top w:val="nil"/>
              <w:bottom w:val="nil"/>
            </w:tcBorders>
            <w:shd w:val="clear" w:color="auto" w:fill="92D050"/>
            <w:noWrap/>
            <w:vAlign w:val="center"/>
          </w:tcPr>
          <w:p w14:paraId="10838284" w14:textId="77777777" w:rsidR="00713ED0" w:rsidRPr="00FF45C2" w:rsidRDefault="00713ED0" w:rsidP="00FF45C2">
            <w:pPr>
              <w:pStyle w:val="TableTextEntries"/>
              <w:jc w:val="center"/>
            </w:pPr>
            <w:r w:rsidRPr="00FF45C2">
              <w:t>M</w:t>
            </w:r>
          </w:p>
        </w:tc>
      </w:tr>
      <w:tr w:rsidR="00713ED0" w:rsidRPr="00713ED0" w14:paraId="4AFE8513"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52984374" w14:textId="77777777" w:rsidR="00713ED0" w:rsidRPr="00713ED0" w:rsidRDefault="00713ED0" w:rsidP="00FF45C2">
            <w:pPr>
              <w:pStyle w:val="TableTextEntries"/>
            </w:pPr>
          </w:p>
        </w:tc>
        <w:tc>
          <w:tcPr>
            <w:tcW w:w="1486" w:type="dxa"/>
            <w:vMerge/>
            <w:vAlign w:val="center"/>
          </w:tcPr>
          <w:p w14:paraId="36609DD8" w14:textId="77777777" w:rsidR="00713ED0" w:rsidRPr="00713ED0" w:rsidRDefault="00713ED0" w:rsidP="00FF45C2">
            <w:pPr>
              <w:pStyle w:val="TableTextEntries"/>
            </w:pPr>
          </w:p>
        </w:tc>
        <w:tc>
          <w:tcPr>
            <w:tcW w:w="813" w:type="dxa"/>
            <w:vMerge/>
            <w:vAlign w:val="center"/>
          </w:tcPr>
          <w:p w14:paraId="3394461B" w14:textId="77777777" w:rsidR="00713ED0" w:rsidRPr="00713ED0" w:rsidRDefault="00713ED0" w:rsidP="00FF45C2">
            <w:pPr>
              <w:pStyle w:val="TableTextEntries"/>
              <w:rPr>
                <w:sz w:val="14"/>
              </w:rPr>
            </w:pPr>
          </w:p>
        </w:tc>
        <w:tc>
          <w:tcPr>
            <w:tcW w:w="808" w:type="dxa"/>
            <w:vMerge/>
            <w:vAlign w:val="center"/>
          </w:tcPr>
          <w:p w14:paraId="5A523D18" w14:textId="77777777" w:rsidR="00713ED0" w:rsidRPr="00713ED0" w:rsidRDefault="00713ED0" w:rsidP="00FF45C2">
            <w:pPr>
              <w:pStyle w:val="TableTextEntries"/>
              <w:rPr>
                <w:sz w:val="14"/>
              </w:rPr>
            </w:pPr>
          </w:p>
        </w:tc>
        <w:tc>
          <w:tcPr>
            <w:tcW w:w="1152" w:type="dxa"/>
            <w:vMerge/>
            <w:vAlign w:val="center"/>
          </w:tcPr>
          <w:p w14:paraId="1FFE9FE8" w14:textId="77777777" w:rsidR="00713ED0" w:rsidRPr="00713ED0" w:rsidRDefault="00713ED0" w:rsidP="00FF45C2">
            <w:pPr>
              <w:pStyle w:val="TableTextEntries"/>
              <w:rPr>
                <w:sz w:val="14"/>
                <w:szCs w:val="16"/>
              </w:rPr>
            </w:pPr>
          </w:p>
        </w:tc>
        <w:tc>
          <w:tcPr>
            <w:tcW w:w="440" w:type="dxa"/>
            <w:vAlign w:val="center"/>
          </w:tcPr>
          <w:p w14:paraId="06494720" w14:textId="77777777" w:rsidR="00713ED0" w:rsidRPr="00713ED0" w:rsidRDefault="00713ED0" w:rsidP="00FF45C2">
            <w:pPr>
              <w:pStyle w:val="TableTextEntries"/>
            </w:pPr>
            <w:r w:rsidRPr="00713ED0">
              <w:t>2011</w:t>
            </w:r>
          </w:p>
        </w:tc>
        <w:tc>
          <w:tcPr>
            <w:tcW w:w="334" w:type="dxa"/>
            <w:shd w:val="clear" w:color="auto" w:fill="92D050"/>
            <w:noWrap/>
            <w:vAlign w:val="center"/>
          </w:tcPr>
          <w:p w14:paraId="443A40CF"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9D52928"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5198A2D8"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67AC24F6"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5212F22B"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BE13EAD"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vAlign w:val="center"/>
          </w:tcPr>
          <w:p w14:paraId="4B2E51A2" w14:textId="77777777" w:rsidR="00713ED0" w:rsidRPr="00FF45C2" w:rsidRDefault="00713ED0" w:rsidP="00FF45C2">
            <w:pPr>
              <w:pStyle w:val="TableTextEntries"/>
              <w:jc w:val="center"/>
            </w:pPr>
            <w:r w:rsidRPr="00FF45C2">
              <w:t>I</w:t>
            </w:r>
          </w:p>
        </w:tc>
      </w:tr>
      <w:tr w:rsidR="00713ED0" w:rsidRPr="00713ED0" w14:paraId="23135766" w14:textId="77777777" w:rsidTr="00E0168D">
        <w:trPr>
          <w:tblHeader w:val="0"/>
        </w:trPr>
        <w:tc>
          <w:tcPr>
            <w:tcW w:w="823" w:type="dxa"/>
            <w:gridSpan w:val="2"/>
            <w:vMerge w:val="restart"/>
            <w:vAlign w:val="center"/>
          </w:tcPr>
          <w:p w14:paraId="2143FFD9" w14:textId="77777777" w:rsidR="00713ED0" w:rsidRPr="00713ED0" w:rsidRDefault="00713ED0" w:rsidP="00FF45C2">
            <w:pPr>
              <w:pStyle w:val="TableTextEntries"/>
            </w:pPr>
            <w:r w:rsidRPr="00713ED0">
              <w:t>INH251</w:t>
            </w:r>
          </w:p>
        </w:tc>
        <w:tc>
          <w:tcPr>
            <w:tcW w:w="1486" w:type="dxa"/>
            <w:vMerge w:val="restart"/>
            <w:vAlign w:val="center"/>
          </w:tcPr>
          <w:p w14:paraId="48BAE86C" w14:textId="0C6623F7" w:rsidR="00713ED0" w:rsidRPr="00713ED0" w:rsidRDefault="00713ED0" w:rsidP="00FF45C2">
            <w:pPr>
              <w:pStyle w:val="TableTextEntries"/>
            </w:pPr>
            <w:r w:rsidRPr="00713ED0">
              <w:t>Australia</w:t>
            </w:r>
            <w:r w:rsidR="0088219C">
              <w:t>–</w:t>
            </w:r>
            <w:r w:rsidRPr="00713ED0">
              <w:t>Indonesia Partnership for HIV</w:t>
            </w:r>
          </w:p>
        </w:tc>
        <w:tc>
          <w:tcPr>
            <w:tcW w:w="813" w:type="dxa"/>
            <w:vMerge w:val="restart"/>
            <w:vAlign w:val="center"/>
          </w:tcPr>
          <w:p w14:paraId="457340BD" w14:textId="77777777" w:rsidR="00713ED0" w:rsidRPr="00713ED0" w:rsidRDefault="00713ED0" w:rsidP="00FF45C2">
            <w:pPr>
              <w:pStyle w:val="TableTextEntries"/>
              <w:rPr>
                <w:sz w:val="14"/>
              </w:rPr>
            </w:pPr>
            <w:r w:rsidRPr="00713ED0">
              <w:rPr>
                <w:sz w:val="14"/>
              </w:rPr>
              <w:t>01/07/2007</w:t>
            </w:r>
          </w:p>
        </w:tc>
        <w:tc>
          <w:tcPr>
            <w:tcW w:w="808" w:type="dxa"/>
            <w:vMerge w:val="restart"/>
            <w:vAlign w:val="center"/>
          </w:tcPr>
          <w:p w14:paraId="718773C4" w14:textId="77777777" w:rsidR="00713ED0" w:rsidRPr="00713ED0" w:rsidRDefault="00713ED0" w:rsidP="00FF45C2">
            <w:pPr>
              <w:pStyle w:val="TableTextEntries"/>
              <w:rPr>
                <w:sz w:val="14"/>
              </w:rPr>
            </w:pPr>
            <w:r w:rsidRPr="00713ED0">
              <w:rPr>
                <w:sz w:val="14"/>
              </w:rPr>
              <w:t>31/12/2016</w:t>
            </w:r>
          </w:p>
        </w:tc>
        <w:tc>
          <w:tcPr>
            <w:tcW w:w="1152" w:type="dxa"/>
            <w:vMerge w:val="restart"/>
            <w:vAlign w:val="center"/>
          </w:tcPr>
          <w:p w14:paraId="74710FA0" w14:textId="1D5F840D" w:rsidR="00713ED0" w:rsidRPr="00713ED0" w:rsidRDefault="00713ED0" w:rsidP="00FF45C2">
            <w:pPr>
              <w:pStyle w:val="TableTextEntries"/>
              <w:rPr>
                <w:sz w:val="14"/>
                <w:szCs w:val="16"/>
              </w:rPr>
            </w:pPr>
            <w:r w:rsidRPr="00713ED0">
              <w:rPr>
                <w:sz w:val="14"/>
                <w:szCs w:val="16"/>
              </w:rPr>
              <w:t>$128</w:t>
            </w:r>
            <w:r w:rsidR="00501774">
              <w:rPr>
                <w:sz w:val="14"/>
                <w:szCs w:val="16"/>
              </w:rPr>
              <w:t xml:space="preserve"> </w:t>
            </w:r>
            <w:r w:rsidRPr="00713ED0">
              <w:rPr>
                <w:sz w:val="14"/>
                <w:szCs w:val="16"/>
              </w:rPr>
              <w:t>500</w:t>
            </w:r>
            <w:r w:rsidR="00501774">
              <w:rPr>
                <w:sz w:val="14"/>
                <w:szCs w:val="16"/>
              </w:rPr>
              <w:t xml:space="preserve"> </w:t>
            </w:r>
            <w:r w:rsidRPr="00713ED0">
              <w:rPr>
                <w:sz w:val="14"/>
                <w:szCs w:val="16"/>
              </w:rPr>
              <w:t>000.00</w:t>
            </w:r>
          </w:p>
        </w:tc>
        <w:tc>
          <w:tcPr>
            <w:tcW w:w="440" w:type="dxa"/>
            <w:vAlign w:val="center"/>
          </w:tcPr>
          <w:p w14:paraId="30715CD8" w14:textId="77777777" w:rsidR="00713ED0" w:rsidRPr="00713ED0" w:rsidRDefault="00713ED0" w:rsidP="00FF45C2">
            <w:pPr>
              <w:pStyle w:val="TableTextEntries"/>
            </w:pPr>
            <w:r w:rsidRPr="00713ED0">
              <w:t>2012</w:t>
            </w:r>
          </w:p>
        </w:tc>
        <w:tc>
          <w:tcPr>
            <w:tcW w:w="334" w:type="dxa"/>
            <w:shd w:val="clear" w:color="auto" w:fill="92D050"/>
            <w:noWrap/>
            <w:vAlign w:val="center"/>
          </w:tcPr>
          <w:p w14:paraId="08039DB8"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DC647C1"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ABB7B87"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557E974C"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747F33B8"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4EF01660"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6B973684" w14:textId="77777777" w:rsidR="00713ED0" w:rsidRPr="00FF45C2" w:rsidRDefault="00713ED0" w:rsidP="00FF45C2">
            <w:pPr>
              <w:pStyle w:val="TableTextEntries"/>
              <w:jc w:val="center"/>
            </w:pPr>
            <w:r w:rsidRPr="00FF45C2">
              <w:t>I</w:t>
            </w:r>
          </w:p>
        </w:tc>
      </w:tr>
      <w:tr w:rsidR="00713ED0" w:rsidRPr="00713ED0" w14:paraId="1FB696B5"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380C97D5" w14:textId="77777777" w:rsidR="00713ED0" w:rsidRPr="00713ED0" w:rsidRDefault="00713ED0" w:rsidP="00FF45C2">
            <w:pPr>
              <w:pStyle w:val="TableTextEntries"/>
            </w:pPr>
          </w:p>
        </w:tc>
        <w:tc>
          <w:tcPr>
            <w:tcW w:w="1486" w:type="dxa"/>
            <w:vMerge/>
            <w:vAlign w:val="center"/>
          </w:tcPr>
          <w:p w14:paraId="56298D8F" w14:textId="77777777" w:rsidR="00713ED0" w:rsidRPr="00713ED0" w:rsidRDefault="00713ED0" w:rsidP="00FF45C2">
            <w:pPr>
              <w:pStyle w:val="TableTextEntries"/>
            </w:pPr>
          </w:p>
        </w:tc>
        <w:tc>
          <w:tcPr>
            <w:tcW w:w="813" w:type="dxa"/>
            <w:vMerge/>
            <w:vAlign w:val="center"/>
          </w:tcPr>
          <w:p w14:paraId="13289639" w14:textId="77777777" w:rsidR="00713ED0" w:rsidRPr="00713ED0" w:rsidRDefault="00713ED0" w:rsidP="00FF45C2">
            <w:pPr>
              <w:pStyle w:val="TableTextEntries"/>
              <w:rPr>
                <w:sz w:val="14"/>
              </w:rPr>
            </w:pPr>
          </w:p>
        </w:tc>
        <w:tc>
          <w:tcPr>
            <w:tcW w:w="808" w:type="dxa"/>
            <w:vMerge/>
            <w:vAlign w:val="center"/>
          </w:tcPr>
          <w:p w14:paraId="1717B212" w14:textId="77777777" w:rsidR="00713ED0" w:rsidRPr="00713ED0" w:rsidRDefault="00713ED0" w:rsidP="00FF45C2">
            <w:pPr>
              <w:pStyle w:val="TableTextEntries"/>
              <w:rPr>
                <w:sz w:val="14"/>
              </w:rPr>
            </w:pPr>
          </w:p>
        </w:tc>
        <w:tc>
          <w:tcPr>
            <w:tcW w:w="1152" w:type="dxa"/>
            <w:vMerge/>
            <w:vAlign w:val="center"/>
          </w:tcPr>
          <w:p w14:paraId="03171A36" w14:textId="77777777" w:rsidR="00713ED0" w:rsidRPr="00713ED0" w:rsidRDefault="00713ED0" w:rsidP="00FF45C2">
            <w:pPr>
              <w:pStyle w:val="TableTextEntries"/>
              <w:rPr>
                <w:sz w:val="14"/>
                <w:szCs w:val="16"/>
              </w:rPr>
            </w:pPr>
          </w:p>
        </w:tc>
        <w:tc>
          <w:tcPr>
            <w:tcW w:w="440" w:type="dxa"/>
            <w:vAlign w:val="center"/>
          </w:tcPr>
          <w:p w14:paraId="2855298A" w14:textId="77777777" w:rsidR="00713ED0" w:rsidRPr="00713ED0" w:rsidRDefault="00713ED0" w:rsidP="00FF45C2">
            <w:pPr>
              <w:pStyle w:val="TableTextEntries"/>
            </w:pPr>
            <w:r w:rsidRPr="00713ED0">
              <w:t>2011</w:t>
            </w:r>
          </w:p>
        </w:tc>
        <w:tc>
          <w:tcPr>
            <w:tcW w:w="334" w:type="dxa"/>
            <w:shd w:val="clear" w:color="auto" w:fill="92D050"/>
            <w:noWrap/>
            <w:vAlign w:val="center"/>
          </w:tcPr>
          <w:p w14:paraId="66275525"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DFA5E43"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8FEE071"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44F5406B"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FB51BE5"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1FBDD8F"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vAlign w:val="center"/>
          </w:tcPr>
          <w:p w14:paraId="266F87B9" w14:textId="77777777" w:rsidR="00713ED0" w:rsidRPr="00FF45C2" w:rsidRDefault="00713ED0" w:rsidP="00FF45C2">
            <w:pPr>
              <w:pStyle w:val="TableTextEntries"/>
              <w:jc w:val="center"/>
            </w:pPr>
            <w:r w:rsidRPr="00FF45C2">
              <w:t>I</w:t>
            </w:r>
          </w:p>
        </w:tc>
      </w:tr>
      <w:tr w:rsidR="00713ED0" w:rsidRPr="00713ED0" w14:paraId="29BF45C5" w14:textId="77777777" w:rsidTr="00E0168D">
        <w:trPr>
          <w:tblHeader w:val="0"/>
        </w:trPr>
        <w:tc>
          <w:tcPr>
            <w:tcW w:w="823" w:type="dxa"/>
            <w:gridSpan w:val="2"/>
            <w:vMerge w:val="restart"/>
            <w:vAlign w:val="center"/>
          </w:tcPr>
          <w:p w14:paraId="3AC050B5" w14:textId="77777777" w:rsidR="00713ED0" w:rsidRPr="00713ED0" w:rsidRDefault="00713ED0" w:rsidP="00FF45C2">
            <w:pPr>
              <w:pStyle w:val="TableTextEntries"/>
            </w:pPr>
            <w:r w:rsidRPr="00713ED0">
              <w:t>INH469</w:t>
            </w:r>
          </w:p>
        </w:tc>
        <w:tc>
          <w:tcPr>
            <w:tcW w:w="1486" w:type="dxa"/>
            <w:vMerge w:val="restart"/>
            <w:vAlign w:val="center"/>
          </w:tcPr>
          <w:p w14:paraId="7EE4F702" w14:textId="2DCAD933" w:rsidR="00713ED0" w:rsidRPr="00713ED0" w:rsidRDefault="0088219C" w:rsidP="00FF45C2">
            <w:pPr>
              <w:pStyle w:val="TableTextEntries"/>
            </w:pPr>
            <w:r w:rsidRPr="00713ED0">
              <w:t>Australia</w:t>
            </w:r>
            <w:r>
              <w:t>–</w:t>
            </w:r>
            <w:r w:rsidRPr="00713ED0">
              <w:t xml:space="preserve">Indonesia Partnership </w:t>
            </w:r>
            <w:r w:rsidR="00713ED0" w:rsidRPr="00713ED0">
              <w:t xml:space="preserve">for Health Systems Strengthening </w:t>
            </w:r>
          </w:p>
        </w:tc>
        <w:tc>
          <w:tcPr>
            <w:tcW w:w="813" w:type="dxa"/>
            <w:vMerge w:val="restart"/>
            <w:vAlign w:val="center"/>
          </w:tcPr>
          <w:p w14:paraId="30E4FDF7" w14:textId="77777777" w:rsidR="00713ED0" w:rsidRPr="00713ED0" w:rsidRDefault="00713ED0" w:rsidP="00FF45C2">
            <w:pPr>
              <w:pStyle w:val="TableTextEntries"/>
              <w:rPr>
                <w:sz w:val="14"/>
              </w:rPr>
            </w:pPr>
            <w:r w:rsidRPr="00713ED0">
              <w:rPr>
                <w:sz w:val="14"/>
              </w:rPr>
              <w:t>10/08/2007</w:t>
            </w:r>
          </w:p>
        </w:tc>
        <w:tc>
          <w:tcPr>
            <w:tcW w:w="808" w:type="dxa"/>
            <w:vMerge w:val="restart"/>
            <w:vAlign w:val="center"/>
          </w:tcPr>
          <w:p w14:paraId="5BEFB87B" w14:textId="77777777" w:rsidR="00713ED0" w:rsidRPr="00713ED0" w:rsidRDefault="00713ED0" w:rsidP="00FF45C2">
            <w:pPr>
              <w:pStyle w:val="TableTextEntries"/>
              <w:rPr>
                <w:sz w:val="14"/>
              </w:rPr>
            </w:pPr>
            <w:r w:rsidRPr="00713ED0">
              <w:rPr>
                <w:sz w:val="14"/>
              </w:rPr>
              <w:t>30/06/2013</w:t>
            </w:r>
          </w:p>
        </w:tc>
        <w:tc>
          <w:tcPr>
            <w:tcW w:w="1152" w:type="dxa"/>
            <w:vMerge w:val="restart"/>
            <w:vAlign w:val="center"/>
          </w:tcPr>
          <w:p w14:paraId="16853907" w14:textId="17082DDC" w:rsidR="00713ED0" w:rsidRPr="00713ED0" w:rsidRDefault="00713ED0" w:rsidP="00FF45C2">
            <w:pPr>
              <w:pStyle w:val="TableTextEntries"/>
              <w:rPr>
                <w:sz w:val="14"/>
                <w:szCs w:val="16"/>
              </w:rPr>
            </w:pPr>
            <w:r w:rsidRPr="00713ED0">
              <w:rPr>
                <w:sz w:val="14"/>
                <w:szCs w:val="16"/>
              </w:rPr>
              <w:t>$12</w:t>
            </w:r>
            <w:r w:rsidR="00501774">
              <w:rPr>
                <w:sz w:val="14"/>
                <w:szCs w:val="16"/>
              </w:rPr>
              <w:t xml:space="preserve"> </w:t>
            </w:r>
            <w:r w:rsidRPr="00713ED0">
              <w:rPr>
                <w:sz w:val="14"/>
                <w:szCs w:val="16"/>
              </w:rPr>
              <w:t>066</w:t>
            </w:r>
            <w:r w:rsidR="00501774">
              <w:rPr>
                <w:sz w:val="14"/>
                <w:szCs w:val="16"/>
              </w:rPr>
              <w:t xml:space="preserve"> </w:t>
            </w:r>
            <w:r w:rsidRPr="00713ED0">
              <w:rPr>
                <w:sz w:val="14"/>
                <w:szCs w:val="16"/>
              </w:rPr>
              <w:t>721.27</w:t>
            </w:r>
          </w:p>
        </w:tc>
        <w:tc>
          <w:tcPr>
            <w:tcW w:w="440" w:type="dxa"/>
            <w:vAlign w:val="center"/>
          </w:tcPr>
          <w:p w14:paraId="0FE97C11" w14:textId="77777777" w:rsidR="00713ED0" w:rsidRPr="00713ED0" w:rsidRDefault="00713ED0" w:rsidP="00FF45C2">
            <w:pPr>
              <w:pStyle w:val="TableTextEntries"/>
            </w:pPr>
            <w:r w:rsidRPr="00713ED0">
              <w:t>2012</w:t>
            </w:r>
          </w:p>
        </w:tc>
        <w:tc>
          <w:tcPr>
            <w:tcW w:w="334" w:type="dxa"/>
            <w:shd w:val="clear" w:color="auto" w:fill="92D050"/>
            <w:noWrap/>
            <w:vAlign w:val="center"/>
          </w:tcPr>
          <w:p w14:paraId="0B494656" w14:textId="77777777" w:rsidR="00713ED0" w:rsidRPr="00FF45C2" w:rsidRDefault="00713ED0" w:rsidP="00FF45C2">
            <w:pPr>
              <w:pStyle w:val="TableTextEntries"/>
              <w:jc w:val="center"/>
            </w:pPr>
            <w:r w:rsidRPr="00FF45C2">
              <w:t>6</w:t>
            </w:r>
          </w:p>
        </w:tc>
        <w:tc>
          <w:tcPr>
            <w:tcW w:w="334" w:type="dxa"/>
            <w:shd w:val="clear" w:color="auto" w:fill="F79646" w:themeFill="accent6"/>
            <w:noWrap/>
            <w:vAlign w:val="center"/>
          </w:tcPr>
          <w:p w14:paraId="151C0086"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6E4CDFC1" w14:textId="77777777" w:rsidR="00713ED0" w:rsidRPr="00FF45C2" w:rsidRDefault="00713ED0" w:rsidP="00FF45C2">
            <w:pPr>
              <w:pStyle w:val="TableTextEntries"/>
              <w:jc w:val="center"/>
            </w:pPr>
            <w:r w:rsidRPr="00FF45C2">
              <w:t>3</w:t>
            </w:r>
          </w:p>
        </w:tc>
        <w:tc>
          <w:tcPr>
            <w:tcW w:w="403" w:type="dxa"/>
            <w:shd w:val="clear" w:color="auto" w:fill="92D050"/>
            <w:noWrap/>
            <w:vAlign w:val="center"/>
          </w:tcPr>
          <w:p w14:paraId="1630EF78"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6E5F87E9"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1EDF41F"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00BB3A7C" w14:textId="77777777" w:rsidR="00713ED0" w:rsidRPr="00FF45C2" w:rsidRDefault="00713ED0" w:rsidP="00FF45C2">
            <w:pPr>
              <w:pStyle w:val="TableTextEntries"/>
              <w:jc w:val="center"/>
            </w:pPr>
            <w:r w:rsidRPr="00FF45C2">
              <w:t>I</w:t>
            </w:r>
          </w:p>
        </w:tc>
      </w:tr>
      <w:tr w:rsidR="00713ED0" w:rsidRPr="00713ED0" w14:paraId="5B1E4A47"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29E45C2D" w14:textId="77777777" w:rsidR="00713ED0" w:rsidRPr="00713ED0" w:rsidRDefault="00713ED0" w:rsidP="00FF45C2">
            <w:pPr>
              <w:pStyle w:val="TableTextEntries"/>
            </w:pPr>
          </w:p>
        </w:tc>
        <w:tc>
          <w:tcPr>
            <w:tcW w:w="1486" w:type="dxa"/>
            <w:vMerge/>
            <w:vAlign w:val="center"/>
          </w:tcPr>
          <w:p w14:paraId="38B105E0" w14:textId="77777777" w:rsidR="00713ED0" w:rsidRPr="00713ED0" w:rsidRDefault="00713ED0" w:rsidP="00FF45C2">
            <w:pPr>
              <w:pStyle w:val="TableTextEntries"/>
            </w:pPr>
          </w:p>
        </w:tc>
        <w:tc>
          <w:tcPr>
            <w:tcW w:w="813" w:type="dxa"/>
            <w:vMerge/>
            <w:vAlign w:val="center"/>
          </w:tcPr>
          <w:p w14:paraId="7A3B2432" w14:textId="77777777" w:rsidR="00713ED0" w:rsidRPr="00713ED0" w:rsidRDefault="00713ED0" w:rsidP="00FF45C2">
            <w:pPr>
              <w:pStyle w:val="TableTextEntries"/>
              <w:rPr>
                <w:sz w:val="14"/>
              </w:rPr>
            </w:pPr>
          </w:p>
        </w:tc>
        <w:tc>
          <w:tcPr>
            <w:tcW w:w="808" w:type="dxa"/>
            <w:vMerge/>
            <w:vAlign w:val="center"/>
          </w:tcPr>
          <w:p w14:paraId="49E89523" w14:textId="77777777" w:rsidR="00713ED0" w:rsidRPr="00713ED0" w:rsidRDefault="00713ED0" w:rsidP="00FF45C2">
            <w:pPr>
              <w:pStyle w:val="TableTextEntries"/>
              <w:rPr>
                <w:sz w:val="14"/>
              </w:rPr>
            </w:pPr>
          </w:p>
        </w:tc>
        <w:tc>
          <w:tcPr>
            <w:tcW w:w="1152" w:type="dxa"/>
            <w:vMerge/>
            <w:vAlign w:val="center"/>
          </w:tcPr>
          <w:p w14:paraId="7AAE4D08" w14:textId="77777777" w:rsidR="00713ED0" w:rsidRPr="00713ED0" w:rsidRDefault="00713ED0" w:rsidP="00FF45C2">
            <w:pPr>
              <w:pStyle w:val="TableTextEntries"/>
              <w:rPr>
                <w:sz w:val="14"/>
                <w:szCs w:val="16"/>
              </w:rPr>
            </w:pPr>
          </w:p>
        </w:tc>
        <w:tc>
          <w:tcPr>
            <w:tcW w:w="440" w:type="dxa"/>
            <w:vAlign w:val="center"/>
          </w:tcPr>
          <w:p w14:paraId="0BCE2CA3" w14:textId="77777777" w:rsidR="00713ED0" w:rsidRPr="00713ED0" w:rsidRDefault="00713ED0" w:rsidP="00FF45C2">
            <w:pPr>
              <w:pStyle w:val="TableTextEntries"/>
            </w:pPr>
            <w:r w:rsidRPr="00713ED0">
              <w:t>2011</w:t>
            </w:r>
          </w:p>
        </w:tc>
        <w:tc>
          <w:tcPr>
            <w:tcW w:w="334" w:type="dxa"/>
            <w:shd w:val="clear" w:color="auto" w:fill="92D050"/>
            <w:noWrap/>
            <w:vAlign w:val="center"/>
          </w:tcPr>
          <w:p w14:paraId="7F931F16" w14:textId="77777777" w:rsidR="00713ED0" w:rsidRPr="00FF45C2" w:rsidRDefault="00713ED0" w:rsidP="00FF45C2">
            <w:pPr>
              <w:pStyle w:val="TableTextEntries"/>
              <w:jc w:val="center"/>
            </w:pPr>
            <w:r w:rsidRPr="00FF45C2">
              <w:t>6</w:t>
            </w:r>
          </w:p>
        </w:tc>
        <w:tc>
          <w:tcPr>
            <w:tcW w:w="334" w:type="dxa"/>
            <w:shd w:val="clear" w:color="auto" w:fill="FFFF00"/>
            <w:noWrap/>
            <w:vAlign w:val="center"/>
          </w:tcPr>
          <w:p w14:paraId="4A1C7FD5"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4260FD7F"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1DE9D94A"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2F41B1CB"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064E7E49"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0C4F5937" w14:textId="77777777" w:rsidR="00713ED0" w:rsidRPr="00FF45C2" w:rsidRDefault="00713ED0" w:rsidP="00FF45C2">
            <w:pPr>
              <w:pStyle w:val="TableTextEntries"/>
              <w:jc w:val="center"/>
            </w:pPr>
            <w:r w:rsidRPr="00FF45C2">
              <w:t>I</w:t>
            </w:r>
          </w:p>
        </w:tc>
      </w:tr>
      <w:tr w:rsidR="00713ED0" w:rsidRPr="00713ED0" w14:paraId="5BE4F852" w14:textId="77777777" w:rsidTr="00E0168D">
        <w:trPr>
          <w:tblHeader w:val="0"/>
        </w:trPr>
        <w:tc>
          <w:tcPr>
            <w:tcW w:w="823" w:type="dxa"/>
            <w:gridSpan w:val="2"/>
            <w:vMerge w:val="restart"/>
            <w:vAlign w:val="center"/>
          </w:tcPr>
          <w:p w14:paraId="34146195" w14:textId="77777777" w:rsidR="00713ED0" w:rsidRPr="00713ED0" w:rsidRDefault="00713ED0" w:rsidP="00FF45C2">
            <w:pPr>
              <w:pStyle w:val="TableTextEntries"/>
            </w:pPr>
            <w:r w:rsidRPr="00713ED0">
              <w:t>INK378</w:t>
            </w:r>
          </w:p>
        </w:tc>
        <w:tc>
          <w:tcPr>
            <w:tcW w:w="1486" w:type="dxa"/>
            <w:vMerge w:val="restart"/>
            <w:vAlign w:val="center"/>
          </w:tcPr>
          <w:p w14:paraId="0CF0582A" w14:textId="78261BC5" w:rsidR="00713ED0" w:rsidRPr="00713ED0" w:rsidRDefault="0088219C" w:rsidP="00FF45C2">
            <w:pPr>
              <w:pStyle w:val="TableTextEntries"/>
            </w:pPr>
            <w:r w:rsidRPr="00713ED0">
              <w:t>Australia</w:t>
            </w:r>
            <w:r>
              <w:t>–</w:t>
            </w:r>
            <w:r w:rsidRPr="00713ED0">
              <w:t xml:space="preserve">Indonesia Partnership </w:t>
            </w:r>
            <w:r w:rsidR="00713ED0" w:rsidRPr="00713ED0">
              <w:t xml:space="preserve">for Health Systems Strengthening </w:t>
            </w:r>
          </w:p>
        </w:tc>
        <w:tc>
          <w:tcPr>
            <w:tcW w:w="813" w:type="dxa"/>
            <w:vMerge w:val="restart"/>
            <w:vAlign w:val="center"/>
          </w:tcPr>
          <w:p w14:paraId="7B72FE39" w14:textId="77777777" w:rsidR="00713ED0" w:rsidRPr="00713ED0" w:rsidRDefault="00713ED0" w:rsidP="00FF45C2">
            <w:pPr>
              <w:pStyle w:val="TableTextEntries"/>
              <w:rPr>
                <w:sz w:val="14"/>
              </w:rPr>
            </w:pPr>
            <w:r w:rsidRPr="00713ED0">
              <w:rPr>
                <w:sz w:val="14"/>
              </w:rPr>
              <w:t>29/02/2012</w:t>
            </w:r>
          </w:p>
        </w:tc>
        <w:tc>
          <w:tcPr>
            <w:tcW w:w="808" w:type="dxa"/>
            <w:vMerge w:val="restart"/>
            <w:vAlign w:val="center"/>
          </w:tcPr>
          <w:p w14:paraId="058FCF0A" w14:textId="77777777" w:rsidR="00713ED0" w:rsidRPr="00713ED0" w:rsidRDefault="00713ED0" w:rsidP="00FF45C2">
            <w:pPr>
              <w:pStyle w:val="TableTextEntries"/>
              <w:rPr>
                <w:sz w:val="14"/>
              </w:rPr>
            </w:pPr>
            <w:r w:rsidRPr="00713ED0">
              <w:rPr>
                <w:sz w:val="14"/>
              </w:rPr>
              <w:t>30/06/2016</w:t>
            </w:r>
          </w:p>
        </w:tc>
        <w:tc>
          <w:tcPr>
            <w:tcW w:w="1152" w:type="dxa"/>
            <w:vMerge w:val="restart"/>
            <w:vAlign w:val="center"/>
          </w:tcPr>
          <w:p w14:paraId="79066FB2" w14:textId="6446718E" w:rsidR="00713ED0" w:rsidRPr="00713ED0" w:rsidRDefault="00713ED0" w:rsidP="00FF45C2">
            <w:pPr>
              <w:pStyle w:val="TableTextEntries"/>
              <w:rPr>
                <w:sz w:val="14"/>
                <w:szCs w:val="16"/>
              </w:rPr>
            </w:pPr>
            <w:r w:rsidRPr="00713ED0">
              <w:rPr>
                <w:sz w:val="14"/>
                <w:szCs w:val="16"/>
              </w:rPr>
              <w:t>$50</w:t>
            </w:r>
            <w:r w:rsidR="00501774">
              <w:rPr>
                <w:sz w:val="14"/>
                <w:szCs w:val="16"/>
              </w:rPr>
              <w:t xml:space="preserve"> </w:t>
            </w:r>
            <w:r w:rsidRPr="00713ED0">
              <w:rPr>
                <w:sz w:val="14"/>
                <w:szCs w:val="16"/>
              </w:rPr>
              <w:t>000</w:t>
            </w:r>
            <w:r w:rsidR="00501774">
              <w:rPr>
                <w:sz w:val="14"/>
                <w:szCs w:val="16"/>
              </w:rPr>
              <w:t xml:space="preserve"> </w:t>
            </w:r>
            <w:r w:rsidRPr="00713ED0">
              <w:rPr>
                <w:sz w:val="14"/>
                <w:szCs w:val="16"/>
              </w:rPr>
              <w:t>000.00</w:t>
            </w:r>
          </w:p>
        </w:tc>
        <w:tc>
          <w:tcPr>
            <w:tcW w:w="440" w:type="dxa"/>
            <w:vAlign w:val="center"/>
          </w:tcPr>
          <w:p w14:paraId="06F8014B" w14:textId="77777777" w:rsidR="00713ED0" w:rsidRPr="00713ED0" w:rsidRDefault="00713ED0" w:rsidP="00FF45C2">
            <w:pPr>
              <w:pStyle w:val="TableTextEntries"/>
            </w:pPr>
            <w:r w:rsidRPr="00713ED0">
              <w:t>2012</w:t>
            </w:r>
          </w:p>
        </w:tc>
        <w:tc>
          <w:tcPr>
            <w:tcW w:w="334" w:type="dxa"/>
            <w:shd w:val="clear" w:color="auto" w:fill="92D050"/>
            <w:noWrap/>
            <w:vAlign w:val="center"/>
          </w:tcPr>
          <w:p w14:paraId="73565703" w14:textId="77777777" w:rsidR="00713ED0" w:rsidRPr="00FF45C2" w:rsidRDefault="00713ED0" w:rsidP="00FF45C2">
            <w:pPr>
              <w:pStyle w:val="TableTextEntries"/>
              <w:jc w:val="center"/>
            </w:pPr>
            <w:r w:rsidRPr="00FF45C2">
              <w:t>6</w:t>
            </w:r>
          </w:p>
        </w:tc>
        <w:tc>
          <w:tcPr>
            <w:tcW w:w="334" w:type="dxa"/>
            <w:shd w:val="clear" w:color="auto" w:fill="F79646" w:themeFill="accent6"/>
            <w:noWrap/>
            <w:vAlign w:val="center"/>
          </w:tcPr>
          <w:p w14:paraId="5254F3D7"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201B72B9" w14:textId="77777777" w:rsidR="00713ED0" w:rsidRPr="00FF45C2" w:rsidRDefault="00713ED0" w:rsidP="00FF45C2">
            <w:pPr>
              <w:pStyle w:val="TableTextEntries"/>
              <w:jc w:val="center"/>
            </w:pPr>
            <w:r w:rsidRPr="00FF45C2">
              <w:t>3</w:t>
            </w:r>
          </w:p>
        </w:tc>
        <w:tc>
          <w:tcPr>
            <w:tcW w:w="403" w:type="dxa"/>
            <w:shd w:val="clear" w:color="auto" w:fill="92D050"/>
            <w:noWrap/>
            <w:vAlign w:val="center"/>
          </w:tcPr>
          <w:p w14:paraId="580CE119"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0124574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A34CE13"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06D2B135" w14:textId="77777777" w:rsidR="00713ED0" w:rsidRPr="00FF45C2" w:rsidRDefault="00713ED0" w:rsidP="00FF45C2">
            <w:pPr>
              <w:pStyle w:val="TableTextEntries"/>
              <w:jc w:val="center"/>
            </w:pPr>
            <w:r w:rsidRPr="00FF45C2">
              <w:t>I</w:t>
            </w:r>
          </w:p>
        </w:tc>
      </w:tr>
      <w:tr w:rsidR="00713ED0" w:rsidRPr="00713ED0" w14:paraId="28CC828F"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7A175939" w14:textId="77777777" w:rsidR="00713ED0" w:rsidRPr="00713ED0" w:rsidRDefault="00713ED0" w:rsidP="00FF45C2">
            <w:pPr>
              <w:pStyle w:val="TableTextEntries"/>
            </w:pPr>
          </w:p>
        </w:tc>
        <w:tc>
          <w:tcPr>
            <w:tcW w:w="1486" w:type="dxa"/>
            <w:vMerge/>
            <w:vAlign w:val="center"/>
          </w:tcPr>
          <w:p w14:paraId="6CC6CE13" w14:textId="77777777" w:rsidR="00713ED0" w:rsidRPr="00713ED0" w:rsidRDefault="00713ED0" w:rsidP="00FF45C2">
            <w:pPr>
              <w:pStyle w:val="TableTextEntries"/>
            </w:pPr>
          </w:p>
        </w:tc>
        <w:tc>
          <w:tcPr>
            <w:tcW w:w="813" w:type="dxa"/>
            <w:vMerge/>
            <w:vAlign w:val="center"/>
          </w:tcPr>
          <w:p w14:paraId="21DC9E2C" w14:textId="77777777" w:rsidR="00713ED0" w:rsidRPr="00713ED0" w:rsidRDefault="00713ED0" w:rsidP="00FF45C2">
            <w:pPr>
              <w:pStyle w:val="TableTextEntries"/>
              <w:rPr>
                <w:sz w:val="14"/>
              </w:rPr>
            </w:pPr>
          </w:p>
        </w:tc>
        <w:tc>
          <w:tcPr>
            <w:tcW w:w="808" w:type="dxa"/>
            <w:vMerge/>
            <w:vAlign w:val="center"/>
          </w:tcPr>
          <w:p w14:paraId="27ACCDC9" w14:textId="77777777" w:rsidR="00713ED0" w:rsidRPr="00713ED0" w:rsidRDefault="00713ED0" w:rsidP="00FF45C2">
            <w:pPr>
              <w:pStyle w:val="TableTextEntries"/>
              <w:rPr>
                <w:sz w:val="14"/>
              </w:rPr>
            </w:pPr>
          </w:p>
        </w:tc>
        <w:tc>
          <w:tcPr>
            <w:tcW w:w="1152" w:type="dxa"/>
            <w:vMerge/>
            <w:vAlign w:val="center"/>
          </w:tcPr>
          <w:p w14:paraId="2B5F5CA8" w14:textId="77777777" w:rsidR="00713ED0" w:rsidRPr="00713ED0" w:rsidRDefault="00713ED0" w:rsidP="00FF45C2">
            <w:pPr>
              <w:pStyle w:val="TableTextEntries"/>
              <w:rPr>
                <w:sz w:val="14"/>
                <w:szCs w:val="16"/>
              </w:rPr>
            </w:pPr>
          </w:p>
        </w:tc>
        <w:tc>
          <w:tcPr>
            <w:tcW w:w="440" w:type="dxa"/>
            <w:vAlign w:val="center"/>
          </w:tcPr>
          <w:p w14:paraId="04725B32" w14:textId="77777777" w:rsidR="00713ED0" w:rsidRPr="00713ED0" w:rsidRDefault="00713ED0" w:rsidP="00FF45C2">
            <w:pPr>
              <w:pStyle w:val="TableTextEntries"/>
            </w:pPr>
            <w:r w:rsidRPr="00713ED0">
              <w:t>2011</w:t>
            </w:r>
          </w:p>
        </w:tc>
        <w:tc>
          <w:tcPr>
            <w:tcW w:w="334" w:type="dxa"/>
            <w:shd w:val="clear" w:color="auto" w:fill="auto"/>
            <w:noWrap/>
            <w:vAlign w:val="center"/>
          </w:tcPr>
          <w:p w14:paraId="32214F8D"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42F5AB84"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65C1B1E1" w14:textId="77777777" w:rsidR="00713ED0" w:rsidRPr="00FF45C2" w:rsidRDefault="00713ED0" w:rsidP="00FF45C2">
            <w:pPr>
              <w:pStyle w:val="TableTextEntries"/>
              <w:jc w:val="center"/>
            </w:pPr>
            <w:r w:rsidRPr="00FF45C2">
              <w:t>n/a</w:t>
            </w:r>
          </w:p>
        </w:tc>
        <w:tc>
          <w:tcPr>
            <w:tcW w:w="403" w:type="dxa"/>
            <w:shd w:val="clear" w:color="auto" w:fill="auto"/>
            <w:noWrap/>
            <w:vAlign w:val="center"/>
          </w:tcPr>
          <w:p w14:paraId="52D1F727"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5C037B04"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0C933F38" w14:textId="77777777" w:rsidR="00713ED0" w:rsidRPr="00FF45C2" w:rsidRDefault="00713ED0" w:rsidP="00FF45C2">
            <w:pPr>
              <w:pStyle w:val="TableTextEntries"/>
              <w:jc w:val="center"/>
            </w:pPr>
            <w:r w:rsidRPr="00FF45C2">
              <w:t>n/a</w:t>
            </w:r>
          </w:p>
        </w:tc>
        <w:tc>
          <w:tcPr>
            <w:tcW w:w="347" w:type="dxa"/>
            <w:shd w:val="clear" w:color="auto" w:fill="auto"/>
            <w:noWrap/>
            <w:vAlign w:val="center"/>
          </w:tcPr>
          <w:p w14:paraId="07ECF700" w14:textId="77777777" w:rsidR="00713ED0" w:rsidRPr="00FF45C2" w:rsidRDefault="00713ED0" w:rsidP="00FF45C2">
            <w:pPr>
              <w:pStyle w:val="TableTextEntries"/>
              <w:jc w:val="center"/>
            </w:pPr>
            <w:r w:rsidRPr="00FF45C2">
              <w:t>n/a</w:t>
            </w:r>
          </w:p>
        </w:tc>
      </w:tr>
      <w:tr w:rsidR="00713ED0" w:rsidRPr="00713ED0" w14:paraId="2579BFFD" w14:textId="77777777" w:rsidTr="00E0168D">
        <w:trPr>
          <w:tblHeader w:val="0"/>
        </w:trPr>
        <w:tc>
          <w:tcPr>
            <w:tcW w:w="823" w:type="dxa"/>
            <w:gridSpan w:val="2"/>
            <w:vMerge w:val="restart"/>
            <w:vAlign w:val="center"/>
          </w:tcPr>
          <w:p w14:paraId="48B96D55" w14:textId="77777777" w:rsidR="00713ED0" w:rsidRPr="00713ED0" w:rsidRDefault="00713ED0" w:rsidP="00FF45C2">
            <w:pPr>
              <w:pStyle w:val="TableTextEntries"/>
            </w:pPr>
            <w:r w:rsidRPr="00713ED0">
              <w:lastRenderedPageBreak/>
              <w:t>INJ509</w:t>
            </w:r>
          </w:p>
        </w:tc>
        <w:tc>
          <w:tcPr>
            <w:tcW w:w="1486" w:type="dxa"/>
            <w:vMerge w:val="restart"/>
            <w:vAlign w:val="center"/>
          </w:tcPr>
          <w:p w14:paraId="0CA4375D" w14:textId="7D7F4739" w:rsidR="00713ED0" w:rsidRPr="00713ED0" w:rsidRDefault="0088219C" w:rsidP="00FF45C2">
            <w:pPr>
              <w:pStyle w:val="TableTextEntries"/>
            </w:pPr>
            <w:r w:rsidRPr="00713ED0">
              <w:t>Australia</w:t>
            </w:r>
            <w:r>
              <w:t>–</w:t>
            </w:r>
            <w:r w:rsidRPr="00713ED0">
              <w:t xml:space="preserve">Indonesia Partnership </w:t>
            </w:r>
            <w:r w:rsidR="00713ED0" w:rsidRPr="00713ED0">
              <w:t>for Emerging Infectious Diseases Program</w:t>
            </w:r>
          </w:p>
        </w:tc>
        <w:tc>
          <w:tcPr>
            <w:tcW w:w="813" w:type="dxa"/>
            <w:vMerge w:val="restart"/>
            <w:vAlign w:val="center"/>
          </w:tcPr>
          <w:p w14:paraId="12ECAA54" w14:textId="77777777" w:rsidR="00713ED0" w:rsidRPr="00713ED0" w:rsidRDefault="00713ED0" w:rsidP="00FF45C2">
            <w:pPr>
              <w:pStyle w:val="TableTextEntries"/>
              <w:rPr>
                <w:sz w:val="14"/>
              </w:rPr>
            </w:pPr>
            <w:r w:rsidRPr="00713ED0">
              <w:rPr>
                <w:sz w:val="14"/>
              </w:rPr>
              <w:t>01/09/2010</w:t>
            </w:r>
          </w:p>
        </w:tc>
        <w:tc>
          <w:tcPr>
            <w:tcW w:w="808" w:type="dxa"/>
            <w:vMerge w:val="restart"/>
            <w:vAlign w:val="center"/>
          </w:tcPr>
          <w:p w14:paraId="1C4F0D31" w14:textId="77777777" w:rsidR="00713ED0" w:rsidRPr="00713ED0" w:rsidRDefault="00713ED0" w:rsidP="00FF45C2">
            <w:pPr>
              <w:pStyle w:val="TableTextEntries"/>
              <w:rPr>
                <w:sz w:val="14"/>
              </w:rPr>
            </w:pPr>
            <w:r w:rsidRPr="00713ED0">
              <w:rPr>
                <w:sz w:val="14"/>
              </w:rPr>
              <w:t>30/06/2014</w:t>
            </w:r>
          </w:p>
        </w:tc>
        <w:tc>
          <w:tcPr>
            <w:tcW w:w="1152" w:type="dxa"/>
            <w:vMerge w:val="restart"/>
            <w:vAlign w:val="center"/>
          </w:tcPr>
          <w:p w14:paraId="1FB9DEE1" w14:textId="1D546358" w:rsidR="00713ED0" w:rsidRPr="00713ED0" w:rsidRDefault="00713ED0" w:rsidP="00FF45C2">
            <w:pPr>
              <w:pStyle w:val="TableTextEntries"/>
              <w:rPr>
                <w:sz w:val="14"/>
                <w:szCs w:val="16"/>
              </w:rPr>
            </w:pPr>
            <w:r w:rsidRPr="00713ED0">
              <w:rPr>
                <w:sz w:val="14"/>
                <w:szCs w:val="16"/>
              </w:rPr>
              <w:t>$22</w:t>
            </w:r>
            <w:r w:rsidR="00501774">
              <w:rPr>
                <w:sz w:val="14"/>
                <w:szCs w:val="16"/>
              </w:rPr>
              <w:t xml:space="preserve"> </w:t>
            </w:r>
            <w:r w:rsidRPr="00713ED0">
              <w:rPr>
                <w:sz w:val="14"/>
                <w:szCs w:val="16"/>
              </w:rPr>
              <w:t>000</w:t>
            </w:r>
            <w:r w:rsidR="00501774">
              <w:rPr>
                <w:sz w:val="14"/>
                <w:szCs w:val="16"/>
              </w:rPr>
              <w:t xml:space="preserve"> </w:t>
            </w:r>
            <w:r w:rsidRPr="00713ED0">
              <w:rPr>
                <w:sz w:val="14"/>
                <w:szCs w:val="16"/>
              </w:rPr>
              <w:t>000.00</w:t>
            </w:r>
          </w:p>
        </w:tc>
        <w:tc>
          <w:tcPr>
            <w:tcW w:w="440" w:type="dxa"/>
            <w:vAlign w:val="center"/>
          </w:tcPr>
          <w:p w14:paraId="38A81B8E" w14:textId="77777777" w:rsidR="00713ED0" w:rsidRPr="00713ED0" w:rsidRDefault="00713ED0" w:rsidP="00FF45C2">
            <w:pPr>
              <w:pStyle w:val="TableTextEntries"/>
            </w:pPr>
            <w:r w:rsidRPr="00713ED0">
              <w:t>2012</w:t>
            </w:r>
          </w:p>
        </w:tc>
        <w:tc>
          <w:tcPr>
            <w:tcW w:w="334" w:type="dxa"/>
            <w:shd w:val="clear" w:color="auto" w:fill="92D050"/>
            <w:noWrap/>
            <w:vAlign w:val="center"/>
          </w:tcPr>
          <w:p w14:paraId="2435EACF"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37DC0F8"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A60C5A8" w14:textId="77777777" w:rsidR="00713ED0" w:rsidRPr="00FF45C2" w:rsidRDefault="00713ED0" w:rsidP="00FF45C2">
            <w:pPr>
              <w:pStyle w:val="TableTextEntries"/>
              <w:jc w:val="center"/>
            </w:pPr>
            <w:r w:rsidRPr="00FF45C2">
              <w:t>4</w:t>
            </w:r>
          </w:p>
        </w:tc>
        <w:tc>
          <w:tcPr>
            <w:tcW w:w="403" w:type="dxa"/>
            <w:shd w:val="clear" w:color="auto" w:fill="F79646" w:themeFill="accent6"/>
            <w:noWrap/>
            <w:vAlign w:val="center"/>
          </w:tcPr>
          <w:p w14:paraId="7D8B9685"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6F1A5A02"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0FBFBEE"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3DFCC762" w14:textId="77777777" w:rsidR="00713ED0" w:rsidRPr="00FF45C2" w:rsidRDefault="00713ED0" w:rsidP="00FF45C2">
            <w:pPr>
              <w:pStyle w:val="TableTextEntries"/>
              <w:jc w:val="center"/>
            </w:pPr>
            <w:r w:rsidRPr="00FF45C2">
              <w:t>I</w:t>
            </w:r>
          </w:p>
        </w:tc>
      </w:tr>
      <w:tr w:rsidR="00713ED0" w:rsidRPr="00713ED0" w14:paraId="506B39FA"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4AC70807" w14:textId="77777777" w:rsidR="00713ED0" w:rsidRPr="00713ED0" w:rsidRDefault="00713ED0" w:rsidP="00FF45C2">
            <w:pPr>
              <w:pStyle w:val="TableTextEntries"/>
            </w:pPr>
          </w:p>
        </w:tc>
        <w:tc>
          <w:tcPr>
            <w:tcW w:w="1486" w:type="dxa"/>
            <w:vMerge/>
            <w:vAlign w:val="center"/>
          </w:tcPr>
          <w:p w14:paraId="508BDA72" w14:textId="77777777" w:rsidR="00713ED0" w:rsidRPr="00713ED0" w:rsidRDefault="00713ED0" w:rsidP="00FF45C2">
            <w:pPr>
              <w:pStyle w:val="TableTextEntries"/>
            </w:pPr>
          </w:p>
        </w:tc>
        <w:tc>
          <w:tcPr>
            <w:tcW w:w="813" w:type="dxa"/>
            <w:vMerge/>
            <w:vAlign w:val="center"/>
          </w:tcPr>
          <w:p w14:paraId="20482274" w14:textId="77777777" w:rsidR="00713ED0" w:rsidRPr="00713ED0" w:rsidRDefault="00713ED0" w:rsidP="00FF45C2">
            <w:pPr>
              <w:pStyle w:val="TableTextEntries"/>
              <w:rPr>
                <w:sz w:val="14"/>
              </w:rPr>
            </w:pPr>
          </w:p>
        </w:tc>
        <w:tc>
          <w:tcPr>
            <w:tcW w:w="808" w:type="dxa"/>
            <w:vMerge/>
            <w:vAlign w:val="center"/>
          </w:tcPr>
          <w:p w14:paraId="0A5E8A38" w14:textId="77777777" w:rsidR="00713ED0" w:rsidRPr="00713ED0" w:rsidRDefault="00713ED0" w:rsidP="00FF45C2">
            <w:pPr>
              <w:pStyle w:val="TableTextEntries"/>
              <w:rPr>
                <w:sz w:val="14"/>
              </w:rPr>
            </w:pPr>
          </w:p>
        </w:tc>
        <w:tc>
          <w:tcPr>
            <w:tcW w:w="1152" w:type="dxa"/>
            <w:vMerge/>
            <w:vAlign w:val="center"/>
          </w:tcPr>
          <w:p w14:paraId="67E94428" w14:textId="77777777" w:rsidR="00713ED0" w:rsidRPr="00713ED0" w:rsidRDefault="00713ED0" w:rsidP="00FF45C2">
            <w:pPr>
              <w:pStyle w:val="TableTextEntries"/>
              <w:rPr>
                <w:sz w:val="14"/>
                <w:szCs w:val="16"/>
              </w:rPr>
            </w:pPr>
          </w:p>
        </w:tc>
        <w:tc>
          <w:tcPr>
            <w:tcW w:w="440" w:type="dxa"/>
            <w:vAlign w:val="center"/>
          </w:tcPr>
          <w:p w14:paraId="7AE8AD1C" w14:textId="77777777" w:rsidR="00713ED0" w:rsidRPr="00713ED0" w:rsidRDefault="00713ED0" w:rsidP="00FF45C2">
            <w:pPr>
              <w:pStyle w:val="TableTextEntries"/>
            </w:pPr>
            <w:r w:rsidRPr="00713ED0">
              <w:t>2011</w:t>
            </w:r>
          </w:p>
        </w:tc>
        <w:tc>
          <w:tcPr>
            <w:tcW w:w="334" w:type="dxa"/>
            <w:shd w:val="clear" w:color="auto" w:fill="92D050"/>
            <w:noWrap/>
            <w:vAlign w:val="center"/>
          </w:tcPr>
          <w:p w14:paraId="4B4611AB"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5A20A8C2"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31F6F9F0"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6ADF2F65"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0F2A334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0FDC863"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02FD7481" w14:textId="77777777" w:rsidR="00713ED0" w:rsidRPr="00FF45C2" w:rsidRDefault="00713ED0" w:rsidP="00FF45C2">
            <w:pPr>
              <w:pStyle w:val="TableTextEntries"/>
              <w:jc w:val="center"/>
            </w:pPr>
            <w:r w:rsidRPr="00FF45C2">
              <w:t>I</w:t>
            </w:r>
          </w:p>
        </w:tc>
      </w:tr>
      <w:tr w:rsidR="00713ED0" w:rsidRPr="00713ED0" w14:paraId="74772E82" w14:textId="77777777" w:rsidTr="00E0168D">
        <w:trPr>
          <w:tblHeader w:val="0"/>
        </w:trPr>
        <w:tc>
          <w:tcPr>
            <w:tcW w:w="823" w:type="dxa"/>
            <w:gridSpan w:val="2"/>
            <w:vMerge w:val="restart"/>
            <w:vAlign w:val="center"/>
          </w:tcPr>
          <w:p w14:paraId="3C9BFFBE" w14:textId="77777777" w:rsidR="00713ED0" w:rsidRPr="00713ED0" w:rsidRDefault="00713ED0" w:rsidP="00FF45C2">
            <w:pPr>
              <w:pStyle w:val="TableTextEntries"/>
            </w:pPr>
            <w:r w:rsidRPr="00713ED0">
              <w:t>INJ895</w:t>
            </w:r>
          </w:p>
        </w:tc>
        <w:tc>
          <w:tcPr>
            <w:tcW w:w="1486" w:type="dxa"/>
            <w:vMerge w:val="restart"/>
            <w:vAlign w:val="center"/>
          </w:tcPr>
          <w:p w14:paraId="47AEF749" w14:textId="7D33F1B6" w:rsidR="00713ED0" w:rsidRPr="00713ED0" w:rsidRDefault="0088219C" w:rsidP="00FF45C2">
            <w:pPr>
              <w:pStyle w:val="TableTextEntries"/>
            </w:pPr>
            <w:r w:rsidRPr="00713ED0">
              <w:t>Australia</w:t>
            </w:r>
            <w:r>
              <w:t>–</w:t>
            </w:r>
            <w:r w:rsidRPr="00713ED0">
              <w:t xml:space="preserve">Indonesia Partnership </w:t>
            </w:r>
            <w:r>
              <w:t xml:space="preserve">– </w:t>
            </w:r>
            <w:r w:rsidR="00713ED0" w:rsidRPr="00713ED0">
              <w:t>Emerging Infectious Diseases for Human Health</w:t>
            </w:r>
          </w:p>
        </w:tc>
        <w:tc>
          <w:tcPr>
            <w:tcW w:w="813" w:type="dxa"/>
            <w:vMerge w:val="restart"/>
            <w:vAlign w:val="center"/>
          </w:tcPr>
          <w:p w14:paraId="1E518E81" w14:textId="77777777" w:rsidR="00713ED0" w:rsidRPr="00713ED0" w:rsidRDefault="00713ED0" w:rsidP="00FF45C2">
            <w:pPr>
              <w:pStyle w:val="TableTextEntries"/>
              <w:rPr>
                <w:sz w:val="14"/>
              </w:rPr>
            </w:pPr>
            <w:r w:rsidRPr="00713ED0">
              <w:rPr>
                <w:sz w:val="14"/>
              </w:rPr>
              <w:t>14/04/2011</w:t>
            </w:r>
          </w:p>
        </w:tc>
        <w:tc>
          <w:tcPr>
            <w:tcW w:w="808" w:type="dxa"/>
            <w:vMerge w:val="restart"/>
            <w:vAlign w:val="center"/>
          </w:tcPr>
          <w:p w14:paraId="39D49C51" w14:textId="77777777" w:rsidR="00713ED0" w:rsidRPr="00713ED0" w:rsidRDefault="00713ED0" w:rsidP="00FF45C2">
            <w:pPr>
              <w:pStyle w:val="TableTextEntries"/>
              <w:rPr>
                <w:sz w:val="14"/>
              </w:rPr>
            </w:pPr>
            <w:r w:rsidRPr="00713ED0">
              <w:rPr>
                <w:sz w:val="14"/>
              </w:rPr>
              <w:t>30/06/2014</w:t>
            </w:r>
          </w:p>
        </w:tc>
        <w:tc>
          <w:tcPr>
            <w:tcW w:w="1152" w:type="dxa"/>
            <w:vMerge w:val="restart"/>
            <w:vAlign w:val="center"/>
          </w:tcPr>
          <w:p w14:paraId="2C7DA4C5" w14:textId="680D6B88" w:rsidR="00713ED0" w:rsidRPr="00713ED0" w:rsidRDefault="00713ED0" w:rsidP="00FF45C2">
            <w:pPr>
              <w:pStyle w:val="TableTextEntries"/>
              <w:rPr>
                <w:sz w:val="14"/>
                <w:szCs w:val="16"/>
              </w:rPr>
            </w:pPr>
            <w:r w:rsidRPr="00713ED0">
              <w:rPr>
                <w:sz w:val="14"/>
                <w:szCs w:val="16"/>
              </w:rPr>
              <w:t>$4</w:t>
            </w:r>
            <w:r w:rsidR="00501774">
              <w:rPr>
                <w:sz w:val="14"/>
                <w:szCs w:val="16"/>
              </w:rPr>
              <w:t xml:space="preserve"> </w:t>
            </w:r>
            <w:r w:rsidRPr="00713ED0">
              <w:rPr>
                <w:sz w:val="14"/>
                <w:szCs w:val="16"/>
              </w:rPr>
              <w:t>595</w:t>
            </w:r>
            <w:r w:rsidR="00501774">
              <w:rPr>
                <w:sz w:val="14"/>
                <w:szCs w:val="16"/>
              </w:rPr>
              <w:t xml:space="preserve"> </w:t>
            </w:r>
            <w:r w:rsidRPr="00713ED0">
              <w:rPr>
                <w:sz w:val="14"/>
                <w:szCs w:val="16"/>
              </w:rPr>
              <w:t>000.00</w:t>
            </w:r>
          </w:p>
        </w:tc>
        <w:tc>
          <w:tcPr>
            <w:tcW w:w="440" w:type="dxa"/>
            <w:vAlign w:val="center"/>
          </w:tcPr>
          <w:p w14:paraId="6B26EF22" w14:textId="77777777" w:rsidR="00713ED0" w:rsidRPr="00713ED0" w:rsidRDefault="00713ED0" w:rsidP="00FF45C2">
            <w:pPr>
              <w:pStyle w:val="TableTextEntries"/>
            </w:pPr>
            <w:r w:rsidRPr="00713ED0">
              <w:t>2012</w:t>
            </w:r>
          </w:p>
        </w:tc>
        <w:tc>
          <w:tcPr>
            <w:tcW w:w="334" w:type="dxa"/>
            <w:shd w:val="clear" w:color="auto" w:fill="92D050"/>
            <w:noWrap/>
            <w:vAlign w:val="center"/>
          </w:tcPr>
          <w:p w14:paraId="4FB0D5D3"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E07DDD6"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1ED640F2"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1C865477"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686316D2"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3C6F5BF8" w14:textId="77777777" w:rsidR="00713ED0" w:rsidRPr="00FF45C2" w:rsidRDefault="00713ED0" w:rsidP="00FF45C2">
            <w:pPr>
              <w:pStyle w:val="TableTextEntries"/>
              <w:jc w:val="center"/>
            </w:pPr>
            <w:r w:rsidRPr="00FF45C2">
              <w:t>4</w:t>
            </w:r>
          </w:p>
        </w:tc>
        <w:tc>
          <w:tcPr>
            <w:tcW w:w="347" w:type="dxa"/>
            <w:tcBorders>
              <w:top w:val="nil"/>
              <w:bottom w:val="nil"/>
            </w:tcBorders>
            <w:shd w:val="clear" w:color="auto" w:fill="92D050"/>
            <w:noWrap/>
            <w:vAlign w:val="center"/>
          </w:tcPr>
          <w:p w14:paraId="1727FF3B" w14:textId="77777777" w:rsidR="00713ED0" w:rsidRPr="00FF45C2" w:rsidRDefault="00713ED0" w:rsidP="00FF45C2">
            <w:pPr>
              <w:pStyle w:val="TableTextEntries"/>
              <w:jc w:val="center"/>
            </w:pPr>
            <w:r w:rsidRPr="00FF45C2">
              <w:t>M</w:t>
            </w:r>
          </w:p>
        </w:tc>
      </w:tr>
      <w:tr w:rsidR="00713ED0" w:rsidRPr="00713ED0" w14:paraId="04D72AE3"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1B401449" w14:textId="77777777" w:rsidR="00713ED0" w:rsidRPr="00713ED0" w:rsidRDefault="00713ED0" w:rsidP="00FF45C2">
            <w:pPr>
              <w:pStyle w:val="TableTextEntries"/>
            </w:pPr>
          </w:p>
        </w:tc>
        <w:tc>
          <w:tcPr>
            <w:tcW w:w="1486" w:type="dxa"/>
            <w:vMerge/>
            <w:vAlign w:val="center"/>
          </w:tcPr>
          <w:p w14:paraId="0456ED18" w14:textId="77777777" w:rsidR="00713ED0" w:rsidRPr="00713ED0" w:rsidRDefault="00713ED0" w:rsidP="00FF45C2">
            <w:pPr>
              <w:pStyle w:val="TableTextEntries"/>
            </w:pPr>
          </w:p>
        </w:tc>
        <w:tc>
          <w:tcPr>
            <w:tcW w:w="813" w:type="dxa"/>
            <w:vMerge/>
            <w:vAlign w:val="center"/>
          </w:tcPr>
          <w:p w14:paraId="15D26A84" w14:textId="77777777" w:rsidR="00713ED0" w:rsidRPr="00713ED0" w:rsidRDefault="00713ED0" w:rsidP="00FF45C2">
            <w:pPr>
              <w:pStyle w:val="TableTextEntries"/>
              <w:rPr>
                <w:sz w:val="14"/>
              </w:rPr>
            </w:pPr>
          </w:p>
        </w:tc>
        <w:tc>
          <w:tcPr>
            <w:tcW w:w="808" w:type="dxa"/>
            <w:vMerge/>
            <w:vAlign w:val="center"/>
          </w:tcPr>
          <w:p w14:paraId="444D17A7" w14:textId="77777777" w:rsidR="00713ED0" w:rsidRPr="00713ED0" w:rsidRDefault="00713ED0" w:rsidP="00FF45C2">
            <w:pPr>
              <w:pStyle w:val="TableTextEntries"/>
              <w:rPr>
                <w:sz w:val="14"/>
              </w:rPr>
            </w:pPr>
          </w:p>
        </w:tc>
        <w:tc>
          <w:tcPr>
            <w:tcW w:w="1152" w:type="dxa"/>
            <w:vMerge/>
            <w:vAlign w:val="center"/>
          </w:tcPr>
          <w:p w14:paraId="5C91495E" w14:textId="77777777" w:rsidR="00713ED0" w:rsidRPr="00713ED0" w:rsidRDefault="00713ED0" w:rsidP="00FF45C2">
            <w:pPr>
              <w:pStyle w:val="TableTextEntries"/>
              <w:rPr>
                <w:sz w:val="14"/>
                <w:szCs w:val="16"/>
              </w:rPr>
            </w:pPr>
          </w:p>
        </w:tc>
        <w:tc>
          <w:tcPr>
            <w:tcW w:w="440" w:type="dxa"/>
            <w:vAlign w:val="center"/>
          </w:tcPr>
          <w:p w14:paraId="4CB883F9" w14:textId="77777777" w:rsidR="00713ED0" w:rsidRPr="00713ED0" w:rsidRDefault="00713ED0" w:rsidP="00FF45C2">
            <w:pPr>
              <w:pStyle w:val="TableTextEntries"/>
            </w:pPr>
            <w:r w:rsidRPr="00713ED0">
              <w:t>2011</w:t>
            </w:r>
          </w:p>
        </w:tc>
        <w:tc>
          <w:tcPr>
            <w:tcW w:w="334" w:type="dxa"/>
            <w:shd w:val="clear" w:color="auto" w:fill="auto"/>
            <w:noWrap/>
            <w:vAlign w:val="center"/>
          </w:tcPr>
          <w:p w14:paraId="5DABC5B7"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21CCEAA7"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4D52D518" w14:textId="77777777" w:rsidR="00713ED0" w:rsidRPr="00FF45C2" w:rsidRDefault="00713ED0" w:rsidP="00FF45C2">
            <w:pPr>
              <w:pStyle w:val="TableTextEntries"/>
              <w:jc w:val="center"/>
            </w:pPr>
            <w:r w:rsidRPr="00FF45C2">
              <w:t>n/a</w:t>
            </w:r>
          </w:p>
        </w:tc>
        <w:tc>
          <w:tcPr>
            <w:tcW w:w="403" w:type="dxa"/>
            <w:shd w:val="clear" w:color="auto" w:fill="auto"/>
            <w:noWrap/>
            <w:vAlign w:val="center"/>
          </w:tcPr>
          <w:p w14:paraId="7DC5DE0B"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2AE45484"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148B23FF" w14:textId="77777777" w:rsidR="00713ED0" w:rsidRPr="00FF45C2" w:rsidRDefault="00713ED0" w:rsidP="00FF45C2">
            <w:pPr>
              <w:pStyle w:val="TableTextEntries"/>
              <w:jc w:val="center"/>
            </w:pPr>
            <w:r w:rsidRPr="00FF45C2">
              <w:t>n/a</w:t>
            </w:r>
          </w:p>
        </w:tc>
        <w:tc>
          <w:tcPr>
            <w:tcW w:w="347" w:type="dxa"/>
            <w:shd w:val="clear" w:color="auto" w:fill="auto"/>
            <w:noWrap/>
            <w:vAlign w:val="center"/>
          </w:tcPr>
          <w:p w14:paraId="38F0B186" w14:textId="77777777" w:rsidR="00713ED0" w:rsidRPr="00FF45C2" w:rsidRDefault="00713ED0" w:rsidP="00FF45C2">
            <w:pPr>
              <w:pStyle w:val="TableTextEntries"/>
              <w:jc w:val="center"/>
            </w:pPr>
            <w:r w:rsidRPr="00FF45C2">
              <w:t>n/a</w:t>
            </w:r>
          </w:p>
        </w:tc>
      </w:tr>
      <w:tr w:rsidR="00713ED0" w:rsidRPr="00713ED0" w14:paraId="581FA966" w14:textId="77777777" w:rsidTr="00E0168D">
        <w:trPr>
          <w:tblHeader w:val="0"/>
        </w:trPr>
        <w:tc>
          <w:tcPr>
            <w:tcW w:w="823" w:type="dxa"/>
            <w:gridSpan w:val="2"/>
            <w:vMerge w:val="restart"/>
            <w:vAlign w:val="center"/>
          </w:tcPr>
          <w:p w14:paraId="4D950BB3" w14:textId="77777777" w:rsidR="00713ED0" w:rsidRPr="00713ED0" w:rsidRDefault="00713ED0" w:rsidP="00FF45C2">
            <w:pPr>
              <w:pStyle w:val="TableTextEntries"/>
            </w:pPr>
            <w:r w:rsidRPr="00713ED0">
              <w:t>INH024</w:t>
            </w:r>
          </w:p>
        </w:tc>
        <w:tc>
          <w:tcPr>
            <w:tcW w:w="1486" w:type="dxa"/>
            <w:vMerge w:val="restart"/>
            <w:vAlign w:val="center"/>
          </w:tcPr>
          <w:p w14:paraId="69EEA592" w14:textId="3D116697" w:rsidR="00713ED0" w:rsidRPr="00713ED0" w:rsidRDefault="00713ED0" w:rsidP="00FF45C2">
            <w:pPr>
              <w:pStyle w:val="TableTextEntries"/>
            </w:pPr>
            <w:r w:rsidRPr="00713ED0">
              <w:t xml:space="preserve">Pandemic Influenza </w:t>
            </w:r>
            <w:r w:rsidR="0088219C">
              <w:t>and</w:t>
            </w:r>
            <w:r w:rsidR="0088219C" w:rsidRPr="00713ED0">
              <w:t xml:space="preserve"> </w:t>
            </w:r>
            <w:r w:rsidR="0088219C">
              <w:t>Emerging Infectious Disease</w:t>
            </w:r>
            <w:r w:rsidR="0088219C" w:rsidRPr="00713ED0">
              <w:t xml:space="preserve"> </w:t>
            </w:r>
            <w:r w:rsidRPr="00713ED0">
              <w:t xml:space="preserve">Prevention </w:t>
            </w:r>
            <w:r w:rsidR="0088219C">
              <w:t>and</w:t>
            </w:r>
            <w:r w:rsidR="0088219C" w:rsidRPr="00713ED0">
              <w:t xml:space="preserve"> </w:t>
            </w:r>
            <w:r w:rsidRPr="00713ED0">
              <w:t>Preparedness</w:t>
            </w:r>
          </w:p>
        </w:tc>
        <w:tc>
          <w:tcPr>
            <w:tcW w:w="813" w:type="dxa"/>
            <w:vMerge w:val="restart"/>
            <w:vAlign w:val="center"/>
          </w:tcPr>
          <w:p w14:paraId="0352C030" w14:textId="77777777" w:rsidR="00713ED0" w:rsidRPr="00713ED0" w:rsidRDefault="00713ED0" w:rsidP="00FF45C2">
            <w:pPr>
              <w:pStyle w:val="TableTextEntries"/>
              <w:rPr>
                <w:sz w:val="14"/>
              </w:rPr>
            </w:pPr>
            <w:r w:rsidRPr="00713ED0">
              <w:rPr>
                <w:sz w:val="14"/>
              </w:rPr>
              <w:t>20/12/2006</w:t>
            </w:r>
          </w:p>
        </w:tc>
        <w:tc>
          <w:tcPr>
            <w:tcW w:w="808" w:type="dxa"/>
            <w:vMerge w:val="restart"/>
            <w:vAlign w:val="center"/>
          </w:tcPr>
          <w:p w14:paraId="18A3A55E" w14:textId="77777777" w:rsidR="00713ED0" w:rsidRPr="00713ED0" w:rsidRDefault="00713ED0" w:rsidP="00FF45C2">
            <w:pPr>
              <w:pStyle w:val="TableTextEntries"/>
              <w:rPr>
                <w:sz w:val="14"/>
              </w:rPr>
            </w:pPr>
            <w:r w:rsidRPr="00713ED0">
              <w:rPr>
                <w:sz w:val="14"/>
              </w:rPr>
              <w:t>30/06/2012</w:t>
            </w:r>
          </w:p>
        </w:tc>
        <w:tc>
          <w:tcPr>
            <w:tcW w:w="1152" w:type="dxa"/>
            <w:vMerge w:val="restart"/>
            <w:vAlign w:val="center"/>
          </w:tcPr>
          <w:p w14:paraId="590BB5E8" w14:textId="1D550669" w:rsidR="00713ED0" w:rsidRPr="00713ED0" w:rsidRDefault="00713ED0" w:rsidP="00FF45C2">
            <w:pPr>
              <w:pStyle w:val="TableTextEntries"/>
              <w:rPr>
                <w:sz w:val="14"/>
                <w:szCs w:val="16"/>
              </w:rPr>
            </w:pPr>
            <w:r w:rsidRPr="00713ED0">
              <w:rPr>
                <w:sz w:val="14"/>
                <w:szCs w:val="16"/>
              </w:rPr>
              <w:t>$19</w:t>
            </w:r>
            <w:r w:rsidR="00623D66">
              <w:rPr>
                <w:sz w:val="14"/>
                <w:szCs w:val="16"/>
              </w:rPr>
              <w:t xml:space="preserve"> </w:t>
            </w:r>
            <w:r w:rsidRPr="00713ED0">
              <w:rPr>
                <w:sz w:val="14"/>
                <w:szCs w:val="16"/>
              </w:rPr>
              <w:t>258</w:t>
            </w:r>
            <w:r w:rsidR="00623D66">
              <w:rPr>
                <w:sz w:val="14"/>
                <w:szCs w:val="16"/>
              </w:rPr>
              <w:t xml:space="preserve"> </w:t>
            </w:r>
            <w:r w:rsidRPr="00713ED0">
              <w:rPr>
                <w:sz w:val="14"/>
                <w:szCs w:val="16"/>
              </w:rPr>
              <w:t>372.66</w:t>
            </w:r>
          </w:p>
        </w:tc>
        <w:tc>
          <w:tcPr>
            <w:tcW w:w="440" w:type="dxa"/>
            <w:vAlign w:val="center"/>
          </w:tcPr>
          <w:p w14:paraId="314E5CF3" w14:textId="77777777" w:rsidR="00713ED0" w:rsidRPr="00713ED0" w:rsidRDefault="00713ED0" w:rsidP="00FF45C2">
            <w:pPr>
              <w:pStyle w:val="TableTextEntries"/>
            </w:pPr>
            <w:r w:rsidRPr="00713ED0">
              <w:t>2012</w:t>
            </w:r>
          </w:p>
        </w:tc>
        <w:tc>
          <w:tcPr>
            <w:tcW w:w="334" w:type="dxa"/>
            <w:tcBorders>
              <w:top w:val="nil"/>
              <w:bottom w:val="nil"/>
            </w:tcBorders>
            <w:shd w:val="clear" w:color="auto" w:fill="auto"/>
            <w:noWrap/>
            <w:vAlign w:val="center"/>
          </w:tcPr>
          <w:p w14:paraId="26509DB0"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7DBE2062"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01ED3954" w14:textId="77777777" w:rsidR="00713ED0" w:rsidRPr="00FF45C2" w:rsidRDefault="00713ED0" w:rsidP="00FF45C2">
            <w:pPr>
              <w:pStyle w:val="TableTextEntries"/>
              <w:jc w:val="center"/>
            </w:pPr>
            <w:r w:rsidRPr="00FF45C2">
              <w:t>n/a</w:t>
            </w:r>
          </w:p>
        </w:tc>
        <w:tc>
          <w:tcPr>
            <w:tcW w:w="403" w:type="dxa"/>
            <w:tcBorders>
              <w:top w:val="nil"/>
              <w:bottom w:val="nil"/>
            </w:tcBorders>
            <w:shd w:val="clear" w:color="auto" w:fill="auto"/>
            <w:noWrap/>
            <w:vAlign w:val="center"/>
          </w:tcPr>
          <w:p w14:paraId="04BD0A62"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6344144A"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45CB3EAE" w14:textId="77777777" w:rsidR="00713ED0" w:rsidRPr="00FF45C2" w:rsidRDefault="00713ED0" w:rsidP="00FF45C2">
            <w:pPr>
              <w:pStyle w:val="TableTextEntries"/>
              <w:jc w:val="center"/>
            </w:pPr>
            <w:r w:rsidRPr="00FF45C2">
              <w:t>n/a</w:t>
            </w:r>
          </w:p>
        </w:tc>
        <w:tc>
          <w:tcPr>
            <w:tcW w:w="347" w:type="dxa"/>
            <w:tcBorders>
              <w:top w:val="nil"/>
              <w:bottom w:val="nil"/>
            </w:tcBorders>
            <w:shd w:val="clear" w:color="auto" w:fill="auto"/>
            <w:noWrap/>
            <w:vAlign w:val="center"/>
          </w:tcPr>
          <w:p w14:paraId="213061AB" w14:textId="77777777" w:rsidR="00713ED0" w:rsidRPr="00FF45C2" w:rsidRDefault="00713ED0" w:rsidP="00FF45C2">
            <w:pPr>
              <w:pStyle w:val="TableTextEntries"/>
              <w:jc w:val="center"/>
            </w:pPr>
            <w:r w:rsidRPr="00FF45C2">
              <w:t>n/a</w:t>
            </w:r>
          </w:p>
        </w:tc>
      </w:tr>
      <w:tr w:rsidR="00713ED0" w:rsidRPr="00713ED0" w14:paraId="12ADA3E5"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51B28472" w14:textId="77777777" w:rsidR="00713ED0" w:rsidRPr="00713ED0" w:rsidRDefault="00713ED0" w:rsidP="00FF45C2">
            <w:pPr>
              <w:pStyle w:val="TableTextEntries"/>
            </w:pPr>
          </w:p>
        </w:tc>
        <w:tc>
          <w:tcPr>
            <w:tcW w:w="1486" w:type="dxa"/>
            <w:vMerge/>
            <w:vAlign w:val="center"/>
          </w:tcPr>
          <w:p w14:paraId="488FF3D0" w14:textId="77777777" w:rsidR="00713ED0" w:rsidRPr="00713ED0" w:rsidRDefault="00713ED0" w:rsidP="00FF45C2">
            <w:pPr>
              <w:pStyle w:val="TableTextEntries"/>
            </w:pPr>
          </w:p>
        </w:tc>
        <w:tc>
          <w:tcPr>
            <w:tcW w:w="813" w:type="dxa"/>
            <w:vMerge/>
            <w:vAlign w:val="center"/>
          </w:tcPr>
          <w:p w14:paraId="558949B4" w14:textId="77777777" w:rsidR="00713ED0" w:rsidRPr="00713ED0" w:rsidRDefault="00713ED0" w:rsidP="00FF45C2">
            <w:pPr>
              <w:pStyle w:val="TableTextEntries"/>
              <w:rPr>
                <w:sz w:val="14"/>
              </w:rPr>
            </w:pPr>
          </w:p>
        </w:tc>
        <w:tc>
          <w:tcPr>
            <w:tcW w:w="808" w:type="dxa"/>
            <w:vMerge/>
            <w:vAlign w:val="center"/>
          </w:tcPr>
          <w:p w14:paraId="0EDD61C0" w14:textId="77777777" w:rsidR="00713ED0" w:rsidRPr="00713ED0" w:rsidRDefault="00713ED0" w:rsidP="00FF45C2">
            <w:pPr>
              <w:pStyle w:val="TableTextEntries"/>
              <w:rPr>
                <w:sz w:val="14"/>
              </w:rPr>
            </w:pPr>
          </w:p>
        </w:tc>
        <w:tc>
          <w:tcPr>
            <w:tcW w:w="1152" w:type="dxa"/>
            <w:vMerge/>
            <w:vAlign w:val="center"/>
          </w:tcPr>
          <w:p w14:paraId="5DFBB0AE" w14:textId="77777777" w:rsidR="00713ED0" w:rsidRPr="00713ED0" w:rsidRDefault="00713ED0" w:rsidP="00FF45C2">
            <w:pPr>
              <w:pStyle w:val="TableTextEntries"/>
              <w:rPr>
                <w:sz w:val="14"/>
                <w:szCs w:val="16"/>
              </w:rPr>
            </w:pPr>
          </w:p>
        </w:tc>
        <w:tc>
          <w:tcPr>
            <w:tcW w:w="440" w:type="dxa"/>
            <w:vAlign w:val="center"/>
          </w:tcPr>
          <w:p w14:paraId="1BB5EA51" w14:textId="77777777" w:rsidR="00713ED0" w:rsidRPr="00713ED0" w:rsidRDefault="00713ED0" w:rsidP="00FF45C2">
            <w:pPr>
              <w:pStyle w:val="TableTextEntries"/>
            </w:pPr>
            <w:r w:rsidRPr="00713ED0">
              <w:t>2011</w:t>
            </w:r>
          </w:p>
        </w:tc>
        <w:tc>
          <w:tcPr>
            <w:tcW w:w="334" w:type="dxa"/>
            <w:shd w:val="clear" w:color="auto" w:fill="92D050"/>
            <w:noWrap/>
            <w:vAlign w:val="center"/>
          </w:tcPr>
          <w:p w14:paraId="2CEAD681"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833EBBA"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AE728BF"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6112E99F"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2D99687B"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714A09DA" w14:textId="77777777" w:rsidR="00713ED0" w:rsidRPr="00FF45C2" w:rsidRDefault="00713ED0" w:rsidP="00FF45C2">
            <w:pPr>
              <w:pStyle w:val="TableTextEntries"/>
              <w:jc w:val="center"/>
            </w:pPr>
            <w:r w:rsidRPr="00FF45C2">
              <w:t>4</w:t>
            </w:r>
          </w:p>
        </w:tc>
        <w:tc>
          <w:tcPr>
            <w:tcW w:w="347" w:type="dxa"/>
            <w:shd w:val="clear" w:color="auto" w:fill="92D050"/>
            <w:noWrap/>
            <w:vAlign w:val="center"/>
          </w:tcPr>
          <w:p w14:paraId="4068E1DD" w14:textId="77777777" w:rsidR="00713ED0" w:rsidRPr="00FF45C2" w:rsidRDefault="00713ED0" w:rsidP="00FF45C2">
            <w:pPr>
              <w:pStyle w:val="TableTextEntries"/>
              <w:jc w:val="center"/>
            </w:pPr>
            <w:r w:rsidRPr="00FF45C2">
              <w:t>M</w:t>
            </w:r>
          </w:p>
        </w:tc>
      </w:tr>
      <w:tr w:rsidR="00713ED0" w:rsidRPr="00713ED0" w14:paraId="05916110" w14:textId="77777777" w:rsidTr="00E0168D">
        <w:trPr>
          <w:tblHeader w:val="0"/>
        </w:trPr>
        <w:tc>
          <w:tcPr>
            <w:tcW w:w="823" w:type="dxa"/>
            <w:gridSpan w:val="2"/>
            <w:vMerge w:val="restart"/>
            <w:vAlign w:val="center"/>
          </w:tcPr>
          <w:p w14:paraId="2A753C0B" w14:textId="77777777" w:rsidR="00713ED0" w:rsidRPr="00713ED0" w:rsidRDefault="00713ED0" w:rsidP="00FF45C2">
            <w:pPr>
              <w:pStyle w:val="TableTextEntries"/>
            </w:pPr>
            <w:r w:rsidRPr="00713ED0">
              <w:t>INJ124</w:t>
            </w:r>
          </w:p>
        </w:tc>
        <w:tc>
          <w:tcPr>
            <w:tcW w:w="1486" w:type="dxa"/>
            <w:vMerge w:val="restart"/>
            <w:vAlign w:val="center"/>
          </w:tcPr>
          <w:p w14:paraId="6E8D4025" w14:textId="77777777" w:rsidR="00713ED0" w:rsidRPr="00713ED0" w:rsidRDefault="00713ED0" w:rsidP="00FF45C2">
            <w:pPr>
              <w:pStyle w:val="TableTextEntries"/>
            </w:pPr>
            <w:r w:rsidRPr="00713ED0">
              <w:t>Health Facilities Reconstruction in West Sumatra</w:t>
            </w:r>
          </w:p>
        </w:tc>
        <w:tc>
          <w:tcPr>
            <w:tcW w:w="813" w:type="dxa"/>
            <w:vMerge w:val="restart"/>
            <w:vAlign w:val="center"/>
          </w:tcPr>
          <w:p w14:paraId="3BE2B697" w14:textId="77777777" w:rsidR="00713ED0" w:rsidRPr="00713ED0" w:rsidRDefault="00713ED0" w:rsidP="00FF45C2">
            <w:pPr>
              <w:pStyle w:val="TableTextEntries"/>
              <w:rPr>
                <w:sz w:val="14"/>
              </w:rPr>
            </w:pPr>
            <w:r w:rsidRPr="00713ED0">
              <w:rPr>
                <w:sz w:val="14"/>
              </w:rPr>
              <w:t>26/10/2009</w:t>
            </w:r>
          </w:p>
        </w:tc>
        <w:tc>
          <w:tcPr>
            <w:tcW w:w="808" w:type="dxa"/>
            <w:vMerge w:val="restart"/>
            <w:vAlign w:val="center"/>
          </w:tcPr>
          <w:p w14:paraId="03838F1C" w14:textId="77777777" w:rsidR="00713ED0" w:rsidRPr="00713ED0" w:rsidRDefault="00713ED0" w:rsidP="00FF45C2">
            <w:pPr>
              <w:pStyle w:val="TableTextEntries"/>
              <w:rPr>
                <w:sz w:val="14"/>
              </w:rPr>
            </w:pPr>
            <w:r w:rsidRPr="00713ED0">
              <w:rPr>
                <w:sz w:val="14"/>
              </w:rPr>
              <w:t>20/12/2012</w:t>
            </w:r>
          </w:p>
        </w:tc>
        <w:tc>
          <w:tcPr>
            <w:tcW w:w="1152" w:type="dxa"/>
            <w:vMerge w:val="restart"/>
            <w:vAlign w:val="center"/>
          </w:tcPr>
          <w:p w14:paraId="6915C6E3" w14:textId="77C044CA" w:rsidR="00713ED0" w:rsidRPr="00713ED0" w:rsidRDefault="00713ED0" w:rsidP="00FF45C2">
            <w:pPr>
              <w:pStyle w:val="TableTextEntries"/>
              <w:rPr>
                <w:sz w:val="14"/>
                <w:szCs w:val="16"/>
              </w:rPr>
            </w:pPr>
            <w:r w:rsidRPr="00713ED0">
              <w:rPr>
                <w:sz w:val="14"/>
                <w:szCs w:val="16"/>
              </w:rPr>
              <w:t>$5</w:t>
            </w:r>
            <w:r w:rsidR="00623D66">
              <w:rPr>
                <w:sz w:val="14"/>
                <w:szCs w:val="16"/>
              </w:rPr>
              <w:t xml:space="preserve"> </w:t>
            </w:r>
            <w:r w:rsidRPr="00713ED0">
              <w:rPr>
                <w:sz w:val="14"/>
                <w:szCs w:val="16"/>
              </w:rPr>
              <w:t>041</w:t>
            </w:r>
            <w:r w:rsidR="00623D66">
              <w:rPr>
                <w:sz w:val="14"/>
                <w:szCs w:val="16"/>
              </w:rPr>
              <w:t xml:space="preserve"> </w:t>
            </w:r>
            <w:r w:rsidRPr="00713ED0">
              <w:rPr>
                <w:sz w:val="14"/>
                <w:szCs w:val="16"/>
              </w:rPr>
              <w:t>461.64</w:t>
            </w:r>
          </w:p>
        </w:tc>
        <w:tc>
          <w:tcPr>
            <w:tcW w:w="440" w:type="dxa"/>
            <w:vAlign w:val="center"/>
          </w:tcPr>
          <w:p w14:paraId="037BE8A1" w14:textId="77777777" w:rsidR="00713ED0" w:rsidRPr="00713ED0" w:rsidRDefault="00713ED0" w:rsidP="00FF45C2">
            <w:pPr>
              <w:pStyle w:val="TableTextEntries"/>
            </w:pPr>
            <w:r w:rsidRPr="00713ED0">
              <w:t>2012</w:t>
            </w:r>
          </w:p>
        </w:tc>
        <w:tc>
          <w:tcPr>
            <w:tcW w:w="334" w:type="dxa"/>
            <w:shd w:val="clear" w:color="auto" w:fill="92D050"/>
            <w:noWrap/>
            <w:vAlign w:val="center"/>
          </w:tcPr>
          <w:p w14:paraId="43982D1F"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007E6C9"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A2D95C6"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11D77DDC"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13042BDA"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22131640" w14:textId="77777777" w:rsidR="00713ED0" w:rsidRPr="00FF45C2" w:rsidRDefault="00713ED0" w:rsidP="00FF45C2">
            <w:pPr>
              <w:pStyle w:val="TableTextEntries"/>
              <w:jc w:val="center"/>
            </w:pPr>
            <w:r w:rsidRPr="00FF45C2">
              <w:t>5</w:t>
            </w:r>
          </w:p>
        </w:tc>
        <w:tc>
          <w:tcPr>
            <w:tcW w:w="347" w:type="dxa"/>
            <w:tcBorders>
              <w:top w:val="nil"/>
              <w:bottom w:val="nil"/>
            </w:tcBorders>
            <w:shd w:val="clear" w:color="auto" w:fill="92D050"/>
            <w:noWrap/>
            <w:vAlign w:val="center"/>
          </w:tcPr>
          <w:p w14:paraId="514956BD" w14:textId="77777777" w:rsidR="00713ED0" w:rsidRPr="00FF45C2" w:rsidRDefault="00713ED0" w:rsidP="00FF45C2">
            <w:pPr>
              <w:pStyle w:val="TableTextEntries"/>
              <w:jc w:val="center"/>
            </w:pPr>
            <w:r w:rsidRPr="00FF45C2">
              <w:t>M</w:t>
            </w:r>
          </w:p>
        </w:tc>
      </w:tr>
      <w:tr w:rsidR="00713ED0" w:rsidRPr="00713ED0" w14:paraId="1CA81BF0"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35455278" w14:textId="77777777" w:rsidR="00713ED0" w:rsidRPr="00713ED0" w:rsidRDefault="00713ED0" w:rsidP="00FF45C2">
            <w:pPr>
              <w:pStyle w:val="TableTextEntries"/>
            </w:pPr>
          </w:p>
        </w:tc>
        <w:tc>
          <w:tcPr>
            <w:tcW w:w="1486" w:type="dxa"/>
            <w:vMerge/>
            <w:vAlign w:val="center"/>
          </w:tcPr>
          <w:p w14:paraId="3F798D27" w14:textId="77777777" w:rsidR="00713ED0" w:rsidRPr="00713ED0" w:rsidRDefault="00713ED0" w:rsidP="00FF45C2">
            <w:pPr>
              <w:pStyle w:val="TableTextEntries"/>
            </w:pPr>
          </w:p>
        </w:tc>
        <w:tc>
          <w:tcPr>
            <w:tcW w:w="813" w:type="dxa"/>
            <w:vMerge/>
            <w:vAlign w:val="center"/>
          </w:tcPr>
          <w:p w14:paraId="3528D68D" w14:textId="77777777" w:rsidR="00713ED0" w:rsidRPr="00713ED0" w:rsidRDefault="00713ED0" w:rsidP="00FF45C2">
            <w:pPr>
              <w:pStyle w:val="TableTextEntries"/>
              <w:rPr>
                <w:sz w:val="14"/>
              </w:rPr>
            </w:pPr>
          </w:p>
        </w:tc>
        <w:tc>
          <w:tcPr>
            <w:tcW w:w="808" w:type="dxa"/>
            <w:vMerge/>
            <w:vAlign w:val="center"/>
          </w:tcPr>
          <w:p w14:paraId="7ABBC0B3" w14:textId="77777777" w:rsidR="00713ED0" w:rsidRPr="00713ED0" w:rsidRDefault="00713ED0" w:rsidP="00FF45C2">
            <w:pPr>
              <w:pStyle w:val="TableTextEntries"/>
              <w:rPr>
                <w:sz w:val="14"/>
              </w:rPr>
            </w:pPr>
          </w:p>
        </w:tc>
        <w:tc>
          <w:tcPr>
            <w:tcW w:w="1152" w:type="dxa"/>
            <w:vMerge/>
            <w:vAlign w:val="center"/>
          </w:tcPr>
          <w:p w14:paraId="0FDC9F4C" w14:textId="77777777" w:rsidR="00713ED0" w:rsidRPr="00713ED0" w:rsidRDefault="00713ED0" w:rsidP="00FF45C2">
            <w:pPr>
              <w:pStyle w:val="TableTextEntries"/>
              <w:rPr>
                <w:sz w:val="14"/>
                <w:szCs w:val="16"/>
              </w:rPr>
            </w:pPr>
          </w:p>
        </w:tc>
        <w:tc>
          <w:tcPr>
            <w:tcW w:w="440" w:type="dxa"/>
            <w:vAlign w:val="center"/>
          </w:tcPr>
          <w:p w14:paraId="1DD7DB49" w14:textId="77777777" w:rsidR="00713ED0" w:rsidRPr="00713ED0" w:rsidRDefault="00713ED0" w:rsidP="00FF45C2">
            <w:pPr>
              <w:pStyle w:val="TableTextEntries"/>
            </w:pPr>
            <w:r w:rsidRPr="00713ED0">
              <w:t>2011</w:t>
            </w:r>
          </w:p>
        </w:tc>
        <w:tc>
          <w:tcPr>
            <w:tcW w:w="334" w:type="dxa"/>
            <w:shd w:val="clear" w:color="auto" w:fill="92D050"/>
            <w:noWrap/>
            <w:vAlign w:val="center"/>
          </w:tcPr>
          <w:p w14:paraId="7D044D97"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2921A466"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AACB15A"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1E1C8A70"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47F79BC4"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11F8712" w14:textId="77777777" w:rsidR="00713ED0" w:rsidRPr="00FF45C2" w:rsidRDefault="00713ED0" w:rsidP="00FF45C2">
            <w:pPr>
              <w:pStyle w:val="TableTextEntries"/>
              <w:jc w:val="center"/>
            </w:pPr>
            <w:r w:rsidRPr="00FF45C2">
              <w:t>5</w:t>
            </w:r>
          </w:p>
        </w:tc>
        <w:tc>
          <w:tcPr>
            <w:tcW w:w="347" w:type="dxa"/>
            <w:shd w:val="clear" w:color="auto" w:fill="92D050"/>
            <w:noWrap/>
            <w:vAlign w:val="center"/>
          </w:tcPr>
          <w:p w14:paraId="318D815A" w14:textId="77777777" w:rsidR="00713ED0" w:rsidRPr="00FF45C2" w:rsidRDefault="00713ED0" w:rsidP="00FF45C2">
            <w:pPr>
              <w:pStyle w:val="TableTextEntries"/>
              <w:jc w:val="center"/>
            </w:pPr>
            <w:r w:rsidRPr="00FF45C2">
              <w:t>M</w:t>
            </w:r>
          </w:p>
        </w:tc>
      </w:tr>
      <w:tr w:rsidR="00713ED0" w:rsidRPr="00713ED0" w14:paraId="39744863" w14:textId="77777777" w:rsidTr="00E0168D">
        <w:trPr>
          <w:cantSplit/>
          <w:tblHeader w:val="0"/>
        </w:trPr>
        <w:tc>
          <w:tcPr>
            <w:tcW w:w="2337" w:type="dxa"/>
            <w:gridSpan w:val="3"/>
            <w:vAlign w:val="bottom"/>
          </w:tcPr>
          <w:p w14:paraId="784474AD" w14:textId="77777777" w:rsidR="00713ED0" w:rsidRPr="00713ED0" w:rsidRDefault="00713ED0" w:rsidP="00E0168D">
            <w:pPr>
              <w:pStyle w:val="TableHeading2"/>
            </w:pPr>
            <w:r w:rsidRPr="00713ED0">
              <w:t>Transport and connectivity</w:t>
            </w:r>
          </w:p>
        </w:tc>
        <w:tc>
          <w:tcPr>
            <w:tcW w:w="813" w:type="dxa"/>
          </w:tcPr>
          <w:p w14:paraId="753D1907" w14:textId="77777777" w:rsidR="00713ED0" w:rsidRPr="00713ED0" w:rsidRDefault="00713ED0" w:rsidP="00FF45C2">
            <w:pPr>
              <w:pStyle w:val="TableTextEntries"/>
              <w:rPr>
                <w:sz w:val="14"/>
              </w:rPr>
            </w:pPr>
          </w:p>
        </w:tc>
        <w:tc>
          <w:tcPr>
            <w:tcW w:w="808" w:type="dxa"/>
            <w:vAlign w:val="center"/>
          </w:tcPr>
          <w:p w14:paraId="43F613A9" w14:textId="77777777" w:rsidR="00713ED0" w:rsidRPr="00713ED0" w:rsidRDefault="00713ED0" w:rsidP="00FF45C2">
            <w:pPr>
              <w:pStyle w:val="TableTextEntries"/>
              <w:rPr>
                <w:sz w:val="14"/>
              </w:rPr>
            </w:pPr>
          </w:p>
        </w:tc>
        <w:tc>
          <w:tcPr>
            <w:tcW w:w="1152" w:type="dxa"/>
            <w:vAlign w:val="bottom"/>
          </w:tcPr>
          <w:p w14:paraId="525D0672" w14:textId="77777777" w:rsidR="00713ED0" w:rsidRPr="00713ED0" w:rsidRDefault="00713ED0" w:rsidP="00FF45C2">
            <w:pPr>
              <w:pStyle w:val="TableTextEntries"/>
              <w:rPr>
                <w:sz w:val="14"/>
                <w:szCs w:val="16"/>
              </w:rPr>
            </w:pPr>
          </w:p>
        </w:tc>
        <w:tc>
          <w:tcPr>
            <w:tcW w:w="440" w:type="dxa"/>
            <w:textDirection w:val="btLr"/>
            <w:vAlign w:val="center"/>
          </w:tcPr>
          <w:p w14:paraId="55CD2B43" w14:textId="77777777" w:rsidR="00713ED0" w:rsidRPr="00713ED0" w:rsidRDefault="00713ED0" w:rsidP="00FF45C2">
            <w:pPr>
              <w:pStyle w:val="TableTextEntries"/>
            </w:pPr>
          </w:p>
        </w:tc>
        <w:tc>
          <w:tcPr>
            <w:tcW w:w="334" w:type="dxa"/>
            <w:textDirection w:val="btLr"/>
            <w:vAlign w:val="center"/>
          </w:tcPr>
          <w:p w14:paraId="3B01A01A" w14:textId="77777777" w:rsidR="00713ED0" w:rsidRPr="00FF45C2" w:rsidRDefault="00713ED0" w:rsidP="00FF45C2">
            <w:pPr>
              <w:pStyle w:val="TableTextEntries"/>
              <w:jc w:val="center"/>
            </w:pPr>
          </w:p>
        </w:tc>
        <w:tc>
          <w:tcPr>
            <w:tcW w:w="334" w:type="dxa"/>
            <w:textDirection w:val="btLr"/>
            <w:vAlign w:val="center"/>
          </w:tcPr>
          <w:p w14:paraId="4867DB76" w14:textId="77777777" w:rsidR="00713ED0" w:rsidRPr="00FF45C2" w:rsidRDefault="00713ED0" w:rsidP="00FF45C2">
            <w:pPr>
              <w:pStyle w:val="TableTextEntries"/>
              <w:jc w:val="center"/>
            </w:pPr>
          </w:p>
        </w:tc>
        <w:tc>
          <w:tcPr>
            <w:tcW w:w="334" w:type="dxa"/>
            <w:textDirection w:val="btLr"/>
            <w:vAlign w:val="center"/>
          </w:tcPr>
          <w:p w14:paraId="535B2BC9" w14:textId="77777777" w:rsidR="00713ED0" w:rsidRPr="00FF45C2" w:rsidRDefault="00713ED0" w:rsidP="00FF45C2">
            <w:pPr>
              <w:pStyle w:val="TableTextEntries"/>
              <w:jc w:val="center"/>
            </w:pPr>
          </w:p>
        </w:tc>
        <w:tc>
          <w:tcPr>
            <w:tcW w:w="403" w:type="dxa"/>
            <w:textDirection w:val="btLr"/>
            <w:vAlign w:val="center"/>
          </w:tcPr>
          <w:p w14:paraId="6BABA9C4" w14:textId="77777777" w:rsidR="00713ED0" w:rsidRPr="00FF45C2" w:rsidRDefault="00713ED0" w:rsidP="00FF45C2">
            <w:pPr>
              <w:pStyle w:val="TableTextEntries"/>
              <w:jc w:val="center"/>
            </w:pPr>
          </w:p>
        </w:tc>
        <w:tc>
          <w:tcPr>
            <w:tcW w:w="334" w:type="dxa"/>
            <w:textDirection w:val="btLr"/>
            <w:vAlign w:val="center"/>
          </w:tcPr>
          <w:p w14:paraId="339CA5B0" w14:textId="77777777" w:rsidR="00713ED0" w:rsidRPr="00FF45C2" w:rsidRDefault="00713ED0" w:rsidP="00FF45C2">
            <w:pPr>
              <w:pStyle w:val="TableTextEntries"/>
              <w:jc w:val="center"/>
            </w:pPr>
          </w:p>
        </w:tc>
        <w:tc>
          <w:tcPr>
            <w:tcW w:w="334" w:type="dxa"/>
            <w:textDirection w:val="btLr"/>
            <w:vAlign w:val="center"/>
          </w:tcPr>
          <w:p w14:paraId="1B8D108E" w14:textId="77777777" w:rsidR="00713ED0" w:rsidRPr="00FF45C2" w:rsidRDefault="00713ED0" w:rsidP="00FF45C2">
            <w:pPr>
              <w:pStyle w:val="TableTextEntries"/>
              <w:jc w:val="center"/>
            </w:pPr>
          </w:p>
        </w:tc>
        <w:tc>
          <w:tcPr>
            <w:tcW w:w="347" w:type="dxa"/>
            <w:textDirection w:val="btLr"/>
            <w:vAlign w:val="center"/>
          </w:tcPr>
          <w:p w14:paraId="0DC0D33B" w14:textId="77777777" w:rsidR="00713ED0" w:rsidRPr="00FF45C2" w:rsidRDefault="00713ED0" w:rsidP="00FF45C2">
            <w:pPr>
              <w:pStyle w:val="TableTextEntries"/>
              <w:jc w:val="center"/>
            </w:pPr>
          </w:p>
        </w:tc>
      </w:tr>
      <w:tr w:rsidR="00713ED0" w:rsidRPr="00713ED0" w14:paraId="01E1BBBF"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3D09E285" w14:textId="77777777" w:rsidR="00713ED0" w:rsidRPr="00713ED0" w:rsidRDefault="00713ED0" w:rsidP="00FF45C2">
            <w:pPr>
              <w:pStyle w:val="TableTextEntries"/>
            </w:pPr>
            <w:r w:rsidRPr="00713ED0">
              <w:t>ING633</w:t>
            </w:r>
          </w:p>
        </w:tc>
        <w:tc>
          <w:tcPr>
            <w:tcW w:w="1486" w:type="dxa"/>
            <w:vMerge w:val="restart"/>
            <w:vAlign w:val="center"/>
          </w:tcPr>
          <w:p w14:paraId="3F43D904" w14:textId="16CD6913" w:rsidR="00713ED0" w:rsidRPr="00713ED0" w:rsidRDefault="0088219C" w:rsidP="00FF45C2">
            <w:pPr>
              <w:pStyle w:val="TableTextEntries"/>
            </w:pPr>
            <w:r w:rsidRPr="0088219C">
              <w:t xml:space="preserve">Eastern Indonesia National Road Improvement Program </w:t>
            </w:r>
            <w:r w:rsidR="00713ED0" w:rsidRPr="00713ED0">
              <w:t>(</w:t>
            </w:r>
            <w:r w:rsidR="00501774" w:rsidRPr="00501774">
              <w:rPr>
                <w:lang w:val="en-US"/>
              </w:rPr>
              <w:t>Australia–Indonesia Partnership for Reconstruction and Development</w:t>
            </w:r>
            <w:r w:rsidR="00501774" w:rsidRPr="00501774" w:rsidDel="00501774">
              <w:t xml:space="preserve"> </w:t>
            </w:r>
            <w:r w:rsidR="00501774">
              <w:t>l</w:t>
            </w:r>
            <w:r w:rsidR="00713ED0" w:rsidRPr="00713ED0">
              <w:t>oans)</w:t>
            </w:r>
          </w:p>
        </w:tc>
        <w:tc>
          <w:tcPr>
            <w:tcW w:w="813" w:type="dxa"/>
            <w:vMerge w:val="restart"/>
            <w:vAlign w:val="center"/>
          </w:tcPr>
          <w:p w14:paraId="28E939FC" w14:textId="77777777" w:rsidR="00713ED0" w:rsidRPr="00713ED0" w:rsidRDefault="00713ED0" w:rsidP="00FF45C2">
            <w:pPr>
              <w:pStyle w:val="TableTextEntries"/>
              <w:rPr>
                <w:sz w:val="14"/>
              </w:rPr>
            </w:pPr>
            <w:r w:rsidRPr="00713ED0">
              <w:rPr>
                <w:sz w:val="14"/>
              </w:rPr>
              <w:t>01/07/2007</w:t>
            </w:r>
          </w:p>
        </w:tc>
        <w:tc>
          <w:tcPr>
            <w:tcW w:w="808" w:type="dxa"/>
            <w:vMerge w:val="restart"/>
            <w:vAlign w:val="center"/>
          </w:tcPr>
          <w:p w14:paraId="16622F9F" w14:textId="77777777" w:rsidR="00713ED0" w:rsidRPr="00713ED0" w:rsidRDefault="00713ED0" w:rsidP="00FF45C2">
            <w:pPr>
              <w:pStyle w:val="TableTextEntries"/>
              <w:rPr>
                <w:sz w:val="14"/>
              </w:rPr>
            </w:pPr>
            <w:r w:rsidRPr="00713ED0">
              <w:rPr>
                <w:sz w:val="14"/>
              </w:rPr>
              <w:t>30/06/2013</w:t>
            </w:r>
          </w:p>
        </w:tc>
        <w:tc>
          <w:tcPr>
            <w:tcW w:w="1152" w:type="dxa"/>
            <w:vMerge w:val="restart"/>
            <w:vAlign w:val="center"/>
          </w:tcPr>
          <w:p w14:paraId="4FC9ADA5" w14:textId="24CE36F8" w:rsidR="00713ED0" w:rsidRPr="00713ED0" w:rsidRDefault="00713ED0" w:rsidP="00FF45C2">
            <w:pPr>
              <w:pStyle w:val="TableTextEntries"/>
              <w:rPr>
                <w:sz w:val="14"/>
                <w:szCs w:val="16"/>
              </w:rPr>
            </w:pPr>
            <w:r w:rsidRPr="00713ED0">
              <w:rPr>
                <w:sz w:val="14"/>
                <w:szCs w:val="16"/>
              </w:rPr>
              <w:t>$251</w:t>
            </w:r>
            <w:r w:rsidR="00623D66">
              <w:rPr>
                <w:sz w:val="14"/>
                <w:szCs w:val="16"/>
              </w:rPr>
              <w:t xml:space="preserve"> </w:t>
            </w:r>
            <w:r w:rsidRPr="00713ED0">
              <w:rPr>
                <w:sz w:val="14"/>
                <w:szCs w:val="16"/>
              </w:rPr>
              <w:t>822</w:t>
            </w:r>
            <w:r w:rsidR="00623D66">
              <w:rPr>
                <w:sz w:val="14"/>
                <w:szCs w:val="16"/>
              </w:rPr>
              <w:t xml:space="preserve"> </w:t>
            </w:r>
            <w:r w:rsidRPr="00713ED0">
              <w:rPr>
                <w:sz w:val="14"/>
                <w:szCs w:val="16"/>
              </w:rPr>
              <w:t>071.00</w:t>
            </w:r>
          </w:p>
        </w:tc>
        <w:tc>
          <w:tcPr>
            <w:tcW w:w="440" w:type="dxa"/>
            <w:vAlign w:val="center"/>
          </w:tcPr>
          <w:p w14:paraId="07176657" w14:textId="77777777" w:rsidR="00713ED0" w:rsidRPr="00713ED0" w:rsidRDefault="00713ED0" w:rsidP="00FF45C2">
            <w:pPr>
              <w:pStyle w:val="TableTextEntries"/>
            </w:pPr>
            <w:r w:rsidRPr="00713ED0">
              <w:t>2012</w:t>
            </w:r>
          </w:p>
        </w:tc>
        <w:tc>
          <w:tcPr>
            <w:tcW w:w="334" w:type="dxa"/>
            <w:shd w:val="clear" w:color="auto" w:fill="92D050"/>
            <w:noWrap/>
            <w:vAlign w:val="center"/>
          </w:tcPr>
          <w:p w14:paraId="27BDD174" w14:textId="77777777" w:rsidR="00713ED0" w:rsidRPr="00FF45C2" w:rsidRDefault="00713ED0" w:rsidP="00FF45C2">
            <w:pPr>
              <w:pStyle w:val="TableTextEntries"/>
              <w:jc w:val="center"/>
            </w:pPr>
            <w:r w:rsidRPr="00FF45C2">
              <w:t>6</w:t>
            </w:r>
          </w:p>
        </w:tc>
        <w:tc>
          <w:tcPr>
            <w:tcW w:w="334" w:type="dxa"/>
            <w:shd w:val="clear" w:color="auto" w:fill="FFFF00"/>
            <w:noWrap/>
            <w:vAlign w:val="center"/>
          </w:tcPr>
          <w:p w14:paraId="38190B4F"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33D3AA12" w14:textId="77777777" w:rsidR="00713ED0" w:rsidRPr="00FF45C2" w:rsidRDefault="00713ED0" w:rsidP="00FF45C2">
            <w:pPr>
              <w:pStyle w:val="TableTextEntries"/>
              <w:jc w:val="center"/>
            </w:pPr>
            <w:r w:rsidRPr="00FF45C2">
              <w:t>4</w:t>
            </w:r>
          </w:p>
        </w:tc>
        <w:tc>
          <w:tcPr>
            <w:tcW w:w="403" w:type="dxa"/>
            <w:shd w:val="clear" w:color="auto" w:fill="92D050"/>
            <w:noWrap/>
            <w:vAlign w:val="center"/>
          </w:tcPr>
          <w:p w14:paraId="5A303C3F"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0784103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706E9A7E" w14:textId="77777777" w:rsidR="00713ED0" w:rsidRPr="00FF45C2" w:rsidRDefault="00713ED0" w:rsidP="00FF45C2">
            <w:pPr>
              <w:pStyle w:val="TableTextEntries"/>
              <w:jc w:val="center"/>
            </w:pPr>
            <w:r w:rsidRPr="00FF45C2">
              <w:t>4</w:t>
            </w:r>
          </w:p>
        </w:tc>
        <w:tc>
          <w:tcPr>
            <w:tcW w:w="347" w:type="dxa"/>
            <w:shd w:val="clear" w:color="auto" w:fill="92D050"/>
            <w:noWrap/>
            <w:vAlign w:val="center"/>
          </w:tcPr>
          <w:p w14:paraId="5E29BA6C" w14:textId="77777777" w:rsidR="00713ED0" w:rsidRPr="00FF45C2" w:rsidRDefault="00713ED0" w:rsidP="00FF45C2">
            <w:pPr>
              <w:pStyle w:val="TableTextEntries"/>
              <w:jc w:val="center"/>
            </w:pPr>
            <w:r w:rsidRPr="00FF45C2">
              <w:t>M</w:t>
            </w:r>
          </w:p>
        </w:tc>
      </w:tr>
      <w:tr w:rsidR="00713ED0" w:rsidRPr="00713ED0" w14:paraId="79D841F3" w14:textId="77777777" w:rsidTr="00E0168D">
        <w:trPr>
          <w:tblHeader w:val="0"/>
        </w:trPr>
        <w:tc>
          <w:tcPr>
            <w:tcW w:w="823" w:type="dxa"/>
            <w:gridSpan w:val="2"/>
            <w:vMerge/>
            <w:vAlign w:val="center"/>
          </w:tcPr>
          <w:p w14:paraId="4BEC4130" w14:textId="77777777" w:rsidR="00713ED0" w:rsidRPr="00713ED0" w:rsidRDefault="00713ED0" w:rsidP="00FF45C2">
            <w:pPr>
              <w:pStyle w:val="TableTextEntries"/>
            </w:pPr>
          </w:p>
        </w:tc>
        <w:tc>
          <w:tcPr>
            <w:tcW w:w="1486" w:type="dxa"/>
            <w:vMerge/>
            <w:vAlign w:val="center"/>
          </w:tcPr>
          <w:p w14:paraId="418DAE20" w14:textId="77777777" w:rsidR="00713ED0" w:rsidRPr="00713ED0" w:rsidRDefault="00713ED0" w:rsidP="00FF45C2">
            <w:pPr>
              <w:pStyle w:val="TableTextEntries"/>
            </w:pPr>
          </w:p>
        </w:tc>
        <w:tc>
          <w:tcPr>
            <w:tcW w:w="813" w:type="dxa"/>
            <w:vMerge/>
            <w:vAlign w:val="center"/>
          </w:tcPr>
          <w:p w14:paraId="735DCA61" w14:textId="77777777" w:rsidR="00713ED0" w:rsidRPr="00713ED0" w:rsidRDefault="00713ED0" w:rsidP="00FF45C2">
            <w:pPr>
              <w:pStyle w:val="TableTextEntries"/>
              <w:rPr>
                <w:sz w:val="14"/>
              </w:rPr>
            </w:pPr>
          </w:p>
        </w:tc>
        <w:tc>
          <w:tcPr>
            <w:tcW w:w="808" w:type="dxa"/>
            <w:vMerge/>
            <w:vAlign w:val="center"/>
          </w:tcPr>
          <w:p w14:paraId="7029D363" w14:textId="77777777" w:rsidR="00713ED0" w:rsidRPr="00713ED0" w:rsidRDefault="00713ED0" w:rsidP="00FF45C2">
            <w:pPr>
              <w:pStyle w:val="TableTextEntries"/>
              <w:rPr>
                <w:sz w:val="14"/>
              </w:rPr>
            </w:pPr>
          </w:p>
        </w:tc>
        <w:tc>
          <w:tcPr>
            <w:tcW w:w="1152" w:type="dxa"/>
            <w:vMerge/>
            <w:vAlign w:val="center"/>
          </w:tcPr>
          <w:p w14:paraId="0F9F6964" w14:textId="77777777" w:rsidR="00713ED0" w:rsidRPr="00713ED0" w:rsidRDefault="00713ED0" w:rsidP="00FF45C2">
            <w:pPr>
              <w:pStyle w:val="TableTextEntries"/>
              <w:rPr>
                <w:sz w:val="14"/>
                <w:szCs w:val="16"/>
              </w:rPr>
            </w:pPr>
          </w:p>
        </w:tc>
        <w:tc>
          <w:tcPr>
            <w:tcW w:w="440" w:type="dxa"/>
            <w:vAlign w:val="center"/>
          </w:tcPr>
          <w:p w14:paraId="719ACE82" w14:textId="77777777" w:rsidR="00713ED0" w:rsidRPr="00713ED0" w:rsidRDefault="00713ED0" w:rsidP="00FF45C2">
            <w:pPr>
              <w:pStyle w:val="TableTextEntries"/>
            </w:pPr>
            <w:r w:rsidRPr="00713ED0">
              <w:t>2011</w:t>
            </w:r>
          </w:p>
        </w:tc>
        <w:tc>
          <w:tcPr>
            <w:tcW w:w="334" w:type="dxa"/>
            <w:shd w:val="clear" w:color="auto" w:fill="92D050"/>
            <w:noWrap/>
            <w:vAlign w:val="center"/>
          </w:tcPr>
          <w:p w14:paraId="5AF13F5F" w14:textId="77777777" w:rsidR="00713ED0" w:rsidRPr="00FF45C2" w:rsidRDefault="00713ED0" w:rsidP="00FF45C2">
            <w:pPr>
              <w:pStyle w:val="TableTextEntries"/>
              <w:jc w:val="center"/>
            </w:pPr>
            <w:r w:rsidRPr="00FF45C2">
              <w:t>6</w:t>
            </w:r>
          </w:p>
        </w:tc>
        <w:tc>
          <w:tcPr>
            <w:tcW w:w="334" w:type="dxa"/>
            <w:shd w:val="clear" w:color="auto" w:fill="F79646" w:themeFill="accent6"/>
            <w:noWrap/>
            <w:vAlign w:val="center"/>
          </w:tcPr>
          <w:p w14:paraId="7418F9F3"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7D39C254" w14:textId="77777777" w:rsidR="00713ED0" w:rsidRPr="00FF45C2" w:rsidRDefault="00713ED0" w:rsidP="00FF45C2">
            <w:pPr>
              <w:pStyle w:val="TableTextEntries"/>
              <w:jc w:val="center"/>
            </w:pPr>
            <w:r w:rsidRPr="00FF45C2">
              <w:t>3</w:t>
            </w:r>
          </w:p>
        </w:tc>
        <w:tc>
          <w:tcPr>
            <w:tcW w:w="403" w:type="dxa"/>
            <w:shd w:val="clear" w:color="auto" w:fill="92D050"/>
            <w:noWrap/>
            <w:vAlign w:val="center"/>
          </w:tcPr>
          <w:p w14:paraId="2BE115D1"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750EABCB"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4EE185C7"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3CD60706" w14:textId="77777777" w:rsidR="00713ED0" w:rsidRPr="00FF45C2" w:rsidRDefault="00713ED0" w:rsidP="00FF45C2">
            <w:pPr>
              <w:pStyle w:val="TableTextEntries"/>
              <w:jc w:val="center"/>
            </w:pPr>
            <w:r w:rsidRPr="00FF45C2">
              <w:t>I</w:t>
            </w:r>
          </w:p>
        </w:tc>
      </w:tr>
      <w:tr w:rsidR="00713ED0" w:rsidRPr="00713ED0" w14:paraId="3EE754B3"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78670022" w14:textId="77777777" w:rsidR="00713ED0" w:rsidRPr="00713ED0" w:rsidRDefault="00713ED0" w:rsidP="00FF45C2">
            <w:pPr>
              <w:pStyle w:val="TableTextEntries"/>
            </w:pPr>
            <w:r w:rsidRPr="00713ED0">
              <w:t>ING406</w:t>
            </w:r>
          </w:p>
        </w:tc>
        <w:tc>
          <w:tcPr>
            <w:tcW w:w="1486" w:type="dxa"/>
            <w:vMerge w:val="restart"/>
            <w:vAlign w:val="center"/>
          </w:tcPr>
          <w:p w14:paraId="227D181B" w14:textId="1979A48D" w:rsidR="00713ED0" w:rsidRPr="00713ED0" w:rsidRDefault="00501774" w:rsidP="00FF45C2">
            <w:pPr>
              <w:pStyle w:val="TableTextEntries"/>
            </w:pPr>
            <w:r w:rsidRPr="00501774">
              <w:rPr>
                <w:lang w:val="en-US"/>
              </w:rPr>
              <w:t>Australia–Indonesia Partnership for Reconstruction and Development</w:t>
            </w:r>
            <w:r w:rsidR="00713ED0" w:rsidRPr="00713ED0">
              <w:t xml:space="preserve">: </w:t>
            </w:r>
            <w:r w:rsidR="0088219C" w:rsidRPr="0088219C">
              <w:t xml:space="preserve">Eastern Indonesia National Road Improvement Program </w:t>
            </w:r>
            <w:r>
              <w:t xml:space="preserve">– </w:t>
            </w:r>
            <w:r w:rsidR="00713ED0" w:rsidRPr="00713ED0">
              <w:t>Impl</w:t>
            </w:r>
            <w:r>
              <w:t>ementation</w:t>
            </w:r>
            <w:r w:rsidR="00713ED0" w:rsidRPr="00713ED0">
              <w:t xml:space="preserve">, Planning </w:t>
            </w:r>
            <w:r>
              <w:t>and</w:t>
            </w:r>
            <w:r w:rsidRPr="00713ED0">
              <w:t xml:space="preserve"> </w:t>
            </w:r>
            <w:r w:rsidR="00713ED0" w:rsidRPr="00713ED0">
              <w:t>Support Facility</w:t>
            </w:r>
          </w:p>
        </w:tc>
        <w:tc>
          <w:tcPr>
            <w:tcW w:w="813" w:type="dxa"/>
            <w:vMerge w:val="restart"/>
            <w:vAlign w:val="center"/>
          </w:tcPr>
          <w:p w14:paraId="3412921C" w14:textId="77777777" w:rsidR="00713ED0" w:rsidRPr="00713ED0" w:rsidRDefault="00713ED0" w:rsidP="00FF45C2">
            <w:pPr>
              <w:pStyle w:val="TableTextEntries"/>
              <w:rPr>
                <w:sz w:val="14"/>
              </w:rPr>
            </w:pPr>
            <w:r w:rsidRPr="00713ED0">
              <w:rPr>
                <w:sz w:val="14"/>
              </w:rPr>
              <w:t>15/06/2005</w:t>
            </w:r>
          </w:p>
        </w:tc>
        <w:tc>
          <w:tcPr>
            <w:tcW w:w="808" w:type="dxa"/>
            <w:vMerge w:val="restart"/>
            <w:vAlign w:val="center"/>
          </w:tcPr>
          <w:p w14:paraId="477C0EE5" w14:textId="77777777" w:rsidR="00713ED0" w:rsidRPr="00713ED0" w:rsidRDefault="00713ED0" w:rsidP="00FF45C2">
            <w:pPr>
              <w:pStyle w:val="TableTextEntries"/>
              <w:rPr>
                <w:sz w:val="14"/>
              </w:rPr>
            </w:pPr>
            <w:r w:rsidRPr="00713ED0">
              <w:rPr>
                <w:sz w:val="14"/>
              </w:rPr>
              <w:t>30/07/2016</w:t>
            </w:r>
          </w:p>
        </w:tc>
        <w:tc>
          <w:tcPr>
            <w:tcW w:w="1152" w:type="dxa"/>
            <w:vMerge w:val="restart"/>
            <w:vAlign w:val="center"/>
          </w:tcPr>
          <w:p w14:paraId="7D542F0B" w14:textId="29D5264B" w:rsidR="00713ED0" w:rsidRPr="00713ED0" w:rsidRDefault="00713ED0" w:rsidP="00FF45C2">
            <w:pPr>
              <w:pStyle w:val="TableTextEntries"/>
              <w:rPr>
                <w:sz w:val="14"/>
                <w:szCs w:val="16"/>
              </w:rPr>
            </w:pPr>
            <w:r w:rsidRPr="00713ED0">
              <w:rPr>
                <w:sz w:val="14"/>
                <w:szCs w:val="16"/>
              </w:rPr>
              <w:t>$36</w:t>
            </w:r>
            <w:r w:rsidR="00623D66">
              <w:rPr>
                <w:sz w:val="14"/>
                <w:szCs w:val="16"/>
              </w:rPr>
              <w:t xml:space="preserve"> </w:t>
            </w:r>
            <w:r w:rsidRPr="00713ED0">
              <w:rPr>
                <w:sz w:val="14"/>
                <w:szCs w:val="16"/>
              </w:rPr>
              <w:t>160</w:t>
            </w:r>
            <w:r w:rsidR="00623D66">
              <w:rPr>
                <w:sz w:val="14"/>
                <w:szCs w:val="16"/>
              </w:rPr>
              <w:t xml:space="preserve"> </w:t>
            </w:r>
            <w:r w:rsidRPr="00713ED0">
              <w:rPr>
                <w:sz w:val="14"/>
                <w:szCs w:val="16"/>
              </w:rPr>
              <w:t>309.71</w:t>
            </w:r>
          </w:p>
        </w:tc>
        <w:tc>
          <w:tcPr>
            <w:tcW w:w="440" w:type="dxa"/>
            <w:vAlign w:val="center"/>
          </w:tcPr>
          <w:p w14:paraId="219DC09E" w14:textId="77777777" w:rsidR="00713ED0" w:rsidRPr="00713ED0" w:rsidRDefault="00713ED0" w:rsidP="00FF45C2">
            <w:pPr>
              <w:pStyle w:val="TableTextEntries"/>
            </w:pPr>
            <w:r w:rsidRPr="00713ED0">
              <w:t>2012</w:t>
            </w:r>
          </w:p>
        </w:tc>
        <w:tc>
          <w:tcPr>
            <w:tcW w:w="334" w:type="dxa"/>
            <w:shd w:val="clear" w:color="auto" w:fill="92D050"/>
            <w:noWrap/>
            <w:vAlign w:val="center"/>
          </w:tcPr>
          <w:p w14:paraId="3BF33E8C" w14:textId="77777777" w:rsidR="00713ED0" w:rsidRPr="00FF45C2" w:rsidRDefault="00713ED0" w:rsidP="00FF45C2">
            <w:pPr>
              <w:pStyle w:val="TableTextEntries"/>
              <w:jc w:val="center"/>
            </w:pPr>
            <w:r w:rsidRPr="00FF45C2">
              <w:t>6</w:t>
            </w:r>
          </w:p>
        </w:tc>
        <w:tc>
          <w:tcPr>
            <w:tcW w:w="334" w:type="dxa"/>
            <w:shd w:val="clear" w:color="auto" w:fill="FFFF00"/>
            <w:noWrap/>
            <w:vAlign w:val="center"/>
          </w:tcPr>
          <w:p w14:paraId="7DB34FD5"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30A8973" w14:textId="77777777" w:rsidR="00713ED0" w:rsidRPr="00FF45C2" w:rsidRDefault="00713ED0" w:rsidP="00FF45C2">
            <w:pPr>
              <w:pStyle w:val="TableTextEntries"/>
              <w:jc w:val="center"/>
            </w:pPr>
            <w:r w:rsidRPr="00FF45C2">
              <w:t>4</w:t>
            </w:r>
          </w:p>
        </w:tc>
        <w:tc>
          <w:tcPr>
            <w:tcW w:w="403" w:type="dxa"/>
            <w:shd w:val="clear" w:color="auto" w:fill="92D050"/>
            <w:noWrap/>
            <w:vAlign w:val="center"/>
          </w:tcPr>
          <w:p w14:paraId="2647F059"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30DC4B91"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0E4BCD39" w14:textId="77777777" w:rsidR="00713ED0" w:rsidRPr="00FF45C2" w:rsidRDefault="00713ED0" w:rsidP="00FF45C2">
            <w:pPr>
              <w:pStyle w:val="TableTextEntries"/>
              <w:jc w:val="center"/>
            </w:pPr>
            <w:r w:rsidRPr="00FF45C2">
              <w:t>4</w:t>
            </w:r>
          </w:p>
        </w:tc>
        <w:tc>
          <w:tcPr>
            <w:tcW w:w="347" w:type="dxa"/>
            <w:shd w:val="clear" w:color="auto" w:fill="92D050"/>
            <w:noWrap/>
            <w:vAlign w:val="center"/>
          </w:tcPr>
          <w:p w14:paraId="0D0CCB7E" w14:textId="77777777" w:rsidR="00713ED0" w:rsidRPr="00FF45C2" w:rsidRDefault="00713ED0" w:rsidP="00FF45C2">
            <w:pPr>
              <w:pStyle w:val="TableTextEntries"/>
              <w:jc w:val="center"/>
            </w:pPr>
            <w:r w:rsidRPr="00FF45C2">
              <w:t>M</w:t>
            </w:r>
          </w:p>
        </w:tc>
      </w:tr>
      <w:tr w:rsidR="00713ED0" w:rsidRPr="00713ED0" w14:paraId="6103130B" w14:textId="77777777" w:rsidTr="00E0168D">
        <w:trPr>
          <w:tblHeader w:val="0"/>
        </w:trPr>
        <w:tc>
          <w:tcPr>
            <w:tcW w:w="823" w:type="dxa"/>
            <w:gridSpan w:val="2"/>
            <w:vMerge/>
            <w:vAlign w:val="center"/>
          </w:tcPr>
          <w:p w14:paraId="4BA92C25" w14:textId="77777777" w:rsidR="00713ED0" w:rsidRPr="00713ED0" w:rsidRDefault="00713ED0" w:rsidP="00FF45C2">
            <w:pPr>
              <w:pStyle w:val="TableTextEntries"/>
            </w:pPr>
          </w:p>
        </w:tc>
        <w:tc>
          <w:tcPr>
            <w:tcW w:w="1486" w:type="dxa"/>
            <w:vMerge/>
            <w:vAlign w:val="center"/>
          </w:tcPr>
          <w:p w14:paraId="340F6E78" w14:textId="77777777" w:rsidR="00713ED0" w:rsidRPr="00713ED0" w:rsidRDefault="00713ED0" w:rsidP="00FF45C2">
            <w:pPr>
              <w:pStyle w:val="TableTextEntries"/>
            </w:pPr>
          </w:p>
        </w:tc>
        <w:tc>
          <w:tcPr>
            <w:tcW w:w="813" w:type="dxa"/>
            <w:vMerge/>
            <w:vAlign w:val="center"/>
          </w:tcPr>
          <w:p w14:paraId="4F0DC211" w14:textId="77777777" w:rsidR="00713ED0" w:rsidRPr="00713ED0" w:rsidRDefault="00713ED0" w:rsidP="00FF45C2">
            <w:pPr>
              <w:pStyle w:val="TableTextEntries"/>
              <w:rPr>
                <w:sz w:val="14"/>
              </w:rPr>
            </w:pPr>
          </w:p>
        </w:tc>
        <w:tc>
          <w:tcPr>
            <w:tcW w:w="808" w:type="dxa"/>
            <w:vMerge/>
            <w:vAlign w:val="center"/>
          </w:tcPr>
          <w:p w14:paraId="5DDAE329" w14:textId="77777777" w:rsidR="00713ED0" w:rsidRPr="00713ED0" w:rsidRDefault="00713ED0" w:rsidP="00FF45C2">
            <w:pPr>
              <w:pStyle w:val="TableTextEntries"/>
              <w:rPr>
                <w:sz w:val="14"/>
              </w:rPr>
            </w:pPr>
          </w:p>
        </w:tc>
        <w:tc>
          <w:tcPr>
            <w:tcW w:w="1152" w:type="dxa"/>
            <w:vMerge/>
            <w:vAlign w:val="center"/>
          </w:tcPr>
          <w:p w14:paraId="314985B2" w14:textId="77777777" w:rsidR="00713ED0" w:rsidRPr="00713ED0" w:rsidRDefault="00713ED0" w:rsidP="00FF45C2">
            <w:pPr>
              <w:pStyle w:val="TableTextEntries"/>
              <w:rPr>
                <w:sz w:val="14"/>
                <w:szCs w:val="16"/>
              </w:rPr>
            </w:pPr>
          </w:p>
        </w:tc>
        <w:tc>
          <w:tcPr>
            <w:tcW w:w="440" w:type="dxa"/>
            <w:vAlign w:val="center"/>
          </w:tcPr>
          <w:p w14:paraId="6C9AC36B" w14:textId="77777777" w:rsidR="00713ED0" w:rsidRPr="00713ED0" w:rsidRDefault="00713ED0" w:rsidP="00FF45C2">
            <w:pPr>
              <w:pStyle w:val="TableTextEntries"/>
            </w:pPr>
            <w:r w:rsidRPr="00713ED0">
              <w:t>2011</w:t>
            </w:r>
          </w:p>
        </w:tc>
        <w:tc>
          <w:tcPr>
            <w:tcW w:w="334" w:type="dxa"/>
            <w:shd w:val="clear" w:color="auto" w:fill="92D050"/>
            <w:noWrap/>
            <w:vAlign w:val="center"/>
          </w:tcPr>
          <w:p w14:paraId="0847E433" w14:textId="77777777" w:rsidR="00713ED0" w:rsidRPr="00FF45C2" w:rsidRDefault="00713ED0" w:rsidP="00FF45C2">
            <w:pPr>
              <w:pStyle w:val="TableTextEntries"/>
              <w:jc w:val="center"/>
            </w:pPr>
            <w:r w:rsidRPr="00FF45C2">
              <w:t>6</w:t>
            </w:r>
          </w:p>
        </w:tc>
        <w:tc>
          <w:tcPr>
            <w:tcW w:w="334" w:type="dxa"/>
            <w:shd w:val="clear" w:color="auto" w:fill="F79646" w:themeFill="accent6"/>
            <w:noWrap/>
            <w:vAlign w:val="center"/>
          </w:tcPr>
          <w:p w14:paraId="490A239C"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25050286" w14:textId="77777777" w:rsidR="00713ED0" w:rsidRPr="00FF45C2" w:rsidRDefault="00713ED0" w:rsidP="00FF45C2">
            <w:pPr>
              <w:pStyle w:val="TableTextEntries"/>
              <w:jc w:val="center"/>
            </w:pPr>
            <w:r w:rsidRPr="00FF45C2">
              <w:t>3</w:t>
            </w:r>
          </w:p>
        </w:tc>
        <w:tc>
          <w:tcPr>
            <w:tcW w:w="403" w:type="dxa"/>
            <w:shd w:val="clear" w:color="auto" w:fill="92D050"/>
            <w:noWrap/>
            <w:vAlign w:val="center"/>
          </w:tcPr>
          <w:p w14:paraId="4C3E82E7"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1530C8EA"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0B986931"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71082868" w14:textId="77777777" w:rsidR="00713ED0" w:rsidRPr="00FF45C2" w:rsidRDefault="00713ED0" w:rsidP="00FF45C2">
            <w:pPr>
              <w:pStyle w:val="TableTextEntries"/>
              <w:jc w:val="center"/>
            </w:pPr>
            <w:r w:rsidRPr="00FF45C2">
              <w:t>I</w:t>
            </w:r>
          </w:p>
        </w:tc>
      </w:tr>
      <w:tr w:rsidR="00713ED0" w:rsidRPr="00713ED0" w14:paraId="3F5FC272"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4DFE712D" w14:textId="77777777" w:rsidR="00713ED0" w:rsidRPr="00713ED0" w:rsidRDefault="00713ED0" w:rsidP="00FF45C2">
            <w:pPr>
              <w:pStyle w:val="TableTextEntries"/>
            </w:pPr>
            <w:r w:rsidRPr="00713ED0">
              <w:t>INH582</w:t>
            </w:r>
          </w:p>
        </w:tc>
        <w:tc>
          <w:tcPr>
            <w:tcW w:w="1486" w:type="dxa"/>
            <w:vMerge w:val="restart"/>
            <w:vAlign w:val="center"/>
          </w:tcPr>
          <w:p w14:paraId="35489F91" w14:textId="77777777" w:rsidR="00713ED0" w:rsidRPr="00713ED0" w:rsidRDefault="00713ED0" w:rsidP="00FF45C2">
            <w:pPr>
              <w:pStyle w:val="TableTextEntries"/>
            </w:pPr>
            <w:r w:rsidRPr="00713ED0">
              <w:t>Indonesia Infrastructure Initiative</w:t>
            </w:r>
          </w:p>
        </w:tc>
        <w:tc>
          <w:tcPr>
            <w:tcW w:w="813" w:type="dxa"/>
            <w:vMerge w:val="restart"/>
            <w:vAlign w:val="center"/>
          </w:tcPr>
          <w:p w14:paraId="3E1E5DCF" w14:textId="77777777" w:rsidR="00713ED0" w:rsidRPr="00713ED0" w:rsidRDefault="00713ED0" w:rsidP="00FF45C2">
            <w:pPr>
              <w:pStyle w:val="TableTextEntries"/>
              <w:rPr>
                <w:sz w:val="14"/>
              </w:rPr>
            </w:pPr>
            <w:r w:rsidRPr="00713ED0">
              <w:rPr>
                <w:sz w:val="14"/>
              </w:rPr>
              <w:t>01/07/2007</w:t>
            </w:r>
          </w:p>
        </w:tc>
        <w:tc>
          <w:tcPr>
            <w:tcW w:w="808" w:type="dxa"/>
            <w:vMerge w:val="restart"/>
            <w:vAlign w:val="center"/>
          </w:tcPr>
          <w:p w14:paraId="2E01A9C3" w14:textId="77777777" w:rsidR="00713ED0" w:rsidRPr="00713ED0" w:rsidRDefault="00713ED0" w:rsidP="00FF45C2">
            <w:pPr>
              <w:pStyle w:val="TableTextEntries"/>
              <w:rPr>
                <w:sz w:val="14"/>
              </w:rPr>
            </w:pPr>
            <w:r w:rsidRPr="00713ED0">
              <w:rPr>
                <w:sz w:val="14"/>
              </w:rPr>
              <w:t>30/06/2015</w:t>
            </w:r>
          </w:p>
        </w:tc>
        <w:tc>
          <w:tcPr>
            <w:tcW w:w="1152" w:type="dxa"/>
            <w:vMerge w:val="restart"/>
            <w:vAlign w:val="center"/>
          </w:tcPr>
          <w:p w14:paraId="10DA7655" w14:textId="105F2B52" w:rsidR="00713ED0" w:rsidRPr="00713ED0" w:rsidRDefault="00713ED0" w:rsidP="00FF45C2">
            <w:pPr>
              <w:pStyle w:val="TableTextEntries"/>
              <w:rPr>
                <w:sz w:val="14"/>
                <w:szCs w:val="16"/>
              </w:rPr>
            </w:pPr>
            <w:r w:rsidRPr="00713ED0">
              <w:rPr>
                <w:sz w:val="14"/>
                <w:szCs w:val="16"/>
              </w:rPr>
              <w:t>$177</w:t>
            </w:r>
            <w:r w:rsidR="00623D66">
              <w:rPr>
                <w:sz w:val="14"/>
                <w:szCs w:val="16"/>
              </w:rPr>
              <w:t xml:space="preserve"> </w:t>
            </w:r>
            <w:r w:rsidRPr="00713ED0">
              <w:rPr>
                <w:sz w:val="14"/>
                <w:szCs w:val="16"/>
              </w:rPr>
              <w:t>628</w:t>
            </w:r>
            <w:r w:rsidR="00623D66">
              <w:rPr>
                <w:sz w:val="14"/>
                <w:szCs w:val="16"/>
              </w:rPr>
              <w:t xml:space="preserve"> </w:t>
            </w:r>
            <w:r w:rsidRPr="00713ED0">
              <w:rPr>
                <w:sz w:val="14"/>
                <w:szCs w:val="16"/>
              </w:rPr>
              <w:t>329.61</w:t>
            </w:r>
          </w:p>
        </w:tc>
        <w:tc>
          <w:tcPr>
            <w:tcW w:w="440" w:type="dxa"/>
            <w:vAlign w:val="center"/>
          </w:tcPr>
          <w:p w14:paraId="27FA6236" w14:textId="77777777" w:rsidR="00713ED0" w:rsidRPr="00713ED0" w:rsidRDefault="00713ED0" w:rsidP="00FF45C2">
            <w:pPr>
              <w:pStyle w:val="TableTextEntries"/>
            </w:pPr>
            <w:r w:rsidRPr="00713ED0">
              <w:t>2012</w:t>
            </w:r>
          </w:p>
        </w:tc>
        <w:tc>
          <w:tcPr>
            <w:tcW w:w="334" w:type="dxa"/>
            <w:shd w:val="clear" w:color="auto" w:fill="92D050"/>
            <w:noWrap/>
            <w:vAlign w:val="center"/>
          </w:tcPr>
          <w:p w14:paraId="4B968875" w14:textId="77777777" w:rsidR="00713ED0" w:rsidRPr="00FF45C2" w:rsidRDefault="00713ED0" w:rsidP="00FF45C2">
            <w:pPr>
              <w:pStyle w:val="TableTextEntries"/>
              <w:jc w:val="center"/>
            </w:pPr>
            <w:r w:rsidRPr="00FF45C2">
              <w:t>6</w:t>
            </w:r>
          </w:p>
        </w:tc>
        <w:tc>
          <w:tcPr>
            <w:tcW w:w="334" w:type="dxa"/>
            <w:shd w:val="clear" w:color="auto" w:fill="FFFF00"/>
            <w:noWrap/>
            <w:vAlign w:val="center"/>
          </w:tcPr>
          <w:p w14:paraId="68FDDE59"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E47E11C"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5693D4C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0056957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14B08811"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5360B07E" w14:textId="77777777" w:rsidR="00713ED0" w:rsidRPr="00FF45C2" w:rsidRDefault="00713ED0" w:rsidP="00FF45C2">
            <w:pPr>
              <w:pStyle w:val="TableTextEntries"/>
              <w:jc w:val="center"/>
            </w:pPr>
            <w:r w:rsidRPr="00FF45C2">
              <w:t>I</w:t>
            </w:r>
          </w:p>
        </w:tc>
      </w:tr>
      <w:tr w:rsidR="00713ED0" w:rsidRPr="00713ED0" w14:paraId="457B8B6B" w14:textId="77777777" w:rsidTr="00E0168D">
        <w:trPr>
          <w:tblHeader w:val="0"/>
        </w:trPr>
        <w:tc>
          <w:tcPr>
            <w:tcW w:w="823" w:type="dxa"/>
            <w:gridSpan w:val="2"/>
            <w:vMerge/>
            <w:vAlign w:val="center"/>
          </w:tcPr>
          <w:p w14:paraId="57B37850" w14:textId="77777777" w:rsidR="00713ED0" w:rsidRPr="00713ED0" w:rsidRDefault="00713ED0" w:rsidP="00FF45C2">
            <w:pPr>
              <w:pStyle w:val="TableTextEntries"/>
            </w:pPr>
          </w:p>
        </w:tc>
        <w:tc>
          <w:tcPr>
            <w:tcW w:w="1486" w:type="dxa"/>
            <w:vMerge/>
            <w:vAlign w:val="center"/>
          </w:tcPr>
          <w:p w14:paraId="1B1B7A4B" w14:textId="77777777" w:rsidR="00713ED0" w:rsidRPr="00713ED0" w:rsidRDefault="00713ED0" w:rsidP="00FF45C2">
            <w:pPr>
              <w:pStyle w:val="TableTextEntries"/>
            </w:pPr>
          </w:p>
        </w:tc>
        <w:tc>
          <w:tcPr>
            <w:tcW w:w="813" w:type="dxa"/>
            <w:vMerge/>
            <w:vAlign w:val="center"/>
          </w:tcPr>
          <w:p w14:paraId="082F51F0" w14:textId="77777777" w:rsidR="00713ED0" w:rsidRPr="00713ED0" w:rsidRDefault="00713ED0" w:rsidP="00FF45C2">
            <w:pPr>
              <w:pStyle w:val="TableTextEntries"/>
              <w:rPr>
                <w:sz w:val="14"/>
              </w:rPr>
            </w:pPr>
          </w:p>
        </w:tc>
        <w:tc>
          <w:tcPr>
            <w:tcW w:w="808" w:type="dxa"/>
            <w:vMerge/>
            <w:vAlign w:val="center"/>
          </w:tcPr>
          <w:p w14:paraId="1A670AA1" w14:textId="77777777" w:rsidR="00713ED0" w:rsidRPr="00713ED0" w:rsidRDefault="00713ED0" w:rsidP="00FF45C2">
            <w:pPr>
              <w:pStyle w:val="TableTextEntries"/>
              <w:rPr>
                <w:sz w:val="14"/>
              </w:rPr>
            </w:pPr>
          </w:p>
        </w:tc>
        <w:tc>
          <w:tcPr>
            <w:tcW w:w="1152" w:type="dxa"/>
            <w:vMerge/>
            <w:vAlign w:val="center"/>
          </w:tcPr>
          <w:p w14:paraId="7E0F7CEE" w14:textId="77777777" w:rsidR="00713ED0" w:rsidRPr="00713ED0" w:rsidRDefault="00713ED0" w:rsidP="00FF45C2">
            <w:pPr>
              <w:pStyle w:val="TableTextEntries"/>
              <w:rPr>
                <w:sz w:val="14"/>
                <w:szCs w:val="16"/>
              </w:rPr>
            </w:pPr>
          </w:p>
        </w:tc>
        <w:tc>
          <w:tcPr>
            <w:tcW w:w="440" w:type="dxa"/>
            <w:vAlign w:val="center"/>
          </w:tcPr>
          <w:p w14:paraId="3338AA60" w14:textId="77777777" w:rsidR="00713ED0" w:rsidRPr="00713ED0" w:rsidRDefault="00713ED0" w:rsidP="00FF45C2">
            <w:pPr>
              <w:pStyle w:val="TableTextEntries"/>
            </w:pPr>
            <w:r w:rsidRPr="00713ED0">
              <w:t>2011</w:t>
            </w:r>
          </w:p>
        </w:tc>
        <w:tc>
          <w:tcPr>
            <w:tcW w:w="334" w:type="dxa"/>
            <w:shd w:val="clear" w:color="auto" w:fill="92D050"/>
            <w:noWrap/>
            <w:vAlign w:val="center"/>
          </w:tcPr>
          <w:p w14:paraId="1FECFEB7"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61F48427"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C7EA58E"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21A22D2D"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65ABE319"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E34286D" w14:textId="77777777" w:rsidR="00713ED0" w:rsidRPr="00FF45C2" w:rsidRDefault="00713ED0" w:rsidP="00FF45C2">
            <w:pPr>
              <w:pStyle w:val="TableTextEntries"/>
              <w:jc w:val="center"/>
            </w:pPr>
            <w:r w:rsidRPr="00FF45C2">
              <w:t>5</w:t>
            </w:r>
          </w:p>
        </w:tc>
        <w:tc>
          <w:tcPr>
            <w:tcW w:w="347" w:type="dxa"/>
            <w:tcBorders>
              <w:top w:val="nil"/>
              <w:bottom w:val="nil"/>
            </w:tcBorders>
            <w:shd w:val="clear" w:color="auto" w:fill="92D050"/>
            <w:noWrap/>
            <w:vAlign w:val="center"/>
          </w:tcPr>
          <w:p w14:paraId="01FF981F" w14:textId="77777777" w:rsidR="00713ED0" w:rsidRPr="00FF45C2" w:rsidRDefault="00713ED0" w:rsidP="00FF45C2">
            <w:pPr>
              <w:pStyle w:val="TableTextEntries"/>
              <w:jc w:val="center"/>
            </w:pPr>
            <w:r w:rsidRPr="00FF45C2">
              <w:t>M</w:t>
            </w:r>
          </w:p>
        </w:tc>
      </w:tr>
      <w:tr w:rsidR="00713ED0" w:rsidRPr="00713ED0" w14:paraId="3F1EA72F" w14:textId="77777777" w:rsidTr="00E0168D">
        <w:trPr>
          <w:cnfStyle w:val="000000010000" w:firstRow="0" w:lastRow="0" w:firstColumn="0" w:lastColumn="0" w:oddVBand="0" w:evenVBand="0" w:oddHBand="0" w:evenHBand="1" w:firstRowFirstColumn="0" w:firstRowLastColumn="0" w:lastRowFirstColumn="0" w:lastRowLastColumn="0"/>
          <w:cantSplit/>
          <w:tblHeader w:val="0"/>
        </w:trPr>
        <w:tc>
          <w:tcPr>
            <w:tcW w:w="2337" w:type="dxa"/>
            <w:gridSpan w:val="3"/>
            <w:vAlign w:val="bottom"/>
          </w:tcPr>
          <w:p w14:paraId="2FA05D85" w14:textId="77777777" w:rsidR="00713ED0" w:rsidRPr="00713ED0" w:rsidRDefault="00713ED0" w:rsidP="00E0168D">
            <w:pPr>
              <w:pStyle w:val="TableHeading2"/>
            </w:pPr>
            <w:r w:rsidRPr="00713ED0">
              <w:t>Water and sanitation</w:t>
            </w:r>
          </w:p>
        </w:tc>
        <w:tc>
          <w:tcPr>
            <w:tcW w:w="813" w:type="dxa"/>
          </w:tcPr>
          <w:p w14:paraId="36307309" w14:textId="77777777" w:rsidR="00713ED0" w:rsidRPr="00713ED0" w:rsidRDefault="00713ED0" w:rsidP="00FF45C2">
            <w:pPr>
              <w:pStyle w:val="TableTextEntries"/>
              <w:rPr>
                <w:sz w:val="14"/>
              </w:rPr>
            </w:pPr>
          </w:p>
        </w:tc>
        <w:tc>
          <w:tcPr>
            <w:tcW w:w="808" w:type="dxa"/>
            <w:vAlign w:val="center"/>
          </w:tcPr>
          <w:p w14:paraId="7BB9F130" w14:textId="77777777" w:rsidR="00713ED0" w:rsidRPr="00713ED0" w:rsidRDefault="00713ED0" w:rsidP="00FF45C2">
            <w:pPr>
              <w:pStyle w:val="TableTextEntries"/>
              <w:rPr>
                <w:sz w:val="14"/>
              </w:rPr>
            </w:pPr>
          </w:p>
        </w:tc>
        <w:tc>
          <w:tcPr>
            <w:tcW w:w="1152" w:type="dxa"/>
            <w:vAlign w:val="bottom"/>
          </w:tcPr>
          <w:p w14:paraId="2766C53C" w14:textId="77777777" w:rsidR="00713ED0" w:rsidRPr="00713ED0" w:rsidRDefault="00713ED0" w:rsidP="00FF45C2">
            <w:pPr>
              <w:pStyle w:val="TableTextEntries"/>
              <w:rPr>
                <w:sz w:val="14"/>
                <w:szCs w:val="16"/>
              </w:rPr>
            </w:pPr>
          </w:p>
        </w:tc>
        <w:tc>
          <w:tcPr>
            <w:tcW w:w="440" w:type="dxa"/>
            <w:textDirection w:val="btLr"/>
            <w:vAlign w:val="center"/>
          </w:tcPr>
          <w:p w14:paraId="2CA95FF2" w14:textId="77777777" w:rsidR="00713ED0" w:rsidRPr="00713ED0" w:rsidRDefault="00713ED0" w:rsidP="00FF45C2">
            <w:pPr>
              <w:pStyle w:val="TableTextEntries"/>
            </w:pPr>
          </w:p>
        </w:tc>
        <w:tc>
          <w:tcPr>
            <w:tcW w:w="334" w:type="dxa"/>
            <w:textDirection w:val="btLr"/>
            <w:vAlign w:val="center"/>
          </w:tcPr>
          <w:p w14:paraId="78D295E3" w14:textId="77777777" w:rsidR="00713ED0" w:rsidRPr="00FF45C2" w:rsidRDefault="00713ED0" w:rsidP="00FF45C2">
            <w:pPr>
              <w:pStyle w:val="TableTextEntries"/>
              <w:jc w:val="center"/>
            </w:pPr>
          </w:p>
        </w:tc>
        <w:tc>
          <w:tcPr>
            <w:tcW w:w="334" w:type="dxa"/>
            <w:textDirection w:val="btLr"/>
            <w:vAlign w:val="center"/>
          </w:tcPr>
          <w:p w14:paraId="41CD108A" w14:textId="77777777" w:rsidR="00713ED0" w:rsidRPr="00FF45C2" w:rsidRDefault="00713ED0" w:rsidP="00FF45C2">
            <w:pPr>
              <w:pStyle w:val="TableTextEntries"/>
              <w:jc w:val="center"/>
            </w:pPr>
          </w:p>
        </w:tc>
        <w:tc>
          <w:tcPr>
            <w:tcW w:w="334" w:type="dxa"/>
            <w:textDirection w:val="btLr"/>
            <w:vAlign w:val="center"/>
          </w:tcPr>
          <w:p w14:paraId="73004756" w14:textId="77777777" w:rsidR="00713ED0" w:rsidRPr="00FF45C2" w:rsidRDefault="00713ED0" w:rsidP="00FF45C2">
            <w:pPr>
              <w:pStyle w:val="TableTextEntries"/>
              <w:jc w:val="center"/>
            </w:pPr>
          </w:p>
        </w:tc>
        <w:tc>
          <w:tcPr>
            <w:tcW w:w="403" w:type="dxa"/>
            <w:textDirection w:val="btLr"/>
            <w:vAlign w:val="center"/>
          </w:tcPr>
          <w:p w14:paraId="6CBD99D6" w14:textId="77777777" w:rsidR="00713ED0" w:rsidRPr="00FF45C2" w:rsidRDefault="00713ED0" w:rsidP="00FF45C2">
            <w:pPr>
              <w:pStyle w:val="TableTextEntries"/>
              <w:jc w:val="center"/>
            </w:pPr>
          </w:p>
        </w:tc>
        <w:tc>
          <w:tcPr>
            <w:tcW w:w="334" w:type="dxa"/>
            <w:textDirection w:val="btLr"/>
            <w:vAlign w:val="center"/>
          </w:tcPr>
          <w:p w14:paraId="40C3A0A7" w14:textId="77777777" w:rsidR="00713ED0" w:rsidRPr="00FF45C2" w:rsidRDefault="00713ED0" w:rsidP="00FF45C2">
            <w:pPr>
              <w:pStyle w:val="TableTextEntries"/>
              <w:jc w:val="center"/>
            </w:pPr>
          </w:p>
        </w:tc>
        <w:tc>
          <w:tcPr>
            <w:tcW w:w="334" w:type="dxa"/>
            <w:textDirection w:val="btLr"/>
            <w:vAlign w:val="center"/>
          </w:tcPr>
          <w:p w14:paraId="2BF6EE87" w14:textId="77777777" w:rsidR="00713ED0" w:rsidRPr="00FF45C2" w:rsidRDefault="00713ED0" w:rsidP="00FF45C2">
            <w:pPr>
              <w:pStyle w:val="TableTextEntries"/>
              <w:jc w:val="center"/>
            </w:pPr>
          </w:p>
        </w:tc>
        <w:tc>
          <w:tcPr>
            <w:tcW w:w="347" w:type="dxa"/>
            <w:textDirection w:val="btLr"/>
            <w:vAlign w:val="center"/>
          </w:tcPr>
          <w:p w14:paraId="3B296BF0" w14:textId="77777777" w:rsidR="00713ED0" w:rsidRPr="00FF45C2" w:rsidRDefault="00713ED0" w:rsidP="00FF45C2">
            <w:pPr>
              <w:pStyle w:val="TableTextEntries"/>
              <w:jc w:val="center"/>
            </w:pPr>
          </w:p>
        </w:tc>
      </w:tr>
      <w:tr w:rsidR="00713ED0" w:rsidRPr="00713ED0" w14:paraId="1F288CC4" w14:textId="77777777" w:rsidTr="00E0168D">
        <w:trPr>
          <w:tblHeader w:val="0"/>
        </w:trPr>
        <w:tc>
          <w:tcPr>
            <w:tcW w:w="823" w:type="dxa"/>
            <w:gridSpan w:val="2"/>
            <w:vMerge w:val="restart"/>
            <w:vAlign w:val="center"/>
          </w:tcPr>
          <w:p w14:paraId="16009D7A" w14:textId="77777777" w:rsidR="00713ED0" w:rsidRPr="00713ED0" w:rsidRDefault="00713ED0" w:rsidP="00FF45C2">
            <w:pPr>
              <w:pStyle w:val="TableTextEntries"/>
            </w:pPr>
            <w:r w:rsidRPr="00713ED0">
              <w:t>INI390</w:t>
            </w:r>
          </w:p>
        </w:tc>
        <w:tc>
          <w:tcPr>
            <w:tcW w:w="1486" w:type="dxa"/>
            <w:vMerge w:val="restart"/>
            <w:vAlign w:val="center"/>
          </w:tcPr>
          <w:p w14:paraId="30A61E46" w14:textId="2E0DAA81" w:rsidR="00713ED0" w:rsidRPr="00713ED0" w:rsidRDefault="00501774" w:rsidP="00FF45C2">
            <w:pPr>
              <w:pStyle w:val="TableTextEntries"/>
            </w:pPr>
            <w:r w:rsidRPr="00501774">
              <w:t>Water and Sanitation Policy and Action Planning Project</w:t>
            </w:r>
            <w:r w:rsidRPr="00501774" w:rsidDel="00501774">
              <w:t xml:space="preserve"> </w:t>
            </w:r>
            <w:r w:rsidR="00713ED0" w:rsidRPr="00713ED0">
              <w:t>Facility</w:t>
            </w:r>
          </w:p>
        </w:tc>
        <w:tc>
          <w:tcPr>
            <w:tcW w:w="813" w:type="dxa"/>
            <w:vMerge w:val="restart"/>
            <w:vAlign w:val="center"/>
          </w:tcPr>
          <w:p w14:paraId="6FE42BCF" w14:textId="77777777" w:rsidR="00713ED0" w:rsidRPr="00713ED0" w:rsidRDefault="00713ED0" w:rsidP="00FF45C2">
            <w:pPr>
              <w:pStyle w:val="TableTextEntries"/>
              <w:rPr>
                <w:sz w:val="14"/>
              </w:rPr>
            </w:pPr>
            <w:r w:rsidRPr="00713ED0">
              <w:rPr>
                <w:sz w:val="14"/>
              </w:rPr>
              <w:t>01/07/2008</w:t>
            </w:r>
          </w:p>
        </w:tc>
        <w:tc>
          <w:tcPr>
            <w:tcW w:w="808" w:type="dxa"/>
            <w:vMerge w:val="restart"/>
            <w:vAlign w:val="center"/>
          </w:tcPr>
          <w:p w14:paraId="1F718FE0" w14:textId="77777777" w:rsidR="00713ED0" w:rsidRPr="00713ED0" w:rsidRDefault="00713ED0" w:rsidP="00FF45C2">
            <w:pPr>
              <w:pStyle w:val="TableTextEntries"/>
              <w:rPr>
                <w:sz w:val="14"/>
              </w:rPr>
            </w:pPr>
            <w:r w:rsidRPr="00713ED0">
              <w:rPr>
                <w:sz w:val="14"/>
              </w:rPr>
              <w:t>31/12/2014</w:t>
            </w:r>
          </w:p>
        </w:tc>
        <w:tc>
          <w:tcPr>
            <w:tcW w:w="1152" w:type="dxa"/>
            <w:vMerge w:val="restart"/>
            <w:vAlign w:val="center"/>
          </w:tcPr>
          <w:p w14:paraId="62A93899" w14:textId="4DE1097D" w:rsidR="00713ED0" w:rsidRPr="00713ED0" w:rsidRDefault="00713ED0" w:rsidP="00FF45C2">
            <w:pPr>
              <w:pStyle w:val="TableTextEntries"/>
              <w:rPr>
                <w:sz w:val="14"/>
                <w:szCs w:val="16"/>
              </w:rPr>
            </w:pPr>
            <w:r w:rsidRPr="00713ED0">
              <w:rPr>
                <w:sz w:val="14"/>
                <w:szCs w:val="16"/>
              </w:rPr>
              <w:t>$10</w:t>
            </w:r>
            <w:r w:rsidR="00623D66">
              <w:rPr>
                <w:sz w:val="14"/>
                <w:szCs w:val="16"/>
              </w:rPr>
              <w:t xml:space="preserve"> </w:t>
            </w:r>
            <w:r w:rsidRPr="00713ED0">
              <w:rPr>
                <w:sz w:val="14"/>
                <w:szCs w:val="16"/>
              </w:rPr>
              <w:t>000</w:t>
            </w:r>
            <w:r w:rsidR="00623D66">
              <w:rPr>
                <w:sz w:val="14"/>
                <w:szCs w:val="16"/>
              </w:rPr>
              <w:t xml:space="preserve"> </w:t>
            </w:r>
            <w:r w:rsidRPr="00713ED0">
              <w:rPr>
                <w:sz w:val="14"/>
                <w:szCs w:val="16"/>
              </w:rPr>
              <w:t>078.20</w:t>
            </w:r>
          </w:p>
        </w:tc>
        <w:tc>
          <w:tcPr>
            <w:tcW w:w="440" w:type="dxa"/>
            <w:vAlign w:val="center"/>
          </w:tcPr>
          <w:p w14:paraId="10ED3694" w14:textId="77777777" w:rsidR="00713ED0" w:rsidRPr="00713ED0" w:rsidRDefault="00713ED0" w:rsidP="00FF45C2">
            <w:pPr>
              <w:pStyle w:val="TableTextEntries"/>
            </w:pPr>
            <w:r w:rsidRPr="00713ED0">
              <w:t>2012</w:t>
            </w:r>
          </w:p>
        </w:tc>
        <w:tc>
          <w:tcPr>
            <w:tcW w:w="334" w:type="dxa"/>
            <w:shd w:val="clear" w:color="auto" w:fill="92D050"/>
            <w:noWrap/>
            <w:vAlign w:val="center"/>
          </w:tcPr>
          <w:p w14:paraId="77537BF1"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58C6C4E2"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5C7C0783" w14:textId="77777777" w:rsidR="00713ED0" w:rsidRPr="00FF45C2" w:rsidRDefault="00713ED0" w:rsidP="00FF45C2">
            <w:pPr>
              <w:pStyle w:val="TableTextEntries"/>
              <w:jc w:val="center"/>
            </w:pPr>
            <w:r w:rsidRPr="00FF45C2">
              <w:t>4</w:t>
            </w:r>
          </w:p>
        </w:tc>
        <w:tc>
          <w:tcPr>
            <w:tcW w:w="403" w:type="dxa"/>
            <w:shd w:val="clear" w:color="auto" w:fill="F79646" w:themeFill="accent6"/>
            <w:noWrap/>
            <w:vAlign w:val="center"/>
          </w:tcPr>
          <w:p w14:paraId="1D391EA2"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3358F1DD"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764369EC" w14:textId="77777777" w:rsidR="00713ED0" w:rsidRPr="00FF45C2" w:rsidRDefault="00713ED0" w:rsidP="00FF45C2">
            <w:pPr>
              <w:pStyle w:val="TableTextEntries"/>
              <w:jc w:val="center"/>
            </w:pPr>
            <w:r w:rsidRPr="00FF45C2">
              <w:t>4</w:t>
            </w:r>
          </w:p>
        </w:tc>
        <w:tc>
          <w:tcPr>
            <w:tcW w:w="347" w:type="dxa"/>
            <w:tcBorders>
              <w:top w:val="nil"/>
              <w:bottom w:val="nil"/>
            </w:tcBorders>
            <w:shd w:val="clear" w:color="auto" w:fill="92D050"/>
            <w:noWrap/>
            <w:vAlign w:val="center"/>
          </w:tcPr>
          <w:p w14:paraId="13437D3F" w14:textId="77777777" w:rsidR="00713ED0" w:rsidRPr="00FF45C2" w:rsidRDefault="00713ED0" w:rsidP="00FF45C2">
            <w:pPr>
              <w:pStyle w:val="TableTextEntries"/>
              <w:jc w:val="center"/>
            </w:pPr>
            <w:r w:rsidRPr="00FF45C2">
              <w:t>M</w:t>
            </w:r>
          </w:p>
        </w:tc>
      </w:tr>
      <w:tr w:rsidR="00713ED0" w:rsidRPr="00713ED0" w14:paraId="078559D6"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71ACFB7D" w14:textId="77777777" w:rsidR="00713ED0" w:rsidRPr="00713ED0" w:rsidRDefault="00713ED0" w:rsidP="00FF45C2">
            <w:pPr>
              <w:pStyle w:val="TableTextEntries"/>
            </w:pPr>
          </w:p>
        </w:tc>
        <w:tc>
          <w:tcPr>
            <w:tcW w:w="1486" w:type="dxa"/>
            <w:vMerge/>
            <w:vAlign w:val="center"/>
          </w:tcPr>
          <w:p w14:paraId="1438E4C5" w14:textId="77777777" w:rsidR="00713ED0" w:rsidRPr="00713ED0" w:rsidRDefault="00713ED0" w:rsidP="00FF45C2">
            <w:pPr>
              <w:pStyle w:val="TableTextEntries"/>
            </w:pPr>
          </w:p>
        </w:tc>
        <w:tc>
          <w:tcPr>
            <w:tcW w:w="813" w:type="dxa"/>
            <w:vMerge/>
            <w:vAlign w:val="center"/>
          </w:tcPr>
          <w:p w14:paraId="65AD24DE" w14:textId="77777777" w:rsidR="00713ED0" w:rsidRPr="00713ED0" w:rsidRDefault="00713ED0" w:rsidP="00FF45C2">
            <w:pPr>
              <w:pStyle w:val="TableTextEntries"/>
              <w:rPr>
                <w:sz w:val="14"/>
              </w:rPr>
            </w:pPr>
          </w:p>
        </w:tc>
        <w:tc>
          <w:tcPr>
            <w:tcW w:w="808" w:type="dxa"/>
            <w:vMerge/>
            <w:vAlign w:val="center"/>
          </w:tcPr>
          <w:p w14:paraId="3E6C478B" w14:textId="77777777" w:rsidR="00713ED0" w:rsidRPr="00713ED0" w:rsidRDefault="00713ED0" w:rsidP="00FF45C2">
            <w:pPr>
              <w:pStyle w:val="TableTextEntries"/>
              <w:rPr>
                <w:sz w:val="14"/>
              </w:rPr>
            </w:pPr>
          </w:p>
        </w:tc>
        <w:tc>
          <w:tcPr>
            <w:tcW w:w="1152" w:type="dxa"/>
            <w:vMerge/>
            <w:vAlign w:val="center"/>
          </w:tcPr>
          <w:p w14:paraId="5B0172BD" w14:textId="77777777" w:rsidR="00713ED0" w:rsidRPr="00713ED0" w:rsidRDefault="00713ED0" w:rsidP="00FF45C2">
            <w:pPr>
              <w:pStyle w:val="TableTextEntries"/>
              <w:rPr>
                <w:sz w:val="14"/>
                <w:szCs w:val="16"/>
              </w:rPr>
            </w:pPr>
          </w:p>
        </w:tc>
        <w:tc>
          <w:tcPr>
            <w:tcW w:w="440" w:type="dxa"/>
            <w:vAlign w:val="center"/>
          </w:tcPr>
          <w:p w14:paraId="619BB54B" w14:textId="77777777" w:rsidR="00713ED0" w:rsidRPr="00713ED0" w:rsidRDefault="00713ED0" w:rsidP="00FF45C2">
            <w:pPr>
              <w:pStyle w:val="TableTextEntries"/>
            </w:pPr>
            <w:r w:rsidRPr="00713ED0">
              <w:t>2011</w:t>
            </w:r>
          </w:p>
        </w:tc>
        <w:tc>
          <w:tcPr>
            <w:tcW w:w="334" w:type="dxa"/>
            <w:shd w:val="clear" w:color="auto" w:fill="92D050"/>
            <w:noWrap/>
            <w:vAlign w:val="center"/>
          </w:tcPr>
          <w:p w14:paraId="2D86E905"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2BA63870"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22CFEF70"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1E2171DC"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0419B40E"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691D3A3A"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vAlign w:val="center"/>
          </w:tcPr>
          <w:p w14:paraId="214FA54E" w14:textId="77777777" w:rsidR="00713ED0" w:rsidRPr="00FF45C2" w:rsidRDefault="00713ED0" w:rsidP="00FF45C2">
            <w:pPr>
              <w:pStyle w:val="TableTextEntries"/>
              <w:jc w:val="center"/>
            </w:pPr>
            <w:r w:rsidRPr="00FF45C2">
              <w:t>I</w:t>
            </w:r>
          </w:p>
        </w:tc>
      </w:tr>
      <w:tr w:rsidR="00713ED0" w:rsidRPr="00713ED0" w14:paraId="4EE68AEF" w14:textId="77777777" w:rsidTr="00E0168D">
        <w:trPr>
          <w:tblHeader w:val="0"/>
        </w:trPr>
        <w:tc>
          <w:tcPr>
            <w:tcW w:w="823" w:type="dxa"/>
            <w:gridSpan w:val="2"/>
            <w:vMerge w:val="restart"/>
            <w:vAlign w:val="center"/>
          </w:tcPr>
          <w:p w14:paraId="21D41892" w14:textId="77777777" w:rsidR="00713ED0" w:rsidRPr="00713ED0" w:rsidRDefault="00713ED0" w:rsidP="00FF45C2">
            <w:pPr>
              <w:pStyle w:val="TableTextEntries"/>
            </w:pPr>
            <w:r w:rsidRPr="00713ED0">
              <w:t>INI391</w:t>
            </w:r>
          </w:p>
        </w:tc>
        <w:tc>
          <w:tcPr>
            <w:tcW w:w="1486" w:type="dxa"/>
            <w:vMerge w:val="restart"/>
            <w:vAlign w:val="center"/>
          </w:tcPr>
          <w:p w14:paraId="60BF6ADC" w14:textId="4D35EF74" w:rsidR="00713ED0" w:rsidRPr="00713ED0" w:rsidRDefault="00501774" w:rsidP="00FF45C2">
            <w:pPr>
              <w:pStyle w:val="TableTextEntries"/>
            </w:pPr>
            <w:r w:rsidRPr="00501774">
              <w:t>Water Supply and Sanitation for Low Income Communities Project</w:t>
            </w:r>
          </w:p>
        </w:tc>
        <w:tc>
          <w:tcPr>
            <w:tcW w:w="813" w:type="dxa"/>
            <w:vMerge w:val="restart"/>
            <w:vAlign w:val="center"/>
          </w:tcPr>
          <w:p w14:paraId="2A736140" w14:textId="77777777" w:rsidR="00713ED0" w:rsidRPr="00713ED0" w:rsidRDefault="00713ED0" w:rsidP="00FF45C2">
            <w:pPr>
              <w:pStyle w:val="TableTextEntries"/>
              <w:rPr>
                <w:sz w:val="14"/>
              </w:rPr>
            </w:pPr>
            <w:r w:rsidRPr="00713ED0">
              <w:rPr>
                <w:sz w:val="14"/>
              </w:rPr>
              <w:t>01/07/2008</w:t>
            </w:r>
          </w:p>
        </w:tc>
        <w:tc>
          <w:tcPr>
            <w:tcW w:w="808" w:type="dxa"/>
            <w:vMerge w:val="restart"/>
            <w:vAlign w:val="center"/>
          </w:tcPr>
          <w:p w14:paraId="27669A3C" w14:textId="77777777" w:rsidR="00713ED0" w:rsidRPr="00713ED0" w:rsidRDefault="00713ED0" w:rsidP="00FF45C2">
            <w:pPr>
              <w:pStyle w:val="TableTextEntries"/>
              <w:rPr>
                <w:sz w:val="14"/>
              </w:rPr>
            </w:pPr>
            <w:r w:rsidRPr="00713ED0">
              <w:rPr>
                <w:sz w:val="14"/>
              </w:rPr>
              <w:t>31/03/2015</w:t>
            </w:r>
          </w:p>
        </w:tc>
        <w:tc>
          <w:tcPr>
            <w:tcW w:w="1152" w:type="dxa"/>
            <w:vMerge w:val="restart"/>
            <w:vAlign w:val="center"/>
          </w:tcPr>
          <w:p w14:paraId="2637BC4D" w14:textId="34D5382F" w:rsidR="00713ED0" w:rsidRPr="00713ED0" w:rsidRDefault="00713ED0" w:rsidP="00FF45C2">
            <w:pPr>
              <w:pStyle w:val="TableTextEntries"/>
              <w:rPr>
                <w:sz w:val="14"/>
                <w:szCs w:val="16"/>
              </w:rPr>
            </w:pPr>
            <w:r w:rsidRPr="00713ED0">
              <w:rPr>
                <w:sz w:val="14"/>
                <w:szCs w:val="16"/>
              </w:rPr>
              <w:t>$47</w:t>
            </w:r>
            <w:r w:rsidR="00623D66">
              <w:rPr>
                <w:sz w:val="14"/>
                <w:szCs w:val="16"/>
              </w:rPr>
              <w:t xml:space="preserve"> </w:t>
            </w:r>
            <w:r w:rsidRPr="00713ED0">
              <w:rPr>
                <w:sz w:val="14"/>
                <w:szCs w:val="16"/>
              </w:rPr>
              <w:t>503</w:t>
            </w:r>
            <w:r w:rsidR="00623D66">
              <w:rPr>
                <w:sz w:val="14"/>
                <w:szCs w:val="16"/>
              </w:rPr>
              <w:t xml:space="preserve"> </w:t>
            </w:r>
            <w:r w:rsidRPr="00713ED0">
              <w:rPr>
                <w:sz w:val="14"/>
                <w:szCs w:val="16"/>
              </w:rPr>
              <w:t>068.74</w:t>
            </w:r>
          </w:p>
        </w:tc>
        <w:tc>
          <w:tcPr>
            <w:tcW w:w="440" w:type="dxa"/>
            <w:vAlign w:val="center"/>
          </w:tcPr>
          <w:p w14:paraId="433F9AE8" w14:textId="77777777" w:rsidR="00713ED0" w:rsidRPr="00713ED0" w:rsidRDefault="00713ED0" w:rsidP="00FF45C2">
            <w:pPr>
              <w:pStyle w:val="TableTextEntries"/>
            </w:pPr>
            <w:r w:rsidRPr="00713ED0">
              <w:t>2012</w:t>
            </w:r>
          </w:p>
        </w:tc>
        <w:tc>
          <w:tcPr>
            <w:tcW w:w="334" w:type="dxa"/>
            <w:shd w:val="clear" w:color="auto" w:fill="92D050"/>
            <w:noWrap/>
            <w:vAlign w:val="center"/>
          </w:tcPr>
          <w:p w14:paraId="7A269450"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514BFB1"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80AC23D"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4FCA8F4D"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28E8619A"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75F5289C" w14:textId="77777777" w:rsidR="00713ED0" w:rsidRPr="00FF45C2" w:rsidRDefault="00713ED0" w:rsidP="00FF45C2">
            <w:pPr>
              <w:pStyle w:val="TableTextEntries"/>
              <w:jc w:val="center"/>
            </w:pPr>
            <w:r w:rsidRPr="00FF45C2">
              <w:t>4</w:t>
            </w:r>
          </w:p>
        </w:tc>
        <w:tc>
          <w:tcPr>
            <w:tcW w:w="347" w:type="dxa"/>
            <w:tcBorders>
              <w:top w:val="nil"/>
              <w:bottom w:val="nil"/>
            </w:tcBorders>
            <w:shd w:val="clear" w:color="auto" w:fill="92D050"/>
            <w:noWrap/>
          </w:tcPr>
          <w:p w14:paraId="5923D671" w14:textId="77777777" w:rsidR="00713ED0" w:rsidRPr="00FF45C2" w:rsidRDefault="00713ED0" w:rsidP="00FF45C2">
            <w:pPr>
              <w:pStyle w:val="TableTextEntries"/>
              <w:jc w:val="center"/>
            </w:pPr>
            <w:r w:rsidRPr="00FF45C2">
              <w:t>M</w:t>
            </w:r>
          </w:p>
        </w:tc>
      </w:tr>
      <w:tr w:rsidR="00713ED0" w:rsidRPr="00713ED0" w14:paraId="46B5923A"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7D6CE383" w14:textId="77777777" w:rsidR="00713ED0" w:rsidRPr="00713ED0" w:rsidRDefault="00713ED0" w:rsidP="00FF45C2">
            <w:pPr>
              <w:pStyle w:val="TableTextEntries"/>
            </w:pPr>
          </w:p>
        </w:tc>
        <w:tc>
          <w:tcPr>
            <w:tcW w:w="1486" w:type="dxa"/>
            <w:vMerge/>
            <w:vAlign w:val="center"/>
          </w:tcPr>
          <w:p w14:paraId="55611FFC" w14:textId="77777777" w:rsidR="00713ED0" w:rsidRPr="00713ED0" w:rsidRDefault="00713ED0" w:rsidP="00FF45C2">
            <w:pPr>
              <w:pStyle w:val="TableTextEntries"/>
            </w:pPr>
          </w:p>
        </w:tc>
        <w:tc>
          <w:tcPr>
            <w:tcW w:w="813" w:type="dxa"/>
            <w:vMerge/>
            <w:vAlign w:val="center"/>
          </w:tcPr>
          <w:p w14:paraId="0A14E915" w14:textId="77777777" w:rsidR="00713ED0" w:rsidRPr="00713ED0" w:rsidRDefault="00713ED0" w:rsidP="00FF45C2">
            <w:pPr>
              <w:pStyle w:val="TableTextEntries"/>
              <w:rPr>
                <w:sz w:val="14"/>
              </w:rPr>
            </w:pPr>
          </w:p>
        </w:tc>
        <w:tc>
          <w:tcPr>
            <w:tcW w:w="808" w:type="dxa"/>
            <w:vMerge/>
            <w:vAlign w:val="center"/>
          </w:tcPr>
          <w:p w14:paraId="5F3E78A2" w14:textId="77777777" w:rsidR="00713ED0" w:rsidRPr="00713ED0" w:rsidRDefault="00713ED0" w:rsidP="00FF45C2">
            <w:pPr>
              <w:pStyle w:val="TableTextEntries"/>
              <w:rPr>
                <w:sz w:val="14"/>
              </w:rPr>
            </w:pPr>
          </w:p>
        </w:tc>
        <w:tc>
          <w:tcPr>
            <w:tcW w:w="1152" w:type="dxa"/>
            <w:vMerge/>
            <w:vAlign w:val="center"/>
          </w:tcPr>
          <w:p w14:paraId="7AA6CCEB" w14:textId="77777777" w:rsidR="00713ED0" w:rsidRPr="00713ED0" w:rsidRDefault="00713ED0" w:rsidP="00FF45C2">
            <w:pPr>
              <w:pStyle w:val="TableTextEntries"/>
              <w:rPr>
                <w:sz w:val="14"/>
                <w:szCs w:val="16"/>
              </w:rPr>
            </w:pPr>
          </w:p>
        </w:tc>
        <w:tc>
          <w:tcPr>
            <w:tcW w:w="440" w:type="dxa"/>
            <w:vAlign w:val="center"/>
          </w:tcPr>
          <w:p w14:paraId="6C104D0D" w14:textId="77777777" w:rsidR="00713ED0" w:rsidRPr="00713ED0" w:rsidRDefault="00713ED0" w:rsidP="00FF45C2">
            <w:pPr>
              <w:pStyle w:val="TableTextEntries"/>
            </w:pPr>
            <w:r w:rsidRPr="00713ED0">
              <w:t>2011</w:t>
            </w:r>
          </w:p>
        </w:tc>
        <w:tc>
          <w:tcPr>
            <w:tcW w:w="334" w:type="dxa"/>
            <w:shd w:val="clear" w:color="auto" w:fill="92D050"/>
            <w:noWrap/>
            <w:vAlign w:val="center"/>
          </w:tcPr>
          <w:p w14:paraId="4868EB53"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C18B5E0"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5B0653B3"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1CC5E7A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F549B2D"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1BD1FF51" w14:textId="77777777" w:rsidR="00713ED0" w:rsidRPr="00FF45C2" w:rsidRDefault="00713ED0" w:rsidP="00FF45C2">
            <w:pPr>
              <w:pStyle w:val="TableTextEntries"/>
              <w:jc w:val="center"/>
            </w:pPr>
            <w:r w:rsidRPr="00FF45C2">
              <w:t>4</w:t>
            </w:r>
          </w:p>
        </w:tc>
        <w:tc>
          <w:tcPr>
            <w:tcW w:w="347" w:type="dxa"/>
            <w:shd w:val="clear" w:color="auto" w:fill="92D050"/>
            <w:noWrap/>
          </w:tcPr>
          <w:p w14:paraId="623C848A" w14:textId="77777777" w:rsidR="00713ED0" w:rsidRPr="00FF45C2" w:rsidRDefault="00713ED0" w:rsidP="00FF45C2">
            <w:pPr>
              <w:pStyle w:val="TableTextEntries"/>
              <w:jc w:val="center"/>
            </w:pPr>
            <w:r w:rsidRPr="00FF45C2">
              <w:t>M</w:t>
            </w:r>
          </w:p>
        </w:tc>
      </w:tr>
      <w:tr w:rsidR="00713ED0" w:rsidRPr="00713ED0" w14:paraId="133D1C7A" w14:textId="77777777" w:rsidTr="00E0168D">
        <w:trPr>
          <w:tblHeader w:val="0"/>
        </w:trPr>
        <w:tc>
          <w:tcPr>
            <w:tcW w:w="823" w:type="dxa"/>
            <w:gridSpan w:val="2"/>
            <w:vMerge w:val="restart"/>
            <w:vAlign w:val="center"/>
          </w:tcPr>
          <w:p w14:paraId="3EB78AB8" w14:textId="77777777" w:rsidR="00713ED0" w:rsidRPr="00713ED0" w:rsidRDefault="00713ED0" w:rsidP="00FF45C2">
            <w:pPr>
              <w:pStyle w:val="TableTextEntries"/>
            </w:pPr>
            <w:r w:rsidRPr="00713ED0">
              <w:t>INJ149</w:t>
            </w:r>
          </w:p>
        </w:tc>
        <w:tc>
          <w:tcPr>
            <w:tcW w:w="1486" w:type="dxa"/>
            <w:vMerge w:val="restart"/>
            <w:vAlign w:val="center"/>
          </w:tcPr>
          <w:p w14:paraId="225191E8" w14:textId="77777777" w:rsidR="00713ED0" w:rsidRPr="00713ED0" w:rsidRDefault="00713ED0" w:rsidP="00FF45C2">
            <w:pPr>
              <w:pStyle w:val="TableTextEntries"/>
            </w:pPr>
            <w:r w:rsidRPr="00713ED0">
              <w:t xml:space="preserve">Water and Sanitation </w:t>
            </w:r>
            <w:proofErr w:type="spellStart"/>
            <w:r w:rsidRPr="00D67028">
              <w:rPr>
                <w:i/>
              </w:rPr>
              <w:t>Hibah</w:t>
            </w:r>
            <w:proofErr w:type="spellEnd"/>
            <w:r w:rsidRPr="00713ED0">
              <w:t xml:space="preserve"> Phase 2</w:t>
            </w:r>
          </w:p>
        </w:tc>
        <w:tc>
          <w:tcPr>
            <w:tcW w:w="813" w:type="dxa"/>
            <w:vMerge w:val="restart"/>
            <w:vAlign w:val="center"/>
          </w:tcPr>
          <w:p w14:paraId="2E573BB0" w14:textId="77777777" w:rsidR="00713ED0" w:rsidRPr="00713ED0" w:rsidRDefault="00713ED0" w:rsidP="00FF45C2">
            <w:pPr>
              <w:pStyle w:val="TableTextEntries"/>
              <w:rPr>
                <w:sz w:val="14"/>
              </w:rPr>
            </w:pPr>
            <w:r w:rsidRPr="00713ED0">
              <w:rPr>
                <w:sz w:val="14"/>
              </w:rPr>
              <w:t>01/07/2009</w:t>
            </w:r>
          </w:p>
        </w:tc>
        <w:tc>
          <w:tcPr>
            <w:tcW w:w="808" w:type="dxa"/>
            <w:vMerge w:val="restart"/>
            <w:vAlign w:val="center"/>
          </w:tcPr>
          <w:p w14:paraId="63999093" w14:textId="77777777" w:rsidR="00713ED0" w:rsidRPr="00713ED0" w:rsidRDefault="00713ED0" w:rsidP="00FF45C2">
            <w:pPr>
              <w:pStyle w:val="TableTextEntries"/>
              <w:rPr>
                <w:sz w:val="14"/>
              </w:rPr>
            </w:pPr>
            <w:r w:rsidRPr="00713ED0">
              <w:rPr>
                <w:sz w:val="14"/>
              </w:rPr>
              <w:t>30/06/2015</w:t>
            </w:r>
          </w:p>
        </w:tc>
        <w:tc>
          <w:tcPr>
            <w:tcW w:w="1152" w:type="dxa"/>
            <w:vMerge w:val="restart"/>
            <w:vAlign w:val="center"/>
          </w:tcPr>
          <w:p w14:paraId="154C35BD" w14:textId="0FE95260" w:rsidR="00713ED0" w:rsidRPr="00713ED0" w:rsidRDefault="00713ED0" w:rsidP="00FF45C2">
            <w:pPr>
              <w:pStyle w:val="TableTextEntries"/>
              <w:rPr>
                <w:sz w:val="14"/>
                <w:szCs w:val="16"/>
              </w:rPr>
            </w:pPr>
            <w:r w:rsidRPr="00713ED0">
              <w:rPr>
                <w:sz w:val="14"/>
                <w:szCs w:val="16"/>
              </w:rPr>
              <w:t>$120</w:t>
            </w:r>
            <w:r w:rsidR="00623D66">
              <w:rPr>
                <w:sz w:val="14"/>
                <w:szCs w:val="16"/>
              </w:rPr>
              <w:t xml:space="preserve"> </w:t>
            </w:r>
            <w:r w:rsidRPr="00713ED0">
              <w:rPr>
                <w:sz w:val="14"/>
                <w:szCs w:val="16"/>
              </w:rPr>
              <w:t>000</w:t>
            </w:r>
            <w:r w:rsidR="00623D66">
              <w:rPr>
                <w:sz w:val="14"/>
                <w:szCs w:val="16"/>
              </w:rPr>
              <w:t xml:space="preserve"> </w:t>
            </w:r>
            <w:r w:rsidRPr="00713ED0">
              <w:rPr>
                <w:sz w:val="14"/>
                <w:szCs w:val="16"/>
              </w:rPr>
              <w:t>773.87</w:t>
            </w:r>
          </w:p>
        </w:tc>
        <w:tc>
          <w:tcPr>
            <w:tcW w:w="440" w:type="dxa"/>
            <w:vAlign w:val="center"/>
          </w:tcPr>
          <w:p w14:paraId="27B66170" w14:textId="77777777" w:rsidR="00713ED0" w:rsidRPr="00713ED0" w:rsidRDefault="00713ED0" w:rsidP="00FF45C2">
            <w:pPr>
              <w:pStyle w:val="TableTextEntries"/>
            </w:pPr>
            <w:r w:rsidRPr="00713ED0">
              <w:t>2012</w:t>
            </w:r>
          </w:p>
        </w:tc>
        <w:tc>
          <w:tcPr>
            <w:tcW w:w="334" w:type="dxa"/>
            <w:shd w:val="clear" w:color="auto" w:fill="92D050"/>
            <w:noWrap/>
            <w:vAlign w:val="center"/>
          </w:tcPr>
          <w:p w14:paraId="1AC4CDFF" w14:textId="77777777" w:rsidR="00713ED0" w:rsidRPr="00FF45C2" w:rsidRDefault="00713ED0" w:rsidP="00FF45C2">
            <w:pPr>
              <w:pStyle w:val="TableTextEntries"/>
              <w:jc w:val="center"/>
            </w:pPr>
            <w:r w:rsidRPr="00FF45C2">
              <w:t>6</w:t>
            </w:r>
          </w:p>
        </w:tc>
        <w:tc>
          <w:tcPr>
            <w:tcW w:w="334" w:type="dxa"/>
            <w:shd w:val="clear" w:color="auto" w:fill="FFFF00"/>
            <w:noWrap/>
            <w:vAlign w:val="center"/>
          </w:tcPr>
          <w:p w14:paraId="0B1F6DFB"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4FCAEE74" w14:textId="77777777" w:rsidR="00713ED0" w:rsidRPr="00FF45C2" w:rsidRDefault="00713ED0" w:rsidP="00FF45C2">
            <w:pPr>
              <w:pStyle w:val="TableTextEntries"/>
              <w:jc w:val="center"/>
            </w:pPr>
            <w:r w:rsidRPr="00FF45C2">
              <w:t>4</w:t>
            </w:r>
          </w:p>
        </w:tc>
        <w:tc>
          <w:tcPr>
            <w:tcW w:w="403" w:type="dxa"/>
            <w:shd w:val="clear" w:color="auto" w:fill="92D050"/>
            <w:noWrap/>
            <w:vAlign w:val="center"/>
          </w:tcPr>
          <w:p w14:paraId="372AC1CA"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E594090"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10EE0E1" w14:textId="77777777" w:rsidR="00713ED0" w:rsidRPr="00FF45C2" w:rsidRDefault="00713ED0" w:rsidP="00FF45C2">
            <w:pPr>
              <w:pStyle w:val="TableTextEntries"/>
              <w:jc w:val="center"/>
            </w:pPr>
            <w:r w:rsidRPr="00FF45C2">
              <w:t>4</w:t>
            </w:r>
          </w:p>
        </w:tc>
        <w:tc>
          <w:tcPr>
            <w:tcW w:w="347" w:type="dxa"/>
            <w:tcBorders>
              <w:top w:val="nil"/>
              <w:bottom w:val="nil"/>
            </w:tcBorders>
            <w:shd w:val="clear" w:color="auto" w:fill="92D050"/>
            <w:noWrap/>
          </w:tcPr>
          <w:p w14:paraId="72D5E849" w14:textId="77777777" w:rsidR="00713ED0" w:rsidRPr="00FF45C2" w:rsidRDefault="00713ED0" w:rsidP="00FF45C2">
            <w:pPr>
              <w:pStyle w:val="TableTextEntries"/>
              <w:jc w:val="center"/>
            </w:pPr>
            <w:r w:rsidRPr="00FF45C2">
              <w:t>M</w:t>
            </w:r>
          </w:p>
        </w:tc>
      </w:tr>
      <w:tr w:rsidR="00713ED0" w:rsidRPr="00713ED0" w14:paraId="4D927093"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2A7A33C9" w14:textId="77777777" w:rsidR="00713ED0" w:rsidRPr="00713ED0" w:rsidRDefault="00713ED0" w:rsidP="00FF45C2">
            <w:pPr>
              <w:pStyle w:val="TableTextEntries"/>
            </w:pPr>
          </w:p>
        </w:tc>
        <w:tc>
          <w:tcPr>
            <w:tcW w:w="1486" w:type="dxa"/>
            <w:vMerge/>
            <w:vAlign w:val="center"/>
          </w:tcPr>
          <w:p w14:paraId="2D217A17" w14:textId="77777777" w:rsidR="00713ED0" w:rsidRPr="00713ED0" w:rsidRDefault="00713ED0" w:rsidP="00FF45C2">
            <w:pPr>
              <w:pStyle w:val="TableTextEntries"/>
            </w:pPr>
          </w:p>
        </w:tc>
        <w:tc>
          <w:tcPr>
            <w:tcW w:w="813" w:type="dxa"/>
            <w:vMerge/>
            <w:vAlign w:val="center"/>
          </w:tcPr>
          <w:p w14:paraId="7855968C" w14:textId="77777777" w:rsidR="00713ED0" w:rsidRPr="00713ED0" w:rsidRDefault="00713ED0" w:rsidP="00FF45C2">
            <w:pPr>
              <w:pStyle w:val="TableTextEntries"/>
              <w:rPr>
                <w:sz w:val="14"/>
              </w:rPr>
            </w:pPr>
          </w:p>
        </w:tc>
        <w:tc>
          <w:tcPr>
            <w:tcW w:w="808" w:type="dxa"/>
            <w:vMerge/>
            <w:vAlign w:val="center"/>
          </w:tcPr>
          <w:p w14:paraId="067D8308" w14:textId="77777777" w:rsidR="00713ED0" w:rsidRPr="00713ED0" w:rsidRDefault="00713ED0" w:rsidP="00FF45C2">
            <w:pPr>
              <w:pStyle w:val="TableTextEntries"/>
              <w:rPr>
                <w:sz w:val="14"/>
              </w:rPr>
            </w:pPr>
          </w:p>
        </w:tc>
        <w:tc>
          <w:tcPr>
            <w:tcW w:w="1152" w:type="dxa"/>
            <w:vMerge/>
            <w:vAlign w:val="center"/>
          </w:tcPr>
          <w:p w14:paraId="18187B49" w14:textId="77777777" w:rsidR="00713ED0" w:rsidRPr="00713ED0" w:rsidRDefault="00713ED0" w:rsidP="00FF45C2">
            <w:pPr>
              <w:pStyle w:val="TableTextEntries"/>
              <w:rPr>
                <w:sz w:val="14"/>
                <w:szCs w:val="16"/>
              </w:rPr>
            </w:pPr>
          </w:p>
        </w:tc>
        <w:tc>
          <w:tcPr>
            <w:tcW w:w="440" w:type="dxa"/>
            <w:vAlign w:val="center"/>
          </w:tcPr>
          <w:p w14:paraId="7E3E6DE4" w14:textId="77777777" w:rsidR="00713ED0" w:rsidRPr="00713ED0" w:rsidRDefault="00713ED0" w:rsidP="00FF45C2">
            <w:pPr>
              <w:pStyle w:val="TableTextEntries"/>
            </w:pPr>
            <w:r w:rsidRPr="00713ED0">
              <w:t>2011</w:t>
            </w:r>
          </w:p>
        </w:tc>
        <w:tc>
          <w:tcPr>
            <w:tcW w:w="334" w:type="dxa"/>
            <w:shd w:val="clear" w:color="auto" w:fill="92D050"/>
            <w:noWrap/>
            <w:vAlign w:val="center"/>
          </w:tcPr>
          <w:p w14:paraId="3C0AC3E2"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040978EA"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7A706B3E" w14:textId="77777777" w:rsidR="00713ED0" w:rsidRPr="00FF45C2" w:rsidRDefault="00713ED0" w:rsidP="00FF45C2">
            <w:pPr>
              <w:pStyle w:val="TableTextEntries"/>
              <w:jc w:val="center"/>
            </w:pPr>
            <w:r w:rsidRPr="00FF45C2">
              <w:t>4</w:t>
            </w:r>
          </w:p>
        </w:tc>
        <w:tc>
          <w:tcPr>
            <w:tcW w:w="403" w:type="dxa"/>
            <w:shd w:val="clear" w:color="auto" w:fill="92D050"/>
            <w:noWrap/>
            <w:vAlign w:val="center"/>
          </w:tcPr>
          <w:p w14:paraId="45CF193E"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350832C5"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169081D7"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tcPr>
          <w:p w14:paraId="40D1D984" w14:textId="77777777" w:rsidR="00713ED0" w:rsidRPr="00FF45C2" w:rsidRDefault="00713ED0" w:rsidP="00FF45C2">
            <w:pPr>
              <w:pStyle w:val="TableTextEntries"/>
              <w:jc w:val="center"/>
            </w:pPr>
            <w:r w:rsidRPr="00FF45C2">
              <w:t>I</w:t>
            </w:r>
          </w:p>
        </w:tc>
      </w:tr>
      <w:tr w:rsidR="00713ED0" w:rsidRPr="00713ED0" w14:paraId="1EDA15FD" w14:textId="77777777" w:rsidTr="00E0168D">
        <w:trPr>
          <w:tblHeader w:val="0"/>
        </w:trPr>
        <w:tc>
          <w:tcPr>
            <w:tcW w:w="823" w:type="dxa"/>
            <w:gridSpan w:val="2"/>
            <w:vMerge w:val="restart"/>
            <w:vAlign w:val="center"/>
          </w:tcPr>
          <w:p w14:paraId="05F58628" w14:textId="77777777" w:rsidR="00713ED0" w:rsidRPr="00713ED0" w:rsidRDefault="00713ED0" w:rsidP="00FF45C2">
            <w:pPr>
              <w:pStyle w:val="TableTextEntries"/>
            </w:pPr>
            <w:r w:rsidRPr="00713ED0">
              <w:lastRenderedPageBreak/>
              <w:t>INJ150</w:t>
            </w:r>
          </w:p>
        </w:tc>
        <w:tc>
          <w:tcPr>
            <w:tcW w:w="1486" w:type="dxa"/>
            <w:vMerge w:val="restart"/>
            <w:vAlign w:val="center"/>
          </w:tcPr>
          <w:p w14:paraId="37285C56" w14:textId="77777777" w:rsidR="00713ED0" w:rsidRPr="00713ED0" w:rsidRDefault="00713ED0" w:rsidP="00FF45C2">
            <w:pPr>
              <w:pStyle w:val="TableTextEntries"/>
            </w:pPr>
            <w:r w:rsidRPr="00713ED0">
              <w:t>Support for Sewerage Investment Plan</w:t>
            </w:r>
          </w:p>
        </w:tc>
        <w:tc>
          <w:tcPr>
            <w:tcW w:w="813" w:type="dxa"/>
            <w:vMerge w:val="restart"/>
            <w:vAlign w:val="center"/>
          </w:tcPr>
          <w:p w14:paraId="226B24BD" w14:textId="77777777" w:rsidR="00713ED0" w:rsidRPr="00713ED0" w:rsidRDefault="00713ED0" w:rsidP="00FF45C2">
            <w:pPr>
              <w:pStyle w:val="TableTextEntries"/>
              <w:rPr>
                <w:sz w:val="14"/>
              </w:rPr>
            </w:pPr>
            <w:r w:rsidRPr="00713ED0">
              <w:rPr>
                <w:sz w:val="14"/>
              </w:rPr>
              <w:t>01/07/2009</w:t>
            </w:r>
          </w:p>
        </w:tc>
        <w:tc>
          <w:tcPr>
            <w:tcW w:w="808" w:type="dxa"/>
            <w:vMerge w:val="restart"/>
            <w:vAlign w:val="center"/>
          </w:tcPr>
          <w:p w14:paraId="036D23CE" w14:textId="77777777" w:rsidR="00713ED0" w:rsidRPr="00713ED0" w:rsidRDefault="00713ED0" w:rsidP="00FF45C2">
            <w:pPr>
              <w:pStyle w:val="TableTextEntries"/>
              <w:rPr>
                <w:sz w:val="14"/>
              </w:rPr>
            </w:pPr>
            <w:r w:rsidRPr="00713ED0">
              <w:rPr>
                <w:sz w:val="14"/>
              </w:rPr>
              <w:t>30/06/2015</w:t>
            </w:r>
          </w:p>
        </w:tc>
        <w:tc>
          <w:tcPr>
            <w:tcW w:w="1152" w:type="dxa"/>
            <w:vMerge w:val="restart"/>
            <w:vAlign w:val="center"/>
          </w:tcPr>
          <w:p w14:paraId="0D0351B5" w14:textId="6A9F83F2" w:rsidR="00713ED0" w:rsidRPr="00713ED0" w:rsidRDefault="00713ED0" w:rsidP="00FF45C2">
            <w:pPr>
              <w:pStyle w:val="TableTextEntries"/>
              <w:rPr>
                <w:sz w:val="14"/>
                <w:szCs w:val="16"/>
              </w:rPr>
            </w:pPr>
            <w:r w:rsidRPr="00713ED0">
              <w:rPr>
                <w:sz w:val="14"/>
                <w:szCs w:val="16"/>
              </w:rPr>
              <w:t>$40</w:t>
            </w:r>
            <w:r w:rsidR="00623D66">
              <w:rPr>
                <w:sz w:val="14"/>
                <w:szCs w:val="16"/>
              </w:rPr>
              <w:t xml:space="preserve"> </w:t>
            </w:r>
            <w:r w:rsidRPr="00713ED0">
              <w:rPr>
                <w:sz w:val="14"/>
                <w:szCs w:val="16"/>
              </w:rPr>
              <w:t>121</w:t>
            </w:r>
            <w:r w:rsidR="00623D66">
              <w:rPr>
                <w:sz w:val="14"/>
                <w:szCs w:val="16"/>
              </w:rPr>
              <w:t xml:space="preserve"> </w:t>
            </w:r>
            <w:r w:rsidRPr="00713ED0">
              <w:rPr>
                <w:sz w:val="14"/>
                <w:szCs w:val="16"/>
              </w:rPr>
              <w:t>451.76</w:t>
            </w:r>
          </w:p>
        </w:tc>
        <w:tc>
          <w:tcPr>
            <w:tcW w:w="440" w:type="dxa"/>
            <w:vAlign w:val="center"/>
          </w:tcPr>
          <w:p w14:paraId="53624540" w14:textId="77777777" w:rsidR="00713ED0" w:rsidRPr="00713ED0" w:rsidRDefault="00713ED0" w:rsidP="00FF45C2">
            <w:pPr>
              <w:pStyle w:val="TableTextEntries"/>
            </w:pPr>
            <w:r w:rsidRPr="00713ED0">
              <w:t>2012</w:t>
            </w:r>
          </w:p>
        </w:tc>
        <w:tc>
          <w:tcPr>
            <w:tcW w:w="334" w:type="dxa"/>
            <w:shd w:val="clear" w:color="auto" w:fill="92D050"/>
            <w:noWrap/>
            <w:vAlign w:val="center"/>
          </w:tcPr>
          <w:p w14:paraId="7C078070"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6D740DF"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AE09256" w14:textId="77777777" w:rsidR="00713ED0" w:rsidRPr="00FF45C2" w:rsidRDefault="00713ED0" w:rsidP="00FF45C2">
            <w:pPr>
              <w:pStyle w:val="TableTextEntries"/>
              <w:jc w:val="center"/>
            </w:pPr>
            <w:r w:rsidRPr="00FF45C2">
              <w:t>4</w:t>
            </w:r>
          </w:p>
        </w:tc>
        <w:tc>
          <w:tcPr>
            <w:tcW w:w="403" w:type="dxa"/>
            <w:shd w:val="clear" w:color="auto" w:fill="92D050"/>
            <w:noWrap/>
            <w:vAlign w:val="center"/>
          </w:tcPr>
          <w:p w14:paraId="245AD997"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C5A425B"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3DB0885B" w14:textId="77777777" w:rsidR="00713ED0" w:rsidRPr="00FF45C2" w:rsidRDefault="00713ED0" w:rsidP="00FF45C2">
            <w:pPr>
              <w:pStyle w:val="TableTextEntries"/>
              <w:jc w:val="center"/>
            </w:pPr>
            <w:r w:rsidRPr="00FF45C2">
              <w:t>5</w:t>
            </w:r>
          </w:p>
        </w:tc>
        <w:tc>
          <w:tcPr>
            <w:tcW w:w="347" w:type="dxa"/>
            <w:tcBorders>
              <w:top w:val="nil"/>
              <w:bottom w:val="nil"/>
            </w:tcBorders>
            <w:shd w:val="clear" w:color="auto" w:fill="92D050"/>
            <w:noWrap/>
          </w:tcPr>
          <w:p w14:paraId="386BE918" w14:textId="77777777" w:rsidR="00713ED0" w:rsidRPr="00FF45C2" w:rsidRDefault="00713ED0" w:rsidP="00FF45C2">
            <w:pPr>
              <w:pStyle w:val="TableTextEntries"/>
              <w:jc w:val="center"/>
            </w:pPr>
            <w:r w:rsidRPr="00FF45C2">
              <w:t>M</w:t>
            </w:r>
          </w:p>
        </w:tc>
      </w:tr>
      <w:tr w:rsidR="00713ED0" w:rsidRPr="00713ED0" w14:paraId="1D9475DB"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2F8A3D57" w14:textId="77777777" w:rsidR="00713ED0" w:rsidRPr="00713ED0" w:rsidRDefault="00713ED0" w:rsidP="00FF45C2">
            <w:pPr>
              <w:pStyle w:val="TableTextEntries"/>
            </w:pPr>
          </w:p>
        </w:tc>
        <w:tc>
          <w:tcPr>
            <w:tcW w:w="1486" w:type="dxa"/>
            <w:vMerge/>
            <w:vAlign w:val="center"/>
          </w:tcPr>
          <w:p w14:paraId="655FEF72" w14:textId="77777777" w:rsidR="00713ED0" w:rsidRPr="00713ED0" w:rsidRDefault="00713ED0" w:rsidP="00FF45C2">
            <w:pPr>
              <w:pStyle w:val="TableTextEntries"/>
            </w:pPr>
          </w:p>
        </w:tc>
        <w:tc>
          <w:tcPr>
            <w:tcW w:w="813" w:type="dxa"/>
            <w:vMerge/>
            <w:vAlign w:val="center"/>
          </w:tcPr>
          <w:p w14:paraId="2C71D523" w14:textId="77777777" w:rsidR="00713ED0" w:rsidRPr="00713ED0" w:rsidRDefault="00713ED0" w:rsidP="00FF45C2">
            <w:pPr>
              <w:pStyle w:val="TableTextEntries"/>
              <w:rPr>
                <w:sz w:val="14"/>
              </w:rPr>
            </w:pPr>
          </w:p>
        </w:tc>
        <w:tc>
          <w:tcPr>
            <w:tcW w:w="808" w:type="dxa"/>
            <w:vMerge/>
            <w:vAlign w:val="center"/>
          </w:tcPr>
          <w:p w14:paraId="260A68B2" w14:textId="77777777" w:rsidR="00713ED0" w:rsidRPr="00713ED0" w:rsidRDefault="00713ED0" w:rsidP="00FF45C2">
            <w:pPr>
              <w:pStyle w:val="TableTextEntries"/>
              <w:rPr>
                <w:sz w:val="14"/>
              </w:rPr>
            </w:pPr>
          </w:p>
        </w:tc>
        <w:tc>
          <w:tcPr>
            <w:tcW w:w="1152" w:type="dxa"/>
            <w:vMerge/>
            <w:vAlign w:val="center"/>
          </w:tcPr>
          <w:p w14:paraId="785F4B5A" w14:textId="77777777" w:rsidR="00713ED0" w:rsidRPr="00713ED0" w:rsidRDefault="00713ED0" w:rsidP="00FF45C2">
            <w:pPr>
              <w:pStyle w:val="TableTextEntries"/>
              <w:rPr>
                <w:sz w:val="14"/>
                <w:szCs w:val="16"/>
              </w:rPr>
            </w:pPr>
          </w:p>
        </w:tc>
        <w:tc>
          <w:tcPr>
            <w:tcW w:w="440" w:type="dxa"/>
            <w:vAlign w:val="center"/>
          </w:tcPr>
          <w:p w14:paraId="7ADAC1F7" w14:textId="77777777" w:rsidR="00713ED0" w:rsidRPr="00713ED0" w:rsidRDefault="00713ED0" w:rsidP="00FF45C2">
            <w:pPr>
              <w:pStyle w:val="TableTextEntries"/>
            </w:pPr>
            <w:r w:rsidRPr="00713ED0">
              <w:t>2011</w:t>
            </w:r>
          </w:p>
        </w:tc>
        <w:tc>
          <w:tcPr>
            <w:tcW w:w="334" w:type="dxa"/>
            <w:shd w:val="clear" w:color="auto" w:fill="92D050"/>
            <w:noWrap/>
            <w:vAlign w:val="center"/>
          </w:tcPr>
          <w:p w14:paraId="35500DC1"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5B2C63AD"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50F8D763" w14:textId="77777777" w:rsidR="00713ED0" w:rsidRPr="00FF45C2" w:rsidRDefault="00713ED0" w:rsidP="00FF45C2">
            <w:pPr>
              <w:pStyle w:val="TableTextEntries"/>
              <w:jc w:val="center"/>
            </w:pPr>
            <w:r w:rsidRPr="00FF45C2">
              <w:t>4</w:t>
            </w:r>
          </w:p>
        </w:tc>
        <w:tc>
          <w:tcPr>
            <w:tcW w:w="403" w:type="dxa"/>
            <w:shd w:val="clear" w:color="auto" w:fill="92D050"/>
            <w:noWrap/>
            <w:vAlign w:val="center"/>
          </w:tcPr>
          <w:p w14:paraId="756BCE3F"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3D44C8F"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4289E596"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tcPr>
          <w:p w14:paraId="3F398AF4" w14:textId="77777777" w:rsidR="00713ED0" w:rsidRPr="00E0168D" w:rsidRDefault="00713ED0" w:rsidP="00E0168D">
            <w:pPr>
              <w:pStyle w:val="TableTextEntries"/>
              <w:jc w:val="center"/>
            </w:pPr>
            <w:r w:rsidRPr="00E0168D">
              <w:t>I</w:t>
            </w:r>
          </w:p>
        </w:tc>
      </w:tr>
      <w:tr w:rsidR="00713ED0" w:rsidRPr="00713ED0" w14:paraId="3944D7D2" w14:textId="77777777" w:rsidTr="00E0168D">
        <w:trPr>
          <w:cantSplit/>
          <w:tblHeader w:val="0"/>
        </w:trPr>
        <w:tc>
          <w:tcPr>
            <w:tcW w:w="2337" w:type="dxa"/>
            <w:gridSpan w:val="3"/>
            <w:vAlign w:val="bottom"/>
          </w:tcPr>
          <w:p w14:paraId="637A0369" w14:textId="0495D1AE" w:rsidR="00713ED0" w:rsidRPr="00713ED0" w:rsidRDefault="00713ED0" w:rsidP="00E0168D">
            <w:pPr>
              <w:pStyle w:val="TableHeading2"/>
            </w:pPr>
            <w:r w:rsidRPr="00713ED0">
              <w:t xml:space="preserve">Social protection and community driven development </w:t>
            </w:r>
          </w:p>
        </w:tc>
        <w:tc>
          <w:tcPr>
            <w:tcW w:w="813" w:type="dxa"/>
          </w:tcPr>
          <w:p w14:paraId="5AE1BD77" w14:textId="77777777" w:rsidR="00713ED0" w:rsidRPr="00713ED0" w:rsidRDefault="00713ED0" w:rsidP="00FF45C2">
            <w:pPr>
              <w:pStyle w:val="TableTextEntries"/>
              <w:rPr>
                <w:sz w:val="14"/>
              </w:rPr>
            </w:pPr>
          </w:p>
        </w:tc>
        <w:tc>
          <w:tcPr>
            <w:tcW w:w="808" w:type="dxa"/>
            <w:vAlign w:val="center"/>
          </w:tcPr>
          <w:p w14:paraId="212E74C5" w14:textId="77777777" w:rsidR="00713ED0" w:rsidRPr="00713ED0" w:rsidRDefault="00713ED0" w:rsidP="00FF45C2">
            <w:pPr>
              <w:pStyle w:val="TableTextEntries"/>
              <w:rPr>
                <w:sz w:val="14"/>
              </w:rPr>
            </w:pPr>
          </w:p>
        </w:tc>
        <w:tc>
          <w:tcPr>
            <w:tcW w:w="1152" w:type="dxa"/>
            <w:vAlign w:val="bottom"/>
          </w:tcPr>
          <w:p w14:paraId="0E426AAF" w14:textId="77777777" w:rsidR="00713ED0" w:rsidRPr="00713ED0" w:rsidRDefault="00713ED0" w:rsidP="00FF45C2">
            <w:pPr>
              <w:pStyle w:val="TableTextEntries"/>
              <w:rPr>
                <w:sz w:val="14"/>
                <w:szCs w:val="16"/>
              </w:rPr>
            </w:pPr>
          </w:p>
        </w:tc>
        <w:tc>
          <w:tcPr>
            <w:tcW w:w="440" w:type="dxa"/>
            <w:textDirection w:val="btLr"/>
            <w:vAlign w:val="center"/>
          </w:tcPr>
          <w:p w14:paraId="25036922" w14:textId="77777777" w:rsidR="00713ED0" w:rsidRPr="00713ED0" w:rsidRDefault="00713ED0" w:rsidP="00FF45C2">
            <w:pPr>
              <w:pStyle w:val="TableTextEntries"/>
            </w:pPr>
          </w:p>
        </w:tc>
        <w:tc>
          <w:tcPr>
            <w:tcW w:w="334" w:type="dxa"/>
            <w:textDirection w:val="btLr"/>
            <w:vAlign w:val="center"/>
          </w:tcPr>
          <w:p w14:paraId="0EE5019D" w14:textId="77777777" w:rsidR="00713ED0" w:rsidRPr="00FF45C2" w:rsidRDefault="00713ED0" w:rsidP="00FF45C2">
            <w:pPr>
              <w:pStyle w:val="TableTextEntries"/>
              <w:jc w:val="center"/>
            </w:pPr>
          </w:p>
        </w:tc>
        <w:tc>
          <w:tcPr>
            <w:tcW w:w="334" w:type="dxa"/>
            <w:textDirection w:val="btLr"/>
            <w:vAlign w:val="center"/>
          </w:tcPr>
          <w:p w14:paraId="027BA9B9" w14:textId="77777777" w:rsidR="00713ED0" w:rsidRPr="00FF45C2" w:rsidRDefault="00713ED0" w:rsidP="00FF45C2">
            <w:pPr>
              <w:pStyle w:val="TableTextEntries"/>
              <w:jc w:val="center"/>
            </w:pPr>
          </w:p>
        </w:tc>
        <w:tc>
          <w:tcPr>
            <w:tcW w:w="334" w:type="dxa"/>
            <w:textDirection w:val="btLr"/>
            <w:vAlign w:val="center"/>
          </w:tcPr>
          <w:p w14:paraId="5D2ACED6" w14:textId="77777777" w:rsidR="00713ED0" w:rsidRPr="00FF45C2" w:rsidRDefault="00713ED0" w:rsidP="00FF45C2">
            <w:pPr>
              <w:pStyle w:val="TableTextEntries"/>
              <w:jc w:val="center"/>
            </w:pPr>
          </w:p>
        </w:tc>
        <w:tc>
          <w:tcPr>
            <w:tcW w:w="403" w:type="dxa"/>
            <w:textDirection w:val="btLr"/>
            <w:vAlign w:val="center"/>
          </w:tcPr>
          <w:p w14:paraId="4E4DBD2A" w14:textId="77777777" w:rsidR="00713ED0" w:rsidRPr="00FF45C2" w:rsidRDefault="00713ED0" w:rsidP="00FF45C2">
            <w:pPr>
              <w:pStyle w:val="TableTextEntries"/>
              <w:jc w:val="center"/>
            </w:pPr>
          </w:p>
        </w:tc>
        <w:tc>
          <w:tcPr>
            <w:tcW w:w="334" w:type="dxa"/>
            <w:textDirection w:val="btLr"/>
            <w:vAlign w:val="center"/>
          </w:tcPr>
          <w:p w14:paraId="175EC170" w14:textId="77777777" w:rsidR="00713ED0" w:rsidRPr="00FF45C2" w:rsidRDefault="00713ED0" w:rsidP="00FF45C2">
            <w:pPr>
              <w:pStyle w:val="TableTextEntries"/>
              <w:jc w:val="center"/>
            </w:pPr>
          </w:p>
        </w:tc>
        <w:tc>
          <w:tcPr>
            <w:tcW w:w="334" w:type="dxa"/>
            <w:textDirection w:val="btLr"/>
            <w:vAlign w:val="center"/>
          </w:tcPr>
          <w:p w14:paraId="292F9C9D" w14:textId="77777777" w:rsidR="00713ED0" w:rsidRPr="00FF45C2" w:rsidRDefault="00713ED0" w:rsidP="00FF45C2">
            <w:pPr>
              <w:pStyle w:val="TableTextEntries"/>
              <w:jc w:val="center"/>
            </w:pPr>
          </w:p>
        </w:tc>
        <w:tc>
          <w:tcPr>
            <w:tcW w:w="347" w:type="dxa"/>
            <w:textDirection w:val="btLr"/>
            <w:vAlign w:val="center"/>
          </w:tcPr>
          <w:p w14:paraId="2297EBFC" w14:textId="77777777" w:rsidR="00713ED0" w:rsidRPr="00FF45C2" w:rsidRDefault="00713ED0" w:rsidP="00FF45C2">
            <w:pPr>
              <w:pStyle w:val="TableTextEntries"/>
              <w:jc w:val="center"/>
            </w:pPr>
          </w:p>
        </w:tc>
      </w:tr>
      <w:tr w:rsidR="00713ED0" w:rsidRPr="00713ED0" w14:paraId="69179F96"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211872C0" w14:textId="77777777" w:rsidR="00713ED0" w:rsidRPr="00713ED0" w:rsidRDefault="00713ED0" w:rsidP="00FF45C2">
            <w:pPr>
              <w:pStyle w:val="TableTextEntries"/>
            </w:pPr>
            <w:r w:rsidRPr="00713ED0">
              <w:t>INI506</w:t>
            </w:r>
          </w:p>
        </w:tc>
        <w:tc>
          <w:tcPr>
            <w:tcW w:w="1486" w:type="dxa"/>
            <w:vMerge w:val="restart"/>
            <w:vAlign w:val="center"/>
          </w:tcPr>
          <w:p w14:paraId="41F6F2F6" w14:textId="77777777" w:rsidR="00713ED0" w:rsidRPr="00713ED0" w:rsidRDefault="00713ED0" w:rsidP="00FF45C2">
            <w:pPr>
              <w:pStyle w:val="TableTextEntries"/>
            </w:pPr>
            <w:r w:rsidRPr="00713ED0">
              <w:t xml:space="preserve">National Program for Community Empowerment </w:t>
            </w:r>
          </w:p>
        </w:tc>
        <w:tc>
          <w:tcPr>
            <w:tcW w:w="813" w:type="dxa"/>
            <w:vMerge w:val="restart"/>
            <w:vAlign w:val="center"/>
          </w:tcPr>
          <w:p w14:paraId="39D39E96" w14:textId="77777777" w:rsidR="00713ED0" w:rsidRPr="00713ED0" w:rsidRDefault="00713ED0" w:rsidP="00FF45C2">
            <w:pPr>
              <w:pStyle w:val="TableTextEntries"/>
              <w:rPr>
                <w:sz w:val="14"/>
              </w:rPr>
            </w:pPr>
            <w:r w:rsidRPr="00713ED0">
              <w:rPr>
                <w:sz w:val="14"/>
              </w:rPr>
              <w:t>01/02/2009</w:t>
            </w:r>
          </w:p>
        </w:tc>
        <w:tc>
          <w:tcPr>
            <w:tcW w:w="808" w:type="dxa"/>
            <w:vMerge w:val="restart"/>
            <w:vAlign w:val="center"/>
          </w:tcPr>
          <w:p w14:paraId="0677A475" w14:textId="77777777" w:rsidR="00713ED0" w:rsidRPr="00713ED0" w:rsidRDefault="00713ED0" w:rsidP="00FF45C2">
            <w:pPr>
              <w:pStyle w:val="TableTextEntries"/>
              <w:rPr>
                <w:sz w:val="14"/>
              </w:rPr>
            </w:pPr>
            <w:r w:rsidRPr="00713ED0">
              <w:rPr>
                <w:sz w:val="14"/>
              </w:rPr>
              <w:t>30/06/2015</w:t>
            </w:r>
          </w:p>
        </w:tc>
        <w:tc>
          <w:tcPr>
            <w:tcW w:w="1152" w:type="dxa"/>
            <w:vMerge w:val="restart"/>
            <w:vAlign w:val="center"/>
          </w:tcPr>
          <w:p w14:paraId="36ECC651" w14:textId="5CFC9F34" w:rsidR="00713ED0" w:rsidRPr="00713ED0" w:rsidRDefault="00713ED0" w:rsidP="00FF45C2">
            <w:pPr>
              <w:pStyle w:val="TableTextEntries"/>
              <w:rPr>
                <w:sz w:val="14"/>
                <w:szCs w:val="16"/>
              </w:rPr>
            </w:pPr>
            <w:r w:rsidRPr="00713ED0">
              <w:rPr>
                <w:sz w:val="14"/>
                <w:szCs w:val="16"/>
              </w:rPr>
              <w:t>$215</w:t>
            </w:r>
            <w:r w:rsidR="00623D66">
              <w:rPr>
                <w:sz w:val="14"/>
                <w:szCs w:val="16"/>
              </w:rPr>
              <w:t xml:space="preserve"> </w:t>
            </w:r>
            <w:r w:rsidRPr="00713ED0">
              <w:rPr>
                <w:sz w:val="14"/>
                <w:szCs w:val="16"/>
              </w:rPr>
              <w:t>000</w:t>
            </w:r>
            <w:r w:rsidR="00623D66">
              <w:rPr>
                <w:sz w:val="14"/>
                <w:szCs w:val="16"/>
              </w:rPr>
              <w:t xml:space="preserve"> </w:t>
            </w:r>
            <w:r w:rsidRPr="00713ED0">
              <w:rPr>
                <w:sz w:val="14"/>
                <w:szCs w:val="16"/>
              </w:rPr>
              <w:t>000.00</w:t>
            </w:r>
          </w:p>
        </w:tc>
        <w:tc>
          <w:tcPr>
            <w:tcW w:w="440" w:type="dxa"/>
            <w:vAlign w:val="center"/>
          </w:tcPr>
          <w:p w14:paraId="3480D28A" w14:textId="77777777" w:rsidR="00713ED0" w:rsidRPr="00713ED0" w:rsidRDefault="00713ED0" w:rsidP="00FF45C2">
            <w:pPr>
              <w:pStyle w:val="TableTextEntries"/>
            </w:pPr>
            <w:r w:rsidRPr="00713ED0">
              <w:t>2012</w:t>
            </w:r>
          </w:p>
        </w:tc>
        <w:tc>
          <w:tcPr>
            <w:tcW w:w="334" w:type="dxa"/>
            <w:shd w:val="clear" w:color="auto" w:fill="92D050"/>
            <w:noWrap/>
            <w:vAlign w:val="center"/>
          </w:tcPr>
          <w:p w14:paraId="4D19CC0D"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71B5F958"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6D2B9103"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3B671D98"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DE733A5"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29B54292"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tcPr>
          <w:p w14:paraId="29C797CF" w14:textId="77777777" w:rsidR="00713ED0" w:rsidRPr="00FF45C2" w:rsidRDefault="00713ED0" w:rsidP="00FF45C2">
            <w:pPr>
              <w:pStyle w:val="TableTextEntries"/>
              <w:jc w:val="center"/>
            </w:pPr>
            <w:r w:rsidRPr="00FF45C2">
              <w:t>I</w:t>
            </w:r>
          </w:p>
        </w:tc>
      </w:tr>
      <w:tr w:rsidR="00713ED0" w:rsidRPr="00713ED0" w14:paraId="2438323C" w14:textId="77777777" w:rsidTr="00E0168D">
        <w:trPr>
          <w:tblHeader w:val="0"/>
        </w:trPr>
        <w:tc>
          <w:tcPr>
            <w:tcW w:w="823" w:type="dxa"/>
            <w:gridSpan w:val="2"/>
            <w:vMerge/>
            <w:vAlign w:val="center"/>
          </w:tcPr>
          <w:p w14:paraId="4A5230F5" w14:textId="77777777" w:rsidR="00713ED0" w:rsidRPr="00713ED0" w:rsidRDefault="00713ED0" w:rsidP="00FF45C2">
            <w:pPr>
              <w:pStyle w:val="TableTextEntries"/>
            </w:pPr>
          </w:p>
        </w:tc>
        <w:tc>
          <w:tcPr>
            <w:tcW w:w="1486" w:type="dxa"/>
            <w:vMerge/>
            <w:vAlign w:val="center"/>
          </w:tcPr>
          <w:p w14:paraId="4E2CFD52" w14:textId="77777777" w:rsidR="00713ED0" w:rsidRPr="00713ED0" w:rsidRDefault="00713ED0" w:rsidP="00FF45C2">
            <w:pPr>
              <w:pStyle w:val="TableTextEntries"/>
            </w:pPr>
          </w:p>
        </w:tc>
        <w:tc>
          <w:tcPr>
            <w:tcW w:w="813" w:type="dxa"/>
            <w:vMerge/>
            <w:vAlign w:val="center"/>
          </w:tcPr>
          <w:p w14:paraId="2EFF1638" w14:textId="77777777" w:rsidR="00713ED0" w:rsidRPr="00713ED0" w:rsidRDefault="00713ED0" w:rsidP="00FF45C2">
            <w:pPr>
              <w:pStyle w:val="TableTextEntries"/>
              <w:rPr>
                <w:sz w:val="14"/>
              </w:rPr>
            </w:pPr>
          </w:p>
        </w:tc>
        <w:tc>
          <w:tcPr>
            <w:tcW w:w="808" w:type="dxa"/>
            <w:vMerge/>
            <w:vAlign w:val="center"/>
          </w:tcPr>
          <w:p w14:paraId="0B043D9C" w14:textId="77777777" w:rsidR="00713ED0" w:rsidRPr="00713ED0" w:rsidRDefault="00713ED0" w:rsidP="00FF45C2">
            <w:pPr>
              <w:pStyle w:val="TableTextEntries"/>
              <w:rPr>
                <w:sz w:val="14"/>
              </w:rPr>
            </w:pPr>
          </w:p>
        </w:tc>
        <w:tc>
          <w:tcPr>
            <w:tcW w:w="1152" w:type="dxa"/>
            <w:vMerge/>
            <w:vAlign w:val="center"/>
          </w:tcPr>
          <w:p w14:paraId="3CBC464A" w14:textId="77777777" w:rsidR="00713ED0" w:rsidRPr="00713ED0" w:rsidRDefault="00713ED0" w:rsidP="00FF45C2">
            <w:pPr>
              <w:pStyle w:val="TableTextEntries"/>
              <w:rPr>
                <w:sz w:val="14"/>
                <w:szCs w:val="16"/>
              </w:rPr>
            </w:pPr>
          </w:p>
        </w:tc>
        <w:tc>
          <w:tcPr>
            <w:tcW w:w="440" w:type="dxa"/>
            <w:vAlign w:val="center"/>
          </w:tcPr>
          <w:p w14:paraId="1DE15CB4" w14:textId="77777777" w:rsidR="00713ED0" w:rsidRPr="00713ED0" w:rsidRDefault="00713ED0" w:rsidP="00FF45C2">
            <w:pPr>
              <w:pStyle w:val="TableTextEntries"/>
            </w:pPr>
            <w:r w:rsidRPr="00713ED0">
              <w:t>2011</w:t>
            </w:r>
          </w:p>
        </w:tc>
        <w:tc>
          <w:tcPr>
            <w:tcW w:w="334" w:type="dxa"/>
            <w:shd w:val="clear" w:color="auto" w:fill="92D050"/>
            <w:noWrap/>
            <w:vAlign w:val="center"/>
          </w:tcPr>
          <w:p w14:paraId="69AE145E"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56505614"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630327BD"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0B185BC6"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08573CD"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5AB85424"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tcPr>
          <w:p w14:paraId="6C80CCA8" w14:textId="77777777" w:rsidR="00713ED0" w:rsidRPr="00FF45C2" w:rsidRDefault="00713ED0" w:rsidP="00FF45C2">
            <w:pPr>
              <w:pStyle w:val="TableTextEntries"/>
              <w:jc w:val="center"/>
            </w:pPr>
            <w:r w:rsidRPr="00FF45C2">
              <w:t>I</w:t>
            </w:r>
          </w:p>
        </w:tc>
      </w:tr>
      <w:tr w:rsidR="00713ED0" w:rsidRPr="00713ED0" w14:paraId="4575D7BA"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1AEBDC2D" w14:textId="77777777" w:rsidR="00713ED0" w:rsidRPr="00713ED0" w:rsidRDefault="00713ED0" w:rsidP="00FF45C2">
            <w:pPr>
              <w:pStyle w:val="TableTextEntries"/>
            </w:pPr>
            <w:r w:rsidRPr="00713ED0">
              <w:t>INJ244</w:t>
            </w:r>
          </w:p>
        </w:tc>
        <w:tc>
          <w:tcPr>
            <w:tcW w:w="1486" w:type="dxa"/>
            <w:vMerge w:val="restart"/>
            <w:vAlign w:val="center"/>
          </w:tcPr>
          <w:p w14:paraId="656A5C8C" w14:textId="77777777" w:rsidR="00713ED0" w:rsidRPr="00713ED0" w:rsidRDefault="00713ED0" w:rsidP="00FF45C2">
            <w:pPr>
              <w:pStyle w:val="TableTextEntries"/>
            </w:pPr>
            <w:r w:rsidRPr="00713ED0">
              <w:t>Poverty Reduction and Social Protection Support</w:t>
            </w:r>
          </w:p>
        </w:tc>
        <w:tc>
          <w:tcPr>
            <w:tcW w:w="813" w:type="dxa"/>
            <w:vMerge w:val="restart"/>
            <w:vAlign w:val="center"/>
          </w:tcPr>
          <w:p w14:paraId="3C6D5B86" w14:textId="77777777" w:rsidR="00713ED0" w:rsidRPr="00713ED0" w:rsidRDefault="00713ED0" w:rsidP="00FF45C2">
            <w:pPr>
              <w:pStyle w:val="TableTextEntries"/>
              <w:rPr>
                <w:sz w:val="14"/>
              </w:rPr>
            </w:pPr>
            <w:r w:rsidRPr="00713ED0">
              <w:rPr>
                <w:sz w:val="14"/>
              </w:rPr>
              <w:t>06/04/2010</w:t>
            </w:r>
          </w:p>
        </w:tc>
        <w:tc>
          <w:tcPr>
            <w:tcW w:w="808" w:type="dxa"/>
            <w:vMerge w:val="restart"/>
            <w:vAlign w:val="center"/>
          </w:tcPr>
          <w:p w14:paraId="4A5CF666" w14:textId="77777777" w:rsidR="00713ED0" w:rsidRPr="00713ED0" w:rsidRDefault="00713ED0" w:rsidP="00FF45C2">
            <w:pPr>
              <w:pStyle w:val="TableTextEntries"/>
              <w:rPr>
                <w:sz w:val="14"/>
              </w:rPr>
            </w:pPr>
            <w:r w:rsidRPr="00713ED0">
              <w:rPr>
                <w:sz w:val="14"/>
              </w:rPr>
              <w:t>31/12/2014</w:t>
            </w:r>
          </w:p>
        </w:tc>
        <w:tc>
          <w:tcPr>
            <w:tcW w:w="1152" w:type="dxa"/>
            <w:vMerge w:val="restart"/>
            <w:vAlign w:val="center"/>
          </w:tcPr>
          <w:p w14:paraId="6B659546" w14:textId="296B5AB4" w:rsidR="00713ED0" w:rsidRPr="00713ED0" w:rsidRDefault="00713ED0" w:rsidP="00FF45C2">
            <w:pPr>
              <w:pStyle w:val="TableTextEntries"/>
              <w:rPr>
                <w:sz w:val="14"/>
                <w:szCs w:val="16"/>
              </w:rPr>
            </w:pPr>
            <w:r w:rsidRPr="00713ED0">
              <w:rPr>
                <w:sz w:val="14"/>
                <w:szCs w:val="16"/>
              </w:rPr>
              <w:t>$73</w:t>
            </w:r>
            <w:r w:rsidR="00623D66">
              <w:rPr>
                <w:sz w:val="14"/>
                <w:szCs w:val="16"/>
              </w:rPr>
              <w:t xml:space="preserve"> </w:t>
            </w:r>
            <w:r w:rsidRPr="00713ED0">
              <w:rPr>
                <w:sz w:val="14"/>
                <w:szCs w:val="16"/>
              </w:rPr>
              <w:t>000</w:t>
            </w:r>
            <w:r w:rsidR="00623D66">
              <w:rPr>
                <w:sz w:val="14"/>
                <w:szCs w:val="16"/>
              </w:rPr>
              <w:t xml:space="preserve"> </w:t>
            </w:r>
            <w:r w:rsidRPr="00713ED0">
              <w:rPr>
                <w:sz w:val="14"/>
                <w:szCs w:val="16"/>
              </w:rPr>
              <w:t>000.00</w:t>
            </w:r>
          </w:p>
        </w:tc>
        <w:tc>
          <w:tcPr>
            <w:tcW w:w="440" w:type="dxa"/>
            <w:vAlign w:val="center"/>
          </w:tcPr>
          <w:p w14:paraId="331C7FB0" w14:textId="77777777" w:rsidR="00713ED0" w:rsidRPr="00713ED0" w:rsidRDefault="00713ED0" w:rsidP="00FF45C2">
            <w:pPr>
              <w:pStyle w:val="TableTextEntries"/>
            </w:pPr>
            <w:r w:rsidRPr="00713ED0">
              <w:t>2012</w:t>
            </w:r>
          </w:p>
        </w:tc>
        <w:tc>
          <w:tcPr>
            <w:tcW w:w="334" w:type="dxa"/>
            <w:shd w:val="clear" w:color="auto" w:fill="92D050"/>
            <w:noWrap/>
            <w:vAlign w:val="center"/>
          </w:tcPr>
          <w:p w14:paraId="675B5415" w14:textId="77777777" w:rsidR="00713ED0" w:rsidRPr="00FF45C2" w:rsidRDefault="00713ED0" w:rsidP="00FF45C2">
            <w:pPr>
              <w:pStyle w:val="TableTextEntries"/>
              <w:jc w:val="center"/>
            </w:pPr>
            <w:r w:rsidRPr="00FF45C2">
              <w:t>6</w:t>
            </w:r>
          </w:p>
        </w:tc>
        <w:tc>
          <w:tcPr>
            <w:tcW w:w="334" w:type="dxa"/>
            <w:shd w:val="clear" w:color="auto" w:fill="FFFF00"/>
            <w:noWrap/>
            <w:vAlign w:val="center"/>
          </w:tcPr>
          <w:p w14:paraId="35B59EF8"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13A054CE"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08E22BF8"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7BD875B"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6CFEAC16"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tcPr>
          <w:p w14:paraId="011CB5C4" w14:textId="77777777" w:rsidR="00713ED0" w:rsidRPr="00FF45C2" w:rsidRDefault="00713ED0" w:rsidP="00FF45C2">
            <w:pPr>
              <w:pStyle w:val="TableTextEntries"/>
              <w:jc w:val="center"/>
            </w:pPr>
            <w:r w:rsidRPr="00FF45C2">
              <w:t>I</w:t>
            </w:r>
          </w:p>
        </w:tc>
      </w:tr>
      <w:tr w:rsidR="00713ED0" w:rsidRPr="00713ED0" w14:paraId="6C8293FF" w14:textId="77777777" w:rsidTr="00E0168D">
        <w:trPr>
          <w:tblHeader w:val="0"/>
        </w:trPr>
        <w:tc>
          <w:tcPr>
            <w:tcW w:w="823" w:type="dxa"/>
            <w:gridSpan w:val="2"/>
            <w:vMerge/>
            <w:vAlign w:val="center"/>
          </w:tcPr>
          <w:p w14:paraId="54E1C4E6" w14:textId="77777777" w:rsidR="00713ED0" w:rsidRPr="00713ED0" w:rsidRDefault="00713ED0" w:rsidP="00FF45C2">
            <w:pPr>
              <w:pStyle w:val="TableTextEntries"/>
            </w:pPr>
          </w:p>
        </w:tc>
        <w:tc>
          <w:tcPr>
            <w:tcW w:w="1486" w:type="dxa"/>
            <w:vMerge/>
            <w:vAlign w:val="center"/>
          </w:tcPr>
          <w:p w14:paraId="744B980C" w14:textId="77777777" w:rsidR="00713ED0" w:rsidRPr="00713ED0" w:rsidRDefault="00713ED0" w:rsidP="00FF45C2">
            <w:pPr>
              <w:pStyle w:val="TableTextEntries"/>
            </w:pPr>
          </w:p>
        </w:tc>
        <w:tc>
          <w:tcPr>
            <w:tcW w:w="813" w:type="dxa"/>
            <w:vMerge/>
            <w:vAlign w:val="center"/>
          </w:tcPr>
          <w:p w14:paraId="1315052A" w14:textId="77777777" w:rsidR="00713ED0" w:rsidRPr="00713ED0" w:rsidRDefault="00713ED0" w:rsidP="00FF45C2">
            <w:pPr>
              <w:pStyle w:val="TableTextEntries"/>
              <w:rPr>
                <w:sz w:val="14"/>
              </w:rPr>
            </w:pPr>
          </w:p>
        </w:tc>
        <w:tc>
          <w:tcPr>
            <w:tcW w:w="808" w:type="dxa"/>
            <w:vMerge/>
            <w:vAlign w:val="center"/>
          </w:tcPr>
          <w:p w14:paraId="2873D907" w14:textId="77777777" w:rsidR="00713ED0" w:rsidRPr="00713ED0" w:rsidRDefault="00713ED0" w:rsidP="00FF45C2">
            <w:pPr>
              <w:pStyle w:val="TableTextEntries"/>
              <w:rPr>
                <w:sz w:val="14"/>
              </w:rPr>
            </w:pPr>
          </w:p>
        </w:tc>
        <w:tc>
          <w:tcPr>
            <w:tcW w:w="1152" w:type="dxa"/>
            <w:vMerge/>
            <w:vAlign w:val="center"/>
          </w:tcPr>
          <w:p w14:paraId="7F59A0EE" w14:textId="77777777" w:rsidR="00713ED0" w:rsidRPr="00713ED0" w:rsidRDefault="00713ED0" w:rsidP="00FF45C2">
            <w:pPr>
              <w:pStyle w:val="TableTextEntries"/>
              <w:rPr>
                <w:sz w:val="14"/>
                <w:szCs w:val="16"/>
              </w:rPr>
            </w:pPr>
          </w:p>
        </w:tc>
        <w:tc>
          <w:tcPr>
            <w:tcW w:w="440" w:type="dxa"/>
            <w:vAlign w:val="center"/>
          </w:tcPr>
          <w:p w14:paraId="2C7FBDED" w14:textId="77777777" w:rsidR="00713ED0" w:rsidRPr="00713ED0" w:rsidRDefault="00713ED0" w:rsidP="00FF45C2">
            <w:pPr>
              <w:pStyle w:val="TableTextEntries"/>
            </w:pPr>
            <w:r w:rsidRPr="00713ED0">
              <w:t>2011</w:t>
            </w:r>
          </w:p>
        </w:tc>
        <w:tc>
          <w:tcPr>
            <w:tcW w:w="334" w:type="dxa"/>
            <w:shd w:val="clear" w:color="auto" w:fill="92D050"/>
            <w:noWrap/>
            <w:vAlign w:val="center"/>
          </w:tcPr>
          <w:p w14:paraId="3BA6037E"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6AE0BCCE"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AB82857"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15F0750A"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44C6B588" w14:textId="77777777" w:rsidR="00713ED0" w:rsidRPr="00FF45C2" w:rsidRDefault="00713ED0" w:rsidP="00FF45C2">
            <w:pPr>
              <w:pStyle w:val="TableTextEntries"/>
              <w:jc w:val="center"/>
            </w:pPr>
            <w:r w:rsidRPr="00FF45C2">
              <w:t>6</w:t>
            </w:r>
          </w:p>
        </w:tc>
        <w:tc>
          <w:tcPr>
            <w:tcW w:w="334" w:type="dxa"/>
            <w:shd w:val="clear" w:color="auto" w:fill="FFFF00"/>
            <w:noWrap/>
            <w:vAlign w:val="center"/>
          </w:tcPr>
          <w:p w14:paraId="162F0564" w14:textId="77777777" w:rsidR="00713ED0" w:rsidRPr="00FF45C2" w:rsidRDefault="00713ED0" w:rsidP="00FF45C2">
            <w:pPr>
              <w:pStyle w:val="TableTextEntries"/>
              <w:jc w:val="center"/>
            </w:pPr>
            <w:r w:rsidRPr="00FF45C2">
              <w:t>4</w:t>
            </w:r>
          </w:p>
        </w:tc>
        <w:tc>
          <w:tcPr>
            <w:tcW w:w="347" w:type="dxa"/>
            <w:shd w:val="clear" w:color="auto" w:fill="FF0000"/>
            <w:noWrap/>
            <w:vAlign w:val="center"/>
          </w:tcPr>
          <w:p w14:paraId="24EE7EC8" w14:textId="77777777" w:rsidR="00713ED0" w:rsidRPr="00FF45C2" w:rsidRDefault="00713ED0" w:rsidP="00FF45C2">
            <w:pPr>
              <w:pStyle w:val="TableTextEntries"/>
              <w:jc w:val="center"/>
            </w:pPr>
            <w:r w:rsidRPr="00FF45C2">
              <w:t>B</w:t>
            </w:r>
          </w:p>
        </w:tc>
      </w:tr>
      <w:tr w:rsidR="00713ED0" w:rsidRPr="00713ED0" w14:paraId="1FE302BF"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68749991" w14:textId="77777777" w:rsidR="00713ED0" w:rsidRPr="00713ED0" w:rsidRDefault="00713ED0" w:rsidP="00FF45C2">
            <w:pPr>
              <w:pStyle w:val="TableTextEntries"/>
            </w:pPr>
            <w:r w:rsidRPr="00713ED0">
              <w:t>INK714</w:t>
            </w:r>
          </w:p>
        </w:tc>
        <w:tc>
          <w:tcPr>
            <w:tcW w:w="1486" w:type="dxa"/>
            <w:vMerge w:val="restart"/>
            <w:vAlign w:val="center"/>
          </w:tcPr>
          <w:p w14:paraId="5C343A4C" w14:textId="77777777" w:rsidR="00713ED0" w:rsidRPr="00713ED0" w:rsidRDefault="00713ED0" w:rsidP="00FF45C2">
            <w:pPr>
              <w:pStyle w:val="TableTextEntries"/>
            </w:pPr>
            <w:r w:rsidRPr="00713ED0">
              <w:t xml:space="preserve">Empowering Indonesian Women for Poverty Reduction </w:t>
            </w:r>
          </w:p>
        </w:tc>
        <w:tc>
          <w:tcPr>
            <w:tcW w:w="813" w:type="dxa"/>
            <w:vMerge w:val="restart"/>
            <w:vAlign w:val="center"/>
          </w:tcPr>
          <w:p w14:paraId="5AAD61A8" w14:textId="77777777" w:rsidR="00713ED0" w:rsidRPr="00713ED0" w:rsidRDefault="00713ED0" w:rsidP="00FF45C2">
            <w:pPr>
              <w:pStyle w:val="TableTextEntries"/>
              <w:rPr>
                <w:sz w:val="14"/>
              </w:rPr>
            </w:pPr>
            <w:r w:rsidRPr="00713ED0">
              <w:rPr>
                <w:sz w:val="14"/>
              </w:rPr>
              <w:t>02/07/2012</w:t>
            </w:r>
          </w:p>
        </w:tc>
        <w:tc>
          <w:tcPr>
            <w:tcW w:w="808" w:type="dxa"/>
            <w:vMerge w:val="restart"/>
            <w:vAlign w:val="center"/>
          </w:tcPr>
          <w:p w14:paraId="48884106" w14:textId="77777777" w:rsidR="00713ED0" w:rsidRPr="00713ED0" w:rsidRDefault="00713ED0" w:rsidP="00FF45C2">
            <w:pPr>
              <w:pStyle w:val="TableTextEntries"/>
              <w:rPr>
                <w:sz w:val="14"/>
              </w:rPr>
            </w:pPr>
            <w:r w:rsidRPr="00713ED0">
              <w:rPr>
                <w:sz w:val="14"/>
              </w:rPr>
              <w:t>30/06/2016</w:t>
            </w:r>
          </w:p>
        </w:tc>
        <w:tc>
          <w:tcPr>
            <w:tcW w:w="1152" w:type="dxa"/>
            <w:vMerge w:val="restart"/>
            <w:vAlign w:val="center"/>
          </w:tcPr>
          <w:p w14:paraId="2E335899" w14:textId="494E3726" w:rsidR="00713ED0" w:rsidRPr="00713ED0" w:rsidRDefault="00713ED0" w:rsidP="00FF45C2">
            <w:pPr>
              <w:pStyle w:val="TableTextEntries"/>
              <w:rPr>
                <w:sz w:val="14"/>
                <w:szCs w:val="16"/>
              </w:rPr>
            </w:pPr>
            <w:r w:rsidRPr="00713ED0">
              <w:rPr>
                <w:sz w:val="14"/>
                <w:szCs w:val="16"/>
              </w:rPr>
              <w:t>$60</w:t>
            </w:r>
            <w:r w:rsidR="00623D66">
              <w:rPr>
                <w:sz w:val="14"/>
                <w:szCs w:val="16"/>
              </w:rPr>
              <w:t xml:space="preserve"> </w:t>
            </w:r>
            <w:r w:rsidRPr="00713ED0">
              <w:rPr>
                <w:sz w:val="14"/>
                <w:szCs w:val="16"/>
              </w:rPr>
              <w:t>000</w:t>
            </w:r>
            <w:r w:rsidR="00623D66">
              <w:rPr>
                <w:sz w:val="14"/>
                <w:szCs w:val="16"/>
              </w:rPr>
              <w:t xml:space="preserve"> </w:t>
            </w:r>
            <w:r w:rsidRPr="00713ED0">
              <w:rPr>
                <w:sz w:val="14"/>
                <w:szCs w:val="16"/>
              </w:rPr>
              <w:t>000.00</w:t>
            </w:r>
          </w:p>
        </w:tc>
        <w:tc>
          <w:tcPr>
            <w:tcW w:w="440" w:type="dxa"/>
            <w:vAlign w:val="center"/>
          </w:tcPr>
          <w:p w14:paraId="02DAC21F" w14:textId="77777777" w:rsidR="00713ED0" w:rsidRPr="00713ED0" w:rsidRDefault="00713ED0" w:rsidP="00FF45C2">
            <w:pPr>
              <w:pStyle w:val="TableTextEntries"/>
            </w:pPr>
            <w:r w:rsidRPr="00713ED0">
              <w:t>2012</w:t>
            </w:r>
          </w:p>
        </w:tc>
        <w:tc>
          <w:tcPr>
            <w:tcW w:w="334" w:type="dxa"/>
            <w:shd w:val="clear" w:color="auto" w:fill="92D050"/>
            <w:noWrap/>
            <w:vAlign w:val="center"/>
          </w:tcPr>
          <w:p w14:paraId="1D55DF41"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26278BE"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16BEB704"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2D7FCB74"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1AACF80F"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8B525E5"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tcPr>
          <w:p w14:paraId="587BC936" w14:textId="77777777" w:rsidR="00713ED0" w:rsidRPr="00FF45C2" w:rsidRDefault="00713ED0" w:rsidP="00FF45C2">
            <w:pPr>
              <w:pStyle w:val="TableTextEntries"/>
              <w:jc w:val="center"/>
            </w:pPr>
            <w:r w:rsidRPr="00FF45C2">
              <w:t>I</w:t>
            </w:r>
          </w:p>
        </w:tc>
      </w:tr>
      <w:tr w:rsidR="00713ED0" w:rsidRPr="00713ED0" w14:paraId="508C5243" w14:textId="77777777" w:rsidTr="00E0168D">
        <w:trPr>
          <w:tblHeader w:val="0"/>
        </w:trPr>
        <w:tc>
          <w:tcPr>
            <w:tcW w:w="823" w:type="dxa"/>
            <w:gridSpan w:val="2"/>
            <w:vMerge/>
            <w:vAlign w:val="center"/>
          </w:tcPr>
          <w:p w14:paraId="62ED22F7" w14:textId="77777777" w:rsidR="00713ED0" w:rsidRPr="00713ED0" w:rsidRDefault="00713ED0" w:rsidP="00FF45C2">
            <w:pPr>
              <w:pStyle w:val="TableTextEntries"/>
            </w:pPr>
          </w:p>
        </w:tc>
        <w:tc>
          <w:tcPr>
            <w:tcW w:w="1486" w:type="dxa"/>
            <w:vMerge/>
            <w:vAlign w:val="center"/>
          </w:tcPr>
          <w:p w14:paraId="3E6345CE" w14:textId="77777777" w:rsidR="00713ED0" w:rsidRPr="00713ED0" w:rsidRDefault="00713ED0" w:rsidP="00FF45C2">
            <w:pPr>
              <w:pStyle w:val="TableTextEntries"/>
            </w:pPr>
          </w:p>
        </w:tc>
        <w:tc>
          <w:tcPr>
            <w:tcW w:w="813" w:type="dxa"/>
            <w:vMerge/>
            <w:vAlign w:val="center"/>
          </w:tcPr>
          <w:p w14:paraId="0179D525" w14:textId="77777777" w:rsidR="00713ED0" w:rsidRPr="00713ED0" w:rsidRDefault="00713ED0" w:rsidP="00FF45C2">
            <w:pPr>
              <w:pStyle w:val="TableTextEntries"/>
              <w:rPr>
                <w:sz w:val="14"/>
              </w:rPr>
            </w:pPr>
          </w:p>
        </w:tc>
        <w:tc>
          <w:tcPr>
            <w:tcW w:w="808" w:type="dxa"/>
            <w:vMerge/>
            <w:vAlign w:val="center"/>
          </w:tcPr>
          <w:p w14:paraId="39F28FBC" w14:textId="77777777" w:rsidR="00713ED0" w:rsidRPr="00713ED0" w:rsidRDefault="00713ED0" w:rsidP="00FF45C2">
            <w:pPr>
              <w:pStyle w:val="TableTextEntries"/>
              <w:rPr>
                <w:sz w:val="14"/>
              </w:rPr>
            </w:pPr>
          </w:p>
        </w:tc>
        <w:tc>
          <w:tcPr>
            <w:tcW w:w="1152" w:type="dxa"/>
            <w:vMerge/>
            <w:vAlign w:val="center"/>
          </w:tcPr>
          <w:p w14:paraId="2980E7FB" w14:textId="77777777" w:rsidR="00713ED0" w:rsidRPr="00713ED0" w:rsidRDefault="00713ED0" w:rsidP="00FF45C2">
            <w:pPr>
              <w:pStyle w:val="TableTextEntries"/>
              <w:rPr>
                <w:sz w:val="14"/>
                <w:szCs w:val="16"/>
              </w:rPr>
            </w:pPr>
          </w:p>
        </w:tc>
        <w:tc>
          <w:tcPr>
            <w:tcW w:w="440" w:type="dxa"/>
            <w:vAlign w:val="center"/>
          </w:tcPr>
          <w:p w14:paraId="51504E77" w14:textId="77777777" w:rsidR="00713ED0" w:rsidRPr="00713ED0" w:rsidRDefault="00713ED0" w:rsidP="00FF45C2">
            <w:pPr>
              <w:pStyle w:val="TableTextEntries"/>
            </w:pPr>
            <w:r w:rsidRPr="00713ED0">
              <w:t>2011</w:t>
            </w:r>
          </w:p>
        </w:tc>
        <w:tc>
          <w:tcPr>
            <w:tcW w:w="334" w:type="dxa"/>
            <w:tcBorders>
              <w:top w:val="nil"/>
              <w:bottom w:val="nil"/>
            </w:tcBorders>
            <w:shd w:val="clear" w:color="auto" w:fill="auto"/>
            <w:noWrap/>
            <w:vAlign w:val="center"/>
          </w:tcPr>
          <w:p w14:paraId="10DF139C"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58FFFC1F"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6F7810CB" w14:textId="77777777" w:rsidR="00713ED0" w:rsidRPr="00FF45C2" w:rsidRDefault="00713ED0" w:rsidP="00FF45C2">
            <w:pPr>
              <w:pStyle w:val="TableTextEntries"/>
              <w:jc w:val="center"/>
            </w:pPr>
            <w:r w:rsidRPr="00FF45C2">
              <w:t>n/a</w:t>
            </w:r>
          </w:p>
        </w:tc>
        <w:tc>
          <w:tcPr>
            <w:tcW w:w="403" w:type="dxa"/>
            <w:tcBorders>
              <w:top w:val="nil"/>
              <w:bottom w:val="nil"/>
            </w:tcBorders>
            <w:shd w:val="clear" w:color="auto" w:fill="auto"/>
            <w:noWrap/>
            <w:vAlign w:val="center"/>
          </w:tcPr>
          <w:p w14:paraId="6C292C49"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0294E622"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254D5256" w14:textId="77777777" w:rsidR="00713ED0" w:rsidRPr="00FF45C2" w:rsidRDefault="00713ED0" w:rsidP="00FF45C2">
            <w:pPr>
              <w:pStyle w:val="TableTextEntries"/>
              <w:jc w:val="center"/>
            </w:pPr>
            <w:r w:rsidRPr="00FF45C2">
              <w:t>n/a</w:t>
            </w:r>
          </w:p>
        </w:tc>
        <w:tc>
          <w:tcPr>
            <w:tcW w:w="347" w:type="dxa"/>
            <w:tcBorders>
              <w:top w:val="nil"/>
              <w:bottom w:val="nil"/>
            </w:tcBorders>
            <w:shd w:val="clear" w:color="auto" w:fill="auto"/>
            <w:noWrap/>
            <w:vAlign w:val="center"/>
          </w:tcPr>
          <w:p w14:paraId="225C78A0" w14:textId="77777777" w:rsidR="00713ED0" w:rsidRPr="00FF45C2" w:rsidRDefault="00713ED0" w:rsidP="00FF45C2">
            <w:pPr>
              <w:pStyle w:val="TableTextEntries"/>
              <w:jc w:val="center"/>
            </w:pPr>
            <w:r w:rsidRPr="00FF45C2">
              <w:t>n/a</w:t>
            </w:r>
          </w:p>
        </w:tc>
      </w:tr>
      <w:tr w:rsidR="00713ED0" w:rsidRPr="00713ED0" w14:paraId="39B6AC2D"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323CC0C3" w14:textId="77777777" w:rsidR="00713ED0" w:rsidRPr="00713ED0" w:rsidRDefault="00713ED0" w:rsidP="00FF45C2">
            <w:pPr>
              <w:pStyle w:val="TableTextEntries"/>
            </w:pPr>
            <w:r w:rsidRPr="00713ED0">
              <w:t>INK532</w:t>
            </w:r>
          </w:p>
        </w:tc>
        <w:tc>
          <w:tcPr>
            <w:tcW w:w="1486" w:type="dxa"/>
            <w:vMerge w:val="restart"/>
            <w:vAlign w:val="center"/>
          </w:tcPr>
          <w:p w14:paraId="5FBBCC4F" w14:textId="58A67ACE" w:rsidR="00713ED0" w:rsidRPr="00713ED0" w:rsidRDefault="00713ED0" w:rsidP="00FF45C2">
            <w:pPr>
              <w:pStyle w:val="TableTextEntries"/>
            </w:pPr>
            <w:r w:rsidRPr="00713ED0">
              <w:t xml:space="preserve">Institutional Design </w:t>
            </w:r>
            <w:r w:rsidR="00501774">
              <w:t xml:space="preserve">and </w:t>
            </w:r>
            <w:r w:rsidRPr="00713ED0">
              <w:t>Capacity Building Initiative</w:t>
            </w:r>
          </w:p>
        </w:tc>
        <w:tc>
          <w:tcPr>
            <w:tcW w:w="813" w:type="dxa"/>
            <w:vMerge w:val="restart"/>
            <w:vAlign w:val="center"/>
          </w:tcPr>
          <w:p w14:paraId="4299D9E0" w14:textId="77777777" w:rsidR="00713ED0" w:rsidRPr="00713ED0" w:rsidRDefault="00713ED0" w:rsidP="00FF45C2">
            <w:pPr>
              <w:pStyle w:val="TableTextEntries"/>
              <w:rPr>
                <w:sz w:val="14"/>
              </w:rPr>
            </w:pPr>
            <w:r w:rsidRPr="00713ED0">
              <w:rPr>
                <w:sz w:val="14"/>
              </w:rPr>
              <w:t>25/05/2012</w:t>
            </w:r>
          </w:p>
        </w:tc>
        <w:tc>
          <w:tcPr>
            <w:tcW w:w="808" w:type="dxa"/>
            <w:vMerge w:val="restart"/>
            <w:vAlign w:val="center"/>
          </w:tcPr>
          <w:p w14:paraId="234844C9" w14:textId="77777777" w:rsidR="00713ED0" w:rsidRPr="00713ED0" w:rsidRDefault="00713ED0" w:rsidP="00FF45C2">
            <w:pPr>
              <w:pStyle w:val="TableTextEntries"/>
              <w:rPr>
                <w:sz w:val="14"/>
              </w:rPr>
            </w:pPr>
            <w:r w:rsidRPr="00713ED0">
              <w:rPr>
                <w:sz w:val="14"/>
              </w:rPr>
              <w:t>01/08/2016</w:t>
            </w:r>
          </w:p>
        </w:tc>
        <w:tc>
          <w:tcPr>
            <w:tcW w:w="1152" w:type="dxa"/>
            <w:vMerge w:val="restart"/>
            <w:vAlign w:val="center"/>
          </w:tcPr>
          <w:p w14:paraId="2683A7C4" w14:textId="00A1BAB4" w:rsidR="00713ED0" w:rsidRPr="00713ED0" w:rsidRDefault="00713ED0" w:rsidP="00FF45C2">
            <w:pPr>
              <w:pStyle w:val="TableTextEntries"/>
              <w:rPr>
                <w:sz w:val="14"/>
                <w:szCs w:val="16"/>
              </w:rPr>
            </w:pPr>
            <w:r w:rsidRPr="00713ED0">
              <w:rPr>
                <w:sz w:val="14"/>
                <w:szCs w:val="16"/>
              </w:rPr>
              <w:t>$5</w:t>
            </w:r>
            <w:r w:rsidR="00623D66">
              <w:rPr>
                <w:sz w:val="14"/>
                <w:szCs w:val="16"/>
              </w:rPr>
              <w:t xml:space="preserve"> </w:t>
            </w:r>
            <w:r w:rsidRPr="00713ED0">
              <w:rPr>
                <w:sz w:val="14"/>
                <w:szCs w:val="16"/>
              </w:rPr>
              <w:t>685</w:t>
            </w:r>
            <w:r w:rsidR="00623D66">
              <w:rPr>
                <w:sz w:val="14"/>
                <w:szCs w:val="16"/>
              </w:rPr>
              <w:t xml:space="preserve"> </w:t>
            </w:r>
            <w:r w:rsidRPr="00713ED0">
              <w:rPr>
                <w:sz w:val="14"/>
                <w:szCs w:val="16"/>
              </w:rPr>
              <w:t>000.00</w:t>
            </w:r>
          </w:p>
        </w:tc>
        <w:tc>
          <w:tcPr>
            <w:tcW w:w="440" w:type="dxa"/>
            <w:vAlign w:val="center"/>
          </w:tcPr>
          <w:p w14:paraId="23C7CE64" w14:textId="77777777" w:rsidR="00713ED0" w:rsidRPr="00713ED0" w:rsidRDefault="00713ED0" w:rsidP="00FF45C2">
            <w:pPr>
              <w:pStyle w:val="TableTextEntries"/>
            </w:pPr>
            <w:r w:rsidRPr="00713ED0">
              <w:t>2012</w:t>
            </w:r>
          </w:p>
        </w:tc>
        <w:tc>
          <w:tcPr>
            <w:tcW w:w="334" w:type="dxa"/>
            <w:shd w:val="clear" w:color="auto" w:fill="92D050"/>
            <w:noWrap/>
            <w:vAlign w:val="center"/>
          </w:tcPr>
          <w:p w14:paraId="4345910B"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5EDA2E1B"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327BD36"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5692C70A"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57EA9F60"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EF1106C"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tcPr>
          <w:p w14:paraId="610FE450" w14:textId="77777777" w:rsidR="00713ED0" w:rsidRPr="00FF45C2" w:rsidRDefault="00713ED0" w:rsidP="00FF45C2">
            <w:pPr>
              <w:pStyle w:val="TableTextEntries"/>
              <w:jc w:val="center"/>
            </w:pPr>
            <w:r w:rsidRPr="00FF45C2">
              <w:t>I</w:t>
            </w:r>
          </w:p>
        </w:tc>
      </w:tr>
      <w:tr w:rsidR="00713ED0" w:rsidRPr="00713ED0" w14:paraId="0D14C8EB" w14:textId="77777777" w:rsidTr="00E0168D">
        <w:trPr>
          <w:tblHeader w:val="0"/>
        </w:trPr>
        <w:tc>
          <w:tcPr>
            <w:tcW w:w="823" w:type="dxa"/>
            <w:gridSpan w:val="2"/>
            <w:vMerge/>
            <w:vAlign w:val="center"/>
          </w:tcPr>
          <w:p w14:paraId="2FF80F64" w14:textId="77777777" w:rsidR="00713ED0" w:rsidRPr="00713ED0" w:rsidRDefault="00713ED0" w:rsidP="00FF45C2">
            <w:pPr>
              <w:pStyle w:val="TableTextEntries"/>
            </w:pPr>
          </w:p>
        </w:tc>
        <w:tc>
          <w:tcPr>
            <w:tcW w:w="1486" w:type="dxa"/>
            <w:vMerge/>
            <w:vAlign w:val="center"/>
          </w:tcPr>
          <w:p w14:paraId="5A734F63" w14:textId="77777777" w:rsidR="00713ED0" w:rsidRPr="00713ED0" w:rsidRDefault="00713ED0" w:rsidP="00FF45C2">
            <w:pPr>
              <w:pStyle w:val="TableTextEntries"/>
            </w:pPr>
          </w:p>
        </w:tc>
        <w:tc>
          <w:tcPr>
            <w:tcW w:w="813" w:type="dxa"/>
            <w:vMerge/>
            <w:vAlign w:val="center"/>
          </w:tcPr>
          <w:p w14:paraId="14B95D90" w14:textId="77777777" w:rsidR="00713ED0" w:rsidRPr="00713ED0" w:rsidRDefault="00713ED0" w:rsidP="00FF45C2">
            <w:pPr>
              <w:pStyle w:val="TableTextEntries"/>
              <w:rPr>
                <w:sz w:val="14"/>
              </w:rPr>
            </w:pPr>
          </w:p>
        </w:tc>
        <w:tc>
          <w:tcPr>
            <w:tcW w:w="808" w:type="dxa"/>
            <w:vMerge/>
            <w:vAlign w:val="center"/>
          </w:tcPr>
          <w:p w14:paraId="26471390" w14:textId="77777777" w:rsidR="00713ED0" w:rsidRPr="00713ED0" w:rsidRDefault="00713ED0" w:rsidP="00FF45C2">
            <w:pPr>
              <w:pStyle w:val="TableTextEntries"/>
              <w:rPr>
                <w:sz w:val="14"/>
              </w:rPr>
            </w:pPr>
          </w:p>
        </w:tc>
        <w:tc>
          <w:tcPr>
            <w:tcW w:w="1152" w:type="dxa"/>
            <w:vMerge/>
            <w:vAlign w:val="center"/>
          </w:tcPr>
          <w:p w14:paraId="0FC64246" w14:textId="77777777" w:rsidR="00713ED0" w:rsidRPr="00713ED0" w:rsidRDefault="00713ED0" w:rsidP="00FF45C2">
            <w:pPr>
              <w:pStyle w:val="TableTextEntries"/>
              <w:rPr>
                <w:sz w:val="14"/>
                <w:szCs w:val="16"/>
              </w:rPr>
            </w:pPr>
          </w:p>
        </w:tc>
        <w:tc>
          <w:tcPr>
            <w:tcW w:w="440" w:type="dxa"/>
            <w:vAlign w:val="center"/>
          </w:tcPr>
          <w:p w14:paraId="43E92B6E" w14:textId="77777777" w:rsidR="00713ED0" w:rsidRPr="00713ED0" w:rsidRDefault="00713ED0" w:rsidP="00FF45C2">
            <w:pPr>
              <w:pStyle w:val="TableTextEntries"/>
              <w:rPr>
                <w:color w:val="25396E"/>
              </w:rPr>
            </w:pPr>
            <w:r w:rsidRPr="00713ED0">
              <w:t>2011</w:t>
            </w:r>
          </w:p>
        </w:tc>
        <w:tc>
          <w:tcPr>
            <w:tcW w:w="334" w:type="dxa"/>
            <w:tcBorders>
              <w:top w:val="nil"/>
              <w:bottom w:val="nil"/>
            </w:tcBorders>
            <w:shd w:val="clear" w:color="auto" w:fill="auto"/>
            <w:noWrap/>
            <w:vAlign w:val="center"/>
          </w:tcPr>
          <w:p w14:paraId="6333F70C"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5B996A43"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278E838D" w14:textId="77777777" w:rsidR="00713ED0" w:rsidRPr="00FF45C2" w:rsidRDefault="00713ED0" w:rsidP="00FF45C2">
            <w:pPr>
              <w:pStyle w:val="TableTextEntries"/>
              <w:jc w:val="center"/>
            </w:pPr>
            <w:r w:rsidRPr="00FF45C2">
              <w:t>n/a</w:t>
            </w:r>
          </w:p>
        </w:tc>
        <w:tc>
          <w:tcPr>
            <w:tcW w:w="403" w:type="dxa"/>
            <w:tcBorders>
              <w:top w:val="nil"/>
              <w:bottom w:val="nil"/>
            </w:tcBorders>
            <w:shd w:val="clear" w:color="auto" w:fill="auto"/>
            <w:noWrap/>
            <w:vAlign w:val="center"/>
          </w:tcPr>
          <w:p w14:paraId="215991B0"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0436E223"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488DF9FC" w14:textId="77777777" w:rsidR="00713ED0" w:rsidRPr="00FF45C2" w:rsidRDefault="00713ED0" w:rsidP="00FF45C2">
            <w:pPr>
              <w:pStyle w:val="TableTextEntries"/>
              <w:jc w:val="center"/>
            </w:pPr>
            <w:r w:rsidRPr="00FF45C2">
              <w:t>n/a</w:t>
            </w:r>
          </w:p>
        </w:tc>
        <w:tc>
          <w:tcPr>
            <w:tcW w:w="347" w:type="dxa"/>
            <w:tcBorders>
              <w:top w:val="nil"/>
              <w:bottom w:val="nil"/>
            </w:tcBorders>
            <w:shd w:val="clear" w:color="auto" w:fill="auto"/>
            <w:noWrap/>
            <w:vAlign w:val="center"/>
          </w:tcPr>
          <w:p w14:paraId="09BC04E7" w14:textId="77777777" w:rsidR="00713ED0" w:rsidRPr="00FF45C2" w:rsidRDefault="00713ED0" w:rsidP="00FF45C2">
            <w:pPr>
              <w:pStyle w:val="TableTextEntries"/>
              <w:jc w:val="center"/>
            </w:pPr>
            <w:r w:rsidRPr="00FF45C2">
              <w:t>n/a</w:t>
            </w:r>
          </w:p>
        </w:tc>
      </w:tr>
      <w:tr w:rsidR="00713ED0" w:rsidRPr="00713ED0" w14:paraId="5D51BE8F" w14:textId="77777777" w:rsidTr="00E0168D">
        <w:trPr>
          <w:cnfStyle w:val="000000010000" w:firstRow="0" w:lastRow="0" w:firstColumn="0" w:lastColumn="0" w:oddVBand="0" w:evenVBand="0" w:oddHBand="0" w:evenHBand="1" w:firstRowFirstColumn="0" w:firstRowLastColumn="0" w:lastRowFirstColumn="0" w:lastRowLastColumn="0"/>
          <w:cantSplit/>
          <w:tblHeader w:val="0"/>
        </w:trPr>
        <w:tc>
          <w:tcPr>
            <w:tcW w:w="2337" w:type="dxa"/>
            <w:gridSpan w:val="3"/>
            <w:vAlign w:val="bottom"/>
          </w:tcPr>
          <w:p w14:paraId="716C9F48" w14:textId="77777777" w:rsidR="00713ED0" w:rsidRPr="00713ED0" w:rsidRDefault="00713ED0" w:rsidP="00E0168D">
            <w:pPr>
              <w:pStyle w:val="TableHeading2"/>
            </w:pPr>
            <w:r w:rsidRPr="00713ED0">
              <w:t>Bureaucratic reform</w:t>
            </w:r>
          </w:p>
        </w:tc>
        <w:tc>
          <w:tcPr>
            <w:tcW w:w="813" w:type="dxa"/>
          </w:tcPr>
          <w:p w14:paraId="6F278B09" w14:textId="77777777" w:rsidR="00713ED0" w:rsidRPr="00713ED0" w:rsidRDefault="00713ED0" w:rsidP="00FF45C2">
            <w:pPr>
              <w:pStyle w:val="TableTextEntries"/>
              <w:rPr>
                <w:sz w:val="14"/>
              </w:rPr>
            </w:pPr>
          </w:p>
        </w:tc>
        <w:tc>
          <w:tcPr>
            <w:tcW w:w="808" w:type="dxa"/>
            <w:vAlign w:val="center"/>
          </w:tcPr>
          <w:p w14:paraId="5B0DB81A" w14:textId="77777777" w:rsidR="00713ED0" w:rsidRPr="00713ED0" w:rsidRDefault="00713ED0" w:rsidP="00FF45C2">
            <w:pPr>
              <w:pStyle w:val="TableTextEntries"/>
              <w:rPr>
                <w:sz w:val="14"/>
              </w:rPr>
            </w:pPr>
          </w:p>
        </w:tc>
        <w:tc>
          <w:tcPr>
            <w:tcW w:w="1152" w:type="dxa"/>
            <w:vAlign w:val="bottom"/>
          </w:tcPr>
          <w:p w14:paraId="385CA393" w14:textId="77777777" w:rsidR="00713ED0" w:rsidRPr="00713ED0" w:rsidRDefault="00713ED0" w:rsidP="00FF45C2">
            <w:pPr>
              <w:pStyle w:val="TableTextEntries"/>
              <w:rPr>
                <w:sz w:val="14"/>
                <w:szCs w:val="16"/>
              </w:rPr>
            </w:pPr>
          </w:p>
        </w:tc>
        <w:tc>
          <w:tcPr>
            <w:tcW w:w="440" w:type="dxa"/>
            <w:textDirection w:val="btLr"/>
            <w:vAlign w:val="center"/>
          </w:tcPr>
          <w:p w14:paraId="54FC07FB" w14:textId="77777777" w:rsidR="00713ED0" w:rsidRPr="00713ED0" w:rsidRDefault="00713ED0" w:rsidP="00FF45C2">
            <w:pPr>
              <w:pStyle w:val="TableTextEntries"/>
            </w:pPr>
          </w:p>
        </w:tc>
        <w:tc>
          <w:tcPr>
            <w:tcW w:w="334" w:type="dxa"/>
            <w:textDirection w:val="btLr"/>
            <w:vAlign w:val="center"/>
          </w:tcPr>
          <w:p w14:paraId="63CB1042" w14:textId="77777777" w:rsidR="00713ED0" w:rsidRPr="00FF45C2" w:rsidRDefault="00713ED0" w:rsidP="00FF45C2">
            <w:pPr>
              <w:pStyle w:val="TableTextEntries"/>
              <w:jc w:val="center"/>
            </w:pPr>
          </w:p>
        </w:tc>
        <w:tc>
          <w:tcPr>
            <w:tcW w:w="334" w:type="dxa"/>
            <w:textDirection w:val="btLr"/>
            <w:vAlign w:val="center"/>
          </w:tcPr>
          <w:p w14:paraId="003B9949" w14:textId="77777777" w:rsidR="00713ED0" w:rsidRPr="00FF45C2" w:rsidRDefault="00713ED0" w:rsidP="00FF45C2">
            <w:pPr>
              <w:pStyle w:val="TableTextEntries"/>
              <w:jc w:val="center"/>
            </w:pPr>
          </w:p>
        </w:tc>
        <w:tc>
          <w:tcPr>
            <w:tcW w:w="334" w:type="dxa"/>
            <w:textDirection w:val="btLr"/>
            <w:vAlign w:val="center"/>
          </w:tcPr>
          <w:p w14:paraId="097428D0" w14:textId="77777777" w:rsidR="00713ED0" w:rsidRPr="00FF45C2" w:rsidRDefault="00713ED0" w:rsidP="00FF45C2">
            <w:pPr>
              <w:pStyle w:val="TableTextEntries"/>
              <w:jc w:val="center"/>
            </w:pPr>
          </w:p>
        </w:tc>
        <w:tc>
          <w:tcPr>
            <w:tcW w:w="403" w:type="dxa"/>
            <w:textDirection w:val="btLr"/>
            <w:vAlign w:val="center"/>
          </w:tcPr>
          <w:p w14:paraId="484E7C3F" w14:textId="77777777" w:rsidR="00713ED0" w:rsidRPr="00FF45C2" w:rsidRDefault="00713ED0" w:rsidP="00FF45C2">
            <w:pPr>
              <w:pStyle w:val="TableTextEntries"/>
              <w:jc w:val="center"/>
            </w:pPr>
          </w:p>
        </w:tc>
        <w:tc>
          <w:tcPr>
            <w:tcW w:w="334" w:type="dxa"/>
            <w:textDirection w:val="btLr"/>
            <w:vAlign w:val="center"/>
          </w:tcPr>
          <w:p w14:paraId="06014616" w14:textId="77777777" w:rsidR="00713ED0" w:rsidRPr="00FF45C2" w:rsidRDefault="00713ED0" w:rsidP="00FF45C2">
            <w:pPr>
              <w:pStyle w:val="TableTextEntries"/>
              <w:jc w:val="center"/>
            </w:pPr>
          </w:p>
        </w:tc>
        <w:tc>
          <w:tcPr>
            <w:tcW w:w="334" w:type="dxa"/>
            <w:textDirection w:val="btLr"/>
            <w:vAlign w:val="center"/>
          </w:tcPr>
          <w:p w14:paraId="79EA6FF0" w14:textId="77777777" w:rsidR="00713ED0" w:rsidRPr="00FF45C2" w:rsidRDefault="00713ED0" w:rsidP="00FF45C2">
            <w:pPr>
              <w:pStyle w:val="TableTextEntries"/>
              <w:jc w:val="center"/>
            </w:pPr>
          </w:p>
        </w:tc>
        <w:tc>
          <w:tcPr>
            <w:tcW w:w="347" w:type="dxa"/>
            <w:textDirection w:val="btLr"/>
            <w:vAlign w:val="center"/>
          </w:tcPr>
          <w:p w14:paraId="31D54200" w14:textId="77777777" w:rsidR="00713ED0" w:rsidRPr="00FF45C2" w:rsidRDefault="00713ED0" w:rsidP="00FF45C2">
            <w:pPr>
              <w:pStyle w:val="TableTextEntries"/>
              <w:jc w:val="center"/>
            </w:pPr>
          </w:p>
        </w:tc>
      </w:tr>
      <w:tr w:rsidR="00713ED0" w:rsidRPr="00713ED0" w14:paraId="54A3D993" w14:textId="77777777" w:rsidTr="00E0168D">
        <w:trPr>
          <w:tblHeader w:val="0"/>
        </w:trPr>
        <w:tc>
          <w:tcPr>
            <w:tcW w:w="823" w:type="dxa"/>
            <w:gridSpan w:val="2"/>
            <w:vMerge w:val="restart"/>
            <w:vAlign w:val="center"/>
          </w:tcPr>
          <w:p w14:paraId="24085582" w14:textId="77777777" w:rsidR="00713ED0" w:rsidRPr="00713ED0" w:rsidRDefault="00713ED0" w:rsidP="00FF45C2">
            <w:pPr>
              <w:pStyle w:val="TableTextEntries"/>
            </w:pPr>
            <w:r w:rsidRPr="00713ED0">
              <w:t>INJ823</w:t>
            </w:r>
          </w:p>
        </w:tc>
        <w:tc>
          <w:tcPr>
            <w:tcW w:w="1486" w:type="dxa"/>
            <w:vMerge w:val="restart"/>
            <w:vAlign w:val="center"/>
          </w:tcPr>
          <w:p w14:paraId="6EC522BB" w14:textId="77777777" w:rsidR="00713ED0" w:rsidRPr="00713ED0" w:rsidRDefault="00713ED0" w:rsidP="00FF45C2">
            <w:pPr>
              <w:pStyle w:val="TableTextEntries"/>
            </w:pPr>
            <w:r w:rsidRPr="00713ED0">
              <w:t>Bureaucratic Reform in Indonesia</w:t>
            </w:r>
          </w:p>
        </w:tc>
        <w:tc>
          <w:tcPr>
            <w:tcW w:w="813" w:type="dxa"/>
            <w:vMerge w:val="restart"/>
            <w:vAlign w:val="center"/>
          </w:tcPr>
          <w:p w14:paraId="1BD25D37" w14:textId="77777777" w:rsidR="00713ED0" w:rsidRPr="00713ED0" w:rsidRDefault="00713ED0" w:rsidP="00FF45C2">
            <w:pPr>
              <w:pStyle w:val="TableTextEntries"/>
              <w:rPr>
                <w:sz w:val="14"/>
              </w:rPr>
            </w:pPr>
            <w:r w:rsidRPr="00713ED0">
              <w:rPr>
                <w:sz w:val="14"/>
              </w:rPr>
              <w:t>30/03/2011</w:t>
            </w:r>
          </w:p>
        </w:tc>
        <w:tc>
          <w:tcPr>
            <w:tcW w:w="808" w:type="dxa"/>
            <w:vMerge w:val="restart"/>
            <w:vAlign w:val="center"/>
          </w:tcPr>
          <w:p w14:paraId="704ED56E" w14:textId="77777777" w:rsidR="00713ED0" w:rsidRPr="00713ED0" w:rsidRDefault="00713ED0" w:rsidP="00FF45C2">
            <w:pPr>
              <w:pStyle w:val="TableTextEntries"/>
              <w:rPr>
                <w:sz w:val="14"/>
              </w:rPr>
            </w:pPr>
            <w:r w:rsidRPr="00713ED0">
              <w:rPr>
                <w:sz w:val="14"/>
              </w:rPr>
              <w:t>30/06/2015</w:t>
            </w:r>
          </w:p>
        </w:tc>
        <w:tc>
          <w:tcPr>
            <w:tcW w:w="1152" w:type="dxa"/>
            <w:vMerge w:val="restart"/>
            <w:vAlign w:val="center"/>
          </w:tcPr>
          <w:p w14:paraId="1B5EBD9F" w14:textId="084FB21C" w:rsidR="00713ED0" w:rsidRPr="00713ED0" w:rsidRDefault="00713ED0" w:rsidP="00FF45C2">
            <w:pPr>
              <w:pStyle w:val="TableTextEntries"/>
              <w:rPr>
                <w:sz w:val="14"/>
                <w:szCs w:val="16"/>
              </w:rPr>
            </w:pPr>
            <w:r w:rsidRPr="00713ED0">
              <w:rPr>
                <w:sz w:val="14"/>
                <w:szCs w:val="16"/>
              </w:rPr>
              <w:t>$11</w:t>
            </w:r>
            <w:r w:rsidR="00623D66">
              <w:rPr>
                <w:sz w:val="14"/>
                <w:szCs w:val="16"/>
              </w:rPr>
              <w:t xml:space="preserve"> </w:t>
            </w:r>
            <w:r w:rsidRPr="00713ED0">
              <w:rPr>
                <w:sz w:val="14"/>
                <w:szCs w:val="16"/>
              </w:rPr>
              <w:t>275</w:t>
            </w:r>
            <w:r w:rsidR="00623D66">
              <w:rPr>
                <w:sz w:val="14"/>
                <w:szCs w:val="16"/>
              </w:rPr>
              <w:t xml:space="preserve"> </w:t>
            </w:r>
            <w:r w:rsidRPr="00713ED0">
              <w:rPr>
                <w:sz w:val="14"/>
                <w:szCs w:val="16"/>
              </w:rPr>
              <w:t>000.00</w:t>
            </w:r>
          </w:p>
        </w:tc>
        <w:tc>
          <w:tcPr>
            <w:tcW w:w="440" w:type="dxa"/>
            <w:vAlign w:val="center"/>
          </w:tcPr>
          <w:p w14:paraId="1C9D3C87" w14:textId="77777777" w:rsidR="00713ED0" w:rsidRPr="00713ED0" w:rsidRDefault="00713ED0" w:rsidP="00FF45C2">
            <w:pPr>
              <w:pStyle w:val="TableTextEntries"/>
            </w:pPr>
            <w:r w:rsidRPr="00713ED0">
              <w:t>2012</w:t>
            </w:r>
          </w:p>
        </w:tc>
        <w:tc>
          <w:tcPr>
            <w:tcW w:w="334" w:type="dxa"/>
            <w:shd w:val="clear" w:color="auto" w:fill="92D050"/>
            <w:noWrap/>
            <w:vAlign w:val="center"/>
          </w:tcPr>
          <w:p w14:paraId="5727D09F"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2D7B4BD7"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6E19360B"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583B3403"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2474635"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335D4768"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tcPr>
          <w:p w14:paraId="1C8926D7" w14:textId="77777777" w:rsidR="00713ED0" w:rsidRPr="00FF45C2" w:rsidRDefault="00713ED0" w:rsidP="00FF45C2">
            <w:pPr>
              <w:pStyle w:val="TableTextEntries"/>
              <w:jc w:val="center"/>
            </w:pPr>
            <w:r w:rsidRPr="00FF45C2">
              <w:t>I</w:t>
            </w:r>
          </w:p>
        </w:tc>
      </w:tr>
      <w:tr w:rsidR="00713ED0" w:rsidRPr="00713ED0" w14:paraId="534C54B8"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2CDEC395" w14:textId="77777777" w:rsidR="00713ED0" w:rsidRPr="00713ED0" w:rsidRDefault="00713ED0" w:rsidP="00FF45C2">
            <w:pPr>
              <w:pStyle w:val="TableTextEntries"/>
            </w:pPr>
          </w:p>
        </w:tc>
        <w:tc>
          <w:tcPr>
            <w:tcW w:w="1486" w:type="dxa"/>
            <w:vMerge/>
            <w:vAlign w:val="center"/>
          </w:tcPr>
          <w:p w14:paraId="7901E32C" w14:textId="77777777" w:rsidR="00713ED0" w:rsidRPr="00713ED0" w:rsidRDefault="00713ED0" w:rsidP="00FF45C2">
            <w:pPr>
              <w:pStyle w:val="TableTextEntries"/>
            </w:pPr>
          </w:p>
        </w:tc>
        <w:tc>
          <w:tcPr>
            <w:tcW w:w="813" w:type="dxa"/>
            <w:vMerge/>
            <w:vAlign w:val="center"/>
          </w:tcPr>
          <w:p w14:paraId="58750A17" w14:textId="77777777" w:rsidR="00713ED0" w:rsidRPr="00713ED0" w:rsidRDefault="00713ED0" w:rsidP="00FF45C2">
            <w:pPr>
              <w:pStyle w:val="TableTextEntries"/>
              <w:rPr>
                <w:sz w:val="14"/>
              </w:rPr>
            </w:pPr>
          </w:p>
        </w:tc>
        <w:tc>
          <w:tcPr>
            <w:tcW w:w="808" w:type="dxa"/>
            <w:vMerge/>
            <w:vAlign w:val="center"/>
          </w:tcPr>
          <w:p w14:paraId="1D10FEFB" w14:textId="77777777" w:rsidR="00713ED0" w:rsidRPr="00713ED0" w:rsidRDefault="00713ED0" w:rsidP="00FF45C2">
            <w:pPr>
              <w:pStyle w:val="TableTextEntries"/>
              <w:rPr>
                <w:sz w:val="14"/>
              </w:rPr>
            </w:pPr>
          </w:p>
        </w:tc>
        <w:tc>
          <w:tcPr>
            <w:tcW w:w="1152" w:type="dxa"/>
            <w:vMerge/>
            <w:vAlign w:val="center"/>
          </w:tcPr>
          <w:p w14:paraId="3012A8DE" w14:textId="77777777" w:rsidR="00713ED0" w:rsidRPr="00713ED0" w:rsidRDefault="00713ED0" w:rsidP="00FF45C2">
            <w:pPr>
              <w:pStyle w:val="TableTextEntries"/>
              <w:rPr>
                <w:sz w:val="14"/>
                <w:szCs w:val="16"/>
              </w:rPr>
            </w:pPr>
          </w:p>
        </w:tc>
        <w:tc>
          <w:tcPr>
            <w:tcW w:w="440" w:type="dxa"/>
            <w:vAlign w:val="center"/>
          </w:tcPr>
          <w:p w14:paraId="56E523A4" w14:textId="77777777" w:rsidR="00713ED0" w:rsidRPr="00713ED0" w:rsidRDefault="00713ED0" w:rsidP="00FF45C2">
            <w:pPr>
              <w:pStyle w:val="TableTextEntries"/>
            </w:pPr>
            <w:r w:rsidRPr="00713ED0">
              <w:t>2011</w:t>
            </w:r>
          </w:p>
        </w:tc>
        <w:tc>
          <w:tcPr>
            <w:tcW w:w="334" w:type="dxa"/>
            <w:shd w:val="clear" w:color="auto" w:fill="auto"/>
            <w:noWrap/>
            <w:vAlign w:val="center"/>
          </w:tcPr>
          <w:p w14:paraId="2F951FFF"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06F9562D"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266BBC57" w14:textId="77777777" w:rsidR="00713ED0" w:rsidRPr="00FF45C2" w:rsidRDefault="00713ED0" w:rsidP="00FF45C2">
            <w:pPr>
              <w:pStyle w:val="TableTextEntries"/>
              <w:jc w:val="center"/>
            </w:pPr>
            <w:r w:rsidRPr="00FF45C2">
              <w:t>n/a</w:t>
            </w:r>
          </w:p>
        </w:tc>
        <w:tc>
          <w:tcPr>
            <w:tcW w:w="403" w:type="dxa"/>
            <w:shd w:val="clear" w:color="auto" w:fill="auto"/>
            <w:noWrap/>
            <w:vAlign w:val="center"/>
          </w:tcPr>
          <w:p w14:paraId="0E250DBB"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3E8C7448"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2D55D496" w14:textId="77777777" w:rsidR="00713ED0" w:rsidRPr="00FF45C2" w:rsidRDefault="00713ED0" w:rsidP="00FF45C2">
            <w:pPr>
              <w:pStyle w:val="TableTextEntries"/>
              <w:jc w:val="center"/>
            </w:pPr>
            <w:r w:rsidRPr="00FF45C2">
              <w:t>n/a</w:t>
            </w:r>
          </w:p>
        </w:tc>
        <w:tc>
          <w:tcPr>
            <w:tcW w:w="347" w:type="dxa"/>
            <w:shd w:val="clear" w:color="auto" w:fill="auto"/>
            <w:noWrap/>
            <w:vAlign w:val="center"/>
          </w:tcPr>
          <w:p w14:paraId="50C93D95" w14:textId="77777777" w:rsidR="00713ED0" w:rsidRPr="00FF45C2" w:rsidRDefault="00713ED0" w:rsidP="00FF45C2">
            <w:pPr>
              <w:pStyle w:val="TableTextEntries"/>
              <w:jc w:val="center"/>
            </w:pPr>
            <w:r w:rsidRPr="00FF45C2">
              <w:t>n/a</w:t>
            </w:r>
          </w:p>
        </w:tc>
      </w:tr>
      <w:tr w:rsidR="00713ED0" w:rsidRPr="00713ED0" w14:paraId="63718285" w14:textId="77777777" w:rsidTr="00E0168D">
        <w:trPr>
          <w:cantSplit/>
          <w:tblHeader w:val="0"/>
        </w:trPr>
        <w:tc>
          <w:tcPr>
            <w:tcW w:w="2337" w:type="dxa"/>
            <w:gridSpan w:val="3"/>
            <w:vAlign w:val="bottom"/>
          </w:tcPr>
          <w:p w14:paraId="325AFDA6" w14:textId="77777777" w:rsidR="00713ED0" w:rsidRPr="00E0168D" w:rsidRDefault="00713ED0" w:rsidP="00E0168D">
            <w:pPr>
              <w:pStyle w:val="TableHeading2"/>
            </w:pPr>
            <w:r w:rsidRPr="00E0168D">
              <w:t>Climate change</w:t>
            </w:r>
          </w:p>
        </w:tc>
        <w:tc>
          <w:tcPr>
            <w:tcW w:w="813" w:type="dxa"/>
          </w:tcPr>
          <w:p w14:paraId="67C184DF" w14:textId="77777777" w:rsidR="00713ED0" w:rsidRPr="00713ED0" w:rsidRDefault="00713ED0" w:rsidP="00FF45C2">
            <w:pPr>
              <w:pStyle w:val="TableTextEntries"/>
              <w:rPr>
                <w:sz w:val="14"/>
              </w:rPr>
            </w:pPr>
          </w:p>
        </w:tc>
        <w:tc>
          <w:tcPr>
            <w:tcW w:w="808" w:type="dxa"/>
            <w:vAlign w:val="center"/>
          </w:tcPr>
          <w:p w14:paraId="0613485D" w14:textId="77777777" w:rsidR="00713ED0" w:rsidRPr="00713ED0" w:rsidRDefault="00713ED0" w:rsidP="00FF45C2">
            <w:pPr>
              <w:pStyle w:val="TableTextEntries"/>
              <w:rPr>
                <w:sz w:val="14"/>
              </w:rPr>
            </w:pPr>
          </w:p>
        </w:tc>
        <w:tc>
          <w:tcPr>
            <w:tcW w:w="1152" w:type="dxa"/>
            <w:vAlign w:val="bottom"/>
          </w:tcPr>
          <w:p w14:paraId="2CCBDA19" w14:textId="77777777" w:rsidR="00713ED0" w:rsidRPr="00713ED0" w:rsidRDefault="00713ED0" w:rsidP="00FF45C2">
            <w:pPr>
              <w:pStyle w:val="TableTextEntries"/>
              <w:rPr>
                <w:sz w:val="14"/>
                <w:szCs w:val="16"/>
              </w:rPr>
            </w:pPr>
          </w:p>
        </w:tc>
        <w:tc>
          <w:tcPr>
            <w:tcW w:w="440" w:type="dxa"/>
            <w:textDirection w:val="btLr"/>
            <w:vAlign w:val="center"/>
          </w:tcPr>
          <w:p w14:paraId="237AC168" w14:textId="77777777" w:rsidR="00713ED0" w:rsidRPr="00713ED0" w:rsidRDefault="00713ED0" w:rsidP="00FF45C2">
            <w:pPr>
              <w:pStyle w:val="TableTextEntries"/>
            </w:pPr>
          </w:p>
        </w:tc>
        <w:tc>
          <w:tcPr>
            <w:tcW w:w="334" w:type="dxa"/>
            <w:textDirection w:val="btLr"/>
            <w:vAlign w:val="center"/>
          </w:tcPr>
          <w:p w14:paraId="375A81D5" w14:textId="77777777" w:rsidR="00713ED0" w:rsidRPr="00FF45C2" w:rsidRDefault="00713ED0" w:rsidP="00FF45C2">
            <w:pPr>
              <w:pStyle w:val="TableTextEntries"/>
              <w:jc w:val="center"/>
            </w:pPr>
          </w:p>
        </w:tc>
        <w:tc>
          <w:tcPr>
            <w:tcW w:w="334" w:type="dxa"/>
            <w:textDirection w:val="btLr"/>
            <w:vAlign w:val="center"/>
          </w:tcPr>
          <w:p w14:paraId="2633940F" w14:textId="77777777" w:rsidR="00713ED0" w:rsidRPr="00FF45C2" w:rsidRDefault="00713ED0" w:rsidP="00FF45C2">
            <w:pPr>
              <w:pStyle w:val="TableTextEntries"/>
              <w:jc w:val="center"/>
            </w:pPr>
          </w:p>
        </w:tc>
        <w:tc>
          <w:tcPr>
            <w:tcW w:w="334" w:type="dxa"/>
            <w:textDirection w:val="btLr"/>
            <w:vAlign w:val="center"/>
          </w:tcPr>
          <w:p w14:paraId="23C3C876" w14:textId="77777777" w:rsidR="00713ED0" w:rsidRPr="00FF45C2" w:rsidRDefault="00713ED0" w:rsidP="00FF45C2">
            <w:pPr>
              <w:pStyle w:val="TableTextEntries"/>
              <w:jc w:val="center"/>
            </w:pPr>
          </w:p>
        </w:tc>
        <w:tc>
          <w:tcPr>
            <w:tcW w:w="403" w:type="dxa"/>
            <w:textDirection w:val="btLr"/>
            <w:vAlign w:val="center"/>
          </w:tcPr>
          <w:p w14:paraId="28EE1582" w14:textId="77777777" w:rsidR="00713ED0" w:rsidRPr="00FF45C2" w:rsidRDefault="00713ED0" w:rsidP="00FF45C2">
            <w:pPr>
              <w:pStyle w:val="TableTextEntries"/>
              <w:jc w:val="center"/>
            </w:pPr>
          </w:p>
        </w:tc>
        <w:tc>
          <w:tcPr>
            <w:tcW w:w="334" w:type="dxa"/>
            <w:textDirection w:val="btLr"/>
            <w:vAlign w:val="center"/>
          </w:tcPr>
          <w:p w14:paraId="50BBF05F" w14:textId="77777777" w:rsidR="00713ED0" w:rsidRPr="00FF45C2" w:rsidRDefault="00713ED0" w:rsidP="00FF45C2">
            <w:pPr>
              <w:pStyle w:val="TableTextEntries"/>
              <w:jc w:val="center"/>
            </w:pPr>
          </w:p>
        </w:tc>
        <w:tc>
          <w:tcPr>
            <w:tcW w:w="334" w:type="dxa"/>
            <w:textDirection w:val="btLr"/>
            <w:vAlign w:val="center"/>
          </w:tcPr>
          <w:p w14:paraId="550145AD" w14:textId="77777777" w:rsidR="00713ED0" w:rsidRPr="00FF45C2" w:rsidRDefault="00713ED0" w:rsidP="00FF45C2">
            <w:pPr>
              <w:pStyle w:val="TableTextEntries"/>
              <w:jc w:val="center"/>
            </w:pPr>
          </w:p>
        </w:tc>
        <w:tc>
          <w:tcPr>
            <w:tcW w:w="347" w:type="dxa"/>
            <w:textDirection w:val="btLr"/>
            <w:vAlign w:val="center"/>
          </w:tcPr>
          <w:p w14:paraId="2CDADD88" w14:textId="77777777" w:rsidR="00713ED0" w:rsidRPr="00FF45C2" w:rsidRDefault="00713ED0" w:rsidP="00FF45C2">
            <w:pPr>
              <w:pStyle w:val="TableTextEntries"/>
              <w:jc w:val="center"/>
            </w:pPr>
          </w:p>
        </w:tc>
      </w:tr>
      <w:tr w:rsidR="00713ED0" w:rsidRPr="00713ED0" w14:paraId="14BE04D2"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14A91989" w14:textId="77777777" w:rsidR="00713ED0" w:rsidRPr="00713ED0" w:rsidRDefault="00713ED0" w:rsidP="00FF45C2">
            <w:pPr>
              <w:pStyle w:val="TableTextEntries"/>
            </w:pPr>
            <w:r w:rsidRPr="00713ED0">
              <w:t>INH445</w:t>
            </w:r>
          </w:p>
        </w:tc>
        <w:tc>
          <w:tcPr>
            <w:tcW w:w="1486" w:type="dxa"/>
            <w:vMerge w:val="restart"/>
            <w:vAlign w:val="center"/>
          </w:tcPr>
          <w:p w14:paraId="364561DB" w14:textId="74708801" w:rsidR="00713ED0" w:rsidRPr="00713ED0" w:rsidRDefault="00713ED0" w:rsidP="00FF45C2">
            <w:pPr>
              <w:pStyle w:val="TableTextEntries"/>
            </w:pPr>
            <w:r w:rsidRPr="00713ED0">
              <w:t>Indonesia</w:t>
            </w:r>
            <w:r w:rsidR="00501774">
              <w:t>–</w:t>
            </w:r>
            <w:r w:rsidRPr="00713ED0">
              <w:t>Australia Forest Carbon Partnership</w:t>
            </w:r>
          </w:p>
        </w:tc>
        <w:tc>
          <w:tcPr>
            <w:tcW w:w="813" w:type="dxa"/>
            <w:vMerge w:val="restart"/>
            <w:vAlign w:val="center"/>
          </w:tcPr>
          <w:p w14:paraId="1EC7D42B" w14:textId="77777777" w:rsidR="00713ED0" w:rsidRPr="00713ED0" w:rsidRDefault="00713ED0" w:rsidP="00FF45C2">
            <w:pPr>
              <w:pStyle w:val="TableTextEntries"/>
              <w:rPr>
                <w:sz w:val="14"/>
              </w:rPr>
            </w:pPr>
            <w:r w:rsidRPr="00713ED0">
              <w:rPr>
                <w:sz w:val="14"/>
              </w:rPr>
              <w:t>01/07/2007</w:t>
            </w:r>
          </w:p>
        </w:tc>
        <w:tc>
          <w:tcPr>
            <w:tcW w:w="808" w:type="dxa"/>
            <w:vMerge w:val="restart"/>
            <w:vAlign w:val="center"/>
          </w:tcPr>
          <w:p w14:paraId="732345A4" w14:textId="77777777" w:rsidR="00713ED0" w:rsidRPr="00713ED0" w:rsidRDefault="00713ED0" w:rsidP="00FF45C2">
            <w:pPr>
              <w:pStyle w:val="TableTextEntries"/>
              <w:rPr>
                <w:sz w:val="14"/>
              </w:rPr>
            </w:pPr>
            <w:r w:rsidRPr="00713ED0">
              <w:rPr>
                <w:sz w:val="14"/>
              </w:rPr>
              <w:t>30/06/2014</w:t>
            </w:r>
          </w:p>
        </w:tc>
        <w:tc>
          <w:tcPr>
            <w:tcW w:w="1152" w:type="dxa"/>
            <w:vMerge w:val="restart"/>
            <w:vAlign w:val="center"/>
          </w:tcPr>
          <w:p w14:paraId="2B33A47B" w14:textId="570EB35C" w:rsidR="00713ED0" w:rsidRPr="00713ED0" w:rsidRDefault="00713ED0" w:rsidP="00FF45C2">
            <w:pPr>
              <w:pStyle w:val="TableTextEntries"/>
              <w:rPr>
                <w:sz w:val="14"/>
                <w:szCs w:val="16"/>
              </w:rPr>
            </w:pPr>
            <w:r w:rsidRPr="00713ED0">
              <w:rPr>
                <w:sz w:val="14"/>
                <w:szCs w:val="16"/>
              </w:rPr>
              <w:t>$75</w:t>
            </w:r>
            <w:r w:rsidR="00623D66">
              <w:rPr>
                <w:sz w:val="14"/>
                <w:szCs w:val="16"/>
              </w:rPr>
              <w:t xml:space="preserve"> </w:t>
            </w:r>
            <w:r w:rsidRPr="00713ED0">
              <w:rPr>
                <w:sz w:val="14"/>
                <w:szCs w:val="16"/>
              </w:rPr>
              <w:t>309</w:t>
            </w:r>
            <w:r w:rsidR="00623D66">
              <w:rPr>
                <w:sz w:val="14"/>
                <w:szCs w:val="16"/>
              </w:rPr>
              <w:t xml:space="preserve"> </w:t>
            </w:r>
            <w:r w:rsidRPr="00713ED0">
              <w:rPr>
                <w:sz w:val="14"/>
                <w:szCs w:val="16"/>
              </w:rPr>
              <w:t>132.87</w:t>
            </w:r>
          </w:p>
        </w:tc>
        <w:tc>
          <w:tcPr>
            <w:tcW w:w="440" w:type="dxa"/>
            <w:vAlign w:val="center"/>
          </w:tcPr>
          <w:p w14:paraId="7739DEEB" w14:textId="77777777" w:rsidR="00713ED0" w:rsidRPr="00713ED0" w:rsidRDefault="00713ED0" w:rsidP="00FF45C2">
            <w:pPr>
              <w:pStyle w:val="TableTextEntries"/>
            </w:pPr>
            <w:r w:rsidRPr="00713ED0">
              <w:t>2012</w:t>
            </w:r>
          </w:p>
        </w:tc>
        <w:tc>
          <w:tcPr>
            <w:tcW w:w="334" w:type="dxa"/>
            <w:shd w:val="clear" w:color="auto" w:fill="FFFF00"/>
            <w:noWrap/>
            <w:vAlign w:val="center"/>
          </w:tcPr>
          <w:p w14:paraId="0229CE38"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18D8DCBD"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52990073" w14:textId="77777777" w:rsidR="00713ED0" w:rsidRPr="00FF45C2" w:rsidRDefault="00713ED0" w:rsidP="00FF45C2">
            <w:pPr>
              <w:pStyle w:val="TableTextEntries"/>
              <w:jc w:val="center"/>
            </w:pPr>
            <w:r w:rsidRPr="00FF45C2">
              <w:t>3</w:t>
            </w:r>
          </w:p>
        </w:tc>
        <w:tc>
          <w:tcPr>
            <w:tcW w:w="403" w:type="dxa"/>
            <w:shd w:val="clear" w:color="auto" w:fill="FFFF00"/>
            <w:noWrap/>
            <w:vAlign w:val="center"/>
          </w:tcPr>
          <w:p w14:paraId="52B318B0"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3BC6FAC5" w14:textId="77777777" w:rsidR="00713ED0" w:rsidRPr="00FF45C2" w:rsidRDefault="00713ED0" w:rsidP="00FF45C2">
            <w:pPr>
              <w:pStyle w:val="TableTextEntries"/>
              <w:jc w:val="center"/>
            </w:pPr>
            <w:r w:rsidRPr="00FF45C2">
              <w:t>3</w:t>
            </w:r>
          </w:p>
        </w:tc>
        <w:tc>
          <w:tcPr>
            <w:tcW w:w="334" w:type="dxa"/>
            <w:shd w:val="clear" w:color="auto" w:fill="92D050"/>
            <w:noWrap/>
            <w:vAlign w:val="center"/>
          </w:tcPr>
          <w:p w14:paraId="5B8F2172"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tcPr>
          <w:p w14:paraId="1D02F001" w14:textId="77777777" w:rsidR="00713ED0" w:rsidRPr="00FF45C2" w:rsidRDefault="00713ED0" w:rsidP="00FF45C2">
            <w:pPr>
              <w:pStyle w:val="TableTextEntries"/>
              <w:jc w:val="center"/>
            </w:pPr>
            <w:r w:rsidRPr="00FF45C2">
              <w:t>I</w:t>
            </w:r>
          </w:p>
        </w:tc>
      </w:tr>
      <w:tr w:rsidR="00713ED0" w:rsidRPr="00713ED0" w14:paraId="29A6CAE0" w14:textId="77777777" w:rsidTr="00E0168D">
        <w:trPr>
          <w:tblHeader w:val="0"/>
        </w:trPr>
        <w:tc>
          <w:tcPr>
            <w:tcW w:w="823" w:type="dxa"/>
            <w:gridSpan w:val="2"/>
            <w:vMerge/>
            <w:vAlign w:val="center"/>
          </w:tcPr>
          <w:p w14:paraId="58CBB771" w14:textId="77777777" w:rsidR="00713ED0" w:rsidRPr="00713ED0" w:rsidRDefault="00713ED0" w:rsidP="00FF45C2">
            <w:pPr>
              <w:pStyle w:val="TableTextEntries"/>
            </w:pPr>
          </w:p>
        </w:tc>
        <w:tc>
          <w:tcPr>
            <w:tcW w:w="1486" w:type="dxa"/>
            <w:vMerge/>
            <w:vAlign w:val="center"/>
          </w:tcPr>
          <w:p w14:paraId="1A494B03" w14:textId="77777777" w:rsidR="00713ED0" w:rsidRPr="00713ED0" w:rsidRDefault="00713ED0" w:rsidP="00FF45C2">
            <w:pPr>
              <w:pStyle w:val="TableTextEntries"/>
            </w:pPr>
          </w:p>
        </w:tc>
        <w:tc>
          <w:tcPr>
            <w:tcW w:w="813" w:type="dxa"/>
            <w:vMerge/>
            <w:vAlign w:val="center"/>
          </w:tcPr>
          <w:p w14:paraId="08CF6738" w14:textId="77777777" w:rsidR="00713ED0" w:rsidRPr="00713ED0" w:rsidRDefault="00713ED0" w:rsidP="00FF45C2">
            <w:pPr>
              <w:pStyle w:val="TableTextEntries"/>
              <w:rPr>
                <w:sz w:val="14"/>
              </w:rPr>
            </w:pPr>
          </w:p>
        </w:tc>
        <w:tc>
          <w:tcPr>
            <w:tcW w:w="808" w:type="dxa"/>
            <w:vMerge/>
            <w:vAlign w:val="center"/>
          </w:tcPr>
          <w:p w14:paraId="17B77A81" w14:textId="77777777" w:rsidR="00713ED0" w:rsidRPr="00713ED0" w:rsidRDefault="00713ED0" w:rsidP="00FF45C2">
            <w:pPr>
              <w:pStyle w:val="TableTextEntries"/>
              <w:rPr>
                <w:sz w:val="14"/>
              </w:rPr>
            </w:pPr>
          </w:p>
        </w:tc>
        <w:tc>
          <w:tcPr>
            <w:tcW w:w="1152" w:type="dxa"/>
            <w:vMerge/>
            <w:vAlign w:val="center"/>
          </w:tcPr>
          <w:p w14:paraId="74E37250" w14:textId="77777777" w:rsidR="00713ED0" w:rsidRPr="00713ED0" w:rsidRDefault="00713ED0" w:rsidP="00FF45C2">
            <w:pPr>
              <w:pStyle w:val="TableTextEntries"/>
              <w:rPr>
                <w:sz w:val="14"/>
                <w:szCs w:val="16"/>
              </w:rPr>
            </w:pPr>
          </w:p>
        </w:tc>
        <w:tc>
          <w:tcPr>
            <w:tcW w:w="440" w:type="dxa"/>
            <w:vAlign w:val="center"/>
          </w:tcPr>
          <w:p w14:paraId="54A563E4" w14:textId="77777777" w:rsidR="00713ED0" w:rsidRPr="00713ED0" w:rsidRDefault="00713ED0" w:rsidP="00FF45C2">
            <w:pPr>
              <w:pStyle w:val="TableTextEntries"/>
            </w:pPr>
            <w:r w:rsidRPr="00713ED0">
              <w:t>2011</w:t>
            </w:r>
          </w:p>
        </w:tc>
        <w:tc>
          <w:tcPr>
            <w:tcW w:w="334" w:type="dxa"/>
            <w:shd w:val="clear" w:color="auto" w:fill="92D050"/>
            <w:noWrap/>
            <w:vAlign w:val="center"/>
          </w:tcPr>
          <w:p w14:paraId="67F61358" w14:textId="77777777" w:rsidR="00713ED0" w:rsidRPr="00FF45C2" w:rsidRDefault="00713ED0" w:rsidP="00FF45C2">
            <w:pPr>
              <w:pStyle w:val="TableTextEntries"/>
              <w:jc w:val="center"/>
            </w:pPr>
            <w:r w:rsidRPr="00FF45C2">
              <w:t>5</w:t>
            </w:r>
          </w:p>
        </w:tc>
        <w:tc>
          <w:tcPr>
            <w:tcW w:w="334" w:type="dxa"/>
            <w:shd w:val="clear" w:color="auto" w:fill="F79646" w:themeFill="accent6"/>
            <w:noWrap/>
            <w:vAlign w:val="center"/>
          </w:tcPr>
          <w:p w14:paraId="6650F7ED"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4B441A96" w14:textId="77777777" w:rsidR="00713ED0" w:rsidRPr="00FF45C2" w:rsidRDefault="00713ED0" w:rsidP="00FF45C2">
            <w:pPr>
              <w:pStyle w:val="TableTextEntries"/>
              <w:jc w:val="center"/>
            </w:pPr>
            <w:r w:rsidRPr="00FF45C2">
              <w:t>3</w:t>
            </w:r>
          </w:p>
        </w:tc>
        <w:tc>
          <w:tcPr>
            <w:tcW w:w="403" w:type="dxa"/>
            <w:shd w:val="clear" w:color="auto" w:fill="F79646" w:themeFill="accent6"/>
            <w:noWrap/>
            <w:vAlign w:val="center"/>
          </w:tcPr>
          <w:p w14:paraId="0EBCBE04"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79D26AE7"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185C1CC0" w14:textId="77777777" w:rsidR="00713ED0" w:rsidRPr="00FF45C2" w:rsidRDefault="00713ED0" w:rsidP="00FF45C2">
            <w:pPr>
              <w:pStyle w:val="TableTextEntries"/>
              <w:jc w:val="center"/>
            </w:pPr>
            <w:r w:rsidRPr="00FF45C2">
              <w:t>4</w:t>
            </w:r>
          </w:p>
        </w:tc>
        <w:tc>
          <w:tcPr>
            <w:tcW w:w="347" w:type="dxa"/>
            <w:shd w:val="clear" w:color="auto" w:fill="FF0000"/>
            <w:noWrap/>
            <w:vAlign w:val="center"/>
          </w:tcPr>
          <w:p w14:paraId="20C7BCE8" w14:textId="77777777" w:rsidR="00713ED0" w:rsidRPr="00FF45C2" w:rsidRDefault="00713ED0" w:rsidP="00FF45C2">
            <w:pPr>
              <w:pStyle w:val="TableTextEntries"/>
              <w:jc w:val="center"/>
            </w:pPr>
            <w:r w:rsidRPr="00FF45C2">
              <w:t>B</w:t>
            </w:r>
          </w:p>
        </w:tc>
      </w:tr>
      <w:tr w:rsidR="00713ED0" w:rsidRPr="00713ED0" w14:paraId="179268A5" w14:textId="77777777" w:rsidTr="00E0168D">
        <w:trPr>
          <w:cnfStyle w:val="000000010000" w:firstRow="0" w:lastRow="0" w:firstColumn="0" w:lastColumn="0" w:oddVBand="0" w:evenVBand="0" w:oddHBand="0" w:evenHBand="1" w:firstRowFirstColumn="0" w:firstRowLastColumn="0" w:lastRowFirstColumn="0" w:lastRowLastColumn="0"/>
          <w:cantSplit/>
          <w:tblHeader w:val="0"/>
        </w:trPr>
        <w:tc>
          <w:tcPr>
            <w:tcW w:w="2337" w:type="dxa"/>
            <w:gridSpan w:val="3"/>
            <w:vAlign w:val="bottom"/>
          </w:tcPr>
          <w:p w14:paraId="7EC1CEDC" w14:textId="77777777" w:rsidR="00713ED0" w:rsidRPr="00713ED0" w:rsidRDefault="00713ED0" w:rsidP="00E0168D">
            <w:pPr>
              <w:pStyle w:val="TableHeading2"/>
            </w:pPr>
            <w:r w:rsidRPr="00713ED0">
              <w:t>Decentralisation</w:t>
            </w:r>
          </w:p>
        </w:tc>
        <w:tc>
          <w:tcPr>
            <w:tcW w:w="813" w:type="dxa"/>
          </w:tcPr>
          <w:p w14:paraId="6C29C5CE" w14:textId="77777777" w:rsidR="00713ED0" w:rsidRPr="00713ED0" w:rsidRDefault="00713ED0" w:rsidP="00FF45C2">
            <w:pPr>
              <w:pStyle w:val="TableTextEntries"/>
              <w:rPr>
                <w:sz w:val="14"/>
              </w:rPr>
            </w:pPr>
          </w:p>
        </w:tc>
        <w:tc>
          <w:tcPr>
            <w:tcW w:w="808" w:type="dxa"/>
            <w:vAlign w:val="center"/>
          </w:tcPr>
          <w:p w14:paraId="199661A8" w14:textId="77777777" w:rsidR="00713ED0" w:rsidRPr="00713ED0" w:rsidRDefault="00713ED0" w:rsidP="00FF45C2">
            <w:pPr>
              <w:pStyle w:val="TableTextEntries"/>
              <w:rPr>
                <w:sz w:val="14"/>
              </w:rPr>
            </w:pPr>
          </w:p>
        </w:tc>
        <w:tc>
          <w:tcPr>
            <w:tcW w:w="1152" w:type="dxa"/>
            <w:vAlign w:val="bottom"/>
          </w:tcPr>
          <w:p w14:paraId="392D1A36" w14:textId="77777777" w:rsidR="00713ED0" w:rsidRPr="00713ED0" w:rsidRDefault="00713ED0" w:rsidP="00FF45C2">
            <w:pPr>
              <w:pStyle w:val="TableTextEntries"/>
              <w:rPr>
                <w:sz w:val="14"/>
                <w:szCs w:val="16"/>
              </w:rPr>
            </w:pPr>
          </w:p>
        </w:tc>
        <w:tc>
          <w:tcPr>
            <w:tcW w:w="440" w:type="dxa"/>
            <w:textDirection w:val="btLr"/>
            <w:vAlign w:val="center"/>
          </w:tcPr>
          <w:p w14:paraId="12535B98" w14:textId="77777777" w:rsidR="00713ED0" w:rsidRPr="00713ED0" w:rsidRDefault="00713ED0" w:rsidP="00FF45C2">
            <w:pPr>
              <w:pStyle w:val="TableTextEntries"/>
            </w:pPr>
          </w:p>
        </w:tc>
        <w:tc>
          <w:tcPr>
            <w:tcW w:w="334" w:type="dxa"/>
            <w:textDirection w:val="btLr"/>
            <w:vAlign w:val="center"/>
          </w:tcPr>
          <w:p w14:paraId="22ED7EC2" w14:textId="77777777" w:rsidR="00713ED0" w:rsidRPr="00FF45C2" w:rsidRDefault="00713ED0" w:rsidP="00FF45C2">
            <w:pPr>
              <w:pStyle w:val="TableTextEntries"/>
              <w:jc w:val="center"/>
            </w:pPr>
          </w:p>
        </w:tc>
        <w:tc>
          <w:tcPr>
            <w:tcW w:w="334" w:type="dxa"/>
            <w:textDirection w:val="btLr"/>
            <w:vAlign w:val="center"/>
          </w:tcPr>
          <w:p w14:paraId="0C249639" w14:textId="77777777" w:rsidR="00713ED0" w:rsidRPr="00FF45C2" w:rsidRDefault="00713ED0" w:rsidP="00FF45C2">
            <w:pPr>
              <w:pStyle w:val="TableTextEntries"/>
              <w:jc w:val="center"/>
            </w:pPr>
          </w:p>
        </w:tc>
        <w:tc>
          <w:tcPr>
            <w:tcW w:w="334" w:type="dxa"/>
            <w:textDirection w:val="btLr"/>
            <w:vAlign w:val="center"/>
          </w:tcPr>
          <w:p w14:paraId="72A3AF98" w14:textId="77777777" w:rsidR="00713ED0" w:rsidRPr="00FF45C2" w:rsidRDefault="00713ED0" w:rsidP="00FF45C2">
            <w:pPr>
              <w:pStyle w:val="TableTextEntries"/>
              <w:jc w:val="center"/>
            </w:pPr>
          </w:p>
        </w:tc>
        <w:tc>
          <w:tcPr>
            <w:tcW w:w="403" w:type="dxa"/>
            <w:textDirection w:val="btLr"/>
            <w:vAlign w:val="center"/>
          </w:tcPr>
          <w:p w14:paraId="0C943E7A" w14:textId="77777777" w:rsidR="00713ED0" w:rsidRPr="00FF45C2" w:rsidRDefault="00713ED0" w:rsidP="00FF45C2">
            <w:pPr>
              <w:pStyle w:val="TableTextEntries"/>
              <w:jc w:val="center"/>
            </w:pPr>
          </w:p>
        </w:tc>
        <w:tc>
          <w:tcPr>
            <w:tcW w:w="334" w:type="dxa"/>
            <w:textDirection w:val="btLr"/>
            <w:vAlign w:val="center"/>
          </w:tcPr>
          <w:p w14:paraId="2E2D834C" w14:textId="77777777" w:rsidR="00713ED0" w:rsidRPr="00FF45C2" w:rsidRDefault="00713ED0" w:rsidP="00FF45C2">
            <w:pPr>
              <w:pStyle w:val="TableTextEntries"/>
              <w:jc w:val="center"/>
            </w:pPr>
          </w:p>
        </w:tc>
        <w:tc>
          <w:tcPr>
            <w:tcW w:w="334" w:type="dxa"/>
            <w:textDirection w:val="btLr"/>
            <w:vAlign w:val="center"/>
          </w:tcPr>
          <w:p w14:paraId="2312BE32" w14:textId="77777777" w:rsidR="00713ED0" w:rsidRPr="00FF45C2" w:rsidRDefault="00713ED0" w:rsidP="00FF45C2">
            <w:pPr>
              <w:pStyle w:val="TableTextEntries"/>
              <w:jc w:val="center"/>
            </w:pPr>
          </w:p>
        </w:tc>
        <w:tc>
          <w:tcPr>
            <w:tcW w:w="347" w:type="dxa"/>
            <w:textDirection w:val="btLr"/>
            <w:vAlign w:val="center"/>
          </w:tcPr>
          <w:p w14:paraId="211757DC" w14:textId="77777777" w:rsidR="00713ED0" w:rsidRPr="00FF45C2" w:rsidRDefault="00713ED0" w:rsidP="00FF45C2">
            <w:pPr>
              <w:pStyle w:val="TableTextEntries"/>
              <w:jc w:val="center"/>
            </w:pPr>
          </w:p>
        </w:tc>
      </w:tr>
      <w:tr w:rsidR="00713ED0" w:rsidRPr="00713ED0" w14:paraId="0BF0EBCD" w14:textId="77777777" w:rsidTr="00E0168D">
        <w:trPr>
          <w:tblHeader w:val="0"/>
        </w:trPr>
        <w:tc>
          <w:tcPr>
            <w:tcW w:w="823" w:type="dxa"/>
            <w:gridSpan w:val="2"/>
            <w:vMerge w:val="restart"/>
            <w:vAlign w:val="center"/>
          </w:tcPr>
          <w:p w14:paraId="66C52D9F" w14:textId="77777777" w:rsidR="00713ED0" w:rsidRPr="00713ED0" w:rsidRDefault="00713ED0" w:rsidP="00FF45C2">
            <w:pPr>
              <w:pStyle w:val="TableTextEntries"/>
            </w:pPr>
            <w:r w:rsidRPr="00713ED0">
              <w:t>ING429</w:t>
            </w:r>
          </w:p>
        </w:tc>
        <w:tc>
          <w:tcPr>
            <w:tcW w:w="1486" w:type="dxa"/>
            <w:vMerge w:val="restart"/>
            <w:vAlign w:val="center"/>
          </w:tcPr>
          <w:p w14:paraId="357428FE" w14:textId="6A03C528" w:rsidR="00713ED0" w:rsidRPr="00713ED0" w:rsidRDefault="00501774" w:rsidP="00FF45C2">
            <w:pPr>
              <w:pStyle w:val="TableTextEntries"/>
            </w:pPr>
            <w:r w:rsidRPr="00501774">
              <w:t>Australia Community Development and Civil Society Strengthening Scheme</w:t>
            </w:r>
            <w:r w:rsidRPr="00501774" w:rsidDel="00501774">
              <w:t xml:space="preserve"> </w:t>
            </w:r>
            <w:r w:rsidR="00713ED0" w:rsidRPr="00713ED0">
              <w:t>Phase 2</w:t>
            </w:r>
          </w:p>
        </w:tc>
        <w:tc>
          <w:tcPr>
            <w:tcW w:w="813" w:type="dxa"/>
            <w:vMerge w:val="restart"/>
            <w:vAlign w:val="center"/>
          </w:tcPr>
          <w:p w14:paraId="44557842" w14:textId="77777777" w:rsidR="00713ED0" w:rsidRPr="00713ED0" w:rsidRDefault="00713ED0" w:rsidP="00FF45C2">
            <w:pPr>
              <w:pStyle w:val="TableTextEntries"/>
              <w:rPr>
                <w:sz w:val="14"/>
              </w:rPr>
            </w:pPr>
            <w:r w:rsidRPr="00713ED0">
              <w:rPr>
                <w:sz w:val="14"/>
              </w:rPr>
              <w:t>01/04/2006</w:t>
            </w:r>
          </w:p>
        </w:tc>
        <w:tc>
          <w:tcPr>
            <w:tcW w:w="808" w:type="dxa"/>
            <w:vMerge w:val="restart"/>
            <w:vAlign w:val="center"/>
          </w:tcPr>
          <w:p w14:paraId="1DF3499B" w14:textId="77777777" w:rsidR="00713ED0" w:rsidRPr="00713ED0" w:rsidRDefault="00713ED0" w:rsidP="00FF45C2">
            <w:pPr>
              <w:pStyle w:val="TableTextEntries"/>
              <w:rPr>
                <w:sz w:val="14"/>
              </w:rPr>
            </w:pPr>
            <w:r w:rsidRPr="00713ED0">
              <w:rPr>
                <w:sz w:val="14"/>
              </w:rPr>
              <w:t>31/12/2013</w:t>
            </w:r>
          </w:p>
        </w:tc>
        <w:tc>
          <w:tcPr>
            <w:tcW w:w="1152" w:type="dxa"/>
            <w:vMerge w:val="restart"/>
            <w:vAlign w:val="center"/>
          </w:tcPr>
          <w:p w14:paraId="195B79AE" w14:textId="4324313A" w:rsidR="00713ED0" w:rsidRPr="00713ED0" w:rsidRDefault="00713ED0" w:rsidP="00FF45C2">
            <w:pPr>
              <w:pStyle w:val="TableTextEntries"/>
              <w:rPr>
                <w:sz w:val="14"/>
                <w:szCs w:val="16"/>
              </w:rPr>
            </w:pPr>
            <w:r w:rsidRPr="00713ED0">
              <w:rPr>
                <w:sz w:val="14"/>
                <w:szCs w:val="16"/>
              </w:rPr>
              <w:t>$29</w:t>
            </w:r>
            <w:r w:rsidR="00623D66">
              <w:rPr>
                <w:sz w:val="14"/>
                <w:szCs w:val="16"/>
              </w:rPr>
              <w:t xml:space="preserve"> </w:t>
            </w:r>
            <w:r w:rsidRPr="00713ED0">
              <w:rPr>
                <w:sz w:val="14"/>
                <w:szCs w:val="16"/>
              </w:rPr>
              <w:t>611</w:t>
            </w:r>
            <w:r w:rsidR="00623D66">
              <w:rPr>
                <w:sz w:val="14"/>
                <w:szCs w:val="16"/>
              </w:rPr>
              <w:t xml:space="preserve"> </w:t>
            </w:r>
            <w:r w:rsidRPr="00713ED0">
              <w:rPr>
                <w:sz w:val="14"/>
                <w:szCs w:val="16"/>
              </w:rPr>
              <w:t>430.00</w:t>
            </w:r>
          </w:p>
        </w:tc>
        <w:tc>
          <w:tcPr>
            <w:tcW w:w="440" w:type="dxa"/>
            <w:vAlign w:val="center"/>
          </w:tcPr>
          <w:p w14:paraId="6557CECB" w14:textId="77777777" w:rsidR="00713ED0" w:rsidRPr="00713ED0" w:rsidRDefault="00713ED0" w:rsidP="00FF45C2">
            <w:pPr>
              <w:pStyle w:val="TableTextEntries"/>
            </w:pPr>
            <w:r w:rsidRPr="00713ED0">
              <w:t>2012</w:t>
            </w:r>
          </w:p>
        </w:tc>
        <w:tc>
          <w:tcPr>
            <w:tcW w:w="334" w:type="dxa"/>
            <w:shd w:val="clear" w:color="auto" w:fill="92D050"/>
            <w:noWrap/>
            <w:vAlign w:val="center"/>
          </w:tcPr>
          <w:p w14:paraId="74A51FA1"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DBB542D"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169949BF"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11AEE08F"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CE97BF4"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24452DB6" w14:textId="77777777" w:rsidR="00713ED0" w:rsidRPr="00FF45C2" w:rsidRDefault="00713ED0" w:rsidP="00FF45C2">
            <w:pPr>
              <w:pStyle w:val="TableTextEntries"/>
              <w:jc w:val="center"/>
            </w:pPr>
            <w:r w:rsidRPr="00FF45C2">
              <w:t>6</w:t>
            </w:r>
          </w:p>
        </w:tc>
        <w:tc>
          <w:tcPr>
            <w:tcW w:w="347" w:type="dxa"/>
            <w:tcBorders>
              <w:top w:val="nil"/>
              <w:bottom w:val="nil"/>
            </w:tcBorders>
            <w:shd w:val="clear" w:color="auto" w:fill="92D050"/>
            <w:noWrap/>
          </w:tcPr>
          <w:p w14:paraId="0CF77284" w14:textId="77777777" w:rsidR="00713ED0" w:rsidRPr="00FF45C2" w:rsidRDefault="00713ED0" w:rsidP="00FF45C2">
            <w:pPr>
              <w:pStyle w:val="TableTextEntries"/>
              <w:jc w:val="center"/>
            </w:pPr>
            <w:r w:rsidRPr="00FF45C2">
              <w:t>M</w:t>
            </w:r>
          </w:p>
        </w:tc>
      </w:tr>
      <w:tr w:rsidR="00713ED0" w:rsidRPr="00713ED0" w14:paraId="233E30A3"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3492D3A4" w14:textId="77777777" w:rsidR="00713ED0" w:rsidRPr="00713ED0" w:rsidRDefault="00713ED0" w:rsidP="00FF45C2">
            <w:pPr>
              <w:pStyle w:val="TableTextEntries"/>
            </w:pPr>
          </w:p>
        </w:tc>
        <w:tc>
          <w:tcPr>
            <w:tcW w:w="1486" w:type="dxa"/>
            <w:vMerge/>
            <w:vAlign w:val="center"/>
          </w:tcPr>
          <w:p w14:paraId="7FCE0EF2" w14:textId="77777777" w:rsidR="00713ED0" w:rsidRPr="00713ED0" w:rsidRDefault="00713ED0" w:rsidP="00FF45C2">
            <w:pPr>
              <w:pStyle w:val="TableTextEntries"/>
            </w:pPr>
          </w:p>
        </w:tc>
        <w:tc>
          <w:tcPr>
            <w:tcW w:w="813" w:type="dxa"/>
            <w:vMerge/>
            <w:vAlign w:val="center"/>
          </w:tcPr>
          <w:p w14:paraId="1F2047FC" w14:textId="77777777" w:rsidR="00713ED0" w:rsidRPr="00713ED0" w:rsidRDefault="00713ED0" w:rsidP="00FF45C2">
            <w:pPr>
              <w:pStyle w:val="TableTextEntries"/>
              <w:rPr>
                <w:sz w:val="14"/>
              </w:rPr>
            </w:pPr>
          </w:p>
        </w:tc>
        <w:tc>
          <w:tcPr>
            <w:tcW w:w="808" w:type="dxa"/>
            <w:vMerge/>
            <w:vAlign w:val="center"/>
          </w:tcPr>
          <w:p w14:paraId="347661F1" w14:textId="77777777" w:rsidR="00713ED0" w:rsidRPr="00713ED0" w:rsidRDefault="00713ED0" w:rsidP="00FF45C2">
            <w:pPr>
              <w:pStyle w:val="TableTextEntries"/>
              <w:rPr>
                <w:sz w:val="14"/>
              </w:rPr>
            </w:pPr>
          </w:p>
        </w:tc>
        <w:tc>
          <w:tcPr>
            <w:tcW w:w="1152" w:type="dxa"/>
            <w:vMerge/>
            <w:vAlign w:val="center"/>
          </w:tcPr>
          <w:p w14:paraId="3C983AC2" w14:textId="77777777" w:rsidR="00713ED0" w:rsidRPr="00713ED0" w:rsidRDefault="00713ED0" w:rsidP="00FF45C2">
            <w:pPr>
              <w:pStyle w:val="TableTextEntries"/>
              <w:rPr>
                <w:sz w:val="14"/>
                <w:szCs w:val="16"/>
              </w:rPr>
            </w:pPr>
          </w:p>
        </w:tc>
        <w:tc>
          <w:tcPr>
            <w:tcW w:w="440" w:type="dxa"/>
            <w:vAlign w:val="center"/>
          </w:tcPr>
          <w:p w14:paraId="37130702" w14:textId="77777777" w:rsidR="00713ED0" w:rsidRPr="00713ED0" w:rsidRDefault="00713ED0" w:rsidP="00FF45C2">
            <w:pPr>
              <w:pStyle w:val="TableTextEntries"/>
            </w:pPr>
            <w:r w:rsidRPr="00713ED0">
              <w:t>2011</w:t>
            </w:r>
          </w:p>
        </w:tc>
        <w:tc>
          <w:tcPr>
            <w:tcW w:w="334" w:type="dxa"/>
            <w:shd w:val="clear" w:color="auto" w:fill="92D050"/>
            <w:noWrap/>
            <w:vAlign w:val="center"/>
          </w:tcPr>
          <w:p w14:paraId="7000AC18"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64D702C9"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2792D2C8"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46ACFC80"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55F9D07"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0181046" w14:textId="77777777" w:rsidR="00713ED0" w:rsidRPr="00FF45C2" w:rsidRDefault="00713ED0" w:rsidP="00FF45C2">
            <w:pPr>
              <w:pStyle w:val="TableTextEntries"/>
              <w:jc w:val="center"/>
            </w:pPr>
            <w:r w:rsidRPr="00FF45C2">
              <w:t>5</w:t>
            </w:r>
          </w:p>
        </w:tc>
        <w:tc>
          <w:tcPr>
            <w:tcW w:w="347" w:type="dxa"/>
            <w:shd w:val="clear" w:color="auto" w:fill="92D050"/>
            <w:noWrap/>
          </w:tcPr>
          <w:p w14:paraId="66353BA6" w14:textId="77777777" w:rsidR="00713ED0" w:rsidRPr="00FF45C2" w:rsidRDefault="00713ED0" w:rsidP="00FF45C2">
            <w:pPr>
              <w:pStyle w:val="TableTextEntries"/>
              <w:jc w:val="center"/>
            </w:pPr>
            <w:r w:rsidRPr="00FF45C2">
              <w:t>M</w:t>
            </w:r>
          </w:p>
        </w:tc>
      </w:tr>
      <w:tr w:rsidR="00713ED0" w:rsidRPr="00713ED0" w14:paraId="72A2B4DA" w14:textId="77777777" w:rsidTr="00E0168D">
        <w:trPr>
          <w:tblHeader w:val="0"/>
        </w:trPr>
        <w:tc>
          <w:tcPr>
            <w:tcW w:w="823" w:type="dxa"/>
            <w:gridSpan w:val="2"/>
            <w:vMerge w:val="restart"/>
            <w:vAlign w:val="center"/>
          </w:tcPr>
          <w:p w14:paraId="23DCB52F" w14:textId="77777777" w:rsidR="00713ED0" w:rsidRPr="00713ED0" w:rsidRDefault="00713ED0" w:rsidP="00FF45C2">
            <w:pPr>
              <w:pStyle w:val="TableTextEntries"/>
            </w:pPr>
            <w:r w:rsidRPr="00713ED0">
              <w:t>INI355</w:t>
            </w:r>
          </w:p>
        </w:tc>
        <w:tc>
          <w:tcPr>
            <w:tcW w:w="1486" w:type="dxa"/>
            <w:vMerge w:val="restart"/>
            <w:vAlign w:val="center"/>
          </w:tcPr>
          <w:p w14:paraId="651F88FD" w14:textId="5E815FB3" w:rsidR="00713ED0" w:rsidRPr="00713ED0" w:rsidRDefault="00501774" w:rsidP="00FF45C2">
            <w:pPr>
              <w:pStyle w:val="TableTextEntries"/>
            </w:pPr>
            <w:r w:rsidRPr="00501774">
              <w:t>Local Governance and Infrastructure for Communities in Aceh Program</w:t>
            </w:r>
            <w:r w:rsidRPr="00501774" w:rsidDel="00501774">
              <w:t xml:space="preserve"> </w:t>
            </w:r>
            <w:r w:rsidR="00713ED0" w:rsidRPr="00713ED0">
              <w:t>2</w:t>
            </w:r>
          </w:p>
        </w:tc>
        <w:tc>
          <w:tcPr>
            <w:tcW w:w="813" w:type="dxa"/>
            <w:vMerge w:val="restart"/>
            <w:vAlign w:val="center"/>
          </w:tcPr>
          <w:p w14:paraId="05D7459A" w14:textId="77777777" w:rsidR="00713ED0" w:rsidRPr="00713ED0" w:rsidRDefault="00713ED0" w:rsidP="00FF45C2">
            <w:pPr>
              <w:pStyle w:val="TableTextEntries"/>
              <w:rPr>
                <w:sz w:val="14"/>
              </w:rPr>
            </w:pPr>
            <w:r w:rsidRPr="00713ED0">
              <w:rPr>
                <w:sz w:val="14"/>
              </w:rPr>
              <w:t>01/01/2009</w:t>
            </w:r>
          </w:p>
        </w:tc>
        <w:tc>
          <w:tcPr>
            <w:tcW w:w="808" w:type="dxa"/>
            <w:vMerge w:val="restart"/>
            <w:vAlign w:val="center"/>
          </w:tcPr>
          <w:p w14:paraId="2E95E9CE" w14:textId="77777777" w:rsidR="00713ED0" w:rsidRPr="00713ED0" w:rsidRDefault="00713ED0" w:rsidP="00FF45C2">
            <w:pPr>
              <w:pStyle w:val="TableTextEntries"/>
              <w:rPr>
                <w:sz w:val="14"/>
              </w:rPr>
            </w:pPr>
            <w:r w:rsidRPr="00713ED0">
              <w:rPr>
                <w:sz w:val="14"/>
              </w:rPr>
              <w:t>30/06/2014</w:t>
            </w:r>
          </w:p>
        </w:tc>
        <w:tc>
          <w:tcPr>
            <w:tcW w:w="1152" w:type="dxa"/>
            <w:vMerge w:val="restart"/>
            <w:vAlign w:val="center"/>
          </w:tcPr>
          <w:p w14:paraId="48375AE7" w14:textId="77BB9C71" w:rsidR="00713ED0" w:rsidRPr="00713ED0" w:rsidRDefault="00713ED0" w:rsidP="00FF45C2">
            <w:pPr>
              <w:pStyle w:val="TableTextEntries"/>
              <w:rPr>
                <w:sz w:val="14"/>
                <w:szCs w:val="16"/>
              </w:rPr>
            </w:pPr>
            <w:r w:rsidRPr="00713ED0">
              <w:rPr>
                <w:sz w:val="14"/>
                <w:szCs w:val="16"/>
              </w:rPr>
              <w:t>$29</w:t>
            </w:r>
            <w:r w:rsidR="00623D66">
              <w:rPr>
                <w:sz w:val="14"/>
                <w:szCs w:val="16"/>
              </w:rPr>
              <w:t xml:space="preserve"> </w:t>
            </w:r>
            <w:r w:rsidRPr="00713ED0">
              <w:rPr>
                <w:sz w:val="14"/>
                <w:szCs w:val="16"/>
              </w:rPr>
              <w:t>600</w:t>
            </w:r>
            <w:r w:rsidR="00623D66">
              <w:rPr>
                <w:sz w:val="14"/>
                <w:szCs w:val="16"/>
              </w:rPr>
              <w:t xml:space="preserve"> </w:t>
            </w:r>
            <w:r w:rsidRPr="00713ED0">
              <w:rPr>
                <w:sz w:val="14"/>
                <w:szCs w:val="16"/>
              </w:rPr>
              <w:t>000.00</w:t>
            </w:r>
          </w:p>
        </w:tc>
        <w:tc>
          <w:tcPr>
            <w:tcW w:w="440" w:type="dxa"/>
            <w:vAlign w:val="center"/>
          </w:tcPr>
          <w:p w14:paraId="0EA72C4F" w14:textId="77777777" w:rsidR="00713ED0" w:rsidRPr="00713ED0" w:rsidRDefault="00713ED0" w:rsidP="00FF45C2">
            <w:pPr>
              <w:pStyle w:val="TableTextEntries"/>
            </w:pPr>
            <w:r w:rsidRPr="00713ED0">
              <w:t>2012</w:t>
            </w:r>
          </w:p>
        </w:tc>
        <w:tc>
          <w:tcPr>
            <w:tcW w:w="334" w:type="dxa"/>
            <w:shd w:val="clear" w:color="auto" w:fill="92D050"/>
            <w:noWrap/>
            <w:vAlign w:val="center"/>
          </w:tcPr>
          <w:p w14:paraId="3E5B84C0"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800A07A"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2B194349" w14:textId="77777777" w:rsidR="00713ED0" w:rsidRPr="00FF45C2" w:rsidRDefault="00713ED0" w:rsidP="00FF45C2">
            <w:pPr>
              <w:pStyle w:val="TableTextEntries"/>
              <w:jc w:val="center"/>
            </w:pPr>
            <w:r w:rsidRPr="00FF45C2">
              <w:t>4</w:t>
            </w:r>
          </w:p>
        </w:tc>
        <w:tc>
          <w:tcPr>
            <w:tcW w:w="403" w:type="dxa"/>
            <w:shd w:val="clear" w:color="auto" w:fill="92D050"/>
            <w:noWrap/>
            <w:vAlign w:val="center"/>
          </w:tcPr>
          <w:p w14:paraId="03370EA1"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238F86C"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E9F4173" w14:textId="77777777" w:rsidR="00713ED0" w:rsidRPr="00FF45C2" w:rsidRDefault="00713ED0" w:rsidP="00FF45C2">
            <w:pPr>
              <w:pStyle w:val="TableTextEntries"/>
              <w:jc w:val="center"/>
            </w:pPr>
            <w:r w:rsidRPr="00FF45C2">
              <w:t>5</w:t>
            </w:r>
          </w:p>
        </w:tc>
        <w:tc>
          <w:tcPr>
            <w:tcW w:w="347" w:type="dxa"/>
            <w:tcBorders>
              <w:top w:val="nil"/>
              <w:bottom w:val="nil"/>
            </w:tcBorders>
            <w:shd w:val="clear" w:color="auto" w:fill="92D050"/>
            <w:noWrap/>
          </w:tcPr>
          <w:p w14:paraId="0E9E86B6" w14:textId="77777777" w:rsidR="00713ED0" w:rsidRPr="00FF45C2" w:rsidRDefault="00713ED0" w:rsidP="00FF45C2">
            <w:pPr>
              <w:pStyle w:val="TableTextEntries"/>
              <w:jc w:val="center"/>
            </w:pPr>
            <w:r w:rsidRPr="00FF45C2">
              <w:t>M</w:t>
            </w:r>
          </w:p>
        </w:tc>
      </w:tr>
      <w:tr w:rsidR="00713ED0" w:rsidRPr="00713ED0" w14:paraId="3EA3A909"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67010CFF" w14:textId="77777777" w:rsidR="00713ED0" w:rsidRPr="00713ED0" w:rsidRDefault="00713ED0" w:rsidP="00FF45C2">
            <w:pPr>
              <w:pStyle w:val="TableTextEntries"/>
            </w:pPr>
          </w:p>
        </w:tc>
        <w:tc>
          <w:tcPr>
            <w:tcW w:w="1486" w:type="dxa"/>
            <w:vMerge/>
            <w:vAlign w:val="center"/>
          </w:tcPr>
          <w:p w14:paraId="2E5C91F1" w14:textId="77777777" w:rsidR="00713ED0" w:rsidRPr="00713ED0" w:rsidRDefault="00713ED0" w:rsidP="00FF45C2">
            <w:pPr>
              <w:pStyle w:val="TableTextEntries"/>
            </w:pPr>
          </w:p>
        </w:tc>
        <w:tc>
          <w:tcPr>
            <w:tcW w:w="813" w:type="dxa"/>
            <w:vMerge/>
            <w:vAlign w:val="center"/>
          </w:tcPr>
          <w:p w14:paraId="30579555" w14:textId="77777777" w:rsidR="00713ED0" w:rsidRPr="00713ED0" w:rsidRDefault="00713ED0" w:rsidP="00FF45C2">
            <w:pPr>
              <w:pStyle w:val="TableTextEntries"/>
              <w:rPr>
                <w:sz w:val="14"/>
              </w:rPr>
            </w:pPr>
          </w:p>
        </w:tc>
        <w:tc>
          <w:tcPr>
            <w:tcW w:w="808" w:type="dxa"/>
            <w:vMerge/>
            <w:vAlign w:val="center"/>
          </w:tcPr>
          <w:p w14:paraId="2B089BFF" w14:textId="77777777" w:rsidR="00713ED0" w:rsidRPr="00713ED0" w:rsidRDefault="00713ED0" w:rsidP="00FF45C2">
            <w:pPr>
              <w:pStyle w:val="TableTextEntries"/>
              <w:rPr>
                <w:sz w:val="14"/>
              </w:rPr>
            </w:pPr>
          </w:p>
        </w:tc>
        <w:tc>
          <w:tcPr>
            <w:tcW w:w="1152" w:type="dxa"/>
            <w:vMerge/>
            <w:vAlign w:val="center"/>
          </w:tcPr>
          <w:p w14:paraId="04554F5F" w14:textId="77777777" w:rsidR="00713ED0" w:rsidRPr="00713ED0" w:rsidRDefault="00713ED0" w:rsidP="00FF45C2">
            <w:pPr>
              <w:pStyle w:val="TableTextEntries"/>
              <w:rPr>
                <w:sz w:val="14"/>
                <w:szCs w:val="16"/>
              </w:rPr>
            </w:pPr>
          </w:p>
        </w:tc>
        <w:tc>
          <w:tcPr>
            <w:tcW w:w="440" w:type="dxa"/>
            <w:vAlign w:val="center"/>
          </w:tcPr>
          <w:p w14:paraId="57D298CC" w14:textId="77777777" w:rsidR="00713ED0" w:rsidRPr="00713ED0" w:rsidRDefault="00713ED0" w:rsidP="00FF45C2">
            <w:pPr>
              <w:pStyle w:val="TableTextEntries"/>
            </w:pPr>
            <w:r w:rsidRPr="00713ED0">
              <w:t>2011</w:t>
            </w:r>
          </w:p>
        </w:tc>
        <w:tc>
          <w:tcPr>
            <w:tcW w:w="334" w:type="dxa"/>
            <w:shd w:val="clear" w:color="auto" w:fill="92D050"/>
            <w:noWrap/>
            <w:vAlign w:val="center"/>
          </w:tcPr>
          <w:p w14:paraId="453CA72C"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2E60D63"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0E9C76F8" w14:textId="77777777" w:rsidR="00713ED0" w:rsidRPr="00FF45C2" w:rsidRDefault="00713ED0" w:rsidP="00FF45C2">
            <w:pPr>
              <w:pStyle w:val="TableTextEntries"/>
              <w:jc w:val="center"/>
            </w:pPr>
            <w:r w:rsidRPr="00FF45C2">
              <w:t>4</w:t>
            </w:r>
          </w:p>
        </w:tc>
        <w:tc>
          <w:tcPr>
            <w:tcW w:w="403" w:type="dxa"/>
            <w:shd w:val="clear" w:color="auto" w:fill="F79646" w:themeFill="accent6"/>
            <w:noWrap/>
            <w:vAlign w:val="center"/>
          </w:tcPr>
          <w:p w14:paraId="238CC011"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69B119F3" w14:textId="77777777" w:rsidR="00713ED0" w:rsidRPr="00FF45C2" w:rsidRDefault="00713ED0" w:rsidP="00FF45C2">
            <w:pPr>
              <w:pStyle w:val="TableTextEntries"/>
              <w:jc w:val="center"/>
            </w:pPr>
            <w:r w:rsidRPr="00FF45C2">
              <w:t>3</w:t>
            </w:r>
          </w:p>
        </w:tc>
        <w:tc>
          <w:tcPr>
            <w:tcW w:w="334" w:type="dxa"/>
            <w:shd w:val="clear" w:color="auto" w:fill="92D050"/>
            <w:noWrap/>
            <w:vAlign w:val="center"/>
          </w:tcPr>
          <w:p w14:paraId="4A3D6DF2"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tcPr>
          <w:p w14:paraId="31AFC19E" w14:textId="77777777" w:rsidR="00713ED0" w:rsidRPr="00FF45C2" w:rsidRDefault="00713ED0" w:rsidP="00FF45C2">
            <w:pPr>
              <w:pStyle w:val="TableTextEntries"/>
              <w:jc w:val="center"/>
            </w:pPr>
            <w:r w:rsidRPr="00FF45C2">
              <w:t>I</w:t>
            </w:r>
          </w:p>
        </w:tc>
      </w:tr>
      <w:tr w:rsidR="00713ED0" w:rsidRPr="00713ED0" w14:paraId="1C4BED5D" w14:textId="77777777" w:rsidTr="00E0168D">
        <w:trPr>
          <w:tblHeader w:val="0"/>
        </w:trPr>
        <w:tc>
          <w:tcPr>
            <w:tcW w:w="823" w:type="dxa"/>
            <w:gridSpan w:val="2"/>
            <w:vMerge w:val="restart"/>
            <w:vAlign w:val="center"/>
          </w:tcPr>
          <w:p w14:paraId="2798818F" w14:textId="77777777" w:rsidR="00713ED0" w:rsidRPr="00713ED0" w:rsidRDefault="00713ED0" w:rsidP="00FF45C2">
            <w:pPr>
              <w:pStyle w:val="TableTextEntries"/>
            </w:pPr>
            <w:r w:rsidRPr="00713ED0">
              <w:t>INI472</w:t>
            </w:r>
          </w:p>
        </w:tc>
        <w:tc>
          <w:tcPr>
            <w:tcW w:w="1486" w:type="dxa"/>
            <w:vMerge w:val="restart"/>
            <w:vAlign w:val="center"/>
          </w:tcPr>
          <w:p w14:paraId="20AF02C6" w14:textId="77777777" w:rsidR="00713ED0" w:rsidRPr="00713ED0" w:rsidRDefault="00713ED0" w:rsidP="00FF45C2">
            <w:pPr>
              <w:pStyle w:val="TableTextEntries"/>
            </w:pPr>
            <w:r w:rsidRPr="00713ED0">
              <w:t>Public Expenditure Analysis Capacity Harmonisation</w:t>
            </w:r>
          </w:p>
        </w:tc>
        <w:tc>
          <w:tcPr>
            <w:tcW w:w="813" w:type="dxa"/>
            <w:vMerge w:val="restart"/>
            <w:vAlign w:val="center"/>
          </w:tcPr>
          <w:p w14:paraId="750A25C4" w14:textId="77777777" w:rsidR="00713ED0" w:rsidRPr="00713ED0" w:rsidRDefault="00713ED0" w:rsidP="00FF45C2">
            <w:pPr>
              <w:pStyle w:val="TableTextEntries"/>
              <w:rPr>
                <w:sz w:val="14"/>
              </w:rPr>
            </w:pPr>
            <w:r w:rsidRPr="00713ED0">
              <w:rPr>
                <w:sz w:val="14"/>
              </w:rPr>
              <w:t>23/01/2009</w:t>
            </w:r>
          </w:p>
        </w:tc>
        <w:tc>
          <w:tcPr>
            <w:tcW w:w="808" w:type="dxa"/>
            <w:vMerge w:val="restart"/>
            <w:vAlign w:val="center"/>
          </w:tcPr>
          <w:p w14:paraId="2157C71E" w14:textId="77777777" w:rsidR="00713ED0" w:rsidRPr="00713ED0" w:rsidRDefault="00713ED0" w:rsidP="00FF45C2">
            <w:pPr>
              <w:pStyle w:val="TableTextEntries"/>
              <w:rPr>
                <w:sz w:val="14"/>
              </w:rPr>
            </w:pPr>
            <w:r w:rsidRPr="00713ED0">
              <w:rPr>
                <w:sz w:val="14"/>
              </w:rPr>
              <w:t>30/03/2013</w:t>
            </w:r>
          </w:p>
        </w:tc>
        <w:tc>
          <w:tcPr>
            <w:tcW w:w="1152" w:type="dxa"/>
            <w:vMerge w:val="restart"/>
            <w:vAlign w:val="center"/>
          </w:tcPr>
          <w:p w14:paraId="3F7E8791" w14:textId="4D43514C" w:rsidR="00713ED0" w:rsidRPr="00713ED0" w:rsidRDefault="00713ED0" w:rsidP="00FF45C2">
            <w:pPr>
              <w:pStyle w:val="TableTextEntries"/>
              <w:rPr>
                <w:sz w:val="14"/>
                <w:szCs w:val="16"/>
              </w:rPr>
            </w:pPr>
            <w:r w:rsidRPr="00713ED0">
              <w:rPr>
                <w:sz w:val="14"/>
                <w:szCs w:val="16"/>
              </w:rPr>
              <w:t>$3</w:t>
            </w:r>
            <w:r w:rsidR="00623D66">
              <w:rPr>
                <w:sz w:val="14"/>
                <w:szCs w:val="16"/>
              </w:rPr>
              <w:t xml:space="preserve"> </w:t>
            </w:r>
            <w:r w:rsidRPr="00713ED0">
              <w:rPr>
                <w:sz w:val="14"/>
                <w:szCs w:val="16"/>
              </w:rPr>
              <w:t>999</w:t>
            </w:r>
            <w:r w:rsidR="00623D66">
              <w:rPr>
                <w:sz w:val="14"/>
                <w:szCs w:val="16"/>
              </w:rPr>
              <w:t xml:space="preserve"> </w:t>
            </w:r>
            <w:r w:rsidRPr="00713ED0">
              <w:rPr>
                <w:sz w:val="14"/>
                <w:szCs w:val="16"/>
              </w:rPr>
              <w:t>111.38</w:t>
            </w:r>
          </w:p>
        </w:tc>
        <w:tc>
          <w:tcPr>
            <w:tcW w:w="440" w:type="dxa"/>
            <w:vAlign w:val="center"/>
          </w:tcPr>
          <w:p w14:paraId="74238BF5" w14:textId="77777777" w:rsidR="00713ED0" w:rsidRPr="00713ED0" w:rsidRDefault="00713ED0" w:rsidP="00FF45C2">
            <w:pPr>
              <w:pStyle w:val="TableTextEntries"/>
            </w:pPr>
            <w:r w:rsidRPr="00713ED0">
              <w:t>2012</w:t>
            </w:r>
          </w:p>
        </w:tc>
        <w:tc>
          <w:tcPr>
            <w:tcW w:w="334" w:type="dxa"/>
            <w:shd w:val="clear" w:color="auto" w:fill="92D050"/>
            <w:noWrap/>
            <w:vAlign w:val="center"/>
          </w:tcPr>
          <w:p w14:paraId="12BD1E62"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7C434A1F"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3C7F9421" w14:textId="77777777" w:rsidR="00713ED0" w:rsidRPr="00FF45C2" w:rsidRDefault="00713ED0" w:rsidP="00FF45C2">
            <w:pPr>
              <w:pStyle w:val="TableTextEntries"/>
              <w:jc w:val="center"/>
            </w:pPr>
            <w:r w:rsidRPr="00FF45C2">
              <w:t>3</w:t>
            </w:r>
          </w:p>
        </w:tc>
        <w:tc>
          <w:tcPr>
            <w:tcW w:w="403" w:type="dxa"/>
            <w:shd w:val="clear" w:color="auto" w:fill="F79646" w:themeFill="accent6"/>
            <w:noWrap/>
            <w:vAlign w:val="center"/>
          </w:tcPr>
          <w:p w14:paraId="05627C0D"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2E3DABD5"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0EF5CB32"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tcPr>
          <w:p w14:paraId="0680F537" w14:textId="77777777" w:rsidR="00713ED0" w:rsidRPr="00FF45C2" w:rsidRDefault="00713ED0" w:rsidP="00FF45C2">
            <w:pPr>
              <w:pStyle w:val="TableTextEntries"/>
              <w:jc w:val="center"/>
            </w:pPr>
            <w:r w:rsidRPr="00FF45C2">
              <w:t>I</w:t>
            </w:r>
          </w:p>
        </w:tc>
      </w:tr>
      <w:tr w:rsidR="00713ED0" w:rsidRPr="00713ED0" w14:paraId="69A89730"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27DDCCF9" w14:textId="77777777" w:rsidR="00713ED0" w:rsidRPr="00713ED0" w:rsidRDefault="00713ED0" w:rsidP="00FF45C2">
            <w:pPr>
              <w:pStyle w:val="TableTextEntries"/>
            </w:pPr>
          </w:p>
        </w:tc>
        <w:tc>
          <w:tcPr>
            <w:tcW w:w="1486" w:type="dxa"/>
            <w:vMerge/>
            <w:vAlign w:val="center"/>
          </w:tcPr>
          <w:p w14:paraId="030D2B2D" w14:textId="77777777" w:rsidR="00713ED0" w:rsidRPr="00713ED0" w:rsidRDefault="00713ED0" w:rsidP="00FF45C2">
            <w:pPr>
              <w:pStyle w:val="TableTextEntries"/>
            </w:pPr>
          </w:p>
        </w:tc>
        <w:tc>
          <w:tcPr>
            <w:tcW w:w="813" w:type="dxa"/>
            <w:vMerge/>
            <w:vAlign w:val="center"/>
          </w:tcPr>
          <w:p w14:paraId="2B3E1219" w14:textId="77777777" w:rsidR="00713ED0" w:rsidRPr="00713ED0" w:rsidRDefault="00713ED0" w:rsidP="00FF45C2">
            <w:pPr>
              <w:pStyle w:val="TableTextEntries"/>
              <w:rPr>
                <w:sz w:val="14"/>
              </w:rPr>
            </w:pPr>
          </w:p>
        </w:tc>
        <w:tc>
          <w:tcPr>
            <w:tcW w:w="808" w:type="dxa"/>
            <w:vMerge/>
            <w:vAlign w:val="center"/>
          </w:tcPr>
          <w:p w14:paraId="07491E22" w14:textId="77777777" w:rsidR="00713ED0" w:rsidRPr="00713ED0" w:rsidRDefault="00713ED0" w:rsidP="00FF45C2">
            <w:pPr>
              <w:pStyle w:val="TableTextEntries"/>
              <w:rPr>
                <w:sz w:val="14"/>
              </w:rPr>
            </w:pPr>
          </w:p>
        </w:tc>
        <w:tc>
          <w:tcPr>
            <w:tcW w:w="1152" w:type="dxa"/>
            <w:vMerge/>
            <w:vAlign w:val="center"/>
          </w:tcPr>
          <w:p w14:paraId="1B15A8B0" w14:textId="77777777" w:rsidR="00713ED0" w:rsidRPr="00713ED0" w:rsidRDefault="00713ED0" w:rsidP="00FF45C2">
            <w:pPr>
              <w:pStyle w:val="TableTextEntries"/>
              <w:rPr>
                <w:sz w:val="14"/>
                <w:szCs w:val="16"/>
              </w:rPr>
            </w:pPr>
          </w:p>
        </w:tc>
        <w:tc>
          <w:tcPr>
            <w:tcW w:w="440" w:type="dxa"/>
            <w:vAlign w:val="center"/>
          </w:tcPr>
          <w:p w14:paraId="28F53378" w14:textId="77777777" w:rsidR="00713ED0" w:rsidRPr="00713ED0" w:rsidRDefault="00713ED0" w:rsidP="00FF45C2">
            <w:pPr>
              <w:pStyle w:val="TableTextEntries"/>
            </w:pPr>
            <w:r w:rsidRPr="00713ED0">
              <w:t>2011</w:t>
            </w:r>
          </w:p>
        </w:tc>
        <w:tc>
          <w:tcPr>
            <w:tcW w:w="334" w:type="dxa"/>
            <w:shd w:val="clear" w:color="auto" w:fill="92D050"/>
            <w:noWrap/>
            <w:vAlign w:val="center"/>
          </w:tcPr>
          <w:p w14:paraId="61C439AA"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3FE51C01"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537025C2" w14:textId="77777777" w:rsidR="00713ED0" w:rsidRPr="00FF45C2" w:rsidRDefault="00713ED0" w:rsidP="00FF45C2">
            <w:pPr>
              <w:pStyle w:val="TableTextEntries"/>
              <w:jc w:val="center"/>
            </w:pPr>
            <w:r w:rsidRPr="00FF45C2">
              <w:t>3</w:t>
            </w:r>
          </w:p>
        </w:tc>
        <w:tc>
          <w:tcPr>
            <w:tcW w:w="403" w:type="dxa"/>
            <w:shd w:val="clear" w:color="auto" w:fill="F79646" w:themeFill="accent6"/>
            <w:noWrap/>
            <w:vAlign w:val="center"/>
          </w:tcPr>
          <w:p w14:paraId="106563B0"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1CAE131B"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5D1FC72D" w14:textId="77777777" w:rsidR="00713ED0" w:rsidRPr="00FF45C2" w:rsidRDefault="00713ED0" w:rsidP="00FF45C2">
            <w:pPr>
              <w:pStyle w:val="TableTextEntries"/>
              <w:jc w:val="center"/>
            </w:pPr>
            <w:r w:rsidRPr="00FF45C2">
              <w:t>3</w:t>
            </w:r>
          </w:p>
        </w:tc>
        <w:tc>
          <w:tcPr>
            <w:tcW w:w="347" w:type="dxa"/>
            <w:shd w:val="clear" w:color="auto" w:fill="E36C0A" w:themeFill="accent6" w:themeFillShade="BF"/>
            <w:noWrap/>
          </w:tcPr>
          <w:p w14:paraId="2728F76B" w14:textId="77777777" w:rsidR="00713ED0" w:rsidRPr="00FF45C2" w:rsidRDefault="00713ED0" w:rsidP="00FF45C2">
            <w:pPr>
              <w:pStyle w:val="TableTextEntries"/>
              <w:jc w:val="center"/>
            </w:pPr>
            <w:r w:rsidRPr="00FF45C2">
              <w:t>I</w:t>
            </w:r>
          </w:p>
        </w:tc>
      </w:tr>
      <w:tr w:rsidR="00713ED0" w:rsidRPr="00713ED0" w14:paraId="46AC81FA" w14:textId="77777777" w:rsidTr="00E0168D">
        <w:trPr>
          <w:tblHeader w:val="0"/>
        </w:trPr>
        <w:tc>
          <w:tcPr>
            <w:tcW w:w="823" w:type="dxa"/>
            <w:gridSpan w:val="2"/>
            <w:vMerge w:val="restart"/>
            <w:vAlign w:val="center"/>
          </w:tcPr>
          <w:p w14:paraId="03BD0C0B" w14:textId="77777777" w:rsidR="00713ED0" w:rsidRPr="00713ED0" w:rsidRDefault="00713ED0" w:rsidP="00FF45C2">
            <w:pPr>
              <w:pStyle w:val="TableTextEntries"/>
            </w:pPr>
            <w:r w:rsidRPr="00713ED0">
              <w:t>INJ122</w:t>
            </w:r>
          </w:p>
        </w:tc>
        <w:tc>
          <w:tcPr>
            <w:tcW w:w="1486" w:type="dxa"/>
            <w:vMerge w:val="restart"/>
            <w:vAlign w:val="center"/>
          </w:tcPr>
          <w:p w14:paraId="0683C24A" w14:textId="565FDDEF" w:rsidR="00713ED0" w:rsidRPr="00713ED0" w:rsidRDefault="000A11DD" w:rsidP="00FF45C2">
            <w:pPr>
              <w:pStyle w:val="TableTextEntries"/>
            </w:pPr>
            <w:r>
              <w:t>Australia</w:t>
            </w:r>
            <w:r w:rsidR="00B525E5">
              <w:t>–</w:t>
            </w:r>
            <w:r>
              <w:t>Indonesia</w:t>
            </w:r>
            <w:r w:rsidR="00713ED0" w:rsidRPr="00713ED0">
              <w:t xml:space="preserve"> Partnership </w:t>
            </w:r>
            <w:r w:rsidR="00501774">
              <w:t xml:space="preserve">for </w:t>
            </w:r>
            <w:r w:rsidR="00501774" w:rsidRPr="00713ED0">
              <w:t>Decentrali</w:t>
            </w:r>
            <w:r w:rsidR="00501774">
              <w:t>s</w:t>
            </w:r>
            <w:r w:rsidR="00501774" w:rsidRPr="00713ED0">
              <w:t>ation</w:t>
            </w:r>
          </w:p>
        </w:tc>
        <w:tc>
          <w:tcPr>
            <w:tcW w:w="813" w:type="dxa"/>
            <w:vMerge w:val="restart"/>
            <w:vAlign w:val="center"/>
          </w:tcPr>
          <w:p w14:paraId="07C13E85" w14:textId="77777777" w:rsidR="00713ED0" w:rsidRPr="00713ED0" w:rsidRDefault="00713ED0" w:rsidP="00FF45C2">
            <w:pPr>
              <w:pStyle w:val="TableTextEntries"/>
              <w:rPr>
                <w:sz w:val="14"/>
              </w:rPr>
            </w:pPr>
            <w:r w:rsidRPr="00713ED0">
              <w:rPr>
                <w:sz w:val="14"/>
              </w:rPr>
              <w:t>01/07/2010</w:t>
            </w:r>
          </w:p>
        </w:tc>
        <w:tc>
          <w:tcPr>
            <w:tcW w:w="808" w:type="dxa"/>
            <w:vMerge w:val="restart"/>
            <w:vAlign w:val="center"/>
          </w:tcPr>
          <w:p w14:paraId="1B88192F" w14:textId="77777777" w:rsidR="00713ED0" w:rsidRPr="00713ED0" w:rsidRDefault="00713ED0" w:rsidP="00FF45C2">
            <w:pPr>
              <w:pStyle w:val="TableTextEntries"/>
              <w:rPr>
                <w:sz w:val="14"/>
              </w:rPr>
            </w:pPr>
            <w:r w:rsidRPr="00713ED0">
              <w:rPr>
                <w:sz w:val="14"/>
              </w:rPr>
              <w:t>30/06/2015</w:t>
            </w:r>
          </w:p>
        </w:tc>
        <w:tc>
          <w:tcPr>
            <w:tcW w:w="1152" w:type="dxa"/>
            <w:vMerge w:val="restart"/>
            <w:vAlign w:val="center"/>
          </w:tcPr>
          <w:p w14:paraId="4F3AE1A3" w14:textId="2F9A5123" w:rsidR="00713ED0" w:rsidRPr="00713ED0" w:rsidRDefault="00713ED0" w:rsidP="00FF45C2">
            <w:pPr>
              <w:pStyle w:val="TableTextEntries"/>
              <w:rPr>
                <w:sz w:val="14"/>
                <w:szCs w:val="16"/>
              </w:rPr>
            </w:pPr>
            <w:r w:rsidRPr="00713ED0">
              <w:rPr>
                <w:sz w:val="14"/>
                <w:szCs w:val="16"/>
              </w:rPr>
              <w:t>$70</w:t>
            </w:r>
            <w:r w:rsidR="00623D66">
              <w:rPr>
                <w:sz w:val="14"/>
                <w:szCs w:val="16"/>
              </w:rPr>
              <w:t xml:space="preserve"> </w:t>
            </w:r>
            <w:r w:rsidRPr="00713ED0">
              <w:rPr>
                <w:sz w:val="14"/>
                <w:szCs w:val="16"/>
              </w:rPr>
              <w:t>000</w:t>
            </w:r>
            <w:r w:rsidR="00623D66">
              <w:rPr>
                <w:sz w:val="14"/>
                <w:szCs w:val="16"/>
              </w:rPr>
              <w:t xml:space="preserve"> </w:t>
            </w:r>
            <w:r w:rsidRPr="00713ED0">
              <w:rPr>
                <w:sz w:val="14"/>
                <w:szCs w:val="16"/>
              </w:rPr>
              <w:t>000.00</w:t>
            </w:r>
          </w:p>
        </w:tc>
        <w:tc>
          <w:tcPr>
            <w:tcW w:w="440" w:type="dxa"/>
            <w:vAlign w:val="center"/>
          </w:tcPr>
          <w:p w14:paraId="20EF0195" w14:textId="77777777" w:rsidR="00713ED0" w:rsidRPr="00713ED0" w:rsidRDefault="00713ED0" w:rsidP="00FF45C2">
            <w:pPr>
              <w:pStyle w:val="TableTextEntries"/>
            </w:pPr>
            <w:r w:rsidRPr="00713ED0">
              <w:t>2012</w:t>
            </w:r>
          </w:p>
        </w:tc>
        <w:tc>
          <w:tcPr>
            <w:tcW w:w="334" w:type="dxa"/>
            <w:shd w:val="clear" w:color="auto" w:fill="92D050"/>
            <w:noWrap/>
            <w:vAlign w:val="center"/>
          </w:tcPr>
          <w:p w14:paraId="0C1C8307" w14:textId="77777777" w:rsidR="00713ED0" w:rsidRPr="00FF45C2" w:rsidRDefault="00713ED0" w:rsidP="00FF45C2">
            <w:pPr>
              <w:pStyle w:val="TableTextEntries"/>
              <w:jc w:val="center"/>
            </w:pPr>
            <w:r w:rsidRPr="00FF45C2">
              <w:t>5</w:t>
            </w:r>
          </w:p>
        </w:tc>
        <w:tc>
          <w:tcPr>
            <w:tcW w:w="334" w:type="dxa"/>
            <w:shd w:val="clear" w:color="auto" w:fill="F79646" w:themeFill="accent6"/>
            <w:noWrap/>
            <w:vAlign w:val="center"/>
          </w:tcPr>
          <w:p w14:paraId="3CDB6B7A"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48B6E92F" w14:textId="77777777" w:rsidR="00713ED0" w:rsidRPr="00FF45C2" w:rsidRDefault="00713ED0" w:rsidP="00FF45C2">
            <w:pPr>
              <w:pStyle w:val="TableTextEntries"/>
              <w:jc w:val="center"/>
            </w:pPr>
            <w:r w:rsidRPr="00FF45C2">
              <w:t>3</w:t>
            </w:r>
          </w:p>
        </w:tc>
        <w:tc>
          <w:tcPr>
            <w:tcW w:w="403" w:type="dxa"/>
            <w:shd w:val="clear" w:color="auto" w:fill="FFFF00"/>
            <w:noWrap/>
            <w:vAlign w:val="center"/>
          </w:tcPr>
          <w:p w14:paraId="2C1C7CF4"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5BF25E0D"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7C0F0883"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tcPr>
          <w:p w14:paraId="67C68A17" w14:textId="77777777" w:rsidR="00713ED0" w:rsidRPr="00FF45C2" w:rsidRDefault="00713ED0" w:rsidP="00FF45C2">
            <w:pPr>
              <w:pStyle w:val="TableTextEntries"/>
              <w:jc w:val="center"/>
            </w:pPr>
            <w:r w:rsidRPr="00FF45C2">
              <w:t>I</w:t>
            </w:r>
          </w:p>
        </w:tc>
      </w:tr>
      <w:tr w:rsidR="00713ED0" w:rsidRPr="00713ED0" w14:paraId="46798FBA"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630323B1" w14:textId="77777777" w:rsidR="00713ED0" w:rsidRPr="00713ED0" w:rsidRDefault="00713ED0" w:rsidP="00FF45C2">
            <w:pPr>
              <w:pStyle w:val="TableTextEntries"/>
            </w:pPr>
          </w:p>
        </w:tc>
        <w:tc>
          <w:tcPr>
            <w:tcW w:w="1486" w:type="dxa"/>
            <w:vMerge/>
            <w:vAlign w:val="center"/>
          </w:tcPr>
          <w:p w14:paraId="0A7D2F45" w14:textId="77777777" w:rsidR="00713ED0" w:rsidRPr="00713ED0" w:rsidRDefault="00713ED0" w:rsidP="00FF45C2">
            <w:pPr>
              <w:pStyle w:val="TableTextEntries"/>
            </w:pPr>
          </w:p>
        </w:tc>
        <w:tc>
          <w:tcPr>
            <w:tcW w:w="813" w:type="dxa"/>
            <w:vMerge/>
            <w:vAlign w:val="center"/>
          </w:tcPr>
          <w:p w14:paraId="7F8B281A" w14:textId="77777777" w:rsidR="00713ED0" w:rsidRPr="00713ED0" w:rsidRDefault="00713ED0" w:rsidP="00FF45C2">
            <w:pPr>
              <w:pStyle w:val="TableTextEntries"/>
              <w:rPr>
                <w:sz w:val="14"/>
              </w:rPr>
            </w:pPr>
          </w:p>
        </w:tc>
        <w:tc>
          <w:tcPr>
            <w:tcW w:w="808" w:type="dxa"/>
            <w:vMerge/>
            <w:vAlign w:val="center"/>
          </w:tcPr>
          <w:p w14:paraId="188E7CF0" w14:textId="77777777" w:rsidR="00713ED0" w:rsidRPr="00713ED0" w:rsidRDefault="00713ED0" w:rsidP="00FF45C2">
            <w:pPr>
              <w:pStyle w:val="TableTextEntries"/>
              <w:rPr>
                <w:sz w:val="14"/>
              </w:rPr>
            </w:pPr>
          </w:p>
        </w:tc>
        <w:tc>
          <w:tcPr>
            <w:tcW w:w="1152" w:type="dxa"/>
            <w:vMerge/>
            <w:vAlign w:val="center"/>
          </w:tcPr>
          <w:p w14:paraId="2D5BB0AC" w14:textId="77777777" w:rsidR="00713ED0" w:rsidRPr="00713ED0" w:rsidRDefault="00713ED0" w:rsidP="00FF45C2">
            <w:pPr>
              <w:pStyle w:val="TableTextEntries"/>
              <w:rPr>
                <w:sz w:val="14"/>
                <w:szCs w:val="16"/>
              </w:rPr>
            </w:pPr>
          </w:p>
        </w:tc>
        <w:tc>
          <w:tcPr>
            <w:tcW w:w="440" w:type="dxa"/>
            <w:vAlign w:val="center"/>
          </w:tcPr>
          <w:p w14:paraId="319573C7" w14:textId="77777777" w:rsidR="00713ED0" w:rsidRPr="00713ED0" w:rsidRDefault="00713ED0" w:rsidP="00FF45C2">
            <w:pPr>
              <w:pStyle w:val="TableTextEntries"/>
            </w:pPr>
            <w:r w:rsidRPr="00713ED0">
              <w:t>2011</w:t>
            </w:r>
          </w:p>
        </w:tc>
        <w:tc>
          <w:tcPr>
            <w:tcW w:w="334" w:type="dxa"/>
            <w:shd w:val="clear" w:color="auto" w:fill="92D050"/>
            <w:noWrap/>
            <w:vAlign w:val="center"/>
          </w:tcPr>
          <w:p w14:paraId="4D876319"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DF18CB3"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16AF87F8" w14:textId="77777777" w:rsidR="00713ED0" w:rsidRPr="00FF45C2" w:rsidRDefault="00713ED0" w:rsidP="00FF45C2">
            <w:pPr>
              <w:pStyle w:val="TableTextEntries"/>
              <w:jc w:val="center"/>
            </w:pPr>
            <w:r w:rsidRPr="00FF45C2">
              <w:t>4</w:t>
            </w:r>
          </w:p>
        </w:tc>
        <w:tc>
          <w:tcPr>
            <w:tcW w:w="403" w:type="dxa"/>
            <w:shd w:val="clear" w:color="auto" w:fill="92D050"/>
            <w:noWrap/>
            <w:vAlign w:val="center"/>
          </w:tcPr>
          <w:p w14:paraId="66FFFFDF"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607F27F"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9EE9580"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tcPr>
          <w:p w14:paraId="50EA4583" w14:textId="77777777" w:rsidR="00713ED0" w:rsidRPr="00FF45C2" w:rsidRDefault="00713ED0" w:rsidP="00FF45C2">
            <w:pPr>
              <w:pStyle w:val="TableTextEntries"/>
              <w:jc w:val="center"/>
            </w:pPr>
            <w:r w:rsidRPr="00FF45C2">
              <w:t>I</w:t>
            </w:r>
          </w:p>
        </w:tc>
      </w:tr>
      <w:tr w:rsidR="00713ED0" w:rsidRPr="00713ED0" w14:paraId="6FDB3E99" w14:textId="77777777" w:rsidTr="00E0168D">
        <w:trPr>
          <w:tblHeader w:val="0"/>
        </w:trPr>
        <w:tc>
          <w:tcPr>
            <w:tcW w:w="823" w:type="dxa"/>
            <w:gridSpan w:val="2"/>
            <w:vMerge w:val="restart"/>
            <w:vAlign w:val="center"/>
          </w:tcPr>
          <w:p w14:paraId="408BA3F1" w14:textId="77777777" w:rsidR="00713ED0" w:rsidRPr="00713ED0" w:rsidRDefault="00713ED0" w:rsidP="00FF45C2">
            <w:pPr>
              <w:pStyle w:val="TableTextEntries"/>
            </w:pPr>
            <w:r w:rsidRPr="00713ED0">
              <w:t>INK205</w:t>
            </w:r>
          </w:p>
        </w:tc>
        <w:tc>
          <w:tcPr>
            <w:tcW w:w="1486" w:type="dxa"/>
            <w:vMerge w:val="restart"/>
            <w:vAlign w:val="center"/>
          </w:tcPr>
          <w:p w14:paraId="481D386E" w14:textId="77777777" w:rsidR="00713ED0" w:rsidRPr="00713ED0" w:rsidRDefault="00713ED0" w:rsidP="00FF45C2">
            <w:pPr>
              <w:pStyle w:val="TableTextEntries"/>
            </w:pPr>
            <w:r w:rsidRPr="00713ED0">
              <w:t>Provincial Governance Strengthening Program</w:t>
            </w:r>
          </w:p>
        </w:tc>
        <w:tc>
          <w:tcPr>
            <w:tcW w:w="813" w:type="dxa"/>
            <w:vMerge w:val="restart"/>
            <w:vAlign w:val="center"/>
          </w:tcPr>
          <w:p w14:paraId="240AB2AC" w14:textId="77777777" w:rsidR="00713ED0" w:rsidRPr="00713ED0" w:rsidRDefault="00713ED0" w:rsidP="00FF45C2">
            <w:pPr>
              <w:pStyle w:val="TableTextEntries"/>
              <w:rPr>
                <w:sz w:val="14"/>
              </w:rPr>
            </w:pPr>
            <w:r w:rsidRPr="00713ED0">
              <w:rPr>
                <w:sz w:val="14"/>
              </w:rPr>
              <w:t>01/09/2011</w:t>
            </w:r>
          </w:p>
        </w:tc>
        <w:tc>
          <w:tcPr>
            <w:tcW w:w="808" w:type="dxa"/>
            <w:vMerge w:val="restart"/>
            <w:vAlign w:val="center"/>
          </w:tcPr>
          <w:p w14:paraId="49753ABD" w14:textId="77777777" w:rsidR="00713ED0" w:rsidRPr="00713ED0" w:rsidRDefault="00713ED0" w:rsidP="00FF45C2">
            <w:pPr>
              <w:pStyle w:val="TableTextEntries"/>
              <w:rPr>
                <w:sz w:val="14"/>
              </w:rPr>
            </w:pPr>
            <w:r w:rsidRPr="00713ED0">
              <w:rPr>
                <w:sz w:val="14"/>
              </w:rPr>
              <w:t>30/06/2014</w:t>
            </w:r>
          </w:p>
        </w:tc>
        <w:tc>
          <w:tcPr>
            <w:tcW w:w="1152" w:type="dxa"/>
            <w:vMerge w:val="restart"/>
            <w:vAlign w:val="center"/>
          </w:tcPr>
          <w:p w14:paraId="315B3EBA" w14:textId="5CBCEFF2" w:rsidR="00713ED0" w:rsidRPr="00713ED0" w:rsidRDefault="00713ED0" w:rsidP="00FF45C2">
            <w:pPr>
              <w:pStyle w:val="TableTextEntries"/>
              <w:rPr>
                <w:sz w:val="14"/>
                <w:szCs w:val="16"/>
              </w:rPr>
            </w:pPr>
            <w:r w:rsidRPr="00713ED0">
              <w:rPr>
                <w:sz w:val="14"/>
                <w:szCs w:val="16"/>
              </w:rPr>
              <w:t>$5</w:t>
            </w:r>
            <w:r w:rsidR="00623D66">
              <w:rPr>
                <w:sz w:val="14"/>
                <w:szCs w:val="16"/>
              </w:rPr>
              <w:t xml:space="preserve"> </w:t>
            </w:r>
            <w:r w:rsidRPr="00713ED0">
              <w:rPr>
                <w:sz w:val="14"/>
                <w:szCs w:val="16"/>
              </w:rPr>
              <w:t>000</w:t>
            </w:r>
            <w:r w:rsidR="00623D66">
              <w:rPr>
                <w:sz w:val="14"/>
                <w:szCs w:val="16"/>
              </w:rPr>
              <w:t xml:space="preserve"> </w:t>
            </w:r>
            <w:r w:rsidRPr="00713ED0">
              <w:rPr>
                <w:sz w:val="14"/>
                <w:szCs w:val="16"/>
              </w:rPr>
              <w:t>000.00</w:t>
            </w:r>
          </w:p>
        </w:tc>
        <w:tc>
          <w:tcPr>
            <w:tcW w:w="440" w:type="dxa"/>
            <w:vAlign w:val="center"/>
          </w:tcPr>
          <w:p w14:paraId="148225C9" w14:textId="77777777" w:rsidR="00713ED0" w:rsidRPr="00713ED0" w:rsidRDefault="00713ED0" w:rsidP="00FF45C2">
            <w:pPr>
              <w:pStyle w:val="TableTextEntries"/>
            </w:pPr>
            <w:r w:rsidRPr="00713ED0">
              <w:t>2012</w:t>
            </w:r>
          </w:p>
        </w:tc>
        <w:tc>
          <w:tcPr>
            <w:tcW w:w="334" w:type="dxa"/>
            <w:shd w:val="clear" w:color="auto" w:fill="92D050"/>
            <w:noWrap/>
            <w:vAlign w:val="center"/>
          </w:tcPr>
          <w:p w14:paraId="5FF05D0B" w14:textId="77777777" w:rsidR="00713ED0" w:rsidRPr="00FF45C2" w:rsidRDefault="00713ED0" w:rsidP="00FF45C2">
            <w:pPr>
              <w:pStyle w:val="TableTextEntries"/>
              <w:jc w:val="center"/>
            </w:pPr>
            <w:r w:rsidRPr="00FF45C2">
              <w:t>5</w:t>
            </w:r>
          </w:p>
        </w:tc>
        <w:tc>
          <w:tcPr>
            <w:tcW w:w="334" w:type="dxa"/>
            <w:shd w:val="clear" w:color="auto" w:fill="F79646" w:themeFill="accent6"/>
            <w:noWrap/>
            <w:vAlign w:val="center"/>
          </w:tcPr>
          <w:p w14:paraId="232E64B6"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45DA5B4E" w14:textId="77777777" w:rsidR="00713ED0" w:rsidRPr="00FF45C2" w:rsidRDefault="00713ED0" w:rsidP="00FF45C2">
            <w:pPr>
              <w:pStyle w:val="TableTextEntries"/>
              <w:jc w:val="center"/>
            </w:pPr>
            <w:r w:rsidRPr="00FF45C2">
              <w:t>3</w:t>
            </w:r>
          </w:p>
        </w:tc>
        <w:tc>
          <w:tcPr>
            <w:tcW w:w="403" w:type="dxa"/>
            <w:shd w:val="clear" w:color="auto" w:fill="F79646" w:themeFill="accent6"/>
            <w:noWrap/>
            <w:vAlign w:val="center"/>
          </w:tcPr>
          <w:p w14:paraId="64ED9A39"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0A426336"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2FE4D4AD" w14:textId="77777777" w:rsidR="00713ED0" w:rsidRPr="00FF45C2" w:rsidRDefault="00713ED0" w:rsidP="00FF45C2">
            <w:pPr>
              <w:pStyle w:val="TableTextEntries"/>
              <w:jc w:val="center"/>
            </w:pPr>
            <w:r w:rsidRPr="00FF45C2">
              <w:t>3</w:t>
            </w:r>
          </w:p>
        </w:tc>
        <w:tc>
          <w:tcPr>
            <w:tcW w:w="347" w:type="dxa"/>
            <w:shd w:val="clear" w:color="auto" w:fill="FF0000"/>
            <w:noWrap/>
            <w:vAlign w:val="center"/>
          </w:tcPr>
          <w:p w14:paraId="78BFC451" w14:textId="77777777" w:rsidR="00713ED0" w:rsidRPr="00FF45C2" w:rsidRDefault="00713ED0" w:rsidP="00FF45C2">
            <w:pPr>
              <w:pStyle w:val="TableTextEntries"/>
              <w:jc w:val="center"/>
            </w:pPr>
            <w:r w:rsidRPr="00FF45C2">
              <w:t>B</w:t>
            </w:r>
          </w:p>
        </w:tc>
      </w:tr>
      <w:tr w:rsidR="00713ED0" w:rsidRPr="00713ED0" w14:paraId="4782FDBE"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48FD786E" w14:textId="77777777" w:rsidR="00713ED0" w:rsidRPr="00713ED0" w:rsidRDefault="00713ED0" w:rsidP="00FF45C2">
            <w:pPr>
              <w:pStyle w:val="TableTextEntries"/>
            </w:pPr>
          </w:p>
        </w:tc>
        <w:tc>
          <w:tcPr>
            <w:tcW w:w="1486" w:type="dxa"/>
            <w:vMerge/>
            <w:vAlign w:val="center"/>
          </w:tcPr>
          <w:p w14:paraId="3F01EFC0" w14:textId="77777777" w:rsidR="00713ED0" w:rsidRPr="00713ED0" w:rsidRDefault="00713ED0" w:rsidP="00FF45C2">
            <w:pPr>
              <w:pStyle w:val="TableTextEntries"/>
            </w:pPr>
          </w:p>
        </w:tc>
        <w:tc>
          <w:tcPr>
            <w:tcW w:w="813" w:type="dxa"/>
            <w:vMerge/>
            <w:vAlign w:val="center"/>
          </w:tcPr>
          <w:p w14:paraId="48575FC8" w14:textId="77777777" w:rsidR="00713ED0" w:rsidRPr="00713ED0" w:rsidRDefault="00713ED0" w:rsidP="00FF45C2">
            <w:pPr>
              <w:pStyle w:val="TableTextEntries"/>
              <w:rPr>
                <w:sz w:val="14"/>
              </w:rPr>
            </w:pPr>
          </w:p>
        </w:tc>
        <w:tc>
          <w:tcPr>
            <w:tcW w:w="808" w:type="dxa"/>
            <w:vMerge/>
            <w:vAlign w:val="center"/>
          </w:tcPr>
          <w:p w14:paraId="5B025CFD" w14:textId="77777777" w:rsidR="00713ED0" w:rsidRPr="00713ED0" w:rsidRDefault="00713ED0" w:rsidP="00FF45C2">
            <w:pPr>
              <w:pStyle w:val="TableTextEntries"/>
              <w:rPr>
                <w:sz w:val="14"/>
              </w:rPr>
            </w:pPr>
          </w:p>
        </w:tc>
        <w:tc>
          <w:tcPr>
            <w:tcW w:w="1152" w:type="dxa"/>
            <w:vMerge/>
            <w:vAlign w:val="center"/>
          </w:tcPr>
          <w:p w14:paraId="04B62DE1" w14:textId="77777777" w:rsidR="00713ED0" w:rsidRPr="00713ED0" w:rsidRDefault="00713ED0" w:rsidP="00FF45C2">
            <w:pPr>
              <w:pStyle w:val="TableTextEntries"/>
              <w:rPr>
                <w:sz w:val="14"/>
                <w:szCs w:val="16"/>
              </w:rPr>
            </w:pPr>
          </w:p>
        </w:tc>
        <w:tc>
          <w:tcPr>
            <w:tcW w:w="440" w:type="dxa"/>
            <w:vAlign w:val="center"/>
          </w:tcPr>
          <w:p w14:paraId="5C0ACDA7" w14:textId="77777777" w:rsidR="00713ED0" w:rsidRPr="00713ED0" w:rsidRDefault="00713ED0" w:rsidP="00FF45C2">
            <w:pPr>
              <w:pStyle w:val="TableTextEntries"/>
            </w:pPr>
            <w:r w:rsidRPr="00713ED0">
              <w:t>2011</w:t>
            </w:r>
          </w:p>
        </w:tc>
        <w:tc>
          <w:tcPr>
            <w:tcW w:w="334" w:type="dxa"/>
            <w:shd w:val="clear" w:color="auto" w:fill="auto"/>
            <w:noWrap/>
            <w:vAlign w:val="center"/>
          </w:tcPr>
          <w:p w14:paraId="2580735C"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4BD65548"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78928238" w14:textId="77777777" w:rsidR="00713ED0" w:rsidRPr="00FF45C2" w:rsidRDefault="00713ED0" w:rsidP="00FF45C2">
            <w:pPr>
              <w:pStyle w:val="TableTextEntries"/>
              <w:jc w:val="center"/>
            </w:pPr>
            <w:r w:rsidRPr="00FF45C2">
              <w:t>n/a</w:t>
            </w:r>
          </w:p>
        </w:tc>
        <w:tc>
          <w:tcPr>
            <w:tcW w:w="403" w:type="dxa"/>
            <w:shd w:val="clear" w:color="auto" w:fill="auto"/>
            <w:noWrap/>
            <w:vAlign w:val="center"/>
          </w:tcPr>
          <w:p w14:paraId="279AA118"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7222EE35"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411954F3" w14:textId="77777777" w:rsidR="00713ED0" w:rsidRPr="00FF45C2" w:rsidRDefault="00713ED0" w:rsidP="00FF45C2">
            <w:pPr>
              <w:pStyle w:val="TableTextEntries"/>
              <w:jc w:val="center"/>
            </w:pPr>
            <w:r w:rsidRPr="00FF45C2">
              <w:t>n/a</w:t>
            </w:r>
          </w:p>
        </w:tc>
        <w:tc>
          <w:tcPr>
            <w:tcW w:w="347" w:type="dxa"/>
            <w:shd w:val="clear" w:color="auto" w:fill="auto"/>
            <w:noWrap/>
            <w:vAlign w:val="center"/>
          </w:tcPr>
          <w:p w14:paraId="03DCC520" w14:textId="77777777" w:rsidR="00713ED0" w:rsidRPr="00FF45C2" w:rsidRDefault="00713ED0" w:rsidP="00FF45C2">
            <w:pPr>
              <w:pStyle w:val="TableTextEntries"/>
              <w:jc w:val="center"/>
            </w:pPr>
            <w:r w:rsidRPr="00FF45C2">
              <w:t>n/a</w:t>
            </w:r>
          </w:p>
        </w:tc>
      </w:tr>
      <w:tr w:rsidR="00713ED0" w:rsidRPr="00713ED0" w14:paraId="6387FC39" w14:textId="77777777" w:rsidTr="00E0168D">
        <w:trPr>
          <w:cantSplit/>
          <w:tblHeader w:val="0"/>
        </w:trPr>
        <w:tc>
          <w:tcPr>
            <w:tcW w:w="2337" w:type="dxa"/>
            <w:gridSpan w:val="3"/>
            <w:vAlign w:val="bottom"/>
          </w:tcPr>
          <w:p w14:paraId="074D46CE" w14:textId="77777777" w:rsidR="00713ED0" w:rsidRPr="00713ED0" w:rsidRDefault="00713ED0" w:rsidP="00E0168D">
            <w:pPr>
              <w:pStyle w:val="TableHeading2"/>
            </w:pPr>
            <w:r w:rsidRPr="00713ED0">
              <w:t>Disaster and risk management</w:t>
            </w:r>
          </w:p>
        </w:tc>
        <w:tc>
          <w:tcPr>
            <w:tcW w:w="813" w:type="dxa"/>
          </w:tcPr>
          <w:p w14:paraId="3AA20C13" w14:textId="77777777" w:rsidR="00713ED0" w:rsidRPr="00713ED0" w:rsidRDefault="00713ED0" w:rsidP="00FF45C2">
            <w:pPr>
              <w:pStyle w:val="TableTextEntries"/>
              <w:rPr>
                <w:sz w:val="14"/>
              </w:rPr>
            </w:pPr>
          </w:p>
        </w:tc>
        <w:tc>
          <w:tcPr>
            <w:tcW w:w="808" w:type="dxa"/>
            <w:vAlign w:val="center"/>
          </w:tcPr>
          <w:p w14:paraId="75B61A6D" w14:textId="77777777" w:rsidR="00713ED0" w:rsidRPr="00713ED0" w:rsidRDefault="00713ED0" w:rsidP="00FF45C2">
            <w:pPr>
              <w:pStyle w:val="TableTextEntries"/>
              <w:rPr>
                <w:sz w:val="14"/>
              </w:rPr>
            </w:pPr>
          </w:p>
        </w:tc>
        <w:tc>
          <w:tcPr>
            <w:tcW w:w="1152" w:type="dxa"/>
            <w:vAlign w:val="bottom"/>
          </w:tcPr>
          <w:p w14:paraId="6620CC85" w14:textId="77777777" w:rsidR="00713ED0" w:rsidRPr="00713ED0" w:rsidRDefault="00713ED0" w:rsidP="00FF45C2">
            <w:pPr>
              <w:pStyle w:val="TableTextEntries"/>
              <w:rPr>
                <w:sz w:val="14"/>
                <w:szCs w:val="16"/>
              </w:rPr>
            </w:pPr>
          </w:p>
        </w:tc>
        <w:tc>
          <w:tcPr>
            <w:tcW w:w="440" w:type="dxa"/>
            <w:textDirection w:val="btLr"/>
            <w:vAlign w:val="center"/>
          </w:tcPr>
          <w:p w14:paraId="1352ED26" w14:textId="77777777" w:rsidR="00713ED0" w:rsidRPr="00713ED0" w:rsidRDefault="00713ED0" w:rsidP="00FF45C2">
            <w:pPr>
              <w:pStyle w:val="TableTextEntries"/>
            </w:pPr>
          </w:p>
        </w:tc>
        <w:tc>
          <w:tcPr>
            <w:tcW w:w="334" w:type="dxa"/>
            <w:textDirection w:val="btLr"/>
            <w:vAlign w:val="center"/>
          </w:tcPr>
          <w:p w14:paraId="6F6094AE" w14:textId="77777777" w:rsidR="00713ED0" w:rsidRPr="00FF45C2" w:rsidRDefault="00713ED0" w:rsidP="00FF45C2">
            <w:pPr>
              <w:pStyle w:val="TableTextEntries"/>
              <w:jc w:val="center"/>
            </w:pPr>
          </w:p>
        </w:tc>
        <w:tc>
          <w:tcPr>
            <w:tcW w:w="334" w:type="dxa"/>
            <w:textDirection w:val="btLr"/>
            <w:vAlign w:val="center"/>
          </w:tcPr>
          <w:p w14:paraId="6734DB28" w14:textId="77777777" w:rsidR="00713ED0" w:rsidRPr="00FF45C2" w:rsidRDefault="00713ED0" w:rsidP="00FF45C2">
            <w:pPr>
              <w:pStyle w:val="TableTextEntries"/>
              <w:jc w:val="center"/>
            </w:pPr>
          </w:p>
        </w:tc>
        <w:tc>
          <w:tcPr>
            <w:tcW w:w="334" w:type="dxa"/>
            <w:textDirection w:val="btLr"/>
            <w:vAlign w:val="center"/>
          </w:tcPr>
          <w:p w14:paraId="71C888C9" w14:textId="77777777" w:rsidR="00713ED0" w:rsidRPr="00FF45C2" w:rsidRDefault="00713ED0" w:rsidP="00FF45C2">
            <w:pPr>
              <w:pStyle w:val="TableTextEntries"/>
              <w:jc w:val="center"/>
            </w:pPr>
          </w:p>
        </w:tc>
        <w:tc>
          <w:tcPr>
            <w:tcW w:w="403" w:type="dxa"/>
            <w:textDirection w:val="btLr"/>
            <w:vAlign w:val="center"/>
          </w:tcPr>
          <w:p w14:paraId="35347F81" w14:textId="77777777" w:rsidR="00713ED0" w:rsidRPr="00FF45C2" w:rsidRDefault="00713ED0" w:rsidP="00FF45C2">
            <w:pPr>
              <w:pStyle w:val="TableTextEntries"/>
              <w:jc w:val="center"/>
            </w:pPr>
          </w:p>
        </w:tc>
        <w:tc>
          <w:tcPr>
            <w:tcW w:w="334" w:type="dxa"/>
            <w:textDirection w:val="btLr"/>
            <w:vAlign w:val="center"/>
          </w:tcPr>
          <w:p w14:paraId="3A0C54B3" w14:textId="77777777" w:rsidR="00713ED0" w:rsidRPr="00FF45C2" w:rsidRDefault="00713ED0" w:rsidP="00FF45C2">
            <w:pPr>
              <w:pStyle w:val="TableTextEntries"/>
              <w:jc w:val="center"/>
            </w:pPr>
          </w:p>
        </w:tc>
        <w:tc>
          <w:tcPr>
            <w:tcW w:w="334" w:type="dxa"/>
            <w:textDirection w:val="btLr"/>
            <w:vAlign w:val="center"/>
          </w:tcPr>
          <w:p w14:paraId="061A32E5" w14:textId="77777777" w:rsidR="00713ED0" w:rsidRPr="00FF45C2" w:rsidRDefault="00713ED0" w:rsidP="00FF45C2">
            <w:pPr>
              <w:pStyle w:val="TableTextEntries"/>
              <w:jc w:val="center"/>
            </w:pPr>
          </w:p>
        </w:tc>
        <w:tc>
          <w:tcPr>
            <w:tcW w:w="347" w:type="dxa"/>
            <w:textDirection w:val="btLr"/>
            <w:vAlign w:val="center"/>
          </w:tcPr>
          <w:p w14:paraId="361F22D4" w14:textId="77777777" w:rsidR="00713ED0" w:rsidRPr="00FF45C2" w:rsidRDefault="00713ED0" w:rsidP="00FF45C2">
            <w:pPr>
              <w:pStyle w:val="TableTextEntries"/>
              <w:jc w:val="center"/>
            </w:pPr>
          </w:p>
        </w:tc>
      </w:tr>
      <w:tr w:rsidR="00713ED0" w:rsidRPr="00713ED0" w14:paraId="100BFC98"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72E41568" w14:textId="77777777" w:rsidR="00713ED0" w:rsidRPr="00713ED0" w:rsidRDefault="00713ED0" w:rsidP="00FF45C2">
            <w:pPr>
              <w:pStyle w:val="TableTextEntries"/>
            </w:pPr>
            <w:r w:rsidRPr="00713ED0">
              <w:t>INI422</w:t>
            </w:r>
          </w:p>
        </w:tc>
        <w:tc>
          <w:tcPr>
            <w:tcW w:w="1486" w:type="dxa"/>
            <w:vMerge w:val="restart"/>
            <w:vAlign w:val="center"/>
          </w:tcPr>
          <w:p w14:paraId="33163CE7" w14:textId="574E0C2D" w:rsidR="00713ED0" w:rsidRPr="00713ED0" w:rsidRDefault="00501774" w:rsidP="00FF45C2">
            <w:pPr>
              <w:pStyle w:val="TableTextEntries"/>
            </w:pPr>
            <w:r>
              <w:t>Australia–Indonesia</w:t>
            </w:r>
            <w:r w:rsidRPr="00713ED0">
              <w:t xml:space="preserve"> </w:t>
            </w:r>
            <w:r w:rsidR="00713ED0" w:rsidRPr="00713ED0">
              <w:t>Facility for Disaster Reduction</w:t>
            </w:r>
          </w:p>
        </w:tc>
        <w:tc>
          <w:tcPr>
            <w:tcW w:w="813" w:type="dxa"/>
            <w:vMerge w:val="restart"/>
            <w:vAlign w:val="center"/>
          </w:tcPr>
          <w:p w14:paraId="772B4926" w14:textId="77777777" w:rsidR="00713ED0" w:rsidRPr="00713ED0" w:rsidRDefault="00713ED0" w:rsidP="00FF45C2">
            <w:pPr>
              <w:pStyle w:val="TableTextEntries"/>
              <w:rPr>
                <w:sz w:val="14"/>
              </w:rPr>
            </w:pPr>
            <w:r w:rsidRPr="00713ED0">
              <w:rPr>
                <w:sz w:val="14"/>
              </w:rPr>
              <w:t>15/10/2008</w:t>
            </w:r>
          </w:p>
        </w:tc>
        <w:tc>
          <w:tcPr>
            <w:tcW w:w="808" w:type="dxa"/>
            <w:vMerge w:val="restart"/>
            <w:vAlign w:val="center"/>
          </w:tcPr>
          <w:p w14:paraId="52A231D6" w14:textId="77777777" w:rsidR="00713ED0" w:rsidRPr="00713ED0" w:rsidRDefault="00713ED0" w:rsidP="00FF45C2">
            <w:pPr>
              <w:pStyle w:val="TableTextEntries"/>
              <w:rPr>
                <w:sz w:val="14"/>
              </w:rPr>
            </w:pPr>
            <w:r w:rsidRPr="00713ED0">
              <w:rPr>
                <w:sz w:val="14"/>
              </w:rPr>
              <w:t>30/06/2015</w:t>
            </w:r>
          </w:p>
        </w:tc>
        <w:tc>
          <w:tcPr>
            <w:tcW w:w="1152" w:type="dxa"/>
            <w:vMerge w:val="restart"/>
            <w:vAlign w:val="center"/>
          </w:tcPr>
          <w:p w14:paraId="335EC279" w14:textId="7A6F7563" w:rsidR="00713ED0" w:rsidRPr="00713ED0" w:rsidRDefault="00713ED0" w:rsidP="00FF45C2">
            <w:pPr>
              <w:pStyle w:val="TableTextEntries"/>
              <w:rPr>
                <w:sz w:val="14"/>
                <w:szCs w:val="16"/>
              </w:rPr>
            </w:pPr>
            <w:r w:rsidRPr="00713ED0">
              <w:rPr>
                <w:sz w:val="14"/>
                <w:szCs w:val="16"/>
              </w:rPr>
              <w:t>$88</w:t>
            </w:r>
            <w:r w:rsidR="00623D66">
              <w:rPr>
                <w:sz w:val="14"/>
                <w:szCs w:val="16"/>
              </w:rPr>
              <w:t xml:space="preserve"> </w:t>
            </w:r>
            <w:r w:rsidRPr="00713ED0">
              <w:rPr>
                <w:sz w:val="14"/>
                <w:szCs w:val="16"/>
              </w:rPr>
              <w:t>599</w:t>
            </w:r>
            <w:r w:rsidR="00623D66">
              <w:rPr>
                <w:sz w:val="14"/>
                <w:szCs w:val="16"/>
              </w:rPr>
              <w:t xml:space="preserve"> </w:t>
            </w:r>
            <w:r w:rsidRPr="00713ED0">
              <w:rPr>
                <w:sz w:val="14"/>
                <w:szCs w:val="16"/>
              </w:rPr>
              <w:t>999.79</w:t>
            </w:r>
          </w:p>
        </w:tc>
        <w:tc>
          <w:tcPr>
            <w:tcW w:w="440" w:type="dxa"/>
            <w:vAlign w:val="center"/>
          </w:tcPr>
          <w:p w14:paraId="55576CBB" w14:textId="77777777" w:rsidR="00713ED0" w:rsidRPr="00713ED0" w:rsidRDefault="00713ED0" w:rsidP="00FF45C2">
            <w:pPr>
              <w:pStyle w:val="TableTextEntries"/>
            </w:pPr>
            <w:r w:rsidRPr="00713ED0">
              <w:t>2012</w:t>
            </w:r>
          </w:p>
        </w:tc>
        <w:tc>
          <w:tcPr>
            <w:tcW w:w="334" w:type="dxa"/>
            <w:shd w:val="clear" w:color="auto" w:fill="92D050"/>
            <w:noWrap/>
            <w:vAlign w:val="center"/>
          </w:tcPr>
          <w:p w14:paraId="15F3146F"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29639947"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6CFC000C"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1A9AC299"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3E283356"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27463639" w14:textId="77777777" w:rsidR="00713ED0" w:rsidRPr="00FF45C2" w:rsidRDefault="00713ED0" w:rsidP="00FF45C2">
            <w:pPr>
              <w:pStyle w:val="TableTextEntries"/>
              <w:jc w:val="center"/>
            </w:pPr>
            <w:r w:rsidRPr="00FF45C2">
              <w:t>4</w:t>
            </w:r>
          </w:p>
        </w:tc>
        <w:tc>
          <w:tcPr>
            <w:tcW w:w="347" w:type="dxa"/>
            <w:shd w:val="clear" w:color="auto" w:fill="92D050"/>
            <w:noWrap/>
            <w:vAlign w:val="center"/>
          </w:tcPr>
          <w:p w14:paraId="4B9AE33A" w14:textId="77777777" w:rsidR="00713ED0" w:rsidRPr="00FF45C2" w:rsidRDefault="00713ED0" w:rsidP="00FF45C2">
            <w:pPr>
              <w:pStyle w:val="TableTextEntries"/>
              <w:jc w:val="center"/>
            </w:pPr>
            <w:r w:rsidRPr="00FF45C2">
              <w:t>M</w:t>
            </w:r>
          </w:p>
        </w:tc>
      </w:tr>
      <w:tr w:rsidR="00713ED0" w:rsidRPr="00713ED0" w14:paraId="3A36FD0D" w14:textId="77777777" w:rsidTr="00E0168D">
        <w:trPr>
          <w:tblHeader w:val="0"/>
        </w:trPr>
        <w:tc>
          <w:tcPr>
            <w:tcW w:w="823" w:type="dxa"/>
            <w:gridSpan w:val="2"/>
            <w:vMerge/>
            <w:vAlign w:val="center"/>
          </w:tcPr>
          <w:p w14:paraId="36E60280" w14:textId="77777777" w:rsidR="00713ED0" w:rsidRPr="00713ED0" w:rsidRDefault="00713ED0" w:rsidP="00FF45C2">
            <w:pPr>
              <w:pStyle w:val="TableTextEntries"/>
            </w:pPr>
          </w:p>
        </w:tc>
        <w:tc>
          <w:tcPr>
            <w:tcW w:w="1486" w:type="dxa"/>
            <w:vMerge/>
            <w:vAlign w:val="center"/>
          </w:tcPr>
          <w:p w14:paraId="30FAB394" w14:textId="77777777" w:rsidR="00713ED0" w:rsidRPr="00713ED0" w:rsidRDefault="00713ED0" w:rsidP="00FF45C2">
            <w:pPr>
              <w:pStyle w:val="TableTextEntries"/>
            </w:pPr>
          </w:p>
        </w:tc>
        <w:tc>
          <w:tcPr>
            <w:tcW w:w="813" w:type="dxa"/>
            <w:vMerge/>
            <w:vAlign w:val="center"/>
          </w:tcPr>
          <w:p w14:paraId="1CC80EC2" w14:textId="77777777" w:rsidR="00713ED0" w:rsidRPr="00713ED0" w:rsidRDefault="00713ED0" w:rsidP="00FF45C2">
            <w:pPr>
              <w:pStyle w:val="TableTextEntries"/>
              <w:rPr>
                <w:sz w:val="14"/>
              </w:rPr>
            </w:pPr>
          </w:p>
        </w:tc>
        <w:tc>
          <w:tcPr>
            <w:tcW w:w="808" w:type="dxa"/>
            <w:vMerge/>
            <w:vAlign w:val="center"/>
          </w:tcPr>
          <w:p w14:paraId="41EAE1B9" w14:textId="77777777" w:rsidR="00713ED0" w:rsidRPr="00713ED0" w:rsidRDefault="00713ED0" w:rsidP="00FF45C2">
            <w:pPr>
              <w:pStyle w:val="TableTextEntries"/>
              <w:rPr>
                <w:sz w:val="14"/>
              </w:rPr>
            </w:pPr>
          </w:p>
        </w:tc>
        <w:tc>
          <w:tcPr>
            <w:tcW w:w="1152" w:type="dxa"/>
            <w:vMerge/>
            <w:vAlign w:val="center"/>
          </w:tcPr>
          <w:p w14:paraId="6AE2475A" w14:textId="77777777" w:rsidR="00713ED0" w:rsidRPr="00713ED0" w:rsidRDefault="00713ED0" w:rsidP="00FF45C2">
            <w:pPr>
              <w:pStyle w:val="TableTextEntries"/>
              <w:rPr>
                <w:sz w:val="14"/>
                <w:szCs w:val="16"/>
              </w:rPr>
            </w:pPr>
          </w:p>
        </w:tc>
        <w:tc>
          <w:tcPr>
            <w:tcW w:w="440" w:type="dxa"/>
            <w:vAlign w:val="center"/>
          </w:tcPr>
          <w:p w14:paraId="05D83D09" w14:textId="77777777" w:rsidR="00713ED0" w:rsidRPr="00713ED0" w:rsidRDefault="00713ED0" w:rsidP="00FF45C2">
            <w:pPr>
              <w:pStyle w:val="TableTextEntries"/>
            </w:pPr>
            <w:r w:rsidRPr="00713ED0">
              <w:t>2011</w:t>
            </w:r>
          </w:p>
        </w:tc>
        <w:tc>
          <w:tcPr>
            <w:tcW w:w="334" w:type="dxa"/>
            <w:shd w:val="clear" w:color="auto" w:fill="92D050"/>
            <w:noWrap/>
            <w:vAlign w:val="center"/>
          </w:tcPr>
          <w:p w14:paraId="53AA4721"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677940E"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7477B978" w14:textId="77777777" w:rsidR="00713ED0" w:rsidRPr="00FF45C2" w:rsidRDefault="00713ED0" w:rsidP="00FF45C2">
            <w:pPr>
              <w:pStyle w:val="TableTextEntries"/>
              <w:jc w:val="center"/>
            </w:pPr>
            <w:r w:rsidRPr="00FF45C2">
              <w:t>3</w:t>
            </w:r>
          </w:p>
        </w:tc>
        <w:tc>
          <w:tcPr>
            <w:tcW w:w="403" w:type="dxa"/>
            <w:shd w:val="clear" w:color="auto" w:fill="F79646" w:themeFill="accent6"/>
            <w:noWrap/>
            <w:vAlign w:val="center"/>
          </w:tcPr>
          <w:p w14:paraId="30132F60"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6B0D363C" w14:textId="77777777" w:rsidR="00713ED0" w:rsidRPr="00FF45C2" w:rsidRDefault="00713ED0" w:rsidP="00FF45C2">
            <w:pPr>
              <w:pStyle w:val="TableTextEntries"/>
              <w:jc w:val="center"/>
            </w:pPr>
            <w:r w:rsidRPr="00FF45C2">
              <w:t>4</w:t>
            </w:r>
          </w:p>
        </w:tc>
        <w:tc>
          <w:tcPr>
            <w:tcW w:w="334" w:type="dxa"/>
            <w:shd w:val="clear" w:color="auto" w:fill="FF0000"/>
            <w:noWrap/>
            <w:vAlign w:val="center"/>
          </w:tcPr>
          <w:p w14:paraId="74E69D1F" w14:textId="77777777" w:rsidR="00713ED0" w:rsidRPr="00FF45C2" w:rsidRDefault="00713ED0" w:rsidP="00FF45C2">
            <w:pPr>
              <w:pStyle w:val="TableTextEntries"/>
              <w:jc w:val="center"/>
            </w:pPr>
            <w:r w:rsidRPr="00FF45C2">
              <w:t>2</w:t>
            </w:r>
          </w:p>
        </w:tc>
        <w:tc>
          <w:tcPr>
            <w:tcW w:w="347" w:type="dxa"/>
            <w:tcBorders>
              <w:top w:val="nil"/>
              <w:bottom w:val="nil"/>
            </w:tcBorders>
            <w:shd w:val="clear" w:color="auto" w:fill="92D050"/>
            <w:noWrap/>
            <w:vAlign w:val="center"/>
          </w:tcPr>
          <w:p w14:paraId="4E269BE2" w14:textId="77777777" w:rsidR="00713ED0" w:rsidRPr="00FF45C2" w:rsidRDefault="00713ED0" w:rsidP="00FF45C2">
            <w:pPr>
              <w:pStyle w:val="TableTextEntries"/>
              <w:jc w:val="center"/>
            </w:pPr>
            <w:r w:rsidRPr="00FF45C2">
              <w:t>M</w:t>
            </w:r>
          </w:p>
        </w:tc>
      </w:tr>
      <w:tr w:rsidR="00713ED0" w:rsidRPr="00713ED0" w14:paraId="0D210633"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6A96AE4B" w14:textId="77777777" w:rsidR="00713ED0" w:rsidRPr="00713ED0" w:rsidRDefault="00713ED0" w:rsidP="00FF45C2">
            <w:pPr>
              <w:pStyle w:val="TableTextEntries"/>
            </w:pPr>
            <w:r w:rsidRPr="00713ED0">
              <w:lastRenderedPageBreak/>
              <w:t>INH545</w:t>
            </w:r>
          </w:p>
        </w:tc>
        <w:tc>
          <w:tcPr>
            <w:tcW w:w="1486" w:type="dxa"/>
            <w:vMerge w:val="restart"/>
            <w:vAlign w:val="center"/>
          </w:tcPr>
          <w:p w14:paraId="31A95388" w14:textId="77777777" w:rsidR="00713ED0" w:rsidRPr="00713ED0" w:rsidRDefault="00713ED0" w:rsidP="00FF45C2">
            <w:pPr>
              <w:pStyle w:val="TableTextEntries"/>
            </w:pPr>
            <w:r w:rsidRPr="00713ED0">
              <w:t>Enhanced Australian Response</w:t>
            </w:r>
          </w:p>
        </w:tc>
        <w:tc>
          <w:tcPr>
            <w:tcW w:w="813" w:type="dxa"/>
            <w:vMerge w:val="restart"/>
            <w:vAlign w:val="center"/>
          </w:tcPr>
          <w:p w14:paraId="47F64B8B" w14:textId="77777777" w:rsidR="00713ED0" w:rsidRPr="00713ED0" w:rsidRDefault="00713ED0" w:rsidP="00FF45C2">
            <w:pPr>
              <w:pStyle w:val="TableTextEntries"/>
              <w:rPr>
                <w:sz w:val="14"/>
              </w:rPr>
            </w:pPr>
            <w:r w:rsidRPr="00713ED0">
              <w:rPr>
                <w:sz w:val="14"/>
              </w:rPr>
              <w:t>01/07/2007</w:t>
            </w:r>
          </w:p>
        </w:tc>
        <w:tc>
          <w:tcPr>
            <w:tcW w:w="808" w:type="dxa"/>
            <w:vMerge w:val="restart"/>
            <w:vAlign w:val="center"/>
          </w:tcPr>
          <w:p w14:paraId="4EBCE3BE" w14:textId="77777777" w:rsidR="00713ED0" w:rsidRPr="00713ED0" w:rsidRDefault="00713ED0" w:rsidP="00FF45C2">
            <w:pPr>
              <w:pStyle w:val="TableTextEntries"/>
              <w:rPr>
                <w:sz w:val="14"/>
              </w:rPr>
            </w:pPr>
            <w:r w:rsidRPr="00713ED0">
              <w:rPr>
                <w:sz w:val="14"/>
              </w:rPr>
              <w:t>30/06/2014</w:t>
            </w:r>
          </w:p>
        </w:tc>
        <w:tc>
          <w:tcPr>
            <w:tcW w:w="1152" w:type="dxa"/>
            <w:vMerge w:val="restart"/>
            <w:vAlign w:val="center"/>
          </w:tcPr>
          <w:p w14:paraId="3F79DE78" w14:textId="4D676C77" w:rsidR="00713ED0" w:rsidRPr="00713ED0" w:rsidRDefault="00713ED0" w:rsidP="00FF45C2">
            <w:pPr>
              <w:pStyle w:val="TableTextEntries"/>
              <w:rPr>
                <w:sz w:val="14"/>
                <w:szCs w:val="16"/>
              </w:rPr>
            </w:pPr>
            <w:r w:rsidRPr="00713ED0">
              <w:rPr>
                <w:sz w:val="14"/>
                <w:szCs w:val="16"/>
              </w:rPr>
              <w:t>$2</w:t>
            </w:r>
            <w:r w:rsidR="00623D66">
              <w:rPr>
                <w:sz w:val="14"/>
                <w:szCs w:val="16"/>
              </w:rPr>
              <w:t xml:space="preserve"> </w:t>
            </w:r>
            <w:r w:rsidRPr="00713ED0">
              <w:rPr>
                <w:sz w:val="14"/>
                <w:szCs w:val="16"/>
              </w:rPr>
              <w:t>101</w:t>
            </w:r>
            <w:r w:rsidR="00623D66">
              <w:rPr>
                <w:sz w:val="14"/>
                <w:szCs w:val="16"/>
              </w:rPr>
              <w:t xml:space="preserve"> </w:t>
            </w:r>
            <w:r w:rsidRPr="00713ED0">
              <w:rPr>
                <w:sz w:val="14"/>
                <w:szCs w:val="16"/>
              </w:rPr>
              <w:t>288.04</w:t>
            </w:r>
          </w:p>
        </w:tc>
        <w:tc>
          <w:tcPr>
            <w:tcW w:w="440" w:type="dxa"/>
            <w:vAlign w:val="center"/>
          </w:tcPr>
          <w:p w14:paraId="41587165" w14:textId="77777777" w:rsidR="00713ED0" w:rsidRPr="00713ED0" w:rsidRDefault="00713ED0" w:rsidP="00FF45C2">
            <w:pPr>
              <w:pStyle w:val="TableTextEntries"/>
            </w:pPr>
            <w:r w:rsidRPr="00713ED0">
              <w:t>2012</w:t>
            </w:r>
          </w:p>
        </w:tc>
        <w:tc>
          <w:tcPr>
            <w:tcW w:w="334" w:type="dxa"/>
            <w:shd w:val="clear" w:color="auto" w:fill="92D050"/>
            <w:noWrap/>
            <w:vAlign w:val="center"/>
          </w:tcPr>
          <w:p w14:paraId="7902F453"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0163FCAE"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73E161AB"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286CE1BF"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741D2EBB"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1E96ADAD" w14:textId="77777777" w:rsidR="00713ED0" w:rsidRPr="00FF45C2" w:rsidRDefault="00713ED0" w:rsidP="00FF45C2">
            <w:pPr>
              <w:pStyle w:val="TableTextEntries"/>
              <w:jc w:val="center"/>
            </w:pPr>
            <w:r w:rsidRPr="00FF45C2">
              <w:t>4</w:t>
            </w:r>
          </w:p>
        </w:tc>
        <w:tc>
          <w:tcPr>
            <w:tcW w:w="347" w:type="dxa"/>
            <w:shd w:val="clear" w:color="auto" w:fill="92D050"/>
            <w:noWrap/>
            <w:vAlign w:val="center"/>
          </w:tcPr>
          <w:p w14:paraId="15919580" w14:textId="77777777" w:rsidR="00713ED0" w:rsidRPr="00FF45C2" w:rsidRDefault="00713ED0" w:rsidP="00FF45C2">
            <w:pPr>
              <w:pStyle w:val="TableTextEntries"/>
              <w:jc w:val="center"/>
            </w:pPr>
            <w:r w:rsidRPr="00FF45C2">
              <w:t>M</w:t>
            </w:r>
          </w:p>
        </w:tc>
      </w:tr>
      <w:tr w:rsidR="00713ED0" w:rsidRPr="00713ED0" w14:paraId="3DCAF8EB" w14:textId="77777777" w:rsidTr="00E0168D">
        <w:trPr>
          <w:tblHeader w:val="0"/>
        </w:trPr>
        <w:tc>
          <w:tcPr>
            <w:tcW w:w="823" w:type="dxa"/>
            <w:gridSpan w:val="2"/>
            <w:vMerge/>
            <w:vAlign w:val="center"/>
          </w:tcPr>
          <w:p w14:paraId="46F79CEE" w14:textId="77777777" w:rsidR="00713ED0" w:rsidRPr="00713ED0" w:rsidRDefault="00713ED0" w:rsidP="00FF45C2">
            <w:pPr>
              <w:pStyle w:val="TableTextEntries"/>
            </w:pPr>
          </w:p>
        </w:tc>
        <w:tc>
          <w:tcPr>
            <w:tcW w:w="1486" w:type="dxa"/>
            <w:vMerge/>
            <w:vAlign w:val="center"/>
          </w:tcPr>
          <w:p w14:paraId="244C3E77" w14:textId="77777777" w:rsidR="00713ED0" w:rsidRPr="00713ED0" w:rsidRDefault="00713ED0" w:rsidP="00FF45C2">
            <w:pPr>
              <w:pStyle w:val="TableTextEntries"/>
            </w:pPr>
          </w:p>
        </w:tc>
        <w:tc>
          <w:tcPr>
            <w:tcW w:w="813" w:type="dxa"/>
            <w:vMerge/>
            <w:vAlign w:val="center"/>
          </w:tcPr>
          <w:p w14:paraId="1C051334" w14:textId="77777777" w:rsidR="00713ED0" w:rsidRPr="00713ED0" w:rsidRDefault="00713ED0" w:rsidP="00FF45C2">
            <w:pPr>
              <w:pStyle w:val="TableTextEntries"/>
              <w:rPr>
                <w:sz w:val="14"/>
              </w:rPr>
            </w:pPr>
          </w:p>
        </w:tc>
        <w:tc>
          <w:tcPr>
            <w:tcW w:w="808" w:type="dxa"/>
            <w:vMerge/>
            <w:vAlign w:val="center"/>
          </w:tcPr>
          <w:p w14:paraId="09BE7FAB" w14:textId="77777777" w:rsidR="00713ED0" w:rsidRPr="00713ED0" w:rsidRDefault="00713ED0" w:rsidP="00FF45C2">
            <w:pPr>
              <w:pStyle w:val="TableTextEntries"/>
              <w:rPr>
                <w:sz w:val="14"/>
              </w:rPr>
            </w:pPr>
          </w:p>
        </w:tc>
        <w:tc>
          <w:tcPr>
            <w:tcW w:w="1152" w:type="dxa"/>
            <w:vMerge/>
            <w:vAlign w:val="center"/>
          </w:tcPr>
          <w:p w14:paraId="6C348B6D" w14:textId="77777777" w:rsidR="00713ED0" w:rsidRPr="00713ED0" w:rsidRDefault="00713ED0" w:rsidP="00FF45C2">
            <w:pPr>
              <w:pStyle w:val="TableTextEntries"/>
              <w:rPr>
                <w:sz w:val="14"/>
                <w:szCs w:val="16"/>
              </w:rPr>
            </w:pPr>
          </w:p>
        </w:tc>
        <w:tc>
          <w:tcPr>
            <w:tcW w:w="440" w:type="dxa"/>
            <w:vAlign w:val="center"/>
          </w:tcPr>
          <w:p w14:paraId="36D5B94D" w14:textId="77777777" w:rsidR="00713ED0" w:rsidRPr="00713ED0" w:rsidRDefault="00713ED0" w:rsidP="00FF45C2">
            <w:pPr>
              <w:pStyle w:val="TableTextEntries"/>
            </w:pPr>
            <w:r w:rsidRPr="00713ED0">
              <w:t>2011</w:t>
            </w:r>
          </w:p>
        </w:tc>
        <w:tc>
          <w:tcPr>
            <w:tcW w:w="334" w:type="dxa"/>
            <w:shd w:val="clear" w:color="auto" w:fill="92D050"/>
            <w:noWrap/>
            <w:vAlign w:val="center"/>
          </w:tcPr>
          <w:p w14:paraId="40329D9B"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70D52CF4"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D2A9130"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2510C4B7"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0F577800"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29A35179"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79794EA5" w14:textId="77777777" w:rsidR="00713ED0" w:rsidRPr="00FF45C2" w:rsidRDefault="00713ED0" w:rsidP="00FF45C2">
            <w:pPr>
              <w:pStyle w:val="TableTextEntries"/>
              <w:jc w:val="center"/>
            </w:pPr>
            <w:r w:rsidRPr="00FF45C2">
              <w:t>I</w:t>
            </w:r>
          </w:p>
        </w:tc>
      </w:tr>
      <w:tr w:rsidR="00713ED0" w:rsidRPr="00713ED0" w14:paraId="1180729A"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2EBC1548" w14:textId="77777777" w:rsidR="00713ED0" w:rsidRPr="00713ED0" w:rsidRDefault="00713ED0" w:rsidP="00FF45C2">
            <w:pPr>
              <w:pStyle w:val="TableTextEntries"/>
            </w:pPr>
            <w:r w:rsidRPr="00713ED0">
              <w:t>INI576</w:t>
            </w:r>
          </w:p>
        </w:tc>
        <w:tc>
          <w:tcPr>
            <w:tcW w:w="1486" w:type="dxa"/>
            <w:vMerge w:val="restart"/>
            <w:vAlign w:val="center"/>
          </w:tcPr>
          <w:p w14:paraId="008930B2" w14:textId="77777777" w:rsidR="00713ED0" w:rsidRPr="00713ED0" w:rsidRDefault="00713ED0" w:rsidP="00FF45C2">
            <w:pPr>
              <w:pStyle w:val="TableTextEntries"/>
            </w:pPr>
            <w:r w:rsidRPr="00713ED0">
              <w:t>Building Resilience in Eastern Indonesia</w:t>
            </w:r>
          </w:p>
        </w:tc>
        <w:tc>
          <w:tcPr>
            <w:tcW w:w="813" w:type="dxa"/>
            <w:vMerge w:val="restart"/>
            <w:vAlign w:val="center"/>
          </w:tcPr>
          <w:p w14:paraId="2A1DBF5C" w14:textId="77777777" w:rsidR="00713ED0" w:rsidRPr="00713ED0" w:rsidRDefault="00713ED0" w:rsidP="00FF45C2">
            <w:pPr>
              <w:pStyle w:val="TableTextEntries"/>
              <w:rPr>
                <w:sz w:val="14"/>
              </w:rPr>
            </w:pPr>
            <w:r w:rsidRPr="00713ED0">
              <w:rPr>
                <w:sz w:val="14"/>
              </w:rPr>
              <w:t>15/06/2009</w:t>
            </w:r>
          </w:p>
        </w:tc>
        <w:tc>
          <w:tcPr>
            <w:tcW w:w="808" w:type="dxa"/>
            <w:vMerge w:val="restart"/>
            <w:vAlign w:val="center"/>
          </w:tcPr>
          <w:p w14:paraId="5242E3B8" w14:textId="77777777" w:rsidR="00713ED0" w:rsidRPr="00713ED0" w:rsidRDefault="00713ED0" w:rsidP="00FF45C2">
            <w:pPr>
              <w:pStyle w:val="TableTextEntries"/>
              <w:rPr>
                <w:sz w:val="14"/>
              </w:rPr>
            </w:pPr>
            <w:r w:rsidRPr="00713ED0">
              <w:rPr>
                <w:sz w:val="14"/>
              </w:rPr>
              <w:t>15/06/2012</w:t>
            </w:r>
          </w:p>
        </w:tc>
        <w:tc>
          <w:tcPr>
            <w:tcW w:w="1152" w:type="dxa"/>
            <w:vMerge w:val="restart"/>
            <w:vAlign w:val="center"/>
          </w:tcPr>
          <w:p w14:paraId="6B26F121" w14:textId="3A88E768" w:rsidR="00713ED0" w:rsidRPr="00713ED0" w:rsidRDefault="00713ED0" w:rsidP="00FF45C2">
            <w:pPr>
              <w:pStyle w:val="TableTextEntries"/>
              <w:rPr>
                <w:sz w:val="14"/>
                <w:szCs w:val="16"/>
              </w:rPr>
            </w:pPr>
            <w:r w:rsidRPr="00713ED0">
              <w:rPr>
                <w:sz w:val="14"/>
                <w:szCs w:val="16"/>
              </w:rPr>
              <w:t>$4</w:t>
            </w:r>
            <w:r w:rsidR="00623D66">
              <w:rPr>
                <w:sz w:val="14"/>
                <w:szCs w:val="16"/>
              </w:rPr>
              <w:t xml:space="preserve"> </w:t>
            </w:r>
            <w:r w:rsidRPr="00713ED0">
              <w:rPr>
                <w:sz w:val="14"/>
                <w:szCs w:val="16"/>
              </w:rPr>
              <w:t>085</w:t>
            </w:r>
            <w:r w:rsidR="00623D66">
              <w:rPr>
                <w:sz w:val="14"/>
                <w:szCs w:val="16"/>
              </w:rPr>
              <w:t xml:space="preserve"> </w:t>
            </w:r>
            <w:r w:rsidRPr="00713ED0">
              <w:rPr>
                <w:sz w:val="14"/>
                <w:szCs w:val="16"/>
              </w:rPr>
              <w:t>368.00</w:t>
            </w:r>
          </w:p>
        </w:tc>
        <w:tc>
          <w:tcPr>
            <w:tcW w:w="440" w:type="dxa"/>
            <w:vAlign w:val="center"/>
          </w:tcPr>
          <w:p w14:paraId="4FFD7B12" w14:textId="77777777" w:rsidR="00713ED0" w:rsidRPr="00713ED0" w:rsidRDefault="00713ED0" w:rsidP="00FF45C2">
            <w:pPr>
              <w:pStyle w:val="TableTextEntries"/>
            </w:pPr>
            <w:r w:rsidRPr="00713ED0">
              <w:t>2012</w:t>
            </w:r>
          </w:p>
        </w:tc>
        <w:tc>
          <w:tcPr>
            <w:tcW w:w="334" w:type="dxa"/>
            <w:shd w:val="clear" w:color="auto" w:fill="auto"/>
            <w:noWrap/>
            <w:vAlign w:val="center"/>
          </w:tcPr>
          <w:p w14:paraId="4A673396"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7432D75B"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5D7CC467" w14:textId="77777777" w:rsidR="00713ED0" w:rsidRPr="00FF45C2" w:rsidRDefault="00713ED0" w:rsidP="00FF45C2">
            <w:pPr>
              <w:pStyle w:val="TableTextEntries"/>
              <w:jc w:val="center"/>
            </w:pPr>
            <w:r w:rsidRPr="00FF45C2">
              <w:t>n/a</w:t>
            </w:r>
          </w:p>
        </w:tc>
        <w:tc>
          <w:tcPr>
            <w:tcW w:w="403" w:type="dxa"/>
            <w:shd w:val="clear" w:color="auto" w:fill="auto"/>
            <w:noWrap/>
            <w:vAlign w:val="center"/>
          </w:tcPr>
          <w:p w14:paraId="1687977C"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6ACB3162"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1032656E" w14:textId="77777777" w:rsidR="00713ED0" w:rsidRPr="00FF45C2" w:rsidRDefault="00713ED0" w:rsidP="00FF45C2">
            <w:pPr>
              <w:pStyle w:val="TableTextEntries"/>
              <w:jc w:val="center"/>
            </w:pPr>
            <w:r w:rsidRPr="00FF45C2">
              <w:t>n/a</w:t>
            </w:r>
          </w:p>
        </w:tc>
        <w:tc>
          <w:tcPr>
            <w:tcW w:w="347" w:type="dxa"/>
            <w:shd w:val="clear" w:color="auto" w:fill="auto"/>
            <w:noWrap/>
            <w:vAlign w:val="center"/>
          </w:tcPr>
          <w:p w14:paraId="7869E4EE" w14:textId="77777777" w:rsidR="00713ED0" w:rsidRPr="00FF45C2" w:rsidRDefault="00713ED0" w:rsidP="00FF45C2">
            <w:pPr>
              <w:pStyle w:val="TableTextEntries"/>
              <w:jc w:val="center"/>
            </w:pPr>
            <w:r w:rsidRPr="00FF45C2">
              <w:t>n/a</w:t>
            </w:r>
          </w:p>
        </w:tc>
      </w:tr>
      <w:tr w:rsidR="00713ED0" w:rsidRPr="00713ED0" w14:paraId="1269E3CF" w14:textId="77777777" w:rsidTr="00E0168D">
        <w:trPr>
          <w:tblHeader w:val="0"/>
        </w:trPr>
        <w:tc>
          <w:tcPr>
            <w:tcW w:w="823" w:type="dxa"/>
            <w:gridSpan w:val="2"/>
            <w:vMerge/>
            <w:vAlign w:val="center"/>
          </w:tcPr>
          <w:p w14:paraId="07B94668" w14:textId="77777777" w:rsidR="00713ED0" w:rsidRPr="00713ED0" w:rsidRDefault="00713ED0" w:rsidP="00FF45C2">
            <w:pPr>
              <w:pStyle w:val="TableTextEntries"/>
            </w:pPr>
          </w:p>
        </w:tc>
        <w:tc>
          <w:tcPr>
            <w:tcW w:w="1486" w:type="dxa"/>
            <w:vMerge/>
            <w:vAlign w:val="center"/>
          </w:tcPr>
          <w:p w14:paraId="69CEA9B1" w14:textId="77777777" w:rsidR="00713ED0" w:rsidRPr="00713ED0" w:rsidRDefault="00713ED0" w:rsidP="00FF45C2">
            <w:pPr>
              <w:pStyle w:val="TableTextEntries"/>
            </w:pPr>
          </w:p>
        </w:tc>
        <w:tc>
          <w:tcPr>
            <w:tcW w:w="813" w:type="dxa"/>
            <w:vMerge/>
            <w:vAlign w:val="center"/>
          </w:tcPr>
          <w:p w14:paraId="3850E80F" w14:textId="77777777" w:rsidR="00713ED0" w:rsidRPr="00713ED0" w:rsidRDefault="00713ED0" w:rsidP="00FF45C2">
            <w:pPr>
              <w:pStyle w:val="TableTextEntries"/>
              <w:rPr>
                <w:sz w:val="14"/>
              </w:rPr>
            </w:pPr>
          </w:p>
        </w:tc>
        <w:tc>
          <w:tcPr>
            <w:tcW w:w="808" w:type="dxa"/>
            <w:vMerge/>
            <w:vAlign w:val="center"/>
          </w:tcPr>
          <w:p w14:paraId="12E34B7D" w14:textId="77777777" w:rsidR="00713ED0" w:rsidRPr="00713ED0" w:rsidRDefault="00713ED0" w:rsidP="00FF45C2">
            <w:pPr>
              <w:pStyle w:val="TableTextEntries"/>
              <w:rPr>
                <w:sz w:val="14"/>
              </w:rPr>
            </w:pPr>
          </w:p>
        </w:tc>
        <w:tc>
          <w:tcPr>
            <w:tcW w:w="1152" w:type="dxa"/>
            <w:vMerge/>
            <w:vAlign w:val="center"/>
          </w:tcPr>
          <w:p w14:paraId="34D3AB31" w14:textId="77777777" w:rsidR="00713ED0" w:rsidRPr="00713ED0" w:rsidRDefault="00713ED0" w:rsidP="00FF45C2">
            <w:pPr>
              <w:pStyle w:val="TableTextEntries"/>
              <w:rPr>
                <w:sz w:val="14"/>
                <w:szCs w:val="16"/>
              </w:rPr>
            </w:pPr>
          </w:p>
        </w:tc>
        <w:tc>
          <w:tcPr>
            <w:tcW w:w="440" w:type="dxa"/>
            <w:vAlign w:val="center"/>
          </w:tcPr>
          <w:p w14:paraId="375B33CB" w14:textId="77777777" w:rsidR="00713ED0" w:rsidRPr="00713ED0" w:rsidRDefault="00713ED0" w:rsidP="00FF45C2">
            <w:pPr>
              <w:pStyle w:val="TableTextEntries"/>
            </w:pPr>
            <w:r w:rsidRPr="00713ED0">
              <w:t>2011</w:t>
            </w:r>
          </w:p>
        </w:tc>
        <w:tc>
          <w:tcPr>
            <w:tcW w:w="334" w:type="dxa"/>
            <w:shd w:val="clear" w:color="auto" w:fill="92D050"/>
            <w:noWrap/>
            <w:vAlign w:val="center"/>
          </w:tcPr>
          <w:p w14:paraId="40DEC70A"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D86B1BC"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735D50BC"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5DEF3B8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3DCB6E01"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4047EC89" w14:textId="77777777" w:rsidR="00713ED0" w:rsidRPr="00FF45C2" w:rsidRDefault="00713ED0" w:rsidP="00FF45C2">
            <w:pPr>
              <w:pStyle w:val="TableTextEntries"/>
              <w:jc w:val="center"/>
            </w:pPr>
            <w:r w:rsidRPr="00FF45C2">
              <w:t>5</w:t>
            </w:r>
          </w:p>
        </w:tc>
        <w:tc>
          <w:tcPr>
            <w:tcW w:w="347" w:type="dxa"/>
            <w:tcBorders>
              <w:top w:val="nil"/>
              <w:bottom w:val="nil"/>
            </w:tcBorders>
            <w:shd w:val="clear" w:color="auto" w:fill="92D050"/>
            <w:noWrap/>
            <w:vAlign w:val="center"/>
          </w:tcPr>
          <w:p w14:paraId="224A2B3F" w14:textId="77777777" w:rsidR="00713ED0" w:rsidRPr="00FF45C2" w:rsidRDefault="00713ED0" w:rsidP="00FF45C2">
            <w:pPr>
              <w:pStyle w:val="TableTextEntries"/>
              <w:jc w:val="center"/>
            </w:pPr>
            <w:r w:rsidRPr="00FF45C2">
              <w:t>M</w:t>
            </w:r>
          </w:p>
        </w:tc>
      </w:tr>
      <w:tr w:rsidR="00713ED0" w:rsidRPr="00713ED0" w14:paraId="0B1D9B7B"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03554077" w14:textId="77777777" w:rsidR="00713ED0" w:rsidRPr="00713ED0" w:rsidRDefault="00713ED0" w:rsidP="00FF45C2">
            <w:pPr>
              <w:pStyle w:val="TableTextEntries"/>
            </w:pPr>
            <w:r w:rsidRPr="00713ED0">
              <w:t>INJ334</w:t>
            </w:r>
          </w:p>
        </w:tc>
        <w:tc>
          <w:tcPr>
            <w:tcW w:w="1486" w:type="dxa"/>
            <w:vMerge w:val="restart"/>
            <w:vAlign w:val="center"/>
          </w:tcPr>
          <w:p w14:paraId="7896B48C" w14:textId="31225680" w:rsidR="00713ED0" w:rsidRPr="00713ED0" w:rsidRDefault="00713ED0" w:rsidP="00FF45C2">
            <w:pPr>
              <w:pStyle w:val="TableTextEntries"/>
            </w:pPr>
            <w:r w:rsidRPr="00713ED0">
              <w:t xml:space="preserve">Core Contribution to </w:t>
            </w:r>
            <w:r w:rsidR="00501774" w:rsidRPr="00501774">
              <w:rPr>
                <w:lang w:val="en-US"/>
              </w:rPr>
              <w:t xml:space="preserve">United Nations </w:t>
            </w:r>
            <w:r w:rsidR="00501774" w:rsidRPr="00D67028">
              <w:rPr>
                <w:iCs/>
                <w:lang w:val="en-US"/>
              </w:rPr>
              <w:t>Office for the Coordination of Humanitarian Affairs</w:t>
            </w:r>
          </w:p>
        </w:tc>
        <w:tc>
          <w:tcPr>
            <w:tcW w:w="813" w:type="dxa"/>
            <w:vMerge w:val="restart"/>
            <w:vAlign w:val="center"/>
          </w:tcPr>
          <w:p w14:paraId="48995C37" w14:textId="77777777" w:rsidR="00713ED0" w:rsidRPr="00713ED0" w:rsidRDefault="00713ED0" w:rsidP="00FF45C2">
            <w:pPr>
              <w:pStyle w:val="TableTextEntries"/>
              <w:rPr>
                <w:sz w:val="14"/>
              </w:rPr>
            </w:pPr>
            <w:r w:rsidRPr="00713ED0">
              <w:rPr>
                <w:sz w:val="14"/>
              </w:rPr>
              <w:t>12/05/2010</w:t>
            </w:r>
          </w:p>
        </w:tc>
        <w:tc>
          <w:tcPr>
            <w:tcW w:w="808" w:type="dxa"/>
            <w:vMerge w:val="restart"/>
            <w:vAlign w:val="center"/>
          </w:tcPr>
          <w:p w14:paraId="3E739667" w14:textId="77777777" w:rsidR="00713ED0" w:rsidRPr="00713ED0" w:rsidRDefault="00713ED0" w:rsidP="00FF45C2">
            <w:pPr>
              <w:pStyle w:val="TableTextEntries"/>
              <w:rPr>
                <w:sz w:val="14"/>
              </w:rPr>
            </w:pPr>
            <w:r w:rsidRPr="00713ED0">
              <w:rPr>
                <w:sz w:val="14"/>
              </w:rPr>
              <w:t>30/06/2013</w:t>
            </w:r>
          </w:p>
        </w:tc>
        <w:tc>
          <w:tcPr>
            <w:tcW w:w="1152" w:type="dxa"/>
            <w:vMerge w:val="restart"/>
            <w:vAlign w:val="center"/>
          </w:tcPr>
          <w:p w14:paraId="735DC0E3" w14:textId="4D3556BA" w:rsidR="00713ED0" w:rsidRPr="00713ED0" w:rsidRDefault="00713ED0" w:rsidP="00FF45C2">
            <w:pPr>
              <w:pStyle w:val="TableTextEntries"/>
              <w:rPr>
                <w:sz w:val="14"/>
                <w:szCs w:val="16"/>
              </w:rPr>
            </w:pPr>
            <w:r w:rsidRPr="00713ED0">
              <w:rPr>
                <w:sz w:val="14"/>
                <w:szCs w:val="16"/>
              </w:rPr>
              <w:t>$2</w:t>
            </w:r>
            <w:r w:rsidR="00623D66">
              <w:rPr>
                <w:sz w:val="14"/>
                <w:szCs w:val="16"/>
              </w:rPr>
              <w:t xml:space="preserve"> </w:t>
            </w:r>
            <w:r w:rsidRPr="00713ED0">
              <w:rPr>
                <w:sz w:val="14"/>
                <w:szCs w:val="16"/>
              </w:rPr>
              <w:t>200</w:t>
            </w:r>
            <w:r w:rsidR="00623D66">
              <w:rPr>
                <w:sz w:val="14"/>
                <w:szCs w:val="16"/>
              </w:rPr>
              <w:t xml:space="preserve"> </w:t>
            </w:r>
            <w:r w:rsidRPr="00713ED0">
              <w:rPr>
                <w:sz w:val="14"/>
                <w:szCs w:val="16"/>
              </w:rPr>
              <w:t>000.00</w:t>
            </w:r>
          </w:p>
        </w:tc>
        <w:tc>
          <w:tcPr>
            <w:tcW w:w="440" w:type="dxa"/>
            <w:vAlign w:val="center"/>
          </w:tcPr>
          <w:p w14:paraId="6EBDABA3" w14:textId="77777777" w:rsidR="00713ED0" w:rsidRPr="00713ED0" w:rsidRDefault="00713ED0" w:rsidP="00FF45C2">
            <w:pPr>
              <w:pStyle w:val="TableTextEntries"/>
            </w:pPr>
            <w:r w:rsidRPr="00713ED0">
              <w:t>2012</w:t>
            </w:r>
          </w:p>
        </w:tc>
        <w:tc>
          <w:tcPr>
            <w:tcW w:w="334" w:type="dxa"/>
            <w:shd w:val="clear" w:color="auto" w:fill="92D050"/>
            <w:noWrap/>
            <w:vAlign w:val="center"/>
          </w:tcPr>
          <w:p w14:paraId="7D6E910F" w14:textId="77777777" w:rsidR="00713ED0" w:rsidRPr="00FF45C2" w:rsidRDefault="00713ED0" w:rsidP="00FF45C2">
            <w:pPr>
              <w:pStyle w:val="TableTextEntries"/>
              <w:jc w:val="center"/>
            </w:pPr>
            <w:r w:rsidRPr="00FF45C2">
              <w:t>6</w:t>
            </w:r>
          </w:p>
        </w:tc>
        <w:tc>
          <w:tcPr>
            <w:tcW w:w="334" w:type="dxa"/>
            <w:shd w:val="clear" w:color="auto" w:fill="92D050"/>
            <w:noWrap/>
            <w:vAlign w:val="center"/>
          </w:tcPr>
          <w:p w14:paraId="15BFEE9A"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7F31510C"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21FF4806"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597AE206"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5A3DE3D5" w14:textId="77777777" w:rsidR="00713ED0" w:rsidRPr="00FF45C2" w:rsidRDefault="00713ED0" w:rsidP="00FF45C2">
            <w:pPr>
              <w:pStyle w:val="TableTextEntries"/>
              <w:jc w:val="center"/>
            </w:pPr>
            <w:r w:rsidRPr="00FF45C2">
              <w:t>4</w:t>
            </w:r>
          </w:p>
        </w:tc>
        <w:tc>
          <w:tcPr>
            <w:tcW w:w="347" w:type="dxa"/>
            <w:shd w:val="clear" w:color="auto" w:fill="92D050"/>
            <w:noWrap/>
            <w:vAlign w:val="center"/>
          </w:tcPr>
          <w:p w14:paraId="135A528D" w14:textId="77777777" w:rsidR="00713ED0" w:rsidRPr="00FF45C2" w:rsidRDefault="00713ED0" w:rsidP="00FF45C2">
            <w:pPr>
              <w:pStyle w:val="TableTextEntries"/>
              <w:jc w:val="center"/>
            </w:pPr>
            <w:r w:rsidRPr="00FF45C2">
              <w:t>M</w:t>
            </w:r>
          </w:p>
        </w:tc>
      </w:tr>
      <w:tr w:rsidR="00713ED0" w:rsidRPr="00713ED0" w14:paraId="26021385" w14:textId="77777777" w:rsidTr="00E0168D">
        <w:trPr>
          <w:tblHeader w:val="0"/>
        </w:trPr>
        <w:tc>
          <w:tcPr>
            <w:tcW w:w="823" w:type="dxa"/>
            <w:gridSpan w:val="2"/>
            <w:vMerge/>
            <w:vAlign w:val="center"/>
          </w:tcPr>
          <w:p w14:paraId="09E27044" w14:textId="77777777" w:rsidR="00713ED0" w:rsidRPr="00713ED0" w:rsidRDefault="00713ED0" w:rsidP="00FF45C2">
            <w:pPr>
              <w:pStyle w:val="TableTextEntries"/>
            </w:pPr>
          </w:p>
        </w:tc>
        <w:tc>
          <w:tcPr>
            <w:tcW w:w="1486" w:type="dxa"/>
            <w:vMerge/>
            <w:vAlign w:val="center"/>
          </w:tcPr>
          <w:p w14:paraId="4EF9851E" w14:textId="77777777" w:rsidR="00713ED0" w:rsidRPr="00713ED0" w:rsidRDefault="00713ED0" w:rsidP="00FF45C2">
            <w:pPr>
              <w:pStyle w:val="TableTextEntries"/>
            </w:pPr>
          </w:p>
        </w:tc>
        <w:tc>
          <w:tcPr>
            <w:tcW w:w="813" w:type="dxa"/>
            <w:vMerge/>
            <w:vAlign w:val="center"/>
          </w:tcPr>
          <w:p w14:paraId="5574B460" w14:textId="77777777" w:rsidR="00713ED0" w:rsidRPr="00713ED0" w:rsidRDefault="00713ED0" w:rsidP="00FF45C2">
            <w:pPr>
              <w:pStyle w:val="TableTextEntries"/>
              <w:rPr>
                <w:sz w:val="14"/>
              </w:rPr>
            </w:pPr>
          </w:p>
        </w:tc>
        <w:tc>
          <w:tcPr>
            <w:tcW w:w="808" w:type="dxa"/>
            <w:vMerge/>
            <w:vAlign w:val="center"/>
          </w:tcPr>
          <w:p w14:paraId="7938B6F7" w14:textId="77777777" w:rsidR="00713ED0" w:rsidRPr="00713ED0" w:rsidRDefault="00713ED0" w:rsidP="00FF45C2">
            <w:pPr>
              <w:pStyle w:val="TableTextEntries"/>
              <w:rPr>
                <w:sz w:val="14"/>
              </w:rPr>
            </w:pPr>
          </w:p>
        </w:tc>
        <w:tc>
          <w:tcPr>
            <w:tcW w:w="1152" w:type="dxa"/>
            <w:vMerge/>
            <w:vAlign w:val="center"/>
          </w:tcPr>
          <w:p w14:paraId="0FD017BF" w14:textId="77777777" w:rsidR="00713ED0" w:rsidRPr="00713ED0" w:rsidRDefault="00713ED0" w:rsidP="00FF45C2">
            <w:pPr>
              <w:pStyle w:val="TableTextEntries"/>
              <w:rPr>
                <w:sz w:val="14"/>
                <w:szCs w:val="16"/>
              </w:rPr>
            </w:pPr>
          </w:p>
        </w:tc>
        <w:tc>
          <w:tcPr>
            <w:tcW w:w="440" w:type="dxa"/>
            <w:vAlign w:val="center"/>
          </w:tcPr>
          <w:p w14:paraId="3D2BB129" w14:textId="77777777" w:rsidR="00713ED0" w:rsidRPr="00713ED0" w:rsidRDefault="00713ED0" w:rsidP="00FF45C2">
            <w:pPr>
              <w:pStyle w:val="TableTextEntries"/>
            </w:pPr>
            <w:r w:rsidRPr="00713ED0">
              <w:t>2011</w:t>
            </w:r>
          </w:p>
        </w:tc>
        <w:tc>
          <w:tcPr>
            <w:tcW w:w="334" w:type="dxa"/>
            <w:tcBorders>
              <w:top w:val="nil"/>
              <w:bottom w:val="nil"/>
            </w:tcBorders>
            <w:shd w:val="clear" w:color="auto" w:fill="auto"/>
            <w:noWrap/>
            <w:vAlign w:val="center"/>
          </w:tcPr>
          <w:p w14:paraId="50384344"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19796B96"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622111D6" w14:textId="77777777" w:rsidR="00713ED0" w:rsidRPr="00FF45C2" w:rsidRDefault="00713ED0" w:rsidP="00FF45C2">
            <w:pPr>
              <w:pStyle w:val="TableTextEntries"/>
              <w:jc w:val="center"/>
            </w:pPr>
            <w:r w:rsidRPr="00FF45C2">
              <w:t>n/a</w:t>
            </w:r>
          </w:p>
        </w:tc>
        <w:tc>
          <w:tcPr>
            <w:tcW w:w="403" w:type="dxa"/>
            <w:tcBorders>
              <w:top w:val="nil"/>
              <w:bottom w:val="nil"/>
            </w:tcBorders>
            <w:shd w:val="clear" w:color="auto" w:fill="auto"/>
            <w:noWrap/>
            <w:vAlign w:val="center"/>
          </w:tcPr>
          <w:p w14:paraId="29B62F5C"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4D43B67C"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39BC99A0" w14:textId="77777777" w:rsidR="00713ED0" w:rsidRPr="00FF45C2" w:rsidRDefault="00713ED0" w:rsidP="00FF45C2">
            <w:pPr>
              <w:pStyle w:val="TableTextEntries"/>
              <w:jc w:val="center"/>
            </w:pPr>
            <w:r w:rsidRPr="00FF45C2">
              <w:t>n/a</w:t>
            </w:r>
          </w:p>
        </w:tc>
        <w:tc>
          <w:tcPr>
            <w:tcW w:w="347" w:type="dxa"/>
            <w:tcBorders>
              <w:top w:val="nil"/>
              <w:bottom w:val="nil"/>
            </w:tcBorders>
            <w:shd w:val="clear" w:color="auto" w:fill="auto"/>
            <w:noWrap/>
            <w:vAlign w:val="center"/>
          </w:tcPr>
          <w:p w14:paraId="135E5C28" w14:textId="77777777" w:rsidR="00713ED0" w:rsidRPr="00FF45C2" w:rsidRDefault="00713ED0" w:rsidP="00FF45C2">
            <w:pPr>
              <w:pStyle w:val="TableTextEntries"/>
              <w:jc w:val="center"/>
            </w:pPr>
            <w:r w:rsidRPr="00FF45C2">
              <w:t>n/a</w:t>
            </w:r>
          </w:p>
        </w:tc>
      </w:tr>
      <w:tr w:rsidR="00713ED0" w:rsidRPr="00713ED0" w14:paraId="6C9FDAF1" w14:textId="77777777" w:rsidTr="00E0168D">
        <w:trPr>
          <w:cnfStyle w:val="000000010000" w:firstRow="0" w:lastRow="0" w:firstColumn="0" w:lastColumn="0" w:oddVBand="0" w:evenVBand="0" w:oddHBand="0" w:evenHBand="1" w:firstRowFirstColumn="0" w:firstRowLastColumn="0" w:lastRowFirstColumn="0" w:lastRowLastColumn="0"/>
          <w:cantSplit/>
          <w:tblHeader w:val="0"/>
        </w:trPr>
        <w:tc>
          <w:tcPr>
            <w:tcW w:w="2337" w:type="dxa"/>
            <w:gridSpan w:val="3"/>
            <w:vAlign w:val="bottom"/>
          </w:tcPr>
          <w:p w14:paraId="38B39681" w14:textId="77777777" w:rsidR="00713ED0" w:rsidRPr="00713ED0" w:rsidRDefault="00713ED0" w:rsidP="00E0168D">
            <w:pPr>
              <w:pStyle w:val="TableHeading2"/>
            </w:pPr>
            <w:r w:rsidRPr="00713ED0">
              <w:t>Economic governance</w:t>
            </w:r>
          </w:p>
        </w:tc>
        <w:tc>
          <w:tcPr>
            <w:tcW w:w="813" w:type="dxa"/>
          </w:tcPr>
          <w:p w14:paraId="5CA1ADC0" w14:textId="77777777" w:rsidR="00713ED0" w:rsidRPr="00713ED0" w:rsidRDefault="00713ED0" w:rsidP="00FF45C2">
            <w:pPr>
              <w:pStyle w:val="TableTextEntries"/>
              <w:rPr>
                <w:sz w:val="14"/>
              </w:rPr>
            </w:pPr>
          </w:p>
        </w:tc>
        <w:tc>
          <w:tcPr>
            <w:tcW w:w="808" w:type="dxa"/>
            <w:vAlign w:val="center"/>
          </w:tcPr>
          <w:p w14:paraId="41938541" w14:textId="77777777" w:rsidR="00713ED0" w:rsidRPr="00713ED0" w:rsidRDefault="00713ED0" w:rsidP="00FF45C2">
            <w:pPr>
              <w:pStyle w:val="TableTextEntries"/>
              <w:rPr>
                <w:sz w:val="14"/>
              </w:rPr>
            </w:pPr>
          </w:p>
        </w:tc>
        <w:tc>
          <w:tcPr>
            <w:tcW w:w="1152" w:type="dxa"/>
            <w:vAlign w:val="bottom"/>
          </w:tcPr>
          <w:p w14:paraId="536BD4AC" w14:textId="77777777" w:rsidR="00713ED0" w:rsidRPr="00713ED0" w:rsidRDefault="00713ED0" w:rsidP="00FF45C2">
            <w:pPr>
              <w:pStyle w:val="TableTextEntries"/>
              <w:rPr>
                <w:sz w:val="14"/>
                <w:szCs w:val="16"/>
              </w:rPr>
            </w:pPr>
          </w:p>
        </w:tc>
        <w:tc>
          <w:tcPr>
            <w:tcW w:w="440" w:type="dxa"/>
            <w:textDirection w:val="btLr"/>
            <w:vAlign w:val="center"/>
          </w:tcPr>
          <w:p w14:paraId="6ACA9DF4" w14:textId="77777777" w:rsidR="00713ED0" w:rsidRPr="00713ED0" w:rsidRDefault="00713ED0" w:rsidP="00FF45C2">
            <w:pPr>
              <w:pStyle w:val="TableTextEntries"/>
            </w:pPr>
          </w:p>
        </w:tc>
        <w:tc>
          <w:tcPr>
            <w:tcW w:w="334" w:type="dxa"/>
            <w:textDirection w:val="btLr"/>
            <w:vAlign w:val="center"/>
          </w:tcPr>
          <w:p w14:paraId="7A1A80D0" w14:textId="77777777" w:rsidR="00713ED0" w:rsidRPr="00FF45C2" w:rsidRDefault="00713ED0" w:rsidP="00FF45C2">
            <w:pPr>
              <w:pStyle w:val="TableTextEntries"/>
              <w:jc w:val="center"/>
            </w:pPr>
          </w:p>
        </w:tc>
        <w:tc>
          <w:tcPr>
            <w:tcW w:w="334" w:type="dxa"/>
            <w:textDirection w:val="btLr"/>
            <w:vAlign w:val="center"/>
          </w:tcPr>
          <w:p w14:paraId="65CCB069" w14:textId="77777777" w:rsidR="00713ED0" w:rsidRPr="00FF45C2" w:rsidRDefault="00713ED0" w:rsidP="00FF45C2">
            <w:pPr>
              <w:pStyle w:val="TableTextEntries"/>
              <w:jc w:val="center"/>
            </w:pPr>
          </w:p>
        </w:tc>
        <w:tc>
          <w:tcPr>
            <w:tcW w:w="334" w:type="dxa"/>
            <w:textDirection w:val="btLr"/>
            <w:vAlign w:val="center"/>
          </w:tcPr>
          <w:p w14:paraId="789887EE" w14:textId="77777777" w:rsidR="00713ED0" w:rsidRPr="00FF45C2" w:rsidRDefault="00713ED0" w:rsidP="00FF45C2">
            <w:pPr>
              <w:pStyle w:val="TableTextEntries"/>
              <w:jc w:val="center"/>
            </w:pPr>
          </w:p>
        </w:tc>
        <w:tc>
          <w:tcPr>
            <w:tcW w:w="403" w:type="dxa"/>
            <w:textDirection w:val="btLr"/>
            <w:vAlign w:val="center"/>
          </w:tcPr>
          <w:p w14:paraId="0EA3A2DC" w14:textId="77777777" w:rsidR="00713ED0" w:rsidRPr="00FF45C2" w:rsidRDefault="00713ED0" w:rsidP="00FF45C2">
            <w:pPr>
              <w:pStyle w:val="TableTextEntries"/>
              <w:jc w:val="center"/>
            </w:pPr>
          </w:p>
        </w:tc>
        <w:tc>
          <w:tcPr>
            <w:tcW w:w="334" w:type="dxa"/>
            <w:textDirection w:val="btLr"/>
            <w:vAlign w:val="center"/>
          </w:tcPr>
          <w:p w14:paraId="36AB8CE4" w14:textId="77777777" w:rsidR="00713ED0" w:rsidRPr="00FF45C2" w:rsidRDefault="00713ED0" w:rsidP="00FF45C2">
            <w:pPr>
              <w:pStyle w:val="TableTextEntries"/>
              <w:jc w:val="center"/>
            </w:pPr>
          </w:p>
        </w:tc>
        <w:tc>
          <w:tcPr>
            <w:tcW w:w="334" w:type="dxa"/>
            <w:textDirection w:val="btLr"/>
            <w:vAlign w:val="center"/>
          </w:tcPr>
          <w:p w14:paraId="6E48DECB" w14:textId="77777777" w:rsidR="00713ED0" w:rsidRPr="00FF45C2" w:rsidRDefault="00713ED0" w:rsidP="00FF45C2">
            <w:pPr>
              <w:pStyle w:val="TableTextEntries"/>
              <w:jc w:val="center"/>
            </w:pPr>
          </w:p>
        </w:tc>
        <w:tc>
          <w:tcPr>
            <w:tcW w:w="347" w:type="dxa"/>
            <w:textDirection w:val="btLr"/>
            <w:vAlign w:val="center"/>
          </w:tcPr>
          <w:p w14:paraId="7C97F506" w14:textId="77777777" w:rsidR="00713ED0" w:rsidRPr="00FF45C2" w:rsidRDefault="00713ED0" w:rsidP="00FF45C2">
            <w:pPr>
              <w:pStyle w:val="TableTextEntries"/>
              <w:jc w:val="center"/>
            </w:pPr>
          </w:p>
        </w:tc>
      </w:tr>
      <w:tr w:rsidR="00713ED0" w:rsidRPr="00713ED0" w14:paraId="57DCEE40" w14:textId="77777777" w:rsidTr="00E0168D">
        <w:trPr>
          <w:tblHeader w:val="0"/>
        </w:trPr>
        <w:tc>
          <w:tcPr>
            <w:tcW w:w="823" w:type="dxa"/>
            <w:gridSpan w:val="2"/>
            <w:vMerge w:val="restart"/>
            <w:vAlign w:val="center"/>
          </w:tcPr>
          <w:p w14:paraId="4B9F41D1" w14:textId="77777777" w:rsidR="00713ED0" w:rsidRPr="00713ED0" w:rsidRDefault="00713ED0" w:rsidP="00FF45C2">
            <w:pPr>
              <w:pStyle w:val="TableTextEntries"/>
            </w:pPr>
            <w:r w:rsidRPr="00713ED0">
              <w:t>INH848</w:t>
            </w:r>
          </w:p>
        </w:tc>
        <w:tc>
          <w:tcPr>
            <w:tcW w:w="1486" w:type="dxa"/>
            <w:vMerge w:val="restart"/>
            <w:vAlign w:val="center"/>
          </w:tcPr>
          <w:p w14:paraId="37ACC8EA" w14:textId="2EA7FE37" w:rsidR="00713ED0" w:rsidRPr="00713ED0" w:rsidRDefault="00501774" w:rsidP="00FF45C2">
            <w:pPr>
              <w:pStyle w:val="TableTextEntries"/>
            </w:pPr>
            <w:r>
              <w:t>Australia–Indonesia</w:t>
            </w:r>
            <w:r w:rsidRPr="00713ED0">
              <w:t xml:space="preserve"> </w:t>
            </w:r>
            <w:r w:rsidR="00713ED0" w:rsidRPr="00713ED0">
              <w:t xml:space="preserve">for Economic Governance </w:t>
            </w:r>
          </w:p>
        </w:tc>
        <w:tc>
          <w:tcPr>
            <w:tcW w:w="813" w:type="dxa"/>
            <w:vMerge w:val="restart"/>
            <w:vAlign w:val="center"/>
          </w:tcPr>
          <w:p w14:paraId="7AA4989D" w14:textId="77777777" w:rsidR="00713ED0" w:rsidRPr="00713ED0" w:rsidRDefault="00713ED0" w:rsidP="00FF45C2">
            <w:pPr>
              <w:pStyle w:val="TableTextEntries"/>
              <w:rPr>
                <w:sz w:val="14"/>
              </w:rPr>
            </w:pPr>
            <w:r w:rsidRPr="00713ED0">
              <w:rPr>
                <w:sz w:val="14"/>
              </w:rPr>
              <w:t>01/04/2008</w:t>
            </w:r>
          </w:p>
        </w:tc>
        <w:tc>
          <w:tcPr>
            <w:tcW w:w="808" w:type="dxa"/>
            <w:vMerge w:val="restart"/>
            <w:vAlign w:val="center"/>
          </w:tcPr>
          <w:p w14:paraId="177FB68C" w14:textId="77777777" w:rsidR="00713ED0" w:rsidRPr="00713ED0" w:rsidRDefault="00713ED0" w:rsidP="00FF45C2">
            <w:pPr>
              <w:pStyle w:val="TableTextEntries"/>
              <w:rPr>
                <w:sz w:val="14"/>
              </w:rPr>
            </w:pPr>
            <w:r w:rsidRPr="00713ED0">
              <w:rPr>
                <w:sz w:val="14"/>
              </w:rPr>
              <w:t>30/11/2015</w:t>
            </w:r>
          </w:p>
        </w:tc>
        <w:tc>
          <w:tcPr>
            <w:tcW w:w="1152" w:type="dxa"/>
            <w:vMerge w:val="restart"/>
            <w:vAlign w:val="center"/>
          </w:tcPr>
          <w:p w14:paraId="198AE7E9" w14:textId="38F4C947" w:rsidR="00713ED0" w:rsidRPr="00713ED0" w:rsidRDefault="00713ED0" w:rsidP="00FF45C2">
            <w:pPr>
              <w:pStyle w:val="TableTextEntries"/>
              <w:rPr>
                <w:sz w:val="14"/>
                <w:szCs w:val="16"/>
              </w:rPr>
            </w:pPr>
            <w:r w:rsidRPr="00713ED0">
              <w:rPr>
                <w:sz w:val="14"/>
                <w:szCs w:val="16"/>
              </w:rPr>
              <w:t>$66</w:t>
            </w:r>
            <w:r w:rsidR="00623D66">
              <w:rPr>
                <w:sz w:val="14"/>
                <w:szCs w:val="16"/>
              </w:rPr>
              <w:t xml:space="preserve"> </w:t>
            </w:r>
            <w:r w:rsidRPr="00713ED0">
              <w:rPr>
                <w:sz w:val="14"/>
                <w:szCs w:val="16"/>
              </w:rPr>
              <w:t>628</w:t>
            </w:r>
            <w:r w:rsidR="00623D66">
              <w:rPr>
                <w:sz w:val="14"/>
                <w:szCs w:val="16"/>
              </w:rPr>
              <w:t xml:space="preserve"> </w:t>
            </w:r>
            <w:r w:rsidRPr="00713ED0">
              <w:rPr>
                <w:sz w:val="14"/>
                <w:szCs w:val="16"/>
              </w:rPr>
              <w:t>480.49</w:t>
            </w:r>
          </w:p>
        </w:tc>
        <w:tc>
          <w:tcPr>
            <w:tcW w:w="440" w:type="dxa"/>
            <w:vAlign w:val="center"/>
          </w:tcPr>
          <w:p w14:paraId="00EFA154" w14:textId="77777777" w:rsidR="00713ED0" w:rsidRPr="00713ED0" w:rsidRDefault="00713ED0" w:rsidP="00FF45C2">
            <w:pPr>
              <w:pStyle w:val="TableTextEntries"/>
            </w:pPr>
            <w:r w:rsidRPr="00713ED0">
              <w:t>2012</w:t>
            </w:r>
          </w:p>
        </w:tc>
        <w:tc>
          <w:tcPr>
            <w:tcW w:w="334" w:type="dxa"/>
            <w:shd w:val="clear" w:color="auto" w:fill="92D050"/>
            <w:noWrap/>
            <w:vAlign w:val="center"/>
          </w:tcPr>
          <w:p w14:paraId="040CB22A"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61BB3E5"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1FD15E33"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3E178473"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2740F2EA"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01B3CB43" w14:textId="77777777" w:rsidR="00713ED0" w:rsidRPr="00FF45C2" w:rsidRDefault="00713ED0" w:rsidP="00FF45C2">
            <w:pPr>
              <w:pStyle w:val="TableTextEntries"/>
              <w:jc w:val="center"/>
            </w:pPr>
            <w:r w:rsidRPr="00FF45C2">
              <w:t>4</w:t>
            </w:r>
          </w:p>
        </w:tc>
        <w:tc>
          <w:tcPr>
            <w:tcW w:w="347" w:type="dxa"/>
            <w:tcBorders>
              <w:top w:val="nil"/>
              <w:bottom w:val="nil"/>
            </w:tcBorders>
            <w:shd w:val="clear" w:color="auto" w:fill="92D050"/>
            <w:noWrap/>
            <w:vAlign w:val="center"/>
          </w:tcPr>
          <w:p w14:paraId="69896B0E" w14:textId="77777777" w:rsidR="00713ED0" w:rsidRPr="00FF45C2" w:rsidRDefault="00713ED0" w:rsidP="00FF45C2">
            <w:pPr>
              <w:pStyle w:val="TableTextEntries"/>
              <w:jc w:val="center"/>
            </w:pPr>
            <w:r w:rsidRPr="00FF45C2">
              <w:t>M</w:t>
            </w:r>
          </w:p>
        </w:tc>
      </w:tr>
      <w:tr w:rsidR="00713ED0" w:rsidRPr="00713ED0" w14:paraId="0718F12A"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51ACE8E3" w14:textId="77777777" w:rsidR="00713ED0" w:rsidRPr="00713ED0" w:rsidRDefault="00713ED0" w:rsidP="00FF45C2">
            <w:pPr>
              <w:pStyle w:val="TableTextEntries"/>
            </w:pPr>
          </w:p>
        </w:tc>
        <w:tc>
          <w:tcPr>
            <w:tcW w:w="1486" w:type="dxa"/>
            <w:vMerge/>
            <w:vAlign w:val="center"/>
          </w:tcPr>
          <w:p w14:paraId="716F2BEC" w14:textId="77777777" w:rsidR="00713ED0" w:rsidRPr="00713ED0" w:rsidRDefault="00713ED0" w:rsidP="00FF45C2">
            <w:pPr>
              <w:pStyle w:val="TableTextEntries"/>
            </w:pPr>
          </w:p>
        </w:tc>
        <w:tc>
          <w:tcPr>
            <w:tcW w:w="813" w:type="dxa"/>
            <w:vMerge/>
            <w:vAlign w:val="center"/>
          </w:tcPr>
          <w:p w14:paraId="50F4E64F" w14:textId="77777777" w:rsidR="00713ED0" w:rsidRPr="00713ED0" w:rsidRDefault="00713ED0" w:rsidP="00FF45C2">
            <w:pPr>
              <w:pStyle w:val="TableTextEntries"/>
              <w:rPr>
                <w:sz w:val="14"/>
              </w:rPr>
            </w:pPr>
          </w:p>
        </w:tc>
        <w:tc>
          <w:tcPr>
            <w:tcW w:w="808" w:type="dxa"/>
            <w:vMerge/>
            <w:vAlign w:val="center"/>
          </w:tcPr>
          <w:p w14:paraId="5E343BFD" w14:textId="77777777" w:rsidR="00713ED0" w:rsidRPr="00713ED0" w:rsidRDefault="00713ED0" w:rsidP="00FF45C2">
            <w:pPr>
              <w:pStyle w:val="TableTextEntries"/>
              <w:rPr>
                <w:sz w:val="14"/>
              </w:rPr>
            </w:pPr>
          </w:p>
        </w:tc>
        <w:tc>
          <w:tcPr>
            <w:tcW w:w="1152" w:type="dxa"/>
            <w:vMerge/>
            <w:vAlign w:val="center"/>
          </w:tcPr>
          <w:p w14:paraId="14EE4A34" w14:textId="77777777" w:rsidR="00713ED0" w:rsidRPr="00713ED0" w:rsidRDefault="00713ED0" w:rsidP="00FF45C2">
            <w:pPr>
              <w:pStyle w:val="TableTextEntries"/>
              <w:rPr>
                <w:sz w:val="14"/>
                <w:szCs w:val="16"/>
              </w:rPr>
            </w:pPr>
          </w:p>
        </w:tc>
        <w:tc>
          <w:tcPr>
            <w:tcW w:w="440" w:type="dxa"/>
            <w:vAlign w:val="center"/>
          </w:tcPr>
          <w:p w14:paraId="14A178F2" w14:textId="77777777" w:rsidR="00713ED0" w:rsidRPr="00713ED0" w:rsidRDefault="00713ED0" w:rsidP="00FF45C2">
            <w:pPr>
              <w:pStyle w:val="TableTextEntries"/>
            </w:pPr>
            <w:r w:rsidRPr="00713ED0">
              <w:t>2011</w:t>
            </w:r>
          </w:p>
        </w:tc>
        <w:tc>
          <w:tcPr>
            <w:tcW w:w="334" w:type="dxa"/>
            <w:shd w:val="clear" w:color="auto" w:fill="92D050"/>
            <w:noWrap/>
            <w:vAlign w:val="center"/>
          </w:tcPr>
          <w:p w14:paraId="11A99D68"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330848D1"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5FDE4FF1"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6EADBE78"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1A70ED58"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794E043C"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410565A3" w14:textId="77777777" w:rsidR="00713ED0" w:rsidRPr="00FF45C2" w:rsidRDefault="00713ED0" w:rsidP="00FF45C2">
            <w:pPr>
              <w:pStyle w:val="TableTextEntries"/>
              <w:jc w:val="center"/>
            </w:pPr>
            <w:r w:rsidRPr="00FF45C2">
              <w:t>I</w:t>
            </w:r>
          </w:p>
        </w:tc>
      </w:tr>
      <w:tr w:rsidR="00713ED0" w:rsidRPr="00713ED0" w14:paraId="56259A7B" w14:textId="77777777" w:rsidTr="00E0168D">
        <w:trPr>
          <w:tblHeader w:val="0"/>
        </w:trPr>
        <w:tc>
          <w:tcPr>
            <w:tcW w:w="823" w:type="dxa"/>
            <w:gridSpan w:val="2"/>
            <w:vMerge w:val="restart"/>
            <w:vAlign w:val="center"/>
          </w:tcPr>
          <w:p w14:paraId="62E88EA7" w14:textId="77777777" w:rsidR="00713ED0" w:rsidRPr="00713ED0" w:rsidRDefault="00713ED0" w:rsidP="00FF45C2">
            <w:pPr>
              <w:pStyle w:val="TableTextEntries"/>
            </w:pPr>
            <w:r w:rsidRPr="00713ED0">
              <w:t>INJ689</w:t>
            </w:r>
          </w:p>
        </w:tc>
        <w:tc>
          <w:tcPr>
            <w:tcW w:w="1486" w:type="dxa"/>
            <w:vMerge w:val="restart"/>
            <w:vAlign w:val="center"/>
          </w:tcPr>
          <w:p w14:paraId="0EB597EE" w14:textId="21DA86D5" w:rsidR="00713ED0" w:rsidRPr="00713ED0" w:rsidRDefault="00713ED0" w:rsidP="00FF45C2">
            <w:pPr>
              <w:pStyle w:val="TableTextEntries"/>
            </w:pPr>
            <w:r w:rsidRPr="00713ED0">
              <w:t>Government Partnership Fund Phase</w:t>
            </w:r>
            <w:r w:rsidR="00501774">
              <w:t xml:space="preserve"> </w:t>
            </w:r>
            <w:r w:rsidRPr="00713ED0">
              <w:t>II</w:t>
            </w:r>
          </w:p>
        </w:tc>
        <w:tc>
          <w:tcPr>
            <w:tcW w:w="813" w:type="dxa"/>
            <w:vMerge w:val="restart"/>
            <w:vAlign w:val="center"/>
          </w:tcPr>
          <w:p w14:paraId="67923138" w14:textId="77777777" w:rsidR="00713ED0" w:rsidRPr="00713ED0" w:rsidRDefault="00713ED0" w:rsidP="00FF45C2">
            <w:pPr>
              <w:pStyle w:val="TableTextEntries"/>
              <w:rPr>
                <w:sz w:val="14"/>
              </w:rPr>
            </w:pPr>
            <w:r w:rsidRPr="00713ED0">
              <w:rPr>
                <w:sz w:val="14"/>
              </w:rPr>
              <w:t>01/01/2011</w:t>
            </w:r>
          </w:p>
        </w:tc>
        <w:tc>
          <w:tcPr>
            <w:tcW w:w="808" w:type="dxa"/>
            <w:vMerge w:val="restart"/>
            <w:vAlign w:val="center"/>
          </w:tcPr>
          <w:p w14:paraId="6E770E2D" w14:textId="77777777" w:rsidR="00713ED0" w:rsidRPr="00713ED0" w:rsidRDefault="00713ED0" w:rsidP="00FF45C2">
            <w:pPr>
              <w:pStyle w:val="TableTextEntries"/>
              <w:rPr>
                <w:sz w:val="14"/>
              </w:rPr>
            </w:pPr>
            <w:r w:rsidRPr="00713ED0">
              <w:rPr>
                <w:sz w:val="14"/>
              </w:rPr>
              <w:t>30/06/2015</w:t>
            </w:r>
          </w:p>
        </w:tc>
        <w:tc>
          <w:tcPr>
            <w:tcW w:w="1152" w:type="dxa"/>
            <w:vMerge w:val="restart"/>
            <w:vAlign w:val="center"/>
          </w:tcPr>
          <w:p w14:paraId="6867D692" w14:textId="7D1BE1F1" w:rsidR="00713ED0" w:rsidRPr="00713ED0" w:rsidRDefault="00713ED0" w:rsidP="00FF45C2">
            <w:pPr>
              <w:pStyle w:val="TableTextEntries"/>
              <w:rPr>
                <w:sz w:val="14"/>
                <w:szCs w:val="16"/>
              </w:rPr>
            </w:pPr>
            <w:r w:rsidRPr="00713ED0">
              <w:rPr>
                <w:sz w:val="14"/>
                <w:szCs w:val="16"/>
              </w:rPr>
              <w:t>$50</w:t>
            </w:r>
            <w:r w:rsidR="00623D66">
              <w:rPr>
                <w:sz w:val="14"/>
                <w:szCs w:val="16"/>
              </w:rPr>
              <w:t xml:space="preserve"> </w:t>
            </w:r>
            <w:r w:rsidRPr="00713ED0">
              <w:rPr>
                <w:sz w:val="14"/>
                <w:szCs w:val="16"/>
              </w:rPr>
              <w:t>000</w:t>
            </w:r>
            <w:r w:rsidR="00623D66">
              <w:rPr>
                <w:sz w:val="14"/>
                <w:szCs w:val="16"/>
              </w:rPr>
              <w:t xml:space="preserve"> </w:t>
            </w:r>
            <w:r w:rsidRPr="00713ED0">
              <w:rPr>
                <w:sz w:val="14"/>
                <w:szCs w:val="16"/>
              </w:rPr>
              <w:t>000.00</w:t>
            </w:r>
          </w:p>
        </w:tc>
        <w:tc>
          <w:tcPr>
            <w:tcW w:w="440" w:type="dxa"/>
            <w:vAlign w:val="center"/>
          </w:tcPr>
          <w:p w14:paraId="729F938D" w14:textId="77777777" w:rsidR="00713ED0" w:rsidRPr="00713ED0" w:rsidRDefault="00713ED0" w:rsidP="00FF45C2">
            <w:pPr>
              <w:pStyle w:val="TableTextEntries"/>
            </w:pPr>
            <w:r w:rsidRPr="00713ED0">
              <w:t>2012</w:t>
            </w:r>
          </w:p>
        </w:tc>
        <w:tc>
          <w:tcPr>
            <w:tcW w:w="334" w:type="dxa"/>
            <w:shd w:val="clear" w:color="auto" w:fill="92D050"/>
            <w:noWrap/>
            <w:vAlign w:val="center"/>
          </w:tcPr>
          <w:p w14:paraId="6EEC735E"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0012D3C4"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D52A7FE" w14:textId="77777777" w:rsidR="00713ED0" w:rsidRPr="00FF45C2" w:rsidRDefault="00713ED0" w:rsidP="00FF45C2">
            <w:pPr>
              <w:pStyle w:val="TableTextEntries"/>
              <w:jc w:val="center"/>
            </w:pPr>
            <w:r w:rsidRPr="00FF45C2">
              <w:t>4</w:t>
            </w:r>
          </w:p>
        </w:tc>
        <w:tc>
          <w:tcPr>
            <w:tcW w:w="403" w:type="dxa"/>
            <w:shd w:val="clear" w:color="auto" w:fill="F79646" w:themeFill="accent6"/>
            <w:noWrap/>
            <w:vAlign w:val="center"/>
          </w:tcPr>
          <w:p w14:paraId="1703B868"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04C63C1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43FBC45A"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2CA8788E" w14:textId="77777777" w:rsidR="00713ED0" w:rsidRPr="00FF45C2" w:rsidRDefault="00713ED0" w:rsidP="00FF45C2">
            <w:pPr>
              <w:pStyle w:val="TableTextEntries"/>
              <w:jc w:val="center"/>
            </w:pPr>
            <w:r w:rsidRPr="00FF45C2">
              <w:t>I</w:t>
            </w:r>
          </w:p>
        </w:tc>
      </w:tr>
      <w:tr w:rsidR="00713ED0" w:rsidRPr="00713ED0" w14:paraId="7CFF67E5"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7BA431AE" w14:textId="77777777" w:rsidR="00713ED0" w:rsidRPr="00713ED0" w:rsidRDefault="00713ED0" w:rsidP="00FF45C2">
            <w:pPr>
              <w:pStyle w:val="TableTextEntries"/>
            </w:pPr>
          </w:p>
        </w:tc>
        <w:tc>
          <w:tcPr>
            <w:tcW w:w="1486" w:type="dxa"/>
            <w:vMerge/>
            <w:vAlign w:val="center"/>
          </w:tcPr>
          <w:p w14:paraId="6512C79C" w14:textId="77777777" w:rsidR="00713ED0" w:rsidRPr="00713ED0" w:rsidRDefault="00713ED0" w:rsidP="00FF45C2">
            <w:pPr>
              <w:pStyle w:val="TableTextEntries"/>
            </w:pPr>
          </w:p>
        </w:tc>
        <w:tc>
          <w:tcPr>
            <w:tcW w:w="813" w:type="dxa"/>
            <w:vMerge/>
            <w:vAlign w:val="center"/>
          </w:tcPr>
          <w:p w14:paraId="1C809EFD" w14:textId="77777777" w:rsidR="00713ED0" w:rsidRPr="00713ED0" w:rsidRDefault="00713ED0" w:rsidP="00FF45C2">
            <w:pPr>
              <w:pStyle w:val="TableTextEntries"/>
              <w:rPr>
                <w:sz w:val="14"/>
              </w:rPr>
            </w:pPr>
          </w:p>
        </w:tc>
        <w:tc>
          <w:tcPr>
            <w:tcW w:w="808" w:type="dxa"/>
            <w:vMerge/>
            <w:vAlign w:val="center"/>
          </w:tcPr>
          <w:p w14:paraId="0D60184B" w14:textId="77777777" w:rsidR="00713ED0" w:rsidRPr="00713ED0" w:rsidRDefault="00713ED0" w:rsidP="00FF45C2">
            <w:pPr>
              <w:pStyle w:val="TableTextEntries"/>
              <w:rPr>
                <w:sz w:val="14"/>
              </w:rPr>
            </w:pPr>
          </w:p>
        </w:tc>
        <w:tc>
          <w:tcPr>
            <w:tcW w:w="1152" w:type="dxa"/>
            <w:vMerge/>
            <w:vAlign w:val="center"/>
          </w:tcPr>
          <w:p w14:paraId="3A90BA8E" w14:textId="77777777" w:rsidR="00713ED0" w:rsidRPr="00713ED0" w:rsidRDefault="00713ED0" w:rsidP="00FF45C2">
            <w:pPr>
              <w:pStyle w:val="TableTextEntries"/>
              <w:rPr>
                <w:sz w:val="14"/>
                <w:szCs w:val="16"/>
              </w:rPr>
            </w:pPr>
          </w:p>
        </w:tc>
        <w:tc>
          <w:tcPr>
            <w:tcW w:w="440" w:type="dxa"/>
            <w:vAlign w:val="center"/>
          </w:tcPr>
          <w:p w14:paraId="5D51B419" w14:textId="77777777" w:rsidR="00713ED0" w:rsidRPr="00713ED0" w:rsidRDefault="00713ED0" w:rsidP="00FF45C2">
            <w:pPr>
              <w:pStyle w:val="TableTextEntries"/>
            </w:pPr>
            <w:r w:rsidRPr="00713ED0">
              <w:t>2011</w:t>
            </w:r>
          </w:p>
        </w:tc>
        <w:tc>
          <w:tcPr>
            <w:tcW w:w="334" w:type="dxa"/>
            <w:shd w:val="clear" w:color="auto" w:fill="92D050"/>
            <w:noWrap/>
            <w:vAlign w:val="center"/>
          </w:tcPr>
          <w:p w14:paraId="22770D1C"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C3E9F79"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1978B68E"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47003802"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E717712"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11F1DF49" w14:textId="77777777" w:rsidR="00713ED0" w:rsidRPr="00FF45C2" w:rsidRDefault="00713ED0" w:rsidP="00FF45C2">
            <w:pPr>
              <w:pStyle w:val="TableTextEntries"/>
              <w:jc w:val="center"/>
            </w:pPr>
            <w:r w:rsidRPr="00FF45C2">
              <w:t>3</w:t>
            </w:r>
          </w:p>
        </w:tc>
        <w:tc>
          <w:tcPr>
            <w:tcW w:w="347" w:type="dxa"/>
            <w:shd w:val="clear" w:color="auto" w:fill="E36C0A" w:themeFill="accent6" w:themeFillShade="BF"/>
            <w:noWrap/>
            <w:vAlign w:val="center"/>
          </w:tcPr>
          <w:p w14:paraId="070F9CCF" w14:textId="77777777" w:rsidR="00713ED0" w:rsidRPr="00FF45C2" w:rsidRDefault="00713ED0" w:rsidP="00FF45C2">
            <w:pPr>
              <w:pStyle w:val="TableTextEntries"/>
              <w:jc w:val="center"/>
            </w:pPr>
            <w:r w:rsidRPr="00FF45C2">
              <w:t>I</w:t>
            </w:r>
          </w:p>
        </w:tc>
      </w:tr>
      <w:tr w:rsidR="00713ED0" w:rsidRPr="00713ED0" w14:paraId="7EE8F829" w14:textId="77777777" w:rsidTr="00E0168D">
        <w:trPr>
          <w:tblHeader w:val="0"/>
        </w:trPr>
        <w:tc>
          <w:tcPr>
            <w:tcW w:w="823" w:type="dxa"/>
            <w:gridSpan w:val="2"/>
            <w:vMerge w:val="restart"/>
            <w:vAlign w:val="center"/>
          </w:tcPr>
          <w:p w14:paraId="6D41ACF5" w14:textId="77777777" w:rsidR="00713ED0" w:rsidRPr="00713ED0" w:rsidRDefault="00713ED0" w:rsidP="00FF45C2">
            <w:pPr>
              <w:pStyle w:val="TableTextEntries"/>
            </w:pPr>
            <w:r w:rsidRPr="00713ED0">
              <w:t>INH521</w:t>
            </w:r>
          </w:p>
        </w:tc>
        <w:tc>
          <w:tcPr>
            <w:tcW w:w="1486" w:type="dxa"/>
            <w:vMerge w:val="restart"/>
            <w:vAlign w:val="center"/>
          </w:tcPr>
          <w:p w14:paraId="0B951B15" w14:textId="77777777" w:rsidR="00713ED0" w:rsidRPr="00713ED0" w:rsidRDefault="00713ED0" w:rsidP="00FF45C2">
            <w:pPr>
              <w:pStyle w:val="TableTextEntries"/>
            </w:pPr>
            <w:r w:rsidRPr="00713ED0">
              <w:t>Indonesia Strengthening Public Procurement Program</w:t>
            </w:r>
          </w:p>
        </w:tc>
        <w:tc>
          <w:tcPr>
            <w:tcW w:w="813" w:type="dxa"/>
            <w:vMerge w:val="restart"/>
            <w:vAlign w:val="center"/>
          </w:tcPr>
          <w:p w14:paraId="723CB3A4" w14:textId="77777777" w:rsidR="00713ED0" w:rsidRPr="00713ED0" w:rsidRDefault="00713ED0" w:rsidP="00FF45C2">
            <w:pPr>
              <w:pStyle w:val="TableTextEntries"/>
              <w:rPr>
                <w:sz w:val="14"/>
              </w:rPr>
            </w:pPr>
            <w:r w:rsidRPr="00713ED0">
              <w:rPr>
                <w:sz w:val="14"/>
              </w:rPr>
              <w:t>01/09/2007</w:t>
            </w:r>
          </w:p>
        </w:tc>
        <w:tc>
          <w:tcPr>
            <w:tcW w:w="808" w:type="dxa"/>
            <w:vMerge w:val="restart"/>
            <w:vAlign w:val="center"/>
          </w:tcPr>
          <w:p w14:paraId="1DC49191" w14:textId="77777777" w:rsidR="00713ED0" w:rsidRPr="00713ED0" w:rsidRDefault="00713ED0" w:rsidP="00FF45C2">
            <w:pPr>
              <w:pStyle w:val="TableTextEntries"/>
              <w:rPr>
                <w:sz w:val="14"/>
              </w:rPr>
            </w:pPr>
            <w:r w:rsidRPr="00713ED0">
              <w:rPr>
                <w:sz w:val="14"/>
              </w:rPr>
              <w:t>30/06/2012</w:t>
            </w:r>
          </w:p>
        </w:tc>
        <w:tc>
          <w:tcPr>
            <w:tcW w:w="1152" w:type="dxa"/>
            <w:vMerge w:val="restart"/>
            <w:vAlign w:val="center"/>
          </w:tcPr>
          <w:p w14:paraId="19112C3D" w14:textId="76B73F9E" w:rsidR="00713ED0" w:rsidRPr="00713ED0" w:rsidRDefault="00713ED0" w:rsidP="00FF45C2">
            <w:pPr>
              <w:pStyle w:val="TableTextEntries"/>
              <w:rPr>
                <w:sz w:val="14"/>
                <w:szCs w:val="16"/>
              </w:rPr>
            </w:pPr>
            <w:r w:rsidRPr="00713ED0">
              <w:rPr>
                <w:sz w:val="14"/>
                <w:szCs w:val="16"/>
              </w:rPr>
              <w:t>$12</w:t>
            </w:r>
            <w:r w:rsidR="00623D66">
              <w:rPr>
                <w:sz w:val="14"/>
                <w:szCs w:val="16"/>
              </w:rPr>
              <w:t xml:space="preserve"> </w:t>
            </w:r>
            <w:r w:rsidRPr="00713ED0">
              <w:rPr>
                <w:sz w:val="14"/>
                <w:szCs w:val="16"/>
              </w:rPr>
              <w:t>459</w:t>
            </w:r>
            <w:r w:rsidR="00623D66">
              <w:rPr>
                <w:sz w:val="14"/>
                <w:szCs w:val="16"/>
              </w:rPr>
              <w:t xml:space="preserve"> </w:t>
            </w:r>
            <w:r w:rsidRPr="00713ED0">
              <w:rPr>
                <w:sz w:val="14"/>
                <w:szCs w:val="16"/>
              </w:rPr>
              <w:t>274.76</w:t>
            </w:r>
          </w:p>
        </w:tc>
        <w:tc>
          <w:tcPr>
            <w:tcW w:w="440" w:type="dxa"/>
            <w:vAlign w:val="center"/>
          </w:tcPr>
          <w:p w14:paraId="42DADB5B" w14:textId="77777777" w:rsidR="00713ED0" w:rsidRPr="00713ED0" w:rsidRDefault="00713ED0" w:rsidP="00FF45C2">
            <w:pPr>
              <w:pStyle w:val="TableTextEntries"/>
            </w:pPr>
            <w:r w:rsidRPr="00713ED0">
              <w:t>2012</w:t>
            </w:r>
          </w:p>
        </w:tc>
        <w:tc>
          <w:tcPr>
            <w:tcW w:w="334" w:type="dxa"/>
            <w:shd w:val="clear" w:color="auto" w:fill="92D050"/>
            <w:noWrap/>
            <w:vAlign w:val="center"/>
          </w:tcPr>
          <w:p w14:paraId="611DF890"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55D5A997"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00D7FAAC" w14:textId="77777777" w:rsidR="00713ED0" w:rsidRPr="00FF45C2" w:rsidRDefault="00713ED0" w:rsidP="00FF45C2">
            <w:pPr>
              <w:pStyle w:val="TableTextEntries"/>
              <w:jc w:val="center"/>
            </w:pPr>
            <w:r w:rsidRPr="00FF45C2">
              <w:t>3</w:t>
            </w:r>
          </w:p>
        </w:tc>
        <w:tc>
          <w:tcPr>
            <w:tcW w:w="403" w:type="dxa"/>
            <w:shd w:val="clear" w:color="auto" w:fill="FFFF00"/>
            <w:noWrap/>
            <w:vAlign w:val="center"/>
          </w:tcPr>
          <w:p w14:paraId="78B852C7"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524C8245"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5C2E7EAF"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7EBEF5CF" w14:textId="77777777" w:rsidR="00713ED0" w:rsidRPr="00FF45C2" w:rsidRDefault="00713ED0" w:rsidP="00FF45C2">
            <w:pPr>
              <w:pStyle w:val="TableTextEntries"/>
              <w:jc w:val="center"/>
            </w:pPr>
            <w:r w:rsidRPr="00FF45C2">
              <w:t>I</w:t>
            </w:r>
          </w:p>
        </w:tc>
      </w:tr>
      <w:tr w:rsidR="00713ED0" w:rsidRPr="00713ED0" w14:paraId="63C71BAD"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4A8547BD" w14:textId="77777777" w:rsidR="00713ED0" w:rsidRPr="00713ED0" w:rsidRDefault="00713ED0" w:rsidP="00FF45C2">
            <w:pPr>
              <w:pStyle w:val="TableTextEntries"/>
            </w:pPr>
          </w:p>
        </w:tc>
        <w:tc>
          <w:tcPr>
            <w:tcW w:w="1486" w:type="dxa"/>
            <w:vMerge/>
            <w:vAlign w:val="center"/>
          </w:tcPr>
          <w:p w14:paraId="761DE776" w14:textId="77777777" w:rsidR="00713ED0" w:rsidRPr="00713ED0" w:rsidRDefault="00713ED0" w:rsidP="00FF45C2">
            <w:pPr>
              <w:pStyle w:val="TableTextEntries"/>
            </w:pPr>
          </w:p>
        </w:tc>
        <w:tc>
          <w:tcPr>
            <w:tcW w:w="813" w:type="dxa"/>
            <w:vMerge/>
            <w:vAlign w:val="center"/>
          </w:tcPr>
          <w:p w14:paraId="744596D8" w14:textId="77777777" w:rsidR="00713ED0" w:rsidRPr="00713ED0" w:rsidRDefault="00713ED0" w:rsidP="00FF45C2">
            <w:pPr>
              <w:pStyle w:val="TableTextEntries"/>
              <w:rPr>
                <w:sz w:val="14"/>
              </w:rPr>
            </w:pPr>
          </w:p>
        </w:tc>
        <w:tc>
          <w:tcPr>
            <w:tcW w:w="808" w:type="dxa"/>
            <w:vMerge/>
            <w:vAlign w:val="center"/>
          </w:tcPr>
          <w:p w14:paraId="2CB8DBC6" w14:textId="77777777" w:rsidR="00713ED0" w:rsidRPr="00713ED0" w:rsidRDefault="00713ED0" w:rsidP="00FF45C2">
            <w:pPr>
              <w:pStyle w:val="TableTextEntries"/>
              <w:rPr>
                <w:sz w:val="14"/>
              </w:rPr>
            </w:pPr>
          </w:p>
        </w:tc>
        <w:tc>
          <w:tcPr>
            <w:tcW w:w="1152" w:type="dxa"/>
            <w:vMerge/>
            <w:vAlign w:val="center"/>
          </w:tcPr>
          <w:p w14:paraId="4AD405C8" w14:textId="77777777" w:rsidR="00713ED0" w:rsidRPr="00713ED0" w:rsidRDefault="00713ED0" w:rsidP="00FF45C2">
            <w:pPr>
              <w:pStyle w:val="TableTextEntries"/>
              <w:rPr>
                <w:sz w:val="14"/>
                <w:szCs w:val="16"/>
              </w:rPr>
            </w:pPr>
          </w:p>
        </w:tc>
        <w:tc>
          <w:tcPr>
            <w:tcW w:w="440" w:type="dxa"/>
            <w:vAlign w:val="center"/>
          </w:tcPr>
          <w:p w14:paraId="42EEB51B" w14:textId="77777777" w:rsidR="00713ED0" w:rsidRPr="00713ED0" w:rsidRDefault="00713ED0" w:rsidP="00FF45C2">
            <w:pPr>
              <w:pStyle w:val="TableTextEntries"/>
            </w:pPr>
            <w:r w:rsidRPr="00713ED0">
              <w:t>2011</w:t>
            </w:r>
          </w:p>
        </w:tc>
        <w:tc>
          <w:tcPr>
            <w:tcW w:w="334" w:type="dxa"/>
            <w:shd w:val="clear" w:color="auto" w:fill="92D050"/>
            <w:noWrap/>
            <w:vAlign w:val="center"/>
          </w:tcPr>
          <w:p w14:paraId="5AA6926A"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34BE2E5"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514C44BB" w14:textId="77777777" w:rsidR="00713ED0" w:rsidRPr="00FF45C2" w:rsidRDefault="00713ED0" w:rsidP="00FF45C2">
            <w:pPr>
              <w:pStyle w:val="TableTextEntries"/>
              <w:jc w:val="center"/>
            </w:pPr>
            <w:r w:rsidRPr="00FF45C2">
              <w:t>4</w:t>
            </w:r>
          </w:p>
        </w:tc>
        <w:tc>
          <w:tcPr>
            <w:tcW w:w="403" w:type="dxa"/>
            <w:shd w:val="clear" w:color="auto" w:fill="92D050"/>
            <w:noWrap/>
            <w:vAlign w:val="center"/>
          </w:tcPr>
          <w:p w14:paraId="75F59618"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698C0097"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3AFF9405" w14:textId="77777777" w:rsidR="00713ED0" w:rsidRPr="00FF45C2" w:rsidRDefault="00713ED0" w:rsidP="00FF45C2">
            <w:pPr>
              <w:pStyle w:val="TableTextEntries"/>
              <w:jc w:val="center"/>
            </w:pPr>
            <w:r w:rsidRPr="00FF45C2">
              <w:t>4</w:t>
            </w:r>
          </w:p>
        </w:tc>
        <w:tc>
          <w:tcPr>
            <w:tcW w:w="347" w:type="dxa"/>
            <w:shd w:val="clear" w:color="auto" w:fill="92D050"/>
            <w:noWrap/>
            <w:vAlign w:val="center"/>
          </w:tcPr>
          <w:p w14:paraId="79DE649F" w14:textId="77777777" w:rsidR="00713ED0" w:rsidRPr="00FF45C2" w:rsidRDefault="00713ED0" w:rsidP="00FF45C2">
            <w:pPr>
              <w:pStyle w:val="TableTextEntries"/>
              <w:jc w:val="center"/>
            </w:pPr>
            <w:r w:rsidRPr="00FF45C2">
              <w:t>M</w:t>
            </w:r>
          </w:p>
        </w:tc>
      </w:tr>
      <w:tr w:rsidR="00713ED0" w:rsidRPr="00713ED0" w14:paraId="4B903BC9" w14:textId="77777777" w:rsidTr="00E0168D">
        <w:trPr>
          <w:tblHeader w:val="0"/>
        </w:trPr>
        <w:tc>
          <w:tcPr>
            <w:tcW w:w="823" w:type="dxa"/>
            <w:gridSpan w:val="2"/>
            <w:vMerge w:val="restart"/>
            <w:vAlign w:val="center"/>
          </w:tcPr>
          <w:p w14:paraId="687D95AF" w14:textId="77777777" w:rsidR="00713ED0" w:rsidRPr="00713ED0" w:rsidRDefault="00713ED0" w:rsidP="00FF45C2">
            <w:pPr>
              <w:pStyle w:val="TableTextEntries"/>
            </w:pPr>
            <w:r w:rsidRPr="00713ED0">
              <w:t>INK331</w:t>
            </w:r>
          </w:p>
        </w:tc>
        <w:tc>
          <w:tcPr>
            <w:tcW w:w="1486" w:type="dxa"/>
            <w:vMerge w:val="restart"/>
            <w:vAlign w:val="center"/>
          </w:tcPr>
          <w:p w14:paraId="34E4529C" w14:textId="3DA07635" w:rsidR="00713ED0" w:rsidRPr="00713ED0" w:rsidRDefault="00501774" w:rsidP="00FF45C2">
            <w:pPr>
              <w:pStyle w:val="TableTextEntries"/>
            </w:pPr>
            <w:r w:rsidRPr="00D67028">
              <w:rPr>
                <w:iCs/>
                <w:lang w:val="en-US"/>
              </w:rPr>
              <w:t>Support</w:t>
            </w:r>
            <w:r w:rsidRPr="00501774">
              <w:rPr>
                <w:lang w:val="en-US"/>
              </w:rPr>
              <w:t xml:space="preserve"> for </w:t>
            </w:r>
            <w:r w:rsidRPr="00D67028">
              <w:rPr>
                <w:iCs/>
                <w:lang w:val="en-US"/>
              </w:rPr>
              <w:t>Enhanced Macroeconomic and Fiscal Policy Analysis</w:t>
            </w:r>
            <w:r>
              <w:rPr>
                <w:lang w:val="en-US"/>
              </w:rPr>
              <w:t xml:space="preserve"> program</w:t>
            </w:r>
          </w:p>
        </w:tc>
        <w:tc>
          <w:tcPr>
            <w:tcW w:w="813" w:type="dxa"/>
            <w:vMerge w:val="restart"/>
            <w:vAlign w:val="center"/>
          </w:tcPr>
          <w:p w14:paraId="36420410" w14:textId="77777777" w:rsidR="00713ED0" w:rsidRPr="00713ED0" w:rsidRDefault="00713ED0" w:rsidP="00FF45C2">
            <w:pPr>
              <w:pStyle w:val="TableTextEntries"/>
              <w:rPr>
                <w:sz w:val="14"/>
              </w:rPr>
            </w:pPr>
            <w:r w:rsidRPr="00713ED0">
              <w:rPr>
                <w:sz w:val="14"/>
              </w:rPr>
              <w:t>09/12/2011</w:t>
            </w:r>
          </w:p>
        </w:tc>
        <w:tc>
          <w:tcPr>
            <w:tcW w:w="808" w:type="dxa"/>
            <w:vMerge w:val="restart"/>
            <w:vAlign w:val="center"/>
          </w:tcPr>
          <w:p w14:paraId="1DA2A80A" w14:textId="77777777" w:rsidR="00713ED0" w:rsidRPr="00713ED0" w:rsidRDefault="00713ED0" w:rsidP="00FF45C2">
            <w:pPr>
              <w:pStyle w:val="TableTextEntries"/>
              <w:rPr>
                <w:sz w:val="14"/>
              </w:rPr>
            </w:pPr>
            <w:r w:rsidRPr="00713ED0">
              <w:rPr>
                <w:sz w:val="14"/>
              </w:rPr>
              <w:t>31/12/2014</w:t>
            </w:r>
          </w:p>
        </w:tc>
        <w:tc>
          <w:tcPr>
            <w:tcW w:w="1152" w:type="dxa"/>
            <w:vMerge w:val="restart"/>
            <w:vAlign w:val="center"/>
          </w:tcPr>
          <w:p w14:paraId="04155364" w14:textId="68CA12B2" w:rsidR="00713ED0" w:rsidRPr="00713ED0" w:rsidRDefault="00713ED0" w:rsidP="00FF45C2">
            <w:pPr>
              <w:pStyle w:val="TableTextEntries"/>
              <w:rPr>
                <w:sz w:val="14"/>
                <w:szCs w:val="16"/>
              </w:rPr>
            </w:pPr>
            <w:r w:rsidRPr="00713ED0">
              <w:rPr>
                <w:sz w:val="14"/>
                <w:szCs w:val="16"/>
              </w:rPr>
              <w:t>$5</w:t>
            </w:r>
            <w:r w:rsidR="00623D66">
              <w:rPr>
                <w:sz w:val="14"/>
                <w:szCs w:val="16"/>
              </w:rPr>
              <w:t xml:space="preserve"> </w:t>
            </w:r>
            <w:r w:rsidRPr="00713ED0">
              <w:rPr>
                <w:sz w:val="14"/>
                <w:szCs w:val="16"/>
              </w:rPr>
              <w:t>000</w:t>
            </w:r>
            <w:r w:rsidR="00623D66">
              <w:rPr>
                <w:sz w:val="14"/>
                <w:szCs w:val="16"/>
              </w:rPr>
              <w:t xml:space="preserve"> </w:t>
            </w:r>
            <w:r w:rsidRPr="00713ED0">
              <w:rPr>
                <w:sz w:val="14"/>
                <w:szCs w:val="16"/>
              </w:rPr>
              <w:t>000.00</w:t>
            </w:r>
          </w:p>
        </w:tc>
        <w:tc>
          <w:tcPr>
            <w:tcW w:w="440" w:type="dxa"/>
            <w:vAlign w:val="center"/>
          </w:tcPr>
          <w:p w14:paraId="412CC8F1" w14:textId="77777777" w:rsidR="00713ED0" w:rsidRPr="00713ED0" w:rsidRDefault="00713ED0" w:rsidP="00FF45C2">
            <w:pPr>
              <w:pStyle w:val="TableTextEntries"/>
            </w:pPr>
            <w:r w:rsidRPr="00713ED0">
              <w:t>2012</w:t>
            </w:r>
          </w:p>
        </w:tc>
        <w:tc>
          <w:tcPr>
            <w:tcW w:w="334" w:type="dxa"/>
            <w:shd w:val="clear" w:color="auto" w:fill="92D050"/>
            <w:noWrap/>
            <w:vAlign w:val="center"/>
          </w:tcPr>
          <w:p w14:paraId="6E25A66E"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56EC4D8"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7582681C"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26E0EB9D"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1DBBC02D"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6C84588" w14:textId="77777777" w:rsidR="00713ED0" w:rsidRPr="00FF45C2" w:rsidRDefault="00713ED0" w:rsidP="00FF45C2">
            <w:pPr>
              <w:pStyle w:val="TableTextEntries"/>
              <w:jc w:val="center"/>
            </w:pPr>
            <w:r w:rsidRPr="00FF45C2">
              <w:t>4</w:t>
            </w:r>
          </w:p>
        </w:tc>
        <w:tc>
          <w:tcPr>
            <w:tcW w:w="347" w:type="dxa"/>
            <w:tcBorders>
              <w:top w:val="nil"/>
              <w:bottom w:val="nil"/>
            </w:tcBorders>
            <w:shd w:val="clear" w:color="auto" w:fill="92D050"/>
            <w:noWrap/>
            <w:vAlign w:val="center"/>
          </w:tcPr>
          <w:p w14:paraId="0C203B51" w14:textId="77777777" w:rsidR="00713ED0" w:rsidRPr="00FF45C2" w:rsidRDefault="00713ED0" w:rsidP="00FF45C2">
            <w:pPr>
              <w:pStyle w:val="TableTextEntries"/>
              <w:jc w:val="center"/>
            </w:pPr>
            <w:r w:rsidRPr="00FF45C2">
              <w:t>M</w:t>
            </w:r>
          </w:p>
        </w:tc>
      </w:tr>
      <w:tr w:rsidR="00713ED0" w:rsidRPr="00713ED0" w14:paraId="0737B1DE"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7752720C" w14:textId="77777777" w:rsidR="00713ED0" w:rsidRPr="00713ED0" w:rsidRDefault="00713ED0" w:rsidP="00FF45C2">
            <w:pPr>
              <w:pStyle w:val="TableTextEntries"/>
            </w:pPr>
          </w:p>
        </w:tc>
        <w:tc>
          <w:tcPr>
            <w:tcW w:w="1486" w:type="dxa"/>
            <w:vMerge/>
            <w:vAlign w:val="center"/>
          </w:tcPr>
          <w:p w14:paraId="30EE2302" w14:textId="77777777" w:rsidR="00713ED0" w:rsidRPr="00713ED0" w:rsidRDefault="00713ED0" w:rsidP="00FF45C2">
            <w:pPr>
              <w:pStyle w:val="TableTextEntries"/>
            </w:pPr>
          </w:p>
        </w:tc>
        <w:tc>
          <w:tcPr>
            <w:tcW w:w="813" w:type="dxa"/>
            <w:vMerge/>
            <w:vAlign w:val="center"/>
          </w:tcPr>
          <w:p w14:paraId="3AC1C5E4" w14:textId="77777777" w:rsidR="00713ED0" w:rsidRPr="00713ED0" w:rsidRDefault="00713ED0" w:rsidP="00FF45C2">
            <w:pPr>
              <w:pStyle w:val="TableTextEntries"/>
              <w:rPr>
                <w:sz w:val="14"/>
              </w:rPr>
            </w:pPr>
          </w:p>
        </w:tc>
        <w:tc>
          <w:tcPr>
            <w:tcW w:w="808" w:type="dxa"/>
            <w:vMerge/>
            <w:vAlign w:val="center"/>
          </w:tcPr>
          <w:p w14:paraId="36D17E37" w14:textId="77777777" w:rsidR="00713ED0" w:rsidRPr="00713ED0" w:rsidRDefault="00713ED0" w:rsidP="00FF45C2">
            <w:pPr>
              <w:pStyle w:val="TableTextEntries"/>
              <w:rPr>
                <w:sz w:val="14"/>
              </w:rPr>
            </w:pPr>
          </w:p>
        </w:tc>
        <w:tc>
          <w:tcPr>
            <w:tcW w:w="1152" w:type="dxa"/>
            <w:vMerge/>
            <w:vAlign w:val="center"/>
          </w:tcPr>
          <w:p w14:paraId="1DE3DB46" w14:textId="77777777" w:rsidR="00713ED0" w:rsidRPr="00713ED0" w:rsidRDefault="00713ED0" w:rsidP="00FF45C2">
            <w:pPr>
              <w:pStyle w:val="TableTextEntries"/>
              <w:rPr>
                <w:sz w:val="14"/>
                <w:szCs w:val="16"/>
              </w:rPr>
            </w:pPr>
          </w:p>
        </w:tc>
        <w:tc>
          <w:tcPr>
            <w:tcW w:w="440" w:type="dxa"/>
            <w:vAlign w:val="center"/>
          </w:tcPr>
          <w:p w14:paraId="495FD75C" w14:textId="77777777" w:rsidR="00713ED0" w:rsidRPr="00713ED0" w:rsidRDefault="00713ED0" w:rsidP="00FF45C2">
            <w:pPr>
              <w:pStyle w:val="TableTextEntries"/>
            </w:pPr>
            <w:r w:rsidRPr="00713ED0">
              <w:t>2011</w:t>
            </w:r>
          </w:p>
        </w:tc>
        <w:tc>
          <w:tcPr>
            <w:tcW w:w="334" w:type="dxa"/>
            <w:shd w:val="clear" w:color="auto" w:fill="auto"/>
            <w:noWrap/>
            <w:vAlign w:val="center"/>
          </w:tcPr>
          <w:p w14:paraId="7CD5B079"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2CDFF9CF"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277F4AC0" w14:textId="77777777" w:rsidR="00713ED0" w:rsidRPr="00FF45C2" w:rsidRDefault="00713ED0" w:rsidP="00FF45C2">
            <w:pPr>
              <w:pStyle w:val="TableTextEntries"/>
              <w:jc w:val="center"/>
            </w:pPr>
            <w:r w:rsidRPr="00FF45C2">
              <w:t>n/a</w:t>
            </w:r>
          </w:p>
        </w:tc>
        <w:tc>
          <w:tcPr>
            <w:tcW w:w="403" w:type="dxa"/>
            <w:shd w:val="clear" w:color="auto" w:fill="auto"/>
            <w:noWrap/>
            <w:vAlign w:val="center"/>
          </w:tcPr>
          <w:p w14:paraId="59636557"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5533A048" w14:textId="77777777" w:rsidR="00713ED0" w:rsidRPr="00FF45C2" w:rsidRDefault="00713ED0" w:rsidP="00FF45C2">
            <w:pPr>
              <w:pStyle w:val="TableTextEntries"/>
              <w:jc w:val="center"/>
            </w:pPr>
            <w:r w:rsidRPr="00FF45C2">
              <w:t>n/a</w:t>
            </w:r>
          </w:p>
        </w:tc>
        <w:tc>
          <w:tcPr>
            <w:tcW w:w="334" w:type="dxa"/>
            <w:shd w:val="clear" w:color="auto" w:fill="auto"/>
            <w:noWrap/>
            <w:vAlign w:val="center"/>
          </w:tcPr>
          <w:p w14:paraId="3898D6A7" w14:textId="77777777" w:rsidR="00713ED0" w:rsidRPr="00FF45C2" w:rsidRDefault="00713ED0" w:rsidP="00FF45C2">
            <w:pPr>
              <w:pStyle w:val="TableTextEntries"/>
              <w:jc w:val="center"/>
            </w:pPr>
            <w:r w:rsidRPr="00FF45C2">
              <w:t>n/a</w:t>
            </w:r>
          </w:p>
        </w:tc>
        <w:tc>
          <w:tcPr>
            <w:tcW w:w="347" w:type="dxa"/>
            <w:shd w:val="clear" w:color="auto" w:fill="auto"/>
            <w:noWrap/>
            <w:vAlign w:val="center"/>
          </w:tcPr>
          <w:p w14:paraId="5A6F9F1B" w14:textId="77777777" w:rsidR="00713ED0" w:rsidRPr="00FF45C2" w:rsidRDefault="00713ED0" w:rsidP="00FF45C2">
            <w:pPr>
              <w:pStyle w:val="TableTextEntries"/>
              <w:jc w:val="center"/>
            </w:pPr>
            <w:r w:rsidRPr="00FF45C2">
              <w:t>n/a</w:t>
            </w:r>
          </w:p>
        </w:tc>
      </w:tr>
      <w:tr w:rsidR="00713ED0" w:rsidRPr="00713ED0" w14:paraId="4D7CA2E2" w14:textId="77777777" w:rsidTr="00E0168D">
        <w:trPr>
          <w:cantSplit/>
          <w:tblHeader w:val="0"/>
        </w:trPr>
        <w:tc>
          <w:tcPr>
            <w:tcW w:w="2337" w:type="dxa"/>
            <w:gridSpan w:val="3"/>
            <w:vAlign w:val="bottom"/>
          </w:tcPr>
          <w:p w14:paraId="7EAF4A11" w14:textId="77777777" w:rsidR="00713ED0" w:rsidRPr="00713ED0" w:rsidRDefault="00713ED0" w:rsidP="00E0168D">
            <w:pPr>
              <w:pStyle w:val="TableHeading2"/>
            </w:pPr>
            <w:r w:rsidRPr="00713ED0">
              <w:t>Elections</w:t>
            </w:r>
          </w:p>
        </w:tc>
        <w:tc>
          <w:tcPr>
            <w:tcW w:w="813" w:type="dxa"/>
          </w:tcPr>
          <w:p w14:paraId="25B965C3" w14:textId="77777777" w:rsidR="00713ED0" w:rsidRPr="00713ED0" w:rsidRDefault="00713ED0" w:rsidP="00FF45C2">
            <w:pPr>
              <w:pStyle w:val="TableTextEntries"/>
              <w:rPr>
                <w:sz w:val="14"/>
              </w:rPr>
            </w:pPr>
          </w:p>
        </w:tc>
        <w:tc>
          <w:tcPr>
            <w:tcW w:w="808" w:type="dxa"/>
            <w:vAlign w:val="center"/>
          </w:tcPr>
          <w:p w14:paraId="5481BFC8" w14:textId="77777777" w:rsidR="00713ED0" w:rsidRPr="00713ED0" w:rsidRDefault="00713ED0" w:rsidP="00FF45C2">
            <w:pPr>
              <w:pStyle w:val="TableTextEntries"/>
              <w:rPr>
                <w:sz w:val="14"/>
              </w:rPr>
            </w:pPr>
          </w:p>
        </w:tc>
        <w:tc>
          <w:tcPr>
            <w:tcW w:w="1152" w:type="dxa"/>
            <w:vAlign w:val="bottom"/>
          </w:tcPr>
          <w:p w14:paraId="10A7429C" w14:textId="77777777" w:rsidR="00713ED0" w:rsidRPr="00713ED0" w:rsidRDefault="00713ED0" w:rsidP="00FF45C2">
            <w:pPr>
              <w:pStyle w:val="TableTextEntries"/>
              <w:rPr>
                <w:sz w:val="14"/>
                <w:szCs w:val="16"/>
              </w:rPr>
            </w:pPr>
          </w:p>
        </w:tc>
        <w:tc>
          <w:tcPr>
            <w:tcW w:w="440" w:type="dxa"/>
            <w:textDirection w:val="btLr"/>
            <w:vAlign w:val="center"/>
          </w:tcPr>
          <w:p w14:paraId="7BB3242C" w14:textId="77777777" w:rsidR="00713ED0" w:rsidRPr="00713ED0" w:rsidRDefault="00713ED0" w:rsidP="00FF45C2">
            <w:pPr>
              <w:pStyle w:val="TableTextEntries"/>
            </w:pPr>
          </w:p>
        </w:tc>
        <w:tc>
          <w:tcPr>
            <w:tcW w:w="334" w:type="dxa"/>
            <w:textDirection w:val="btLr"/>
            <w:vAlign w:val="center"/>
          </w:tcPr>
          <w:p w14:paraId="227FB375" w14:textId="77777777" w:rsidR="00713ED0" w:rsidRPr="00FF45C2" w:rsidRDefault="00713ED0" w:rsidP="00FF45C2">
            <w:pPr>
              <w:pStyle w:val="TableTextEntries"/>
              <w:jc w:val="center"/>
            </w:pPr>
          </w:p>
        </w:tc>
        <w:tc>
          <w:tcPr>
            <w:tcW w:w="334" w:type="dxa"/>
            <w:textDirection w:val="btLr"/>
            <w:vAlign w:val="center"/>
          </w:tcPr>
          <w:p w14:paraId="18145291" w14:textId="77777777" w:rsidR="00713ED0" w:rsidRPr="00FF45C2" w:rsidRDefault="00713ED0" w:rsidP="00FF45C2">
            <w:pPr>
              <w:pStyle w:val="TableTextEntries"/>
              <w:jc w:val="center"/>
            </w:pPr>
          </w:p>
        </w:tc>
        <w:tc>
          <w:tcPr>
            <w:tcW w:w="334" w:type="dxa"/>
            <w:textDirection w:val="btLr"/>
            <w:vAlign w:val="center"/>
          </w:tcPr>
          <w:p w14:paraId="5EB04DF4" w14:textId="77777777" w:rsidR="00713ED0" w:rsidRPr="00FF45C2" w:rsidRDefault="00713ED0" w:rsidP="00FF45C2">
            <w:pPr>
              <w:pStyle w:val="TableTextEntries"/>
              <w:jc w:val="center"/>
            </w:pPr>
          </w:p>
        </w:tc>
        <w:tc>
          <w:tcPr>
            <w:tcW w:w="403" w:type="dxa"/>
            <w:textDirection w:val="btLr"/>
            <w:vAlign w:val="center"/>
          </w:tcPr>
          <w:p w14:paraId="2CAB7C35" w14:textId="77777777" w:rsidR="00713ED0" w:rsidRPr="00FF45C2" w:rsidRDefault="00713ED0" w:rsidP="00FF45C2">
            <w:pPr>
              <w:pStyle w:val="TableTextEntries"/>
              <w:jc w:val="center"/>
            </w:pPr>
          </w:p>
        </w:tc>
        <w:tc>
          <w:tcPr>
            <w:tcW w:w="334" w:type="dxa"/>
            <w:textDirection w:val="btLr"/>
            <w:vAlign w:val="center"/>
          </w:tcPr>
          <w:p w14:paraId="49C8CCAD" w14:textId="77777777" w:rsidR="00713ED0" w:rsidRPr="00FF45C2" w:rsidRDefault="00713ED0" w:rsidP="00FF45C2">
            <w:pPr>
              <w:pStyle w:val="TableTextEntries"/>
              <w:jc w:val="center"/>
            </w:pPr>
          </w:p>
        </w:tc>
        <w:tc>
          <w:tcPr>
            <w:tcW w:w="334" w:type="dxa"/>
            <w:textDirection w:val="btLr"/>
            <w:vAlign w:val="center"/>
          </w:tcPr>
          <w:p w14:paraId="3760F75E" w14:textId="77777777" w:rsidR="00713ED0" w:rsidRPr="00FF45C2" w:rsidRDefault="00713ED0" w:rsidP="00FF45C2">
            <w:pPr>
              <w:pStyle w:val="TableTextEntries"/>
              <w:jc w:val="center"/>
            </w:pPr>
          </w:p>
        </w:tc>
        <w:tc>
          <w:tcPr>
            <w:tcW w:w="347" w:type="dxa"/>
            <w:textDirection w:val="btLr"/>
            <w:vAlign w:val="center"/>
          </w:tcPr>
          <w:p w14:paraId="1DFEA7EB" w14:textId="77777777" w:rsidR="00713ED0" w:rsidRPr="00FF45C2" w:rsidRDefault="00713ED0" w:rsidP="00FF45C2">
            <w:pPr>
              <w:pStyle w:val="TableTextEntries"/>
              <w:jc w:val="center"/>
            </w:pPr>
          </w:p>
        </w:tc>
      </w:tr>
      <w:tr w:rsidR="00713ED0" w:rsidRPr="00713ED0" w14:paraId="5E586A4F"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4181A100" w14:textId="77777777" w:rsidR="00713ED0" w:rsidRPr="00713ED0" w:rsidRDefault="00713ED0" w:rsidP="00FF45C2">
            <w:pPr>
              <w:pStyle w:val="TableTextEntries"/>
            </w:pPr>
            <w:r w:rsidRPr="00713ED0">
              <w:t>INJ632</w:t>
            </w:r>
          </w:p>
        </w:tc>
        <w:tc>
          <w:tcPr>
            <w:tcW w:w="1486" w:type="dxa"/>
            <w:vMerge w:val="restart"/>
            <w:vAlign w:val="center"/>
          </w:tcPr>
          <w:p w14:paraId="250A623B" w14:textId="2B3C1C91" w:rsidR="00713ED0" w:rsidRPr="00713ED0" w:rsidRDefault="000A11DD" w:rsidP="00FF45C2">
            <w:pPr>
              <w:pStyle w:val="TableTextEntries"/>
            </w:pPr>
            <w:r>
              <w:t>Australia–Indonesia</w:t>
            </w:r>
            <w:r w:rsidR="00713ED0" w:rsidRPr="00713ED0">
              <w:t xml:space="preserve"> Electoral Support Program</w:t>
            </w:r>
          </w:p>
        </w:tc>
        <w:tc>
          <w:tcPr>
            <w:tcW w:w="813" w:type="dxa"/>
            <w:vMerge w:val="restart"/>
            <w:vAlign w:val="center"/>
          </w:tcPr>
          <w:p w14:paraId="1A67341F" w14:textId="77777777" w:rsidR="00713ED0" w:rsidRPr="00713ED0" w:rsidRDefault="00713ED0" w:rsidP="00FF45C2">
            <w:pPr>
              <w:pStyle w:val="TableTextEntries"/>
              <w:rPr>
                <w:sz w:val="14"/>
              </w:rPr>
            </w:pPr>
            <w:r w:rsidRPr="00713ED0">
              <w:rPr>
                <w:sz w:val="14"/>
              </w:rPr>
              <w:t>01/01/2011</w:t>
            </w:r>
          </w:p>
        </w:tc>
        <w:tc>
          <w:tcPr>
            <w:tcW w:w="808" w:type="dxa"/>
            <w:vMerge w:val="restart"/>
            <w:vAlign w:val="center"/>
          </w:tcPr>
          <w:p w14:paraId="04475611" w14:textId="77777777" w:rsidR="00713ED0" w:rsidRPr="00713ED0" w:rsidRDefault="00713ED0" w:rsidP="00FF45C2">
            <w:pPr>
              <w:pStyle w:val="TableTextEntries"/>
              <w:rPr>
                <w:sz w:val="14"/>
              </w:rPr>
            </w:pPr>
            <w:r w:rsidRPr="00713ED0">
              <w:rPr>
                <w:sz w:val="14"/>
              </w:rPr>
              <w:t>30/06/2020</w:t>
            </w:r>
          </w:p>
        </w:tc>
        <w:tc>
          <w:tcPr>
            <w:tcW w:w="1152" w:type="dxa"/>
            <w:vMerge w:val="restart"/>
            <w:vAlign w:val="center"/>
          </w:tcPr>
          <w:p w14:paraId="3FBD849F" w14:textId="4FB4578E" w:rsidR="00713ED0" w:rsidRPr="00713ED0" w:rsidRDefault="00713ED0" w:rsidP="00FF45C2">
            <w:pPr>
              <w:pStyle w:val="TableTextEntries"/>
              <w:rPr>
                <w:sz w:val="14"/>
                <w:szCs w:val="16"/>
              </w:rPr>
            </w:pPr>
            <w:r w:rsidRPr="00713ED0">
              <w:rPr>
                <w:sz w:val="14"/>
                <w:szCs w:val="16"/>
              </w:rPr>
              <w:t>$22</w:t>
            </w:r>
            <w:r w:rsidR="00623D66">
              <w:rPr>
                <w:sz w:val="14"/>
                <w:szCs w:val="16"/>
              </w:rPr>
              <w:t xml:space="preserve"> </w:t>
            </w:r>
            <w:r w:rsidRPr="00713ED0">
              <w:rPr>
                <w:sz w:val="14"/>
                <w:szCs w:val="16"/>
              </w:rPr>
              <w:t>755</w:t>
            </w:r>
            <w:r w:rsidR="00623D66">
              <w:rPr>
                <w:sz w:val="14"/>
                <w:szCs w:val="16"/>
              </w:rPr>
              <w:t xml:space="preserve"> </w:t>
            </w:r>
            <w:r w:rsidRPr="00713ED0">
              <w:rPr>
                <w:sz w:val="14"/>
                <w:szCs w:val="16"/>
              </w:rPr>
              <w:t>387.00</w:t>
            </w:r>
          </w:p>
        </w:tc>
        <w:tc>
          <w:tcPr>
            <w:tcW w:w="440" w:type="dxa"/>
            <w:vAlign w:val="center"/>
          </w:tcPr>
          <w:p w14:paraId="64959550" w14:textId="77777777" w:rsidR="00713ED0" w:rsidRPr="00713ED0" w:rsidRDefault="00713ED0" w:rsidP="00FF45C2">
            <w:pPr>
              <w:pStyle w:val="TableTextEntries"/>
            </w:pPr>
            <w:r w:rsidRPr="00713ED0">
              <w:t>2012</w:t>
            </w:r>
          </w:p>
        </w:tc>
        <w:tc>
          <w:tcPr>
            <w:tcW w:w="334" w:type="dxa"/>
            <w:shd w:val="clear" w:color="auto" w:fill="92D050"/>
            <w:noWrap/>
            <w:vAlign w:val="center"/>
          </w:tcPr>
          <w:p w14:paraId="598DF7D3" w14:textId="77777777" w:rsidR="00713ED0" w:rsidRPr="00FF45C2" w:rsidRDefault="00713ED0" w:rsidP="00FF45C2">
            <w:pPr>
              <w:pStyle w:val="TableTextEntries"/>
              <w:jc w:val="center"/>
            </w:pPr>
            <w:r w:rsidRPr="00FF45C2">
              <w:t>5</w:t>
            </w:r>
          </w:p>
        </w:tc>
        <w:tc>
          <w:tcPr>
            <w:tcW w:w="334" w:type="dxa"/>
            <w:shd w:val="clear" w:color="auto" w:fill="F79646" w:themeFill="accent6"/>
            <w:noWrap/>
            <w:vAlign w:val="center"/>
          </w:tcPr>
          <w:p w14:paraId="36694AB8"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0064525C"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23B83AE9"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6DB8CBEB"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6573E557" w14:textId="77777777" w:rsidR="00713ED0" w:rsidRPr="00FF45C2" w:rsidRDefault="00713ED0" w:rsidP="00FF45C2">
            <w:pPr>
              <w:pStyle w:val="TableTextEntries"/>
              <w:jc w:val="center"/>
            </w:pPr>
            <w:r w:rsidRPr="00FF45C2">
              <w:t>5</w:t>
            </w:r>
          </w:p>
        </w:tc>
        <w:tc>
          <w:tcPr>
            <w:tcW w:w="347" w:type="dxa"/>
            <w:shd w:val="clear" w:color="auto" w:fill="92D050"/>
            <w:noWrap/>
            <w:vAlign w:val="center"/>
          </w:tcPr>
          <w:p w14:paraId="2A3214E5" w14:textId="77777777" w:rsidR="00713ED0" w:rsidRPr="00FF45C2" w:rsidRDefault="00713ED0" w:rsidP="00FF45C2">
            <w:pPr>
              <w:pStyle w:val="TableTextEntries"/>
              <w:jc w:val="center"/>
            </w:pPr>
            <w:r w:rsidRPr="00FF45C2">
              <w:t>M</w:t>
            </w:r>
          </w:p>
        </w:tc>
      </w:tr>
      <w:tr w:rsidR="00713ED0" w:rsidRPr="00713ED0" w14:paraId="5ABB81CF" w14:textId="77777777" w:rsidTr="00E0168D">
        <w:trPr>
          <w:tblHeader w:val="0"/>
        </w:trPr>
        <w:tc>
          <w:tcPr>
            <w:tcW w:w="823" w:type="dxa"/>
            <w:gridSpan w:val="2"/>
            <w:vMerge/>
            <w:vAlign w:val="center"/>
          </w:tcPr>
          <w:p w14:paraId="00F33FBB" w14:textId="77777777" w:rsidR="00713ED0" w:rsidRPr="00713ED0" w:rsidRDefault="00713ED0" w:rsidP="00FF45C2">
            <w:pPr>
              <w:pStyle w:val="TableTextEntries"/>
            </w:pPr>
          </w:p>
        </w:tc>
        <w:tc>
          <w:tcPr>
            <w:tcW w:w="1486" w:type="dxa"/>
            <w:vMerge/>
            <w:vAlign w:val="center"/>
          </w:tcPr>
          <w:p w14:paraId="0EE0930C" w14:textId="77777777" w:rsidR="00713ED0" w:rsidRPr="00713ED0" w:rsidRDefault="00713ED0" w:rsidP="00FF45C2">
            <w:pPr>
              <w:pStyle w:val="TableTextEntries"/>
            </w:pPr>
          </w:p>
        </w:tc>
        <w:tc>
          <w:tcPr>
            <w:tcW w:w="813" w:type="dxa"/>
            <w:vMerge/>
            <w:vAlign w:val="center"/>
          </w:tcPr>
          <w:p w14:paraId="5875E9FB" w14:textId="77777777" w:rsidR="00713ED0" w:rsidRPr="00713ED0" w:rsidRDefault="00713ED0" w:rsidP="00FF45C2">
            <w:pPr>
              <w:pStyle w:val="TableTextEntries"/>
              <w:rPr>
                <w:sz w:val="14"/>
              </w:rPr>
            </w:pPr>
          </w:p>
        </w:tc>
        <w:tc>
          <w:tcPr>
            <w:tcW w:w="808" w:type="dxa"/>
            <w:vMerge/>
            <w:vAlign w:val="center"/>
          </w:tcPr>
          <w:p w14:paraId="3E9E377C" w14:textId="77777777" w:rsidR="00713ED0" w:rsidRPr="00713ED0" w:rsidRDefault="00713ED0" w:rsidP="00FF45C2">
            <w:pPr>
              <w:pStyle w:val="TableTextEntries"/>
              <w:rPr>
                <w:sz w:val="14"/>
              </w:rPr>
            </w:pPr>
          </w:p>
        </w:tc>
        <w:tc>
          <w:tcPr>
            <w:tcW w:w="1152" w:type="dxa"/>
            <w:vMerge/>
            <w:vAlign w:val="center"/>
          </w:tcPr>
          <w:p w14:paraId="56C3646A" w14:textId="77777777" w:rsidR="00713ED0" w:rsidRPr="00713ED0" w:rsidRDefault="00713ED0" w:rsidP="00FF45C2">
            <w:pPr>
              <w:pStyle w:val="TableTextEntries"/>
              <w:rPr>
                <w:sz w:val="14"/>
                <w:szCs w:val="16"/>
              </w:rPr>
            </w:pPr>
          </w:p>
        </w:tc>
        <w:tc>
          <w:tcPr>
            <w:tcW w:w="440" w:type="dxa"/>
            <w:vAlign w:val="center"/>
          </w:tcPr>
          <w:p w14:paraId="20F02494" w14:textId="77777777" w:rsidR="00713ED0" w:rsidRPr="00713ED0" w:rsidRDefault="00713ED0" w:rsidP="00FF45C2">
            <w:pPr>
              <w:pStyle w:val="TableTextEntries"/>
            </w:pPr>
            <w:r w:rsidRPr="00713ED0">
              <w:t>2011</w:t>
            </w:r>
          </w:p>
        </w:tc>
        <w:tc>
          <w:tcPr>
            <w:tcW w:w="334" w:type="dxa"/>
            <w:shd w:val="clear" w:color="auto" w:fill="92D050"/>
            <w:noWrap/>
            <w:vAlign w:val="center"/>
          </w:tcPr>
          <w:p w14:paraId="37B81516"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2C0DC63C"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277AAC16"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28289BFD"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38F50424"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2AAC9AA4"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3AB55CF2" w14:textId="77777777" w:rsidR="00713ED0" w:rsidRPr="00FF45C2" w:rsidRDefault="00713ED0" w:rsidP="00FF45C2">
            <w:pPr>
              <w:pStyle w:val="TableTextEntries"/>
              <w:jc w:val="center"/>
            </w:pPr>
            <w:r w:rsidRPr="00FF45C2">
              <w:t>I</w:t>
            </w:r>
          </w:p>
        </w:tc>
      </w:tr>
      <w:tr w:rsidR="00713ED0" w:rsidRPr="00713ED0" w14:paraId="0A9594F6" w14:textId="77777777" w:rsidTr="00E0168D">
        <w:trPr>
          <w:cnfStyle w:val="000000010000" w:firstRow="0" w:lastRow="0" w:firstColumn="0" w:lastColumn="0" w:oddVBand="0" w:evenVBand="0" w:oddHBand="0" w:evenHBand="1" w:firstRowFirstColumn="0" w:firstRowLastColumn="0" w:lastRowFirstColumn="0" w:lastRowLastColumn="0"/>
          <w:cantSplit/>
          <w:tblHeader w:val="0"/>
        </w:trPr>
        <w:tc>
          <w:tcPr>
            <w:tcW w:w="2337" w:type="dxa"/>
            <w:gridSpan w:val="3"/>
            <w:vAlign w:val="bottom"/>
          </w:tcPr>
          <w:p w14:paraId="666FD07E" w14:textId="77777777" w:rsidR="00713ED0" w:rsidRPr="00713ED0" w:rsidRDefault="00713ED0" w:rsidP="00E0168D">
            <w:pPr>
              <w:pStyle w:val="TableHeading2"/>
            </w:pPr>
            <w:r w:rsidRPr="00713ED0">
              <w:t>Law and justice</w:t>
            </w:r>
          </w:p>
        </w:tc>
        <w:tc>
          <w:tcPr>
            <w:tcW w:w="813" w:type="dxa"/>
          </w:tcPr>
          <w:p w14:paraId="6A9E59FF" w14:textId="77777777" w:rsidR="00713ED0" w:rsidRPr="00713ED0" w:rsidRDefault="00713ED0" w:rsidP="00FF45C2">
            <w:pPr>
              <w:pStyle w:val="TableTextEntries"/>
              <w:rPr>
                <w:sz w:val="14"/>
              </w:rPr>
            </w:pPr>
          </w:p>
        </w:tc>
        <w:tc>
          <w:tcPr>
            <w:tcW w:w="808" w:type="dxa"/>
            <w:vAlign w:val="center"/>
          </w:tcPr>
          <w:p w14:paraId="57EF7EE0" w14:textId="77777777" w:rsidR="00713ED0" w:rsidRPr="00713ED0" w:rsidRDefault="00713ED0" w:rsidP="00FF45C2">
            <w:pPr>
              <w:pStyle w:val="TableTextEntries"/>
              <w:rPr>
                <w:sz w:val="14"/>
              </w:rPr>
            </w:pPr>
          </w:p>
        </w:tc>
        <w:tc>
          <w:tcPr>
            <w:tcW w:w="1152" w:type="dxa"/>
            <w:vAlign w:val="bottom"/>
          </w:tcPr>
          <w:p w14:paraId="19E33F27" w14:textId="77777777" w:rsidR="00713ED0" w:rsidRPr="00713ED0" w:rsidRDefault="00713ED0" w:rsidP="00FF45C2">
            <w:pPr>
              <w:pStyle w:val="TableTextEntries"/>
              <w:rPr>
                <w:sz w:val="14"/>
                <w:szCs w:val="16"/>
              </w:rPr>
            </w:pPr>
          </w:p>
        </w:tc>
        <w:tc>
          <w:tcPr>
            <w:tcW w:w="440" w:type="dxa"/>
            <w:textDirection w:val="btLr"/>
            <w:vAlign w:val="center"/>
          </w:tcPr>
          <w:p w14:paraId="3DFA8499" w14:textId="77777777" w:rsidR="00713ED0" w:rsidRPr="00713ED0" w:rsidRDefault="00713ED0" w:rsidP="00FF45C2">
            <w:pPr>
              <w:pStyle w:val="TableTextEntries"/>
            </w:pPr>
          </w:p>
        </w:tc>
        <w:tc>
          <w:tcPr>
            <w:tcW w:w="334" w:type="dxa"/>
            <w:textDirection w:val="btLr"/>
            <w:vAlign w:val="center"/>
          </w:tcPr>
          <w:p w14:paraId="4EBDBBB8" w14:textId="77777777" w:rsidR="00713ED0" w:rsidRPr="00FF45C2" w:rsidRDefault="00713ED0" w:rsidP="00FF45C2">
            <w:pPr>
              <w:pStyle w:val="TableTextEntries"/>
              <w:jc w:val="center"/>
            </w:pPr>
          </w:p>
        </w:tc>
        <w:tc>
          <w:tcPr>
            <w:tcW w:w="334" w:type="dxa"/>
            <w:textDirection w:val="btLr"/>
            <w:vAlign w:val="center"/>
          </w:tcPr>
          <w:p w14:paraId="5FD76F63" w14:textId="77777777" w:rsidR="00713ED0" w:rsidRPr="00FF45C2" w:rsidRDefault="00713ED0" w:rsidP="00FF45C2">
            <w:pPr>
              <w:pStyle w:val="TableTextEntries"/>
              <w:jc w:val="center"/>
            </w:pPr>
          </w:p>
        </w:tc>
        <w:tc>
          <w:tcPr>
            <w:tcW w:w="334" w:type="dxa"/>
            <w:textDirection w:val="btLr"/>
            <w:vAlign w:val="center"/>
          </w:tcPr>
          <w:p w14:paraId="66D9183B" w14:textId="77777777" w:rsidR="00713ED0" w:rsidRPr="00FF45C2" w:rsidRDefault="00713ED0" w:rsidP="00FF45C2">
            <w:pPr>
              <w:pStyle w:val="TableTextEntries"/>
              <w:jc w:val="center"/>
            </w:pPr>
          </w:p>
        </w:tc>
        <w:tc>
          <w:tcPr>
            <w:tcW w:w="403" w:type="dxa"/>
            <w:textDirection w:val="btLr"/>
            <w:vAlign w:val="center"/>
          </w:tcPr>
          <w:p w14:paraId="31838586" w14:textId="77777777" w:rsidR="00713ED0" w:rsidRPr="00FF45C2" w:rsidRDefault="00713ED0" w:rsidP="00FF45C2">
            <w:pPr>
              <w:pStyle w:val="TableTextEntries"/>
              <w:jc w:val="center"/>
            </w:pPr>
          </w:p>
        </w:tc>
        <w:tc>
          <w:tcPr>
            <w:tcW w:w="334" w:type="dxa"/>
            <w:textDirection w:val="btLr"/>
            <w:vAlign w:val="center"/>
          </w:tcPr>
          <w:p w14:paraId="1DA62359" w14:textId="77777777" w:rsidR="00713ED0" w:rsidRPr="00FF45C2" w:rsidRDefault="00713ED0" w:rsidP="00FF45C2">
            <w:pPr>
              <w:pStyle w:val="TableTextEntries"/>
              <w:jc w:val="center"/>
            </w:pPr>
          </w:p>
        </w:tc>
        <w:tc>
          <w:tcPr>
            <w:tcW w:w="334" w:type="dxa"/>
            <w:textDirection w:val="btLr"/>
            <w:vAlign w:val="center"/>
          </w:tcPr>
          <w:p w14:paraId="09A6D39E" w14:textId="77777777" w:rsidR="00713ED0" w:rsidRPr="00FF45C2" w:rsidRDefault="00713ED0" w:rsidP="00FF45C2">
            <w:pPr>
              <w:pStyle w:val="TableTextEntries"/>
              <w:jc w:val="center"/>
            </w:pPr>
          </w:p>
        </w:tc>
        <w:tc>
          <w:tcPr>
            <w:tcW w:w="347" w:type="dxa"/>
            <w:textDirection w:val="btLr"/>
            <w:vAlign w:val="center"/>
          </w:tcPr>
          <w:p w14:paraId="60111669" w14:textId="77777777" w:rsidR="00713ED0" w:rsidRPr="00FF45C2" w:rsidRDefault="00713ED0" w:rsidP="00FF45C2">
            <w:pPr>
              <w:pStyle w:val="TableTextEntries"/>
              <w:jc w:val="center"/>
            </w:pPr>
          </w:p>
        </w:tc>
      </w:tr>
      <w:tr w:rsidR="00713ED0" w:rsidRPr="00713ED0" w14:paraId="2EC3BC16" w14:textId="77777777" w:rsidTr="00E0168D">
        <w:trPr>
          <w:tblHeader w:val="0"/>
        </w:trPr>
        <w:tc>
          <w:tcPr>
            <w:tcW w:w="823" w:type="dxa"/>
            <w:gridSpan w:val="2"/>
            <w:vMerge w:val="restart"/>
            <w:vAlign w:val="center"/>
          </w:tcPr>
          <w:p w14:paraId="27805A8A" w14:textId="77777777" w:rsidR="00713ED0" w:rsidRPr="00713ED0" w:rsidRDefault="00713ED0" w:rsidP="00FF45C2">
            <w:pPr>
              <w:pStyle w:val="TableTextEntries"/>
            </w:pPr>
            <w:r w:rsidRPr="00713ED0">
              <w:t>INJ137</w:t>
            </w:r>
          </w:p>
        </w:tc>
        <w:tc>
          <w:tcPr>
            <w:tcW w:w="1486" w:type="dxa"/>
            <w:vMerge w:val="restart"/>
            <w:vAlign w:val="center"/>
          </w:tcPr>
          <w:p w14:paraId="021E2A51" w14:textId="548FC6C4" w:rsidR="00713ED0" w:rsidRPr="00713ED0" w:rsidRDefault="000A11DD" w:rsidP="00FF45C2">
            <w:pPr>
              <w:pStyle w:val="TableTextEntries"/>
            </w:pPr>
            <w:r>
              <w:t>Australia–Indonesia</w:t>
            </w:r>
            <w:r w:rsidR="00713ED0" w:rsidRPr="00713ED0">
              <w:t xml:space="preserve"> Partnership for Justice</w:t>
            </w:r>
          </w:p>
        </w:tc>
        <w:tc>
          <w:tcPr>
            <w:tcW w:w="813" w:type="dxa"/>
            <w:vMerge w:val="restart"/>
            <w:vAlign w:val="center"/>
          </w:tcPr>
          <w:p w14:paraId="5A4A1228" w14:textId="77777777" w:rsidR="00713ED0" w:rsidRPr="00713ED0" w:rsidRDefault="00713ED0" w:rsidP="00FF45C2">
            <w:pPr>
              <w:pStyle w:val="TableTextEntries"/>
              <w:rPr>
                <w:sz w:val="14"/>
              </w:rPr>
            </w:pPr>
            <w:r w:rsidRPr="00713ED0">
              <w:rPr>
                <w:sz w:val="14"/>
              </w:rPr>
              <w:t>13/08/2009</w:t>
            </w:r>
          </w:p>
        </w:tc>
        <w:tc>
          <w:tcPr>
            <w:tcW w:w="808" w:type="dxa"/>
            <w:vMerge w:val="restart"/>
            <w:vAlign w:val="center"/>
          </w:tcPr>
          <w:p w14:paraId="66A7733B" w14:textId="77777777" w:rsidR="00713ED0" w:rsidRPr="00713ED0" w:rsidRDefault="00713ED0" w:rsidP="00FF45C2">
            <w:pPr>
              <w:pStyle w:val="TableTextEntries"/>
              <w:rPr>
                <w:sz w:val="14"/>
              </w:rPr>
            </w:pPr>
            <w:r w:rsidRPr="00713ED0">
              <w:rPr>
                <w:sz w:val="14"/>
              </w:rPr>
              <w:t>31/12/2015</w:t>
            </w:r>
          </w:p>
        </w:tc>
        <w:tc>
          <w:tcPr>
            <w:tcW w:w="1152" w:type="dxa"/>
            <w:vMerge w:val="restart"/>
            <w:vAlign w:val="center"/>
          </w:tcPr>
          <w:p w14:paraId="40FC8217" w14:textId="01140C5F" w:rsidR="00713ED0" w:rsidRPr="00713ED0" w:rsidRDefault="00713ED0" w:rsidP="00FF45C2">
            <w:pPr>
              <w:pStyle w:val="TableTextEntries"/>
              <w:rPr>
                <w:sz w:val="14"/>
                <w:szCs w:val="16"/>
              </w:rPr>
            </w:pPr>
            <w:r w:rsidRPr="00713ED0">
              <w:rPr>
                <w:sz w:val="14"/>
                <w:szCs w:val="16"/>
              </w:rPr>
              <w:t>$50</w:t>
            </w:r>
            <w:r w:rsidR="00623D66">
              <w:rPr>
                <w:sz w:val="14"/>
                <w:szCs w:val="16"/>
              </w:rPr>
              <w:t xml:space="preserve"> </w:t>
            </w:r>
            <w:r w:rsidRPr="00713ED0">
              <w:rPr>
                <w:sz w:val="14"/>
                <w:szCs w:val="16"/>
              </w:rPr>
              <w:t>000</w:t>
            </w:r>
            <w:r w:rsidR="00623D66">
              <w:rPr>
                <w:sz w:val="14"/>
                <w:szCs w:val="16"/>
              </w:rPr>
              <w:t xml:space="preserve"> </w:t>
            </w:r>
            <w:r w:rsidRPr="00713ED0">
              <w:rPr>
                <w:sz w:val="14"/>
                <w:szCs w:val="16"/>
              </w:rPr>
              <w:t>000.00</w:t>
            </w:r>
          </w:p>
        </w:tc>
        <w:tc>
          <w:tcPr>
            <w:tcW w:w="440" w:type="dxa"/>
            <w:vAlign w:val="center"/>
          </w:tcPr>
          <w:p w14:paraId="32177629" w14:textId="77777777" w:rsidR="00713ED0" w:rsidRPr="00713ED0" w:rsidRDefault="00713ED0" w:rsidP="00FF45C2">
            <w:pPr>
              <w:pStyle w:val="TableTextEntries"/>
            </w:pPr>
            <w:r w:rsidRPr="00713ED0">
              <w:t>2012</w:t>
            </w:r>
          </w:p>
        </w:tc>
        <w:tc>
          <w:tcPr>
            <w:tcW w:w="334" w:type="dxa"/>
            <w:shd w:val="clear" w:color="auto" w:fill="92D050"/>
            <w:noWrap/>
            <w:vAlign w:val="center"/>
          </w:tcPr>
          <w:p w14:paraId="491CD983"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72D14F87"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62E4DF2F" w14:textId="77777777" w:rsidR="00713ED0" w:rsidRPr="00FF45C2" w:rsidRDefault="00713ED0" w:rsidP="00FF45C2">
            <w:pPr>
              <w:pStyle w:val="TableTextEntries"/>
              <w:jc w:val="center"/>
            </w:pPr>
            <w:r w:rsidRPr="00FF45C2">
              <w:t>3</w:t>
            </w:r>
          </w:p>
        </w:tc>
        <w:tc>
          <w:tcPr>
            <w:tcW w:w="403" w:type="dxa"/>
            <w:shd w:val="clear" w:color="auto" w:fill="F79646" w:themeFill="accent6"/>
            <w:noWrap/>
            <w:vAlign w:val="center"/>
          </w:tcPr>
          <w:p w14:paraId="0152F2B5" w14:textId="77777777" w:rsidR="00713ED0" w:rsidRPr="00FF45C2" w:rsidRDefault="00713ED0" w:rsidP="00FF45C2">
            <w:pPr>
              <w:pStyle w:val="TableTextEntries"/>
              <w:jc w:val="center"/>
            </w:pPr>
            <w:r w:rsidRPr="00FF45C2">
              <w:t>3</w:t>
            </w:r>
          </w:p>
        </w:tc>
        <w:tc>
          <w:tcPr>
            <w:tcW w:w="334" w:type="dxa"/>
            <w:shd w:val="clear" w:color="auto" w:fill="92D050"/>
            <w:noWrap/>
            <w:vAlign w:val="center"/>
          </w:tcPr>
          <w:p w14:paraId="6635BB0E"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655F5DC" w14:textId="77777777" w:rsidR="00713ED0" w:rsidRPr="00FF45C2" w:rsidRDefault="00713ED0" w:rsidP="00FF45C2">
            <w:pPr>
              <w:pStyle w:val="TableTextEntries"/>
              <w:jc w:val="center"/>
            </w:pPr>
            <w:r w:rsidRPr="00FF45C2">
              <w:t>5</w:t>
            </w:r>
          </w:p>
        </w:tc>
        <w:tc>
          <w:tcPr>
            <w:tcW w:w="347" w:type="dxa"/>
            <w:tcBorders>
              <w:top w:val="nil"/>
              <w:bottom w:val="nil"/>
            </w:tcBorders>
            <w:shd w:val="clear" w:color="auto" w:fill="92D050"/>
            <w:noWrap/>
            <w:vAlign w:val="center"/>
          </w:tcPr>
          <w:p w14:paraId="1AC5BBD6" w14:textId="77777777" w:rsidR="00713ED0" w:rsidRPr="00FF45C2" w:rsidRDefault="00713ED0" w:rsidP="00FF45C2">
            <w:pPr>
              <w:pStyle w:val="TableTextEntries"/>
              <w:jc w:val="center"/>
            </w:pPr>
            <w:r w:rsidRPr="00FF45C2">
              <w:t>M</w:t>
            </w:r>
          </w:p>
        </w:tc>
      </w:tr>
      <w:tr w:rsidR="00713ED0" w:rsidRPr="00713ED0" w14:paraId="06F1627D"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26136C70" w14:textId="77777777" w:rsidR="00713ED0" w:rsidRPr="00713ED0" w:rsidRDefault="00713ED0" w:rsidP="00FF45C2">
            <w:pPr>
              <w:pStyle w:val="TableTextEntries"/>
            </w:pPr>
          </w:p>
        </w:tc>
        <w:tc>
          <w:tcPr>
            <w:tcW w:w="1486" w:type="dxa"/>
            <w:vMerge/>
            <w:vAlign w:val="center"/>
          </w:tcPr>
          <w:p w14:paraId="5233D35D" w14:textId="77777777" w:rsidR="00713ED0" w:rsidRPr="00713ED0" w:rsidRDefault="00713ED0" w:rsidP="00FF45C2">
            <w:pPr>
              <w:pStyle w:val="TableTextEntries"/>
            </w:pPr>
          </w:p>
        </w:tc>
        <w:tc>
          <w:tcPr>
            <w:tcW w:w="813" w:type="dxa"/>
            <w:vMerge/>
            <w:vAlign w:val="center"/>
          </w:tcPr>
          <w:p w14:paraId="294065FC" w14:textId="77777777" w:rsidR="00713ED0" w:rsidRPr="00713ED0" w:rsidRDefault="00713ED0" w:rsidP="00FF45C2">
            <w:pPr>
              <w:pStyle w:val="TableTextEntries"/>
              <w:rPr>
                <w:sz w:val="14"/>
              </w:rPr>
            </w:pPr>
          </w:p>
        </w:tc>
        <w:tc>
          <w:tcPr>
            <w:tcW w:w="808" w:type="dxa"/>
            <w:vMerge/>
            <w:vAlign w:val="center"/>
          </w:tcPr>
          <w:p w14:paraId="26954E2A" w14:textId="77777777" w:rsidR="00713ED0" w:rsidRPr="00713ED0" w:rsidRDefault="00713ED0" w:rsidP="00FF45C2">
            <w:pPr>
              <w:pStyle w:val="TableTextEntries"/>
              <w:rPr>
                <w:sz w:val="14"/>
              </w:rPr>
            </w:pPr>
          </w:p>
        </w:tc>
        <w:tc>
          <w:tcPr>
            <w:tcW w:w="1152" w:type="dxa"/>
            <w:vMerge/>
            <w:vAlign w:val="center"/>
          </w:tcPr>
          <w:p w14:paraId="48E45E06" w14:textId="77777777" w:rsidR="00713ED0" w:rsidRPr="00713ED0" w:rsidRDefault="00713ED0" w:rsidP="00FF45C2">
            <w:pPr>
              <w:pStyle w:val="TableTextEntries"/>
              <w:rPr>
                <w:sz w:val="14"/>
                <w:szCs w:val="16"/>
              </w:rPr>
            </w:pPr>
          </w:p>
        </w:tc>
        <w:tc>
          <w:tcPr>
            <w:tcW w:w="440" w:type="dxa"/>
            <w:vAlign w:val="center"/>
          </w:tcPr>
          <w:p w14:paraId="7BF7F1EE" w14:textId="77777777" w:rsidR="00713ED0" w:rsidRPr="00713ED0" w:rsidRDefault="00713ED0" w:rsidP="00FF45C2">
            <w:pPr>
              <w:pStyle w:val="TableTextEntries"/>
            </w:pPr>
            <w:r w:rsidRPr="00713ED0">
              <w:t>2011</w:t>
            </w:r>
          </w:p>
        </w:tc>
        <w:tc>
          <w:tcPr>
            <w:tcW w:w="334" w:type="dxa"/>
            <w:shd w:val="clear" w:color="auto" w:fill="92D050"/>
            <w:noWrap/>
            <w:vAlign w:val="center"/>
          </w:tcPr>
          <w:p w14:paraId="72092AEC"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64C09C7D"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4C4051E2"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5A92293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3443DBDA"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2A560EDE"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428517DD" w14:textId="77777777" w:rsidR="00713ED0" w:rsidRPr="00FF45C2" w:rsidRDefault="00713ED0" w:rsidP="00FF45C2">
            <w:pPr>
              <w:pStyle w:val="TableTextEntries"/>
              <w:jc w:val="center"/>
            </w:pPr>
            <w:r w:rsidRPr="00FF45C2">
              <w:t>I</w:t>
            </w:r>
          </w:p>
        </w:tc>
      </w:tr>
      <w:tr w:rsidR="00713ED0" w:rsidRPr="00713ED0" w14:paraId="0F6A802D" w14:textId="77777777" w:rsidTr="00E0168D">
        <w:trPr>
          <w:tblHeader w:val="0"/>
        </w:trPr>
        <w:tc>
          <w:tcPr>
            <w:tcW w:w="823" w:type="dxa"/>
            <w:gridSpan w:val="2"/>
            <w:vMerge w:val="restart"/>
            <w:vAlign w:val="center"/>
          </w:tcPr>
          <w:p w14:paraId="755C09C8" w14:textId="77777777" w:rsidR="00713ED0" w:rsidRPr="00713ED0" w:rsidRDefault="00713ED0" w:rsidP="00FF45C2">
            <w:pPr>
              <w:pStyle w:val="TableTextEntries"/>
            </w:pPr>
            <w:r w:rsidRPr="00713ED0">
              <w:t>INJ274</w:t>
            </w:r>
          </w:p>
        </w:tc>
        <w:tc>
          <w:tcPr>
            <w:tcW w:w="1486" w:type="dxa"/>
            <w:vMerge w:val="restart"/>
            <w:vAlign w:val="center"/>
          </w:tcPr>
          <w:p w14:paraId="66F03C95" w14:textId="792B4DB5" w:rsidR="00713ED0" w:rsidRPr="00713ED0" w:rsidRDefault="00713ED0" w:rsidP="00FF45C2">
            <w:pPr>
              <w:pStyle w:val="TableTextEntries"/>
            </w:pPr>
            <w:r w:rsidRPr="00713ED0">
              <w:t>Counter</w:t>
            </w:r>
            <w:r w:rsidR="00501774">
              <w:t>–</w:t>
            </w:r>
            <w:r w:rsidRPr="00713ED0">
              <w:t>Terrorism Cooperation Fund</w:t>
            </w:r>
          </w:p>
        </w:tc>
        <w:tc>
          <w:tcPr>
            <w:tcW w:w="813" w:type="dxa"/>
            <w:vMerge w:val="restart"/>
            <w:vAlign w:val="center"/>
          </w:tcPr>
          <w:p w14:paraId="295114F2" w14:textId="77777777" w:rsidR="00713ED0" w:rsidRPr="00713ED0" w:rsidRDefault="00713ED0" w:rsidP="00FF45C2">
            <w:pPr>
              <w:pStyle w:val="TableTextEntries"/>
              <w:rPr>
                <w:sz w:val="14"/>
              </w:rPr>
            </w:pPr>
            <w:r w:rsidRPr="00713ED0">
              <w:rPr>
                <w:sz w:val="14"/>
              </w:rPr>
              <w:t>11/01/2010</w:t>
            </w:r>
          </w:p>
        </w:tc>
        <w:tc>
          <w:tcPr>
            <w:tcW w:w="808" w:type="dxa"/>
            <w:vMerge w:val="restart"/>
            <w:vAlign w:val="center"/>
          </w:tcPr>
          <w:p w14:paraId="269D4236" w14:textId="77777777" w:rsidR="00713ED0" w:rsidRPr="00713ED0" w:rsidRDefault="00713ED0" w:rsidP="00FF45C2">
            <w:pPr>
              <w:pStyle w:val="TableTextEntries"/>
              <w:rPr>
                <w:sz w:val="14"/>
              </w:rPr>
            </w:pPr>
            <w:r w:rsidRPr="00713ED0">
              <w:rPr>
                <w:sz w:val="14"/>
              </w:rPr>
              <w:t>30/06/2013</w:t>
            </w:r>
          </w:p>
        </w:tc>
        <w:tc>
          <w:tcPr>
            <w:tcW w:w="1152" w:type="dxa"/>
            <w:vMerge w:val="restart"/>
            <w:vAlign w:val="center"/>
          </w:tcPr>
          <w:p w14:paraId="7A01D13A" w14:textId="7B038E9D" w:rsidR="00713ED0" w:rsidRPr="00713ED0" w:rsidRDefault="00713ED0" w:rsidP="00FF45C2">
            <w:pPr>
              <w:pStyle w:val="TableTextEntries"/>
              <w:rPr>
                <w:sz w:val="14"/>
                <w:szCs w:val="16"/>
              </w:rPr>
            </w:pPr>
            <w:r w:rsidRPr="00713ED0">
              <w:rPr>
                <w:sz w:val="14"/>
                <w:szCs w:val="16"/>
              </w:rPr>
              <w:t>$7</w:t>
            </w:r>
            <w:r w:rsidR="00623D66">
              <w:rPr>
                <w:sz w:val="14"/>
                <w:szCs w:val="16"/>
              </w:rPr>
              <w:t xml:space="preserve"> </w:t>
            </w:r>
            <w:r w:rsidRPr="00713ED0">
              <w:rPr>
                <w:sz w:val="14"/>
                <w:szCs w:val="16"/>
              </w:rPr>
              <w:t>300</w:t>
            </w:r>
            <w:r w:rsidR="00623D66">
              <w:rPr>
                <w:sz w:val="14"/>
                <w:szCs w:val="16"/>
              </w:rPr>
              <w:t xml:space="preserve"> </w:t>
            </w:r>
            <w:r w:rsidRPr="00713ED0">
              <w:rPr>
                <w:sz w:val="14"/>
                <w:szCs w:val="16"/>
              </w:rPr>
              <w:t>000.00</w:t>
            </w:r>
          </w:p>
        </w:tc>
        <w:tc>
          <w:tcPr>
            <w:tcW w:w="440" w:type="dxa"/>
            <w:vAlign w:val="center"/>
          </w:tcPr>
          <w:p w14:paraId="32C4A671" w14:textId="77777777" w:rsidR="00713ED0" w:rsidRPr="00713ED0" w:rsidRDefault="00713ED0" w:rsidP="00FF45C2">
            <w:pPr>
              <w:pStyle w:val="TableTextEntries"/>
            </w:pPr>
            <w:r w:rsidRPr="00713ED0">
              <w:t>2012</w:t>
            </w:r>
          </w:p>
        </w:tc>
        <w:tc>
          <w:tcPr>
            <w:tcW w:w="334" w:type="dxa"/>
            <w:shd w:val="clear" w:color="auto" w:fill="FFFF00"/>
            <w:noWrap/>
            <w:vAlign w:val="center"/>
          </w:tcPr>
          <w:p w14:paraId="3D320701"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434395EB"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12DB2912" w14:textId="77777777" w:rsidR="00713ED0" w:rsidRPr="00FF45C2" w:rsidRDefault="00713ED0" w:rsidP="00FF45C2">
            <w:pPr>
              <w:pStyle w:val="TableTextEntries"/>
              <w:jc w:val="center"/>
            </w:pPr>
            <w:r w:rsidRPr="00FF45C2">
              <w:t>4</w:t>
            </w:r>
          </w:p>
        </w:tc>
        <w:tc>
          <w:tcPr>
            <w:tcW w:w="403" w:type="dxa"/>
            <w:shd w:val="clear" w:color="auto" w:fill="F79646" w:themeFill="accent6"/>
            <w:noWrap/>
            <w:vAlign w:val="center"/>
          </w:tcPr>
          <w:p w14:paraId="7CC36310" w14:textId="77777777" w:rsidR="00713ED0" w:rsidRPr="00FF45C2" w:rsidRDefault="00713ED0" w:rsidP="00FF45C2">
            <w:pPr>
              <w:pStyle w:val="TableTextEntries"/>
              <w:jc w:val="center"/>
            </w:pPr>
            <w:r w:rsidRPr="00FF45C2">
              <w:t>3</w:t>
            </w:r>
          </w:p>
        </w:tc>
        <w:tc>
          <w:tcPr>
            <w:tcW w:w="334" w:type="dxa"/>
            <w:shd w:val="clear" w:color="auto" w:fill="FFFF00"/>
            <w:noWrap/>
            <w:vAlign w:val="center"/>
          </w:tcPr>
          <w:p w14:paraId="6EBC609C" w14:textId="77777777" w:rsidR="00713ED0" w:rsidRPr="00FF45C2" w:rsidRDefault="00713ED0" w:rsidP="00FF45C2">
            <w:pPr>
              <w:pStyle w:val="TableTextEntries"/>
              <w:jc w:val="center"/>
            </w:pPr>
            <w:r w:rsidRPr="00FF45C2">
              <w:t>4</w:t>
            </w:r>
          </w:p>
        </w:tc>
        <w:tc>
          <w:tcPr>
            <w:tcW w:w="334" w:type="dxa"/>
            <w:shd w:val="clear" w:color="auto" w:fill="FF0000"/>
            <w:noWrap/>
            <w:vAlign w:val="center"/>
          </w:tcPr>
          <w:p w14:paraId="4BD32DFE" w14:textId="77777777" w:rsidR="00713ED0" w:rsidRPr="00FF45C2" w:rsidRDefault="00713ED0" w:rsidP="00FF45C2">
            <w:pPr>
              <w:pStyle w:val="TableTextEntries"/>
              <w:jc w:val="center"/>
            </w:pPr>
            <w:r w:rsidRPr="00FF45C2">
              <w:t>2</w:t>
            </w:r>
          </w:p>
        </w:tc>
        <w:tc>
          <w:tcPr>
            <w:tcW w:w="347" w:type="dxa"/>
            <w:shd w:val="clear" w:color="auto" w:fill="E36C0A" w:themeFill="accent6" w:themeFillShade="BF"/>
            <w:noWrap/>
            <w:vAlign w:val="center"/>
          </w:tcPr>
          <w:p w14:paraId="7F9843B5" w14:textId="77777777" w:rsidR="00713ED0" w:rsidRPr="00FF45C2" w:rsidRDefault="00713ED0" w:rsidP="00FF45C2">
            <w:pPr>
              <w:pStyle w:val="TableTextEntries"/>
              <w:jc w:val="center"/>
            </w:pPr>
            <w:r w:rsidRPr="00FF45C2">
              <w:t>I</w:t>
            </w:r>
          </w:p>
        </w:tc>
      </w:tr>
      <w:tr w:rsidR="00713ED0" w:rsidRPr="00713ED0" w14:paraId="4EE61F36"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03C3F6EC" w14:textId="77777777" w:rsidR="00713ED0" w:rsidRPr="00713ED0" w:rsidRDefault="00713ED0" w:rsidP="00FF45C2">
            <w:pPr>
              <w:pStyle w:val="TableTextEntries"/>
            </w:pPr>
          </w:p>
        </w:tc>
        <w:tc>
          <w:tcPr>
            <w:tcW w:w="1486" w:type="dxa"/>
            <w:vMerge/>
            <w:vAlign w:val="center"/>
          </w:tcPr>
          <w:p w14:paraId="0FE47489" w14:textId="77777777" w:rsidR="00713ED0" w:rsidRPr="00713ED0" w:rsidRDefault="00713ED0" w:rsidP="00FF45C2">
            <w:pPr>
              <w:pStyle w:val="TableTextEntries"/>
            </w:pPr>
          </w:p>
        </w:tc>
        <w:tc>
          <w:tcPr>
            <w:tcW w:w="813" w:type="dxa"/>
            <w:vMerge/>
            <w:vAlign w:val="center"/>
          </w:tcPr>
          <w:p w14:paraId="4A57531B" w14:textId="77777777" w:rsidR="00713ED0" w:rsidRPr="00713ED0" w:rsidRDefault="00713ED0" w:rsidP="00FF45C2">
            <w:pPr>
              <w:pStyle w:val="TableTextEntries"/>
              <w:rPr>
                <w:sz w:val="14"/>
              </w:rPr>
            </w:pPr>
          </w:p>
        </w:tc>
        <w:tc>
          <w:tcPr>
            <w:tcW w:w="808" w:type="dxa"/>
            <w:vMerge/>
            <w:vAlign w:val="center"/>
          </w:tcPr>
          <w:p w14:paraId="131C1A83" w14:textId="77777777" w:rsidR="00713ED0" w:rsidRPr="00713ED0" w:rsidRDefault="00713ED0" w:rsidP="00FF45C2">
            <w:pPr>
              <w:pStyle w:val="TableTextEntries"/>
              <w:rPr>
                <w:sz w:val="14"/>
              </w:rPr>
            </w:pPr>
          </w:p>
        </w:tc>
        <w:tc>
          <w:tcPr>
            <w:tcW w:w="1152" w:type="dxa"/>
            <w:vMerge/>
            <w:vAlign w:val="center"/>
          </w:tcPr>
          <w:p w14:paraId="3831D60D" w14:textId="77777777" w:rsidR="00713ED0" w:rsidRPr="00713ED0" w:rsidRDefault="00713ED0" w:rsidP="00FF45C2">
            <w:pPr>
              <w:pStyle w:val="TableTextEntries"/>
              <w:rPr>
                <w:sz w:val="14"/>
                <w:szCs w:val="16"/>
              </w:rPr>
            </w:pPr>
          </w:p>
        </w:tc>
        <w:tc>
          <w:tcPr>
            <w:tcW w:w="440" w:type="dxa"/>
            <w:vAlign w:val="center"/>
          </w:tcPr>
          <w:p w14:paraId="6AED8EFB" w14:textId="77777777" w:rsidR="00713ED0" w:rsidRPr="00713ED0" w:rsidRDefault="00713ED0" w:rsidP="00FF45C2">
            <w:pPr>
              <w:pStyle w:val="TableTextEntries"/>
            </w:pPr>
            <w:r w:rsidRPr="00713ED0">
              <w:t>2011</w:t>
            </w:r>
          </w:p>
        </w:tc>
        <w:tc>
          <w:tcPr>
            <w:tcW w:w="334" w:type="dxa"/>
            <w:shd w:val="clear" w:color="auto" w:fill="FFFF00"/>
            <w:noWrap/>
            <w:vAlign w:val="center"/>
          </w:tcPr>
          <w:p w14:paraId="3693205B"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454D0F8F"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385ACC3F" w14:textId="77777777" w:rsidR="00713ED0" w:rsidRPr="00FF45C2" w:rsidRDefault="00713ED0" w:rsidP="00FF45C2">
            <w:pPr>
              <w:pStyle w:val="TableTextEntries"/>
              <w:jc w:val="center"/>
            </w:pPr>
            <w:r w:rsidRPr="00FF45C2">
              <w:t>3</w:t>
            </w:r>
          </w:p>
        </w:tc>
        <w:tc>
          <w:tcPr>
            <w:tcW w:w="403" w:type="dxa"/>
            <w:shd w:val="clear" w:color="auto" w:fill="F79646" w:themeFill="accent6"/>
            <w:noWrap/>
            <w:vAlign w:val="center"/>
          </w:tcPr>
          <w:p w14:paraId="0E5A6AED" w14:textId="77777777" w:rsidR="00713ED0" w:rsidRPr="00FF45C2" w:rsidRDefault="00713ED0" w:rsidP="00FF45C2">
            <w:pPr>
              <w:pStyle w:val="TableTextEntries"/>
              <w:jc w:val="center"/>
            </w:pPr>
            <w:r w:rsidRPr="00FF45C2">
              <w:t>3</w:t>
            </w:r>
          </w:p>
        </w:tc>
        <w:tc>
          <w:tcPr>
            <w:tcW w:w="334" w:type="dxa"/>
            <w:shd w:val="clear" w:color="auto" w:fill="F79646" w:themeFill="accent6"/>
            <w:noWrap/>
            <w:vAlign w:val="center"/>
          </w:tcPr>
          <w:p w14:paraId="3DC4B800" w14:textId="77777777" w:rsidR="00713ED0" w:rsidRPr="00FF45C2" w:rsidRDefault="00713ED0" w:rsidP="00FF45C2">
            <w:pPr>
              <w:pStyle w:val="TableTextEntries"/>
              <w:jc w:val="center"/>
            </w:pPr>
            <w:r w:rsidRPr="00FF45C2">
              <w:t>3</w:t>
            </w:r>
          </w:p>
        </w:tc>
        <w:tc>
          <w:tcPr>
            <w:tcW w:w="334" w:type="dxa"/>
            <w:shd w:val="clear" w:color="auto" w:fill="FF0000"/>
            <w:noWrap/>
            <w:vAlign w:val="center"/>
          </w:tcPr>
          <w:p w14:paraId="3ED3B0CA" w14:textId="77777777" w:rsidR="00713ED0" w:rsidRPr="00FF45C2" w:rsidRDefault="00713ED0" w:rsidP="00FF45C2">
            <w:pPr>
              <w:pStyle w:val="TableTextEntries"/>
              <w:jc w:val="center"/>
            </w:pPr>
            <w:r w:rsidRPr="00FF45C2">
              <w:t>2</w:t>
            </w:r>
          </w:p>
        </w:tc>
        <w:tc>
          <w:tcPr>
            <w:tcW w:w="347" w:type="dxa"/>
            <w:shd w:val="clear" w:color="auto" w:fill="FF0000"/>
            <w:noWrap/>
            <w:vAlign w:val="center"/>
          </w:tcPr>
          <w:p w14:paraId="5A321896" w14:textId="77777777" w:rsidR="00713ED0" w:rsidRPr="00FF45C2" w:rsidRDefault="00713ED0" w:rsidP="00FF45C2">
            <w:pPr>
              <w:pStyle w:val="TableTextEntries"/>
              <w:jc w:val="center"/>
            </w:pPr>
            <w:r w:rsidRPr="00FF45C2">
              <w:t>B</w:t>
            </w:r>
          </w:p>
        </w:tc>
      </w:tr>
      <w:tr w:rsidR="00713ED0" w:rsidRPr="00713ED0" w14:paraId="6610626B" w14:textId="77777777" w:rsidTr="00E0168D">
        <w:trPr>
          <w:cantSplit/>
          <w:tblHeader w:val="0"/>
        </w:trPr>
        <w:tc>
          <w:tcPr>
            <w:tcW w:w="2337" w:type="dxa"/>
            <w:gridSpan w:val="3"/>
            <w:vAlign w:val="bottom"/>
          </w:tcPr>
          <w:p w14:paraId="6D4849F5" w14:textId="52832029" w:rsidR="00713ED0" w:rsidRPr="00713ED0" w:rsidRDefault="00713ED0" w:rsidP="00FF45C2">
            <w:pPr>
              <w:pStyle w:val="TableHeading2"/>
            </w:pPr>
            <w:r w:rsidRPr="00713ED0">
              <w:t xml:space="preserve">Rural livelihoods and </w:t>
            </w:r>
            <w:r w:rsidR="00501774">
              <w:t>a</w:t>
            </w:r>
            <w:r w:rsidR="00501774" w:rsidRPr="00713ED0">
              <w:t>gribusiness</w:t>
            </w:r>
          </w:p>
        </w:tc>
        <w:tc>
          <w:tcPr>
            <w:tcW w:w="813" w:type="dxa"/>
          </w:tcPr>
          <w:p w14:paraId="094A3910" w14:textId="77777777" w:rsidR="00713ED0" w:rsidRPr="00713ED0" w:rsidRDefault="00713ED0" w:rsidP="00FF45C2">
            <w:pPr>
              <w:pStyle w:val="TableTextEntries"/>
              <w:rPr>
                <w:sz w:val="14"/>
              </w:rPr>
            </w:pPr>
          </w:p>
        </w:tc>
        <w:tc>
          <w:tcPr>
            <w:tcW w:w="808" w:type="dxa"/>
            <w:vAlign w:val="center"/>
          </w:tcPr>
          <w:p w14:paraId="7F7BD46E" w14:textId="77777777" w:rsidR="00713ED0" w:rsidRPr="00713ED0" w:rsidRDefault="00713ED0" w:rsidP="00FF45C2">
            <w:pPr>
              <w:pStyle w:val="TableTextEntries"/>
              <w:rPr>
                <w:sz w:val="14"/>
              </w:rPr>
            </w:pPr>
          </w:p>
        </w:tc>
        <w:tc>
          <w:tcPr>
            <w:tcW w:w="1152" w:type="dxa"/>
            <w:vAlign w:val="bottom"/>
          </w:tcPr>
          <w:p w14:paraId="4C9173F3" w14:textId="77777777" w:rsidR="00713ED0" w:rsidRPr="00713ED0" w:rsidRDefault="00713ED0" w:rsidP="00FF45C2">
            <w:pPr>
              <w:pStyle w:val="TableTextEntries"/>
              <w:rPr>
                <w:sz w:val="14"/>
                <w:szCs w:val="16"/>
              </w:rPr>
            </w:pPr>
          </w:p>
        </w:tc>
        <w:tc>
          <w:tcPr>
            <w:tcW w:w="440" w:type="dxa"/>
            <w:textDirection w:val="btLr"/>
            <w:vAlign w:val="center"/>
          </w:tcPr>
          <w:p w14:paraId="031A1204" w14:textId="77777777" w:rsidR="00713ED0" w:rsidRPr="00713ED0" w:rsidRDefault="00713ED0" w:rsidP="00FF45C2">
            <w:pPr>
              <w:pStyle w:val="TableTextEntries"/>
            </w:pPr>
          </w:p>
        </w:tc>
        <w:tc>
          <w:tcPr>
            <w:tcW w:w="334" w:type="dxa"/>
            <w:textDirection w:val="btLr"/>
            <w:vAlign w:val="center"/>
          </w:tcPr>
          <w:p w14:paraId="1A31C3AD" w14:textId="77777777" w:rsidR="00713ED0" w:rsidRPr="00FF45C2" w:rsidRDefault="00713ED0" w:rsidP="00FF45C2">
            <w:pPr>
              <w:pStyle w:val="TableTextEntries"/>
              <w:jc w:val="center"/>
            </w:pPr>
          </w:p>
        </w:tc>
        <w:tc>
          <w:tcPr>
            <w:tcW w:w="334" w:type="dxa"/>
            <w:textDirection w:val="btLr"/>
            <w:vAlign w:val="center"/>
          </w:tcPr>
          <w:p w14:paraId="022C7B60" w14:textId="77777777" w:rsidR="00713ED0" w:rsidRPr="00FF45C2" w:rsidRDefault="00713ED0" w:rsidP="00FF45C2">
            <w:pPr>
              <w:pStyle w:val="TableTextEntries"/>
              <w:jc w:val="center"/>
            </w:pPr>
          </w:p>
        </w:tc>
        <w:tc>
          <w:tcPr>
            <w:tcW w:w="334" w:type="dxa"/>
            <w:textDirection w:val="btLr"/>
            <w:vAlign w:val="center"/>
          </w:tcPr>
          <w:p w14:paraId="7F85CCD7" w14:textId="77777777" w:rsidR="00713ED0" w:rsidRPr="00FF45C2" w:rsidRDefault="00713ED0" w:rsidP="00FF45C2">
            <w:pPr>
              <w:pStyle w:val="TableTextEntries"/>
              <w:jc w:val="center"/>
            </w:pPr>
          </w:p>
        </w:tc>
        <w:tc>
          <w:tcPr>
            <w:tcW w:w="403" w:type="dxa"/>
            <w:textDirection w:val="btLr"/>
            <w:vAlign w:val="center"/>
          </w:tcPr>
          <w:p w14:paraId="4B105270" w14:textId="77777777" w:rsidR="00713ED0" w:rsidRPr="00FF45C2" w:rsidRDefault="00713ED0" w:rsidP="00FF45C2">
            <w:pPr>
              <w:pStyle w:val="TableTextEntries"/>
              <w:jc w:val="center"/>
            </w:pPr>
          </w:p>
        </w:tc>
        <w:tc>
          <w:tcPr>
            <w:tcW w:w="334" w:type="dxa"/>
            <w:textDirection w:val="btLr"/>
            <w:vAlign w:val="center"/>
          </w:tcPr>
          <w:p w14:paraId="4C3766AF" w14:textId="77777777" w:rsidR="00713ED0" w:rsidRPr="00FF45C2" w:rsidRDefault="00713ED0" w:rsidP="00FF45C2">
            <w:pPr>
              <w:pStyle w:val="TableTextEntries"/>
              <w:jc w:val="center"/>
            </w:pPr>
          </w:p>
        </w:tc>
        <w:tc>
          <w:tcPr>
            <w:tcW w:w="334" w:type="dxa"/>
            <w:textDirection w:val="btLr"/>
            <w:vAlign w:val="center"/>
          </w:tcPr>
          <w:p w14:paraId="046B12CE" w14:textId="77777777" w:rsidR="00713ED0" w:rsidRPr="00FF45C2" w:rsidRDefault="00713ED0" w:rsidP="00FF45C2">
            <w:pPr>
              <w:pStyle w:val="TableTextEntries"/>
              <w:jc w:val="center"/>
            </w:pPr>
          </w:p>
        </w:tc>
        <w:tc>
          <w:tcPr>
            <w:tcW w:w="347" w:type="dxa"/>
            <w:textDirection w:val="btLr"/>
            <w:vAlign w:val="center"/>
          </w:tcPr>
          <w:p w14:paraId="1ABD2A67" w14:textId="77777777" w:rsidR="00713ED0" w:rsidRPr="00FF45C2" w:rsidRDefault="00713ED0" w:rsidP="00FF45C2">
            <w:pPr>
              <w:pStyle w:val="TableTextEntries"/>
              <w:jc w:val="center"/>
            </w:pPr>
          </w:p>
        </w:tc>
      </w:tr>
      <w:tr w:rsidR="00713ED0" w:rsidRPr="00713ED0" w14:paraId="17AC0047"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1D9C9B22" w14:textId="77777777" w:rsidR="00713ED0" w:rsidRPr="00713ED0" w:rsidRDefault="00713ED0" w:rsidP="00FF45C2">
            <w:pPr>
              <w:pStyle w:val="TableTextEntries"/>
            </w:pPr>
            <w:r w:rsidRPr="00713ED0">
              <w:t>ING363</w:t>
            </w:r>
          </w:p>
        </w:tc>
        <w:tc>
          <w:tcPr>
            <w:tcW w:w="1486" w:type="dxa"/>
            <w:vMerge w:val="restart"/>
            <w:vAlign w:val="center"/>
          </w:tcPr>
          <w:p w14:paraId="1BF82F49" w14:textId="399F6C3F" w:rsidR="00713ED0" w:rsidRPr="00713ED0" w:rsidRDefault="00501774" w:rsidP="00FF45C2">
            <w:pPr>
              <w:pStyle w:val="TableTextEntries"/>
            </w:pPr>
            <w:r w:rsidRPr="00501774">
              <w:t>Australia–Indonesia Partnership for Reconstruction and Development</w:t>
            </w:r>
            <w:r w:rsidR="00713ED0" w:rsidRPr="00713ED0">
              <w:t xml:space="preserve">: Aceh </w:t>
            </w:r>
            <w:r>
              <w:t>Private Enterprise Partnership</w:t>
            </w:r>
            <w:r w:rsidRPr="00713ED0">
              <w:t xml:space="preserve"> </w:t>
            </w:r>
            <w:r w:rsidR="00713ED0" w:rsidRPr="00713ED0">
              <w:t>(Aceh/</w:t>
            </w:r>
            <w:proofErr w:type="spellStart"/>
            <w:r w:rsidR="00713ED0" w:rsidRPr="00713ED0">
              <w:t>Nias</w:t>
            </w:r>
            <w:proofErr w:type="spellEnd"/>
            <w:r w:rsidR="00713ED0" w:rsidRPr="00713ED0">
              <w:t>)</w:t>
            </w:r>
          </w:p>
        </w:tc>
        <w:tc>
          <w:tcPr>
            <w:tcW w:w="813" w:type="dxa"/>
            <w:vMerge w:val="restart"/>
            <w:vAlign w:val="center"/>
          </w:tcPr>
          <w:p w14:paraId="1B3AC562" w14:textId="77777777" w:rsidR="00713ED0" w:rsidRPr="00713ED0" w:rsidRDefault="00713ED0" w:rsidP="00FF45C2">
            <w:pPr>
              <w:pStyle w:val="TableTextEntries"/>
              <w:rPr>
                <w:sz w:val="14"/>
              </w:rPr>
            </w:pPr>
            <w:r w:rsidRPr="00713ED0">
              <w:rPr>
                <w:sz w:val="14"/>
              </w:rPr>
              <w:t>01/01/2006</w:t>
            </w:r>
          </w:p>
        </w:tc>
        <w:tc>
          <w:tcPr>
            <w:tcW w:w="808" w:type="dxa"/>
            <w:vMerge w:val="restart"/>
            <w:vAlign w:val="center"/>
          </w:tcPr>
          <w:p w14:paraId="38B30D7B" w14:textId="77777777" w:rsidR="00713ED0" w:rsidRPr="00713ED0" w:rsidRDefault="00713ED0" w:rsidP="00FF45C2">
            <w:pPr>
              <w:pStyle w:val="TableTextEntries"/>
              <w:rPr>
                <w:sz w:val="14"/>
              </w:rPr>
            </w:pPr>
            <w:r w:rsidRPr="00713ED0">
              <w:rPr>
                <w:sz w:val="14"/>
              </w:rPr>
              <w:t>30/06/2013</w:t>
            </w:r>
          </w:p>
        </w:tc>
        <w:tc>
          <w:tcPr>
            <w:tcW w:w="1152" w:type="dxa"/>
            <w:vMerge w:val="restart"/>
            <w:vAlign w:val="center"/>
          </w:tcPr>
          <w:p w14:paraId="4818E919" w14:textId="455C284C" w:rsidR="00713ED0" w:rsidRPr="00713ED0" w:rsidRDefault="00713ED0" w:rsidP="00FF45C2">
            <w:pPr>
              <w:pStyle w:val="TableTextEntries"/>
              <w:rPr>
                <w:sz w:val="14"/>
                <w:szCs w:val="16"/>
              </w:rPr>
            </w:pPr>
            <w:r w:rsidRPr="00713ED0">
              <w:rPr>
                <w:sz w:val="14"/>
                <w:szCs w:val="16"/>
              </w:rPr>
              <w:t>$6</w:t>
            </w:r>
            <w:r w:rsidR="00623D66">
              <w:rPr>
                <w:sz w:val="14"/>
                <w:szCs w:val="16"/>
              </w:rPr>
              <w:t xml:space="preserve"> </w:t>
            </w:r>
            <w:r w:rsidRPr="00713ED0">
              <w:rPr>
                <w:sz w:val="14"/>
                <w:szCs w:val="16"/>
              </w:rPr>
              <w:t>506</w:t>
            </w:r>
            <w:r w:rsidR="00623D66">
              <w:rPr>
                <w:sz w:val="14"/>
                <w:szCs w:val="16"/>
              </w:rPr>
              <w:t xml:space="preserve"> </w:t>
            </w:r>
            <w:r w:rsidRPr="00713ED0">
              <w:rPr>
                <w:sz w:val="14"/>
                <w:szCs w:val="16"/>
              </w:rPr>
              <w:t>532.19</w:t>
            </w:r>
          </w:p>
        </w:tc>
        <w:tc>
          <w:tcPr>
            <w:tcW w:w="440" w:type="dxa"/>
            <w:vAlign w:val="center"/>
          </w:tcPr>
          <w:p w14:paraId="7EB32D82" w14:textId="77777777" w:rsidR="00713ED0" w:rsidRPr="00713ED0" w:rsidRDefault="00713ED0" w:rsidP="00FF45C2">
            <w:pPr>
              <w:pStyle w:val="TableTextEntries"/>
            </w:pPr>
            <w:r w:rsidRPr="00713ED0">
              <w:t>2012</w:t>
            </w:r>
          </w:p>
        </w:tc>
        <w:tc>
          <w:tcPr>
            <w:tcW w:w="334" w:type="dxa"/>
            <w:shd w:val="clear" w:color="auto" w:fill="92D050"/>
            <w:noWrap/>
            <w:vAlign w:val="center"/>
          </w:tcPr>
          <w:p w14:paraId="3AE5D4BB"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1E1ED131"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1F4C14AD" w14:textId="77777777" w:rsidR="00713ED0" w:rsidRPr="00FF45C2" w:rsidRDefault="00713ED0" w:rsidP="00FF45C2">
            <w:pPr>
              <w:pStyle w:val="TableTextEntries"/>
              <w:jc w:val="center"/>
            </w:pPr>
            <w:r w:rsidRPr="00FF45C2">
              <w:t>3</w:t>
            </w:r>
          </w:p>
        </w:tc>
        <w:tc>
          <w:tcPr>
            <w:tcW w:w="403" w:type="dxa"/>
            <w:shd w:val="clear" w:color="auto" w:fill="FFFF00"/>
            <w:noWrap/>
            <w:vAlign w:val="center"/>
          </w:tcPr>
          <w:p w14:paraId="44C1FC73"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0FEAC2E"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252049D6" w14:textId="77777777" w:rsidR="00713ED0" w:rsidRPr="00FF45C2" w:rsidRDefault="00713ED0" w:rsidP="00FF45C2">
            <w:pPr>
              <w:pStyle w:val="TableTextEntries"/>
              <w:jc w:val="center"/>
            </w:pPr>
            <w:r w:rsidRPr="00FF45C2">
              <w:t>3</w:t>
            </w:r>
          </w:p>
        </w:tc>
        <w:tc>
          <w:tcPr>
            <w:tcW w:w="347" w:type="dxa"/>
            <w:shd w:val="clear" w:color="auto" w:fill="E36C0A" w:themeFill="accent6" w:themeFillShade="BF"/>
            <w:noWrap/>
            <w:vAlign w:val="center"/>
          </w:tcPr>
          <w:p w14:paraId="62BD6A83" w14:textId="77777777" w:rsidR="00713ED0" w:rsidRPr="00FF45C2" w:rsidRDefault="00713ED0" w:rsidP="00FF45C2">
            <w:pPr>
              <w:pStyle w:val="TableTextEntries"/>
              <w:jc w:val="center"/>
            </w:pPr>
            <w:r w:rsidRPr="00FF45C2">
              <w:t>I</w:t>
            </w:r>
          </w:p>
        </w:tc>
      </w:tr>
      <w:tr w:rsidR="00713ED0" w:rsidRPr="00713ED0" w14:paraId="3F8B7041" w14:textId="77777777" w:rsidTr="00E0168D">
        <w:trPr>
          <w:tblHeader w:val="0"/>
        </w:trPr>
        <w:tc>
          <w:tcPr>
            <w:tcW w:w="823" w:type="dxa"/>
            <w:gridSpan w:val="2"/>
            <w:vMerge/>
            <w:vAlign w:val="center"/>
          </w:tcPr>
          <w:p w14:paraId="3C9371B8" w14:textId="77777777" w:rsidR="00713ED0" w:rsidRPr="00713ED0" w:rsidRDefault="00713ED0" w:rsidP="00FF45C2">
            <w:pPr>
              <w:pStyle w:val="TableTextEntries"/>
            </w:pPr>
          </w:p>
        </w:tc>
        <w:tc>
          <w:tcPr>
            <w:tcW w:w="1486" w:type="dxa"/>
            <w:vMerge/>
            <w:vAlign w:val="center"/>
          </w:tcPr>
          <w:p w14:paraId="7F7E7615" w14:textId="77777777" w:rsidR="00713ED0" w:rsidRPr="00713ED0" w:rsidRDefault="00713ED0" w:rsidP="00FF45C2">
            <w:pPr>
              <w:pStyle w:val="TableTextEntries"/>
            </w:pPr>
          </w:p>
        </w:tc>
        <w:tc>
          <w:tcPr>
            <w:tcW w:w="813" w:type="dxa"/>
            <w:vMerge/>
            <w:vAlign w:val="center"/>
          </w:tcPr>
          <w:p w14:paraId="31850674" w14:textId="77777777" w:rsidR="00713ED0" w:rsidRPr="00713ED0" w:rsidRDefault="00713ED0" w:rsidP="00FF45C2">
            <w:pPr>
              <w:pStyle w:val="TableTextEntries"/>
              <w:rPr>
                <w:sz w:val="14"/>
              </w:rPr>
            </w:pPr>
          </w:p>
        </w:tc>
        <w:tc>
          <w:tcPr>
            <w:tcW w:w="808" w:type="dxa"/>
            <w:vMerge/>
            <w:vAlign w:val="center"/>
          </w:tcPr>
          <w:p w14:paraId="57556FAC" w14:textId="77777777" w:rsidR="00713ED0" w:rsidRPr="00713ED0" w:rsidRDefault="00713ED0" w:rsidP="00FF45C2">
            <w:pPr>
              <w:pStyle w:val="TableTextEntries"/>
              <w:rPr>
                <w:sz w:val="14"/>
              </w:rPr>
            </w:pPr>
          </w:p>
        </w:tc>
        <w:tc>
          <w:tcPr>
            <w:tcW w:w="1152" w:type="dxa"/>
            <w:vMerge/>
            <w:vAlign w:val="center"/>
          </w:tcPr>
          <w:p w14:paraId="03AA0A08" w14:textId="77777777" w:rsidR="00713ED0" w:rsidRPr="00713ED0" w:rsidRDefault="00713ED0" w:rsidP="00FF45C2">
            <w:pPr>
              <w:pStyle w:val="TableTextEntries"/>
              <w:rPr>
                <w:sz w:val="14"/>
                <w:szCs w:val="16"/>
              </w:rPr>
            </w:pPr>
          </w:p>
        </w:tc>
        <w:tc>
          <w:tcPr>
            <w:tcW w:w="440" w:type="dxa"/>
            <w:vAlign w:val="center"/>
          </w:tcPr>
          <w:p w14:paraId="2D4F81A4" w14:textId="77777777" w:rsidR="00713ED0" w:rsidRPr="00713ED0" w:rsidRDefault="00713ED0" w:rsidP="00FF45C2">
            <w:pPr>
              <w:pStyle w:val="TableTextEntries"/>
            </w:pPr>
            <w:r w:rsidRPr="00713ED0">
              <w:t>2011</w:t>
            </w:r>
          </w:p>
        </w:tc>
        <w:tc>
          <w:tcPr>
            <w:tcW w:w="334" w:type="dxa"/>
            <w:shd w:val="clear" w:color="auto" w:fill="92D050"/>
            <w:noWrap/>
            <w:vAlign w:val="center"/>
          </w:tcPr>
          <w:p w14:paraId="5E2D34E9"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0753C1AA"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33394344" w14:textId="77777777" w:rsidR="00713ED0" w:rsidRPr="00FF45C2" w:rsidRDefault="00713ED0" w:rsidP="00FF45C2">
            <w:pPr>
              <w:pStyle w:val="TableTextEntries"/>
              <w:jc w:val="center"/>
            </w:pPr>
            <w:r w:rsidRPr="00FF45C2">
              <w:t>4</w:t>
            </w:r>
          </w:p>
        </w:tc>
        <w:tc>
          <w:tcPr>
            <w:tcW w:w="403" w:type="dxa"/>
            <w:shd w:val="clear" w:color="auto" w:fill="FFFF00"/>
            <w:noWrap/>
            <w:vAlign w:val="center"/>
          </w:tcPr>
          <w:p w14:paraId="36D65D7F"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58CDAA2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65056BEA" w14:textId="77777777" w:rsidR="00713ED0" w:rsidRPr="00FF45C2" w:rsidRDefault="00713ED0" w:rsidP="00FF45C2">
            <w:pPr>
              <w:pStyle w:val="TableTextEntries"/>
              <w:jc w:val="center"/>
            </w:pPr>
            <w:r w:rsidRPr="00FF45C2">
              <w:t>4</w:t>
            </w:r>
          </w:p>
        </w:tc>
        <w:tc>
          <w:tcPr>
            <w:tcW w:w="347" w:type="dxa"/>
            <w:tcBorders>
              <w:top w:val="nil"/>
              <w:bottom w:val="nil"/>
            </w:tcBorders>
            <w:shd w:val="clear" w:color="auto" w:fill="92D050"/>
            <w:noWrap/>
            <w:vAlign w:val="center"/>
          </w:tcPr>
          <w:p w14:paraId="1C09D05E" w14:textId="77777777" w:rsidR="00713ED0" w:rsidRPr="00FF45C2" w:rsidRDefault="00713ED0" w:rsidP="00FF45C2">
            <w:pPr>
              <w:pStyle w:val="TableTextEntries"/>
              <w:jc w:val="center"/>
            </w:pPr>
            <w:r w:rsidRPr="00FF45C2">
              <w:t>M</w:t>
            </w:r>
          </w:p>
        </w:tc>
      </w:tr>
      <w:tr w:rsidR="00713ED0" w:rsidRPr="00713ED0" w14:paraId="665524F4"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635E39BD" w14:textId="77777777" w:rsidR="00713ED0" w:rsidRPr="00713ED0" w:rsidRDefault="00713ED0" w:rsidP="00FF45C2">
            <w:pPr>
              <w:pStyle w:val="TableTextEntries"/>
            </w:pPr>
            <w:r w:rsidRPr="00713ED0">
              <w:t>INJ498</w:t>
            </w:r>
          </w:p>
        </w:tc>
        <w:tc>
          <w:tcPr>
            <w:tcW w:w="1486" w:type="dxa"/>
            <w:vMerge w:val="restart"/>
            <w:vAlign w:val="center"/>
          </w:tcPr>
          <w:p w14:paraId="30D9F67B" w14:textId="7B82B290" w:rsidR="00713ED0" w:rsidRPr="00713ED0" w:rsidRDefault="00501774" w:rsidP="00FF45C2">
            <w:pPr>
              <w:pStyle w:val="TableTextEntries"/>
            </w:pPr>
            <w:r>
              <w:t>Australia–Indonesia</w:t>
            </w:r>
            <w:r w:rsidRPr="00713ED0">
              <w:t xml:space="preserve"> </w:t>
            </w:r>
            <w:r w:rsidR="00713ED0" w:rsidRPr="00713ED0">
              <w:t>Rural Economic Development Program</w:t>
            </w:r>
          </w:p>
        </w:tc>
        <w:tc>
          <w:tcPr>
            <w:tcW w:w="813" w:type="dxa"/>
            <w:vMerge w:val="restart"/>
            <w:vAlign w:val="center"/>
          </w:tcPr>
          <w:p w14:paraId="34D198F6" w14:textId="77777777" w:rsidR="00713ED0" w:rsidRPr="00713ED0" w:rsidRDefault="00713ED0" w:rsidP="00FF45C2">
            <w:pPr>
              <w:pStyle w:val="TableTextEntries"/>
              <w:rPr>
                <w:sz w:val="14"/>
              </w:rPr>
            </w:pPr>
            <w:r w:rsidRPr="00713ED0">
              <w:rPr>
                <w:sz w:val="14"/>
              </w:rPr>
              <w:t>26/07/2010</w:t>
            </w:r>
          </w:p>
        </w:tc>
        <w:tc>
          <w:tcPr>
            <w:tcW w:w="808" w:type="dxa"/>
            <w:vMerge w:val="restart"/>
            <w:vAlign w:val="center"/>
          </w:tcPr>
          <w:p w14:paraId="67E5EBC2" w14:textId="77777777" w:rsidR="00713ED0" w:rsidRPr="00713ED0" w:rsidRDefault="00713ED0" w:rsidP="00FF45C2">
            <w:pPr>
              <w:pStyle w:val="TableTextEntries"/>
              <w:rPr>
                <w:sz w:val="14"/>
              </w:rPr>
            </w:pPr>
            <w:r w:rsidRPr="00713ED0">
              <w:rPr>
                <w:sz w:val="14"/>
              </w:rPr>
              <w:t>30/06/2017</w:t>
            </w:r>
          </w:p>
        </w:tc>
        <w:tc>
          <w:tcPr>
            <w:tcW w:w="1152" w:type="dxa"/>
            <w:vMerge w:val="restart"/>
            <w:vAlign w:val="center"/>
          </w:tcPr>
          <w:p w14:paraId="7A925BDF" w14:textId="5DC43EDE" w:rsidR="00713ED0" w:rsidRPr="00713ED0" w:rsidRDefault="00713ED0" w:rsidP="00FF45C2">
            <w:pPr>
              <w:pStyle w:val="TableTextEntries"/>
              <w:rPr>
                <w:sz w:val="14"/>
                <w:szCs w:val="16"/>
              </w:rPr>
            </w:pPr>
            <w:r w:rsidRPr="00713ED0">
              <w:rPr>
                <w:sz w:val="14"/>
                <w:szCs w:val="16"/>
              </w:rPr>
              <w:t>$112</w:t>
            </w:r>
            <w:r w:rsidR="00CD0348">
              <w:rPr>
                <w:sz w:val="14"/>
                <w:szCs w:val="16"/>
              </w:rPr>
              <w:t xml:space="preserve"> </w:t>
            </w:r>
            <w:r w:rsidRPr="00713ED0">
              <w:rPr>
                <w:sz w:val="14"/>
                <w:szCs w:val="16"/>
              </w:rPr>
              <w:t>000</w:t>
            </w:r>
            <w:r w:rsidR="00CD0348">
              <w:rPr>
                <w:sz w:val="14"/>
                <w:szCs w:val="16"/>
              </w:rPr>
              <w:t xml:space="preserve"> </w:t>
            </w:r>
            <w:r w:rsidRPr="00713ED0">
              <w:rPr>
                <w:sz w:val="14"/>
                <w:szCs w:val="16"/>
              </w:rPr>
              <w:t>000.00</w:t>
            </w:r>
          </w:p>
        </w:tc>
        <w:tc>
          <w:tcPr>
            <w:tcW w:w="440" w:type="dxa"/>
            <w:vAlign w:val="center"/>
          </w:tcPr>
          <w:p w14:paraId="5BDB7784" w14:textId="77777777" w:rsidR="00713ED0" w:rsidRPr="00713ED0" w:rsidRDefault="00713ED0" w:rsidP="00FF45C2">
            <w:pPr>
              <w:pStyle w:val="TableTextEntries"/>
            </w:pPr>
            <w:r w:rsidRPr="00713ED0">
              <w:t>2012</w:t>
            </w:r>
          </w:p>
        </w:tc>
        <w:tc>
          <w:tcPr>
            <w:tcW w:w="334" w:type="dxa"/>
            <w:shd w:val="clear" w:color="auto" w:fill="92D050"/>
            <w:noWrap/>
            <w:vAlign w:val="center"/>
          </w:tcPr>
          <w:p w14:paraId="0D84E663"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3E8718DD" w14:textId="77777777" w:rsidR="00713ED0" w:rsidRPr="00FF45C2" w:rsidRDefault="00713ED0" w:rsidP="00FF45C2">
            <w:pPr>
              <w:pStyle w:val="TableTextEntries"/>
              <w:jc w:val="center"/>
            </w:pPr>
            <w:r w:rsidRPr="00FF45C2">
              <w:t>4</w:t>
            </w:r>
          </w:p>
        </w:tc>
        <w:tc>
          <w:tcPr>
            <w:tcW w:w="334" w:type="dxa"/>
            <w:shd w:val="clear" w:color="auto" w:fill="F79646" w:themeFill="accent6"/>
            <w:noWrap/>
            <w:vAlign w:val="center"/>
          </w:tcPr>
          <w:p w14:paraId="5FD1B944" w14:textId="77777777" w:rsidR="00713ED0" w:rsidRPr="00FF45C2" w:rsidRDefault="00713ED0" w:rsidP="00FF45C2">
            <w:pPr>
              <w:pStyle w:val="TableTextEntries"/>
              <w:jc w:val="center"/>
            </w:pPr>
            <w:r w:rsidRPr="00FF45C2">
              <w:t>3</w:t>
            </w:r>
          </w:p>
        </w:tc>
        <w:tc>
          <w:tcPr>
            <w:tcW w:w="403" w:type="dxa"/>
            <w:shd w:val="clear" w:color="auto" w:fill="FFFF00"/>
            <w:noWrap/>
            <w:vAlign w:val="center"/>
          </w:tcPr>
          <w:p w14:paraId="0BBD3D86"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75EDECA8"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439CE4F6" w14:textId="77777777" w:rsidR="00713ED0" w:rsidRPr="00FF45C2" w:rsidRDefault="00713ED0" w:rsidP="00FF45C2">
            <w:pPr>
              <w:pStyle w:val="TableTextEntries"/>
              <w:jc w:val="center"/>
            </w:pPr>
            <w:r w:rsidRPr="00FF45C2">
              <w:t>4</w:t>
            </w:r>
          </w:p>
        </w:tc>
        <w:tc>
          <w:tcPr>
            <w:tcW w:w="347" w:type="dxa"/>
            <w:shd w:val="clear" w:color="auto" w:fill="E36C0A" w:themeFill="accent6" w:themeFillShade="BF"/>
            <w:noWrap/>
            <w:vAlign w:val="center"/>
          </w:tcPr>
          <w:p w14:paraId="75089BFD" w14:textId="77777777" w:rsidR="00713ED0" w:rsidRPr="00FF45C2" w:rsidRDefault="00713ED0" w:rsidP="00FF45C2">
            <w:pPr>
              <w:pStyle w:val="TableTextEntries"/>
              <w:jc w:val="center"/>
            </w:pPr>
            <w:r w:rsidRPr="00FF45C2">
              <w:t>I</w:t>
            </w:r>
          </w:p>
        </w:tc>
      </w:tr>
      <w:tr w:rsidR="00713ED0" w:rsidRPr="00713ED0" w14:paraId="6B5765A0" w14:textId="77777777" w:rsidTr="00E0168D">
        <w:trPr>
          <w:tblHeader w:val="0"/>
        </w:trPr>
        <w:tc>
          <w:tcPr>
            <w:tcW w:w="823" w:type="dxa"/>
            <w:gridSpan w:val="2"/>
            <w:vMerge/>
            <w:vAlign w:val="center"/>
          </w:tcPr>
          <w:p w14:paraId="6B77A225" w14:textId="77777777" w:rsidR="00713ED0" w:rsidRPr="00713ED0" w:rsidRDefault="00713ED0" w:rsidP="00FF45C2">
            <w:pPr>
              <w:pStyle w:val="TableTextEntries"/>
            </w:pPr>
          </w:p>
        </w:tc>
        <w:tc>
          <w:tcPr>
            <w:tcW w:w="1486" w:type="dxa"/>
            <w:vMerge/>
            <w:vAlign w:val="center"/>
          </w:tcPr>
          <w:p w14:paraId="679448CB" w14:textId="77777777" w:rsidR="00713ED0" w:rsidRPr="00713ED0" w:rsidRDefault="00713ED0" w:rsidP="00FF45C2">
            <w:pPr>
              <w:pStyle w:val="TableTextEntries"/>
            </w:pPr>
          </w:p>
        </w:tc>
        <w:tc>
          <w:tcPr>
            <w:tcW w:w="813" w:type="dxa"/>
            <w:vMerge/>
            <w:vAlign w:val="center"/>
          </w:tcPr>
          <w:p w14:paraId="3EB98E8E" w14:textId="77777777" w:rsidR="00713ED0" w:rsidRPr="00713ED0" w:rsidRDefault="00713ED0" w:rsidP="00FF45C2">
            <w:pPr>
              <w:pStyle w:val="TableTextEntries"/>
              <w:rPr>
                <w:sz w:val="14"/>
              </w:rPr>
            </w:pPr>
          </w:p>
        </w:tc>
        <w:tc>
          <w:tcPr>
            <w:tcW w:w="808" w:type="dxa"/>
            <w:vMerge/>
            <w:vAlign w:val="center"/>
          </w:tcPr>
          <w:p w14:paraId="6F9EAC42" w14:textId="77777777" w:rsidR="00713ED0" w:rsidRPr="00713ED0" w:rsidRDefault="00713ED0" w:rsidP="00FF45C2">
            <w:pPr>
              <w:pStyle w:val="TableTextEntries"/>
              <w:rPr>
                <w:sz w:val="14"/>
              </w:rPr>
            </w:pPr>
          </w:p>
        </w:tc>
        <w:tc>
          <w:tcPr>
            <w:tcW w:w="1152" w:type="dxa"/>
            <w:vMerge/>
            <w:vAlign w:val="center"/>
          </w:tcPr>
          <w:p w14:paraId="3543558A" w14:textId="77777777" w:rsidR="00713ED0" w:rsidRPr="00713ED0" w:rsidRDefault="00713ED0" w:rsidP="00FF45C2">
            <w:pPr>
              <w:pStyle w:val="TableTextEntries"/>
              <w:rPr>
                <w:sz w:val="14"/>
                <w:szCs w:val="16"/>
              </w:rPr>
            </w:pPr>
          </w:p>
        </w:tc>
        <w:tc>
          <w:tcPr>
            <w:tcW w:w="440" w:type="dxa"/>
            <w:vAlign w:val="center"/>
          </w:tcPr>
          <w:p w14:paraId="733568D2" w14:textId="77777777" w:rsidR="00713ED0" w:rsidRPr="00713ED0" w:rsidRDefault="00713ED0" w:rsidP="00FF45C2">
            <w:pPr>
              <w:pStyle w:val="TableTextEntries"/>
            </w:pPr>
            <w:r w:rsidRPr="00713ED0">
              <w:t>2011</w:t>
            </w:r>
          </w:p>
        </w:tc>
        <w:tc>
          <w:tcPr>
            <w:tcW w:w="334" w:type="dxa"/>
            <w:shd w:val="clear" w:color="auto" w:fill="92D050"/>
            <w:noWrap/>
            <w:vAlign w:val="center"/>
          </w:tcPr>
          <w:p w14:paraId="63032A63"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B7DF99A"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ADD300E"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12898240" w14:textId="77777777" w:rsidR="00713ED0" w:rsidRPr="00FF45C2" w:rsidRDefault="00713ED0" w:rsidP="00FF45C2">
            <w:pPr>
              <w:pStyle w:val="TableTextEntries"/>
              <w:jc w:val="center"/>
            </w:pPr>
            <w:r w:rsidRPr="00FF45C2">
              <w:t>5</w:t>
            </w:r>
          </w:p>
        </w:tc>
        <w:tc>
          <w:tcPr>
            <w:tcW w:w="334" w:type="dxa"/>
            <w:shd w:val="clear" w:color="auto" w:fill="FFFF00"/>
            <w:noWrap/>
            <w:vAlign w:val="center"/>
          </w:tcPr>
          <w:p w14:paraId="405679C9"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508AF81F"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vAlign w:val="center"/>
          </w:tcPr>
          <w:p w14:paraId="7E5DB0DF" w14:textId="77777777" w:rsidR="00713ED0" w:rsidRPr="00FF45C2" w:rsidRDefault="00713ED0" w:rsidP="00FF45C2">
            <w:pPr>
              <w:pStyle w:val="TableTextEntries"/>
              <w:jc w:val="center"/>
            </w:pPr>
            <w:r w:rsidRPr="00FF45C2">
              <w:t>I</w:t>
            </w:r>
          </w:p>
        </w:tc>
      </w:tr>
      <w:tr w:rsidR="00713ED0" w:rsidRPr="00713ED0" w14:paraId="2D28575F"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restart"/>
            <w:vAlign w:val="center"/>
          </w:tcPr>
          <w:p w14:paraId="12E2ACD4" w14:textId="77777777" w:rsidR="00713ED0" w:rsidRPr="00713ED0" w:rsidRDefault="00713ED0" w:rsidP="00FF45C2">
            <w:pPr>
              <w:pStyle w:val="TableTextEntries"/>
            </w:pPr>
            <w:r w:rsidRPr="00713ED0">
              <w:t>INJ764</w:t>
            </w:r>
          </w:p>
        </w:tc>
        <w:tc>
          <w:tcPr>
            <w:tcW w:w="1486" w:type="dxa"/>
            <w:vMerge w:val="restart"/>
            <w:vAlign w:val="center"/>
          </w:tcPr>
          <w:p w14:paraId="1D0D04AE" w14:textId="19A19962" w:rsidR="00713ED0" w:rsidRPr="00713ED0" w:rsidRDefault="00501774" w:rsidP="00FF45C2">
            <w:pPr>
              <w:pStyle w:val="TableTextEntries"/>
            </w:pPr>
            <w:r w:rsidRPr="00501774">
              <w:t xml:space="preserve">Nusa Tenggara </w:t>
            </w:r>
            <w:proofErr w:type="spellStart"/>
            <w:r w:rsidRPr="00501774">
              <w:lastRenderedPageBreak/>
              <w:t>Timur</w:t>
            </w:r>
            <w:proofErr w:type="spellEnd"/>
            <w:r w:rsidRPr="00501774" w:rsidDel="00501774">
              <w:t xml:space="preserve"> </w:t>
            </w:r>
            <w:r w:rsidR="00713ED0" w:rsidRPr="00713ED0">
              <w:t>Agroforestry Community Development Program</w:t>
            </w:r>
          </w:p>
        </w:tc>
        <w:tc>
          <w:tcPr>
            <w:tcW w:w="813" w:type="dxa"/>
            <w:vMerge w:val="restart"/>
            <w:vAlign w:val="center"/>
          </w:tcPr>
          <w:p w14:paraId="17793B84" w14:textId="77777777" w:rsidR="00713ED0" w:rsidRPr="00713ED0" w:rsidRDefault="00713ED0" w:rsidP="00FF45C2">
            <w:pPr>
              <w:pStyle w:val="TableTextEntries"/>
              <w:rPr>
                <w:sz w:val="14"/>
              </w:rPr>
            </w:pPr>
            <w:r w:rsidRPr="00713ED0">
              <w:rPr>
                <w:sz w:val="14"/>
              </w:rPr>
              <w:lastRenderedPageBreak/>
              <w:t>01/01/2011</w:t>
            </w:r>
          </w:p>
        </w:tc>
        <w:tc>
          <w:tcPr>
            <w:tcW w:w="808" w:type="dxa"/>
            <w:vMerge w:val="restart"/>
            <w:vAlign w:val="center"/>
          </w:tcPr>
          <w:p w14:paraId="20ECE230" w14:textId="77777777" w:rsidR="00713ED0" w:rsidRPr="00713ED0" w:rsidRDefault="00713ED0" w:rsidP="00FF45C2">
            <w:pPr>
              <w:pStyle w:val="TableTextEntries"/>
              <w:rPr>
                <w:sz w:val="14"/>
              </w:rPr>
            </w:pPr>
            <w:r w:rsidRPr="00713ED0">
              <w:rPr>
                <w:sz w:val="14"/>
              </w:rPr>
              <w:t>30/06/2015</w:t>
            </w:r>
          </w:p>
        </w:tc>
        <w:tc>
          <w:tcPr>
            <w:tcW w:w="1152" w:type="dxa"/>
            <w:vMerge w:val="restart"/>
            <w:vAlign w:val="center"/>
          </w:tcPr>
          <w:p w14:paraId="3AAE1DDC" w14:textId="1999484B" w:rsidR="00713ED0" w:rsidRPr="00713ED0" w:rsidRDefault="00713ED0" w:rsidP="00FF45C2">
            <w:pPr>
              <w:pStyle w:val="TableTextEntries"/>
              <w:rPr>
                <w:sz w:val="14"/>
                <w:szCs w:val="16"/>
              </w:rPr>
            </w:pPr>
            <w:r w:rsidRPr="00713ED0">
              <w:rPr>
                <w:sz w:val="14"/>
                <w:szCs w:val="16"/>
              </w:rPr>
              <w:t>$3</w:t>
            </w:r>
            <w:r w:rsidR="00623D66">
              <w:rPr>
                <w:sz w:val="14"/>
                <w:szCs w:val="16"/>
              </w:rPr>
              <w:t xml:space="preserve"> </w:t>
            </w:r>
            <w:r w:rsidRPr="00713ED0">
              <w:rPr>
                <w:sz w:val="14"/>
                <w:szCs w:val="16"/>
              </w:rPr>
              <w:t>115</w:t>
            </w:r>
            <w:r w:rsidR="00623D66">
              <w:rPr>
                <w:sz w:val="14"/>
                <w:szCs w:val="16"/>
              </w:rPr>
              <w:t xml:space="preserve"> </w:t>
            </w:r>
            <w:r w:rsidRPr="00713ED0">
              <w:rPr>
                <w:sz w:val="14"/>
                <w:szCs w:val="16"/>
              </w:rPr>
              <w:t>000.00</w:t>
            </w:r>
          </w:p>
        </w:tc>
        <w:tc>
          <w:tcPr>
            <w:tcW w:w="440" w:type="dxa"/>
            <w:vAlign w:val="center"/>
          </w:tcPr>
          <w:p w14:paraId="44BC5345" w14:textId="77777777" w:rsidR="00713ED0" w:rsidRPr="00713ED0" w:rsidRDefault="00713ED0" w:rsidP="00FF45C2">
            <w:pPr>
              <w:pStyle w:val="TableTextEntries"/>
            </w:pPr>
            <w:r w:rsidRPr="00713ED0">
              <w:t>2012</w:t>
            </w:r>
          </w:p>
        </w:tc>
        <w:tc>
          <w:tcPr>
            <w:tcW w:w="334" w:type="dxa"/>
            <w:shd w:val="clear" w:color="auto" w:fill="92D050"/>
            <w:noWrap/>
            <w:vAlign w:val="center"/>
          </w:tcPr>
          <w:p w14:paraId="07D34973"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FB569EA"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DAD0521" w14:textId="77777777" w:rsidR="00713ED0" w:rsidRPr="00FF45C2" w:rsidRDefault="00713ED0" w:rsidP="00FF45C2">
            <w:pPr>
              <w:pStyle w:val="TableTextEntries"/>
              <w:jc w:val="center"/>
            </w:pPr>
            <w:r w:rsidRPr="00FF45C2">
              <w:t>5</w:t>
            </w:r>
          </w:p>
        </w:tc>
        <w:tc>
          <w:tcPr>
            <w:tcW w:w="403" w:type="dxa"/>
            <w:shd w:val="clear" w:color="auto" w:fill="FFFF00"/>
            <w:noWrap/>
            <w:vAlign w:val="center"/>
          </w:tcPr>
          <w:p w14:paraId="71AABBFF" w14:textId="77777777" w:rsidR="00713ED0" w:rsidRPr="00FF45C2" w:rsidRDefault="00713ED0" w:rsidP="00FF45C2">
            <w:pPr>
              <w:pStyle w:val="TableTextEntries"/>
              <w:jc w:val="center"/>
            </w:pPr>
            <w:r w:rsidRPr="00FF45C2">
              <w:t>4</w:t>
            </w:r>
          </w:p>
        </w:tc>
        <w:tc>
          <w:tcPr>
            <w:tcW w:w="334" w:type="dxa"/>
            <w:shd w:val="clear" w:color="auto" w:fill="FFFF00"/>
            <w:noWrap/>
            <w:vAlign w:val="center"/>
          </w:tcPr>
          <w:p w14:paraId="3DFB0CF7" w14:textId="77777777" w:rsidR="00713ED0" w:rsidRPr="00FF45C2" w:rsidRDefault="00713ED0" w:rsidP="00FF45C2">
            <w:pPr>
              <w:pStyle w:val="TableTextEntries"/>
              <w:jc w:val="center"/>
            </w:pPr>
            <w:r w:rsidRPr="00FF45C2">
              <w:t>4</w:t>
            </w:r>
          </w:p>
        </w:tc>
        <w:tc>
          <w:tcPr>
            <w:tcW w:w="334" w:type="dxa"/>
            <w:shd w:val="clear" w:color="auto" w:fill="92D050"/>
            <w:noWrap/>
            <w:vAlign w:val="center"/>
          </w:tcPr>
          <w:p w14:paraId="632D25C9"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vAlign w:val="center"/>
          </w:tcPr>
          <w:p w14:paraId="560F89DA" w14:textId="77777777" w:rsidR="00713ED0" w:rsidRPr="00FF45C2" w:rsidRDefault="00713ED0" w:rsidP="00FF45C2">
            <w:pPr>
              <w:pStyle w:val="TableTextEntries"/>
              <w:jc w:val="center"/>
            </w:pPr>
            <w:r w:rsidRPr="00FF45C2">
              <w:t>I</w:t>
            </w:r>
          </w:p>
        </w:tc>
      </w:tr>
      <w:tr w:rsidR="00713ED0" w:rsidRPr="00713ED0" w14:paraId="5FA6070A" w14:textId="77777777" w:rsidTr="00E0168D">
        <w:trPr>
          <w:tblHeader w:val="0"/>
        </w:trPr>
        <w:tc>
          <w:tcPr>
            <w:tcW w:w="823" w:type="dxa"/>
            <w:gridSpan w:val="2"/>
            <w:vMerge/>
            <w:vAlign w:val="center"/>
          </w:tcPr>
          <w:p w14:paraId="7FACB5EB" w14:textId="77777777" w:rsidR="00713ED0" w:rsidRPr="00713ED0" w:rsidRDefault="00713ED0" w:rsidP="00FF45C2">
            <w:pPr>
              <w:pStyle w:val="TableTextEntries"/>
            </w:pPr>
          </w:p>
        </w:tc>
        <w:tc>
          <w:tcPr>
            <w:tcW w:w="1486" w:type="dxa"/>
            <w:vMerge/>
            <w:vAlign w:val="center"/>
          </w:tcPr>
          <w:p w14:paraId="1FCBF37B" w14:textId="77777777" w:rsidR="00713ED0" w:rsidRPr="00713ED0" w:rsidRDefault="00713ED0" w:rsidP="00FF45C2">
            <w:pPr>
              <w:pStyle w:val="TableTextEntries"/>
            </w:pPr>
          </w:p>
        </w:tc>
        <w:tc>
          <w:tcPr>
            <w:tcW w:w="813" w:type="dxa"/>
            <w:vMerge/>
            <w:vAlign w:val="center"/>
          </w:tcPr>
          <w:p w14:paraId="6E4879F1" w14:textId="77777777" w:rsidR="00713ED0" w:rsidRPr="00713ED0" w:rsidRDefault="00713ED0" w:rsidP="00FF45C2">
            <w:pPr>
              <w:pStyle w:val="TableTextEntries"/>
              <w:rPr>
                <w:sz w:val="14"/>
              </w:rPr>
            </w:pPr>
          </w:p>
        </w:tc>
        <w:tc>
          <w:tcPr>
            <w:tcW w:w="808" w:type="dxa"/>
            <w:vMerge/>
            <w:vAlign w:val="center"/>
          </w:tcPr>
          <w:p w14:paraId="6D7AFE98" w14:textId="77777777" w:rsidR="00713ED0" w:rsidRPr="00713ED0" w:rsidRDefault="00713ED0" w:rsidP="00FF45C2">
            <w:pPr>
              <w:pStyle w:val="TableTextEntries"/>
              <w:rPr>
                <w:sz w:val="14"/>
              </w:rPr>
            </w:pPr>
          </w:p>
        </w:tc>
        <w:tc>
          <w:tcPr>
            <w:tcW w:w="1152" w:type="dxa"/>
            <w:vMerge/>
            <w:vAlign w:val="center"/>
          </w:tcPr>
          <w:p w14:paraId="22860ABA" w14:textId="77777777" w:rsidR="00713ED0" w:rsidRPr="00713ED0" w:rsidRDefault="00713ED0" w:rsidP="00FF45C2">
            <w:pPr>
              <w:pStyle w:val="TableTextEntries"/>
              <w:rPr>
                <w:sz w:val="14"/>
                <w:szCs w:val="16"/>
              </w:rPr>
            </w:pPr>
          </w:p>
        </w:tc>
        <w:tc>
          <w:tcPr>
            <w:tcW w:w="440" w:type="dxa"/>
            <w:vAlign w:val="center"/>
          </w:tcPr>
          <w:p w14:paraId="0B563EA4" w14:textId="77777777" w:rsidR="00713ED0" w:rsidRPr="00713ED0" w:rsidRDefault="00713ED0" w:rsidP="00FF45C2">
            <w:pPr>
              <w:pStyle w:val="TableTextEntries"/>
            </w:pPr>
            <w:r w:rsidRPr="00713ED0">
              <w:t>2011</w:t>
            </w:r>
          </w:p>
        </w:tc>
        <w:tc>
          <w:tcPr>
            <w:tcW w:w="334" w:type="dxa"/>
            <w:tcBorders>
              <w:top w:val="nil"/>
              <w:bottom w:val="nil"/>
            </w:tcBorders>
            <w:shd w:val="clear" w:color="auto" w:fill="auto"/>
            <w:noWrap/>
            <w:vAlign w:val="center"/>
          </w:tcPr>
          <w:p w14:paraId="06ADCE7B"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54D7014D"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5759BECA" w14:textId="77777777" w:rsidR="00713ED0" w:rsidRPr="00FF45C2" w:rsidRDefault="00713ED0" w:rsidP="00FF45C2">
            <w:pPr>
              <w:pStyle w:val="TableTextEntries"/>
              <w:jc w:val="center"/>
            </w:pPr>
            <w:r w:rsidRPr="00FF45C2">
              <w:t>n/a</w:t>
            </w:r>
          </w:p>
        </w:tc>
        <w:tc>
          <w:tcPr>
            <w:tcW w:w="403" w:type="dxa"/>
            <w:tcBorders>
              <w:top w:val="nil"/>
              <w:bottom w:val="nil"/>
            </w:tcBorders>
            <w:shd w:val="clear" w:color="auto" w:fill="auto"/>
            <w:noWrap/>
            <w:vAlign w:val="center"/>
          </w:tcPr>
          <w:p w14:paraId="28F920BA"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78695523" w14:textId="77777777" w:rsidR="00713ED0" w:rsidRPr="00FF45C2" w:rsidRDefault="00713ED0" w:rsidP="00FF45C2">
            <w:pPr>
              <w:pStyle w:val="TableTextEntries"/>
              <w:jc w:val="center"/>
            </w:pPr>
            <w:r w:rsidRPr="00FF45C2">
              <w:t>n/a</w:t>
            </w:r>
          </w:p>
        </w:tc>
        <w:tc>
          <w:tcPr>
            <w:tcW w:w="334" w:type="dxa"/>
            <w:tcBorders>
              <w:top w:val="nil"/>
              <w:bottom w:val="nil"/>
            </w:tcBorders>
            <w:shd w:val="clear" w:color="auto" w:fill="auto"/>
            <w:noWrap/>
            <w:vAlign w:val="center"/>
          </w:tcPr>
          <w:p w14:paraId="7BF40A2F" w14:textId="77777777" w:rsidR="00713ED0" w:rsidRPr="00FF45C2" w:rsidRDefault="00713ED0" w:rsidP="00FF45C2">
            <w:pPr>
              <w:pStyle w:val="TableTextEntries"/>
              <w:jc w:val="center"/>
            </w:pPr>
            <w:r w:rsidRPr="00FF45C2">
              <w:t>n/a</w:t>
            </w:r>
          </w:p>
        </w:tc>
        <w:tc>
          <w:tcPr>
            <w:tcW w:w="347" w:type="dxa"/>
            <w:tcBorders>
              <w:top w:val="nil"/>
              <w:bottom w:val="nil"/>
            </w:tcBorders>
            <w:shd w:val="clear" w:color="auto" w:fill="auto"/>
            <w:noWrap/>
            <w:vAlign w:val="center"/>
          </w:tcPr>
          <w:p w14:paraId="5C37B19F" w14:textId="77777777" w:rsidR="00713ED0" w:rsidRPr="00FF45C2" w:rsidRDefault="00713ED0" w:rsidP="00FF45C2">
            <w:pPr>
              <w:pStyle w:val="TableTextEntries"/>
              <w:jc w:val="center"/>
            </w:pPr>
            <w:r w:rsidRPr="00FF45C2">
              <w:t>n/a</w:t>
            </w:r>
          </w:p>
        </w:tc>
      </w:tr>
      <w:tr w:rsidR="00713ED0" w:rsidRPr="00713ED0" w14:paraId="26933EA6" w14:textId="77777777" w:rsidTr="00E0168D">
        <w:trPr>
          <w:cnfStyle w:val="000000010000" w:firstRow="0" w:lastRow="0" w:firstColumn="0" w:lastColumn="0" w:oddVBand="0" w:evenVBand="0" w:oddHBand="0" w:evenHBand="1" w:firstRowFirstColumn="0" w:firstRowLastColumn="0" w:lastRowFirstColumn="0" w:lastRowLastColumn="0"/>
          <w:cantSplit/>
          <w:tblHeader w:val="0"/>
        </w:trPr>
        <w:tc>
          <w:tcPr>
            <w:tcW w:w="2337" w:type="dxa"/>
            <w:gridSpan w:val="3"/>
            <w:vAlign w:val="bottom"/>
          </w:tcPr>
          <w:p w14:paraId="7F68E225" w14:textId="77777777" w:rsidR="00713ED0" w:rsidRPr="00E0168D" w:rsidRDefault="00713ED0" w:rsidP="00E0168D">
            <w:pPr>
              <w:pStyle w:val="TableHeading2"/>
            </w:pPr>
            <w:r w:rsidRPr="00E0168D">
              <w:lastRenderedPageBreak/>
              <w:t>Scholarships</w:t>
            </w:r>
          </w:p>
        </w:tc>
        <w:tc>
          <w:tcPr>
            <w:tcW w:w="813" w:type="dxa"/>
          </w:tcPr>
          <w:p w14:paraId="75B8ABA3" w14:textId="77777777" w:rsidR="00713ED0" w:rsidRPr="00713ED0" w:rsidRDefault="00713ED0" w:rsidP="00FF45C2">
            <w:pPr>
              <w:pStyle w:val="TableTextEntries"/>
              <w:rPr>
                <w:sz w:val="14"/>
              </w:rPr>
            </w:pPr>
          </w:p>
        </w:tc>
        <w:tc>
          <w:tcPr>
            <w:tcW w:w="808" w:type="dxa"/>
            <w:vAlign w:val="center"/>
          </w:tcPr>
          <w:p w14:paraId="489D7258" w14:textId="77777777" w:rsidR="00713ED0" w:rsidRPr="00713ED0" w:rsidRDefault="00713ED0" w:rsidP="00FF45C2">
            <w:pPr>
              <w:pStyle w:val="TableTextEntries"/>
              <w:rPr>
                <w:sz w:val="14"/>
              </w:rPr>
            </w:pPr>
          </w:p>
        </w:tc>
        <w:tc>
          <w:tcPr>
            <w:tcW w:w="1152" w:type="dxa"/>
            <w:vAlign w:val="bottom"/>
          </w:tcPr>
          <w:p w14:paraId="5B38639F" w14:textId="77777777" w:rsidR="00713ED0" w:rsidRPr="00713ED0" w:rsidRDefault="00713ED0" w:rsidP="00FF45C2">
            <w:pPr>
              <w:pStyle w:val="TableTextEntries"/>
              <w:rPr>
                <w:sz w:val="14"/>
                <w:szCs w:val="16"/>
              </w:rPr>
            </w:pPr>
          </w:p>
        </w:tc>
        <w:tc>
          <w:tcPr>
            <w:tcW w:w="440" w:type="dxa"/>
            <w:textDirection w:val="btLr"/>
            <w:vAlign w:val="center"/>
          </w:tcPr>
          <w:p w14:paraId="1D52B9CF" w14:textId="77777777" w:rsidR="00713ED0" w:rsidRPr="00713ED0" w:rsidRDefault="00713ED0" w:rsidP="00FF45C2">
            <w:pPr>
              <w:pStyle w:val="TableTextEntries"/>
            </w:pPr>
          </w:p>
        </w:tc>
        <w:tc>
          <w:tcPr>
            <w:tcW w:w="334" w:type="dxa"/>
            <w:textDirection w:val="btLr"/>
            <w:vAlign w:val="center"/>
          </w:tcPr>
          <w:p w14:paraId="09AEF506" w14:textId="77777777" w:rsidR="00713ED0" w:rsidRPr="00FF45C2" w:rsidRDefault="00713ED0" w:rsidP="00FF45C2">
            <w:pPr>
              <w:pStyle w:val="TableTextEntries"/>
              <w:jc w:val="center"/>
            </w:pPr>
          </w:p>
        </w:tc>
        <w:tc>
          <w:tcPr>
            <w:tcW w:w="334" w:type="dxa"/>
            <w:textDirection w:val="btLr"/>
            <w:vAlign w:val="center"/>
          </w:tcPr>
          <w:p w14:paraId="17FA8AD9" w14:textId="77777777" w:rsidR="00713ED0" w:rsidRPr="00FF45C2" w:rsidRDefault="00713ED0" w:rsidP="00FF45C2">
            <w:pPr>
              <w:pStyle w:val="TableTextEntries"/>
              <w:jc w:val="center"/>
            </w:pPr>
          </w:p>
        </w:tc>
        <w:tc>
          <w:tcPr>
            <w:tcW w:w="334" w:type="dxa"/>
            <w:textDirection w:val="btLr"/>
            <w:vAlign w:val="center"/>
          </w:tcPr>
          <w:p w14:paraId="01AD6BFF" w14:textId="77777777" w:rsidR="00713ED0" w:rsidRPr="00FF45C2" w:rsidRDefault="00713ED0" w:rsidP="00FF45C2">
            <w:pPr>
              <w:pStyle w:val="TableTextEntries"/>
              <w:jc w:val="center"/>
            </w:pPr>
          </w:p>
        </w:tc>
        <w:tc>
          <w:tcPr>
            <w:tcW w:w="403" w:type="dxa"/>
            <w:textDirection w:val="btLr"/>
            <w:vAlign w:val="center"/>
          </w:tcPr>
          <w:p w14:paraId="7514BBD9" w14:textId="77777777" w:rsidR="00713ED0" w:rsidRPr="00FF45C2" w:rsidRDefault="00713ED0" w:rsidP="00FF45C2">
            <w:pPr>
              <w:pStyle w:val="TableTextEntries"/>
              <w:jc w:val="center"/>
            </w:pPr>
          </w:p>
        </w:tc>
        <w:tc>
          <w:tcPr>
            <w:tcW w:w="334" w:type="dxa"/>
            <w:textDirection w:val="btLr"/>
            <w:vAlign w:val="center"/>
          </w:tcPr>
          <w:p w14:paraId="3777661A" w14:textId="77777777" w:rsidR="00713ED0" w:rsidRPr="00FF45C2" w:rsidRDefault="00713ED0" w:rsidP="00FF45C2">
            <w:pPr>
              <w:pStyle w:val="TableTextEntries"/>
              <w:jc w:val="center"/>
            </w:pPr>
          </w:p>
        </w:tc>
        <w:tc>
          <w:tcPr>
            <w:tcW w:w="334" w:type="dxa"/>
            <w:textDirection w:val="btLr"/>
            <w:vAlign w:val="center"/>
          </w:tcPr>
          <w:p w14:paraId="7A94BDFF" w14:textId="77777777" w:rsidR="00713ED0" w:rsidRPr="00FF45C2" w:rsidRDefault="00713ED0" w:rsidP="00FF45C2">
            <w:pPr>
              <w:pStyle w:val="TableTextEntries"/>
              <w:jc w:val="center"/>
            </w:pPr>
          </w:p>
        </w:tc>
        <w:tc>
          <w:tcPr>
            <w:tcW w:w="347" w:type="dxa"/>
            <w:textDirection w:val="btLr"/>
            <w:vAlign w:val="center"/>
          </w:tcPr>
          <w:p w14:paraId="3749D593" w14:textId="77777777" w:rsidR="00713ED0" w:rsidRPr="00FF45C2" w:rsidRDefault="00713ED0" w:rsidP="00FF45C2">
            <w:pPr>
              <w:pStyle w:val="TableTextEntries"/>
              <w:jc w:val="center"/>
            </w:pPr>
          </w:p>
        </w:tc>
      </w:tr>
      <w:tr w:rsidR="00713ED0" w:rsidRPr="00713ED0" w14:paraId="0701BE5B" w14:textId="77777777" w:rsidTr="00E0168D">
        <w:trPr>
          <w:tblHeader w:val="0"/>
        </w:trPr>
        <w:tc>
          <w:tcPr>
            <w:tcW w:w="823" w:type="dxa"/>
            <w:gridSpan w:val="2"/>
            <w:vMerge w:val="restart"/>
            <w:vAlign w:val="center"/>
          </w:tcPr>
          <w:p w14:paraId="79D71C66" w14:textId="77777777" w:rsidR="00713ED0" w:rsidRPr="00713ED0" w:rsidRDefault="00713ED0" w:rsidP="00FF45C2">
            <w:pPr>
              <w:pStyle w:val="TableTextEntries"/>
            </w:pPr>
            <w:r w:rsidRPr="00713ED0">
              <w:t>INJ247</w:t>
            </w:r>
          </w:p>
        </w:tc>
        <w:tc>
          <w:tcPr>
            <w:tcW w:w="1486" w:type="dxa"/>
            <w:vMerge w:val="restart"/>
            <w:vAlign w:val="center"/>
          </w:tcPr>
          <w:p w14:paraId="4C697ACD" w14:textId="32289E0E" w:rsidR="00713ED0" w:rsidRPr="00713ED0" w:rsidRDefault="00713ED0" w:rsidP="00FF45C2">
            <w:pPr>
              <w:pStyle w:val="TableTextEntries"/>
            </w:pPr>
            <w:r w:rsidRPr="00713ED0">
              <w:t>Scholarships Jakarta A</w:t>
            </w:r>
            <w:r w:rsidR="00501774">
              <w:t xml:space="preserve">ustralian </w:t>
            </w:r>
            <w:r w:rsidRPr="00713ED0">
              <w:t>D</w:t>
            </w:r>
            <w:r w:rsidR="00501774">
              <w:t xml:space="preserve">evelopment </w:t>
            </w:r>
            <w:r w:rsidRPr="00713ED0">
              <w:t>S</w:t>
            </w:r>
            <w:r w:rsidR="00501774">
              <w:t>cholarships</w:t>
            </w:r>
            <w:r w:rsidRPr="00713ED0">
              <w:t xml:space="preserve"> </w:t>
            </w:r>
            <w:r w:rsidR="00501774" w:rsidRPr="00713ED0">
              <w:t>2011</w:t>
            </w:r>
            <w:r w:rsidR="00501774">
              <w:t xml:space="preserve"> i</w:t>
            </w:r>
            <w:r w:rsidRPr="00713ED0">
              <w:t xml:space="preserve">ntake </w:t>
            </w:r>
          </w:p>
        </w:tc>
        <w:tc>
          <w:tcPr>
            <w:tcW w:w="813" w:type="dxa"/>
            <w:vMerge w:val="restart"/>
            <w:vAlign w:val="center"/>
          </w:tcPr>
          <w:p w14:paraId="0598ED28" w14:textId="77777777" w:rsidR="00713ED0" w:rsidRPr="00713ED0" w:rsidRDefault="00713ED0" w:rsidP="00FF45C2">
            <w:pPr>
              <w:pStyle w:val="TableTextEntries"/>
              <w:rPr>
                <w:sz w:val="14"/>
              </w:rPr>
            </w:pPr>
            <w:r w:rsidRPr="00713ED0">
              <w:rPr>
                <w:sz w:val="14"/>
              </w:rPr>
              <w:t>01/01/2010</w:t>
            </w:r>
          </w:p>
        </w:tc>
        <w:tc>
          <w:tcPr>
            <w:tcW w:w="808" w:type="dxa"/>
            <w:vMerge w:val="restart"/>
            <w:vAlign w:val="center"/>
          </w:tcPr>
          <w:p w14:paraId="56CED379" w14:textId="77777777" w:rsidR="00713ED0" w:rsidRPr="00713ED0" w:rsidRDefault="00713ED0" w:rsidP="00FF45C2">
            <w:pPr>
              <w:pStyle w:val="TableTextEntries"/>
              <w:rPr>
                <w:sz w:val="14"/>
              </w:rPr>
            </w:pPr>
            <w:r w:rsidRPr="00713ED0">
              <w:rPr>
                <w:sz w:val="14"/>
              </w:rPr>
              <w:t>30/06/2018</w:t>
            </w:r>
          </w:p>
        </w:tc>
        <w:tc>
          <w:tcPr>
            <w:tcW w:w="1152" w:type="dxa"/>
            <w:vMerge w:val="restart"/>
            <w:vAlign w:val="center"/>
          </w:tcPr>
          <w:p w14:paraId="5793AEC9" w14:textId="64CA13A9" w:rsidR="00713ED0" w:rsidRPr="00713ED0" w:rsidRDefault="00713ED0" w:rsidP="00FF45C2">
            <w:pPr>
              <w:pStyle w:val="TableTextEntries"/>
              <w:rPr>
                <w:sz w:val="14"/>
                <w:szCs w:val="16"/>
              </w:rPr>
            </w:pPr>
            <w:r w:rsidRPr="00713ED0">
              <w:rPr>
                <w:sz w:val="14"/>
                <w:szCs w:val="16"/>
              </w:rPr>
              <w:t>$120</w:t>
            </w:r>
            <w:r w:rsidR="00623D66">
              <w:rPr>
                <w:sz w:val="14"/>
                <w:szCs w:val="16"/>
              </w:rPr>
              <w:t xml:space="preserve"> </w:t>
            </w:r>
            <w:r w:rsidRPr="00713ED0">
              <w:rPr>
                <w:sz w:val="14"/>
                <w:szCs w:val="16"/>
              </w:rPr>
              <w:t>426</w:t>
            </w:r>
            <w:r w:rsidR="00623D66">
              <w:rPr>
                <w:sz w:val="14"/>
                <w:szCs w:val="16"/>
              </w:rPr>
              <w:t xml:space="preserve"> </w:t>
            </w:r>
            <w:r w:rsidRPr="00713ED0">
              <w:rPr>
                <w:sz w:val="14"/>
                <w:szCs w:val="16"/>
              </w:rPr>
              <w:t>184.00</w:t>
            </w:r>
          </w:p>
        </w:tc>
        <w:tc>
          <w:tcPr>
            <w:tcW w:w="440" w:type="dxa"/>
            <w:vAlign w:val="center"/>
          </w:tcPr>
          <w:p w14:paraId="57A52917" w14:textId="77777777" w:rsidR="00713ED0" w:rsidRPr="00713ED0" w:rsidRDefault="00713ED0" w:rsidP="00FF45C2">
            <w:pPr>
              <w:pStyle w:val="TableTextEntries"/>
            </w:pPr>
            <w:r w:rsidRPr="00713ED0">
              <w:t>2012</w:t>
            </w:r>
          </w:p>
        </w:tc>
        <w:tc>
          <w:tcPr>
            <w:tcW w:w="334" w:type="dxa"/>
            <w:shd w:val="clear" w:color="auto" w:fill="92D050"/>
            <w:noWrap/>
            <w:vAlign w:val="center"/>
          </w:tcPr>
          <w:p w14:paraId="7626298C"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114EA07"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A62E64A"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0F294CE6"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E77C6E2"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14158FD7"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vAlign w:val="center"/>
          </w:tcPr>
          <w:p w14:paraId="1A3BE660" w14:textId="77777777" w:rsidR="00713ED0" w:rsidRPr="00FF45C2" w:rsidRDefault="00713ED0" w:rsidP="00FF45C2">
            <w:pPr>
              <w:pStyle w:val="TableTextEntries"/>
              <w:jc w:val="center"/>
            </w:pPr>
            <w:r w:rsidRPr="00FF45C2">
              <w:t>I</w:t>
            </w:r>
          </w:p>
        </w:tc>
      </w:tr>
      <w:tr w:rsidR="00713ED0" w:rsidRPr="00713ED0" w14:paraId="3077E4EC"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68F0557D" w14:textId="77777777" w:rsidR="00713ED0" w:rsidRPr="00713ED0" w:rsidRDefault="00713ED0" w:rsidP="00FF45C2">
            <w:pPr>
              <w:pStyle w:val="TableTextEntries"/>
            </w:pPr>
          </w:p>
        </w:tc>
        <w:tc>
          <w:tcPr>
            <w:tcW w:w="1486" w:type="dxa"/>
            <w:vMerge/>
            <w:vAlign w:val="center"/>
          </w:tcPr>
          <w:p w14:paraId="670C9199" w14:textId="77777777" w:rsidR="00713ED0" w:rsidRPr="00713ED0" w:rsidRDefault="00713ED0" w:rsidP="00FF45C2">
            <w:pPr>
              <w:pStyle w:val="TableTextEntries"/>
            </w:pPr>
          </w:p>
        </w:tc>
        <w:tc>
          <w:tcPr>
            <w:tcW w:w="813" w:type="dxa"/>
            <w:vMerge/>
            <w:vAlign w:val="center"/>
          </w:tcPr>
          <w:p w14:paraId="683A77B7" w14:textId="77777777" w:rsidR="00713ED0" w:rsidRPr="00713ED0" w:rsidRDefault="00713ED0" w:rsidP="00FF45C2">
            <w:pPr>
              <w:pStyle w:val="TableTextEntries"/>
              <w:rPr>
                <w:sz w:val="14"/>
              </w:rPr>
            </w:pPr>
          </w:p>
        </w:tc>
        <w:tc>
          <w:tcPr>
            <w:tcW w:w="808" w:type="dxa"/>
            <w:vMerge/>
            <w:vAlign w:val="center"/>
          </w:tcPr>
          <w:p w14:paraId="260F9F38" w14:textId="77777777" w:rsidR="00713ED0" w:rsidRPr="00713ED0" w:rsidRDefault="00713ED0" w:rsidP="00FF45C2">
            <w:pPr>
              <w:pStyle w:val="TableTextEntries"/>
              <w:rPr>
                <w:sz w:val="14"/>
              </w:rPr>
            </w:pPr>
          </w:p>
        </w:tc>
        <w:tc>
          <w:tcPr>
            <w:tcW w:w="1152" w:type="dxa"/>
            <w:vMerge/>
            <w:vAlign w:val="center"/>
          </w:tcPr>
          <w:p w14:paraId="405BE4DC" w14:textId="77777777" w:rsidR="00713ED0" w:rsidRPr="00713ED0" w:rsidRDefault="00713ED0" w:rsidP="00FF45C2">
            <w:pPr>
              <w:pStyle w:val="TableTextEntries"/>
              <w:rPr>
                <w:sz w:val="14"/>
                <w:szCs w:val="16"/>
              </w:rPr>
            </w:pPr>
          </w:p>
        </w:tc>
        <w:tc>
          <w:tcPr>
            <w:tcW w:w="440" w:type="dxa"/>
            <w:vAlign w:val="center"/>
          </w:tcPr>
          <w:p w14:paraId="2067AAA2" w14:textId="77777777" w:rsidR="00713ED0" w:rsidRPr="00713ED0" w:rsidRDefault="00713ED0" w:rsidP="00FF45C2">
            <w:pPr>
              <w:pStyle w:val="TableTextEntries"/>
            </w:pPr>
            <w:r w:rsidRPr="00713ED0">
              <w:t>2011</w:t>
            </w:r>
          </w:p>
        </w:tc>
        <w:tc>
          <w:tcPr>
            <w:tcW w:w="334" w:type="dxa"/>
            <w:shd w:val="clear" w:color="auto" w:fill="92D050"/>
            <w:noWrap/>
            <w:vAlign w:val="center"/>
          </w:tcPr>
          <w:p w14:paraId="4409D31B"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7F48CDF"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BCD2D98" w14:textId="77777777" w:rsidR="00713ED0" w:rsidRPr="00FF45C2" w:rsidRDefault="00713ED0" w:rsidP="00FF45C2">
            <w:pPr>
              <w:pStyle w:val="TableTextEntries"/>
              <w:jc w:val="center"/>
            </w:pPr>
            <w:r w:rsidRPr="00FF45C2">
              <w:t>6</w:t>
            </w:r>
          </w:p>
        </w:tc>
        <w:tc>
          <w:tcPr>
            <w:tcW w:w="403" w:type="dxa"/>
            <w:shd w:val="clear" w:color="auto" w:fill="92D050"/>
            <w:noWrap/>
            <w:vAlign w:val="center"/>
          </w:tcPr>
          <w:p w14:paraId="595AC6E1"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0A8C9B74"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F347254" w14:textId="77777777" w:rsidR="00713ED0" w:rsidRPr="00FF45C2" w:rsidRDefault="00713ED0" w:rsidP="00FF45C2">
            <w:pPr>
              <w:pStyle w:val="TableTextEntries"/>
              <w:jc w:val="center"/>
            </w:pPr>
            <w:r w:rsidRPr="00FF45C2">
              <w:t>5</w:t>
            </w:r>
          </w:p>
        </w:tc>
        <w:tc>
          <w:tcPr>
            <w:tcW w:w="347" w:type="dxa"/>
            <w:shd w:val="clear" w:color="auto" w:fill="92D050"/>
            <w:noWrap/>
            <w:vAlign w:val="center"/>
          </w:tcPr>
          <w:p w14:paraId="2A12DB68" w14:textId="77777777" w:rsidR="00713ED0" w:rsidRPr="00FF45C2" w:rsidRDefault="00713ED0" w:rsidP="00FF45C2">
            <w:pPr>
              <w:pStyle w:val="TableTextEntries"/>
              <w:jc w:val="center"/>
            </w:pPr>
            <w:r w:rsidRPr="00FF45C2">
              <w:t>M</w:t>
            </w:r>
          </w:p>
        </w:tc>
      </w:tr>
      <w:tr w:rsidR="00713ED0" w:rsidRPr="00713ED0" w14:paraId="7ED2A89C" w14:textId="77777777" w:rsidTr="00E0168D">
        <w:trPr>
          <w:tblHeader w:val="0"/>
        </w:trPr>
        <w:tc>
          <w:tcPr>
            <w:tcW w:w="823" w:type="dxa"/>
            <w:gridSpan w:val="2"/>
            <w:vMerge w:val="restart"/>
            <w:vAlign w:val="center"/>
          </w:tcPr>
          <w:p w14:paraId="0295F7CC" w14:textId="77777777" w:rsidR="00713ED0" w:rsidRPr="00713ED0" w:rsidRDefault="00713ED0" w:rsidP="00FF45C2">
            <w:pPr>
              <w:pStyle w:val="TableTextEntries"/>
            </w:pPr>
            <w:r w:rsidRPr="00713ED0">
              <w:t>INK075</w:t>
            </w:r>
          </w:p>
        </w:tc>
        <w:tc>
          <w:tcPr>
            <w:tcW w:w="1486" w:type="dxa"/>
            <w:vMerge w:val="restart"/>
            <w:vAlign w:val="center"/>
          </w:tcPr>
          <w:p w14:paraId="4E4FFA37" w14:textId="24FB54D2" w:rsidR="00713ED0" w:rsidRPr="00713ED0" w:rsidRDefault="00501774" w:rsidP="00FF45C2">
            <w:pPr>
              <w:pStyle w:val="TableTextEntries"/>
            </w:pPr>
            <w:r w:rsidRPr="00713ED0">
              <w:t>A</w:t>
            </w:r>
            <w:r>
              <w:t xml:space="preserve">ustralian </w:t>
            </w:r>
            <w:r w:rsidRPr="00713ED0">
              <w:t>D</w:t>
            </w:r>
            <w:r>
              <w:t xml:space="preserve">evelopment </w:t>
            </w:r>
            <w:r w:rsidRPr="00713ED0">
              <w:t>S</w:t>
            </w:r>
            <w:r>
              <w:t>cholarships</w:t>
            </w:r>
            <w:r w:rsidRPr="00713ED0">
              <w:t xml:space="preserve"> </w:t>
            </w:r>
            <w:r>
              <w:t>i</w:t>
            </w:r>
            <w:r w:rsidR="00713ED0" w:rsidRPr="00713ED0">
              <w:t>n-Indonesia Management Phase III B</w:t>
            </w:r>
          </w:p>
        </w:tc>
        <w:tc>
          <w:tcPr>
            <w:tcW w:w="813" w:type="dxa"/>
            <w:vMerge w:val="restart"/>
            <w:vAlign w:val="center"/>
          </w:tcPr>
          <w:p w14:paraId="6D3EF728" w14:textId="77777777" w:rsidR="00713ED0" w:rsidRPr="00713ED0" w:rsidRDefault="00713ED0" w:rsidP="00FF45C2">
            <w:pPr>
              <w:pStyle w:val="TableTextEntries"/>
              <w:rPr>
                <w:sz w:val="14"/>
              </w:rPr>
            </w:pPr>
            <w:r w:rsidRPr="00713ED0">
              <w:rPr>
                <w:sz w:val="14"/>
              </w:rPr>
              <w:t>01/12/2011</w:t>
            </w:r>
          </w:p>
        </w:tc>
        <w:tc>
          <w:tcPr>
            <w:tcW w:w="808" w:type="dxa"/>
            <w:vMerge w:val="restart"/>
            <w:vAlign w:val="center"/>
          </w:tcPr>
          <w:p w14:paraId="239CAEF2" w14:textId="77777777" w:rsidR="00713ED0" w:rsidRPr="00713ED0" w:rsidRDefault="00713ED0" w:rsidP="00FF45C2">
            <w:pPr>
              <w:pStyle w:val="TableTextEntries"/>
              <w:rPr>
                <w:sz w:val="14"/>
              </w:rPr>
            </w:pPr>
            <w:r w:rsidRPr="00713ED0">
              <w:rPr>
                <w:sz w:val="14"/>
              </w:rPr>
              <w:t>30/06/2014</w:t>
            </w:r>
          </w:p>
        </w:tc>
        <w:tc>
          <w:tcPr>
            <w:tcW w:w="1152" w:type="dxa"/>
            <w:vMerge w:val="restart"/>
            <w:vAlign w:val="center"/>
          </w:tcPr>
          <w:p w14:paraId="4CF045AB" w14:textId="4DFBC0D4" w:rsidR="00713ED0" w:rsidRPr="00713ED0" w:rsidRDefault="00713ED0" w:rsidP="00FF45C2">
            <w:pPr>
              <w:pStyle w:val="TableTextEntries"/>
              <w:rPr>
                <w:sz w:val="14"/>
                <w:szCs w:val="16"/>
              </w:rPr>
            </w:pPr>
            <w:r w:rsidRPr="00713ED0">
              <w:rPr>
                <w:sz w:val="14"/>
                <w:szCs w:val="16"/>
              </w:rPr>
              <w:t>$27</w:t>
            </w:r>
            <w:r w:rsidR="00623D66">
              <w:rPr>
                <w:sz w:val="14"/>
                <w:szCs w:val="16"/>
              </w:rPr>
              <w:t xml:space="preserve"> </w:t>
            </w:r>
            <w:r w:rsidRPr="00713ED0">
              <w:rPr>
                <w:sz w:val="14"/>
                <w:szCs w:val="16"/>
              </w:rPr>
              <w:t>000</w:t>
            </w:r>
            <w:r w:rsidR="00623D66">
              <w:rPr>
                <w:sz w:val="14"/>
                <w:szCs w:val="16"/>
              </w:rPr>
              <w:t xml:space="preserve"> </w:t>
            </w:r>
            <w:r w:rsidRPr="00713ED0">
              <w:rPr>
                <w:sz w:val="14"/>
                <w:szCs w:val="16"/>
              </w:rPr>
              <w:t>000.00</w:t>
            </w:r>
          </w:p>
        </w:tc>
        <w:tc>
          <w:tcPr>
            <w:tcW w:w="440" w:type="dxa"/>
            <w:vAlign w:val="center"/>
          </w:tcPr>
          <w:p w14:paraId="38AD7D19" w14:textId="77777777" w:rsidR="00713ED0" w:rsidRPr="00713ED0" w:rsidRDefault="00713ED0" w:rsidP="00FF45C2">
            <w:pPr>
              <w:pStyle w:val="TableTextEntries"/>
            </w:pPr>
            <w:r w:rsidRPr="00713ED0">
              <w:t>2012</w:t>
            </w:r>
          </w:p>
        </w:tc>
        <w:tc>
          <w:tcPr>
            <w:tcW w:w="334" w:type="dxa"/>
            <w:shd w:val="clear" w:color="auto" w:fill="92D050"/>
            <w:noWrap/>
            <w:vAlign w:val="center"/>
          </w:tcPr>
          <w:p w14:paraId="72A508F6"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055C040"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4BD2CE5" w14:textId="77777777" w:rsidR="00713ED0" w:rsidRPr="00FF45C2" w:rsidRDefault="00713ED0" w:rsidP="00FF45C2">
            <w:pPr>
              <w:pStyle w:val="TableTextEntries"/>
              <w:jc w:val="center"/>
            </w:pPr>
            <w:r w:rsidRPr="00FF45C2">
              <w:t>5</w:t>
            </w:r>
          </w:p>
        </w:tc>
        <w:tc>
          <w:tcPr>
            <w:tcW w:w="403" w:type="dxa"/>
            <w:shd w:val="clear" w:color="auto" w:fill="92D050"/>
            <w:noWrap/>
            <w:vAlign w:val="center"/>
          </w:tcPr>
          <w:p w14:paraId="58701845"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F5FE90E"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D7C9DB1" w14:textId="77777777" w:rsidR="00713ED0" w:rsidRPr="00FF45C2" w:rsidRDefault="00713ED0" w:rsidP="00FF45C2">
            <w:pPr>
              <w:pStyle w:val="TableTextEntries"/>
              <w:jc w:val="center"/>
            </w:pPr>
            <w:r w:rsidRPr="00FF45C2">
              <w:t>5</w:t>
            </w:r>
          </w:p>
        </w:tc>
        <w:tc>
          <w:tcPr>
            <w:tcW w:w="347" w:type="dxa"/>
            <w:shd w:val="clear" w:color="auto" w:fill="E36C0A" w:themeFill="accent6" w:themeFillShade="BF"/>
            <w:noWrap/>
            <w:vAlign w:val="center"/>
          </w:tcPr>
          <w:p w14:paraId="30BA86D0" w14:textId="77777777" w:rsidR="00713ED0" w:rsidRPr="00FF45C2" w:rsidRDefault="00713ED0" w:rsidP="00FF45C2">
            <w:pPr>
              <w:pStyle w:val="TableTextEntries"/>
              <w:jc w:val="center"/>
            </w:pPr>
            <w:r w:rsidRPr="00FF45C2">
              <w:t>I</w:t>
            </w:r>
          </w:p>
        </w:tc>
      </w:tr>
      <w:tr w:rsidR="00713ED0" w:rsidRPr="00713ED0" w14:paraId="1BD19A05" w14:textId="77777777" w:rsidTr="00E0168D">
        <w:trPr>
          <w:cnfStyle w:val="000000010000" w:firstRow="0" w:lastRow="0" w:firstColumn="0" w:lastColumn="0" w:oddVBand="0" w:evenVBand="0" w:oddHBand="0" w:evenHBand="1" w:firstRowFirstColumn="0" w:firstRowLastColumn="0" w:lastRowFirstColumn="0" w:lastRowLastColumn="0"/>
          <w:tblHeader w:val="0"/>
        </w:trPr>
        <w:tc>
          <w:tcPr>
            <w:tcW w:w="823" w:type="dxa"/>
            <w:gridSpan w:val="2"/>
            <w:vMerge/>
            <w:vAlign w:val="center"/>
          </w:tcPr>
          <w:p w14:paraId="729B5AB6" w14:textId="77777777" w:rsidR="00713ED0" w:rsidRPr="00713ED0" w:rsidRDefault="00713ED0" w:rsidP="00FF45C2">
            <w:pPr>
              <w:pStyle w:val="TableTextEntries"/>
            </w:pPr>
          </w:p>
        </w:tc>
        <w:tc>
          <w:tcPr>
            <w:tcW w:w="1486" w:type="dxa"/>
            <w:vMerge/>
            <w:vAlign w:val="center"/>
          </w:tcPr>
          <w:p w14:paraId="4CF3E3A4" w14:textId="77777777" w:rsidR="00713ED0" w:rsidRPr="00713ED0" w:rsidRDefault="00713ED0" w:rsidP="00FF45C2">
            <w:pPr>
              <w:pStyle w:val="TableTextEntries"/>
            </w:pPr>
          </w:p>
        </w:tc>
        <w:tc>
          <w:tcPr>
            <w:tcW w:w="813" w:type="dxa"/>
            <w:vMerge/>
            <w:vAlign w:val="center"/>
          </w:tcPr>
          <w:p w14:paraId="4370D73B" w14:textId="77777777" w:rsidR="00713ED0" w:rsidRPr="00713ED0" w:rsidRDefault="00713ED0" w:rsidP="00FF45C2">
            <w:pPr>
              <w:pStyle w:val="TableTextEntries"/>
              <w:rPr>
                <w:sz w:val="14"/>
              </w:rPr>
            </w:pPr>
          </w:p>
        </w:tc>
        <w:tc>
          <w:tcPr>
            <w:tcW w:w="808" w:type="dxa"/>
            <w:vMerge/>
            <w:vAlign w:val="center"/>
          </w:tcPr>
          <w:p w14:paraId="5AFDC54E" w14:textId="77777777" w:rsidR="00713ED0" w:rsidRPr="00713ED0" w:rsidRDefault="00713ED0" w:rsidP="00FF45C2">
            <w:pPr>
              <w:pStyle w:val="TableTextEntries"/>
              <w:rPr>
                <w:sz w:val="14"/>
              </w:rPr>
            </w:pPr>
          </w:p>
        </w:tc>
        <w:tc>
          <w:tcPr>
            <w:tcW w:w="1152" w:type="dxa"/>
            <w:vMerge/>
            <w:vAlign w:val="center"/>
          </w:tcPr>
          <w:p w14:paraId="54871721" w14:textId="77777777" w:rsidR="00713ED0" w:rsidRPr="00713ED0" w:rsidRDefault="00713ED0" w:rsidP="00FF45C2">
            <w:pPr>
              <w:pStyle w:val="TableTextEntries"/>
              <w:rPr>
                <w:sz w:val="14"/>
                <w:szCs w:val="16"/>
              </w:rPr>
            </w:pPr>
          </w:p>
        </w:tc>
        <w:tc>
          <w:tcPr>
            <w:tcW w:w="440" w:type="dxa"/>
            <w:vAlign w:val="center"/>
          </w:tcPr>
          <w:p w14:paraId="5D8F2600" w14:textId="77777777" w:rsidR="00713ED0" w:rsidRPr="00713ED0" w:rsidRDefault="00713ED0" w:rsidP="00FF45C2">
            <w:pPr>
              <w:pStyle w:val="TableTextEntries"/>
            </w:pPr>
            <w:r w:rsidRPr="00713ED0">
              <w:t>2011</w:t>
            </w:r>
          </w:p>
        </w:tc>
        <w:tc>
          <w:tcPr>
            <w:tcW w:w="334" w:type="dxa"/>
            <w:shd w:val="clear" w:color="auto" w:fill="92D050"/>
            <w:noWrap/>
            <w:vAlign w:val="center"/>
          </w:tcPr>
          <w:p w14:paraId="57B1C61C"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5A0A0087"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4CC32B83" w14:textId="77777777" w:rsidR="00713ED0" w:rsidRPr="00FF45C2" w:rsidRDefault="00713ED0" w:rsidP="00FF45C2">
            <w:pPr>
              <w:pStyle w:val="TableTextEntries"/>
              <w:jc w:val="center"/>
            </w:pPr>
            <w:r w:rsidRPr="00FF45C2">
              <w:t>6</w:t>
            </w:r>
          </w:p>
        </w:tc>
        <w:tc>
          <w:tcPr>
            <w:tcW w:w="403" w:type="dxa"/>
            <w:shd w:val="clear" w:color="auto" w:fill="92D050"/>
            <w:noWrap/>
            <w:vAlign w:val="center"/>
          </w:tcPr>
          <w:p w14:paraId="76690CB7"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3719B74D" w14:textId="77777777" w:rsidR="00713ED0" w:rsidRPr="00FF45C2" w:rsidRDefault="00713ED0" w:rsidP="00FF45C2">
            <w:pPr>
              <w:pStyle w:val="TableTextEntries"/>
              <w:jc w:val="center"/>
            </w:pPr>
            <w:r w:rsidRPr="00FF45C2">
              <w:t>5</w:t>
            </w:r>
          </w:p>
        </w:tc>
        <w:tc>
          <w:tcPr>
            <w:tcW w:w="334" w:type="dxa"/>
            <w:shd w:val="clear" w:color="auto" w:fill="92D050"/>
            <w:noWrap/>
            <w:vAlign w:val="center"/>
          </w:tcPr>
          <w:p w14:paraId="7099D152" w14:textId="77777777" w:rsidR="00713ED0" w:rsidRPr="00FF45C2" w:rsidRDefault="00713ED0" w:rsidP="00FF45C2">
            <w:pPr>
              <w:pStyle w:val="TableTextEntries"/>
              <w:jc w:val="center"/>
            </w:pPr>
            <w:r w:rsidRPr="00FF45C2">
              <w:t>5</w:t>
            </w:r>
          </w:p>
        </w:tc>
        <w:tc>
          <w:tcPr>
            <w:tcW w:w="347" w:type="dxa"/>
            <w:shd w:val="clear" w:color="auto" w:fill="92D050"/>
            <w:noWrap/>
            <w:vAlign w:val="center"/>
          </w:tcPr>
          <w:p w14:paraId="58003A83" w14:textId="77777777" w:rsidR="00713ED0" w:rsidRPr="00FF45C2" w:rsidRDefault="00713ED0" w:rsidP="00FF45C2">
            <w:pPr>
              <w:pStyle w:val="TableTextEntries"/>
              <w:jc w:val="center"/>
            </w:pPr>
            <w:r w:rsidRPr="00FF45C2">
              <w:t>M</w:t>
            </w:r>
          </w:p>
        </w:tc>
      </w:tr>
    </w:tbl>
    <w:p w14:paraId="6C0E4BDF" w14:textId="77777777" w:rsidR="00FE4491" w:rsidRDefault="00FE4491" w:rsidP="00102931">
      <w:pPr>
        <w:pStyle w:val="Note"/>
      </w:pPr>
      <w:r>
        <w:t>Definitions of rating scale:</w:t>
      </w:r>
      <w:r>
        <w:tab/>
      </w:r>
    </w:p>
    <w:p w14:paraId="7B8190CF" w14:textId="77777777" w:rsidR="00FE4491" w:rsidRDefault="00FE4491" w:rsidP="003A6EEF">
      <w:pPr>
        <w:pStyle w:val="Note"/>
      </w:pPr>
      <w:r>
        <w:t>Satisfactory (4, 5 and 6)</w:t>
      </w:r>
    </w:p>
    <w:p w14:paraId="349D5D7F" w14:textId="77777777" w:rsidR="00FE4491" w:rsidRDefault="00FE4491" w:rsidP="003A6EEF">
      <w:pPr>
        <w:pStyle w:val="Note"/>
      </w:pPr>
      <w:r w:rsidRPr="00FE4491">
        <w:rPr>
          <w:color w:val="92D050"/>
        </w:rPr>
        <w:sym w:font="Webdings" w:char="F067"/>
      </w:r>
      <w:r>
        <w:t xml:space="preserve"> = 6 = Very high quality</w:t>
      </w:r>
    </w:p>
    <w:p w14:paraId="14189433" w14:textId="77777777" w:rsidR="00FE4491" w:rsidRDefault="00FE4491" w:rsidP="00E86919">
      <w:pPr>
        <w:pStyle w:val="Note"/>
      </w:pPr>
      <w:r w:rsidRPr="00FE4491">
        <w:rPr>
          <w:color w:val="92D050"/>
        </w:rPr>
        <w:sym w:font="Webdings" w:char="F067"/>
      </w:r>
      <w:r>
        <w:t xml:space="preserve"> = 5 = Good quality</w:t>
      </w:r>
    </w:p>
    <w:p w14:paraId="0DFA31D0" w14:textId="77777777" w:rsidR="00FE4491" w:rsidRDefault="00FE4491" w:rsidP="00E86919">
      <w:pPr>
        <w:pStyle w:val="Note"/>
      </w:pPr>
      <w:r w:rsidRPr="000774FD">
        <w:rPr>
          <w:color w:val="FFFF00"/>
        </w:rPr>
        <w:sym w:font="Webdings" w:char="F067"/>
      </w:r>
      <w:r>
        <w:t xml:space="preserve"> = 4 = Adequate quality, needs some work</w:t>
      </w:r>
    </w:p>
    <w:p w14:paraId="52559E67" w14:textId="77777777" w:rsidR="00FE4491" w:rsidRDefault="00FE4491" w:rsidP="00E86919">
      <w:pPr>
        <w:pStyle w:val="Note"/>
      </w:pPr>
      <w:r>
        <w:t>Less than satisfactory (1, 2 and 3)</w:t>
      </w:r>
    </w:p>
    <w:p w14:paraId="39AAA4D8" w14:textId="77777777" w:rsidR="00FE4491" w:rsidRDefault="00FE4491" w:rsidP="00250E0D">
      <w:pPr>
        <w:pStyle w:val="Note"/>
      </w:pPr>
      <w:r w:rsidRPr="00FD710F">
        <w:rPr>
          <w:color w:val="F79646"/>
        </w:rPr>
        <w:sym w:font="Webdings" w:char="F067"/>
      </w:r>
      <w:r>
        <w:t xml:space="preserve"> = 3 = Less than adequate quality; needs significant work</w:t>
      </w:r>
    </w:p>
    <w:p w14:paraId="6282BA9F" w14:textId="77777777" w:rsidR="00FE4491" w:rsidRDefault="00FE4491">
      <w:pPr>
        <w:pStyle w:val="Note"/>
      </w:pPr>
      <w:r w:rsidRPr="000774FD">
        <w:rPr>
          <w:color w:val="FF0000"/>
        </w:rPr>
        <w:sym w:font="Webdings" w:char="F067"/>
      </w:r>
      <w:r>
        <w:t xml:space="preserve"> = 2 = Poor quality; needs major work to improve</w:t>
      </w:r>
    </w:p>
    <w:p w14:paraId="4C3E62E4" w14:textId="77777777" w:rsidR="00FE4491" w:rsidRDefault="00FE4491">
      <w:pPr>
        <w:pStyle w:val="Note"/>
      </w:pPr>
      <w:r w:rsidRPr="000774FD">
        <w:rPr>
          <w:color w:val="FF0000"/>
        </w:rPr>
        <w:sym w:font="Webdings" w:char="F067"/>
      </w:r>
      <w:r>
        <w:t xml:space="preserve"> = 1 = Very poor quality; needs major overhaul</w:t>
      </w:r>
    </w:p>
    <w:p w14:paraId="1064ABB5" w14:textId="77777777" w:rsidR="00FE4491" w:rsidRDefault="00FE4491">
      <w:pPr>
        <w:pStyle w:val="Note"/>
      </w:pPr>
    </w:p>
    <w:p w14:paraId="011C014B" w14:textId="77777777" w:rsidR="00FE4491" w:rsidRDefault="00FE4491">
      <w:pPr>
        <w:pStyle w:val="Note"/>
      </w:pPr>
      <w:r>
        <w:t>Risk Management scale:</w:t>
      </w:r>
    </w:p>
    <w:p w14:paraId="2A6A591D" w14:textId="4E215A22" w:rsidR="00FE4491" w:rsidRDefault="00FE4491">
      <w:pPr>
        <w:pStyle w:val="Note"/>
      </w:pPr>
      <w:r w:rsidRPr="00FE4491">
        <w:rPr>
          <w:color w:val="92D050"/>
        </w:rPr>
        <w:sym w:font="Webdings" w:char="F067"/>
      </w:r>
      <w:r w:rsidR="00B525E5">
        <w:t xml:space="preserve"> </w:t>
      </w:r>
      <w:r>
        <w:t>Mature (M). Indicates the initiative manager conducts risk discussions on at least a monthly basis with all stakeholders and updates the risk registry quarterly</w:t>
      </w:r>
      <w:r w:rsidR="00C65930">
        <w:t>.</w:t>
      </w:r>
      <w:r>
        <w:t xml:space="preserve"> </w:t>
      </w:r>
    </w:p>
    <w:p w14:paraId="4CE97039" w14:textId="708BB160" w:rsidR="00FE4491" w:rsidRDefault="00FE4491">
      <w:pPr>
        <w:pStyle w:val="Note"/>
      </w:pPr>
      <w:r w:rsidRPr="00FD710F">
        <w:rPr>
          <w:color w:val="F79646"/>
        </w:rPr>
        <w:sym w:font="Webdings" w:char="F067"/>
      </w:r>
      <w:r w:rsidR="00B525E5">
        <w:t xml:space="preserve"> </w:t>
      </w:r>
      <w:r>
        <w:t>Intermediate (I). Indicates the initiative manager conducts ad-hoc risk discussion and updates the risk register occasionally</w:t>
      </w:r>
      <w:r w:rsidR="00C65930">
        <w:t>.</w:t>
      </w:r>
      <w:r>
        <w:t xml:space="preserve"> </w:t>
      </w:r>
    </w:p>
    <w:p w14:paraId="32831303" w14:textId="3A20A6B6" w:rsidR="00FE4491" w:rsidRDefault="00FE4491">
      <w:pPr>
        <w:pStyle w:val="Note"/>
      </w:pPr>
      <w:r w:rsidRPr="000774FD">
        <w:rPr>
          <w:color w:val="FF0000"/>
        </w:rPr>
        <w:sym w:font="Webdings" w:char="F067"/>
      </w:r>
      <w:r w:rsidR="00B525E5">
        <w:t xml:space="preserve"> </w:t>
      </w:r>
      <w:proofErr w:type="gramStart"/>
      <w:r>
        <w:t>Basic (B).</w:t>
      </w:r>
      <w:proofErr w:type="gramEnd"/>
      <w:r>
        <w:t xml:space="preserve"> Indicates there are limited or few risk discussions and the risk register has not been updated in the past 12 months</w:t>
      </w:r>
      <w:r w:rsidR="00C65930">
        <w:t>.</w:t>
      </w:r>
    </w:p>
    <w:p w14:paraId="697D2338" w14:textId="77777777" w:rsidR="00071B95" w:rsidRDefault="00071B95" w:rsidP="00071B95"/>
    <w:p w14:paraId="00BCFFFA" w14:textId="77777777" w:rsidR="00071B95" w:rsidRDefault="00071B95" w:rsidP="00071B95">
      <w:pPr>
        <w:sectPr w:rsidR="00071B95" w:rsidSect="00805D86">
          <w:headerReference w:type="default" r:id="rId18"/>
          <w:footerReference w:type="default" r:id="rId19"/>
          <w:headerReference w:type="first" r:id="rId20"/>
          <w:footerReference w:type="first" r:id="rId21"/>
          <w:pgSz w:w="11906" w:h="16838" w:code="9"/>
          <w:pgMar w:top="2268" w:right="1701" w:bottom="907" w:left="1871" w:header="709" w:footer="454" w:gutter="0"/>
          <w:cols w:space="708"/>
          <w:docGrid w:linePitch="360"/>
        </w:sectPr>
      </w:pPr>
    </w:p>
    <w:p w14:paraId="6DB4CB1F" w14:textId="77777777" w:rsidR="00071B95" w:rsidRPr="00071B95" w:rsidRDefault="00071B95" w:rsidP="00071B95">
      <w:pPr>
        <w:pStyle w:val="Heading1"/>
      </w:pPr>
      <w:bookmarkStart w:id="113" w:name="_Toc359585119"/>
      <w:bookmarkStart w:id="114" w:name="_Toc363804144"/>
      <w:r w:rsidRPr="00071B95">
        <w:lastRenderedPageBreak/>
        <w:t xml:space="preserve">Annex </w:t>
      </w:r>
      <w:r w:rsidR="00FC5664">
        <w:t>D</w:t>
      </w:r>
      <w:bookmarkEnd w:id="113"/>
      <w:bookmarkEnd w:id="114"/>
    </w:p>
    <w:p w14:paraId="4BE15208" w14:textId="641A6B9A" w:rsidR="00071B95" w:rsidRPr="00071B95" w:rsidRDefault="00071B95" w:rsidP="00F46297">
      <w:pPr>
        <w:pStyle w:val="Heading2"/>
      </w:pPr>
      <w:bookmarkStart w:id="115" w:name="_Toc359585120"/>
      <w:bookmarkStart w:id="116" w:name="_Toc363768609"/>
      <w:bookmarkStart w:id="117" w:name="_Toc363804145"/>
      <w:r w:rsidRPr="00071B95">
        <w:t xml:space="preserve">Evaluation and </w:t>
      </w:r>
      <w:r w:rsidR="00CD0348" w:rsidRPr="00071B95">
        <w:t>review pipeline planning</w:t>
      </w:r>
      <w:bookmarkEnd w:id="115"/>
      <w:bookmarkEnd w:id="116"/>
      <w:bookmarkEnd w:id="117"/>
    </w:p>
    <w:p w14:paraId="22D51429" w14:textId="370007D7" w:rsidR="00071B95" w:rsidRPr="00071B95" w:rsidRDefault="009A185C" w:rsidP="00071B95">
      <w:pPr>
        <w:pStyle w:val="Caption"/>
      </w:pPr>
      <w:r>
        <w:t>List of e</w:t>
      </w:r>
      <w:r w:rsidR="00071B95" w:rsidRPr="00071B95">
        <w:t>valuations completed</w:t>
      </w:r>
      <w:r w:rsidR="00071B95" w:rsidRPr="00071B95">
        <w:rPr>
          <w:vertAlign w:val="superscript"/>
        </w:rPr>
        <w:footnoteReference w:id="12"/>
      </w:r>
      <w:r w:rsidR="00071B95" w:rsidRPr="00071B95">
        <w:t xml:space="preserve"> in the reporting period </w:t>
      </w:r>
    </w:p>
    <w:tbl>
      <w:tblPr>
        <w:tblStyle w:val="APPR15"/>
        <w:tblW w:w="5000" w:type="pct"/>
        <w:tblLook w:val="04A0" w:firstRow="1" w:lastRow="0" w:firstColumn="1" w:lastColumn="0" w:noHBand="0" w:noVBand="1"/>
      </w:tblPr>
      <w:tblGrid>
        <w:gridCol w:w="3875"/>
        <w:gridCol w:w="1189"/>
        <w:gridCol w:w="1941"/>
        <w:gridCol w:w="1728"/>
        <w:gridCol w:w="1729"/>
        <w:gridCol w:w="1746"/>
        <w:gridCol w:w="1727"/>
      </w:tblGrid>
      <w:tr w:rsidR="005213F3" w:rsidRPr="005213F3" w14:paraId="30D7BAD3" w14:textId="77777777" w:rsidTr="00070800">
        <w:trPr>
          <w:cnfStyle w:val="100000000000" w:firstRow="1" w:lastRow="0" w:firstColumn="0" w:lastColumn="0" w:oddVBand="0" w:evenVBand="0" w:oddHBand="0" w:evenHBand="0" w:firstRowFirstColumn="0" w:firstRowLastColumn="0" w:lastRowFirstColumn="0" w:lastRowLastColumn="0"/>
          <w:cantSplit/>
        </w:trPr>
        <w:tc>
          <w:tcPr>
            <w:tcW w:w="4038" w:type="dxa"/>
          </w:tcPr>
          <w:p w14:paraId="63733518" w14:textId="11A87142" w:rsidR="005213F3" w:rsidRPr="00070800" w:rsidRDefault="005213F3" w:rsidP="00070800">
            <w:pPr>
              <w:pStyle w:val="TableTextColumnHeading"/>
              <w:rPr>
                <w:b/>
              </w:rPr>
            </w:pPr>
            <w:r w:rsidRPr="00070800">
              <w:rPr>
                <w:b/>
              </w:rPr>
              <w:t xml:space="preserve">Name of </w:t>
            </w:r>
            <w:r w:rsidR="00CD0348" w:rsidRPr="00070800">
              <w:rPr>
                <w:b/>
              </w:rPr>
              <w:t>initiative</w:t>
            </w:r>
          </w:p>
        </w:tc>
        <w:tc>
          <w:tcPr>
            <w:tcW w:w="1181" w:type="dxa"/>
          </w:tcPr>
          <w:p w14:paraId="55C8CF81" w14:textId="77777777" w:rsidR="005213F3" w:rsidRPr="00070800" w:rsidRDefault="005213F3" w:rsidP="00070800">
            <w:pPr>
              <w:pStyle w:val="TableTextColumnHeading"/>
              <w:rPr>
                <w:b/>
              </w:rPr>
            </w:pPr>
            <w:proofErr w:type="spellStart"/>
            <w:r w:rsidRPr="00070800">
              <w:rPr>
                <w:b/>
              </w:rPr>
              <w:t>Aidworks</w:t>
            </w:r>
            <w:proofErr w:type="spellEnd"/>
            <w:r w:rsidRPr="00070800">
              <w:rPr>
                <w:b/>
              </w:rPr>
              <w:t xml:space="preserve"> number</w:t>
            </w:r>
          </w:p>
        </w:tc>
        <w:tc>
          <w:tcPr>
            <w:tcW w:w="1977" w:type="dxa"/>
          </w:tcPr>
          <w:p w14:paraId="13CD7663" w14:textId="77777777" w:rsidR="005213F3" w:rsidRPr="00070800" w:rsidRDefault="005213F3" w:rsidP="00070800">
            <w:pPr>
              <w:pStyle w:val="TableTextColumnHeading"/>
              <w:rPr>
                <w:b/>
              </w:rPr>
            </w:pPr>
            <w:r w:rsidRPr="00070800">
              <w:rPr>
                <w:b/>
              </w:rPr>
              <w:t>Type of evaluation</w:t>
            </w:r>
            <w:r w:rsidRPr="00070800">
              <w:rPr>
                <w:b/>
                <w:vertAlign w:val="superscript"/>
              </w:rPr>
              <w:footnoteReference w:id="13"/>
            </w:r>
          </w:p>
        </w:tc>
        <w:tc>
          <w:tcPr>
            <w:tcW w:w="1759" w:type="dxa"/>
          </w:tcPr>
          <w:p w14:paraId="4C43645E" w14:textId="060D9BFD" w:rsidR="005213F3" w:rsidRPr="00070800" w:rsidRDefault="005213F3" w:rsidP="00070800">
            <w:pPr>
              <w:pStyle w:val="TableTextColumnHeading"/>
              <w:rPr>
                <w:b/>
              </w:rPr>
            </w:pPr>
            <w:r w:rsidRPr="00070800">
              <w:rPr>
                <w:b/>
              </w:rPr>
              <w:t xml:space="preserve">Date </w:t>
            </w:r>
            <w:r w:rsidR="00CD0348" w:rsidRPr="00070800">
              <w:rPr>
                <w:b/>
              </w:rPr>
              <w:t xml:space="preserve">evaluation </w:t>
            </w:r>
            <w:r w:rsidRPr="00070800">
              <w:rPr>
                <w:b/>
              </w:rPr>
              <w:t>report received</w:t>
            </w:r>
          </w:p>
        </w:tc>
        <w:tc>
          <w:tcPr>
            <w:tcW w:w="1760" w:type="dxa"/>
          </w:tcPr>
          <w:p w14:paraId="506E5106" w14:textId="23D8AAF5" w:rsidR="005213F3" w:rsidRPr="00070800" w:rsidRDefault="005213F3" w:rsidP="00070800">
            <w:pPr>
              <w:pStyle w:val="TableTextColumnHeading"/>
              <w:rPr>
                <w:b/>
              </w:rPr>
            </w:pPr>
            <w:r w:rsidRPr="00070800">
              <w:rPr>
                <w:b/>
              </w:rPr>
              <w:t xml:space="preserve">Date </w:t>
            </w:r>
            <w:r w:rsidR="00CD0348" w:rsidRPr="00070800">
              <w:rPr>
                <w:b/>
              </w:rPr>
              <w:t xml:space="preserve">evaluation </w:t>
            </w:r>
            <w:r w:rsidRPr="00070800">
              <w:rPr>
                <w:b/>
              </w:rPr>
              <w:t xml:space="preserve">report </w:t>
            </w:r>
            <w:r w:rsidR="00CD0348" w:rsidRPr="00070800">
              <w:rPr>
                <w:b/>
              </w:rPr>
              <w:t xml:space="preserve">uploaded </w:t>
            </w:r>
            <w:r w:rsidRPr="00070800">
              <w:rPr>
                <w:b/>
              </w:rPr>
              <w:t xml:space="preserve">into </w:t>
            </w:r>
            <w:proofErr w:type="spellStart"/>
            <w:r w:rsidR="00CD0348" w:rsidRPr="00070800">
              <w:rPr>
                <w:b/>
              </w:rPr>
              <w:t>Aidworks</w:t>
            </w:r>
            <w:proofErr w:type="spellEnd"/>
          </w:p>
        </w:tc>
        <w:tc>
          <w:tcPr>
            <w:tcW w:w="1760" w:type="dxa"/>
          </w:tcPr>
          <w:p w14:paraId="33273C15" w14:textId="4279BBD7" w:rsidR="005213F3" w:rsidRPr="00070800" w:rsidRDefault="005213F3" w:rsidP="00070800">
            <w:pPr>
              <w:pStyle w:val="TableTextColumnHeading"/>
              <w:rPr>
                <w:b/>
              </w:rPr>
            </w:pPr>
            <w:r w:rsidRPr="00070800">
              <w:rPr>
                <w:b/>
              </w:rPr>
              <w:t xml:space="preserve">Date </w:t>
            </w:r>
            <w:r w:rsidR="00CD0348" w:rsidRPr="00070800">
              <w:rPr>
                <w:b/>
              </w:rPr>
              <w:t xml:space="preserve">management </w:t>
            </w:r>
            <w:r w:rsidRPr="00070800">
              <w:rPr>
                <w:b/>
              </w:rPr>
              <w:t xml:space="preserve">response uploaded into </w:t>
            </w:r>
            <w:proofErr w:type="spellStart"/>
            <w:r w:rsidR="00CD0348" w:rsidRPr="00070800">
              <w:rPr>
                <w:b/>
              </w:rPr>
              <w:t>Aidworks</w:t>
            </w:r>
            <w:proofErr w:type="spellEnd"/>
          </w:p>
        </w:tc>
        <w:tc>
          <w:tcPr>
            <w:tcW w:w="1746" w:type="dxa"/>
          </w:tcPr>
          <w:p w14:paraId="0338B07F" w14:textId="77777777" w:rsidR="005213F3" w:rsidRPr="00070800" w:rsidRDefault="005213F3" w:rsidP="00070800">
            <w:pPr>
              <w:pStyle w:val="TableTextColumnHeading"/>
              <w:rPr>
                <w:b/>
              </w:rPr>
            </w:pPr>
            <w:r w:rsidRPr="00070800">
              <w:rPr>
                <w:b/>
              </w:rPr>
              <w:t>Published on website</w:t>
            </w:r>
          </w:p>
        </w:tc>
      </w:tr>
      <w:tr w:rsidR="005213F3" w:rsidRPr="005213F3" w14:paraId="43DD8147" w14:textId="77777777" w:rsidTr="00070800">
        <w:trPr>
          <w:cantSplit/>
          <w:tblHeader w:val="0"/>
        </w:trPr>
        <w:tc>
          <w:tcPr>
            <w:tcW w:w="4038" w:type="dxa"/>
          </w:tcPr>
          <w:p w14:paraId="5F26FD74" w14:textId="13C2C0AD" w:rsidR="005213F3" w:rsidRPr="005213F3" w:rsidRDefault="005213F3" w:rsidP="00070800">
            <w:pPr>
              <w:pStyle w:val="TableTextEntries"/>
            </w:pPr>
            <w:r w:rsidRPr="005213F3">
              <w:t>SMERU</w:t>
            </w:r>
            <w:r w:rsidR="00CD0348">
              <w:t xml:space="preserve"> Research Institute</w:t>
            </w:r>
          </w:p>
        </w:tc>
        <w:tc>
          <w:tcPr>
            <w:tcW w:w="1181" w:type="dxa"/>
          </w:tcPr>
          <w:p w14:paraId="75D642F3" w14:textId="77777777" w:rsidR="005213F3" w:rsidRPr="005213F3" w:rsidRDefault="005213F3" w:rsidP="00070800">
            <w:pPr>
              <w:pStyle w:val="TableTextEntries"/>
            </w:pPr>
            <w:r w:rsidRPr="005213F3">
              <w:t>INE114</w:t>
            </w:r>
          </w:p>
        </w:tc>
        <w:tc>
          <w:tcPr>
            <w:tcW w:w="1977" w:type="dxa"/>
          </w:tcPr>
          <w:p w14:paraId="37D34F20" w14:textId="3E2F72D0" w:rsidR="005213F3" w:rsidRPr="005213F3" w:rsidRDefault="005213F3" w:rsidP="00070800">
            <w:pPr>
              <w:pStyle w:val="TableTextEntries"/>
            </w:pPr>
            <w:r w:rsidRPr="005213F3">
              <w:t xml:space="preserve">Independent </w:t>
            </w:r>
            <w:r w:rsidR="00CD0348">
              <w:t>c</w:t>
            </w:r>
            <w:r w:rsidR="00CD0348" w:rsidRPr="005213F3">
              <w:t xml:space="preserve">ompletion </w:t>
            </w:r>
            <w:r w:rsidR="00CD0348">
              <w:t>r</w:t>
            </w:r>
            <w:r w:rsidR="00CD0348" w:rsidRPr="005213F3">
              <w:t>eview</w:t>
            </w:r>
          </w:p>
        </w:tc>
        <w:tc>
          <w:tcPr>
            <w:tcW w:w="1759" w:type="dxa"/>
          </w:tcPr>
          <w:p w14:paraId="408F595D" w14:textId="3D547998" w:rsidR="005213F3" w:rsidRPr="005213F3" w:rsidRDefault="005213F3" w:rsidP="00070800">
            <w:pPr>
              <w:pStyle w:val="TableTextEntries"/>
            </w:pPr>
            <w:r w:rsidRPr="005213F3">
              <w:t>Jan</w:t>
            </w:r>
            <w:r w:rsidR="00CD0348">
              <w:t xml:space="preserve"> </w:t>
            </w:r>
            <w:r w:rsidRPr="005213F3">
              <w:t>12</w:t>
            </w:r>
          </w:p>
        </w:tc>
        <w:tc>
          <w:tcPr>
            <w:tcW w:w="1760" w:type="dxa"/>
          </w:tcPr>
          <w:p w14:paraId="56641D59" w14:textId="09A050E1" w:rsidR="005213F3" w:rsidRPr="005213F3" w:rsidRDefault="005213F3" w:rsidP="00070800">
            <w:pPr>
              <w:pStyle w:val="TableTextEntries"/>
            </w:pPr>
            <w:r w:rsidRPr="005213F3">
              <w:t>17</w:t>
            </w:r>
            <w:r w:rsidR="00CD0348">
              <w:t xml:space="preserve"> </w:t>
            </w:r>
            <w:r w:rsidRPr="005213F3">
              <w:t>Feb</w:t>
            </w:r>
            <w:r w:rsidR="00CD0348">
              <w:t xml:space="preserve"> </w:t>
            </w:r>
            <w:r w:rsidRPr="005213F3">
              <w:t>12</w:t>
            </w:r>
          </w:p>
        </w:tc>
        <w:tc>
          <w:tcPr>
            <w:tcW w:w="1760" w:type="dxa"/>
          </w:tcPr>
          <w:p w14:paraId="59C6D3FE" w14:textId="77777777" w:rsidR="005213F3" w:rsidRPr="005213F3" w:rsidRDefault="005213F3" w:rsidP="00070800">
            <w:pPr>
              <w:pStyle w:val="TableTextEntries"/>
            </w:pPr>
            <w:r w:rsidRPr="005213F3">
              <w:t>-</w:t>
            </w:r>
          </w:p>
        </w:tc>
        <w:tc>
          <w:tcPr>
            <w:tcW w:w="1746" w:type="dxa"/>
          </w:tcPr>
          <w:p w14:paraId="3BBFB05C" w14:textId="77777777" w:rsidR="005213F3" w:rsidRPr="005213F3" w:rsidRDefault="005213F3" w:rsidP="00070800">
            <w:pPr>
              <w:pStyle w:val="TableTextEntries"/>
            </w:pPr>
            <w:r w:rsidRPr="005213F3">
              <w:t>Yes</w:t>
            </w:r>
          </w:p>
        </w:tc>
      </w:tr>
      <w:tr w:rsidR="005213F3" w:rsidRPr="005213F3" w14:paraId="0BF75C44" w14:textId="77777777" w:rsidTr="00070800">
        <w:trPr>
          <w:cnfStyle w:val="000000010000" w:firstRow="0" w:lastRow="0" w:firstColumn="0" w:lastColumn="0" w:oddVBand="0" w:evenVBand="0" w:oddHBand="0" w:evenHBand="1" w:firstRowFirstColumn="0" w:firstRowLastColumn="0" w:lastRowFirstColumn="0" w:lastRowLastColumn="0"/>
          <w:cantSplit/>
          <w:tblHeader w:val="0"/>
        </w:trPr>
        <w:tc>
          <w:tcPr>
            <w:tcW w:w="4038" w:type="dxa"/>
          </w:tcPr>
          <w:p w14:paraId="23B5620D" w14:textId="69F2B086" w:rsidR="005213F3" w:rsidRPr="005213F3" w:rsidRDefault="00CD0348" w:rsidP="00070800">
            <w:pPr>
              <w:pStyle w:val="TableTextEntries"/>
            </w:pPr>
            <w:r w:rsidRPr="00CD0348">
              <w:t xml:space="preserve">Eastern Indonesia National Road Improvement Program </w:t>
            </w:r>
            <w:r w:rsidR="005213F3" w:rsidRPr="005213F3">
              <w:t>(</w:t>
            </w:r>
            <w:r w:rsidRPr="00CD0348">
              <w:t>Australia–Indonesia Partnership for Reconstruction and Development</w:t>
            </w:r>
            <w:r w:rsidRPr="00CD0348" w:rsidDel="00CD0348">
              <w:t xml:space="preserve"> </w:t>
            </w:r>
            <w:r>
              <w:t>l</w:t>
            </w:r>
            <w:r w:rsidRPr="005213F3">
              <w:t>oans</w:t>
            </w:r>
            <w:r w:rsidR="005213F3" w:rsidRPr="005213F3">
              <w:t>)</w:t>
            </w:r>
          </w:p>
        </w:tc>
        <w:tc>
          <w:tcPr>
            <w:tcW w:w="1181" w:type="dxa"/>
          </w:tcPr>
          <w:p w14:paraId="007F5DB9" w14:textId="77777777" w:rsidR="005213F3" w:rsidRPr="005213F3" w:rsidRDefault="005213F3" w:rsidP="00070800">
            <w:pPr>
              <w:pStyle w:val="TableTextEntries"/>
            </w:pPr>
            <w:r w:rsidRPr="005213F3">
              <w:t>ING633</w:t>
            </w:r>
          </w:p>
        </w:tc>
        <w:tc>
          <w:tcPr>
            <w:tcW w:w="1977" w:type="dxa"/>
          </w:tcPr>
          <w:p w14:paraId="313B433F" w14:textId="09B5AEA4" w:rsidR="005213F3" w:rsidRPr="005213F3" w:rsidRDefault="005213F3" w:rsidP="00070800">
            <w:pPr>
              <w:pStyle w:val="TableTextEntries"/>
            </w:pPr>
            <w:r w:rsidRPr="005213F3">
              <w:t xml:space="preserve">Independent </w:t>
            </w:r>
            <w:r w:rsidR="00CD0348">
              <w:t>p</w:t>
            </w:r>
            <w:r w:rsidR="00CD0348" w:rsidRPr="005213F3">
              <w:t xml:space="preserve">rogress </w:t>
            </w:r>
            <w:r w:rsidR="00CD0348">
              <w:t>r</w:t>
            </w:r>
            <w:r w:rsidR="00CD0348" w:rsidRPr="005213F3">
              <w:t>eview</w:t>
            </w:r>
          </w:p>
        </w:tc>
        <w:tc>
          <w:tcPr>
            <w:tcW w:w="1759" w:type="dxa"/>
          </w:tcPr>
          <w:p w14:paraId="498F94D7" w14:textId="19F97D82" w:rsidR="005213F3" w:rsidRPr="005213F3" w:rsidRDefault="005213F3" w:rsidP="00070800">
            <w:pPr>
              <w:pStyle w:val="TableTextEntries"/>
            </w:pPr>
            <w:r w:rsidRPr="005213F3">
              <w:t>Feb</w:t>
            </w:r>
            <w:r w:rsidR="00CD0348">
              <w:t xml:space="preserve"> </w:t>
            </w:r>
            <w:r w:rsidRPr="005213F3">
              <w:t>12</w:t>
            </w:r>
          </w:p>
        </w:tc>
        <w:tc>
          <w:tcPr>
            <w:tcW w:w="1760" w:type="dxa"/>
          </w:tcPr>
          <w:p w14:paraId="244DCFFD" w14:textId="15238E37" w:rsidR="005213F3" w:rsidRPr="005213F3" w:rsidRDefault="005213F3" w:rsidP="00070800">
            <w:pPr>
              <w:pStyle w:val="TableTextEntries"/>
            </w:pPr>
            <w:r w:rsidRPr="005213F3">
              <w:t>11</w:t>
            </w:r>
            <w:r w:rsidR="00CD0348">
              <w:t xml:space="preserve"> </w:t>
            </w:r>
            <w:r w:rsidRPr="005213F3">
              <w:t>Dec</w:t>
            </w:r>
            <w:r w:rsidR="00CD0348">
              <w:t xml:space="preserve"> </w:t>
            </w:r>
            <w:r w:rsidRPr="005213F3">
              <w:t>12</w:t>
            </w:r>
          </w:p>
        </w:tc>
        <w:tc>
          <w:tcPr>
            <w:tcW w:w="1760" w:type="dxa"/>
          </w:tcPr>
          <w:p w14:paraId="5830F0D4" w14:textId="56D91557" w:rsidR="005213F3" w:rsidRPr="005213F3" w:rsidRDefault="005213F3" w:rsidP="00070800">
            <w:pPr>
              <w:pStyle w:val="TableTextEntries"/>
            </w:pPr>
            <w:r w:rsidRPr="005213F3">
              <w:t>11</w:t>
            </w:r>
            <w:r w:rsidR="00CD0348">
              <w:t xml:space="preserve"> </w:t>
            </w:r>
            <w:r w:rsidRPr="005213F3">
              <w:t>Dec</w:t>
            </w:r>
            <w:r w:rsidR="00CD0348">
              <w:t xml:space="preserve"> </w:t>
            </w:r>
            <w:r w:rsidRPr="005213F3">
              <w:t>12</w:t>
            </w:r>
          </w:p>
        </w:tc>
        <w:tc>
          <w:tcPr>
            <w:tcW w:w="1746" w:type="dxa"/>
          </w:tcPr>
          <w:p w14:paraId="6893DFA3" w14:textId="77777777" w:rsidR="005213F3" w:rsidRPr="005213F3" w:rsidRDefault="005213F3" w:rsidP="00070800">
            <w:pPr>
              <w:pStyle w:val="TableTextEntries"/>
            </w:pPr>
            <w:r w:rsidRPr="005213F3">
              <w:t>Yes</w:t>
            </w:r>
          </w:p>
        </w:tc>
      </w:tr>
      <w:tr w:rsidR="005213F3" w:rsidRPr="005213F3" w14:paraId="32B91F79" w14:textId="77777777" w:rsidTr="00070800">
        <w:trPr>
          <w:cantSplit/>
          <w:tblHeader w:val="0"/>
        </w:trPr>
        <w:tc>
          <w:tcPr>
            <w:tcW w:w="4038" w:type="dxa"/>
          </w:tcPr>
          <w:p w14:paraId="2B9B4D55" w14:textId="77777777" w:rsidR="005213F3" w:rsidRPr="005213F3" w:rsidRDefault="005213F3" w:rsidP="00070800">
            <w:pPr>
              <w:pStyle w:val="TableTextEntries"/>
            </w:pPr>
            <w:r w:rsidRPr="005213F3">
              <w:t>LOGICA 2</w:t>
            </w:r>
          </w:p>
        </w:tc>
        <w:tc>
          <w:tcPr>
            <w:tcW w:w="1181" w:type="dxa"/>
          </w:tcPr>
          <w:p w14:paraId="7FF28B4B" w14:textId="77777777" w:rsidR="005213F3" w:rsidRPr="005213F3" w:rsidRDefault="005213F3" w:rsidP="00070800">
            <w:pPr>
              <w:pStyle w:val="TableTextEntries"/>
            </w:pPr>
            <w:r w:rsidRPr="005213F3">
              <w:t>INI355</w:t>
            </w:r>
          </w:p>
        </w:tc>
        <w:tc>
          <w:tcPr>
            <w:tcW w:w="1977" w:type="dxa"/>
          </w:tcPr>
          <w:p w14:paraId="16D6BF26" w14:textId="6D8E1F89" w:rsidR="005213F3" w:rsidRPr="005213F3" w:rsidRDefault="005213F3" w:rsidP="00070800">
            <w:pPr>
              <w:pStyle w:val="TableTextEntries"/>
            </w:pPr>
            <w:r w:rsidRPr="005213F3">
              <w:t>Mid-</w:t>
            </w:r>
            <w:r w:rsidR="00CD0348">
              <w:t>t</w:t>
            </w:r>
            <w:r w:rsidR="00CD0348" w:rsidRPr="005213F3">
              <w:t xml:space="preserve">erm </w:t>
            </w:r>
            <w:r w:rsidR="00CD0348">
              <w:t>r</w:t>
            </w:r>
            <w:r w:rsidR="00CD0348" w:rsidRPr="005213F3">
              <w:t>eview</w:t>
            </w:r>
          </w:p>
        </w:tc>
        <w:tc>
          <w:tcPr>
            <w:tcW w:w="1759" w:type="dxa"/>
          </w:tcPr>
          <w:p w14:paraId="476FD4DE" w14:textId="005CCF19" w:rsidR="005213F3" w:rsidRPr="005213F3" w:rsidRDefault="005213F3" w:rsidP="00070800">
            <w:pPr>
              <w:pStyle w:val="TableTextEntries"/>
            </w:pPr>
            <w:r w:rsidRPr="005213F3">
              <w:t>Feb</w:t>
            </w:r>
            <w:r w:rsidR="00CD0348">
              <w:t xml:space="preserve"> </w:t>
            </w:r>
            <w:r w:rsidRPr="005213F3">
              <w:t>12</w:t>
            </w:r>
          </w:p>
        </w:tc>
        <w:tc>
          <w:tcPr>
            <w:tcW w:w="1760" w:type="dxa"/>
          </w:tcPr>
          <w:p w14:paraId="28462E1A" w14:textId="1E773F1C" w:rsidR="005213F3" w:rsidRPr="005213F3" w:rsidRDefault="005213F3" w:rsidP="00070800">
            <w:pPr>
              <w:pStyle w:val="TableTextEntries"/>
            </w:pPr>
            <w:r w:rsidRPr="005213F3">
              <w:t>08</w:t>
            </w:r>
            <w:r w:rsidR="00CD0348">
              <w:t xml:space="preserve"> </w:t>
            </w:r>
            <w:r w:rsidRPr="005213F3">
              <w:t>Mar</w:t>
            </w:r>
            <w:r w:rsidR="00CD0348">
              <w:t xml:space="preserve"> </w:t>
            </w:r>
            <w:r w:rsidRPr="005213F3">
              <w:t>12</w:t>
            </w:r>
          </w:p>
        </w:tc>
        <w:tc>
          <w:tcPr>
            <w:tcW w:w="1760" w:type="dxa"/>
          </w:tcPr>
          <w:p w14:paraId="2763730A" w14:textId="6AAE75DF" w:rsidR="005213F3" w:rsidRPr="005213F3" w:rsidRDefault="005213F3" w:rsidP="00070800">
            <w:pPr>
              <w:pStyle w:val="TableTextEntries"/>
            </w:pPr>
            <w:r w:rsidRPr="005213F3">
              <w:t>08</w:t>
            </w:r>
            <w:r w:rsidR="00CD0348">
              <w:t xml:space="preserve"> </w:t>
            </w:r>
            <w:r w:rsidRPr="005213F3">
              <w:t>Mar</w:t>
            </w:r>
            <w:r w:rsidR="00CD0348">
              <w:t xml:space="preserve"> </w:t>
            </w:r>
            <w:r w:rsidRPr="005213F3">
              <w:t>12</w:t>
            </w:r>
          </w:p>
        </w:tc>
        <w:tc>
          <w:tcPr>
            <w:tcW w:w="1746" w:type="dxa"/>
          </w:tcPr>
          <w:p w14:paraId="2D410713" w14:textId="77777777" w:rsidR="005213F3" w:rsidRPr="005213F3" w:rsidRDefault="005213F3" w:rsidP="00070800">
            <w:pPr>
              <w:pStyle w:val="TableTextEntries"/>
            </w:pPr>
            <w:r w:rsidRPr="005213F3">
              <w:t>Yes</w:t>
            </w:r>
          </w:p>
        </w:tc>
      </w:tr>
      <w:tr w:rsidR="005213F3" w:rsidRPr="005213F3" w14:paraId="1D6B012D" w14:textId="77777777" w:rsidTr="00070800">
        <w:trPr>
          <w:cnfStyle w:val="000000010000" w:firstRow="0" w:lastRow="0" w:firstColumn="0" w:lastColumn="0" w:oddVBand="0" w:evenVBand="0" w:oddHBand="0" w:evenHBand="1" w:firstRowFirstColumn="0" w:firstRowLastColumn="0" w:lastRowFirstColumn="0" w:lastRowLastColumn="0"/>
          <w:cantSplit/>
          <w:tblHeader w:val="0"/>
        </w:trPr>
        <w:tc>
          <w:tcPr>
            <w:tcW w:w="4038" w:type="dxa"/>
          </w:tcPr>
          <w:p w14:paraId="02F927F2" w14:textId="77777777" w:rsidR="005213F3" w:rsidRPr="005213F3" w:rsidRDefault="005213F3" w:rsidP="00070800">
            <w:pPr>
              <w:pStyle w:val="TableTextEntries"/>
            </w:pPr>
            <w:r w:rsidRPr="005213F3">
              <w:t>Papua Education Sector Development</w:t>
            </w:r>
          </w:p>
        </w:tc>
        <w:tc>
          <w:tcPr>
            <w:tcW w:w="1181" w:type="dxa"/>
          </w:tcPr>
          <w:p w14:paraId="2B7E313A" w14:textId="77777777" w:rsidR="005213F3" w:rsidRPr="005213F3" w:rsidRDefault="005213F3" w:rsidP="00070800">
            <w:pPr>
              <w:pStyle w:val="TableTextEntries"/>
            </w:pPr>
            <w:r w:rsidRPr="005213F3">
              <w:t>INH436</w:t>
            </w:r>
          </w:p>
        </w:tc>
        <w:tc>
          <w:tcPr>
            <w:tcW w:w="1977" w:type="dxa"/>
          </w:tcPr>
          <w:p w14:paraId="23334E66" w14:textId="3526DA15" w:rsidR="005213F3" w:rsidRPr="005213F3" w:rsidRDefault="005213F3" w:rsidP="00070800">
            <w:pPr>
              <w:pStyle w:val="TableTextEntries"/>
            </w:pPr>
            <w:r w:rsidRPr="005213F3">
              <w:t xml:space="preserve">Independent </w:t>
            </w:r>
            <w:r w:rsidR="00CD0348">
              <w:t>p</w:t>
            </w:r>
            <w:r w:rsidR="00CD0348" w:rsidRPr="005213F3">
              <w:t xml:space="preserve">rogress </w:t>
            </w:r>
            <w:r w:rsidR="00CD0348">
              <w:t>r</w:t>
            </w:r>
            <w:r w:rsidR="00CD0348" w:rsidRPr="005213F3">
              <w:t>eview</w:t>
            </w:r>
          </w:p>
        </w:tc>
        <w:tc>
          <w:tcPr>
            <w:tcW w:w="1759" w:type="dxa"/>
          </w:tcPr>
          <w:p w14:paraId="02535EBF" w14:textId="2E892050" w:rsidR="005213F3" w:rsidRPr="005213F3" w:rsidRDefault="005213F3" w:rsidP="00070800">
            <w:pPr>
              <w:pStyle w:val="TableTextEntries"/>
            </w:pPr>
            <w:r w:rsidRPr="005213F3">
              <w:t>Mar</w:t>
            </w:r>
            <w:r w:rsidR="00CD0348">
              <w:t xml:space="preserve"> </w:t>
            </w:r>
            <w:r w:rsidRPr="005213F3">
              <w:t>12</w:t>
            </w:r>
          </w:p>
        </w:tc>
        <w:tc>
          <w:tcPr>
            <w:tcW w:w="1760" w:type="dxa"/>
          </w:tcPr>
          <w:p w14:paraId="536687FF" w14:textId="449D4321" w:rsidR="005213F3" w:rsidRPr="005213F3" w:rsidRDefault="005213F3" w:rsidP="00070800">
            <w:pPr>
              <w:pStyle w:val="TableTextEntries"/>
            </w:pPr>
            <w:r w:rsidRPr="005213F3">
              <w:t>08</w:t>
            </w:r>
            <w:r w:rsidR="00CD0348">
              <w:t xml:space="preserve"> </w:t>
            </w:r>
            <w:r w:rsidRPr="005213F3">
              <w:t>Nov</w:t>
            </w:r>
            <w:r w:rsidR="00CD0348">
              <w:t xml:space="preserve"> </w:t>
            </w:r>
            <w:r w:rsidRPr="005213F3">
              <w:t>12</w:t>
            </w:r>
          </w:p>
        </w:tc>
        <w:tc>
          <w:tcPr>
            <w:tcW w:w="1760" w:type="dxa"/>
          </w:tcPr>
          <w:p w14:paraId="1F7C2DD6" w14:textId="0E5C522B" w:rsidR="005213F3" w:rsidRPr="005213F3" w:rsidRDefault="005213F3" w:rsidP="00070800">
            <w:pPr>
              <w:pStyle w:val="TableTextEntries"/>
            </w:pPr>
            <w:r w:rsidRPr="005213F3">
              <w:t>08</w:t>
            </w:r>
            <w:r w:rsidR="00CD0348">
              <w:t xml:space="preserve"> </w:t>
            </w:r>
            <w:r w:rsidRPr="005213F3">
              <w:t>Nov</w:t>
            </w:r>
            <w:r w:rsidR="00CD0348">
              <w:t xml:space="preserve"> </w:t>
            </w:r>
            <w:r w:rsidRPr="005213F3">
              <w:t>12</w:t>
            </w:r>
          </w:p>
        </w:tc>
        <w:tc>
          <w:tcPr>
            <w:tcW w:w="1746" w:type="dxa"/>
          </w:tcPr>
          <w:p w14:paraId="79F7404F" w14:textId="77777777" w:rsidR="005213F3" w:rsidRPr="005213F3" w:rsidRDefault="005213F3" w:rsidP="00070800">
            <w:pPr>
              <w:pStyle w:val="TableTextEntries"/>
            </w:pPr>
            <w:r w:rsidRPr="005213F3">
              <w:t>No</w:t>
            </w:r>
          </w:p>
        </w:tc>
      </w:tr>
      <w:tr w:rsidR="005213F3" w:rsidRPr="005213F3" w14:paraId="7177CF66" w14:textId="77777777" w:rsidTr="00070800">
        <w:trPr>
          <w:cantSplit/>
          <w:tblHeader w:val="0"/>
        </w:trPr>
        <w:tc>
          <w:tcPr>
            <w:tcW w:w="4038" w:type="dxa"/>
          </w:tcPr>
          <w:p w14:paraId="2D18D32C" w14:textId="77777777" w:rsidR="005213F3" w:rsidRPr="005213F3" w:rsidRDefault="005213F3" w:rsidP="00070800">
            <w:pPr>
              <w:pStyle w:val="TableTextEntries"/>
            </w:pPr>
            <w:r w:rsidRPr="005213F3">
              <w:t>Aceh Education Sector Development</w:t>
            </w:r>
          </w:p>
        </w:tc>
        <w:tc>
          <w:tcPr>
            <w:tcW w:w="1181" w:type="dxa"/>
          </w:tcPr>
          <w:p w14:paraId="2C69FED3" w14:textId="77777777" w:rsidR="005213F3" w:rsidRPr="005213F3" w:rsidRDefault="005213F3" w:rsidP="00070800">
            <w:pPr>
              <w:pStyle w:val="TableTextEntries"/>
            </w:pPr>
            <w:r w:rsidRPr="005213F3">
              <w:t>INH361</w:t>
            </w:r>
          </w:p>
        </w:tc>
        <w:tc>
          <w:tcPr>
            <w:tcW w:w="1977" w:type="dxa"/>
          </w:tcPr>
          <w:p w14:paraId="7961B532" w14:textId="69327997" w:rsidR="005213F3" w:rsidRPr="005213F3" w:rsidRDefault="005213F3" w:rsidP="00070800">
            <w:pPr>
              <w:pStyle w:val="TableTextEntries"/>
            </w:pPr>
            <w:r w:rsidRPr="005213F3">
              <w:t xml:space="preserve">Independent </w:t>
            </w:r>
            <w:r w:rsidR="00CD0348">
              <w:t>p</w:t>
            </w:r>
            <w:r w:rsidR="00CD0348" w:rsidRPr="005213F3">
              <w:t xml:space="preserve">rogress </w:t>
            </w:r>
            <w:r w:rsidR="00CD0348">
              <w:t>r</w:t>
            </w:r>
            <w:r w:rsidR="00CD0348" w:rsidRPr="005213F3">
              <w:t>eview</w:t>
            </w:r>
          </w:p>
        </w:tc>
        <w:tc>
          <w:tcPr>
            <w:tcW w:w="1759" w:type="dxa"/>
          </w:tcPr>
          <w:p w14:paraId="3471497C" w14:textId="506F94DC" w:rsidR="005213F3" w:rsidRPr="005213F3" w:rsidRDefault="005213F3" w:rsidP="00070800">
            <w:pPr>
              <w:pStyle w:val="TableTextEntries"/>
            </w:pPr>
            <w:r w:rsidRPr="005213F3">
              <w:t>Apr</w:t>
            </w:r>
            <w:r w:rsidR="00CD0348">
              <w:t xml:space="preserve"> </w:t>
            </w:r>
            <w:r w:rsidRPr="005213F3">
              <w:t>12</w:t>
            </w:r>
          </w:p>
        </w:tc>
        <w:tc>
          <w:tcPr>
            <w:tcW w:w="1760" w:type="dxa"/>
          </w:tcPr>
          <w:p w14:paraId="791CD982" w14:textId="3B04D367" w:rsidR="005213F3" w:rsidRPr="005213F3" w:rsidRDefault="005213F3" w:rsidP="00070800">
            <w:pPr>
              <w:pStyle w:val="TableTextEntries"/>
            </w:pPr>
            <w:r w:rsidRPr="005213F3">
              <w:t>11</w:t>
            </w:r>
            <w:r w:rsidR="00CD0348">
              <w:t xml:space="preserve"> </w:t>
            </w:r>
            <w:r w:rsidRPr="005213F3">
              <w:t>May</w:t>
            </w:r>
            <w:r w:rsidR="00CD0348">
              <w:t xml:space="preserve"> </w:t>
            </w:r>
            <w:r w:rsidRPr="005213F3">
              <w:t>12</w:t>
            </w:r>
          </w:p>
        </w:tc>
        <w:tc>
          <w:tcPr>
            <w:tcW w:w="1760" w:type="dxa"/>
          </w:tcPr>
          <w:p w14:paraId="62D14AA8" w14:textId="77777777" w:rsidR="005213F3" w:rsidRPr="005213F3" w:rsidRDefault="005213F3" w:rsidP="00070800">
            <w:pPr>
              <w:pStyle w:val="TableTextEntries"/>
            </w:pPr>
            <w:r w:rsidRPr="005213F3">
              <w:t>-</w:t>
            </w:r>
          </w:p>
        </w:tc>
        <w:tc>
          <w:tcPr>
            <w:tcW w:w="1746" w:type="dxa"/>
          </w:tcPr>
          <w:p w14:paraId="122A07BE" w14:textId="77777777" w:rsidR="005213F3" w:rsidRPr="005213F3" w:rsidRDefault="005213F3" w:rsidP="00070800">
            <w:pPr>
              <w:pStyle w:val="TableTextEntries"/>
            </w:pPr>
            <w:r w:rsidRPr="005213F3">
              <w:t>No</w:t>
            </w:r>
          </w:p>
        </w:tc>
      </w:tr>
      <w:tr w:rsidR="005213F3" w:rsidRPr="005213F3" w14:paraId="72CC95C9" w14:textId="77777777" w:rsidTr="00070800">
        <w:trPr>
          <w:cnfStyle w:val="000000010000" w:firstRow="0" w:lastRow="0" w:firstColumn="0" w:lastColumn="0" w:oddVBand="0" w:evenVBand="0" w:oddHBand="0" w:evenHBand="1" w:firstRowFirstColumn="0" w:firstRowLastColumn="0" w:lastRowFirstColumn="0" w:lastRowLastColumn="0"/>
          <w:cantSplit/>
          <w:tblHeader w:val="0"/>
        </w:trPr>
        <w:tc>
          <w:tcPr>
            <w:tcW w:w="4038" w:type="dxa"/>
          </w:tcPr>
          <w:p w14:paraId="1C5C71EB" w14:textId="77777777" w:rsidR="005213F3" w:rsidRPr="005213F3" w:rsidRDefault="005213F3" w:rsidP="00070800">
            <w:pPr>
              <w:pStyle w:val="TableTextEntries"/>
            </w:pPr>
            <w:r w:rsidRPr="005213F3">
              <w:t>Counter-Terrorism Cooperation Fund</w:t>
            </w:r>
          </w:p>
        </w:tc>
        <w:tc>
          <w:tcPr>
            <w:tcW w:w="1181" w:type="dxa"/>
          </w:tcPr>
          <w:p w14:paraId="218B1393" w14:textId="77777777" w:rsidR="005213F3" w:rsidRPr="005213F3" w:rsidRDefault="005213F3" w:rsidP="00070800">
            <w:pPr>
              <w:pStyle w:val="TableTextEntries"/>
            </w:pPr>
            <w:r w:rsidRPr="005213F3">
              <w:t>INJ274</w:t>
            </w:r>
          </w:p>
        </w:tc>
        <w:tc>
          <w:tcPr>
            <w:tcW w:w="1977" w:type="dxa"/>
          </w:tcPr>
          <w:p w14:paraId="6F7AA1A7" w14:textId="78206409" w:rsidR="005213F3" w:rsidRPr="005213F3" w:rsidRDefault="005213F3" w:rsidP="00070800">
            <w:pPr>
              <w:pStyle w:val="TableTextEntries"/>
            </w:pPr>
            <w:r w:rsidRPr="005213F3">
              <w:t xml:space="preserve">Independent </w:t>
            </w:r>
            <w:r w:rsidR="00CD0348">
              <w:t>c</w:t>
            </w:r>
            <w:r w:rsidR="00CD0348" w:rsidRPr="005213F3">
              <w:t xml:space="preserve">ompletion </w:t>
            </w:r>
            <w:r w:rsidR="00CD0348">
              <w:t>r</w:t>
            </w:r>
            <w:r w:rsidRPr="005213F3">
              <w:t>eview</w:t>
            </w:r>
          </w:p>
        </w:tc>
        <w:tc>
          <w:tcPr>
            <w:tcW w:w="1759" w:type="dxa"/>
          </w:tcPr>
          <w:p w14:paraId="4E9866CC" w14:textId="0DAAB664" w:rsidR="005213F3" w:rsidRPr="005213F3" w:rsidRDefault="005213F3" w:rsidP="00070800">
            <w:pPr>
              <w:pStyle w:val="TableTextEntries"/>
            </w:pPr>
            <w:r w:rsidRPr="005213F3">
              <w:t>Apr</w:t>
            </w:r>
            <w:r w:rsidR="00CD0348">
              <w:t xml:space="preserve"> </w:t>
            </w:r>
            <w:r w:rsidRPr="005213F3">
              <w:t>12</w:t>
            </w:r>
          </w:p>
        </w:tc>
        <w:tc>
          <w:tcPr>
            <w:tcW w:w="1760" w:type="dxa"/>
          </w:tcPr>
          <w:p w14:paraId="47AC85F0" w14:textId="1FF10E9C" w:rsidR="005213F3" w:rsidRPr="005213F3" w:rsidRDefault="005213F3" w:rsidP="00070800">
            <w:pPr>
              <w:pStyle w:val="TableTextEntries"/>
            </w:pPr>
            <w:r w:rsidRPr="005213F3">
              <w:t>05</w:t>
            </w:r>
            <w:r w:rsidR="00CD0348">
              <w:t xml:space="preserve"> </w:t>
            </w:r>
            <w:r w:rsidRPr="005213F3">
              <w:t>Nov</w:t>
            </w:r>
            <w:r w:rsidR="00CD0348">
              <w:t xml:space="preserve"> </w:t>
            </w:r>
            <w:r w:rsidRPr="005213F3">
              <w:t>12</w:t>
            </w:r>
          </w:p>
        </w:tc>
        <w:tc>
          <w:tcPr>
            <w:tcW w:w="1760" w:type="dxa"/>
          </w:tcPr>
          <w:p w14:paraId="409B1C42" w14:textId="53745ACC" w:rsidR="005213F3" w:rsidRPr="005213F3" w:rsidRDefault="005213F3" w:rsidP="00070800">
            <w:pPr>
              <w:pStyle w:val="TableTextEntries"/>
            </w:pPr>
            <w:r w:rsidRPr="005213F3">
              <w:t>20</w:t>
            </w:r>
            <w:r w:rsidR="00CD0348">
              <w:t xml:space="preserve"> </w:t>
            </w:r>
            <w:r w:rsidRPr="005213F3">
              <w:t>Feb</w:t>
            </w:r>
            <w:r w:rsidR="00CD0348">
              <w:t xml:space="preserve"> </w:t>
            </w:r>
            <w:r w:rsidRPr="005213F3">
              <w:t>13</w:t>
            </w:r>
          </w:p>
        </w:tc>
        <w:tc>
          <w:tcPr>
            <w:tcW w:w="1746" w:type="dxa"/>
          </w:tcPr>
          <w:p w14:paraId="1997E22D" w14:textId="77777777" w:rsidR="005213F3" w:rsidRPr="005213F3" w:rsidRDefault="005213F3" w:rsidP="00070800">
            <w:pPr>
              <w:pStyle w:val="TableTextEntries"/>
            </w:pPr>
            <w:r w:rsidRPr="005213F3">
              <w:t>Yes</w:t>
            </w:r>
          </w:p>
        </w:tc>
      </w:tr>
      <w:tr w:rsidR="005213F3" w:rsidRPr="005213F3" w14:paraId="035BDF65" w14:textId="77777777" w:rsidTr="00070800">
        <w:trPr>
          <w:cantSplit/>
          <w:tblHeader w:val="0"/>
        </w:trPr>
        <w:tc>
          <w:tcPr>
            <w:tcW w:w="4038" w:type="dxa"/>
          </w:tcPr>
          <w:p w14:paraId="2D9B3E20" w14:textId="77777777" w:rsidR="005213F3" w:rsidRPr="005213F3" w:rsidRDefault="005213F3" w:rsidP="00070800">
            <w:pPr>
              <w:pStyle w:val="TableTextEntries"/>
            </w:pPr>
            <w:r w:rsidRPr="005213F3">
              <w:t>Health Facilities Reconstruction in West Sumatra</w:t>
            </w:r>
          </w:p>
        </w:tc>
        <w:tc>
          <w:tcPr>
            <w:tcW w:w="1181" w:type="dxa"/>
          </w:tcPr>
          <w:p w14:paraId="37AB2013" w14:textId="77777777" w:rsidR="005213F3" w:rsidRPr="005213F3" w:rsidRDefault="005213F3" w:rsidP="00070800">
            <w:pPr>
              <w:pStyle w:val="TableTextEntries"/>
            </w:pPr>
            <w:r w:rsidRPr="005213F3">
              <w:t>INJ124</w:t>
            </w:r>
          </w:p>
        </w:tc>
        <w:tc>
          <w:tcPr>
            <w:tcW w:w="1977" w:type="dxa"/>
          </w:tcPr>
          <w:p w14:paraId="3AFA598F" w14:textId="01BF2142" w:rsidR="005213F3" w:rsidRPr="005213F3" w:rsidRDefault="005213F3" w:rsidP="00070800">
            <w:pPr>
              <w:pStyle w:val="TableTextEntries"/>
            </w:pPr>
            <w:r w:rsidRPr="005213F3">
              <w:t xml:space="preserve">Independent </w:t>
            </w:r>
            <w:r w:rsidR="00CD0348">
              <w:t>c</w:t>
            </w:r>
            <w:r w:rsidR="00CD0348" w:rsidRPr="005213F3">
              <w:t xml:space="preserve">ompletion </w:t>
            </w:r>
            <w:r w:rsidR="00CD0348">
              <w:t>r</w:t>
            </w:r>
            <w:r w:rsidR="00CD0348" w:rsidRPr="005213F3">
              <w:t>eview</w:t>
            </w:r>
          </w:p>
        </w:tc>
        <w:tc>
          <w:tcPr>
            <w:tcW w:w="1759" w:type="dxa"/>
          </w:tcPr>
          <w:p w14:paraId="314AA8EE" w14:textId="1C6BA17E" w:rsidR="005213F3" w:rsidRPr="005213F3" w:rsidRDefault="005213F3" w:rsidP="00070800">
            <w:pPr>
              <w:pStyle w:val="TableTextEntries"/>
            </w:pPr>
            <w:r w:rsidRPr="005213F3">
              <w:t>May</w:t>
            </w:r>
            <w:r w:rsidR="00CD0348">
              <w:t xml:space="preserve"> </w:t>
            </w:r>
            <w:r w:rsidRPr="005213F3">
              <w:t>12</w:t>
            </w:r>
          </w:p>
        </w:tc>
        <w:tc>
          <w:tcPr>
            <w:tcW w:w="1760" w:type="dxa"/>
          </w:tcPr>
          <w:p w14:paraId="183F6E1B" w14:textId="0D4DCFEF" w:rsidR="005213F3" w:rsidRPr="005213F3" w:rsidRDefault="005213F3" w:rsidP="00070800">
            <w:pPr>
              <w:pStyle w:val="TableTextEntries"/>
            </w:pPr>
            <w:r w:rsidRPr="005213F3">
              <w:t>08</w:t>
            </w:r>
            <w:r w:rsidR="00CD0348">
              <w:t xml:space="preserve"> </w:t>
            </w:r>
            <w:r w:rsidRPr="005213F3">
              <w:t>Nov</w:t>
            </w:r>
            <w:r w:rsidR="00CD0348">
              <w:t xml:space="preserve"> </w:t>
            </w:r>
            <w:r w:rsidRPr="005213F3">
              <w:t>12</w:t>
            </w:r>
          </w:p>
        </w:tc>
        <w:tc>
          <w:tcPr>
            <w:tcW w:w="1760" w:type="dxa"/>
          </w:tcPr>
          <w:p w14:paraId="546FCBC3" w14:textId="05268C0B" w:rsidR="005213F3" w:rsidRPr="005213F3" w:rsidRDefault="005213F3" w:rsidP="00070800">
            <w:pPr>
              <w:pStyle w:val="TableTextEntries"/>
            </w:pPr>
            <w:r w:rsidRPr="005213F3">
              <w:t>08</w:t>
            </w:r>
            <w:r w:rsidR="00CD0348">
              <w:t xml:space="preserve"> </w:t>
            </w:r>
            <w:r w:rsidRPr="005213F3">
              <w:t>Nov</w:t>
            </w:r>
            <w:r w:rsidR="00CD0348">
              <w:t xml:space="preserve"> </w:t>
            </w:r>
            <w:r w:rsidRPr="005213F3">
              <w:t>12</w:t>
            </w:r>
          </w:p>
        </w:tc>
        <w:tc>
          <w:tcPr>
            <w:tcW w:w="1746" w:type="dxa"/>
          </w:tcPr>
          <w:p w14:paraId="5FE8DC64" w14:textId="77777777" w:rsidR="005213F3" w:rsidRPr="005213F3" w:rsidRDefault="005213F3" w:rsidP="00070800">
            <w:pPr>
              <w:pStyle w:val="TableTextEntries"/>
            </w:pPr>
            <w:r w:rsidRPr="005213F3">
              <w:t>Yes</w:t>
            </w:r>
          </w:p>
        </w:tc>
      </w:tr>
      <w:tr w:rsidR="005213F3" w:rsidRPr="005213F3" w14:paraId="191738C5" w14:textId="77777777" w:rsidTr="00070800">
        <w:trPr>
          <w:cnfStyle w:val="000000010000" w:firstRow="0" w:lastRow="0" w:firstColumn="0" w:lastColumn="0" w:oddVBand="0" w:evenVBand="0" w:oddHBand="0" w:evenHBand="1" w:firstRowFirstColumn="0" w:firstRowLastColumn="0" w:lastRowFirstColumn="0" w:lastRowLastColumn="0"/>
          <w:cantSplit/>
          <w:tblHeader w:val="0"/>
        </w:trPr>
        <w:tc>
          <w:tcPr>
            <w:tcW w:w="4038" w:type="dxa"/>
          </w:tcPr>
          <w:p w14:paraId="7695CADA" w14:textId="79FE8674" w:rsidR="005213F3" w:rsidRPr="005213F3" w:rsidRDefault="005213F3" w:rsidP="00070800">
            <w:pPr>
              <w:pStyle w:val="TableTextEntries"/>
            </w:pPr>
            <w:r w:rsidRPr="005213F3">
              <w:t>The Indonesia Project (A</w:t>
            </w:r>
            <w:r w:rsidR="00CD0348">
              <w:t xml:space="preserve">ustralian </w:t>
            </w:r>
            <w:r w:rsidRPr="005213F3">
              <w:t>N</w:t>
            </w:r>
            <w:r w:rsidR="00CD0348">
              <w:t xml:space="preserve">ational </w:t>
            </w:r>
            <w:r w:rsidRPr="005213F3">
              <w:t>U</w:t>
            </w:r>
            <w:r w:rsidR="00CD0348">
              <w:t>niversity</w:t>
            </w:r>
            <w:r w:rsidRPr="005213F3">
              <w:t>)</w:t>
            </w:r>
          </w:p>
        </w:tc>
        <w:tc>
          <w:tcPr>
            <w:tcW w:w="1181" w:type="dxa"/>
          </w:tcPr>
          <w:p w14:paraId="6B9410FE" w14:textId="77777777" w:rsidR="005213F3" w:rsidRPr="005213F3" w:rsidRDefault="005213F3" w:rsidP="00070800">
            <w:pPr>
              <w:pStyle w:val="TableTextEntries"/>
            </w:pPr>
            <w:r w:rsidRPr="005213F3">
              <w:t>INI035</w:t>
            </w:r>
          </w:p>
        </w:tc>
        <w:tc>
          <w:tcPr>
            <w:tcW w:w="1977" w:type="dxa"/>
          </w:tcPr>
          <w:p w14:paraId="2A5CCD98" w14:textId="32D73C5E" w:rsidR="005213F3" w:rsidRPr="005213F3" w:rsidRDefault="005213F3" w:rsidP="00070800">
            <w:pPr>
              <w:pStyle w:val="TableTextEntries"/>
            </w:pPr>
            <w:r w:rsidRPr="005213F3">
              <w:t xml:space="preserve">Independent </w:t>
            </w:r>
            <w:r w:rsidR="00CD0348">
              <w:t>r</w:t>
            </w:r>
            <w:r w:rsidR="00CD0348" w:rsidRPr="005213F3">
              <w:t>eview</w:t>
            </w:r>
          </w:p>
        </w:tc>
        <w:tc>
          <w:tcPr>
            <w:tcW w:w="1759" w:type="dxa"/>
          </w:tcPr>
          <w:p w14:paraId="45481AA8" w14:textId="0633A8BC" w:rsidR="005213F3" w:rsidRPr="005213F3" w:rsidRDefault="005213F3" w:rsidP="00070800">
            <w:pPr>
              <w:pStyle w:val="TableTextEntries"/>
            </w:pPr>
            <w:r w:rsidRPr="005213F3">
              <w:t>May</w:t>
            </w:r>
            <w:r w:rsidR="00CD0348">
              <w:t xml:space="preserve"> </w:t>
            </w:r>
            <w:r w:rsidRPr="005213F3">
              <w:t>12</w:t>
            </w:r>
          </w:p>
        </w:tc>
        <w:tc>
          <w:tcPr>
            <w:tcW w:w="1760" w:type="dxa"/>
          </w:tcPr>
          <w:p w14:paraId="7A338215" w14:textId="644FA19E" w:rsidR="005213F3" w:rsidRPr="005213F3" w:rsidRDefault="005213F3" w:rsidP="00070800">
            <w:pPr>
              <w:pStyle w:val="TableTextEntries"/>
            </w:pPr>
            <w:r w:rsidRPr="005213F3">
              <w:t>12</w:t>
            </w:r>
            <w:r w:rsidR="00CD0348">
              <w:t xml:space="preserve"> </w:t>
            </w:r>
            <w:r w:rsidRPr="005213F3">
              <w:t>Oct</w:t>
            </w:r>
            <w:r w:rsidR="00CD0348">
              <w:t xml:space="preserve"> </w:t>
            </w:r>
            <w:r w:rsidRPr="005213F3">
              <w:t>2012</w:t>
            </w:r>
          </w:p>
        </w:tc>
        <w:tc>
          <w:tcPr>
            <w:tcW w:w="1760" w:type="dxa"/>
          </w:tcPr>
          <w:p w14:paraId="251264C7" w14:textId="0FDB5D6C" w:rsidR="005213F3" w:rsidRPr="005213F3" w:rsidRDefault="005213F3" w:rsidP="00070800">
            <w:pPr>
              <w:pStyle w:val="TableTextEntries"/>
            </w:pPr>
            <w:r w:rsidRPr="005213F3">
              <w:t>12</w:t>
            </w:r>
            <w:r w:rsidR="00CD0348">
              <w:t xml:space="preserve"> </w:t>
            </w:r>
            <w:r w:rsidRPr="005213F3">
              <w:t>Oct</w:t>
            </w:r>
            <w:r w:rsidR="00CD0348">
              <w:t xml:space="preserve"> </w:t>
            </w:r>
            <w:r w:rsidRPr="005213F3">
              <w:t>2012</w:t>
            </w:r>
          </w:p>
        </w:tc>
        <w:tc>
          <w:tcPr>
            <w:tcW w:w="1746" w:type="dxa"/>
          </w:tcPr>
          <w:p w14:paraId="4DB0F797" w14:textId="77777777" w:rsidR="005213F3" w:rsidRPr="005213F3" w:rsidRDefault="005213F3" w:rsidP="00070800">
            <w:pPr>
              <w:pStyle w:val="TableTextEntries"/>
            </w:pPr>
            <w:r w:rsidRPr="005213F3">
              <w:t>-</w:t>
            </w:r>
          </w:p>
        </w:tc>
      </w:tr>
      <w:tr w:rsidR="005213F3" w:rsidRPr="005213F3" w14:paraId="6ABA46E5" w14:textId="77777777" w:rsidTr="00070800">
        <w:trPr>
          <w:cantSplit/>
          <w:tblHeader w:val="0"/>
        </w:trPr>
        <w:tc>
          <w:tcPr>
            <w:tcW w:w="4038" w:type="dxa"/>
          </w:tcPr>
          <w:p w14:paraId="2AE99A09" w14:textId="7BF512EB" w:rsidR="005213F3" w:rsidRPr="005213F3" w:rsidRDefault="005213F3" w:rsidP="00070800">
            <w:pPr>
              <w:pStyle w:val="TableTextEntries"/>
            </w:pPr>
            <w:r w:rsidRPr="005213F3">
              <w:t>HIV Cooperation Program for Indonesia under Australia-Indonesia Partnership for HIV</w:t>
            </w:r>
          </w:p>
        </w:tc>
        <w:tc>
          <w:tcPr>
            <w:tcW w:w="1181" w:type="dxa"/>
          </w:tcPr>
          <w:p w14:paraId="5EC71526" w14:textId="77777777" w:rsidR="005213F3" w:rsidRPr="005213F3" w:rsidRDefault="005213F3" w:rsidP="00070800">
            <w:pPr>
              <w:pStyle w:val="TableTextEntries"/>
            </w:pPr>
            <w:r w:rsidRPr="005213F3">
              <w:t>INH251 (07A415)</w:t>
            </w:r>
          </w:p>
        </w:tc>
        <w:tc>
          <w:tcPr>
            <w:tcW w:w="1977" w:type="dxa"/>
          </w:tcPr>
          <w:p w14:paraId="16833065" w14:textId="03E3C480" w:rsidR="005213F3" w:rsidRPr="005213F3" w:rsidRDefault="005213F3" w:rsidP="00070800">
            <w:pPr>
              <w:pStyle w:val="TableTextEntries"/>
            </w:pPr>
            <w:r w:rsidRPr="005213F3">
              <w:t xml:space="preserve">Independent </w:t>
            </w:r>
            <w:r w:rsidR="00CD0348">
              <w:t>r</w:t>
            </w:r>
            <w:r w:rsidRPr="005213F3">
              <w:t xml:space="preserve">eview </w:t>
            </w:r>
          </w:p>
        </w:tc>
        <w:tc>
          <w:tcPr>
            <w:tcW w:w="1759" w:type="dxa"/>
          </w:tcPr>
          <w:p w14:paraId="41E44126" w14:textId="53F6112E" w:rsidR="005213F3" w:rsidRPr="005213F3" w:rsidRDefault="005213F3" w:rsidP="00070800">
            <w:pPr>
              <w:pStyle w:val="TableTextEntries"/>
            </w:pPr>
            <w:r w:rsidRPr="005213F3">
              <w:t>Aug</w:t>
            </w:r>
            <w:r w:rsidR="00CD0348">
              <w:t xml:space="preserve"> </w:t>
            </w:r>
            <w:r w:rsidRPr="005213F3">
              <w:t>12</w:t>
            </w:r>
          </w:p>
        </w:tc>
        <w:tc>
          <w:tcPr>
            <w:tcW w:w="1760" w:type="dxa"/>
          </w:tcPr>
          <w:p w14:paraId="6CA419F5" w14:textId="2630E72A" w:rsidR="005213F3" w:rsidRPr="005213F3" w:rsidRDefault="005213F3" w:rsidP="00070800">
            <w:pPr>
              <w:pStyle w:val="TableTextEntries"/>
            </w:pPr>
            <w:r w:rsidRPr="005213F3">
              <w:t>7</w:t>
            </w:r>
            <w:r w:rsidR="00CD0348">
              <w:t xml:space="preserve"> </w:t>
            </w:r>
            <w:r w:rsidRPr="005213F3">
              <w:t>Nov</w:t>
            </w:r>
            <w:r w:rsidR="00CD0348">
              <w:t xml:space="preserve"> </w:t>
            </w:r>
            <w:r w:rsidRPr="005213F3">
              <w:t>12</w:t>
            </w:r>
          </w:p>
        </w:tc>
        <w:tc>
          <w:tcPr>
            <w:tcW w:w="1760" w:type="dxa"/>
          </w:tcPr>
          <w:p w14:paraId="6E84ACF5" w14:textId="77777777" w:rsidR="005213F3" w:rsidRPr="005213F3" w:rsidRDefault="005213F3" w:rsidP="00070800">
            <w:pPr>
              <w:pStyle w:val="TableTextEntries"/>
            </w:pPr>
            <w:r w:rsidRPr="005213F3">
              <w:t>-</w:t>
            </w:r>
          </w:p>
        </w:tc>
        <w:tc>
          <w:tcPr>
            <w:tcW w:w="1746" w:type="dxa"/>
          </w:tcPr>
          <w:p w14:paraId="72EC3500" w14:textId="77777777" w:rsidR="005213F3" w:rsidRPr="005213F3" w:rsidRDefault="005213F3" w:rsidP="00070800">
            <w:pPr>
              <w:pStyle w:val="TableTextEntries"/>
            </w:pPr>
            <w:r w:rsidRPr="005213F3">
              <w:t>-</w:t>
            </w:r>
          </w:p>
        </w:tc>
      </w:tr>
      <w:tr w:rsidR="005213F3" w:rsidRPr="005213F3" w14:paraId="31EF4B6E" w14:textId="77777777" w:rsidTr="00070800">
        <w:trPr>
          <w:cnfStyle w:val="000000010000" w:firstRow="0" w:lastRow="0" w:firstColumn="0" w:lastColumn="0" w:oddVBand="0" w:evenVBand="0" w:oddHBand="0" w:evenHBand="1" w:firstRowFirstColumn="0" w:firstRowLastColumn="0" w:lastRowFirstColumn="0" w:lastRowLastColumn="0"/>
          <w:cantSplit/>
          <w:tblHeader w:val="0"/>
        </w:trPr>
        <w:tc>
          <w:tcPr>
            <w:tcW w:w="4038" w:type="dxa"/>
          </w:tcPr>
          <w:p w14:paraId="073EAFD0" w14:textId="20AD2B71" w:rsidR="005213F3" w:rsidRPr="005213F3" w:rsidRDefault="000A11DD" w:rsidP="00070800">
            <w:pPr>
              <w:pStyle w:val="TableTextEntries"/>
            </w:pPr>
            <w:r>
              <w:lastRenderedPageBreak/>
              <w:t>Australia–Indonesia</w:t>
            </w:r>
            <w:r w:rsidR="005213F3" w:rsidRPr="005213F3">
              <w:t xml:space="preserve"> Electoral Support Program 2011</w:t>
            </w:r>
            <w:r w:rsidR="00CD0348">
              <w:t>–</w:t>
            </w:r>
            <w:r w:rsidR="005213F3" w:rsidRPr="005213F3">
              <w:t xml:space="preserve">2015 </w:t>
            </w:r>
          </w:p>
        </w:tc>
        <w:tc>
          <w:tcPr>
            <w:tcW w:w="1181" w:type="dxa"/>
          </w:tcPr>
          <w:p w14:paraId="0AEB7244" w14:textId="77777777" w:rsidR="005213F3" w:rsidRPr="005213F3" w:rsidRDefault="005213F3" w:rsidP="00070800">
            <w:pPr>
              <w:pStyle w:val="TableTextEntries"/>
            </w:pPr>
            <w:r w:rsidRPr="005213F3">
              <w:t>INJ632</w:t>
            </w:r>
          </w:p>
        </w:tc>
        <w:tc>
          <w:tcPr>
            <w:tcW w:w="1977" w:type="dxa"/>
          </w:tcPr>
          <w:p w14:paraId="058B5AEC" w14:textId="70FCE5D5" w:rsidR="005213F3" w:rsidRPr="005213F3" w:rsidRDefault="005213F3" w:rsidP="00070800">
            <w:pPr>
              <w:pStyle w:val="TableTextEntries"/>
            </w:pPr>
            <w:r w:rsidRPr="005213F3">
              <w:t xml:space="preserve">Independent </w:t>
            </w:r>
            <w:r w:rsidR="00CD0348">
              <w:t>p</w:t>
            </w:r>
            <w:r w:rsidR="00CD0348" w:rsidRPr="005213F3">
              <w:t xml:space="preserve">rogress </w:t>
            </w:r>
            <w:r w:rsidR="00CD0348">
              <w:t>r</w:t>
            </w:r>
            <w:r w:rsidR="00CD0348" w:rsidRPr="005213F3">
              <w:t>eview</w:t>
            </w:r>
          </w:p>
        </w:tc>
        <w:tc>
          <w:tcPr>
            <w:tcW w:w="1759" w:type="dxa"/>
          </w:tcPr>
          <w:p w14:paraId="4E2BB666" w14:textId="6A9E6164" w:rsidR="005213F3" w:rsidRPr="005213F3" w:rsidRDefault="005213F3" w:rsidP="00070800">
            <w:pPr>
              <w:pStyle w:val="TableTextEntries"/>
            </w:pPr>
            <w:r w:rsidRPr="005213F3">
              <w:t>15</w:t>
            </w:r>
            <w:r w:rsidR="00CD0348">
              <w:t xml:space="preserve"> </w:t>
            </w:r>
            <w:r w:rsidRPr="005213F3">
              <w:t>Nov</w:t>
            </w:r>
            <w:r w:rsidR="00CD0348">
              <w:t xml:space="preserve"> </w:t>
            </w:r>
            <w:r w:rsidRPr="005213F3">
              <w:t>12</w:t>
            </w:r>
          </w:p>
        </w:tc>
        <w:tc>
          <w:tcPr>
            <w:tcW w:w="1760" w:type="dxa"/>
          </w:tcPr>
          <w:p w14:paraId="7E013666" w14:textId="1F040412" w:rsidR="005213F3" w:rsidRPr="005213F3" w:rsidRDefault="005213F3" w:rsidP="00070800">
            <w:pPr>
              <w:pStyle w:val="TableTextEntries"/>
            </w:pPr>
            <w:r w:rsidRPr="005213F3">
              <w:t>15</w:t>
            </w:r>
            <w:r w:rsidR="00CD0348">
              <w:t xml:space="preserve"> </w:t>
            </w:r>
            <w:r w:rsidRPr="005213F3">
              <w:t>Feb</w:t>
            </w:r>
            <w:r w:rsidR="00CD0348">
              <w:t xml:space="preserve"> </w:t>
            </w:r>
            <w:r w:rsidRPr="005213F3">
              <w:t>13</w:t>
            </w:r>
          </w:p>
        </w:tc>
        <w:tc>
          <w:tcPr>
            <w:tcW w:w="1760" w:type="dxa"/>
          </w:tcPr>
          <w:p w14:paraId="0F90F4F9" w14:textId="77777777" w:rsidR="005213F3" w:rsidRPr="005213F3" w:rsidRDefault="005213F3" w:rsidP="00070800">
            <w:pPr>
              <w:pStyle w:val="TableTextEntries"/>
            </w:pPr>
            <w:r w:rsidRPr="005213F3">
              <w:t>-</w:t>
            </w:r>
          </w:p>
        </w:tc>
        <w:tc>
          <w:tcPr>
            <w:tcW w:w="1746" w:type="dxa"/>
          </w:tcPr>
          <w:p w14:paraId="4712A922" w14:textId="77777777" w:rsidR="005213F3" w:rsidRPr="005213F3" w:rsidRDefault="005213F3" w:rsidP="00070800">
            <w:pPr>
              <w:pStyle w:val="TableTextEntries"/>
            </w:pPr>
            <w:r w:rsidRPr="005213F3">
              <w:t>-</w:t>
            </w:r>
          </w:p>
        </w:tc>
      </w:tr>
      <w:tr w:rsidR="005213F3" w:rsidRPr="005213F3" w14:paraId="1BCAA464" w14:textId="77777777" w:rsidTr="00070800">
        <w:trPr>
          <w:cantSplit/>
          <w:tblHeader w:val="0"/>
        </w:trPr>
        <w:tc>
          <w:tcPr>
            <w:tcW w:w="4038" w:type="dxa"/>
          </w:tcPr>
          <w:p w14:paraId="442D78C7" w14:textId="161BD535" w:rsidR="005213F3" w:rsidRPr="005213F3" w:rsidRDefault="005213F3" w:rsidP="00070800">
            <w:pPr>
              <w:pStyle w:val="TableTextEntries"/>
            </w:pPr>
            <w:r w:rsidRPr="005213F3">
              <w:t>Partnership for Knowledge-Based Poverty Reduction under Poverty Reduction and Social Protection Support</w:t>
            </w:r>
          </w:p>
        </w:tc>
        <w:tc>
          <w:tcPr>
            <w:tcW w:w="1181" w:type="dxa"/>
          </w:tcPr>
          <w:p w14:paraId="1F7F3E84" w14:textId="77777777" w:rsidR="005213F3" w:rsidRPr="005213F3" w:rsidRDefault="005213F3" w:rsidP="00070800">
            <w:pPr>
              <w:pStyle w:val="TableTextEntries"/>
            </w:pPr>
            <w:r w:rsidRPr="005213F3">
              <w:t>INJ244 (10A664)</w:t>
            </w:r>
          </w:p>
        </w:tc>
        <w:tc>
          <w:tcPr>
            <w:tcW w:w="1977" w:type="dxa"/>
          </w:tcPr>
          <w:p w14:paraId="6F8E07B8" w14:textId="58D03DED" w:rsidR="005213F3" w:rsidRPr="005213F3" w:rsidRDefault="005213F3" w:rsidP="00070800">
            <w:pPr>
              <w:pStyle w:val="TableTextEntries"/>
            </w:pPr>
            <w:r w:rsidRPr="005213F3">
              <w:t xml:space="preserve">Independent </w:t>
            </w:r>
            <w:r w:rsidR="00CD0348">
              <w:t>p</w:t>
            </w:r>
            <w:r w:rsidR="00CD0348" w:rsidRPr="005213F3">
              <w:t xml:space="preserve">rogress </w:t>
            </w:r>
            <w:r w:rsidR="00CD0348">
              <w:t>r</w:t>
            </w:r>
            <w:r w:rsidR="00CD0348" w:rsidRPr="005213F3">
              <w:t>eview</w:t>
            </w:r>
          </w:p>
        </w:tc>
        <w:tc>
          <w:tcPr>
            <w:tcW w:w="1759" w:type="dxa"/>
          </w:tcPr>
          <w:p w14:paraId="36CB1FC5" w14:textId="47E49B9E" w:rsidR="005213F3" w:rsidRPr="005213F3" w:rsidRDefault="005213F3" w:rsidP="00070800">
            <w:pPr>
              <w:pStyle w:val="TableTextEntries"/>
            </w:pPr>
            <w:r w:rsidRPr="005213F3">
              <w:t>Nov</w:t>
            </w:r>
            <w:r w:rsidR="00CD0348">
              <w:t xml:space="preserve"> </w:t>
            </w:r>
            <w:r w:rsidRPr="005213F3">
              <w:t>12</w:t>
            </w:r>
          </w:p>
        </w:tc>
        <w:tc>
          <w:tcPr>
            <w:tcW w:w="1760" w:type="dxa"/>
          </w:tcPr>
          <w:p w14:paraId="298EA135" w14:textId="40DBD922" w:rsidR="005213F3" w:rsidRPr="005213F3" w:rsidRDefault="005213F3" w:rsidP="00070800">
            <w:pPr>
              <w:pStyle w:val="TableTextEntries"/>
            </w:pPr>
            <w:r w:rsidRPr="005213F3">
              <w:t>13</w:t>
            </w:r>
            <w:r w:rsidR="00CD0348">
              <w:t xml:space="preserve"> </w:t>
            </w:r>
            <w:r w:rsidRPr="005213F3">
              <w:t>Feb</w:t>
            </w:r>
            <w:r w:rsidR="00CD0348">
              <w:t xml:space="preserve"> </w:t>
            </w:r>
            <w:r w:rsidRPr="005213F3">
              <w:t>13</w:t>
            </w:r>
          </w:p>
        </w:tc>
        <w:tc>
          <w:tcPr>
            <w:tcW w:w="1760" w:type="dxa"/>
          </w:tcPr>
          <w:p w14:paraId="5FCB4385" w14:textId="7465435E" w:rsidR="005213F3" w:rsidRPr="005213F3" w:rsidRDefault="005213F3" w:rsidP="00070800">
            <w:pPr>
              <w:pStyle w:val="TableTextEntries"/>
            </w:pPr>
            <w:r w:rsidRPr="005213F3">
              <w:t>6</w:t>
            </w:r>
            <w:r w:rsidR="00CD0348">
              <w:t xml:space="preserve"> </w:t>
            </w:r>
            <w:r w:rsidRPr="005213F3">
              <w:t>May</w:t>
            </w:r>
            <w:r w:rsidR="00CD0348">
              <w:t xml:space="preserve"> </w:t>
            </w:r>
            <w:r w:rsidRPr="005213F3">
              <w:t>13</w:t>
            </w:r>
          </w:p>
        </w:tc>
        <w:tc>
          <w:tcPr>
            <w:tcW w:w="1746" w:type="dxa"/>
          </w:tcPr>
          <w:p w14:paraId="13EA3A48" w14:textId="77777777" w:rsidR="005213F3" w:rsidRPr="005213F3" w:rsidRDefault="005213F3" w:rsidP="00070800">
            <w:pPr>
              <w:pStyle w:val="TableTextEntries"/>
            </w:pPr>
            <w:r w:rsidRPr="005213F3">
              <w:t>-</w:t>
            </w:r>
          </w:p>
        </w:tc>
      </w:tr>
      <w:tr w:rsidR="005213F3" w:rsidRPr="005213F3" w14:paraId="29BFB912" w14:textId="77777777" w:rsidTr="00070800">
        <w:trPr>
          <w:cnfStyle w:val="000000010000" w:firstRow="0" w:lastRow="0" w:firstColumn="0" w:lastColumn="0" w:oddVBand="0" w:evenVBand="0" w:oddHBand="0" w:evenHBand="1" w:firstRowFirstColumn="0" w:firstRowLastColumn="0" w:lastRowFirstColumn="0" w:lastRowLastColumn="0"/>
          <w:cantSplit/>
          <w:tblHeader w:val="0"/>
        </w:trPr>
        <w:tc>
          <w:tcPr>
            <w:tcW w:w="4038" w:type="dxa"/>
          </w:tcPr>
          <w:p w14:paraId="481147B3" w14:textId="28E32310" w:rsidR="005213F3" w:rsidRPr="005213F3" w:rsidRDefault="005213F3" w:rsidP="00070800">
            <w:pPr>
              <w:pStyle w:val="TableTextEntries"/>
            </w:pPr>
            <w:r w:rsidRPr="005213F3">
              <w:t xml:space="preserve">The Indonesian Earthquake Hazard Project under </w:t>
            </w:r>
            <w:r w:rsidR="00E75EDD">
              <w:t>the</w:t>
            </w:r>
            <w:r w:rsidR="00E75EDD" w:rsidRPr="005213F3">
              <w:t xml:space="preserve"> </w:t>
            </w:r>
            <w:r w:rsidRPr="005213F3">
              <w:t>Australia</w:t>
            </w:r>
            <w:r w:rsidR="00E75EDD">
              <w:t>–</w:t>
            </w:r>
            <w:r w:rsidRPr="005213F3">
              <w:t>Indonesia Facility for Disaster Reduction</w:t>
            </w:r>
          </w:p>
        </w:tc>
        <w:tc>
          <w:tcPr>
            <w:tcW w:w="1181" w:type="dxa"/>
          </w:tcPr>
          <w:p w14:paraId="59F880C8" w14:textId="77777777" w:rsidR="005213F3" w:rsidRPr="005213F3" w:rsidRDefault="005213F3" w:rsidP="00070800">
            <w:pPr>
              <w:pStyle w:val="TableTextEntries"/>
            </w:pPr>
            <w:r w:rsidRPr="005213F3">
              <w:t>INI422 (09A142)</w:t>
            </w:r>
          </w:p>
        </w:tc>
        <w:tc>
          <w:tcPr>
            <w:tcW w:w="1977" w:type="dxa"/>
          </w:tcPr>
          <w:p w14:paraId="2D7161EF" w14:textId="1B4B63D3" w:rsidR="005213F3" w:rsidRPr="005213F3" w:rsidRDefault="005213F3" w:rsidP="00070800">
            <w:pPr>
              <w:pStyle w:val="TableTextEntries"/>
            </w:pPr>
            <w:r w:rsidRPr="005213F3">
              <w:t xml:space="preserve">Independent </w:t>
            </w:r>
            <w:r w:rsidR="000A11DD">
              <w:t>p</w:t>
            </w:r>
            <w:r w:rsidR="000A11DD" w:rsidRPr="005213F3">
              <w:t xml:space="preserve">rogress </w:t>
            </w:r>
            <w:r w:rsidR="000A11DD">
              <w:t>r</w:t>
            </w:r>
            <w:r w:rsidR="000A11DD" w:rsidRPr="005213F3">
              <w:t>eview</w:t>
            </w:r>
          </w:p>
        </w:tc>
        <w:tc>
          <w:tcPr>
            <w:tcW w:w="1759" w:type="dxa"/>
          </w:tcPr>
          <w:p w14:paraId="71C6C92A" w14:textId="0243214B" w:rsidR="005213F3" w:rsidRPr="005213F3" w:rsidRDefault="005213F3" w:rsidP="00070800">
            <w:pPr>
              <w:pStyle w:val="TableTextEntries"/>
            </w:pPr>
            <w:r w:rsidRPr="005213F3">
              <w:t>5</w:t>
            </w:r>
            <w:r w:rsidR="00CD0348">
              <w:t xml:space="preserve"> </w:t>
            </w:r>
            <w:r w:rsidRPr="005213F3">
              <w:t>Nov</w:t>
            </w:r>
            <w:r w:rsidR="00CD0348">
              <w:t xml:space="preserve"> </w:t>
            </w:r>
            <w:r w:rsidRPr="005213F3">
              <w:t>12</w:t>
            </w:r>
          </w:p>
        </w:tc>
        <w:tc>
          <w:tcPr>
            <w:tcW w:w="1760" w:type="dxa"/>
          </w:tcPr>
          <w:p w14:paraId="72204B10" w14:textId="74C64CCD" w:rsidR="005213F3" w:rsidRPr="005213F3" w:rsidRDefault="005213F3" w:rsidP="00070800">
            <w:pPr>
              <w:pStyle w:val="TableTextEntries"/>
            </w:pPr>
            <w:r w:rsidRPr="005213F3">
              <w:t>14</w:t>
            </w:r>
            <w:r w:rsidR="00CD0348">
              <w:t xml:space="preserve"> </w:t>
            </w:r>
            <w:r w:rsidRPr="005213F3">
              <w:t>Feb</w:t>
            </w:r>
            <w:r w:rsidR="00CD0348">
              <w:t xml:space="preserve"> </w:t>
            </w:r>
            <w:r w:rsidRPr="005213F3">
              <w:t>13</w:t>
            </w:r>
          </w:p>
        </w:tc>
        <w:tc>
          <w:tcPr>
            <w:tcW w:w="1760" w:type="dxa"/>
          </w:tcPr>
          <w:p w14:paraId="5BEC99ED" w14:textId="77777777" w:rsidR="005213F3" w:rsidRPr="005213F3" w:rsidRDefault="005213F3" w:rsidP="00070800">
            <w:pPr>
              <w:pStyle w:val="TableTextEntries"/>
            </w:pPr>
            <w:r w:rsidRPr="005213F3">
              <w:t>-</w:t>
            </w:r>
          </w:p>
        </w:tc>
        <w:tc>
          <w:tcPr>
            <w:tcW w:w="1746" w:type="dxa"/>
          </w:tcPr>
          <w:p w14:paraId="1ED9EF58" w14:textId="77777777" w:rsidR="005213F3" w:rsidRPr="005213F3" w:rsidRDefault="005213F3" w:rsidP="00070800">
            <w:pPr>
              <w:pStyle w:val="TableTextEntries"/>
            </w:pPr>
            <w:r w:rsidRPr="005213F3">
              <w:t>No</w:t>
            </w:r>
          </w:p>
        </w:tc>
      </w:tr>
      <w:tr w:rsidR="005213F3" w:rsidRPr="005213F3" w14:paraId="702886EF" w14:textId="77777777" w:rsidTr="00070800">
        <w:trPr>
          <w:cantSplit/>
          <w:tblHeader w:val="0"/>
        </w:trPr>
        <w:tc>
          <w:tcPr>
            <w:tcW w:w="4038" w:type="dxa"/>
          </w:tcPr>
          <w:p w14:paraId="3B2BA08F" w14:textId="73D5A1A6" w:rsidR="005213F3" w:rsidRPr="005213F3" w:rsidRDefault="000A11DD" w:rsidP="00070800">
            <w:pPr>
              <w:pStyle w:val="TableTextEntries"/>
            </w:pPr>
            <w:r>
              <w:t>Australia–Indonesia</w:t>
            </w:r>
            <w:r w:rsidR="005213F3" w:rsidRPr="005213F3">
              <w:t xml:space="preserve"> Partnership for Emerging Infectious Diseases Animal Health Program 2010</w:t>
            </w:r>
            <w:r w:rsidR="00E75EDD">
              <w:t>–</w:t>
            </w:r>
            <w:r w:rsidR="005213F3" w:rsidRPr="005213F3">
              <w:t>2014</w:t>
            </w:r>
          </w:p>
        </w:tc>
        <w:tc>
          <w:tcPr>
            <w:tcW w:w="1181" w:type="dxa"/>
          </w:tcPr>
          <w:p w14:paraId="13BB708F" w14:textId="77777777" w:rsidR="005213F3" w:rsidRPr="005213F3" w:rsidRDefault="005213F3" w:rsidP="00070800">
            <w:pPr>
              <w:pStyle w:val="TableTextEntries"/>
            </w:pPr>
            <w:r w:rsidRPr="005213F3">
              <w:t>INJ509</w:t>
            </w:r>
          </w:p>
        </w:tc>
        <w:tc>
          <w:tcPr>
            <w:tcW w:w="1977" w:type="dxa"/>
          </w:tcPr>
          <w:p w14:paraId="18D9D2ED" w14:textId="5F6AC52E" w:rsidR="005213F3" w:rsidRPr="005213F3" w:rsidRDefault="005213F3" w:rsidP="00070800">
            <w:pPr>
              <w:pStyle w:val="TableTextEntries"/>
            </w:pPr>
            <w:r w:rsidRPr="005213F3">
              <w:t xml:space="preserve">Independent </w:t>
            </w:r>
            <w:r w:rsidR="000A11DD">
              <w:t>p</w:t>
            </w:r>
            <w:r w:rsidR="000A11DD" w:rsidRPr="005213F3">
              <w:t xml:space="preserve">rogress </w:t>
            </w:r>
            <w:r w:rsidR="000A11DD">
              <w:t>r</w:t>
            </w:r>
            <w:r w:rsidR="000A11DD" w:rsidRPr="005213F3">
              <w:t>eview</w:t>
            </w:r>
          </w:p>
        </w:tc>
        <w:tc>
          <w:tcPr>
            <w:tcW w:w="1759" w:type="dxa"/>
          </w:tcPr>
          <w:p w14:paraId="777D91AE" w14:textId="1851CB33" w:rsidR="005213F3" w:rsidRPr="005213F3" w:rsidRDefault="005213F3" w:rsidP="00070800">
            <w:pPr>
              <w:pStyle w:val="TableTextEntries"/>
            </w:pPr>
            <w:r w:rsidRPr="005213F3">
              <w:t>29</w:t>
            </w:r>
            <w:r w:rsidR="00CD0348">
              <w:t xml:space="preserve"> </w:t>
            </w:r>
            <w:r w:rsidRPr="005213F3">
              <w:t>Jan</w:t>
            </w:r>
            <w:r w:rsidR="00CD0348">
              <w:t xml:space="preserve"> </w:t>
            </w:r>
            <w:r w:rsidRPr="005213F3">
              <w:t>13</w:t>
            </w:r>
          </w:p>
        </w:tc>
        <w:tc>
          <w:tcPr>
            <w:tcW w:w="1760" w:type="dxa"/>
          </w:tcPr>
          <w:p w14:paraId="274ABA45" w14:textId="68DA190A" w:rsidR="005213F3" w:rsidRPr="005213F3" w:rsidRDefault="005213F3" w:rsidP="00070800">
            <w:pPr>
              <w:pStyle w:val="TableTextEntries"/>
            </w:pPr>
            <w:r w:rsidRPr="005213F3">
              <w:t>13</w:t>
            </w:r>
            <w:r w:rsidR="00CD0348">
              <w:t xml:space="preserve"> </w:t>
            </w:r>
            <w:r w:rsidRPr="005213F3">
              <w:t>Feb</w:t>
            </w:r>
            <w:r w:rsidR="00CD0348">
              <w:t xml:space="preserve"> </w:t>
            </w:r>
            <w:r w:rsidRPr="005213F3">
              <w:t>13</w:t>
            </w:r>
          </w:p>
        </w:tc>
        <w:tc>
          <w:tcPr>
            <w:tcW w:w="1760" w:type="dxa"/>
          </w:tcPr>
          <w:p w14:paraId="78D8BEDB" w14:textId="77777777" w:rsidR="005213F3" w:rsidRPr="005213F3" w:rsidRDefault="005213F3" w:rsidP="00070800">
            <w:pPr>
              <w:pStyle w:val="TableTextEntries"/>
            </w:pPr>
            <w:r w:rsidRPr="005213F3">
              <w:t>-</w:t>
            </w:r>
          </w:p>
        </w:tc>
        <w:tc>
          <w:tcPr>
            <w:tcW w:w="1746" w:type="dxa"/>
          </w:tcPr>
          <w:p w14:paraId="2E1ED6F0" w14:textId="77777777" w:rsidR="005213F3" w:rsidRPr="005213F3" w:rsidRDefault="005213F3" w:rsidP="00070800">
            <w:pPr>
              <w:pStyle w:val="TableTextEntries"/>
            </w:pPr>
            <w:r w:rsidRPr="005213F3">
              <w:t>No</w:t>
            </w:r>
          </w:p>
        </w:tc>
      </w:tr>
      <w:tr w:rsidR="005213F3" w:rsidRPr="005213F3" w14:paraId="71A50DD7" w14:textId="77777777" w:rsidTr="00070800">
        <w:trPr>
          <w:cnfStyle w:val="000000010000" w:firstRow="0" w:lastRow="0" w:firstColumn="0" w:lastColumn="0" w:oddVBand="0" w:evenVBand="0" w:oddHBand="0" w:evenHBand="1" w:firstRowFirstColumn="0" w:firstRowLastColumn="0" w:lastRowFirstColumn="0" w:lastRowLastColumn="0"/>
          <w:cantSplit/>
          <w:tblHeader w:val="0"/>
        </w:trPr>
        <w:tc>
          <w:tcPr>
            <w:tcW w:w="4038" w:type="dxa"/>
          </w:tcPr>
          <w:p w14:paraId="5DCD5F2E" w14:textId="11856F61" w:rsidR="005213F3" w:rsidRPr="005213F3" w:rsidRDefault="000A11DD" w:rsidP="00070800">
            <w:pPr>
              <w:pStyle w:val="TableTextEntries"/>
            </w:pPr>
            <w:r>
              <w:t>Australia–Indonesia</w:t>
            </w:r>
            <w:r w:rsidR="005213F3" w:rsidRPr="005213F3">
              <w:t xml:space="preserve"> Partnership for Justice </w:t>
            </w:r>
          </w:p>
        </w:tc>
        <w:tc>
          <w:tcPr>
            <w:tcW w:w="1181" w:type="dxa"/>
          </w:tcPr>
          <w:p w14:paraId="2AC95854" w14:textId="77777777" w:rsidR="005213F3" w:rsidRPr="005213F3" w:rsidRDefault="005213F3" w:rsidP="00070800">
            <w:pPr>
              <w:pStyle w:val="TableTextEntries"/>
            </w:pPr>
            <w:r w:rsidRPr="005213F3">
              <w:t>INJ137</w:t>
            </w:r>
          </w:p>
        </w:tc>
        <w:tc>
          <w:tcPr>
            <w:tcW w:w="1977" w:type="dxa"/>
          </w:tcPr>
          <w:p w14:paraId="094E6895" w14:textId="15B78521" w:rsidR="005213F3" w:rsidRPr="005213F3" w:rsidRDefault="005213F3" w:rsidP="00070800">
            <w:pPr>
              <w:pStyle w:val="TableTextEntries"/>
            </w:pPr>
            <w:r w:rsidRPr="005213F3">
              <w:t xml:space="preserve">Independent </w:t>
            </w:r>
            <w:r w:rsidR="000A11DD">
              <w:t>p</w:t>
            </w:r>
            <w:r w:rsidR="000A11DD" w:rsidRPr="005213F3">
              <w:t xml:space="preserve">rogress </w:t>
            </w:r>
            <w:r w:rsidR="000A11DD">
              <w:t>r</w:t>
            </w:r>
            <w:r w:rsidR="000A11DD" w:rsidRPr="005213F3">
              <w:t>eview</w:t>
            </w:r>
          </w:p>
        </w:tc>
        <w:tc>
          <w:tcPr>
            <w:tcW w:w="1759" w:type="dxa"/>
          </w:tcPr>
          <w:p w14:paraId="200EDC58" w14:textId="3C7AF664" w:rsidR="005213F3" w:rsidRPr="005213F3" w:rsidRDefault="005213F3" w:rsidP="00070800">
            <w:pPr>
              <w:pStyle w:val="TableTextEntries"/>
            </w:pPr>
            <w:r w:rsidRPr="005213F3">
              <w:t>Nov</w:t>
            </w:r>
            <w:r w:rsidR="00CD0348">
              <w:t xml:space="preserve"> </w:t>
            </w:r>
            <w:r w:rsidRPr="005213F3">
              <w:t>12</w:t>
            </w:r>
          </w:p>
        </w:tc>
        <w:tc>
          <w:tcPr>
            <w:tcW w:w="1760" w:type="dxa"/>
          </w:tcPr>
          <w:p w14:paraId="7527E8FE" w14:textId="61D8816A" w:rsidR="005213F3" w:rsidRPr="005213F3" w:rsidRDefault="005213F3" w:rsidP="00070800">
            <w:pPr>
              <w:pStyle w:val="TableTextEntries"/>
            </w:pPr>
            <w:r w:rsidRPr="005213F3">
              <w:t>18</w:t>
            </w:r>
            <w:r w:rsidR="00CD0348">
              <w:t xml:space="preserve"> </w:t>
            </w:r>
            <w:r w:rsidRPr="005213F3">
              <w:t>Feb</w:t>
            </w:r>
            <w:r w:rsidR="00CD0348">
              <w:t xml:space="preserve"> </w:t>
            </w:r>
            <w:r w:rsidRPr="005213F3">
              <w:t>13</w:t>
            </w:r>
          </w:p>
        </w:tc>
        <w:tc>
          <w:tcPr>
            <w:tcW w:w="1760" w:type="dxa"/>
          </w:tcPr>
          <w:p w14:paraId="17224DFD" w14:textId="25A08F7C" w:rsidR="005213F3" w:rsidRPr="005213F3" w:rsidRDefault="005213F3" w:rsidP="00070800">
            <w:pPr>
              <w:pStyle w:val="TableTextEntries"/>
            </w:pPr>
            <w:r w:rsidRPr="005213F3">
              <w:t>18</w:t>
            </w:r>
            <w:r w:rsidR="00CD0348">
              <w:t xml:space="preserve"> </w:t>
            </w:r>
            <w:r w:rsidRPr="005213F3">
              <w:t>Feb</w:t>
            </w:r>
            <w:r w:rsidR="00CD0348">
              <w:t xml:space="preserve"> </w:t>
            </w:r>
            <w:r w:rsidRPr="005213F3">
              <w:t>13</w:t>
            </w:r>
          </w:p>
        </w:tc>
        <w:tc>
          <w:tcPr>
            <w:tcW w:w="1746" w:type="dxa"/>
          </w:tcPr>
          <w:p w14:paraId="1A16A42D" w14:textId="77777777" w:rsidR="005213F3" w:rsidRPr="005213F3" w:rsidRDefault="005213F3" w:rsidP="00070800">
            <w:pPr>
              <w:pStyle w:val="TableTextEntries"/>
            </w:pPr>
            <w:r w:rsidRPr="005213F3">
              <w:t>No</w:t>
            </w:r>
          </w:p>
        </w:tc>
      </w:tr>
      <w:tr w:rsidR="005213F3" w:rsidRPr="005213F3" w14:paraId="3D8E1694" w14:textId="77777777" w:rsidTr="00070800">
        <w:trPr>
          <w:cantSplit/>
          <w:tblHeader w:val="0"/>
        </w:trPr>
        <w:tc>
          <w:tcPr>
            <w:tcW w:w="4038" w:type="dxa"/>
          </w:tcPr>
          <w:p w14:paraId="6410D37C" w14:textId="4185713F" w:rsidR="005213F3" w:rsidRPr="005213F3" w:rsidRDefault="005213F3" w:rsidP="00070800">
            <w:pPr>
              <w:pStyle w:val="TableTextEntries"/>
            </w:pPr>
            <w:r w:rsidRPr="005213F3">
              <w:t xml:space="preserve">Australia’s Support to the </w:t>
            </w:r>
            <w:r w:rsidR="000A11DD">
              <w:t>Indonesian Government</w:t>
            </w:r>
            <w:r w:rsidRPr="005213F3">
              <w:t xml:space="preserve"> </w:t>
            </w:r>
            <w:r w:rsidRPr="005213F3">
              <w:rPr>
                <w:i/>
              </w:rPr>
              <w:t xml:space="preserve">Tim </w:t>
            </w:r>
            <w:proofErr w:type="spellStart"/>
            <w:r w:rsidRPr="005213F3">
              <w:rPr>
                <w:i/>
              </w:rPr>
              <w:t>Bantuan</w:t>
            </w:r>
            <w:proofErr w:type="spellEnd"/>
            <w:r w:rsidRPr="005213F3">
              <w:rPr>
                <w:i/>
              </w:rPr>
              <w:t xml:space="preserve"> Tata </w:t>
            </w:r>
            <w:proofErr w:type="spellStart"/>
            <w:r w:rsidRPr="005213F3">
              <w:rPr>
                <w:i/>
              </w:rPr>
              <w:t>Kelola</w:t>
            </w:r>
            <w:proofErr w:type="spellEnd"/>
            <w:r w:rsidRPr="005213F3">
              <w:rPr>
                <w:i/>
              </w:rPr>
              <w:t xml:space="preserve"> </w:t>
            </w:r>
            <w:proofErr w:type="spellStart"/>
            <w:r w:rsidRPr="005213F3">
              <w:rPr>
                <w:i/>
              </w:rPr>
              <w:t>Pemerintahan</w:t>
            </w:r>
            <w:proofErr w:type="spellEnd"/>
            <w:r w:rsidRPr="005213F3">
              <w:t xml:space="preserve"> </w:t>
            </w:r>
          </w:p>
        </w:tc>
        <w:tc>
          <w:tcPr>
            <w:tcW w:w="1181" w:type="dxa"/>
          </w:tcPr>
          <w:p w14:paraId="748E28EA" w14:textId="77777777" w:rsidR="005213F3" w:rsidRPr="005213F3" w:rsidRDefault="005213F3" w:rsidP="00070800">
            <w:pPr>
              <w:pStyle w:val="TableTextEntries"/>
            </w:pPr>
            <w:r w:rsidRPr="005213F3">
              <w:t>INJ823</w:t>
            </w:r>
          </w:p>
        </w:tc>
        <w:tc>
          <w:tcPr>
            <w:tcW w:w="1977" w:type="dxa"/>
          </w:tcPr>
          <w:p w14:paraId="0CC4964B" w14:textId="0400884F" w:rsidR="005213F3" w:rsidRPr="005213F3" w:rsidRDefault="005213F3" w:rsidP="00070800">
            <w:pPr>
              <w:pStyle w:val="TableTextEntries"/>
            </w:pPr>
            <w:r w:rsidRPr="005213F3">
              <w:t xml:space="preserve">Independent </w:t>
            </w:r>
            <w:r w:rsidR="000A11DD">
              <w:t>p</w:t>
            </w:r>
            <w:r w:rsidR="000A11DD" w:rsidRPr="005213F3">
              <w:t xml:space="preserve">rogress </w:t>
            </w:r>
            <w:r w:rsidR="000A11DD">
              <w:t>r</w:t>
            </w:r>
            <w:r w:rsidR="000A11DD" w:rsidRPr="005213F3">
              <w:t>eview</w:t>
            </w:r>
          </w:p>
        </w:tc>
        <w:tc>
          <w:tcPr>
            <w:tcW w:w="1759" w:type="dxa"/>
          </w:tcPr>
          <w:p w14:paraId="6CC66355" w14:textId="2379FDA4" w:rsidR="005213F3" w:rsidRPr="005213F3" w:rsidRDefault="005213F3" w:rsidP="00070800">
            <w:pPr>
              <w:pStyle w:val="TableTextEntries"/>
            </w:pPr>
            <w:r w:rsidRPr="005213F3">
              <w:t>Jan</w:t>
            </w:r>
            <w:r w:rsidR="00CD0348">
              <w:t xml:space="preserve"> </w:t>
            </w:r>
            <w:r w:rsidRPr="005213F3">
              <w:t>12</w:t>
            </w:r>
          </w:p>
        </w:tc>
        <w:tc>
          <w:tcPr>
            <w:tcW w:w="1760" w:type="dxa"/>
          </w:tcPr>
          <w:p w14:paraId="11DD948A" w14:textId="3107347B" w:rsidR="005213F3" w:rsidRPr="005213F3" w:rsidRDefault="005213F3" w:rsidP="00070800">
            <w:pPr>
              <w:pStyle w:val="TableTextEntries"/>
            </w:pPr>
            <w:r w:rsidRPr="005213F3">
              <w:t>15</w:t>
            </w:r>
            <w:r w:rsidR="00CD0348">
              <w:t xml:space="preserve"> </w:t>
            </w:r>
            <w:r w:rsidRPr="005213F3">
              <w:t>Feb</w:t>
            </w:r>
            <w:r w:rsidR="00CD0348">
              <w:t xml:space="preserve"> </w:t>
            </w:r>
            <w:r w:rsidRPr="005213F3">
              <w:t>13</w:t>
            </w:r>
          </w:p>
        </w:tc>
        <w:tc>
          <w:tcPr>
            <w:tcW w:w="1760" w:type="dxa"/>
          </w:tcPr>
          <w:p w14:paraId="7C9831E5" w14:textId="77777777" w:rsidR="005213F3" w:rsidRPr="005213F3" w:rsidRDefault="005213F3" w:rsidP="00070800">
            <w:pPr>
              <w:pStyle w:val="TableTextEntries"/>
            </w:pPr>
            <w:r w:rsidRPr="005213F3">
              <w:t>-</w:t>
            </w:r>
          </w:p>
        </w:tc>
        <w:tc>
          <w:tcPr>
            <w:tcW w:w="1746" w:type="dxa"/>
          </w:tcPr>
          <w:p w14:paraId="75BF0E22" w14:textId="77777777" w:rsidR="005213F3" w:rsidRPr="005213F3" w:rsidRDefault="005213F3" w:rsidP="00070800">
            <w:pPr>
              <w:pStyle w:val="TableTextEntries"/>
            </w:pPr>
            <w:r w:rsidRPr="005213F3">
              <w:t>No</w:t>
            </w:r>
          </w:p>
        </w:tc>
      </w:tr>
    </w:tbl>
    <w:p w14:paraId="52F66168" w14:textId="77777777" w:rsidR="00071B95" w:rsidRPr="00071B95" w:rsidRDefault="00071B95" w:rsidP="00070800">
      <w:pPr>
        <w:pStyle w:val="BodyText"/>
      </w:pPr>
    </w:p>
    <w:p w14:paraId="5103A1C1" w14:textId="77777777" w:rsidR="00071B95" w:rsidRPr="00071B95" w:rsidRDefault="00071B95" w:rsidP="00071B95">
      <w:pPr>
        <w:pStyle w:val="Caption"/>
      </w:pPr>
      <w:r w:rsidRPr="00071B95">
        <w:t xml:space="preserve">List of evaluations planned in the next 12 months </w:t>
      </w:r>
    </w:p>
    <w:tbl>
      <w:tblPr>
        <w:tblStyle w:val="APPR16"/>
        <w:tblW w:w="5000" w:type="pct"/>
        <w:tblLook w:val="0600" w:firstRow="0" w:lastRow="0" w:firstColumn="0" w:lastColumn="0" w:noHBand="1" w:noVBand="1"/>
      </w:tblPr>
      <w:tblGrid>
        <w:gridCol w:w="3719"/>
        <w:gridCol w:w="1228"/>
        <w:gridCol w:w="2998"/>
        <w:gridCol w:w="2997"/>
        <w:gridCol w:w="2993"/>
      </w:tblGrid>
      <w:tr w:rsidR="005C0536" w:rsidRPr="005C0536" w14:paraId="3D4A3D61" w14:textId="77777777" w:rsidTr="00070800">
        <w:trPr>
          <w:cantSplit/>
        </w:trPr>
        <w:tc>
          <w:tcPr>
            <w:tcW w:w="3819" w:type="dxa"/>
          </w:tcPr>
          <w:p w14:paraId="13615430" w14:textId="7C750D80" w:rsidR="005C0536" w:rsidRPr="005C0536" w:rsidRDefault="005C0536" w:rsidP="00070800">
            <w:pPr>
              <w:pStyle w:val="TableTextColumnHeading"/>
            </w:pPr>
            <w:r w:rsidRPr="005C0536">
              <w:t xml:space="preserve">Name of </w:t>
            </w:r>
            <w:r w:rsidR="00E75EDD">
              <w:t>i</w:t>
            </w:r>
            <w:r w:rsidR="00E75EDD" w:rsidRPr="005C0536">
              <w:t>nitiative</w:t>
            </w:r>
          </w:p>
        </w:tc>
        <w:tc>
          <w:tcPr>
            <w:tcW w:w="1220" w:type="dxa"/>
          </w:tcPr>
          <w:p w14:paraId="17E77E92" w14:textId="77777777" w:rsidR="005C0536" w:rsidRPr="005C0536" w:rsidRDefault="005C0536" w:rsidP="00070800">
            <w:pPr>
              <w:pStyle w:val="TableTextColumnHeading"/>
            </w:pPr>
            <w:proofErr w:type="spellStart"/>
            <w:r w:rsidRPr="005C0536">
              <w:t>Aidworks</w:t>
            </w:r>
            <w:proofErr w:type="spellEnd"/>
            <w:r w:rsidRPr="005C0536">
              <w:t xml:space="preserve"> number</w:t>
            </w:r>
          </w:p>
        </w:tc>
        <w:tc>
          <w:tcPr>
            <w:tcW w:w="3084" w:type="dxa"/>
          </w:tcPr>
          <w:p w14:paraId="26EF654E" w14:textId="77777777" w:rsidR="005C0536" w:rsidRPr="005C0536" w:rsidRDefault="005C0536" w:rsidP="00070800">
            <w:pPr>
              <w:pStyle w:val="TableTextColumnHeading"/>
            </w:pPr>
            <w:r w:rsidRPr="005C0536">
              <w:t>Type of evaluation</w:t>
            </w:r>
          </w:p>
        </w:tc>
        <w:tc>
          <w:tcPr>
            <w:tcW w:w="3084" w:type="dxa"/>
          </w:tcPr>
          <w:p w14:paraId="490E3900" w14:textId="77777777" w:rsidR="005C0536" w:rsidRPr="005C0536" w:rsidRDefault="005C0536" w:rsidP="00070800">
            <w:pPr>
              <w:pStyle w:val="TableTextColumnHeading"/>
            </w:pPr>
            <w:r w:rsidRPr="005C0536">
              <w:t>Purpose of evaluation</w:t>
            </w:r>
            <w:r w:rsidRPr="005C0536">
              <w:rPr>
                <w:vertAlign w:val="superscript"/>
              </w:rPr>
              <w:footnoteReference w:id="14"/>
            </w:r>
          </w:p>
        </w:tc>
        <w:tc>
          <w:tcPr>
            <w:tcW w:w="3070" w:type="dxa"/>
          </w:tcPr>
          <w:p w14:paraId="41ADA2C5" w14:textId="77777777" w:rsidR="005C0536" w:rsidRPr="005C0536" w:rsidRDefault="005C0536" w:rsidP="00070800">
            <w:pPr>
              <w:pStyle w:val="TableTextColumnHeading"/>
            </w:pPr>
            <w:r w:rsidRPr="005C0536">
              <w:t>Expected completion date</w:t>
            </w:r>
          </w:p>
        </w:tc>
      </w:tr>
      <w:tr w:rsidR="005C0536" w:rsidRPr="005C0536" w14:paraId="1351557B" w14:textId="77777777" w:rsidTr="00070800">
        <w:trPr>
          <w:cantSplit/>
          <w:tblHeader w:val="0"/>
        </w:trPr>
        <w:tc>
          <w:tcPr>
            <w:tcW w:w="3819" w:type="dxa"/>
          </w:tcPr>
          <w:p w14:paraId="64217599" w14:textId="3193D7E5" w:rsidR="005C0536" w:rsidRPr="005C0536" w:rsidRDefault="00E75EDD" w:rsidP="00070800">
            <w:pPr>
              <w:pStyle w:val="TableTextEntries"/>
            </w:pPr>
            <w:r>
              <w:t>Australia–Indonesia</w:t>
            </w:r>
            <w:r w:rsidRPr="005213F3">
              <w:t xml:space="preserve"> Partnership for Emerging Infectious Diseases </w:t>
            </w:r>
            <w:r w:rsidR="005C0536" w:rsidRPr="005C0536">
              <w:t>for Human Health</w:t>
            </w:r>
          </w:p>
        </w:tc>
        <w:tc>
          <w:tcPr>
            <w:tcW w:w="1220" w:type="dxa"/>
          </w:tcPr>
          <w:p w14:paraId="72A953BC" w14:textId="77777777" w:rsidR="005C0536" w:rsidRPr="005C0536" w:rsidRDefault="005C0536" w:rsidP="00070800">
            <w:pPr>
              <w:pStyle w:val="TableTextEntries"/>
            </w:pPr>
            <w:r w:rsidRPr="005C0536">
              <w:t>INJ895</w:t>
            </w:r>
          </w:p>
        </w:tc>
        <w:tc>
          <w:tcPr>
            <w:tcW w:w="3084" w:type="dxa"/>
          </w:tcPr>
          <w:p w14:paraId="64FE3560" w14:textId="74481645" w:rsidR="005C0536" w:rsidRPr="005C0536" w:rsidRDefault="005C0536" w:rsidP="00070800">
            <w:pPr>
              <w:pStyle w:val="TableTextEntries"/>
            </w:pPr>
            <w:r w:rsidRPr="005C0536">
              <w:t xml:space="preserve">Independent </w:t>
            </w:r>
            <w:r w:rsidR="00E75EDD">
              <w:t>p</w:t>
            </w:r>
            <w:r w:rsidR="00E75EDD" w:rsidRPr="005C0536">
              <w:t xml:space="preserve">rogress </w:t>
            </w:r>
            <w:r w:rsidR="00E75EDD">
              <w:t>r</w:t>
            </w:r>
            <w:r w:rsidR="00E75EDD" w:rsidRPr="005C0536">
              <w:t>eview</w:t>
            </w:r>
          </w:p>
        </w:tc>
        <w:tc>
          <w:tcPr>
            <w:tcW w:w="3084" w:type="dxa"/>
          </w:tcPr>
          <w:p w14:paraId="07529B3D" w14:textId="0C8B4756" w:rsidR="005C0536" w:rsidRPr="005C0536" w:rsidRDefault="00E75EDD" w:rsidP="00070800">
            <w:pPr>
              <w:pStyle w:val="TableTextEntries"/>
            </w:pPr>
            <w:r>
              <w:t>T</w:t>
            </w:r>
            <w:r w:rsidRPr="005C0536">
              <w:t xml:space="preserve">o </w:t>
            </w:r>
            <w:r w:rsidR="005C0536" w:rsidRPr="005C0536">
              <w:t>improve existing program</w:t>
            </w:r>
          </w:p>
        </w:tc>
        <w:tc>
          <w:tcPr>
            <w:tcW w:w="3070" w:type="dxa"/>
          </w:tcPr>
          <w:p w14:paraId="071A3434" w14:textId="6E21544B" w:rsidR="005C0536" w:rsidRPr="005C0536" w:rsidRDefault="0072445A" w:rsidP="00070800">
            <w:pPr>
              <w:pStyle w:val="TableTextEntries"/>
            </w:pPr>
            <w:r w:rsidRPr="005C0536">
              <w:t>First quarter of 2014</w:t>
            </w:r>
          </w:p>
        </w:tc>
      </w:tr>
      <w:tr w:rsidR="005C0536" w:rsidRPr="005C0536" w14:paraId="7F96E901" w14:textId="77777777" w:rsidTr="00070800">
        <w:trPr>
          <w:cantSplit/>
          <w:tblHeader w:val="0"/>
        </w:trPr>
        <w:tc>
          <w:tcPr>
            <w:tcW w:w="3819" w:type="dxa"/>
          </w:tcPr>
          <w:p w14:paraId="32491811" w14:textId="563C61DE" w:rsidR="005C0536" w:rsidRPr="005C0536" w:rsidRDefault="005C0536" w:rsidP="00070800">
            <w:pPr>
              <w:pStyle w:val="TableTextEntries"/>
            </w:pPr>
            <w:r w:rsidRPr="005C0536">
              <w:t>Government Partnership Fund Phase II</w:t>
            </w:r>
          </w:p>
        </w:tc>
        <w:tc>
          <w:tcPr>
            <w:tcW w:w="1220" w:type="dxa"/>
          </w:tcPr>
          <w:p w14:paraId="392D097C" w14:textId="77777777" w:rsidR="005C0536" w:rsidRPr="005C0536" w:rsidRDefault="005C0536" w:rsidP="00070800">
            <w:pPr>
              <w:pStyle w:val="TableTextEntries"/>
            </w:pPr>
            <w:r w:rsidRPr="005C0536">
              <w:t>INJ689</w:t>
            </w:r>
          </w:p>
        </w:tc>
        <w:tc>
          <w:tcPr>
            <w:tcW w:w="3084" w:type="dxa"/>
          </w:tcPr>
          <w:p w14:paraId="0FD1B490" w14:textId="7C36F21F" w:rsidR="005C0536" w:rsidRPr="005C0536" w:rsidRDefault="005C0536" w:rsidP="00070800">
            <w:pPr>
              <w:pStyle w:val="TableTextEntries"/>
            </w:pPr>
            <w:r w:rsidRPr="005C0536">
              <w:t xml:space="preserve">Independent </w:t>
            </w:r>
            <w:r w:rsidR="00E75EDD">
              <w:t>p</w:t>
            </w:r>
            <w:r w:rsidR="00E75EDD" w:rsidRPr="005C0536">
              <w:t xml:space="preserve">rogress </w:t>
            </w:r>
            <w:r w:rsidR="00E75EDD">
              <w:t>r</w:t>
            </w:r>
            <w:r w:rsidR="00E75EDD" w:rsidRPr="005C0536">
              <w:t>eview</w:t>
            </w:r>
          </w:p>
        </w:tc>
        <w:tc>
          <w:tcPr>
            <w:tcW w:w="3084" w:type="dxa"/>
          </w:tcPr>
          <w:p w14:paraId="7B08BBF8" w14:textId="62F38499" w:rsidR="005C0536" w:rsidRPr="005C0536" w:rsidRDefault="00E75EDD" w:rsidP="00070800">
            <w:pPr>
              <w:pStyle w:val="TableTextEntries"/>
            </w:pPr>
            <w:r>
              <w:t>T</w:t>
            </w:r>
            <w:r w:rsidRPr="005C0536">
              <w:t xml:space="preserve">o </w:t>
            </w:r>
            <w:r w:rsidR="005C0536" w:rsidRPr="005C0536">
              <w:t>improve existing program</w:t>
            </w:r>
          </w:p>
        </w:tc>
        <w:tc>
          <w:tcPr>
            <w:tcW w:w="3070" w:type="dxa"/>
          </w:tcPr>
          <w:p w14:paraId="19201A1F" w14:textId="77777777" w:rsidR="005C0536" w:rsidRPr="005C0536" w:rsidRDefault="005C0536" w:rsidP="00070800">
            <w:pPr>
              <w:pStyle w:val="TableTextEntries"/>
            </w:pPr>
            <w:r w:rsidRPr="005C0536">
              <w:t>End of 2013</w:t>
            </w:r>
          </w:p>
        </w:tc>
      </w:tr>
      <w:tr w:rsidR="005C0536" w:rsidRPr="005C0536" w14:paraId="607851D7" w14:textId="77777777" w:rsidTr="00070800">
        <w:trPr>
          <w:cantSplit/>
          <w:tblHeader w:val="0"/>
        </w:trPr>
        <w:tc>
          <w:tcPr>
            <w:tcW w:w="3819" w:type="dxa"/>
          </w:tcPr>
          <w:p w14:paraId="5B75D215" w14:textId="3EE7D1E7" w:rsidR="005C0536" w:rsidRPr="005C0536" w:rsidRDefault="00E75EDD" w:rsidP="00070800">
            <w:pPr>
              <w:pStyle w:val="TableTextEntries"/>
            </w:pPr>
            <w:r w:rsidRPr="00520769">
              <w:rPr>
                <w:iCs/>
                <w:lang w:val="en-US"/>
              </w:rPr>
              <w:t>Support</w:t>
            </w:r>
            <w:r w:rsidRPr="00520769">
              <w:rPr>
                <w:lang w:val="en-US"/>
              </w:rPr>
              <w:t xml:space="preserve"> for </w:t>
            </w:r>
            <w:r w:rsidRPr="00520769">
              <w:rPr>
                <w:iCs/>
                <w:lang w:val="en-US"/>
              </w:rPr>
              <w:t>Enhanced Macroeconomic and Fiscal Policy Analysis</w:t>
            </w:r>
            <w:r>
              <w:rPr>
                <w:lang w:val="en-US"/>
              </w:rPr>
              <w:t xml:space="preserve"> </w:t>
            </w:r>
          </w:p>
        </w:tc>
        <w:tc>
          <w:tcPr>
            <w:tcW w:w="1220" w:type="dxa"/>
          </w:tcPr>
          <w:p w14:paraId="5209603F" w14:textId="77777777" w:rsidR="005C0536" w:rsidRPr="005C0536" w:rsidRDefault="005C0536" w:rsidP="00070800">
            <w:pPr>
              <w:pStyle w:val="TableTextEntries"/>
            </w:pPr>
            <w:r w:rsidRPr="005C0536">
              <w:t>INK331</w:t>
            </w:r>
          </w:p>
        </w:tc>
        <w:tc>
          <w:tcPr>
            <w:tcW w:w="3084" w:type="dxa"/>
          </w:tcPr>
          <w:p w14:paraId="4CBE2AF3" w14:textId="7FC3F3BF" w:rsidR="005C0536" w:rsidRPr="005C0536" w:rsidRDefault="005C0536" w:rsidP="00070800">
            <w:pPr>
              <w:pStyle w:val="TableTextEntries"/>
            </w:pPr>
            <w:r w:rsidRPr="005C0536">
              <w:t xml:space="preserve">Independent </w:t>
            </w:r>
            <w:r w:rsidR="00E75EDD">
              <w:t>p</w:t>
            </w:r>
            <w:r w:rsidR="00E75EDD" w:rsidRPr="005C0536">
              <w:t xml:space="preserve">rogress </w:t>
            </w:r>
            <w:r w:rsidR="00E75EDD">
              <w:t>r</w:t>
            </w:r>
            <w:r w:rsidR="00E75EDD" w:rsidRPr="005C0536">
              <w:t>eview</w:t>
            </w:r>
          </w:p>
        </w:tc>
        <w:tc>
          <w:tcPr>
            <w:tcW w:w="3084" w:type="dxa"/>
          </w:tcPr>
          <w:p w14:paraId="368292DB" w14:textId="1B6AF37B" w:rsidR="005C0536" w:rsidRPr="005C0536" w:rsidRDefault="00E75EDD" w:rsidP="00070800">
            <w:pPr>
              <w:pStyle w:val="TableTextEntries"/>
            </w:pPr>
            <w:r>
              <w:t>T</w:t>
            </w:r>
            <w:r w:rsidRPr="005C0536">
              <w:t xml:space="preserve">o </w:t>
            </w:r>
            <w:r w:rsidR="005C0536" w:rsidRPr="005C0536">
              <w:t>improve existing program</w:t>
            </w:r>
          </w:p>
        </w:tc>
        <w:tc>
          <w:tcPr>
            <w:tcW w:w="3070" w:type="dxa"/>
          </w:tcPr>
          <w:p w14:paraId="4A48A896" w14:textId="77777777" w:rsidR="005C0536" w:rsidRPr="005C0536" w:rsidRDefault="005C0536" w:rsidP="00070800">
            <w:pPr>
              <w:pStyle w:val="TableTextEntries"/>
            </w:pPr>
            <w:r w:rsidRPr="005C0536">
              <w:t>End of 2013</w:t>
            </w:r>
          </w:p>
        </w:tc>
      </w:tr>
      <w:tr w:rsidR="005C0536" w:rsidRPr="005C0536" w14:paraId="05DA035C" w14:textId="77777777" w:rsidTr="00070800">
        <w:trPr>
          <w:cantSplit/>
          <w:tblHeader w:val="0"/>
        </w:trPr>
        <w:tc>
          <w:tcPr>
            <w:tcW w:w="3819" w:type="dxa"/>
          </w:tcPr>
          <w:p w14:paraId="02E88CA9" w14:textId="5DFC197F" w:rsidR="005C0536" w:rsidRPr="005C0536" w:rsidRDefault="000A11DD" w:rsidP="00070800">
            <w:pPr>
              <w:pStyle w:val="TableTextEntries"/>
            </w:pPr>
            <w:r>
              <w:t>Australia–Indonesia</w:t>
            </w:r>
            <w:r w:rsidR="005C0536" w:rsidRPr="005C0536">
              <w:t xml:space="preserve"> Partnership </w:t>
            </w:r>
            <w:r w:rsidR="00E75EDD" w:rsidRPr="005C0536">
              <w:t>Decentrali</w:t>
            </w:r>
            <w:r w:rsidR="00E75EDD">
              <w:t>s</w:t>
            </w:r>
            <w:r w:rsidR="00E75EDD" w:rsidRPr="005C0536">
              <w:t>ation</w:t>
            </w:r>
          </w:p>
        </w:tc>
        <w:tc>
          <w:tcPr>
            <w:tcW w:w="1220" w:type="dxa"/>
          </w:tcPr>
          <w:p w14:paraId="2E68E3EC" w14:textId="77777777" w:rsidR="005C0536" w:rsidRPr="005C0536" w:rsidRDefault="005C0536" w:rsidP="00070800">
            <w:pPr>
              <w:pStyle w:val="TableTextEntries"/>
            </w:pPr>
            <w:r w:rsidRPr="005C0536">
              <w:t>INJ122</w:t>
            </w:r>
          </w:p>
        </w:tc>
        <w:tc>
          <w:tcPr>
            <w:tcW w:w="3084" w:type="dxa"/>
          </w:tcPr>
          <w:p w14:paraId="08FC94E1" w14:textId="43241463" w:rsidR="005C0536" w:rsidRPr="005C0536" w:rsidRDefault="005C0536" w:rsidP="00070800">
            <w:pPr>
              <w:pStyle w:val="TableTextEntries"/>
            </w:pPr>
            <w:r w:rsidRPr="005C0536">
              <w:t xml:space="preserve">Independent </w:t>
            </w:r>
            <w:r w:rsidR="00E75EDD">
              <w:t>p</w:t>
            </w:r>
            <w:r w:rsidR="00E75EDD" w:rsidRPr="005C0536">
              <w:t xml:space="preserve">rogress </w:t>
            </w:r>
            <w:r w:rsidR="00E75EDD">
              <w:t>r</w:t>
            </w:r>
            <w:r w:rsidR="00E75EDD" w:rsidRPr="005C0536">
              <w:t>eview</w:t>
            </w:r>
          </w:p>
        </w:tc>
        <w:tc>
          <w:tcPr>
            <w:tcW w:w="3084" w:type="dxa"/>
          </w:tcPr>
          <w:p w14:paraId="5CE8326F" w14:textId="5A2EF1DB" w:rsidR="005C0536" w:rsidRPr="005C0536" w:rsidRDefault="00E75EDD" w:rsidP="00070800">
            <w:pPr>
              <w:pStyle w:val="TableTextEntries"/>
            </w:pPr>
            <w:r>
              <w:t>T</w:t>
            </w:r>
            <w:r w:rsidRPr="005C0536">
              <w:t xml:space="preserve">o </w:t>
            </w:r>
            <w:r w:rsidR="005C0536" w:rsidRPr="005C0536">
              <w:t>improve existing program</w:t>
            </w:r>
          </w:p>
        </w:tc>
        <w:tc>
          <w:tcPr>
            <w:tcW w:w="3070" w:type="dxa"/>
          </w:tcPr>
          <w:p w14:paraId="52E3BD17" w14:textId="77777777" w:rsidR="005C0536" w:rsidRPr="005C0536" w:rsidRDefault="005C0536" w:rsidP="00070800">
            <w:pPr>
              <w:pStyle w:val="TableTextEntries"/>
            </w:pPr>
            <w:r w:rsidRPr="005C0536">
              <w:t>End of 2013</w:t>
            </w:r>
          </w:p>
        </w:tc>
      </w:tr>
      <w:tr w:rsidR="005C0536" w:rsidRPr="005C0536" w14:paraId="6EA07765" w14:textId="77777777" w:rsidTr="00070800">
        <w:trPr>
          <w:cantSplit/>
          <w:tblHeader w:val="0"/>
        </w:trPr>
        <w:tc>
          <w:tcPr>
            <w:tcW w:w="3819" w:type="dxa"/>
          </w:tcPr>
          <w:p w14:paraId="17BF9865" w14:textId="56013ADF" w:rsidR="005C0536" w:rsidRPr="005C0536" w:rsidRDefault="000A11DD" w:rsidP="00070800">
            <w:pPr>
              <w:pStyle w:val="TableTextEntries"/>
            </w:pPr>
            <w:r>
              <w:lastRenderedPageBreak/>
              <w:t>Australia–Indonesia</w:t>
            </w:r>
            <w:r w:rsidR="005C0536" w:rsidRPr="005C0536">
              <w:t xml:space="preserve"> Partnership for Justice</w:t>
            </w:r>
          </w:p>
        </w:tc>
        <w:tc>
          <w:tcPr>
            <w:tcW w:w="1220" w:type="dxa"/>
          </w:tcPr>
          <w:p w14:paraId="2C462878" w14:textId="77777777" w:rsidR="005C0536" w:rsidRPr="005C0536" w:rsidRDefault="005C0536" w:rsidP="00070800">
            <w:pPr>
              <w:pStyle w:val="TableTextEntries"/>
            </w:pPr>
            <w:r w:rsidRPr="005C0536">
              <w:t>INJ137</w:t>
            </w:r>
          </w:p>
        </w:tc>
        <w:tc>
          <w:tcPr>
            <w:tcW w:w="3084" w:type="dxa"/>
          </w:tcPr>
          <w:p w14:paraId="1A8B4BE7" w14:textId="0C9AC95B" w:rsidR="005C0536" w:rsidRPr="005C0536" w:rsidRDefault="005C0536" w:rsidP="00070800">
            <w:pPr>
              <w:pStyle w:val="TableTextEntries"/>
            </w:pPr>
            <w:r w:rsidRPr="005C0536">
              <w:t xml:space="preserve">Independent </w:t>
            </w:r>
            <w:r w:rsidR="00E75EDD">
              <w:t>p</w:t>
            </w:r>
            <w:r w:rsidR="00E75EDD" w:rsidRPr="005C0536">
              <w:t xml:space="preserve">rogress </w:t>
            </w:r>
            <w:r w:rsidR="00E75EDD">
              <w:t>r</w:t>
            </w:r>
            <w:r w:rsidR="00E75EDD" w:rsidRPr="005C0536">
              <w:t>eview</w:t>
            </w:r>
          </w:p>
        </w:tc>
        <w:tc>
          <w:tcPr>
            <w:tcW w:w="3084" w:type="dxa"/>
          </w:tcPr>
          <w:p w14:paraId="6CEB9B42" w14:textId="292B5C49" w:rsidR="005C0536" w:rsidRPr="005C0536" w:rsidRDefault="00E75EDD" w:rsidP="00070800">
            <w:pPr>
              <w:pStyle w:val="TableTextEntries"/>
            </w:pPr>
            <w:r>
              <w:t>T</w:t>
            </w:r>
            <w:r w:rsidRPr="005C0536">
              <w:t xml:space="preserve">o </w:t>
            </w:r>
            <w:r w:rsidR="005C0536" w:rsidRPr="005C0536">
              <w:t>improve existing program</w:t>
            </w:r>
          </w:p>
        </w:tc>
        <w:tc>
          <w:tcPr>
            <w:tcW w:w="3070" w:type="dxa"/>
          </w:tcPr>
          <w:p w14:paraId="25B0119D" w14:textId="77777777" w:rsidR="005C0536" w:rsidRPr="005C0536" w:rsidRDefault="005C0536" w:rsidP="00070800">
            <w:pPr>
              <w:pStyle w:val="TableTextEntries"/>
            </w:pPr>
            <w:r w:rsidRPr="005C0536">
              <w:t>First quarter of 2014</w:t>
            </w:r>
          </w:p>
        </w:tc>
      </w:tr>
      <w:tr w:rsidR="005C0536" w:rsidRPr="005C0536" w14:paraId="731771E8" w14:textId="77777777" w:rsidTr="00070800">
        <w:trPr>
          <w:cantSplit/>
          <w:tblHeader w:val="0"/>
        </w:trPr>
        <w:tc>
          <w:tcPr>
            <w:tcW w:w="3819" w:type="dxa"/>
            <w:vAlign w:val="center"/>
          </w:tcPr>
          <w:p w14:paraId="1D1142D9" w14:textId="7F802725" w:rsidR="005C0536" w:rsidRPr="005C0536" w:rsidRDefault="00E75EDD" w:rsidP="00070800">
            <w:pPr>
              <w:pStyle w:val="TableTextEntries"/>
            </w:pPr>
            <w:r w:rsidRPr="00E75EDD">
              <w:t>Australia Community Development and Civil Society Strengthening Scheme</w:t>
            </w:r>
            <w:r w:rsidRPr="00E75EDD" w:rsidDel="00E75EDD">
              <w:t xml:space="preserve"> </w:t>
            </w:r>
            <w:r w:rsidR="005C0536" w:rsidRPr="005C0536">
              <w:t>Phase 2</w:t>
            </w:r>
          </w:p>
        </w:tc>
        <w:tc>
          <w:tcPr>
            <w:tcW w:w="1220" w:type="dxa"/>
            <w:vAlign w:val="center"/>
          </w:tcPr>
          <w:p w14:paraId="3A3E3AB3" w14:textId="77777777" w:rsidR="005C0536" w:rsidRPr="005C0536" w:rsidRDefault="005C0536" w:rsidP="00070800">
            <w:pPr>
              <w:pStyle w:val="TableTextEntries"/>
            </w:pPr>
            <w:r w:rsidRPr="005C0536">
              <w:t>ING429</w:t>
            </w:r>
          </w:p>
        </w:tc>
        <w:tc>
          <w:tcPr>
            <w:tcW w:w="3084" w:type="dxa"/>
          </w:tcPr>
          <w:p w14:paraId="005EC3E4" w14:textId="026F2F62" w:rsidR="005C0536" w:rsidRPr="005C0536" w:rsidRDefault="005C0536" w:rsidP="00070800">
            <w:pPr>
              <w:pStyle w:val="TableTextEntries"/>
            </w:pPr>
            <w:r w:rsidRPr="005C0536">
              <w:t xml:space="preserve">Independent </w:t>
            </w:r>
            <w:r w:rsidR="00E75EDD">
              <w:t>p</w:t>
            </w:r>
            <w:r w:rsidR="00E75EDD" w:rsidRPr="005C0536">
              <w:t xml:space="preserve">rogress </w:t>
            </w:r>
            <w:r w:rsidR="00E75EDD">
              <w:t>r</w:t>
            </w:r>
            <w:r w:rsidR="00E75EDD" w:rsidRPr="005C0536">
              <w:t>eview</w:t>
            </w:r>
          </w:p>
        </w:tc>
        <w:tc>
          <w:tcPr>
            <w:tcW w:w="3084" w:type="dxa"/>
          </w:tcPr>
          <w:p w14:paraId="4E8DB3A8" w14:textId="7E79722D" w:rsidR="005C0536" w:rsidRPr="005C0536" w:rsidRDefault="00E75EDD" w:rsidP="00070800">
            <w:pPr>
              <w:pStyle w:val="TableTextEntries"/>
            </w:pPr>
            <w:r>
              <w:t>T</w:t>
            </w:r>
            <w:r w:rsidRPr="005C0536">
              <w:t xml:space="preserve">o </w:t>
            </w:r>
            <w:r w:rsidR="005C0536" w:rsidRPr="005C0536">
              <w:t>verify program outcomes</w:t>
            </w:r>
          </w:p>
        </w:tc>
        <w:tc>
          <w:tcPr>
            <w:tcW w:w="3070" w:type="dxa"/>
          </w:tcPr>
          <w:p w14:paraId="2D3205DB" w14:textId="77777777" w:rsidR="005C0536" w:rsidRPr="005C0536" w:rsidRDefault="005C0536" w:rsidP="00070800">
            <w:pPr>
              <w:pStyle w:val="TableTextEntries"/>
            </w:pPr>
            <w:r w:rsidRPr="005C0536">
              <w:t>First quarter of 2014</w:t>
            </w:r>
          </w:p>
        </w:tc>
      </w:tr>
      <w:tr w:rsidR="005C0536" w:rsidRPr="005C0536" w14:paraId="251A8731" w14:textId="77777777" w:rsidTr="00070800">
        <w:trPr>
          <w:cantSplit/>
          <w:tblHeader w:val="0"/>
        </w:trPr>
        <w:tc>
          <w:tcPr>
            <w:tcW w:w="3819" w:type="dxa"/>
            <w:vAlign w:val="center"/>
          </w:tcPr>
          <w:p w14:paraId="6579B8D5" w14:textId="141E35AB" w:rsidR="005C0536" w:rsidRPr="005C0536" w:rsidRDefault="00E75EDD" w:rsidP="00070800">
            <w:pPr>
              <w:pStyle w:val="TableTextEntries"/>
            </w:pPr>
            <w:r w:rsidRPr="00E75EDD">
              <w:t>Local Governance and Infrastructure for Communities in Aceh Program</w:t>
            </w:r>
            <w:r w:rsidRPr="00E75EDD" w:rsidDel="00E75EDD">
              <w:t xml:space="preserve"> </w:t>
            </w:r>
            <w:r w:rsidR="005C0536" w:rsidRPr="005C0536">
              <w:t>2</w:t>
            </w:r>
          </w:p>
        </w:tc>
        <w:tc>
          <w:tcPr>
            <w:tcW w:w="1220" w:type="dxa"/>
            <w:vAlign w:val="center"/>
          </w:tcPr>
          <w:p w14:paraId="09B49E6C" w14:textId="77777777" w:rsidR="005C0536" w:rsidRPr="005C0536" w:rsidRDefault="005C0536" w:rsidP="00070800">
            <w:pPr>
              <w:pStyle w:val="TableTextEntries"/>
            </w:pPr>
            <w:r w:rsidRPr="005C0536">
              <w:t>INI355</w:t>
            </w:r>
          </w:p>
        </w:tc>
        <w:tc>
          <w:tcPr>
            <w:tcW w:w="3084" w:type="dxa"/>
          </w:tcPr>
          <w:p w14:paraId="712E3CF2" w14:textId="4D3D379D" w:rsidR="005C0536" w:rsidRPr="005C0536" w:rsidRDefault="005C0536" w:rsidP="00070800">
            <w:pPr>
              <w:pStyle w:val="TableTextEntries"/>
            </w:pPr>
            <w:r w:rsidRPr="005C0536">
              <w:t xml:space="preserve">Independent </w:t>
            </w:r>
            <w:r w:rsidR="00E75EDD">
              <w:t>p</w:t>
            </w:r>
            <w:r w:rsidR="00E75EDD" w:rsidRPr="005C0536">
              <w:t xml:space="preserve">rogress </w:t>
            </w:r>
            <w:r w:rsidR="00E75EDD">
              <w:t>r</w:t>
            </w:r>
            <w:r w:rsidR="00E75EDD" w:rsidRPr="005C0536">
              <w:t>eview</w:t>
            </w:r>
          </w:p>
        </w:tc>
        <w:tc>
          <w:tcPr>
            <w:tcW w:w="3084" w:type="dxa"/>
          </w:tcPr>
          <w:p w14:paraId="15E4F419" w14:textId="408B682A" w:rsidR="005C0536" w:rsidRPr="005C0536" w:rsidRDefault="00E75EDD" w:rsidP="00070800">
            <w:pPr>
              <w:pStyle w:val="TableTextEntries"/>
            </w:pPr>
            <w:r>
              <w:t>T</w:t>
            </w:r>
            <w:r w:rsidRPr="005C0536">
              <w:t xml:space="preserve">o </w:t>
            </w:r>
            <w:r w:rsidR="005C0536" w:rsidRPr="005C0536">
              <w:t>verify program outcomes</w:t>
            </w:r>
          </w:p>
        </w:tc>
        <w:tc>
          <w:tcPr>
            <w:tcW w:w="3070" w:type="dxa"/>
          </w:tcPr>
          <w:p w14:paraId="0B751104" w14:textId="77777777" w:rsidR="005C0536" w:rsidRPr="005C0536" w:rsidRDefault="005C0536" w:rsidP="00070800">
            <w:pPr>
              <w:pStyle w:val="TableTextEntries"/>
            </w:pPr>
            <w:r w:rsidRPr="005C0536">
              <w:t>First quarter of 2014</w:t>
            </w:r>
          </w:p>
        </w:tc>
      </w:tr>
      <w:tr w:rsidR="005C0536" w:rsidRPr="005C0536" w14:paraId="68792BD3" w14:textId="77777777" w:rsidTr="00070800">
        <w:trPr>
          <w:cantSplit/>
          <w:tblHeader w:val="0"/>
        </w:trPr>
        <w:tc>
          <w:tcPr>
            <w:tcW w:w="3819" w:type="dxa"/>
            <w:vAlign w:val="center"/>
          </w:tcPr>
          <w:p w14:paraId="05C13A3F" w14:textId="4F30683A" w:rsidR="005C0536" w:rsidRPr="005C0536" w:rsidRDefault="005C0536" w:rsidP="00070800">
            <w:pPr>
              <w:pStyle w:val="TableTextEntries"/>
            </w:pPr>
            <w:r w:rsidRPr="005C0536">
              <w:t>Australia</w:t>
            </w:r>
            <w:r w:rsidR="00E75EDD">
              <w:t>–</w:t>
            </w:r>
            <w:r w:rsidRPr="005C0536">
              <w:t>Indonesia Facility for Disaster Reduction</w:t>
            </w:r>
          </w:p>
        </w:tc>
        <w:tc>
          <w:tcPr>
            <w:tcW w:w="1220" w:type="dxa"/>
            <w:vAlign w:val="center"/>
          </w:tcPr>
          <w:p w14:paraId="60E43563" w14:textId="77777777" w:rsidR="005C0536" w:rsidRPr="005C0536" w:rsidRDefault="005C0536" w:rsidP="00070800">
            <w:pPr>
              <w:pStyle w:val="TableTextEntries"/>
            </w:pPr>
            <w:r w:rsidRPr="005C0536">
              <w:t>INI422</w:t>
            </w:r>
          </w:p>
        </w:tc>
        <w:tc>
          <w:tcPr>
            <w:tcW w:w="3084" w:type="dxa"/>
          </w:tcPr>
          <w:p w14:paraId="2DE10124" w14:textId="0F1B6917" w:rsidR="005C0536" w:rsidRPr="005C0536" w:rsidRDefault="005C0536" w:rsidP="00070800">
            <w:pPr>
              <w:pStyle w:val="TableTextEntries"/>
            </w:pPr>
            <w:r w:rsidRPr="005C0536">
              <w:t xml:space="preserve">Independent </w:t>
            </w:r>
            <w:r w:rsidR="00E75EDD">
              <w:t>p</w:t>
            </w:r>
            <w:r w:rsidR="00E75EDD" w:rsidRPr="005C0536">
              <w:t xml:space="preserve">rogress </w:t>
            </w:r>
            <w:r w:rsidR="00E75EDD">
              <w:t>r</w:t>
            </w:r>
            <w:r w:rsidR="00E75EDD" w:rsidRPr="005C0536">
              <w:t>eview</w:t>
            </w:r>
          </w:p>
        </w:tc>
        <w:tc>
          <w:tcPr>
            <w:tcW w:w="3084" w:type="dxa"/>
          </w:tcPr>
          <w:p w14:paraId="2BF58451" w14:textId="299B600A" w:rsidR="005C0536" w:rsidRPr="005C0536" w:rsidRDefault="00E75EDD" w:rsidP="00070800">
            <w:pPr>
              <w:pStyle w:val="TableTextEntries"/>
            </w:pPr>
            <w:r>
              <w:t>T</w:t>
            </w:r>
            <w:r w:rsidRPr="005C0536">
              <w:t xml:space="preserve">o </w:t>
            </w:r>
            <w:r w:rsidR="005C0536" w:rsidRPr="005C0536">
              <w:t>verify program outcomes</w:t>
            </w:r>
          </w:p>
        </w:tc>
        <w:tc>
          <w:tcPr>
            <w:tcW w:w="3070" w:type="dxa"/>
          </w:tcPr>
          <w:p w14:paraId="04E1E0C9" w14:textId="77777777" w:rsidR="005C0536" w:rsidRPr="005C0536" w:rsidRDefault="005C0536" w:rsidP="00070800">
            <w:pPr>
              <w:pStyle w:val="TableTextEntries"/>
            </w:pPr>
            <w:r w:rsidRPr="005C0536">
              <w:t>First quarter of 2014</w:t>
            </w:r>
          </w:p>
        </w:tc>
      </w:tr>
    </w:tbl>
    <w:p w14:paraId="0C094033" w14:textId="77777777" w:rsidR="001B481E" w:rsidRDefault="001B481E" w:rsidP="00071B95">
      <w:pPr>
        <w:rPr>
          <w:b/>
        </w:rPr>
      </w:pPr>
    </w:p>
    <w:p w14:paraId="39886372" w14:textId="77777777" w:rsidR="00C61DF2" w:rsidRPr="00C61DF2" w:rsidRDefault="00C61DF2" w:rsidP="001B481E">
      <w:pPr>
        <w:pStyle w:val="Heading1"/>
      </w:pPr>
    </w:p>
    <w:sectPr w:rsidR="00C61DF2" w:rsidRPr="00C61DF2" w:rsidSect="00805D86">
      <w:headerReference w:type="default" r:id="rId22"/>
      <w:footerReference w:type="default" r:id="rId23"/>
      <w:headerReference w:type="first" r:id="rId24"/>
      <w:footerReference w:type="first" r:id="rId25"/>
      <w:pgSz w:w="16838" w:h="11906" w:orient="landscape" w:code="9"/>
      <w:pgMar w:top="1871" w:right="2268" w:bottom="1134" w:left="907"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378F9" w14:textId="77777777" w:rsidR="00F9209E" w:rsidRDefault="00F9209E" w:rsidP="0050529F">
      <w:r>
        <w:separator/>
      </w:r>
    </w:p>
    <w:p w14:paraId="0D54A77A" w14:textId="77777777" w:rsidR="00F9209E" w:rsidRDefault="00F9209E"/>
    <w:p w14:paraId="03A9B496" w14:textId="77777777" w:rsidR="00F9209E" w:rsidRDefault="00F9209E"/>
  </w:endnote>
  <w:endnote w:type="continuationSeparator" w:id="0">
    <w:p w14:paraId="26FD3AEE" w14:textId="77777777" w:rsidR="00F9209E" w:rsidRDefault="00F9209E" w:rsidP="0050529F">
      <w:r>
        <w:continuationSeparator/>
      </w:r>
    </w:p>
    <w:p w14:paraId="5BCA82E4" w14:textId="77777777" w:rsidR="00F9209E" w:rsidRDefault="00F9209E"/>
    <w:p w14:paraId="030C5B25" w14:textId="77777777" w:rsidR="00F9209E" w:rsidRDefault="00F92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568F1" w14:textId="5FE45685" w:rsidR="00F9209E" w:rsidRPr="006E4F43" w:rsidRDefault="00F9209E" w:rsidP="006E4F43">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D0B70">
      <w:rPr>
        <w:rFonts w:ascii="Franklin Gothic Medium" w:eastAsia="Times New Roman" w:hAnsi="Franklin Gothic Medium"/>
        <w:noProof/>
        <w:sz w:val="14"/>
        <w:szCs w:val="14"/>
      </w:rPr>
      <w:t>Aid Program Performance Report 2012−13 Indonesia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D0B70">
      <w:rPr>
        <w:rFonts w:ascii="Franklin Gothic Medium" w:eastAsia="Times New Roman" w:hAnsi="Franklin Gothic Medium"/>
        <w:noProof/>
        <w:sz w:val="14"/>
        <w:szCs w:val="14"/>
      </w:rPr>
      <w:t>21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2512" behindDoc="1" locked="0" layoutInCell="1" allowOverlap="1" wp14:anchorId="6F3CF141" wp14:editId="10002E59">
              <wp:simplePos x="0" y="0"/>
              <wp:positionH relativeFrom="column">
                <wp:posOffset>0</wp:posOffset>
              </wp:positionH>
              <wp:positionV relativeFrom="paragraph">
                <wp:posOffset>8498840</wp:posOffset>
              </wp:positionV>
              <wp:extent cx="7379970" cy="2181860"/>
              <wp:effectExtent l="0" t="2540" r="1905" b="0"/>
              <wp:wrapNone/>
              <wp:docPr id="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JxQAUUmR6ijI9RRcBaKTI9RRkeoouAtFJke&#10;ooyKLg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340&#10;/wCQVF/11H8jXSVzfjT/AJBUX/XUfyNcuN/3efodWC/3iHqcLRRRXyR9YFb+itoot/8ASwv2rJwZ&#10;c7PbpWBW/ov9i/Zv9L2/asn/AFudntXThP4nT5nLjP4XX5GjPJrHkt/ZwszAB/y64J/WuQYkuxb7&#10;2efrXYTrrJhb+zmshBjpa4HH41x7Z3Hd1zzW2O3W/wA9vkY4DZ7fLf5iVs+FnK6/AB/EGB/I1jVr&#10;+GP+Rhtv+Bf+gmufC/x4eqOn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tjTfD9xqFt9p81I4Mkbjknj2rHre0bTNRltvtUF59ngyeck9PYV0YWCnUs&#10;43OfFTcKd1Kw9F0XTWObq6nlHURgoM1gOQzsRnBPGa6241fT4oWhvWOoS4xuMATFcixBYkDAzwK1&#10;xnKrRi16L+mZYNyd5STv3f6aIStfwx/yMNt/wL/0E1kVr+GP+Rhtv+Bf+gmscL/Hh6o2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q3ZXN9C4FnJMD/&#10;AHY8n9KqVv6NrjWdt9kFmZASfni4fmt8Ok56ysYYhtQ0jc0bVtZuY8XtjbvHjlp1Cn/P4VyMgxIw&#10;wBgngV10+jHUoWn+13sHGdl2cj+dcgwwxGc4PWujGqSUU/vfU5sC4tyat6LoJWv4Y/5GG2/4F/6C&#10;ayK1/DH/ACMNt/wL/wBBNc+F/jw9UdO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b+ka4dOsTC9ozREnM0Zw3PvisCtyzk1S90N7C2tBJADy+OeucV0&#10;4WUozbi9bdrnNi4xlBKS0v3sTTDStTy39qXEUh/hnBYfnXPMMMQDnB61L9lnMrxeS/mICWXHIx1z&#10;UNRWqOerjZlUaahdRldBWv4Y/wCRhtv+Bf8AoJrIrX8Mf8jDbf8AAv8A0E08L/Hh6oMV/An6M9Ho&#10;oor7A+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m/Gn/IKi/66j+RrpK5vxp/yCov+uo/ka5cb/u8/Q6sF/vEPU4Wiiivkj6wK6ezh1K68P2o05nj&#10;MUj78Hbvycgg98VzFbmn6bfXWnrIb8W1sGIQPIQCe+K6sI3zNJN3XTT8TkxiXKm2lZ9dfwNsafeL&#10;rVvfSKqxmAC5YsACcc/0ri5tvnybPu7jj6ZroG0OZlIOtW7AjkGQ81zrLtdlyDg4yK0xjdkuW3Xe&#10;5ng0ru0r7Lawla/hj/kYbb/gX/oJrIrX8Mf8jDbf8C/9BNYYX+PD1R0Y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gV0draw6j4ft4p7yG3aGRvL3N1BP&#10;ORXOVozWkMOiWtwQTPO7Y54CjiujDy5eZ2uranNiY83Kr2d9C4fD9sAf+JxaH/P1rDZdrFc5wcZF&#10;dKuhaaiwWk9xIL+dNy4Hyg+lc3JGYpXjbqrFT+FXiafIl7tvncnC1edtc1/lYbWv4Y/5GG2/4F/6&#10;CayK1/DH/Iw23/Av/QTWeF/jw9UaYr+BP0Z6PRRRX2B8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N+NP+QVF/wBdR/I10lc340/5BUX/AF1H8jXL&#10;jf8Ad5+h1YL/AHiHqcLRRRXyR9YFb2kXgezFvcaZJeRQsWQxqSVJ6isGunsptQXw/bf2Up3LI/n7&#10;VySc8fhXXg787fl2vc5MZ8CXn3tYzpdXll137ebfLR/dj5+UAVlyOZJGdurEsfxrsUsro69Dcm2K&#10;xzQD7RxgAkc1x8yqs8ir90MQPpmnioTirye7ZOFqQk7RWyX/AAwytfwx/wAjDbf8C/8AQTWRWv4Y&#10;/wCRhtv+Bf8AoJrLC/x4eqNs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oNMttcuNNj+xThLcMdo3hTnPNc/Wzpmlme0N1c3v2W1DbQSeWPtXThb&#10;udlf5O34nNirKF3b5q/4F+TS/EkkTI91uQjkeb1rF/sq5/s1775PKR9hGec1qPo8NxE507VvPlUZ&#10;8onBI9qwDJIEMZdtuclc8ZrXEKMbcyf33McM5ST5WvusMrX8Mf8AIw23/Av/AEE1kVr+GP8AkYbb&#10;/gX/AKCawwv8eHqjoxX8Cfoz0eiiivsD5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b8af8gqL/rqP5Gukrm/Gn/IKi/66j+Rrlxv+7z9DqwX+8Q9&#10;ThaKKK+SPrAro7S3tr/w9Dbz30Nu8cjMgZux9RXOVpLbacdEM5uT9tDcRfj/AIV0YZ2ctE1broc+&#10;JV1HVp36K5sabptjYXi3B1e2YoDtAbHOO/NZ19pVrDBLcLqlvK/XYnU/rWNRVSxEHDl5PxZMcPNT&#10;5+f8EFa/hj/kYbb/AIF/6CayK1/DH/Iw23/Av/QTUYX+ND1ReK/gT9Gej0UUV9gfI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340/5BUX/XUfyNdJXN+NP+QVF/11H8jXLjf93n6HVgv94h6nC0UUV8kf&#10;WBXQ2tx/Y+hwXkFvHJPcOwaR1zsAPArnq09M1i5sFMCxpPC5z5TjIz7V0YaahJ3dvPsc+Jg5wVlf&#10;y7mpYaxPrN0tle28MsUgILKmCnHWublUJM6A5CsQDXXo+rXlu4t7CCwiYfNIeDiuPddrspOSDjNb&#10;Yu/LHmbfm1YwwduaXKkl2TuNrX8Mf8jDbf8AAv8A0E1kVr+GP+Rhtv8AgX/oJrDC/wAeHqjo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rodD1mysrU&#10;wSxGKYk/6QqhjXPVrRXaSaG9lHp5km3ZMyrnHOf/AK1dGGm4Tck9bepzYqCnBRa0v3sX7zTrrU1M&#10;ttqi3q9dhbaR+Fc2QVJB6jinIzxvlCysPTgimE55qa1SNR3tZ+pVGnKmuVu66aBWv4Y/5GG2/wCB&#10;f+gmsitfwx/yMNt/wL/0E08L/Hh6oMV/An6M9Hooor7A+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m/Gn/IKi/66j+RrpK5vxp/yCov+uo/ka5cb&#10;/u8/Q6sF/vEPU4Wiiivkj6wK6ayur230C2bS4wz+Ywnwm45zx+lczW/pX9vTWIj0/wCWBGPzfKMn&#10;6nrXXhJNTaV9um5yYyKcE3bR9djRjtJW8QQz/ZCsVzBmcbeFJHNclMoSeRV+6rED6Zrp5LXxTJEy&#10;PKSpHOHWuWZSrFW6g4NXjHovda1b1M8GtW+ZPRLQStfwx/yMNt/wL/0E1kVr+GP+Rhtv+Bf+gmsM&#10;L/Hh6o6MV/An6M9Hooor7A+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m/Gn/ACCov+uo/ka6Sub8af8AIKi/66j+Rrlxv+7z9DqwX+8Q9ThaKKK+&#10;SPrArprWzvNS8N2yWrmMwyNkFtokBPX8K5mniaQIEEjhQcgBjit6FVU2+ZaNGFelKolyuzTubh8P&#10;6yBnzV/7/wBYLAqzBuoODTvNk/56P/31TKVWcJW5U16u46UJxvztP0VgrY8LjPiC29t3/oJrHrqP&#10;Btkz3ct4wOyNdqn1JrTBQc68Uu5GNmoUJN9jtqKKK+t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n/wAgqL/rqP5GukpkkUcqgSIrgdmGaxr0&#10;/a03C+5rQqeyqKdtjySjFer/AGK1/wCfeL/vgUfYrX/n3i/74FeR/Y8v5/wPX/thfyfieUYoxXq/&#10;2K1/594v++BR9itf+feL/vgUf2PL+f8AAP7YX8n4nlGKVVZjhVJJ7AV6t9itf+feL/vgU5LeGI/J&#10;Ei/RQKFk76z/AAB5wv5PxOB0zwze3zq0qGCHuzDk/QV3lpaQ2VslvAm2NRxU9FelhsHTw693fueb&#10;icXUxD97bsFFFFdZ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1488" behindDoc="1" locked="0" layoutInCell="1" allowOverlap="1" wp14:anchorId="71FEB6D0" wp14:editId="53B84964">
              <wp:simplePos x="0" y="0"/>
              <wp:positionH relativeFrom="column">
                <wp:posOffset>0</wp:posOffset>
              </wp:positionH>
              <wp:positionV relativeFrom="paragraph">
                <wp:posOffset>8498840</wp:posOffset>
              </wp:positionV>
              <wp:extent cx="7379970" cy="2181860"/>
              <wp:effectExtent l="0" t="2540" r="1905" b="0"/>
              <wp:wrapNone/>
              <wp:docPr id="20"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x8QB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eHHx&#10;A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ACF8A" w14:textId="1C51F668" w:rsidR="00F9209E" w:rsidRPr="006E4F43" w:rsidRDefault="00F9209E" w:rsidP="006E4F43">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CE17B9">
      <w:rPr>
        <w:rFonts w:ascii="Franklin Gothic Medium" w:eastAsia="Times New Roman" w:hAnsi="Franklin Gothic Medium"/>
        <w:noProof/>
        <w:sz w:val="14"/>
        <w:szCs w:val="14"/>
      </w:rPr>
      <w:t>Aid Program Performance Report 2012−13 Indonesia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CE17B9">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9440" behindDoc="1" locked="0" layoutInCell="1" allowOverlap="1" wp14:anchorId="0B39D65B" wp14:editId="44E10D31">
              <wp:simplePos x="0" y="0"/>
              <wp:positionH relativeFrom="column">
                <wp:posOffset>0</wp:posOffset>
              </wp:positionH>
              <wp:positionV relativeFrom="paragraph">
                <wp:posOffset>8498840</wp:posOffset>
              </wp:positionV>
              <wp:extent cx="7379970" cy="2181860"/>
              <wp:effectExtent l="0" t="2540" r="1905" b="0"/>
              <wp:wrapNone/>
              <wp:docPr id="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jV6t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Ai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T41er&#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8416" behindDoc="1" locked="0" layoutInCell="1" allowOverlap="1" wp14:anchorId="08C3EA1E" wp14:editId="5EF94827">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0308" w14:textId="6381D4A7" w:rsidR="00F9209E" w:rsidRPr="00805D86" w:rsidRDefault="00F9209E" w:rsidP="00805D86">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D0B70">
      <w:rPr>
        <w:rFonts w:ascii="Franklin Gothic Medium" w:eastAsia="Times New Roman" w:hAnsi="Franklin Gothic Medium"/>
        <w:noProof/>
        <w:sz w:val="14"/>
        <w:szCs w:val="14"/>
      </w:rPr>
      <w:t>Aid Program Performance Report 2012−13 Indonesia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D0B70">
      <w:rPr>
        <w:rFonts w:ascii="Franklin Gothic Medium" w:eastAsia="Times New Roman" w:hAnsi="Franklin Gothic Medium"/>
        <w:noProof/>
        <w:sz w:val="14"/>
        <w:szCs w:val="14"/>
      </w:rPr>
      <w:t>62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9680" behindDoc="1" locked="0" layoutInCell="1" allowOverlap="1" wp14:anchorId="4E5025DE" wp14:editId="73C984FF">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8656" behindDoc="1" locked="0" layoutInCell="1" allowOverlap="1" wp14:anchorId="15001231" wp14:editId="3EC69653">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E60B4" w14:textId="3D8D10CF" w:rsidR="00F9209E" w:rsidRPr="00805D86" w:rsidRDefault="00F9209E" w:rsidP="00805D86">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CE17B9">
      <w:rPr>
        <w:rFonts w:ascii="Franklin Gothic Medium" w:eastAsia="Times New Roman" w:hAnsi="Franklin Gothic Medium"/>
        <w:noProof/>
        <w:sz w:val="14"/>
        <w:szCs w:val="14"/>
      </w:rPr>
      <w:t>Aid Program Performance Report 2012−13 Indonesia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CE17B9">
      <w:rPr>
        <w:rFonts w:ascii="Franklin Gothic Medium" w:eastAsia="Times New Roman" w:hAnsi="Franklin Gothic Medium"/>
        <w:noProof/>
        <w:sz w:val="14"/>
        <w:szCs w:val="14"/>
      </w:rPr>
      <w:t>74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4800" behindDoc="1" locked="0" layoutInCell="1" allowOverlap="1" wp14:anchorId="565A2BBE" wp14:editId="5C4CFF20">
              <wp:simplePos x="0" y="0"/>
              <wp:positionH relativeFrom="column">
                <wp:posOffset>0</wp:posOffset>
              </wp:positionH>
              <wp:positionV relativeFrom="paragraph">
                <wp:posOffset>8498840</wp:posOffset>
              </wp:positionV>
              <wp:extent cx="7379970" cy="2181860"/>
              <wp:effectExtent l="0" t="2540" r="1905" b="0"/>
              <wp:wrapNone/>
              <wp:docPr id="4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rA5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McF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Cs&#10;D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3776" behindDoc="1" locked="0" layoutInCell="1" allowOverlap="1" wp14:anchorId="10E44612" wp14:editId="2060D30B">
              <wp:simplePos x="0" y="0"/>
              <wp:positionH relativeFrom="column">
                <wp:posOffset>0</wp:posOffset>
              </wp:positionH>
              <wp:positionV relativeFrom="paragraph">
                <wp:posOffset>8498840</wp:posOffset>
              </wp:positionV>
              <wp:extent cx="7379970" cy="2181860"/>
              <wp:effectExtent l="0" t="2540" r="1905" b="0"/>
              <wp:wrapNone/>
              <wp:docPr id="43"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MfkZ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McV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t0x+&#10;R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D4557" w14:textId="77777777" w:rsidR="00F9209E" w:rsidRPr="004C4A3E" w:rsidRDefault="00F9209E"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76672" behindDoc="1" locked="1" layoutInCell="1" allowOverlap="1" wp14:anchorId="299DF105" wp14:editId="2B34089C">
              <wp:simplePos x="0" y="0"/>
              <wp:positionH relativeFrom="page">
                <wp:posOffset>0</wp:posOffset>
              </wp:positionH>
              <wp:positionV relativeFrom="page">
                <wp:posOffset>8533130</wp:posOffset>
              </wp:positionV>
              <wp:extent cx="7380000" cy="2181600"/>
              <wp:effectExtent l="0" t="0" r="0" b="9525"/>
              <wp:wrapNone/>
              <wp:docPr id="16" name="Rectangle 1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alt="AusAID web address graphic" style="position:absolute;margin-left:0;margin-top:671.9pt;width:581.1pt;height:17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9uWK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MD25Y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Annual Aid Program Performance Report 2012−13 Indonesia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80</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5648" behindDoc="1" locked="0" layoutInCell="1" allowOverlap="1" wp14:anchorId="063B2091" wp14:editId="255D10A0">
              <wp:simplePos x="0" y="0"/>
              <wp:positionH relativeFrom="column">
                <wp:posOffset>0</wp:posOffset>
              </wp:positionH>
              <wp:positionV relativeFrom="paragraph">
                <wp:posOffset>8498840</wp:posOffset>
              </wp:positionV>
              <wp:extent cx="7379970" cy="2181860"/>
              <wp:effectExtent l="0" t="2540" r="1905" b="0"/>
              <wp:wrapNone/>
              <wp:docPr id="17" name="Rectangle 1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AusAID web address graphic" style="position:absolute;margin-left:0;margin-top:669.2pt;width:581.1pt;height:17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kZle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s5GZX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4624" behindDoc="1" locked="0" layoutInCell="1" allowOverlap="1" wp14:anchorId="7E539B92" wp14:editId="68841AE2">
              <wp:simplePos x="0" y="0"/>
              <wp:positionH relativeFrom="column">
                <wp:posOffset>0</wp:posOffset>
              </wp:positionH>
              <wp:positionV relativeFrom="paragraph">
                <wp:posOffset>8498840</wp:posOffset>
              </wp:positionV>
              <wp:extent cx="7379970" cy="2181860"/>
              <wp:effectExtent l="0" t="2540" r="1905" b="0"/>
              <wp:wrapNone/>
              <wp:docPr id="18" name="Rectangle 1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AusAID web address graphic" style="position:absolute;margin-left:0;margin-top:669.2pt;width:581.1pt;height:17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i4Rgj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378E6" w14:textId="28278937" w:rsidR="00F9209E" w:rsidRPr="00805D86" w:rsidRDefault="00F9209E" w:rsidP="00805D86">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CE17B9">
      <w:rPr>
        <w:rFonts w:ascii="Franklin Gothic Medium" w:eastAsia="Times New Roman" w:hAnsi="Franklin Gothic Medium"/>
        <w:noProof/>
        <w:sz w:val="14"/>
        <w:szCs w:val="14"/>
      </w:rPr>
      <w:t>Aid Program Performance Report 2012−13 Indonesia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CE17B9">
      <w:rPr>
        <w:rFonts w:ascii="Franklin Gothic Medium" w:eastAsia="Times New Roman" w:hAnsi="Franklin Gothic Medium"/>
        <w:noProof/>
        <w:sz w:val="14"/>
        <w:szCs w:val="14"/>
      </w:rPr>
      <w:t>77</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7872" behindDoc="1" locked="0" layoutInCell="1" allowOverlap="1" wp14:anchorId="61E605B1" wp14:editId="50753410">
              <wp:simplePos x="0" y="0"/>
              <wp:positionH relativeFrom="column">
                <wp:posOffset>0</wp:posOffset>
              </wp:positionH>
              <wp:positionV relativeFrom="paragraph">
                <wp:posOffset>8498840</wp:posOffset>
              </wp:positionV>
              <wp:extent cx="7379970" cy="2181860"/>
              <wp:effectExtent l="0" t="2540" r="1905" b="0"/>
              <wp:wrapNone/>
              <wp:docPr id="4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rvmB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Mcd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viu+&#10;YG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6848" behindDoc="1" locked="0" layoutInCell="1" allowOverlap="1" wp14:anchorId="3B5B1EB5" wp14:editId="31B5D7E0">
              <wp:simplePos x="0" y="0"/>
              <wp:positionH relativeFrom="column">
                <wp:posOffset>0</wp:posOffset>
              </wp:positionH>
              <wp:positionV relativeFrom="paragraph">
                <wp:posOffset>8498840</wp:posOffset>
              </wp:positionV>
              <wp:extent cx="7379970" cy="2181860"/>
              <wp:effectExtent l="0" t="2540" r="1905" b="0"/>
              <wp:wrapNone/>
              <wp:docPr id="4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pwbV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UWG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jqnB&#10;t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D0AF7" w14:textId="77777777" w:rsidR="00F9209E" w:rsidRPr="004C4A3E" w:rsidRDefault="00F9209E"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84864" behindDoc="1" locked="1" layoutInCell="1" allowOverlap="1" wp14:anchorId="31200A38" wp14:editId="3534C4AF">
              <wp:simplePos x="0" y="0"/>
              <wp:positionH relativeFrom="page">
                <wp:posOffset>0</wp:posOffset>
              </wp:positionH>
              <wp:positionV relativeFrom="page">
                <wp:posOffset>8533130</wp:posOffset>
              </wp:positionV>
              <wp:extent cx="7380000" cy="2181600"/>
              <wp:effectExtent l="0" t="0" r="0" b="9525"/>
              <wp:wrapNone/>
              <wp:docPr id="1" name="Rectangle 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alt="AusAID web address graphic" style="position:absolute;margin-left:0;margin-top:671.9pt;width:581.1pt;height:171.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CSAO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FAkgD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Annual Aid Program Performance Report 2012−13 Indonesia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80</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83840" behindDoc="1" locked="0" layoutInCell="1" allowOverlap="1" wp14:anchorId="446A4C35" wp14:editId="3CFA76E7">
              <wp:simplePos x="0" y="0"/>
              <wp:positionH relativeFrom="column">
                <wp:posOffset>0</wp:posOffset>
              </wp:positionH>
              <wp:positionV relativeFrom="paragraph">
                <wp:posOffset>8498840</wp:posOffset>
              </wp:positionV>
              <wp:extent cx="7379970" cy="2181860"/>
              <wp:effectExtent l="0" t="2540" r="1905" b="0"/>
              <wp:wrapNone/>
              <wp:docPr id="34" name="Rectangle 3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alt="AusAID web address graphic" style="position:absolute;margin-left:0;margin-top:669.2pt;width:581.1pt;height:17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v/Wu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Ba/9a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82816" behindDoc="1" locked="0" layoutInCell="1" allowOverlap="1" wp14:anchorId="6FB05A1A" wp14:editId="5B7D7DA5">
              <wp:simplePos x="0" y="0"/>
              <wp:positionH relativeFrom="column">
                <wp:posOffset>0</wp:posOffset>
              </wp:positionH>
              <wp:positionV relativeFrom="paragraph">
                <wp:posOffset>8498840</wp:posOffset>
              </wp:positionV>
              <wp:extent cx="7379970" cy="2181860"/>
              <wp:effectExtent l="0" t="2540" r="1905" b="0"/>
              <wp:wrapNone/>
              <wp:docPr id="35" name="Rectangle 3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alt="AusAID web address graphic" style="position:absolute;margin-left:0;margin-top:669.2pt;width:581.1pt;height:17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EEA+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ogQQ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5FB8C" w14:textId="77777777" w:rsidR="00F9209E" w:rsidRDefault="00F9209E" w:rsidP="0050529F">
      <w:r>
        <w:separator/>
      </w:r>
    </w:p>
    <w:p w14:paraId="7F7FE952" w14:textId="77777777" w:rsidR="00F9209E" w:rsidRDefault="00F9209E"/>
    <w:p w14:paraId="6926E938" w14:textId="77777777" w:rsidR="00F9209E" w:rsidRDefault="00F9209E"/>
  </w:footnote>
  <w:footnote w:type="continuationSeparator" w:id="0">
    <w:p w14:paraId="3E319E77" w14:textId="77777777" w:rsidR="00F9209E" w:rsidRDefault="00F9209E" w:rsidP="0050529F">
      <w:r>
        <w:continuationSeparator/>
      </w:r>
    </w:p>
    <w:p w14:paraId="10990ABC" w14:textId="77777777" w:rsidR="00F9209E" w:rsidRDefault="00F9209E"/>
    <w:p w14:paraId="5A3D770E" w14:textId="77777777" w:rsidR="00F9209E" w:rsidRDefault="00F9209E"/>
  </w:footnote>
  <w:footnote w:id="1">
    <w:p w14:paraId="0AF690E6" w14:textId="0FABA07C" w:rsidR="00F9209E" w:rsidRDefault="00F9209E">
      <w:pPr>
        <w:pStyle w:val="FootnoteText"/>
      </w:pPr>
      <w:r>
        <w:rPr>
          <w:rStyle w:val="FootnoteReference"/>
        </w:rPr>
        <w:footnoteRef/>
      </w:r>
      <w:r>
        <w:t xml:space="preserve"> In November 2013 AusAID was integrated into the Department of Foreign Affairs and Trade (DFAT). In this report, ‘AusAID’ is used to refer to the achievements and performance of the agency prior to the integration. ‘DFAT’ is used to refer to the future aid commitments of the integrated department.</w:t>
      </w:r>
    </w:p>
  </w:footnote>
  <w:footnote w:id="2">
    <w:p w14:paraId="784A19D9" w14:textId="77777777" w:rsidR="00F9209E" w:rsidRPr="00E86919" w:rsidRDefault="00F9209E">
      <w:pPr>
        <w:pStyle w:val="FootnoteText"/>
        <w:rPr>
          <w:szCs w:val="16"/>
        </w:rPr>
      </w:pPr>
      <w:r w:rsidRPr="00E86919">
        <w:rPr>
          <w:rStyle w:val="FootnoteReference"/>
          <w:szCs w:val="16"/>
        </w:rPr>
        <w:footnoteRef/>
      </w:r>
      <w:r w:rsidRPr="00E86919">
        <w:rPr>
          <w:szCs w:val="16"/>
        </w:rPr>
        <w:t xml:space="preserve"> BPS Indonesia, September 2012</w:t>
      </w:r>
      <w:r>
        <w:rPr>
          <w:szCs w:val="16"/>
        </w:rPr>
        <w:t>.</w:t>
      </w:r>
    </w:p>
  </w:footnote>
  <w:footnote w:id="3">
    <w:p w14:paraId="4DCEA426" w14:textId="77777777" w:rsidR="00F9209E" w:rsidRPr="00E45662" w:rsidRDefault="00F9209E">
      <w:pPr>
        <w:pStyle w:val="FootnoteText"/>
        <w:rPr>
          <w:szCs w:val="16"/>
        </w:rPr>
      </w:pPr>
      <w:r>
        <w:rPr>
          <w:rStyle w:val="FootnoteReference"/>
        </w:rPr>
        <w:footnoteRef/>
      </w:r>
      <w:r>
        <w:t xml:space="preserve"> </w:t>
      </w:r>
      <w:r w:rsidRPr="00E45662">
        <w:rPr>
          <w:szCs w:val="16"/>
        </w:rPr>
        <w:t>Indonesia Economic Quarterly, World Bank, March 2013</w:t>
      </w:r>
      <w:r>
        <w:rPr>
          <w:szCs w:val="16"/>
        </w:rPr>
        <w:t>.</w:t>
      </w:r>
    </w:p>
  </w:footnote>
  <w:footnote w:id="4">
    <w:p w14:paraId="0B7C2BA3" w14:textId="3DA7D326" w:rsidR="00F9209E" w:rsidRPr="00E86919" w:rsidRDefault="00F9209E">
      <w:pPr>
        <w:pStyle w:val="FootnoteText"/>
        <w:rPr>
          <w:szCs w:val="16"/>
        </w:rPr>
      </w:pPr>
      <w:r w:rsidRPr="00E86919">
        <w:rPr>
          <w:rStyle w:val="FootnoteReference"/>
          <w:szCs w:val="16"/>
        </w:rPr>
        <w:footnoteRef/>
      </w:r>
      <w:r w:rsidRPr="00E86919">
        <w:rPr>
          <w:szCs w:val="16"/>
        </w:rPr>
        <w:t xml:space="preserve"> Australia’s International Development Assistance Program 2013</w:t>
      </w:r>
      <w:r>
        <w:rPr>
          <w:szCs w:val="16"/>
        </w:rPr>
        <w:t>–</w:t>
      </w:r>
      <w:r w:rsidRPr="00E86919">
        <w:rPr>
          <w:szCs w:val="16"/>
        </w:rPr>
        <w:t xml:space="preserve">14: BUDGET; Statement by Senator </w:t>
      </w:r>
      <w:proofErr w:type="gramStart"/>
      <w:r w:rsidRPr="00E86919">
        <w:rPr>
          <w:szCs w:val="16"/>
        </w:rPr>
        <w:t>The</w:t>
      </w:r>
      <w:proofErr w:type="gramEnd"/>
      <w:r w:rsidRPr="00E86919">
        <w:rPr>
          <w:szCs w:val="16"/>
        </w:rPr>
        <w:t xml:space="preserve"> Hon Bob Carr, Minister of Foreign Affairs, 14 May 2013.</w:t>
      </w:r>
      <w:r>
        <w:rPr>
          <w:szCs w:val="16"/>
        </w:rPr>
        <w:t xml:space="preserve"> </w:t>
      </w:r>
    </w:p>
  </w:footnote>
  <w:footnote w:id="5">
    <w:p w14:paraId="35A2B9EC" w14:textId="798CAE1C" w:rsidR="00F9209E" w:rsidRPr="003A182A" w:rsidRDefault="00F9209E">
      <w:pPr>
        <w:pStyle w:val="FootnoteText"/>
        <w:rPr>
          <w:szCs w:val="16"/>
        </w:rPr>
      </w:pPr>
      <w:r w:rsidRPr="003A182A">
        <w:rPr>
          <w:rStyle w:val="FootnoteReference"/>
          <w:szCs w:val="16"/>
        </w:rPr>
        <w:footnoteRef/>
      </w:r>
      <w:r w:rsidRPr="003A182A">
        <w:rPr>
          <w:szCs w:val="16"/>
        </w:rPr>
        <w:t xml:space="preserve"> </w:t>
      </w:r>
      <w:proofErr w:type="gramStart"/>
      <w:r w:rsidRPr="003A182A">
        <w:rPr>
          <w:szCs w:val="16"/>
        </w:rPr>
        <w:t>Diseases that are easily transmitted from animals to humans</w:t>
      </w:r>
      <w:r>
        <w:rPr>
          <w:szCs w:val="16"/>
        </w:rPr>
        <w:t>.</w:t>
      </w:r>
      <w:proofErr w:type="gramEnd"/>
    </w:p>
  </w:footnote>
  <w:footnote w:id="6">
    <w:p w14:paraId="3EC364EE" w14:textId="6A5C2A79" w:rsidR="00F9209E" w:rsidRPr="00E86919" w:rsidRDefault="00F9209E">
      <w:pPr>
        <w:pStyle w:val="FootnoteText"/>
        <w:rPr>
          <w:szCs w:val="16"/>
        </w:rPr>
      </w:pPr>
      <w:r w:rsidRPr="00E86919">
        <w:rPr>
          <w:rStyle w:val="FootnoteReference"/>
          <w:szCs w:val="16"/>
        </w:rPr>
        <w:footnoteRef/>
      </w:r>
      <w:r w:rsidRPr="00E86919">
        <w:rPr>
          <w:szCs w:val="16"/>
        </w:rPr>
        <w:t xml:space="preserve"> </w:t>
      </w:r>
      <w:proofErr w:type="gramStart"/>
      <w:r w:rsidRPr="00E86919">
        <w:rPr>
          <w:szCs w:val="16"/>
        </w:rPr>
        <w:t>World Bank 2008</w:t>
      </w:r>
      <w:r>
        <w:rPr>
          <w:szCs w:val="16"/>
        </w:rPr>
        <w:t>.</w:t>
      </w:r>
      <w:proofErr w:type="gramEnd"/>
      <w:r w:rsidRPr="00E86919">
        <w:rPr>
          <w:szCs w:val="16"/>
        </w:rPr>
        <w:t xml:space="preserve"> </w:t>
      </w:r>
      <w:proofErr w:type="gramStart"/>
      <w:r w:rsidRPr="00E86919">
        <w:rPr>
          <w:szCs w:val="16"/>
        </w:rPr>
        <w:t>Agriculture for Development, World Development Report, Washington</w:t>
      </w:r>
      <w:r>
        <w:rPr>
          <w:szCs w:val="16"/>
        </w:rPr>
        <w:t>.</w:t>
      </w:r>
      <w:proofErr w:type="gramEnd"/>
    </w:p>
  </w:footnote>
  <w:footnote w:id="7">
    <w:p w14:paraId="1C81CD17" w14:textId="18382CE9" w:rsidR="00CE17B9" w:rsidRDefault="00CE17B9">
      <w:pPr>
        <w:pStyle w:val="FootnoteText"/>
      </w:pPr>
      <w:r>
        <w:rPr>
          <w:rStyle w:val="FootnoteReference"/>
        </w:rPr>
        <w:footnoteRef/>
      </w:r>
      <w:r>
        <w:t xml:space="preserve"> Prior to 2012-13 Aid Program Performance Reports were called Annual Program Performance Reports</w:t>
      </w:r>
    </w:p>
  </w:footnote>
  <w:footnote w:id="8">
    <w:p w14:paraId="6903E243" w14:textId="07CFDA87" w:rsidR="00F9209E" w:rsidRPr="0081731A" w:rsidRDefault="00F9209E" w:rsidP="004923C5">
      <w:pPr>
        <w:pStyle w:val="FootnoteText"/>
      </w:pPr>
      <w:r>
        <w:rPr>
          <w:rStyle w:val="FootnoteReference"/>
        </w:rPr>
        <w:footnoteRef/>
      </w:r>
      <w:r>
        <w:t xml:space="preserve"> </w:t>
      </w:r>
      <w:proofErr w:type="gramStart"/>
      <w:r w:rsidRPr="00D67028">
        <w:rPr>
          <w:i/>
          <w:szCs w:val="16"/>
        </w:rPr>
        <w:t>Country background report on the education sector in Indonesia</w:t>
      </w:r>
      <w:r w:rsidRPr="0081731A">
        <w:rPr>
          <w:szCs w:val="16"/>
        </w:rPr>
        <w:t>, Analytical and Capacity Development Partnership for the Ministry of Education and Culture, 2013.</w:t>
      </w:r>
      <w:proofErr w:type="gramEnd"/>
      <w:r w:rsidRPr="0081731A">
        <w:rPr>
          <w:szCs w:val="16"/>
        </w:rPr>
        <w:t xml:space="preserve"> Data sources:</w:t>
      </w:r>
      <w:r>
        <w:rPr>
          <w:szCs w:val="16"/>
        </w:rPr>
        <w:t xml:space="preserve"> </w:t>
      </w:r>
      <w:proofErr w:type="spellStart"/>
      <w:r w:rsidRPr="0081731A">
        <w:rPr>
          <w:szCs w:val="16"/>
        </w:rPr>
        <w:t>Ikhtisar</w:t>
      </w:r>
      <w:proofErr w:type="spellEnd"/>
      <w:r w:rsidRPr="0081731A">
        <w:rPr>
          <w:szCs w:val="16"/>
        </w:rPr>
        <w:t xml:space="preserve"> Data </w:t>
      </w:r>
      <w:proofErr w:type="spellStart"/>
      <w:r w:rsidRPr="0081731A">
        <w:rPr>
          <w:szCs w:val="16"/>
        </w:rPr>
        <w:t>Pendidikan</w:t>
      </w:r>
      <w:proofErr w:type="spellEnd"/>
      <w:r w:rsidRPr="0081731A">
        <w:rPr>
          <w:szCs w:val="16"/>
        </w:rPr>
        <w:t xml:space="preserve"> </w:t>
      </w:r>
      <w:proofErr w:type="spellStart"/>
      <w:r w:rsidRPr="0081731A">
        <w:rPr>
          <w:szCs w:val="16"/>
        </w:rPr>
        <w:t>Nasional</w:t>
      </w:r>
      <w:proofErr w:type="spellEnd"/>
      <w:r w:rsidRPr="0081731A">
        <w:rPr>
          <w:szCs w:val="16"/>
        </w:rPr>
        <w:t xml:space="preserve"> (Ministry of Education and Culture), </w:t>
      </w:r>
      <w:proofErr w:type="spellStart"/>
      <w:r w:rsidRPr="0081731A">
        <w:rPr>
          <w:szCs w:val="16"/>
        </w:rPr>
        <w:t>Buku</w:t>
      </w:r>
      <w:proofErr w:type="spellEnd"/>
      <w:r w:rsidRPr="0081731A">
        <w:rPr>
          <w:szCs w:val="16"/>
        </w:rPr>
        <w:t xml:space="preserve"> </w:t>
      </w:r>
      <w:proofErr w:type="spellStart"/>
      <w:r w:rsidRPr="0081731A">
        <w:rPr>
          <w:szCs w:val="16"/>
        </w:rPr>
        <w:t>Indikator</w:t>
      </w:r>
      <w:proofErr w:type="spellEnd"/>
      <w:r w:rsidRPr="0081731A">
        <w:rPr>
          <w:szCs w:val="16"/>
        </w:rPr>
        <w:t xml:space="preserve"> </w:t>
      </w:r>
      <w:proofErr w:type="spellStart"/>
      <w:r w:rsidRPr="0081731A">
        <w:rPr>
          <w:szCs w:val="16"/>
        </w:rPr>
        <w:t>Kunci</w:t>
      </w:r>
      <w:proofErr w:type="spellEnd"/>
      <w:r w:rsidRPr="0081731A">
        <w:rPr>
          <w:szCs w:val="16"/>
        </w:rPr>
        <w:t xml:space="preserve"> </w:t>
      </w:r>
      <w:proofErr w:type="spellStart"/>
      <w:r w:rsidRPr="0081731A">
        <w:rPr>
          <w:szCs w:val="16"/>
        </w:rPr>
        <w:t>Keberhasilan</w:t>
      </w:r>
      <w:proofErr w:type="spellEnd"/>
      <w:r w:rsidRPr="0081731A">
        <w:rPr>
          <w:szCs w:val="16"/>
        </w:rPr>
        <w:t xml:space="preserve"> (Ministry of Education and Culture), </w:t>
      </w:r>
      <w:proofErr w:type="spellStart"/>
      <w:r w:rsidRPr="0081731A">
        <w:rPr>
          <w:szCs w:val="16"/>
        </w:rPr>
        <w:t>Buku</w:t>
      </w:r>
      <w:proofErr w:type="spellEnd"/>
      <w:r w:rsidRPr="0081731A">
        <w:rPr>
          <w:szCs w:val="16"/>
        </w:rPr>
        <w:t xml:space="preserve"> </w:t>
      </w:r>
      <w:proofErr w:type="spellStart"/>
      <w:r w:rsidRPr="0081731A">
        <w:rPr>
          <w:szCs w:val="16"/>
        </w:rPr>
        <w:t>Statistik</w:t>
      </w:r>
      <w:proofErr w:type="spellEnd"/>
      <w:r w:rsidRPr="0081731A">
        <w:rPr>
          <w:szCs w:val="16"/>
        </w:rPr>
        <w:t xml:space="preserve"> </w:t>
      </w:r>
      <w:proofErr w:type="spellStart"/>
      <w:r w:rsidRPr="0081731A">
        <w:rPr>
          <w:szCs w:val="16"/>
        </w:rPr>
        <w:t>Pendid</w:t>
      </w:r>
      <w:r>
        <w:rPr>
          <w:szCs w:val="16"/>
        </w:rPr>
        <w:t>i</w:t>
      </w:r>
      <w:r w:rsidRPr="0081731A">
        <w:rPr>
          <w:szCs w:val="16"/>
        </w:rPr>
        <w:t>kan</w:t>
      </w:r>
      <w:proofErr w:type="spellEnd"/>
      <w:r w:rsidRPr="0081731A">
        <w:rPr>
          <w:szCs w:val="16"/>
        </w:rPr>
        <w:t xml:space="preserve"> Islam (</w:t>
      </w:r>
      <w:r>
        <w:rPr>
          <w:szCs w:val="16"/>
        </w:rPr>
        <w:t>Ministry of Religious Affairs</w:t>
      </w:r>
      <w:r w:rsidRPr="0081731A">
        <w:rPr>
          <w:szCs w:val="16"/>
        </w:rPr>
        <w:t>)</w:t>
      </w:r>
      <w:r>
        <w:rPr>
          <w:szCs w:val="16"/>
        </w:rPr>
        <w:t>.</w:t>
      </w:r>
    </w:p>
  </w:footnote>
  <w:footnote w:id="9">
    <w:p w14:paraId="550C2271" w14:textId="44DC3A54" w:rsidR="00F9209E" w:rsidRPr="0081731A" w:rsidRDefault="00F9209E" w:rsidP="004923C5">
      <w:pPr>
        <w:pStyle w:val="FootnoteText"/>
        <w:rPr>
          <w:szCs w:val="16"/>
        </w:rPr>
      </w:pPr>
      <w:r w:rsidRPr="0081731A">
        <w:rPr>
          <w:rStyle w:val="FootnoteReference"/>
          <w:szCs w:val="16"/>
        </w:rPr>
        <w:footnoteRef/>
      </w:r>
      <w:r w:rsidRPr="0081731A">
        <w:rPr>
          <w:szCs w:val="16"/>
        </w:rPr>
        <w:t xml:space="preserve"> </w:t>
      </w:r>
      <w:proofErr w:type="spellStart"/>
      <w:r w:rsidRPr="0081731A">
        <w:rPr>
          <w:szCs w:val="16"/>
        </w:rPr>
        <w:t>Renstra</w:t>
      </w:r>
      <w:proofErr w:type="spellEnd"/>
      <w:r w:rsidRPr="0081731A">
        <w:rPr>
          <w:szCs w:val="16"/>
        </w:rPr>
        <w:t xml:space="preserve"> is an abbreviation of </w:t>
      </w:r>
      <w:proofErr w:type="spellStart"/>
      <w:r w:rsidRPr="0081731A">
        <w:rPr>
          <w:i/>
          <w:szCs w:val="16"/>
        </w:rPr>
        <w:t>Rencana</w:t>
      </w:r>
      <w:proofErr w:type="spellEnd"/>
      <w:r w:rsidRPr="0081731A">
        <w:rPr>
          <w:i/>
          <w:szCs w:val="16"/>
        </w:rPr>
        <w:t xml:space="preserve"> </w:t>
      </w:r>
      <w:proofErr w:type="spellStart"/>
      <w:r w:rsidRPr="0081731A">
        <w:rPr>
          <w:i/>
          <w:szCs w:val="16"/>
        </w:rPr>
        <w:t>Strategis</w:t>
      </w:r>
      <w:proofErr w:type="spellEnd"/>
      <w:r w:rsidRPr="0081731A">
        <w:rPr>
          <w:szCs w:val="16"/>
        </w:rPr>
        <w:t xml:space="preserve">, or </w:t>
      </w:r>
      <w:r>
        <w:rPr>
          <w:szCs w:val="16"/>
        </w:rPr>
        <w:t>s</w:t>
      </w:r>
      <w:r w:rsidRPr="0081731A">
        <w:rPr>
          <w:szCs w:val="16"/>
        </w:rPr>
        <w:t xml:space="preserve">trategic </w:t>
      </w:r>
      <w:r>
        <w:rPr>
          <w:szCs w:val="16"/>
        </w:rPr>
        <w:t>p</w:t>
      </w:r>
      <w:r w:rsidRPr="0081731A">
        <w:rPr>
          <w:szCs w:val="16"/>
        </w:rPr>
        <w:t>lan</w:t>
      </w:r>
      <w:r>
        <w:rPr>
          <w:szCs w:val="16"/>
        </w:rPr>
        <w:t>.</w:t>
      </w:r>
    </w:p>
  </w:footnote>
  <w:footnote w:id="10">
    <w:p w14:paraId="4D923DCA" w14:textId="47BD27A1" w:rsidR="00F9209E" w:rsidRPr="00D67028" w:rsidRDefault="00F9209E" w:rsidP="004923C5">
      <w:pPr>
        <w:pStyle w:val="FootnoteText"/>
        <w:rPr>
          <w:szCs w:val="16"/>
        </w:rPr>
      </w:pPr>
      <w:r w:rsidRPr="00D67028">
        <w:rPr>
          <w:rStyle w:val="FootnoteReference"/>
          <w:szCs w:val="16"/>
        </w:rPr>
        <w:footnoteRef/>
      </w:r>
      <w:r w:rsidRPr="00D67028">
        <w:rPr>
          <w:szCs w:val="16"/>
        </w:rPr>
        <w:t xml:space="preserve"> </w:t>
      </w:r>
      <w:r w:rsidRPr="00D67028">
        <w:rPr>
          <w:i/>
          <w:szCs w:val="16"/>
        </w:rPr>
        <w:t>We like being taught: a study on teacher absenteeism in Papua and West Papua</w:t>
      </w:r>
      <w:r w:rsidRPr="00D67028">
        <w:rPr>
          <w:szCs w:val="16"/>
        </w:rPr>
        <w:t>, U</w:t>
      </w:r>
      <w:r>
        <w:rPr>
          <w:szCs w:val="16"/>
        </w:rPr>
        <w:t xml:space="preserve">nited </w:t>
      </w:r>
      <w:r w:rsidRPr="00D67028">
        <w:rPr>
          <w:szCs w:val="16"/>
        </w:rPr>
        <w:t>N</w:t>
      </w:r>
      <w:r>
        <w:rPr>
          <w:szCs w:val="16"/>
        </w:rPr>
        <w:t xml:space="preserve">ations </w:t>
      </w:r>
      <w:r w:rsidRPr="00D67028">
        <w:rPr>
          <w:szCs w:val="16"/>
        </w:rPr>
        <w:t>C</w:t>
      </w:r>
      <w:r>
        <w:rPr>
          <w:szCs w:val="16"/>
        </w:rPr>
        <w:t xml:space="preserve">hildren’s </w:t>
      </w:r>
      <w:r w:rsidRPr="00D67028">
        <w:rPr>
          <w:szCs w:val="16"/>
        </w:rPr>
        <w:t>F</w:t>
      </w:r>
      <w:r>
        <w:rPr>
          <w:szCs w:val="16"/>
        </w:rPr>
        <w:t>und</w:t>
      </w:r>
      <w:r w:rsidRPr="00D67028">
        <w:rPr>
          <w:szCs w:val="16"/>
        </w:rPr>
        <w:t xml:space="preserve"> together with </w:t>
      </w:r>
      <w:r>
        <w:rPr>
          <w:szCs w:val="16"/>
        </w:rPr>
        <w:t xml:space="preserve">University of </w:t>
      </w:r>
      <w:proofErr w:type="spellStart"/>
      <w:r>
        <w:rPr>
          <w:szCs w:val="16"/>
        </w:rPr>
        <w:t>Cenderawasih</w:t>
      </w:r>
      <w:proofErr w:type="spellEnd"/>
      <w:r w:rsidRPr="00D67028">
        <w:rPr>
          <w:szCs w:val="16"/>
        </w:rPr>
        <w:t xml:space="preserve">, </w:t>
      </w:r>
      <w:r>
        <w:rPr>
          <w:szCs w:val="16"/>
        </w:rPr>
        <w:t>State University of Papua</w:t>
      </w:r>
      <w:r w:rsidRPr="00D67028">
        <w:rPr>
          <w:szCs w:val="16"/>
        </w:rPr>
        <w:t xml:space="preserve">, SMERU </w:t>
      </w:r>
      <w:r>
        <w:rPr>
          <w:szCs w:val="16"/>
        </w:rPr>
        <w:t xml:space="preserve">Institute </w:t>
      </w:r>
      <w:r w:rsidRPr="00D67028">
        <w:rPr>
          <w:szCs w:val="16"/>
        </w:rPr>
        <w:t xml:space="preserve">and </w:t>
      </w:r>
      <w:r>
        <w:rPr>
          <w:szCs w:val="16"/>
        </w:rPr>
        <w:t>Central Bureau of Statistics</w:t>
      </w:r>
      <w:r w:rsidRPr="00D67028">
        <w:rPr>
          <w:szCs w:val="16"/>
        </w:rPr>
        <w:t>, April 2012</w:t>
      </w:r>
      <w:r>
        <w:rPr>
          <w:szCs w:val="16"/>
        </w:rPr>
        <w:t>.</w:t>
      </w:r>
    </w:p>
  </w:footnote>
  <w:footnote w:id="11">
    <w:p w14:paraId="7E594812" w14:textId="3EA61FC8" w:rsidR="00F9209E" w:rsidRDefault="00F9209E" w:rsidP="00D87E91">
      <w:pPr>
        <w:pStyle w:val="FootnoteText"/>
      </w:pPr>
      <w:r>
        <w:rPr>
          <w:rStyle w:val="FootnoteReference"/>
        </w:rPr>
        <w:footnoteRef/>
      </w:r>
      <w:r>
        <w:t xml:space="preserve"> D</w:t>
      </w:r>
      <w:r w:rsidRPr="002B4DF3">
        <w:t xml:space="preserve">ue to age mismatch, exclusion of </w:t>
      </w:r>
      <w:r>
        <w:t>religious schools and</w:t>
      </w:r>
      <w:r w:rsidRPr="002B4DF3">
        <w:t xml:space="preserve"> poor socialisation</w:t>
      </w:r>
      <w:r>
        <w:t>.</w:t>
      </w:r>
    </w:p>
  </w:footnote>
  <w:footnote w:id="12">
    <w:p w14:paraId="422EC4A3" w14:textId="061E22C3" w:rsidR="00F9209E" w:rsidRPr="00071B95" w:rsidRDefault="00F9209E" w:rsidP="00071B95">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13">
    <w:p w14:paraId="173A82D9" w14:textId="68FF52F8" w:rsidR="00F9209E" w:rsidRPr="00071B95" w:rsidRDefault="00F9209E" w:rsidP="005213F3">
      <w:pPr>
        <w:pStyle w:val="FootnoteText"/>
      </w:pPr>
      <w:r w:rsidRPr="00F77E6A">
        <w:rPr>
          <w:rStyle w:val="FootnoteReference"/>
        </w:rPr>
        <w:footnoteRef/>
      </w:r>
      <w:r w:rsidRPr="00071B95">
        <w:t xml:space="preserve"> </w:t>
      </w:r>
      <w:proofErr w:type="gramStart"/>
      <w:r>
        <w:t>E</w:t>
      </w:r>
      <w:r w:rsidRPr="00071B95">
        <w:t xml:space="preserve">.g. </w:t>
      </w:r>
      <w:r>
        <w:t>m</w:t>
      </w:r>
      <w:r w:rsidRPr="00071B95">
        <w:t xml:space="preserve">id-term review, </w:t>
      </w:r>
      <w:r>
        <w:t>c</w:t>
      </w:r>
      <w:r w:rsidRPr="00071B95">
        <w:t>ompletion report, partner-led evaluation, joint evaluation</w:t>
      </w:r>
      <w:r>
        <w:t>.</w:t>
      </w:r>
      <w:proofErr w:type="gramEnd"/>
    </w:p>
  </w:footnote>
  <w:footnote w:id="14">
    <w:p w14:paraId="3ABA8C4F" w14:textId="141F3171" w:rsidR="00F9209E" w:rsidRPr="00551C11" w:rsidRDefault="00F9209E" w:rsidP="005C0536">
      <w:pPr>
        <w:pStyle w:val="FootnoteText"/>
      </w:pPr>
      <w:r w:rsidRPr="00F77E6A">
        <w:rPr>
          <w:rStyle w:val="FootnoteReference"/>
        </w:rPr>
        <w:footnoteRef/>
      </w:r>
      <w:r w:rsidRPr="00071B95">
        <w:t xml:space="preserve"> </w:t>
      </w:r>
      <w:proofErr w:type="gramStart"/>
      <w:r>
        <w:t>E</w:t>
      </w:r>
      <w:r w:rsidRPr="00071B95">
        <w:t xml:space="preserve">.g. </w:t>
      </w:r>
      <w:r>
        <w:t>t</w:t>
      </w:r>
      <w:r w:rsidRPr="00071B95">
        <w:t>o inform a future phase of program, to improve existing program; to verify program outcomes</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02E98" w14:textId="281E1E47" w:rsidR="00F9209E" w:rsidRDefault="00F9209E">
    <w:pPr>
      <w:pStyle w:val="Header"/>
    </w:pPr>
  </w:p>
  <w:p w14:paraId="069830FD" w14:textId="63702ED2" w:rsidR="00F9209E" w:rsidRDefault="00F9209E">
    <w:r>
      <w:rPr>
        <w:noProof/>
      </w:rPr>
      <w:drawing>
        <wp:anchor distT="0" distB="0" distL="114300" distR="114300" simplePos="0" relativeHeight="251714560" behindDoc="0" locked="0" layoutInCell="1" allowOverlap="1" wp14:anchorId="61C11E01" wp14:editId="175413DC">
          <wp:simplePos x="0" y="0"/>
          <wp:positionH relativeFrom="page">
            <wp:align>left</wp:align>
          </wp:positionH>
          <wp:positionV relativeFrom="page">
            <wp:align>top</wp:align>
          </wp:positionV>
          <wp:extent cx="7560000" cy="1440000"/>
          <wp:effectExtent l="0" t="0" r="3175" b="825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4494A" w14:textId="1B4D3A2D" w:rsidR="00F9209E" w:rsidRPr="006E4F43" w:rsidRDefault="00F9209E" w:rsidP="006E4F43">
    <w:pPr>
      <w:pStyle w:val="Header"/>
    </w:pPr>
    <w:r>
      <w:rPr>
        <w:noProof/>
      </w:rPr>
      <w:drawing>
        <wp:anchor distT="0" distB="0" distL="114300" distR="114300" simplePos="0" relativeHeight="251716608" behindDoc="0" locked="0" layoutInCell="1" allowOverlap="1" wp14:anchorId="7CBD9BF2" wp14:editId="5EF20555">
          <wp:simplePos x="0" y="0"/>
          <wp:positionH relativeFrom="page">
            <wp:align>left</wp:align>
          </wp:positionH>
          <wp:positionV relativeFrom="page">
            <wp:align>top</wp:align>
          </wp:positionV>
          <wp:extent cx="7560000" cy="1890000"/>
          <wp:effectExtent l="0" t="0" r="317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8CCCA" w14:textId="1E6F5FD0" w:rsidR="00F9209E" w:rsidRDefault="00F9209E">
    <w:pPr>
      <w:pStyle w:val="Header"/>
    </w:pPr>
  </w:p>
  <w:p w14:paraId="60454436" w14:textId="77777777" w:rsidR="00F9209E" w:rsidRDefault="00F9209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F023" w14:textId="77777777" w:rsidR="00F9209E" w:rsidRDefault="00F920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2200E" w14:textId="77777777" w:rsidR="00F9209E" w:rsidRDefault="00F9209E">
    <w:pPr>
      <w:pStyle w:val="Header"/>
    </w:pPr>
  </w:p>
  <w:p w14:paraId="4D449FAA" w14:textId="363078E5" w:rsidR="00F9209E" w:rsidRDefault="00F9209E">
    <w:r>
      <w:rPr>
        <w:noProof/>
      </w:rPr>
      <w:drawing>
        <wp:anchor distT="0" distB="0" distL="114300" distR="114300" simplePos="0" relativeHeight="251721728" behindDoc="0" locked="0" layoutInCell="1" allowOverlap="1" wp14:anchorId="7C9AB889" wp14:editId="49CAAD76">
          <wp:simplePos x="0" y="0"/>
          <wp:positionH relativeFrom="page">
            <wp:align>left</wp:align>
          </wp:positionH>
          <wp:positionV relativeFrom="page">
            <wp:align>top</wp:align>
          </wp:positionV>
          <wp:extent cx="7560000" cy="1440000"/>
          <wp:effectExtent l="0" t="0" r="3175" b="8255"/>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ACC1F" w14:textId="77777777" w:rsidR="00F9209E" w:rsidRDefault="00F9209E">
    <w:pPr>
      <w:pStyle w:val="Header"/>
    </w:pPr>
    <w:r>
      <w:rPr>
        <w:noProof/>
      </w:rPr>
      <mc:AlternateContent>
        <mc:Choice Requires="wps">
          <w:drawing>
            <wp:anchor distT="0" distB="0" distL="114300" distR="114300" simplePos="0" relativeHeight="251672576" behindDoc="0" locked="1" layoutInCell="1" allowOverlap="1" wp14:anchorId="419A81DF" wp14:editId="5F751470">
              <wp:simplePos x="0" y="0"/>
              <wp:positionH relativeFrom="page">
                <wp:posOffset>0</wp:posOffset>
              </wp:positionH>
              <wp:positionV relativeFrom="page">
                <wp:posOffset>0</wp:posOffset>
              </wp:positionV>
              <wp:extent cx="7560000" cy="1512000"/>
              <wp:effectExtent l="0" t="0" r="3175" b="0"/>
              <wp:wrapTight wrapText="bothSides">
                <wp:wrapPolygon edited="0">
                  <wp:start x="0" y="0"/>
                  <wp:lineTo x="0" y="21228"/>
                  <wp:lineTo x="21555" y="21228"/>
                  <wp:lineTo x="21555" y="0"/>
                  <wp:lineTo x="0" y="0"/>
                </wp:wrapPolygon>
              </wp:wrapTight>
              <wp:docPr id="15" name="Rectangle 15" descr="Australian Aid Factsheets oliv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5120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Australian Aid Factsheets olive-2" style="position:absolute;margin-left:0;margin-top:0;width:595.3pt;height:119.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" stroked="f" strokecolor="#4a7ebb" strokeweight="1.5pt">
              <v:fill r:id="rId2" o:title="Australian Aid Factsheets olive-2" recolor="t" type="frame"/>
              <v:shadow opacity="22938f" offset="0"/>
              <v:textbox inset=",7.2pt,,7.2pt"/>
              <w10:wrap type="tight" anchorx="page" anchory="page"/>
              <w10:anchorlock/>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0BFDB" w14:textId="77777777" w:rsidR="00F9209E" w:rsidRDefault="00F9209E">
    <w:pPr>
      <w:pStyle w:val="Header"/>
    </w:pPr>
  </w:p>
  <w:p w14:paraId="784D0A20" w14:textId="4D0537E8" w:rsidR="00F9209E" w:rsidRDefault="00F9209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0FA13" w14:textId="77777777" w:rsidR="00F9209E" w:rsidRDefault="00F92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481D86"/>
    <w:lvl w:ilvl="0">
      <w:start w:val="1"/>
      <w:numFmt w:val="decimal"/>
      <w:lvlText w:val="%1."/>
      <w:lvlJc w:val="left"/>
      <w:pPr>
        <w:tabs>
          <w:tab w:val="num" w:pos="1492"/>
        </w:tabs>
        <w:ind w:left="1492" w:hanging="360"/>
      </w:pPr>
    </w:lvl>
  </w:abstractNum>
  <w:abstractNum w:abstractNumId="1">
    <w:nsid w:val="FFFFFF7D"/>
    <w:multiLevelType w:val="singleLevel"/>
    <w:tmpl w:val="4A2022DE"/>
    <w:lvl w:ilvl="0">
      <w:start w:val="1"/>
      <w:numFmt w:val="decimal"/>
      <w:lvlText w:val="%1."/>
      <w:lvlJc w:val="left"/>
      <w:pPr>
        <w:tabs>
          <w:tab w:val="num" w:pos="1209"/>
        </w:tabs>
        <w:ind w:left="1209" w:hanging="360"/>
      </w:pPr>
    </w:lvl>
  </w:abstractNum>
  <w:abstractNum w:abstractNumId="2">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3">
    <w:nsid w:val="FFFFFF80"/>
    <w:multiLevelType w:val="singleLevel"/>
    <w:tmpl w:val="B52E425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15A25B6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DDAE09A0"/>
    <w:lvl w:ilvl="0">
      <w:start w:val="1"/>
      <w:numFmt w:val="bullet"/>
      <w:lvlText w:val=""/>
      <w:lvlJc w:val="left"/>
      <w:pPr>
        <w:tabs>
          <w:tab w:val="num" w:pos="926"/>
        </w:tabs>
        <w:ind w:left="926" w:hanging="360"/>
      </w:pPr>
      <w:rPr>
        <w:rFonts w:ascii="Symbol" w:hAnsi="Symbol" w:hint="default"/>
      </w:rPr>
    </w:lvl>
  </w:abstractNum>
  <w:abstractNum w:abstractNumId="6">
    <w:nsid w:val="058F602B"/>
    <w:multiLevelType w:val="hybridMultilevel"/>
    <w:tmpl w:val="42C27A6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0626181B"/>
    <w:multiLevelType w:val="hybridMultilevel"/>
    <w:tmpl w:val="EECEF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96268C"/>
    <w:multiLevelType w:val="hybridMultilevel"/>
    <w:tmpl w:val="776A91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86B2953"/>
    <w:multiLevelType w:val="hybridMultilevel"/>
    <w:tmpl w:val="1F520676"/>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1">
    <w:nsid w:val="09037766"/>
    <w:multiLevelType w:val="hybridMultilevel"/>
    <w:tmpl w:val="A7B677D8"/>
    <w:lvl w:ilvl="0" w:tplc="04090001">
      <w:start w:val="1"/>
      <w:numFmt w:val="bullet"/>
      <w:lvlText w:val=""/>
      <w:lvlJc w:val="left"/>
      <w:pPr>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7F7380"/>
    <w:multiLevelType w:val="hybridMultilevel"/>
    <w:tmpl w:val="A8345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AF6ABE"/>
    <w:multiLevelType w:val="hybridMultilevel"/>
    <w:tmpl w:val="B0AE78E4"/>
    <w:lvl w:ilvl="0" w:tplc="0C090001">
      <w:start w:val="1"/>
      <w:numFmt w:val="bullet"/>
      <w:lvlText w:val=""/>
      <w:lvlJc w:val="left"/>
      <w:pPr>
        <w:ind w:left="428" w:hanging="360"/>
      </w:pPr>
      <w:rPr>
        <w:rFonts w:ascii="Symbol" w:hAnsi="Symbol" w:hint="default"/>
      </w:rPr>
    </w:lvl>
    <w:lvl w:ilvl="1" w:tplc="0C090003">
      <w:start w:val="1"/>
      <w:numFmt w:val="bullet"/>
      <w:lvlText w:val="o"/>
      <w:lvlJc w:val="left"/>
      <w:pPr>
        <w:ind w:left="1148" w:hanging="360"/>
      </w:pPr>
      <w:rPr>
        <w:rFonts w:ascii="Courier New" w:hAnsi="Courier New" w:cs="Courier New" w:hint="default"/>
      </w:rPr>
    </w:lvl>
    <w:lvl w:ilvl="2" w:tplc="0C090005">
      <w:start w:val="1"/>
      <w:numFmt w:val="bullet"/>
      <w:lvlText w:val=""/>
      <w:lvlJc w:val="left"/>
      <w:pPr>
        <w:ind w:left="1868" w:hanging="360"/>
      </w:pPr>
      <w:rPr>
        <w:rFonts w:ascii="Wingdings" w:hAnsi="Wingdings" w:hint="default"/>
      </w:rPr>
    </w:lvl>
    <w:lvl w:ilvl="3" w:tplc="0C090001">
      <w:start w:val="1"/>
      <w:numFmt w:val="bullet"/>
      <w:lvlText w:val=""/>
      <w:lvlJc w:val="left"/>
      <w:pPr>
        <w:ind w:left="2588" w:hanging="360"/>
      </w:pPr>
      <w:rPr>
        <w:rFonts w:ascii="Symbol" w:hAnsi="Symbol" w:hint="default"/>
      </w:rPr>
    </w:lvl>
    <w:lvl w:ilvl="4" w:tplc="0C090003">
      <w:start w:val="1"/>
      <w:numFmt w:val="bullet"/>
      <w:lvlText w:val="o"/>
      <w:lvlJc w:val="left"/>
      <w:pPr>
        <w:ind w:left="3308" w:hanging="360"/>
      </w:pPr>
      <w:rPr>
        <w:rFonts w:ascii="Courier New" w:hAnsi="Courier New" w:cs="Courier New" w:hint="default"/>
      </w:rPr>
    </w:lvl>
    <w:lvl w:ilvl="5" w:tplc="0C090005">
      <w:start w:val="1"/>
      <w:numFmt w:val="bullet"/>
      <w:lvlText w:val=""/>
      <w:lvlJc w:val="left"/>
      <w:pPr>
        <w:ind w:left="4028" w:hanging="360"/>
      </w:pPr>
      <w:rPr>
        <w:rFonts w:ascii="Wingdings" w:hAnsi="Wingdings" w:hint="default"/>
      </w:rPr>
    </w:lvl>
    <w:lvl w:ilvl="6" w:tplc="0C090001">
      <w:start w:val="1"/>
      <w:numFmt w:val="bullet"/>
      <w:lvlText w:val=""/>
      <w:lvlJc w:val="left"/>
      <w:pPr>
        <w:ind w:left="4748" w:hanging="360"/>
      </w:pPr>
      <w:rPr>
        <w:rFonts w:ascii="Symbol" w:hAnsi="Symbol" w:hint="default"/>
      </w:rPr>
    </w:lvl>
    <w:lvl w:ilvl="7" w:tplc="0C090003">
      <w:start w:val="1"/>
      <w:numFmt w:val="bullet"/>
      <w:lvlText w:val="o"/>
      <w:lvlJc w:val="left"/>
      <w:pPr>
        <w:ind w:left="5468" w:hanging="360"/>
      </w:pPr>
      <w:rPr>
        <w:rFonts w:ascii="Courier New" w:hAnsi="Courier New" w:cs="Courier New" w:hint="default"/>
      </w:rPr>
    </w:lvl>
    <w:lvl w:ilvl="8" w:tplc="0C090005">
      <w:start w:val="1"/>
      <w:numFmt w:val="bullet"/>
      <w:lvlText w:val=""/>
      <w:lvlJc w:val="left"/>
      <w:pPr>
        <w:ind w:left="6188" w:hanging="360"/>
      </w:pPr>
      <w:rPr>
        <w:rFonts w:ascii="Wingdings" w:hAnsi="Wingdings" w:hint="default"/>
      </w:rPr>
    </w:lvl>
  </w:abstractNum>
  <w:abstractNum w:abstractNumId="16">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7">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8">
    <w:nsid w:val="26234A49"/>
    <w:multiLevelType w:val="hybridMultilevel"/>
    <w:tmpl w:val="3424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3553DF"/>
    <w:multiLevelType w:val="hybridMultilevel"/>
    <w:tmpl w:val="BFB2A598"/>
    <w:lvl w:ilvl="0" w:tplc="0C09000F">
      <w:start w:val="1"/>
      <w:numFmt w:val="decimal"/>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nsid w:val="29FF6947"/>
    <w:multiLevelType w:val="hybridMultilevel"/>
    <w:tmpl w:val="1C647E7E"/>
    <w:lvl w:ilvl="0" w:tplc="DA603D5A">
      <w:numFmt w:val="bullet"/>
      <w:lvlText w:val="-"/>
      <w:lvlJc w:val="left"/>
      <w:pPr>
        <w:ind w:left="720" w:hanging="360"/>
      </w:pPr>
      <w:rPr>
        <w:rFonts w:ascii="Times New Roman" w:eastAsia="Times New Roman" w:hAnsi="Times New Roman" w:cs="Times New Roman" w:hint="default"/>
      </w:rPr>
    </w:lvl>
    <w:lvl w:ilvl="1" w:tplc="2E0A8E3C">
      <w:numFmt w:val="bullet"/>
      <w:lvlText w:val=""/>
      <w:lvlJc w:val="left"/>
      <w:pPr>
        <w:ind w:left="1800" w:hanging="72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A1102DD"/>
    <w:multiLevelType w:val="hybridMultilevel"/>
    <w:tmpl w:val="FF04EDE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2E3F69E2"/>
    <w:multiLevelType w:val="hybridMultilevel"/>
    <w:tmpl w:val="827C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0B019D2"/>
    <w:multiLevelType w:val="hybridMultilevel"/>
    <w:tmpl w:val="C454520C"/>
    <w:lvl w:ilvl="0" w:tplc="CEEE3326">
      <w:numFmt w:val="bullet"/>
      <w:lvlText w:val="-"/>
      <w:lvlJc w:val="left"/>
      <w:pPr>
        <w:ind w:left="720" w:hanging="360"/>
      </w:pPr>
      <w:rPr>
        <w:rFonts w:ascii="Times New Roman" w:eastAsia="Times New Roman" w:hAnsi="Times New Roman" w:cs="Times New Roman" w:hint="default"/>
      </w:rPr>
    </w:lvl>
    <w:lvl w:ilvl="1" w:tplc="0B5E56A4">
      <w:numFmt w:val="bullet"/>
      <w:lvlText w:val=""/>
      <w:lvlJc w:val="left"/>
      <w:pPr>
        <w:ind w:left="1800" w:hanging="72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4F12D76"/>
    <w:multiLevelType w:val="hybridMultilevel"/>
    <w:tmpl w:val="64AC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59A2169"/>
    <w:multiLevelType w:val="hybridMultilevel"/>
    <w:tmpl w:val="E5208F00"/>
    <w:lvl w:ilvl="0" w:tplc="DA603D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7E04D32"/>
    <w:multiLevelType w:val="hybridMultilevel"/>
    <w:tmpl w:val="8AA8E01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0F">
      <w:start w:val="1"/>
      <w:numFmt w:val="decimal"/>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90374C1"/>
    <w:multiLevelType w:val="hybridMultilevel"/>
    <w:tmpl w:val="BEDEF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41BC0C00"/>
    <w:multiLevelType w:val="hybridMultilevel"/>
    <w:tmpl w:val="08564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2F27A4D"/>
    <w:multiLevelType w:val="hybridMultilevel"/>
    <w:tmpl w:val="55760A6E"/>
    <w:lvl w:ilvl="0" w:tplc="A1EC5548">
      <w:start w:val="1"/>
      <w:numFmt w:val="bullet"/>
      <w:lvlText w:val="‒"/>
      <w:lvlJc w:val="left"/>
      <w:pPr>
        <w:ind w:left="644" w:hanging="360"/>
      </w:pPr>
      <w:rPr>
        <w:rFonts w:ascii="Arial" w:hAnsi="Arial" w:hint="default"/>
      </w:rPr>
    </w:lvl>
    <w:lvl w:ilvl="1" w:tplc="8C16CFD4">
      <w:start w:val="1"/>
      <w:numFmt w:val="bullet"/>
      <w:lvlText w:val="‒"/>
      <w:lvlJc w:val="left"/>
      <w:pPr>
        <w:ind w:left="1364" w:hanging="360"/>
      </w:pPr>
      <w:rPr>
        <w:rFonts w:ascii="Arial" w:hAnsi="Arial"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48720562"/>
    <w:multiLevelType w:val="hybridMultilevel"/>
    <w:tmpl w:val="8192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9E1E8D"/>
    <w:multiLevelType w:val="hybridMultilevel"/>
    <w:tmpl w:val="74C06E9C"/>
    <w:lvl w:ilvl="0" w:tplc="2DA448BA">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4AC65E88"/>
    <w:multiLevelType w:val="hybridMultilevel"/>
    <w:tmpl w:val="96DC1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B7756A9"/>
    <w:multiLevelType w:val="hybridMultilevel"/>
    <w:tmpl w:val="C466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FB22D2"/>
    <w:multiLevelType w:val="hybridMultilevel"/>
    <w:tmpl w:val="0EF053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4E5B42D5"/>
    <w:multiLevelType w:val="hybridMultilevel"/>
    <w:tmpl w:val="75722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0AA5F66"/>
    <w:multiLevelType w:val="hybridMultilevel"/>
    <w:tmpl w:val="2C3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576E53B3"/>
    <w:multiLevelType w:val="hybridMultilevel"/>
    <w:tmpl w:val="86BE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5BB62AE5"/>
    <w:multiLevelType w:val="hybridMultilevel"/>
    <w:tmpl w:val="86FE1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EB45FCF"/>
    <w:multiLevelType w:val="hybridMultilevel"/>
    <w:tmpl w:val="938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C75E31"/>
    <w:multiLevelType w:val="hybridMultilevel"/>
    <w:tmpl w:val="9638628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3A33B92"/>
    <w:multiLevelType w:val="hybridMultilevel"/>
    <w:tmpl w:val="874E5A46"/>
    <w:lvl w:ilvl="0" w:tplc="CEEE33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3EC277D"/>
    <w:multiLevelType w:val="hybridMultilevel"/>
    <w:tmpl w:val="5622DCD2"/>
    <w:lvl w:ilvl="0" w:tplc="F280E2B4">
      <w:start w:val="1"/>
      <w:numFmt w:val="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51">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7D52484"/>
    <w:multiLevelType w:val="hybridMultilevel"/>
    <w:tmpl w:val="49581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81F2AA8"/>
    <w:multiLevelType w:val="hybridMultilevel"/>
    <w:tmpl w:val="BE30DDF8"/>
    <w:lvl w:ilvl="0" w:tplc="27BA8554">
      <w:start w:val="1"/>
      <w:numFmt w:val="bullet"/>
      <w:lvlText w:val=""/>
      <w:lvlJc w:val="left"/>
      <w:pPr>
        <w:ind w:left="360" w:hanging="360"/>
      </w:pPr>
      <w:rPr>
        <w:rFonts w:ascii="Symbol" w:hAnsi="Symbol" w:hint="default"/>
      </w:rPr>
    </w:lvl>
    <w:lvl w:ilvl="1" w:tplc="8C16CFD4">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69A94BF5"/>
    <w:multiLevelType w:val="hybridMultilevel"/>
    <w:tmpl w:val="904EA294"/>
    <w:lvl w:ilvl="0" w:tplc="A710A8C6">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5">
    <w:nsid w:val="6ABF6DF5"/>
    <w:multiLevelType w:val="hybridMultilevel"/>
    <w:tmpl w:val="3AE4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FC148E"/>
    <w:multiLevelType w:val="hybridMultilevel"/>
    <w:tmpl w:val="7EFA9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B723D66"/>
    <w:multiLevelType w:val="hybridMultilevel"/>
    <w:tmpl w:val="516886F6"/>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BFF6392"/>
    <w:multiLevelType w:val="hybridMultilevel"/>
    <w:tmpl w:val="4FF6E692"/>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60">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FB550D2"/>
    <w:multiLevelType w:val="hybridMultilevel"/>
    <w:tmpl w:val="90A6AB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6FD46648"/>
    <w:multiLevelType w:val="hybridMultilevel"/>
    <w:tmpl w:val="515C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C64700"/>
    <w:multiLevelType w:val="hybridMultilevel"/>
    <w:tmpl w:val="0B36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2F6D33"/>
    <w:multiLevelType w:val="hybridMultilevel"/>
    <w:tmpl w:val="C360B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58546E8"/>
    <w:multiLevelType w:val="hybridMultilevel"/>
    <w:tmpl w:val="9E2809B2"/>
    <w:lvl w:ilvl="0" w:tplc="54BE4CAA">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79E3535B"/>
    <w:multiLevelType w:val="hybridMultilevel"/>
    <w:tmpl w:val="B24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CDB41AB"/>
    <w:multiLevelType w:val="hybridMultilevel"/>
    <w:tmpl w:val="E990D922"/>
    <w:lvl w:ilvl="0" w:tplc="F0E0682C">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59"/>
  </w:num>
  <w:num w:numId="3">
    <w:abstractNumId w:val="16"/>
  </w:num>
  <w:num w:numId="4">
    <w:abstractNumId w:val="44"/>
  </w:num>
  <w:num w:numId="5">
    <w:abstractNumId w:val="14"/>
  </w:num>
  <w:num w:numId="6">
    <w:abstractNumId w:val="42"/>
  </w:num>
  <w:num w:numId="7">
    <w:abstractNumId w:val="33"/>
  </w:num>
  <w:num w:numId="8">
    <w:abstractNumId w:val="29"/>
  </w:num>
  <w:num w:numId="9">
    <w:abstractNumId w:val="51"/>
  </w:num>
  <w:num w:numId="10">
    <w:abstractNumId w:val="12"/>
  </w:num>
  <w:num w:numId="11">
    <w:abstractNumId w:val="41"/>
  </w:num>
  <w:num w:numId="12">
    <w:abstractNumId w:val="60"/>
  </w:num>
  <w:num w:numId="13">
    <w:abstractNumId w:val="17"/>
  </w:num>
  <w:num w:numId="14">
    <w:abstractNumId w:val="66"/>
  </w:num>
  <w:num w:numId="15">
    <w:abstractNumId w:val="69"/>
  </w:num>
  <w:num w:numId="16">
    <w:abstractNumId w:val="49"/>
  </w:num>
  <w:num w:numId="17">
    <w:abstractNumId w:val="24"/>
  </w:num>
  <w:num w:numId="18">
    <w:abstractNumId w:val="2"/>
  </w:num>
  <w:num w:numId="19">
    <w:abstractNumId w:val="8"/>
  </w:num>
  <w:num w:numId="20">
    <w:abstractNumId w:val="54"/>
  </w:num>
  <w:num w:numId="21">
    <w:abstractNumId w:val="20"/>
  </w:num>
  <w:num w:numId="22">
    <w:abstractNumId w:val="10"/>
  </w:num>
  <w:num w:numId="23">
    <w:abstractNumId w:val="22"/>
  </w:num>
  <w:num w:numId="24">
    <w:abstractNumId w:val="19"/>
  </w:num>
  <w:num w:numId="25">
    <w:abstractNumId w:val="53"/>
  </w:num>
  <w:num w:numId="26">
    <w:abstractNumId w:val="32"/>
  </w:num>
  <w:num w:numId="27">
    <w:abstractNumId w:val="58"/>
  </w:num>
  <w:num w:numId="28">
    <w:abstractNumId w:val="57"/>
  </w:num>
  <w:num w:numId="29">
    <w:abstractNumId w:val="64"/>
  </w:num>
  <w:num w:numId="30">
    <w:abstractNumId w:val="61"/>
  </w:num>
  <w:num w:numId="31">
    <w:abstractNumId w:val="6"/>
  </w:num>
  <w:num w:numId="32">
    <w:abstractNumId w:val="13"/>
  </w:num>
  <w:num w:numId="33">
    <w:abstractNumId w:val="39"/>
  </w:num>
  <w:num w:numId="34">
    <w:abstractNumId w:val="11"/>
  </w:num>
  <w:num w:numId="35">
    <w:abstractNumId w:val="63"/>
  </w:num>
  <w:num w:numId="36">
    <w:abstractNumId w:val="28"/>
  </w:num>
  <w:num w:numId="37">
    <w:abstractNumId w:val="9"/>
  </w:num>
  <w:num w:numId="38">
    <w:abstractNumId w:val="38"/>
  </w:num>
  <w:num w:numId="39">
    <w:abstractNumId w:val="5"/>
  </w:num>
  <w:num w:numId="40">
    <w:abstractNumId w:val="4"/>
  </w:num>
  <w:num w:numId="41">
    <w:abstractNumId w:val="3"/>
  </w:num>
  <w:num w:numId="42">
    <w:abstractNumId w:val="1"/>
  </w:num>
  <w:num w:numId="43">
    <w:abstractNumId w:val="0"/>
  </w:num>
  <w:num w:numId="44">
    <w:abstractNumId w:val="52"/>
  </w:num>
  <w:num w:numId="45">
    <w:abstractNumId w:val="30"/>
  </w:num>
  <w:num w:numId="46">
    <w:abstractNumId w:val="45"/>
  </w:num>
  <w:num w:numId="47">
    <w:abstractNumId w:val="67"/>
  </w:num>
  <w:num w:numId="48">
    <w:abstractNumId w:val="36"/>
  </w:num>
  <w:num w:numId="49">
    <w:abstractNumId w:val="7"/>
  </w:num>
  <w:num w:numId="50">
    <w:abstractNumId w:val="56"/>
  </w:num>
  <w:num w:numId="51">
    <w:abstractNumId w:val="26"/>
  </w:num>
  <w:num w:numId="52">
    <w:abstractNumId w:val="48"/>
  </w:num>
  <w:num w:numId="53">
    <w:abstractNumId w:val="68"/>
  </w:num>
  <w:num w:numId="54">
    <w:abstractNumId w:val="25"/>
  </w:num>
  <w:num w:numId="55">
    <w:abstractNumId w:val="31"/>
  </w:num>
  <w:num w:numId="56">
    <w:abstractNumId w:val="47"/>
  </w:num>
  <w:num w:numId="57">
    <w:abstractNumId w:val="21"/>
  </w:num>
  <w:num w:numId="58">
    <w:abstractNumId w:val="65"/>
  </w:num>
  <w:num w:numId="59">
    <w:abstractNumId w:val="27"/>
  </w:num>
  <w:num w:numId="60">
    <w:abstractNumId w:val="15"/>
  </w:num>
  <w:num w:numId="61">
    <w:abstractNumId w:val="55"/>
  </w:num>
  <w:num w:numId="62">
    <w:abstractNumId w:val="18"/>
  </w:num>
  <w:num w:numId="63">
    <w:abstractNumId w:val="34"/>
  </w:num>
  <w:num w:numId="64">
    <w:abstractNumId w:val="35"/>
  </w:num>
  <w:num w:numId="65">
    <w:abstractNumId w:val="46"/>
  </w:num>
  <w:num w:numId="66">
    <w:abstractNumId w:val="37"/>
  </w:num>
  <w:num w:numId="67">
    <w:abstractNumId w:val="43"/>
  </w:num>
  <w:num w:numId="68">
    <w:abstractNumId w:val="23"/>
  </w:num>
  <w:num w:numId="69">
    <w:abstractNumId w:val="40"/>
  </w:num>
  <w:num w:numId="70">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39CF"/>
    <w:rsid w:val="000143D9"/>
    <w:rsid w:val="00014EB7"/>
    <w:rsid w:val="00016173"/>
    <w:rsid w:val="00016F89"/>
    <w:rsid w:val="00020121"/>
    <w:rsid w:val="00021A9E"/>
    <w:rsid w:val="00030111"/>
    <w:rsid w:val="00031100"/>
    <w:rsid w:val="00047015"/>
    <w:rsid w:val="00052870"/>
    <w:rsid w:val="00052FE3"/>
    <w:rsid w:val="00070800"/>
    <w:rsid w:val="00071B95"/>
    <w:rsid w:val="00072ACA"/>
    <w:rsid w:val="00072DFE"/>
    <w:rsid w:val="000745E2"/>
    <w:rsid w:val="000767AE"/>
    <w:rsid w:val="000774FD"/>
    <w:rsid w:val="000851EE"/>
    <w:rsid w:val="00093FA0"/>
    <w:rsid w:val="000979A0"/>
    <w:rsid w:val="000A11DD"/>
    <w:rsid w:val="000A1618"/>
    <w:rsid w:val="000A290A"/>
    <w:rsid w:val="000A7C23"/>
    <w:rsid w:val="000B19AE"/>
    <w:rsid w:val="000B3121"/>
    <w:rsid w:val="000C29BF"/>
    <w:rsid w:val="000C6080"/>
    <w:rsid w:val="000C60A8"/>
    <w:rsid w:val="000C7E07"/>
    <w:rsid w:val="000D0B9B"/>
    <w:rsid w:val="000D586F"/>
    <w:rsid w:val="000D6B68"/>
    <w:rsid w:val="000E089D"/>
    <w:rsid w:val="000E5DB9"/>
    <w:rsid w:val="000E7297"/>
    <w:rsid w:val="000F1A25"/>
    <w:rsid w:val="000F1C4C"/>
    <w:rsid w:val="000F53B2"/>
    <w:rsid w:val="000F57C6"/>
    <w:rsid w:val="000F7781"/>
    <w:rsid w:val="00100AA2"/>
    <w:rsid w:val="00102931"/>
    <w:rsid w:val="001078A8"/>
    <w:rsid w:val="00112E97"/>
    <w:rsid w:val="00120FC7"/>
    <w:rsid w:val="001245AC"/>
    <w:rsid w:val="00125C16"/>
    <w:rsid w:val="001366B4"/>
    <w:rsid w:val="00136B06"/>
    <w:rsid w:val="00141A30"/>
    <w:rsid w:val="0014411B"/>
    <w:rsid w:val="00145765"/>
    <w:rsid w:val="00145F3A"/>
    <w:rsid w:val="00150EE9"/>
    <w:rsid w:val="00154F9B"/>
    <w:rsid w:val="00157EEB"/>
    <w:rsid w:val="001612CE"/>
    <w:rsid w:val="0016544D"/>
    <w:rsid w:val="00171696"/>
    <w:rsid w:val="00173C6E"/>
    <w:rsid w:val="00180379"/>
    <w:rsid w:val="00180B19"/>
    <w:rsid w:val="0018196F"/>
    <w:rsid w:val="001829BB"/>
    <w:rsid w:val="001848ED"/>
    <w:rsid w:val="00192498"/>
    <w:rsid w:val="00194806"/>
    <w:rsid w:val="001B156C"/>
    <w:rsid w:val="001B1A0C"/>
    <w:rsid w:val="001B481E"/>
    <w:rsid w:val="001C1EA0"/>
    <w:rsid w:val="001C2F32"/>
    <w:rsid w:val="001C3BF1"/>
    <w:rsid w:val="001C507E"/>
    <w:rsid w:val="001C51E9"/>
    <w:rsid w:val="001C700E"/>
    <w:rsid w:val="001C7117"/>
    <w:rsid w:val="001D20FC"/>
    <w:rsid w:val="001D210A"/>
    <w:rsid w:val="001D2AFC"/>
    <w:rsid w:val="001E15DE"/>
    <w:rsid w:val="001F1573"/>
    <w:rsid w:val="001F4C47"/>
    <w:rsid w:val="001F7480"/>
    <w:rsid w:val="0020745B"/>
    <w:rsid w:val="002115BD"/>
    <w:rsid w:val="00231D45"/>
    <w:rsid w:val="00237B51"/>
    <w:rsid w:val="00237C4B"/>
    <w:rsid w:val="00246E5F"/>
    <w:rsid w:val="0024777E"/>
    <w:rsid w:val="00250E0D"/>
    <w:rsid w:val="00260962"/>
    <w:rsid w:val="002667C0"/>
    <w:rsid w:val="00267AB4"/>
    <w:rsid w:val="00274352"/>
    <w:rsid w:val="00277AD2"/>
    <w:rsid w:val="002849B4"/>
    <w:rsid w:val="002913B9"/>
    <w:rsid w:val="002950E7"/>
    <w:rsid w:val="00297BCB"/>
    <w:rsid w:val="002A1935"/>
    <w:rsid w:val="002A22F7"/>
    <w:rsid w:val="002A358C"/>
    <w:rsid w:val="002B1E5B"/>
    <w:rsid w:val="002B4236"/>
    <w:rsid w:val="002B433A"/>
    <w:rsid w:val="002B79D4"/>
    <w:rsid w:val="002C2D00"/>
    <w:rsid w:val="002C77BE"/>
    <w:rsid w:val="002C79B7"/>
    <w:rsid w:val="002D2C17"/>
    <w:rsid w:val="002D6914"/>
    <w:rsid w:val="002E0813"/>
    <w:rsid w:val="002E0C9A"/>
    <w:rsid w:val="002E359F"/>
    <w:rsid w:val="002E4EF9"/>
    <w:rsid w:val="002E5E9F"/>
    <w:rsid w:val="002F479A"/>
    <w:rsid w:val="002F55DD"/>
    <w:rsid w:val="002F5A14"/>
    <w:rsid w:val="002F6810"/>
    <w:rsid w:val="00303038"/>
    <w:rsid w:val="00303DC3"/>
    <w:rsid w:val="003100A0"/>
    <w:rsid w:val="00310426"/>
    <w:rsid w:val="00315D13"/>
    <w:rsid w:val="00317475"/>
    <w:rsid w:val="003206D0"/>
    <w:rsid w:val="003223F8"/>
    <w:rsid w:val="0032486D"/>
    <w:rsid w:val="00324DA8"/>
    <w:rsid w:val="003260C0"/>
    <w:rsid w:val="00326B5A"/>
    <w:rsid w:val="00330A86"/>
    <w:rsid w:val="003327F8"/>
    <w:rsid w:val="00341177"/>
    <w:rsid w:val="00345B8E"/>
    <w:rsid w:val="00351ACA"/>
    <w:rsid w:val="00352AE5"/>
    <w:rsid w:val="00354B89"/>
    <w:rsid w:val="00356CD3"/>
    <w:rsid w:val="00356E26"/>
    <w:rsid w:val="00357AF7"/>
    <w:rsid w:val="00357D2F"/>
    <w:rsid w:val="00360662"/>
    <w:rsid w:val="00360C65"/>
    <w:rsid w:val="00372E1B"/>
    <w:rsid w:val="003746AA"/>
    <w:rsid w:val="003774CE"/>
    <w:rsid w:val="00383294"/>
    <w:rsid w:val="003933D4"/>
    <w:rsid w:val="00395CFA"/>
    <w:rsid w:val="003A0ECE"/>
    <w:rsid w:val="003A182A"/>
    <w:rsid w:val="003A2D7B"/>
    <w:rsid w:val="003A3336"/>
    <w:rsid w:val="003A584E"/>
    <w:rsid w:val="003A6EEF"/>
    <w:rsid w:val="003A74BF"/>
    <w:rsid w:val="003C7721"/>
    <w:rsid w:val="003D081D"/>
    <w:rsid w:val="003D6E45"/>
    <w:rsid w:val="003E45A2"/>
    <w:rsid w:val="003E4982"/>
    <w:rsid w:val="003E7DF9"/>
    <w:rsid w:val="003F3F13"/>
    <w:rsid w:val="003F4E9A"/>
    <w:rsid w:val="00401788"/>
    <w:rsid w:val="004048AD"/>
    <w:rsid w:val="00413539"/>
    <w:rsid w:val="00415A92"/>
    <w:rsid w:val="0042070D"/>
    <w:rsid w:val="00422033"/>
    <w:rsid w:val="004228CD"/>
    <w:rsid w:val="00425E21"/>
    <w:rsid w:val="00426354"/>
    <w:rsid w:val="00430FDE"/>
    <w:rsid w:val="0043673A"/>
    <w:rsid w:val="004376AD"/>
    <w:rsid w:val="00443639"/>
    <w:rsid w:val="00445A3B"/>
    <w:rsid w:val="00446208"/>
    <w:rsid w:val="004527F1"/>
    <w:rsid w:val="00462A3F"/>
    <w:rsid w:val="00464D79"/>
    <w:rsid w:val="004717DA"/>
    <w:rsid w:val="00476242"/>
    <w:rsid w:val="004819C4"/>
    <w:rsid w:val="00482791"/>
    <w:rsid w:val="00484202"/>
    <w:rsid w:val="00487AE2"/>
    <w:rsid w:val="004923C5"/>
    <w:rsid w:val="00492722"/>
    <w:rsid w:val="004A2D3C"/>
    <w:rsid w:val="004A7400"/>
    <w:rsid w:val="004A7495"/>
    <w:rsid w:val="004B23FE"/>
    <w:rsid w:val="004B7B47"/>
    <w:rsid w:val="004C0577"/>
    <w:rsid w:val="004C087A"/>
    <w:rsid w:val="004C4A3E"/>
    <w:rsid w:val="004C660D"/>
    <w:rsid w:val="004C6B4F"/>
    <w:rsid w:val="004D1529"/>
    <w:rsid w:val="004D19CE"/>
    <w:rsid w:val="004D4522"/>
    <w:rsid w:val="004D5AFF"/>
    <w:rsid w:val="004D5C96"/>
    <w:rsid w:val="004D6DD5"/>
    <w:rsid w:val="004E22EC"/>
    <w:rsid w:val="004E6400"/>
    <w:rsid w:val="004E6E33"/>
    <w:rsid w:val="004F3269"/>
    <w:rsid w:val="004F44CA"/>
    <w:rsid w:val="004F44D9"/>
    <w:rsid w:val="004F521E"/>
    <w:rsid w:val="00501774"/>
    <w:rsid w:val="00503974"/>
    <w:rsid w:val="00504094"/>
    <w:rsid w:val="0050529F"/>
    <w:rsid w:val="00514B5E"/>
    <w:rsid w:val="005213F3"/>
    <w:rsid w:val="00521BDA"/>
    <w:rsid w:val="0052207C"/>
    <w:rsid w:val="0052286C"/>
    <w:rsid w:val="00522AB9"/>
    <w:rsid w:val="005265B9"/>
    <w:rsid w:val="00530658"/>
    <w:rsid w:val="00533533"/>
    <w:rsid w:val="0053455E"/>
    <w:rsid w:val="00535BB9"/>
    <w:rsid w:val="00535E24"/>
    <w:rsid w:val="00540514"/>
    <w:rsid w:val="0054203D"/>
    <w:rsid w:val="005440F6"/>
    <w:rsid w:val="0054557A"/>
    <w:rsid w:val="00546DD6"/>
    <w:rsid w:val="0055771D"/>
    <w:rsid w:val="00562CC4"/>
    <w:rsid w:val="00567FCF"/>
    <w:rsid w:val="00575295"/>
    <w:rsid w:val="00577506"/>
    <w:rsid w:val="00583B13"/>
    <w:rsid w:val="005845CB"/>
    <w:rsid w:val="0058498A"/>
    <w:rsid w:val="00586350"/>
    <w:rsid w:val="005970B2"/>
    <w:rsid w:val="005A18C5"/>
    <w:rsid w:val="005B1AD4"/>
    <w:rsid w:val="005B1E6D"/>
    <w:rsid w:val="005B7653"/>
    <w:rsid w:val="005B78FF"/>
    <w:rsid w:val="005B7C71"/>
    <w:rsid w:val="005C0536"/>
    <w:rsid w:val="005C4A6B"/>
    <w:rsid w:val="005C5191"/>
    <w:rsid w:val="005C59D3"/>
    <w:rsid w:val="005D2A59"/>
    <w:rsid w:val="005D3792"/>
    <w:rsid w:val="005D53FD"/>
    <w:rsid w:val="005E2AC4"/>
    <w:rsid w:val="005F0C00"/>
    <w:rsid w:val="005F33F2"/>
    <w:rsid w:val="00600C89"/>
    <w:rsid w:val="00602A9C"/>
    <w:rsid w:val="00604A67"/>
    <w:rsid w:val="006068A4"/>
    <w:rsid w:val="00617F30"/>
    <w:rsid w:val="0062207C"/>
    <w:rsid w:val="006226F8"/>
    <w:rsid w:val="00623D66"/>
    <w:rsid w:val="0062642C"/>
    <w:rsid w:val="006421B0"/>
    <w:rsid w:val="00642E50"/>
    <w:rsid w:val="00646049"/>
    <w:rsid w:val="00647033"/>
    <w:rsid w:val="00650E41"/>
    <w:rsid w:val="006514FB"/>
    <w:rsid w:val="00657108"/>
    <w:rsid w:val="00663909"/>
    <w:rsid w:val="00665336"/>
    <w:rsid w:val="00666213"/>
    <w:rsid w:val="006671BC"/>
    <w:rsid w:val="006712F7"/>
    <w:rsid w:val="00680679"/>
    <w:rsid w:val="00683FFB"/>
    <w:rsid w:val="00695279"/>
    <w:rsid w:val="00696BAB"/>
    <w:rsid w:val="006A779C"/>
    <w:rsid w:val="006A7D90"/>
    <w:rsid w:val="006B5929"/>
    <w:rsid w:val="006B629E"/>
    <w:rsid w:val="006C0AE8"/>
    <w:rsid w:val="006C6800"/>
    <w:rsid w:val="006D139D"/>
    <w:rsid w:val="006D2A69"/>
    <w:rsid w:val="006D2E37"/>
    <w:rsid w:val="006D31A1"/>
    <w:rsid w:val="006E3C83"/>
    <w:rsid w:val="006E4F43"/>
    <w:rsid w:val="006E7E9F"/>
    <w:rsid w:val="006E7FA8"/>
    <w:rsid w:val="006F4623"/>
    <w:rsid w:val="006F4B40"/>
    <w:rsid w:val="006F6099"/>
    <w:rsid w:val="00701FEA"/>
    <w:rsid w:val="00703136"/>
    <w:rsid w:val="00706DE1"/>
    <w:rsid w:val="007110C9"/>
    <w:rsid w:val="00713ED0"/>
    <w:rsid w:val="00714BA3"/>
    <w:rsid w:val="00721098"/>
    <w:rsid w:val="0072445A"/>
    <w:rsid w:val="00727052"/>
    <w:rsid w:val="00727D02"/>
    <w:rsid w:val="00734E5E"/>
    <w:rsid w:val="00740631"/>
    <w:rsid w:val="00750E77"/>
    <w:rsid w:val="00751BA4"/>
    <w:rsid w:val="00757906"/>
    <w:rsid w:val="007604D0"/>
    <w:rsid w:val="00760516"/>
    <w:rsid w:val="00761A04"/>
    <w:rsid w:val="00766BCF"/>
    <w:rsid w:val="00767F39"/>
    <w:rsid w:val="007726E1"/>
    <w:rsid w:val="00774F4B"/>
    <w:rsid w:val="00780026"/>
    <w:rsid w:val="007817AD"/>
    <w:rsid w:val="007819FA"/>
    <w:rsid w:val="0079256F"/>
    <w:rsid w:val="007A3C6A"/>
    <w:rsid w:val="007A417D"/>
    <w:rsid w:val="007A5821"/>
    <w:rsid w:val="007A59D8"/>
    <w:rsid w:val="007A5D06"/>
    <w:rsid w:val="007B51E2"/>
    <w:rsid w:val="007C04DC"/>
    <w:rsid w:val="007C41D7"/>
    <w:rsid w:val="007C52D9"/>
    <w:rsid w:val="007D1737"/>
    <w:rsid w:val="007E04B1"/>
    <w:rsid w:val="007E116E"/>
    <w:rsid w:val="007E1E85"/>
    <w:rsid w:val="007E2A95"/>
    <w:rsid w:val="007F0E10"/>
    <w:rsid w:val="007F2841"/>
    <w:rsid w:val="007F6D0E"/>
    <w:rsid w:val="007F6E1A"/>
    <w:rsid w:val="00802A66"/>
    <w:rsid w:val="00805D86"/>
    <w:rsid w:val="0081623A"/>
    <w:rsid w:val="0081731A"/>
    <w:rsid w:val="00820F2A"/>
    <w:rsid w:val="00821541"/>
    <w:rsid w:val="008215EA"/>
    <w:rsid w:val="0082295E"/>
    <w:rsid w:val="00826884"/>
    <w:rsid w:val="00827396"/>
    <w:rsid w:val="00830647"/>
    <w:rsid w:val="00830E80"/>
    <w:rsid w:val="008335E2"/>
    <w:rsid w:val="00833935"/>
    <w:rsid w:val="00856E94"/>
    <w:rsid w:val="008621C7"/>
    <w:rsid w:val="00862FD3"/>
    <w:rsid w:val="008810FA"/>
    <w:rsid w:val="0088219C"/>
    <w:rsid w:val="00883949"/>
    <w:rsid w:val="00884878"/>
    <w:rsid w:val="00885B9C"/>
    <w:rsid w:val="00891820"/>
    <w:rsid w:val="00896927"/>
    <w:rsid w:val="00897E16"/>
    <w:rsid w:val="008A144E"/>
    <w:rsid w:val="008A1B87"/>
    <w:rsid w:val="008A61FF"/>
    <w:rsid w:val="008B09CD"/>
    <w:rsid w:val="008B5F65"/>
    <w:rsid w:val="008C0A44"/>
    <w:rsid w:val="008C3862"/>
    <w:rsid w:val="008D1329"/>
    <w:rsid w:val="008D27EF"/>
    <w:rsid w:val="008D2DC8"/>
    <w:rsid w:val="008D34F9"/>
    <w:rsid w:val="008D745E"/>
    <w:rsid w:val="008E7760"/>
    <w:rsid w:val="008F06F2"/>
    <w:rsid w:val="008F4642"/>
    <w:rsid w:val="008F4C4B"/>
    <w:rsid w:val="008F5D80"/>
    <w:rsid w:val="00923D3D"/>
    <w:rsid w:val="00924CCB"/>
    <w:rsid w:val="0092520A"/>
    <w:rsid w:val="00932FAD"/>
    <w:rsid w:val="00944397"/>
    <w:rsid w:val="00947003"/>
    <w:rsid w:val="00950596"/>
    <w:rsid w:val="009512DB"/>
    <w:rsid w:val="00951562"/>
    <w:rsid w:val="00953D8C"/>
    <w:rsid w:val="00954EF3"/>
    <w:rsid w:val="0095742A"/>
    <w:rsid w:val="009668EF"/>
    <w:rsid w:val="00970B7C"/>
    <w:rsid w:val="009729A9"/>
    <w:rsid w:val="0098030D"/>
    <w:rsid w:val="009817E3"/>
    <w:rsid w:val="00981E62"/>
    <w:rsid w:val="00995577"/>
    <w:rsid w:val="00995DC8"/>
    <w:rsid w:val="009A185C"/>
    <w:rsid w:val="009A1E07"/>
    <w:rsid w:val="009A28D2"/>
    <w:rsid w:val="009A2B98"/>
    <w:rsid w:val="009A4D39"/>
    <w:rsid w:val="009A797A"/>
    <w:rsid w:val="009A7C24"/>
    <w:rsid w:val="009A7C52"/>
    <w:rsid w:val="009B3212"/>
    <w:rsid w:val="009B5190"/>
    <w:rsid w:val="009B5A46"/>
    <w:rsid w:val="009B654F"/>
    <w:rsid w:val="009B726E"/>
    <w:rsid w:val="009C01DC"/>
    <w:rsid w:val="009C16DF"/>
    <w:rsid w:val="009C4804"/>
    <w:rsid w:val="009C68D6"/>
    <w:rsid w:val="009D0DDC"/>
    <w:rsid w:val="009D3524"/>
    <w:rsid w:val="009D3674"/>
    <w:rsid w:val="009E5650"/>
    <w:rsid w:val="009E6780"/>
    <w:rsid w:val="009F2D28"/>
    <w:rsid w:val="009F4D99"/>
    <w:rsid w:val="009F50F0"/>
    <w:rsid w:val="009F53DE"/>
    <w:rsid w:val="00A012F6"/>
    <w:rsid w:val="00A03911"/>
    <w:rsid w:val="00A05140"/>
    <w:rsid w:val="00A06EF1"/>
    <w:rsid w:val="00A10DE1"/>
    <w:rsid w:val="00A14D08"/>
    <w:rsid w:val="00A22538"/>
    <w:rsid w:val="00A234FB"/>
    <w:rsid w:val="00A27483"/>
    <w:rsid w:val="00A34039"/>
    <w:rsid w:val="00A35069"/>
    <w:rsid w:val="00A3552E"/>
    <w:rsid w:val="00A417FA"/>
    <w:rsid w:val="00A42760"/>
    <w:rsid w:val="00A4308C"/>
    <w:rsid w:val="00A443C7"/>
    <w:rsid w:val="00A4732C"/>
    <w:rsid w:val="00A514C8"/>
    <w:rsid w:val="00A52847"/>
    <w:rsid w:val="00A539CB"/>
    <w:rsid w:val="00A54982"/>
    <w:rsid w:val="00A5551F"/>
    <w:rsid w:val="00A56192"/>
    <w:rsid w:val="00A65CAA"/>
    <w:rsid w:val="00A71D91"/>
    <w:rsid w:val="00A766FD"/>
    <w:rsid w:val="00A820E7"/>
    <w:rsid w:val="00A91983"/>
    <w:rsid w:val="00A93ABA"/>
    <w:rsid w:val="00A94EC5"/>
    <w:rsid w:val="00A96215"/>
    <w:rsid w:val="00AA1FBB"/>
    <w:rsid w:val="00AA37A8"/>
    <w:rsid w:val="00AA4F9F"/>
    <w:rsid w:val="00AB3900"/>
    <w:rsid w:val="00AB6319"/>
    <w:rsid w:val="00AB7215"/>
    <w:rsid w:val="00AB7736"/>
    <w:rsid w:val="00AC44CE"/>
    <w:rsid w:val="00AC56C2"/>
    <w:rsid w:val="00AC5E19"/>
    <w:rsid w:val="00AD74A2"/>
    <w:rsid w:val="00AE00FC"/>
    <w:rsid w:val="00AE1E32"/>
    <w:rsid w:val="00AE4348"/>
    <w:rsid w:val="00AE4351"/>
    <w:rsid w:val="00AE5C52"/>
    <w:rsid w:val="00AF045F"/>
    <w:rsid w:val="00AF0FA2"/>
    <w:rsid w:val="00AF0FDD"/>
    <w:rsid w:val="00AF4E36"/>
    <w:rsid w:val="00B01A52"/>
    <w:rsid w:val="00B04801"/>
    <w:rsid w:val="00B17A9D"/>
    <w:rsid w:val="00B21C2F"/>
    <w:rsid w:val="00B23D1F"/>
    <w:rsid w:val="00B2764E"/>
    <w:rsid w:val="00B30E77"/>
    <w:rsid w:val="00B33F27"/>
    <w:rsid w:val="00B4434F"/>
    <w:rsid w:val="00B4493C"/>
    <w:rsid w:val="00B456CC"/>
    <w:rsid w:val="00B478EF"/>
    <w:rsid w:val="00B500DF"/>
    <w:rsid w:val="00B51BAD"/>
    <w:rsid w:val="00B525E5"/>
    <w:rsid w:val="00B55FE0"/>
    <w:rsid w:val="00B56551"/>
    <w:rsid w:val="00B57AE9"/>
    <w:rsid w:val="00B61341"/>
    <w:rsid w:val="00B638BD"/>
    <w:rsid w:val="00B65EB5"/>
    <w:rsid w:val="00B66897"/>
    <w:rsid w:val="00B72CEC"/>
    <w:rsid w:val="00B7426C"/>
    <w:rsid w:val="00B80707"/>
    <w:rsid w:val="00B8671D"/>
    <w:rsid w:val="00B87675"/>
    <w:rsid w:val="00B95043"/>
    <w:rsid w:val="00BA19A2"/>
    <w:rsid w:val="00BA3026"/>
    <w:rsid w:val="00BA380A"/>
    <w:rsid w:val="00BA3EFF"/>
    <w:rsid w:val="00BA4972"/>
    <w:rsid w:val="00BA5F8B"/>
    <w:rsid w:val="00BA5FE7"/>
    <w:rsid w:val="00BB0918"/>
    <w:rsid w:val="00BB1C24"/>
    <w:rsid w:val="00BB59C6"/>
    <w:rsid w:val="00BC0CB0"/>
    <w:rsid w:val="00BC2B63"/>
    <w:rsid w:val="00BC5E5D"/>
    <w:rsid w:val="00BC6774"/>
    <w:rsid w:val="00BC6EEF"/>
    <w:rsid w:val="00BC7980"/>
    <w:rsid w:val="00BD00E6"/>
    <w:rsid w:val="00BD0B70"/>
    <w:rsid w:val="00BD4D43"/>
    <w:rsid w:val="00BD7A1D"/>
    <w:rsid w:val="00BE0D5C"/>
    <w:rsid w:val="00BE65E4"/>
    <w:rsid w:val="00BF0AA7"/>
    <w:rsid w:val="00BF1117"/>
    <w:rsid w:val="00BF2F97"/>
    <w:rsid w:val="00C00765"/>
    <w:rsid w:val="00C061DD"/>
    <w:rsid w:val="00C06287"/>
    <w:rsid w:val="00C06B44"/>
    <w:rsid w:val="00C20D5E"/>
    <w:rsid w:val="00C22A69"/>
    <w:rsid w:val="00C23583"/>
    <w:rsid w:val="00C30236"/>
    <w:rsid w:val="00C36C67"/>
    <w:rsid w:val="00C378ED"/>
    <w:rsid w:val="00C4066A"/>
    <w:rsid w:val="00C40C77"/>
    <w:rsid w:val="00C40D0E"/>
    <w:rsid w:val="00C469FC"/>
    <w:rsid w:val="00C52516"/>
    <w:rsid w:val="00C52ADC"/>
    <w:rsid w:val="00C53E57"/>
    <w:rsid w:val="00C54D82"/>
    <w:rsid w:val="00C54FF9"/>
    <w:rsid w:val="00C56BAB"/>
    <w:rsid w:val="00C60D92"/>
    <w:rsid w:val="00C61DF2"/>
    <w:rsid w:val="00C65930"/>
    <w:rsid w:val="00C71D16"/>
    <w:rsid w:val="00C75AB0"/>
    <w:rsid w:val="00C77B91"/>
    <w:rsid w:val="00C82AA4"/>
    <w:rsid w:val="00C8305C"/>
    <w:rsid w:val="00C86990"/>
    <w:rsid w:val="00C87ADD"/>
    <w:rsid w:val="00C87FE6"/>
    <w:rsid w:val="00C92CD5"/>
    <w:rsid w:val="00C93493"/>
    <w:rsid w:val="00C95691"/>
    <w:rsid w:val="00C96783"/>
    <w:rsid w:val="00CA1086"/>
    <w:rsid w:val="00CA1ECD"/>
    <w:rsid w:val="00CA4C7F"/>
    <w:rsid w:val="00CA4CD5"/>
    <w:rsid w:val="00CA5B40"/>
    <w:rsid w:val="00CB3B88"/>
    <w:rsid w:val="00CB74C2"/>
    <w:rsid w:val="00CC2625"/>
    <w:rsid w:val="00CC7528"/>
    <w:rsid w:val="00CC7DA3"/>
    <w:rsid w:val="00CD0348"/>
    <w:rsid w:val="00CD0FA4"/>
    <w:rsid w:val="00CD2415"/>
    <w:rsid w:val="00CD681B"/>
    <w:rsid w:val="00CE10E7"/>
    <w:rsid w:val="00CE17B9"/>
    <w:rsid w:val="00CE780B"/>
    <w:rsid w:val="00CF5974"/>
    <w:rsid w:val="00D00512"/>
    <w:rsid w:val="00D0469E"/>
    <w:rsid w:val="00D0608D"/>
    <w:rsid w:val="00D06E87"/>
    <w:rsid w:val="00D06EFC"/>
    <w:rsid w:val="00D1197E"/>
    <w:rsid w:val="00D11B68"/>
    <w:rsid w:val="00D1619E"/>
    <w:rsid w:val="00D22370"/>
    <w:rsid w:val="00D248C6"/>
    <w:rsid w:val="00D328E5"/>
    <w:rsid w:val="00D33DA7"/>
    <w:rsid w:val="00D34C99"/>
    <w:rsid w:val="00D40C29"/>
    <w:rsid w:val="00D40F5B"/>
    <w:rsid w:val="00D472D8"/>
    <w:rsid w:val="00D47319"/>
    <w:rsid w:val="00D47682"/>
    <w:rsid w:val="00D52DCA"/>
    <w:rsid w:val="00D56FF4"/>
    <w:rsid w:val="00D574C9"/>
    <w:rsid w:val="00D67028"/>
    <w:rsid w:val="00D72567"/>
    <w:rsid w:val="00D73726"/>
    <w:rsid w:val="00D74036"/>
    <w:rsid w:val="00D808EE"/>
    <w:rsid w:val="00D81C28"/>
    <w:rsid w:val="00D82E86"/>
    <w:rsid w:val="00D87E91"/>
    <w:rsid w:val="00D9161B"/>
    <w:rsid w:val="00D93663"/>
    <w:rsid w:val="00D938CD"/>
    <w:rsid w:val="00D94097"/>
    <w:rsid w:val="00DA7DA7"/>
    <w:rsid w:val="00DB0304"/>
    <w:rsid w:val="00DB0CB2"/>
    <w:rsid w:val="00DB2813"/>
    <w:rsid w:val="00DC000B"/>
    <w:rsid w:val="00DC016D"/>
    <w:rsid w:val="00DC1473"/>
    <w:rsid w:val="00DC3B4B"/>
    <w:rsid w:val="00DD4C07"/>
    <w:rsid w:val="00DE063C"/>
    <w:rsid w:val="00DE34A4"/>
    <w:rsid w:val="00DE361F"/>
    <w:rsid w:val="00DE55E6"/>
    <w:rsid w:val="00DE5B15"/>
    <w:rsid w:val="00E00DDE"/>
    <w:rsid w:val="00E0168D"/>
    <w:rsid w:val="00E043E4"/>
    <w:rsid w:val="00E04482"/>
    <w:rsid w:val="00E07968"/>
    <w:rsid w:val="00E124F5"/>
    <w:rsid w:val="00E2267F"/>
    <w:rsid w:val="00E228AF"/>
    <w:rsid w:val="00E24F4B"/>
    <w:rsid w:val="00E278D7"/>
    <w:rsid w:val="00E27C9F"/>
    <w:rsid w:val="00E30A3F"/>
    <w:rsid w:val="00E45662"/>
    <w:rsid w:val="00E50156"/>
    <w:rsid w:val="00E52A1F"/>
    <w:rsid w:val="00E56811"/>
    <w:rsid w:val="00E56CAC"/>
    <w:rsid w:val="00E6139F"/>
    <w:rsid w:val="00E61E1E"/>
    <w:rsid w:val="00E62387"/>
    <w:rsid w:val="00E64B3B"/>
    <w:rsid w:val="00E668A5"/>
    <w:rsid w:val="00E71A05"/>
    <w:rsid w:val="00E75EDD"/>
    <w:rsid w:val="00E81ED8"/>
    <w:rsid w:val="00E86919"/>
    <w:rsid w:val="00E90B9D"/>
    <w:rsid w:val="00E923F1"/>
    <w:rsid w:val="00EA1C97"/>
    <w:rsid w:val="00EA4975"/>
    <w:rsid w:val="00EB3A32"/>
    <w:rsid w:val="00EB3D8A"/>
    <w:rsid w:val="00EB4AF9"/>
    <w:rsid w:val="00EB711D"/>
    <w:rsid w:val="00EC3EAF"/>
    <w:rsid w:val="00EC41C6"/>
    <w:rsid w:val="00ED2536"/>
    <w:rsid w:val="00ED5116"/>
    <w:rsid w:val="00ED6A9C"/>
    <w:rsid w:val="00EE0E84"/>
    <w:rsid w:val="00EE308D"/>
    <w:rsid w:val="00EE44C9"/>
    <w:rsid w:val="00EE4A52"/>
    <w:rsid w:val="00EF2769"/>
    <w:rsid w:val="00EF4DF3"/>
    <w:rsid w:val="00F040E2"/>
    <w:rsid w:val="00F0799D"/>
    <w:rsid w:val="00F119EE"/>
    <w:rsid w:val="00F11D66"/>
    <w:rsid w:val="00F14BD3"/>
    <w:rsid w:val="00F209D8"/>
    <w:rsid w:val="00F22081"/>
    <w:rsid w:val="00F254CC"/>
    <w:rsid w:val="00F27ED1"/>
    <w:rsid w:val="00F3020A"/>
    <w:rsid w:val="00F358F2"/>
    <w:rsid w:val="00F36CA2"/>
    <w:rsid w:val="00F46297"/>
    <w:rsid w:val="00F5172B"/>
    <w:rsid w:val="00F53655"/>
    <w:rsid w:val="00F5607D"/>
    <w:rsid w:val="00F6071E"/>
    <w:rsid w:val="00F65284"/>
    <w:rsid w:val="00F706FC"/>
    <w:rsid w:val="00F711FF"/>
    <w:rsid w:val="00F71512"/>
    <w:rsid w:val="00F71581"/>
    <w:rsid w:val="00F74FA5"/>
    <w:rsid w:val="00F77E65"/>
    <w:rsid w:val="00F77E6A"/>
    <w:rsid w:val="00F81534"/>
    <w:rsid w:val="00F81D93"/>
    <w:rsid w:val="00F84D65"/>
    <w:rsid w:val="00F86C62"/>
    <w:rsid w:val="00F9209E"/>
    <w:rsid w:val="00F93164"/>
    <w:rsid w:val="00F940A3"/>
    <w:rsid w:val="00F9413F"/>
    <w:rsid w:val="00F94D21"/>
    <w:rsid w:val="00F95E34"/>
    <w:rsid w:val="00FA11D0"/>
    <w:rsid w:val="00FA3FAC"/>
    <w:rsid w:val="00FA406D"/>
    <w:rsid w:val="00FA4570"/>
    <w:rsid w:val="00FA5501"/>
    <w:rsid w:val="00FB3735"/>
    <w:rsid w:val="00FB481F"/>
    <w:rsid w:val="00FC19A6"/>
    <w:rsid w:val="00FC3C87"/>
    <w:rsid w:val="00FC5664"/>
    <w:rsid w:val="00FC61F3"/>
    <w:rsid w:val="00FE14EB"/>
    <w:rsid w:val="00FE1536"/>
    <w:rsid w:val="00FE25EE"/>
    <w:rsid w:val="00FE4491"/>
    <w:rsid w:val="00FF03BA"/>
    <w:rsid w:val="00FF2D07"/>
    <w:rsid w:val="00FF3496"/>
    <w:rsid w:val="00FF418A"/>
    <w:rsid w:val="00FF45C2"/>
    <w:rsid w:val="00FF54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4EA7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39"/>
    <w:lsdException w:name="toc 2" w:uiPriority="39"/>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1D"/>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6E4F43"/>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A06EF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A06EF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ED6A9C"/>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ED6A9C"/>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ED6A9C"/>
    <w:pPr>
      <w:spacing w:before="80" w:after="80"/>
    </w:pPr>
    <w:rPr>
      <w:rFonts w:ascii="Franklin Gothic Medium" w:hAnsi="Franklin Gothic Medium"/>
      <w:b/>
    </w:rPr>
  </w:style>
  <w:style w:type="paragraph" w:customStyle="1" w:styleId="TableTextColumnHeading">
    <w:name w:val="Table Text Column Heading"/>
    <w:basedOn w:val="TableDataColumnHeading"/>
    <w:autoRedefine/>
    <w:rsid w:val="00ED6A9C"/>
    <w:pPr>
      <w:jc w:val="left"/>
    </w:p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ED6A9C"/>
    <w:pPr>
      <w:spacing w:before="40" w:after="40"/>
    </w:pPr>
    <w:rPr>
      <w:rFonts w:ascii="Franklin Gothic Book" w:hAnsi="Franklin Gothic Book"/>
      <w:b/>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Gothic-Book" w:hAnsi="FranklinGothic-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7"/>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7"/>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8"/>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9"/>
      </w:numPr>
    </w:pPr>
  </w:style>
  <w:style w:type="character" w:customStyle="1" w:styleId="CaptionChar">
    <w:name w:val="Caption Char"/>
    <w:link w:val="Caption"/>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nhideWhenUsed/>
    <w:qFormat/>
    <w:rsid w:val="00237B51"/>
    <w:pPr>
      <w:spacing w:after="0"/>
      <w:contextualSpacing/>
    </w:pPr>
    <w:rPr>
      <w:sz w:val="16"/>
      <w:szCs w:val="20"/>
    </w:rPr>
  </w:style>
  <w:style w:type="character" w:customStyle="1" w:styleId="FootnoteTextChar">
    <w:name w:val="Footnote Text Char"/>
    <w:basedOn w:val="DefaultParagraphFont"/>
    <w:link w:val="FootnoteText"/>
    <w:rsid w:val="00237B51"/>
    <w:rPr>
      <w:rFonts w:ascii="Times New Roman" w:eastAsia="Times New Roman" w:hAnsi="Times New Roman" w:cs="Times New Roman"/>
      <w:sz w:val="16"/>
      <w:szCs w:val="20"/>
    </w:rPr>
  </w:style>
  <w:style w:type="character" w:styleId="FootnoteReference">
    <w:name w:val="footnote reference"/>
    <w:semiHidden/>
    <w:rsid w:val="00F77E6A"/>
    <w:rPr>
      <w:rFonts w:ascii="Times New Roman" w:hAnsi="Times New Roman"/>
      <w:w w:val="100"/>
      <w:position w:val="6"/>
      <w:sz w:val="16"/>
      <w:szCs w:val="12"/>
      <w:vertAlign w:val="baseline"/>
    </w:rPr>
  </w:style>
  <w:style w:type="table" w:customStyle="1" w:styleId="APPR1">
    <w:name w:val="APPR1"/>
    <w:basedOn w:val="TableNormal"/>
    <w:uiPriority w:val="99"/>
    <w:rsid w:val="00D9161B"/>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rial Black" w:hAnsi="Arial Blac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2">
    <w:name w:val="APPR2"/>
    <w:basedOn w:val="TableNormal"/>
    <w:uiPriority w:val="99"/>
    <w:rsid w:val="00780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3">
    <w:name w:val="APPR3"/>
    <w:basedOn w:val="TableNormal"/>
    <w:uiPriority w:val="99"/>
    <w:rsid w:val="00780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4">
    <w:name w:val="APPR4"/>
    <w:basedOn w:val="TableNormal"/>
    <w:uiPriority w:val="99"/>
    <w:rsid w:val="00780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5">
    <w:name w:val="APPR5"/>
    <w:basedOn w:val="TableNormal"/>
    <w:uiPriority w:val="99"/>
    <w:rsid w:val="00780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6">
    <w:name w:val="APPR6"/>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7">
    <w:name w:val="APPR7"/>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8">
    <w:name w:val="APPR8"/>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9">
    <w:name w:val="APPR9"/>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0">
    <w:name w:val="APPR10"/>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1">
    <w:name w:val="APPR11"/>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2">
    <w:name w:val="APPR12"/>
    <w:basedOn w:val="TableNormal"/>
    <w:uiPriority w:val="99"/>
    <w:rsid w:val="00AE1E32"/>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3">
    <w:name w:val="APPR13"/>
    <w:basedOn w:val="TableNormal"/>
    <w:uiPriority w:val="99"/>
    <w:rsid w:val="00713ED0"/>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numbering" w:customStyle="1" w:styleId="NoList1">
    <w:name w:val="No List1"/>
    <w:next w:val="NoList"/>
    <w:uiPriority w:val="99"/>
    <w:semiHidden/>
    <w:unhideWhenUsed/>
    <w:rsid w:val="00713ED0"/>
  </w:style>
  <w:style w:type="table" w:customStyle="1" w:styleId="TableGrid1">
    <w:name w:val="Table Grid1"/>
    <w:basedOn w:val="TableNormal"/>
    <w:next w:val="TableGrid"/>
    <w:uiPriority w:val="59"/>
    <w:rsid w:val="00713E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Accent21">
    <w:name w:val="Medium Grid 2 - Accent 21"/>
    <w:basedOn w:val="TableNormal"/>
    <w:next w:val="MediumGrid2-Accent2"/>
    <w:uiPriority w:val="68"/>
    <w:rsid w:val="00713ED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14">
    <w:name w:val="APPR14"/>
    <w:basedOn w:val="TableNormal"/>
    <w:uiPriority w:val="99"/>
    <w:rsid w:val="00713ED0"/>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LightShading1">
    <w:name w:val="Light Shading1"/>
    <w:basedOn w:val="TableNormal"/>
    <w:next w:val="LightShading"/>
    <w:uiPriority w:val="60"/>
    <w:rsid w:val="00713E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51">
    <w:name w:val="Medium Shading 2 - Accent 51"/>
    <w:basedOn w:val="TableNormal"/>
    <w:next w:val="MediumShading2-Accent5"/>
    <w:uiPriority w:val="64"/>
    <w:rsid w:val="00713ED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713ED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Heading1">
    <w:name w:val="APPR Heading 1"/>
    <w:basedOn w:val="Normal"/>
    <w:next w:val="BodyText"/>
    <w:autoRedefine/>
    <w:qFormat/>
    <w:rsid w:val="00713ED0"/>
    <w:pPr>
      <w:keepNext/>
      <w:spacing w:before="360" w:after="120"/>
      <w:outlineLvl w:val="0"/>
    </w:pPr>
    <w:rPr>
      <w:rFonts w:ascii="Arial" w:eastAsia="Times New Roman" w:hAnsi="Arial" w:cs="Arial"/>
      <w:b/>
      <w:color w:val="AD495D"/>
      <w:kern w:val="28"/>
      <w:sz w:val="28"/>
      <w:szCs w:val="28"/>
    </w:rPr>
  </w:style>
  <w:style w:type="table" w:customStyle="1" w:styleId="APPR15">
    <w:name w:val="APPR15"/>
    <w:basedOn w:val="TableNormal"/>
    <w:uiPriority w:val="99"/>
    <w:rsid w:val="005213F3"/>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6">
    <w:name w:val="APPR16"/>
    <w:basedOn w:val="TableNormal"/>
    <w:uiPriority w:val="99"/>
    <w:rsid w:val="005C053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7604D0"/>
    <w:pPr>
      <w:keepLines/>
      <w:spacing w:before="480" w:after="0" w:line="276" w:lineRule="auto"/>
      <w:ind w:right="0"/>
      <w:outlineLvl w:val="9"/>
    </w:pPr>
    <w:rPr>
      <w:rFonts w:asciiTheme="majorHAnsi" w:eastAsiaTheme="majorEastAsia" w:hAnsiTheme="majorHAnsi" w:cstheme="majorBidi"/>
      <w:b/>
      <w:bCs/>
      <w:color w:val="365F91" w:themeColor="accent1" w:themeShade="BF"/>
      <w:kern w:val="0"/>
      <w:lang w:val="en-US" w:eastAsia="ja-JP"/>
    </w:rPr>
  </w:style>
  <w:style w:type="table" w:customStyle="1" w:styleId="APPR17">
    <w:name w:val="APPR17"/>
    <w:basedOn w:val="TableNormal"/>
    <w:uiPriority w:val="99"/>
    <w:rsid w:val="00C61DF2"/>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st">
    <w:name w:val="st"/>
    <w:basedOn w:val="DefaultParagraphFont"/>
    <w:rsid w:val="002C77BE"/>
  </w:style>
  <w:style w:type="character" w:styleId="Emphasis">
    <w:name w:val="Emphasis"/>
    <w:basedOn w:val="DefaultParagraphFont"/>
    <w:uiPriority w:val="20"/>
    <w:qFormat/>
    <w:rsid w:val="002C77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39"/>
    <w:lsdException w:name="toc 2" w:uiPriority="39"/>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1D"/>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6E4F43"/>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A06EF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A06EF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ED6A9C"/>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ED6A9C"/>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ED6A9C"/>
    <w:pPr>
      <w:spacing w:before="80" w:after="80"/>
    </w:pPr>
    <w:rPr>
      <w:rFonts w:ascii="Franklin Gothic Medium" w:hAnsi="Franklin Gothic Medium"/>
      <w:b/>
    </w:rPr>
  </w:style>
  <w:style w:type="paragraph" w:customStyle="1" w:styleId="TableTextColumnHeading">
    <w:name w:val="Table Text Column Heading"/>
    <w:basedOn w:val="TableDataColumnHeading"/>
    <w:autoRedefine/>
    <w:rsid w:val="00ED6A9C"/>
    <w:pPr>
      <w:jc w:val="left"/>
    </w:p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ED6A9C"/>
    <w:pPr>
      <w:spacing w:before="40" w:after="40"/>
    </w:pPr>
    <w:rPr>
      <w:rFonts w:ascii="Franklin Gothic Book" w:hAnsi="Franklin Gothic Book"/>
      <w:b/>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Gothic-Book" w:hAnsi="FranklinGothic-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7"/>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7"/>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8"/>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9"/>
      </w:numPr>
    </w:pPr>
  </w:style>
  <w:style w:type="character" w:customStyle="1" w:styleId="CaptionChar">
    <w:name w:val="Caption Char"/>
    <w:link w:val="Caption"/>
    <w:locked/>
    <w:rsid w:val="001612C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nhideWhenUsed/>
    <w:qFormat/>
    <w:rsid w:val="00237B51"/>
    <w:pPr>
      <w:spacing w:after="0"/>
      <w:contextualSpacing/>
    </w:pPr>
    <w:rPr>
      <w:sz w:val="16"/>
      <w:szCs w:val="20"/>
    </w:rPr>
  </w:style>
  <w:style w:type="character" w:customStyle="1" w:styleId="FootnoteTextChar">
    <w:name w:val="Footnote Text Char"/>
    <w:basedOn w:val="DefaultParagraphFont"/>
    <w:link w:val="FootnoteText"/>
    <w:rsid w:val="00237B51"/>
    <w:rPr>
      <w:rFonts w:ascii="Times New Roman" w:eastAsia="Times New Roman" w:hAnsi="Times New Roman" w:cs="Times New Roman"/>
      <w:sz w:val="16"/>
      <w:szCs w:val="20"/>
    </w:rPr>
  </w:style>
  <w:style w:type="character" w:styleId="FootnoteReference">
    <w:name w:val="footnote reference"/>
    <w:semiHidden/>
    <w:rsid w:val="00F77E6A"/>
    <w:rPr>
      <w:rFonts w:ascii="Times New Roman" w:hAnsi="Times New Roman"/>
      <w:w w:val="100"/>
      <w:position w:val="6"/>
      <w:sz w:val="16"/>
      <w:szCs w:val="12"/>
      <w:vertAlign w:val="baseline"/>
    </w:rPr>
  </w:style>
  <w:style w:type="table" w:customStyle="1" w:styleId="APPR1">
    <w:name w:val="APPR1"/>
    <w:basedOn w:val="TableNormal"/>
    <w:uiPriority w:val="99"/>
    <w:rsid w:val="00D9161B"/>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rial Black" w:hAnsi="Arial Blac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2">
    <w:name w:val="APPR2"/>
    <w:basedOn w:val="TableNormal"/>
    <w:uiPriority w:val="99"/>
    <w:rsid w:val="00780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3">
    <w:name w:val="APPR3"/>
    <w:basedOn w:val="TableNormal"/>
    <w:uiPriority w:val="99"/>
    <w:rsid w:val="00780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4">
    <w:name w:val="APPR4"/>
    <w:basedOn w:val="TableNormal"/>
    <w:uiPriority w:val="99"/>
    <w:rsid w:val="00780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5">
    <w:name w:val="APPR5"/>
    <w:basedOn w:val="TableNormal"/>
    <w:uiPriority w:val="99"/>
    <w:rsid w:val="0078002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6">
    <w:name w:val="APPR6"/>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7">
    <w:name w:val="APPR7"/>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8">
    <w:name w:val="APPR8"/>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9">
    <w:name w:val="APPR9"/>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0">
    <w:name w:val="APPR10"/>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1">
    <w:name w:val="APPR11"/>
    <w:basedOn w:val="TableNormal"/>
    <w:uiPriority w:val="99"/>
    <w:rsid w:val="00FF54F7"/>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2">
    <w:name w:val="APPR12"/>
    <w:basedOn w:val="TableNormal"/>
    <w:uiPriority w:val="99"/>
    <w:rsid w:val="00AE1E32"/>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3">
    <w:name w:val="APPR13"/>
    <w:basedOn w:val="TableNormal"/>
    <w:uiPriority w:val="99"/>
    <w:rsid w:val="00713ED0"/>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numbering" w:customStyle="1" w:styleId="NoList1">
    <w:name w:val="No List1"/>
    <w:next w:val="NoList"/>
    <w:uiPriority w:val="99"/>
    <w:semiHidden/>
    <w:unhideWhenUsed/>
    <w:rsid w:val="00713ED0"/>
  </w:style>
  <w:style w:type="table" w:customStyle="1" w:styleId="TableGrid1">
    <w:name w:val="Table Grid1"/>
    <w:basedOn w:val="TableNormal"/>
    <w:next w:val="TableGrid"/>
    <w:uiPriority w:val="59"/>
    <w:rsid w:val="00713E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Accent21">
    <w:name w:val="Medium Grid 2 - Accent 21"/>
    <w:basedOn w:val="TableNormal"/>
    <w:next w:val="MediumGrid2-Accent2"/>
    <w:uiPriority w:val="68"/>
    <w:rsid w:val="00713ED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14">
    <w:name w:val="APPR14"/>
    <w:basedOn w:val="TableNormal"/>
    <w:uiPriority w:val="99"/>
    <w:rsid w:val="00713ED0"/>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LightShading1">
    <w:name w:val="Light Shading1"/>
    <w:basedOn w:val="TableNormal"/>
    <w:next w:val="LightShading"/>
    <w:uiPriority w:val="60"/>
    <w:rsid w:val="00713E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51">
    <w:name w:val="Medium Shading 2 - Accent 51"/>
    <w:basedOn w:val="TableNormal"/>
    <w:next w:val="MediumShading2-Accent5"/>
    <w:uiPriority w:val="64"/>
    <w:rsid w:val="00713ED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713ED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Heading1">
    <w:name w:val="APPR Heading 1"/>
    <w:basedOn w:val="Normal"/>
    <w:next w:val="BodyText"/>
    <w:autoRedefine/>
    <w:qFormat/>
    <w:rsid w:val="00713ED0"/>
    <w:pPr>
      <w:keepNext/>
      <w:spacing w:before="360" w:after="120"/>
      <w:outlineLvl w:val="0"/>
    </w:pPr>
    <w:rPr>
      <w:rFonts w:ascii="Arial" w:eastAsia="Times New Roman" w:hAnsi="Arial" w:cs="Arial"/>
      <w:b/>
      <w:color w:val="AD495D"/>
      <w:kern w:val="28"/>
      <w:sz w:val="28"/>
      <w:szCs w:val="28"/>
    </w:rPr>
  </w:style>
  <w:style w:type="table" w:customStyle="1" w:styleId="APPR15">
    <w:name w:val="APPR15"/>
    <w:basedOn w:val="TableNormal"/>
    <w:uiPriority w:val="99"/>
    <w:rsid w:val="005213F3"/>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6">
    <w:name w:val="APPR16"/>
    <w:basedOn w:val="TableNormal"/>
    <w:uiPriority w:val="99"/>
    <w:rsid w:val="005C053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7604D0"/>
    <w:pPr>
      <w:keepLines/>
      <w:spacing w:before="480" w:after="0" w:line="276" w:lineRule="auto"/>
      <w:ind w:right="0"/>
      <w:outlineLvl w:val="9"/>
    </w:pPr>
    <w:rPr>
      <w:rFonts w:asciiTheme="majorHAnsi" w:eastAsiaTheme="majorEastAsia" w:hAnsiTheme="majorHAnsi" w:cstheme="majorBidi"/>
      <w:b/>
      <w:bCs/>
      <w:color w:val="365F91" w:themeColor="accent1" w:themeShade="BF"/>
      <w:kern w:val="0"/>
      <w:lang w:val="en-US" w:eastAsia="ja-JP"/>
    </w:rPr>
  </w:style>
  <w:style w:type="table" w:customStyle="1" w:styleId="APPR17">
    <w:name w:val="APPR17"/>
    <w:basedOn w:val="TableNormal"/>
    <w:uiPriority w:val="99"/>
    <w:rsid w:val="00C61DF2"/>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st">
    <w:name w:val="st"/>
    <w:basedOn w:val="DefaultParagraphFont"/>
    <w:rsid w:val="002C77BE"/>
  </w:style>
  <w:style w:type="character" w:styleId="Emphasis">
    <w:name w:val="Emphasis"/>
    <w:basedOn w:val="DefaultParagraphFont"/>
    <w:uiPriority w:val="20"/>
    <w:qFormat/>
    <w:rsid w:val="002C7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4449111">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image" Target="media/image1.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Expenditure from January 2012 </a:t>
            </a:r>
            <a:br>
              <a:rPr lang="en-AU"/>
            </a:br>
            <a:r>
              <a:rPr lang="en-AU"/>
              <a:t>to June 2013</a:t>
            </a:r>
          </a:p>
          <a:p>
            <a:pPr>
              <a:defRPr/>
            </a:pPr>
            <a:r>
              <a:rPr lang="en-AU"/>
              <a:t>(18 months in $ million)</a:t>
            </a:r>
          </a:p>
        </c:rich>
      </c:tx>
      <c:overlay val="0"/>
    </c:title>
    <c:autoTitleDeleted val="0"/>
    <c:view3D>
      <c:rotX val="40"/>
      <c:rotY val="190"/>
      <c:rAngAx val="0"/>
      <c:perspective val="50"/>
    </c:view3D>
    <c:floor>
      <c:thickness val="0"/>
    </c:floor>
    <c:sideWall>
      <c:thickness val="0"/>
    </c:sideWall>
    <c:backWall>
      <c:thickness val="0"/>
    </c:backWall>
    <c:plotArea>
      <c:layout>
        <c:manualLayout>
          <c:layoutTarget val="inner"/>
          <c:xMode val="edge"/>
          <c:yMode val="edge"/>
          <c:x val="5.1454129638688402E-2"/>
          <c:y val="5.3219834007235602E-2"/>
          <c:w val="0.76286357644778402"/>
          <c:h val="0.76659814979407404"/>
        </c:manualLayout>
      </c:layout>
      <c:pie3DChart>
        <c:varyColors val="1"/>
        <c:ser>
          <c:idx val="0"/>
          <c:order val="0"/>
          <c:tx>
            <c:strRef>
              <c:f>'Pie Chart'!$C$4</c:f>
              <c:strCache>
                <c:ptCount val="1"/>
                <c:pt idx="0">
                  <c:v>A$ million</c:v>
                </c:pt>
              </c:strCache>
            </c:strRef>
          </c:tx>
          <c:dLbls>
            <c:dLbl>
              <c:idx val="0"/>
              <c:tx>
                <c:rich>
                  <a:bodyPr/>
                  <a:lstStyle/>
                  <a:p>
                    <a:r>
                      <a:rPr lang="en-US"/>
                      <a:t>Education &amp; knowledge sector
144.1</a:t>
                    </a:r>
                  </a:p>
                </c:rich>
              </c:tx>
              <c:dLblPos val="bestFit"/>
              <c:showLegendKey val="0"/>
              <c:showVal val="1"/>
              <c:showCatName val="1"/>
              <c:showSerName val="0"/>
              <c:showPercent val="0"/>
              <c:showBubbleSize val="0"/>
              <c:separator>
</c:separator>
            </c:dLbl>
            <c:dLbl>
              <c:idx val="2"/>
              <c:tx>
                <c:rich>
                  <a:bodyPr/>
                  <a:lstStyle/>
                  <a:p>
                    <a:r>
                      <a:rPr lang="en-US"/>
                      <a:t>Transport and connectivity
57.8</a:t>
                    </a:r>
                  </a:p>
                </c:rich>
              </c:tx>
              <c:dLblPos val="bestFit"/>
              <c:showLegendKey val="0"/>
              <c:showVal val="1"/>
              <c:showCatName val="1"/>
              <c:showSerName val="0"/>
              <c:showPercent val="0"/>
              <c:showBubbleSize val="0"/>
              <c:separator>
</c:separator>
            </c:dLbl>
            <c:dLbl>
              <c:idx val="3"/>
              <c:tx>
                <c:rich>
                  <a:bodyPr/>
                  <a:lstStyle/>
                  <a:p>
                    <a:r>
                      <a:rPr lang="en-US"/>
                      <a:t>Water and sanitation
66.0</a:t>
                    </a:r>
                  </a:p>
                </c:rich>
              </c:tx>
              <c:dLblPos val="bestFit"/>
              <c:showLegendKey val="0"/>
              <c:showVal val="1"/>
              <c:showCatName val="1"/>
              <c:showSerName val="0"/>
              <c:showPercent val="0"/>
              <c:showBubbleSize val="0"/>
              <c:separator>
</c:separator>
            </c:dLbl>
            <c:dLbl>
              <c:idx val="4"/>
              <c:layout>
                <c:manualLayout>
                  <c:x val="-0.11728821940735669"/>
                  <c:y val="0.15224395919582218"/>
                </c:manualLayout>
              </c:layout>
              <c:tx>
                <c:rich>
                  <a:bodyPr/>
                  <a:lstStyle/>
                  <a:p>
                    <a:r>
                      <a:rPr lang="en-US"/>
                      <a:t>Social protection &amp; </a:t>
                    </a:r>
                    <a:r>
                      <a:rPr lang="en-AU" sz="1000" b="0" i="0" u="none" strike="noStrike" baseline="0">
                        <a:effectLst/>
                      </a:rPr>
                      <a:t>Community Driven Development</a:t>
                    </a:r>
                    <a:r>
                      <a:rPr lang="en-US"/>
                      <a:t>
178.8</a:t>
                    </a:r>
                  </a:p>
                </c:rich>
              </c:tx>
              <c:dLblPos val="bestFit"/>
              <c:showLegendKey val="0"/>
              <c:showVal val="1"/>
              <c:showCatName val="1"/>
              <c:showSerName val="0"/>
              <c:showPercent val="0"/>
              <c:showBubbleSize val="0"/>
              <c:separator>
</c:separator>
            </c:dLbl>
            <c:dLbl>
              <c:idx val="5"/>
              <c:tx>
                <c:rich>
                  <a:bodyPr/>
                  <a:lstStyle/>
                  <a:p>
                    <a:r>
                      <a:rPr lang="en-US"/>
                      <a:t>Bureaucratic reform
5.7</a:t>
                    </a:r>
                  </a:p>
                </c:rich>
              </c:tx>
              <c:dLblPos val="bestFit"/>
              <c:showLegendKey val="0"/>
              <c:showVal val="1"/>
              <c:showCatName val="1"/>
              <c:showSerName val="0"/>
              <c:showPercent val="0"/>
              <c:showBubbleSize val="0"/>
              <c:separator>
</c:separator>
            </c:dLbl>
            <c:dLbl>
              <c:idx val="6"/>
              <c:tx>
                <c:rich>
                  <a:bodyPr/>
                  <a:lstStyle/>
                  <a:p>
                    <a:r>
                      <a:rPr lang="en-US"/>
                      <a:t>Climate change
19.4</a:t>
                    </a:r>
                  </a:p>
                </c:rich>
              </c:tx>
              <c:dLblPos val="bestFit"/>
              <c:showLegendKey val="0"/>
              <c:showVal val="1"/>
              <c:showCatName val="1"/>
              <c:showSerName val="0"/>
              <c:showPercent val="0"/>
              <c:showBubbleSize val="0"/>
              <c:separator>
</c:separator>
            </c:dLbl>
            <c:dLbl>
              <c:idx val="8"/>
              <c:layout>
                <c:manualLayout>
                  <c:x val="3.6333950343667799E-2"/>
                  <c:y val="3.0707399555824699E-2"/>
                </c:manualLayout>
              </c:layout>
              <c:tx>
                <c:rich>
                  <a:bodyPr/>
                  <a:lstStyle/>
                  <a:p>
                    <a:r>
                      <a:rPr lang="en-US"/>
                      <a:t>Disaster risk management
35.4</a:t>
                    </a:r>
                  </a:p>
                </c:rich>
              </c:tx>
              <c:dLblPos val="bestFit"/>
              <c:showLegendKey val="0"/>
              <c:showVal val="1"/>
              <c:showCatName val="1"/>
              <c:showSerName val="0"/>
              <c:showPercent val="0"/>
              <c:showBubbleSize val="0"/>
              <c:separator>
</c:separator>
            </c:dLbl>
            <c:dLbl>
              <c:idx val="9"/>
              <c:tx>
                <c:rich>
                  <a:bodyPr/>
                  <a:lstStyle/>
                  <a:p>
                    <a:r>
                      <a:rPr lang="en-US"/>
                      <a:t>Economic governance
48.5</a:t>
                    </a:r>
                  </a:p>
                </c:rich>
              </c:tx>
              <c:dLblPos val="bestFit"/>
              <c:showLegendKey val="0"/>
              <c:showVal val="1"/>
              <c:showCatName val="1"/>
              <c:showSerName val="0"/>
              <c:showPercent val="0"/>
              <c:showBubbleSize val="0"/>
              <c:separator>
</c:separator>
            </c:dLbl>
            <c:dLbl>
              <c:idx val="11"/>
              <c:tx>
                <c:rich>
                  <a:bodyPr/>
                  <a:lstStyle/>
                  <a:p>
                    <a:r>
                      <a:rPr lang="en-US"/>
                      <a:t>Law and justice
24.0</a:t>
                    </a:r>
                  </a:p>
                </c:rich>
              </c:tx>
              <c:dLblPos val="bestFit"/>
              <c:showLegendKey val="0"/>
              <c:showVal val="1"/>
              <c:showCatName val="1"/>
              <c:showSerName val="0"/>
              <c:showPercent val="0"/>
              <c:showBubbleSize val="0"/>
              <c:separator>
</c:separator>
            </c:dLbl>
            <c:dLbl>
              <c:idx val="12"/>
              <c:tx>
                <c:rich>
                  <a:bodyPr/>
                  <a:lstStyle/>
                  <a:p>
                    <a:r>
                      <a:rPr lang="en-US"/>
                      <a:t>Rural livelihoods &amp; agribusiness
9.2</a:t>
                    </a:r>
                  </a:p>
                </c:rich>
              </c:tx>
              <c:dLblPos val="bestFit"/>
              <c:showLegendKey val="0"/>
              <c:showVal val="1"/>
              <c:showCatName val="1"/>
              <c:showSerName val="0"/>
              <c:showPercent val="0"/>
              <c:showBubbleSize val="0"/>
              <c:separator>
</c:separator>
            </c:dLbl>
            <c:dLbl>
              <c:idx val="14"/>
              <c:layout>
                <c:manualLayout>
                  <c:x val="-1.9283538760360899E-2"/>
                  <c:y val="-0.175640304577312"/>
                </c:manualLayout>
              </c:layout>
              <c:tx>
                <c:rich>
                  <a:bodyPr/>
                  <a:lstStyle/>
                  <a:p>
                    <a:r>
                      <a:rPr lang="en-US"/>
                      <a:t>Whole-of- government
64.1</a:t>
                    </a:r>
                  </a:p>
                </c:rich>
              </c:tx>
              <c:dLblPos val="bestFit"/>
              <c:showLegendKey val="0"/>
              <c:showVal val="1"/>
              <c:showCatName val="1"/>
              <c:showSerName val="0"/>
              <c:showPercent val="0"/>
              <c:showBubbleSize val="0"/>
              <c:separator>
</c:separator>
            </c:dLbl>
            <c:numFmt formatCode="#,##0.0" sourceLinked="0"/>
            <c:dLblPos val="bestFit"/>
            <c:showLegendKey val="0"/>
            <c:showVal val="1"/>
            <c:showCatName val="1"/>
            <c:showSerName val="0"/>
            <c:showPercent val="0"/>
            <c:showBubbleSize val="0"/>
            <c:separator>
</c:separator>
            <c:showLeaderLines val="1"/>
          </c:dLbls>
          <c:cat>
            <c:strRef>
              <c:f>'Pie Chart'!$B$5:$B$19</c:f>
              <c:strCache>
                <c:ptCount val="15"/>
                <c:pt idx="0">
                  <c:v>Education &amp; Knowledge Sector</c:v>
                </c:pt>
                <c:pt idx="1">
                  <c:v>Health</c:v>
                </c:pt>
                <c:pt idx="2">
                  <c:v>Transport and Connectivity</c:v>
                </c:pt>
                <c:pt idx="3">
                  <c:v>Water and Sanitation</c:v>
                </c:pt>
                <c:pt idx="4">
                  <c:v>Social Protection &amp; Community Driven Development</c:v>
                </c:pt>
                <c:pt idx="5">
                  <c:v>Bureaucratic Reform</c:v>
                </c:pt>
                <c:pt idx="6">
                  <c:v>Climate Change</c:v>
                </c:pt>
                <c:pt idx="7">
                  <c:v>Decentralisation</c:v>
                </c:pt>
                <c:pt idx="8">
                  <c:v>Disaster Risk Management</c:v>
                </c:pt>
                <c:pt idx="9">
                  <c:v>Economic Governance</c:v>
                </c:pt>
                <c:pt idx="10">
                  <c:v>Elections</c:v>
                </c:pt>
                <c:pt idx="11">
                  <c:v>Law and Justice</c:v>
                </c:pt>
                <c:pt idx="12">
                  <c:v>Rural Livelihoods &amp; Agribusiness</c:v>
                </c:pt>
                <c:pt idx="13">
                  <c:v>Scholarships</c:v>
                </c:pt>
                <c:pt idx="14">
                  <c:v>Whole of Government</c:v>
                </c:pt>
              </c:strCache>
            </c:strRef>
          </c:cat>
          <c:val>
            <c:numRef>
              <c:f>'Pie Chart'!$C$5:$C$19</c:f>
              <c:numCache>
                <c:formatCode>_-* #,##0_-;\-* #,##0_-;_-* "-"??_-;_-@_-</c:formatCode>
                <c:ptCount val="15"/>
                <c:pt idx="0">
                  <c:v>144.13327889999997</c:v>
                </c:pt>
                <c:pt idx="1">
                  <c:v>87.339480520000009</c:v>
                </c:pt>
                <c:pt idx="2">
                  <c:v>57.81758146</c:v>
                </c:pt>
                <c:pt idx="3">
                  <c:v>66.005099999999999</c:v>
                </c:pt>
                <c:pt idx="4">
                  <c:v>178.75586057999999</c:v>
                </c:pt>
                <c:pt idx="5">
                  <c:v>5.69615793</c:v>
                </c:pt>
                <c:pt idx="6">
                  <c:v>19.434318780000002</c:v>
                </c:pt>
                <c:pt idx="7">
                  <c:v>52.903238420000001</c:v>
                </c:pt>
                <c:pt idx="8">
                  <c:v>35.356803990000003</c:v>
                </c:pt>
                <c:pt idx="9">
                  <c:v>48.49559218000001</c:v>
                </c:pt>
                <c:pt idx="10">
                  <c:v>12.166159879999999</c:v>
                </c:pt>
                <c:pt idx="11">
                  <c:v>24.035805579999998</c:v>
                </c:pt>
                <c:pt idx="12">
                  <c:v>9.1695321099999987</c:v>
                </c:pt>
                <c:pt idx="13">
                  <c:v>82.224922250000006</c:v>
                </c:pt>
                <c:pt idx="14">
                  <c:v>64.129532999999995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12975389213234501"/>
          <c:y val="0.72893273078543996"/>
          <c:w val="0.83668906679894495"/>
          <c:h val="0.22930755256962099"/>
        </c:manualLayout>
      </c:layout>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AE526-5486-4795-A29D-C3A774CF39B6}"/>
</file>

<file path=customXml/itemProps2.xml><?xml version="1.0" encoding="utf-8"?>
<ds:datastoreItem xmlns:ds="http://schemas.openxmlformats.org/officeDocument/2006/customXml" ds:itemID="{69AF65CA-00D1-45AB-9EA1-923F5ECFDAEF}"/>
</file>

<file path=customXml/itemProps3.xml><?xml version="1.0" encoding="utf-8"?>
<ds:datastoreItem xmlns:ds="http://schemas.openxmlformats.org/officeDocument/2006/customXml" ds:itemID="{8EDC29DA-05B3-42CB-B22A-9B67F0B7347A}"/>
</file>

<file path=customXml/itemProps4.xml><?xml version="1.0" encoding="utf-8"?>
<ds:datastoreItem xmlns:ds="http://schemas.openxmlformats.org/officeDocument/2006/customXml" ds:itemID="{9C2D7D82-0BC1-4A60-8646-67BBF0075845}"/>
</file>

<file path=docProps/app.xml><?xml version="1.0" encoding="utf-8"?>
<Properties xmlns="http://schemas.openxmlformats.org/officeDocument/2006/extended-properties" xmlns:vt="http://schemas.openxmlformats.org/officeDocument/2006/docPropsVTypes">
  <Template>Normal.dotm</Template>
  <TotalTime>0</TotalTime>
  <Pages>77</Pages>
  <Words>38303</Words>
  <Characters>218333</Characters>
  <Application>Microsoft Office Word</Application>
  <DocSecurity>0</DocSecurity>
  <Lines>1819</Lines>
  <Paragraphs>512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2013-12-09T21:55:00Z</dcterms:created>
  <dcterms:modified xsi:type="dcterms:W3CDTF">2014-01-29T03:09:00Z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311100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